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7D" w:rsidRPr="003E1F05" w:rsidRDefault="0025077D" w:rsidP="0025077D">
      <w:pPr>
        <w:jc w:val="center"/>
        <w:rPr>
          <w:b/>
          <w:sz w:val="40"/>
          <w:szCs w:val="40"/>
        </w:rPr>
      </w:pPr>
    </w:p>
    <w:p w:rsidR="0025077D" w:rsidRPr="003E1F05" w:rsidRDefault="0025077D" w:rsidP="0025077D">
      <w:pPr>
        <w:jc w:val="center"/>
        <w:rPr>
          <w:b/>
          <w:sz w:val="32"/>
          <w:szCs w:val="32"/>
        </w:rPr>
      </w:pPr>
    </w:p>
    <w:p w:rsidR="0025077D" w:rsidRPr="003E1F05" w:rsidRDefault="0025077D" w:rsidP="0025077D">
      <w:pPr>
        <w:jc w:val="center"/>
        <w:rPr>
          <w:b/>
          <w:sz w:val="32"/>
          <w:szCs w:val="32"/>
        </w:rPr>
      </w:pPr>
    </w:p>
    <w:p w:rsidR="0025077D" w:rsidRPr="003E1F05" w:rsidRDefault="0025077D" w:rsidP="003E1F05"/>
    <w:p w:rsidR="0025077D" w:rsidRPr="003E1F05" w:rsidRDefault="0025077D" w:rsidP="0025077D">
      <w:pPr>
        <w:jc w:val="center"/>
        <w:rPr>
          <w:b/>
          <w:sz w:val="32"/>
          <w:szCs w:val="32"/>
        </w:rPr>
      </w:pPr>
    </w:p>
    <w:p w:rsidR="0025077D" w:rsidRPr="003E1F05" w:rsidRDefault="0025077D" w:rsidP="0025077D">
      <w:pPr>
        <w:jc w:val="center"/>
        <w:rPr>
          <w:b/>
          <w:sz w:val="32"/>
          <w:szCs w:val="32"/>
        </w:rPr>
      </w:pPr>
    </w:p>
    <w:p w:rsidR="0025077D" w:rsidRPr="003E1F05" w:rsidRDefault="0025077D" w:rsidP="0025077D">
      <w:pPr>
        <w:jc w:val="center"/>
        <w:rPr>
          <w:b/>
          <w:sz w:val="32"/>
          <w:szCs w:val="32"/>
        </w:rPr>
      </w:pPr>
    </w:p>
    <w:p w:rsidR="007E529E" w:rsidRPr="003E1F05" w:rsidRDefault="007E529E" w:rsidP="009212D4">
      <w:pPr>
        <w:jc w:val="center"/>
        <w:rPr>
          <w:sz w:val="40"/>
          <w:szCs w:val="40"/>
        </w:rPr>
      </w:pPr>
      <w:r w:rsidRPr="003E1F05">
        <w:rPr>
          <w:sz w:val="40"/>
          <w:szCs w:val="40"/>
        </w:rPr>
        <w:t>Pharmaceutical Benefits Scheme</w:t>
      </w:r>
    </w:p>
    <w:p w:rsidR="0025077D" w:rsidRPr="003E1F05" w:rsidRDefault="009212D4" w:rsidP="009212D4">
      <w:pPr>
        <w:jc w:val="center"/>
        <w:rPr>
          <w:b/>
          <w:sz w:val="40"/>
          <w:szCs w:val="40"/>
        </w:rPr>
      </w:pPr>
      <w:r w:rsidRPr="003E1F05">
        <w:rPr>
          <w:b/>
          <w:sz w:val="40"/>
          <w:szCs w:val="40"/>
        </w:rPr>
        <w:t>Post</w:t>
      </w:r>
      <w:r w:rsidR="0026797F" w:rsidRPr="003E1F05">
        <w:rPr>
          <w:b/>
          <w:sz w:val="40"/>
          <w:szCs w:val="40"/>
        </w:rPr>
        <w:t>-</w:t>
      </w:r>
      <w:r w:rsidR="001D0532" w:rsidRPr="003E1F05">
        <w:rPr>
          <w:b/>
          <w:sz w:val="40"/>
          <w:szCs w:val="40"/>
        </w:rPr>
        <w:t>m</w:t>
      </w:r>
      <w:r w:rsidRPr="003E1F05">
        <w:rPr>
          <w:b/>
          <w:sz w:val="40"/>
          <w:szCs w:val="40"/>
        </w:rPr>
        <w:t>arket Review</w:t>
      </w:r>
    </w:p>
    <w:p w:rsidR="0025077D" w:rsidRPr="003E1F05" w:rsidRDefault="0025077D" w:rsidP="009F4F9C">
      <w:pPr>
        <w:jc w:val="center"/>
        <w:rPr>
          <w:b/>
          <w:sz w:val="40"/>
          <w:szCs w:val="40"/>
        </w:rPr>
      </w:pPr>
      <w:bookmarkStart w:id="0" w:name="_Toc340849017"/>
      <w:bookmarkStart w:id="1" w:name="_Toc340852083"/>
      <w:bookmarkStart w:id="2" w:name="_Toc340852150"/>
      <w:bookmarkStart w:id="3" w:name="_Toc341175222"/>
      <w:bookmarkStart w:id="4" w:name="_Toc341180113"/>
      <w:bookmarkStart w:id="5" w:name="_Toc341718009"/>
      <w:bookmarkStart w:id="6" w:name="_Toc341946997"/>
      <w:bookmarkStart w:id="7" w:name="_Toc341964939"/>
      <w:bookmarkStart w:id="8" w:name="_Toc342478567"/>
      <w:bookmarkStart w:id="9" w:name="_Toc342558103"/>
      <w:bookmarkStart w:id="10" w:name="_Toc351967066"/>
      <w:bookmarkStart w:id="11" w:name="_Toc359831558"/>
      <w:bookmarkStart w:id="12" w:name="_Toc359914388"/>
      <w:bookmarkStart w:id="13" w:name="_Toc360710899"/>
      <w:bookmarkStart w:id="14" w:name="_Toc368383243"/>
      <w:bookmarkStart w:id="15" w:name="_Toc371521185"/>
      <w:r w:rsidRPr="003E1F05">
        <w:rPr>
          <w:b/>
          <w:sz w:val="40"/>
          <w:szCs w:val="40"/>
        </w:rPr>
        <w:t>Products Used in the</w:t>
      </w:r>
      <w:r w:rsidR="007E529E" w:rsidRPr="003E1F05">
        <w:rPr>
          <w:b/>
          <w:sz w:val="40"/>
          <w:szCs w:val="40"/>
        </w:rPr>
        <w:t xml:space="preserve"> Management </w:t>
      </w:r>
      <w:r w:rsidRPr="003E1F05">
        <w:rPr>
          <w:b/>
          <w:sz w:val="40"/>
          <w:szCs w:val="40"/>
        </w:rPr>
        <w:t>of Diabetes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9212D4" w:rsidRPr="003E1F05" w:rsidRDefault="009212D4" w:rsidP="009F4F9C">
      <w:pPr>
        <w:jc w:val="center"/>
        <w:rPr>
          <w:b/>
          <w:sz w:val="28"/>
          <w:szCs w:val="28"/>
        </w:rPr>
      </w:pPr>
      <w:bookmarkStart w:id="16" w:name="_Toc341175223"/>
      <w:bookmarkStart w:id="17" w:name="_Toc341180114"/>
      <w:bookmarkStart w:id="18" w:name="_Toc341718010"/>
      <w:bookmarkStart w:id="19" w:name="_Toc341946998"/>
      <w:bookmarkStart w:id="20" w:name="_Toc341964940"/>
      <w:bookmarkStart w:id="21" w:name="_Toc342478568"/>
      <w:bookmarkStart w:id="22" w:name="_Toc342558104"/>
      <w:bookmarkStart w:id="23" w:name="_Toc351967067"/>
      <w:bookmarkStart w:id="24" w:name="_Toc359831559"/>
      <w:bookmarkStart w:id="25" w:name="_Toc359914389"/>
      <w:bookmarkStart w:id="26" w:name="_Toc360710900"/>
      <w:bookmarkStart w:id="27" w:name="_Toc368383244"/>
      <w:bookmarkStart w:id="28" w:name="_Toc371521186"/>
      <w:r w:rsidRPr="003E1F05">
        <w:rPr>
          <w:b/>
          <w:sz w:val="28"/>
          <w:szCs w:val="28"/>
        </w:rPr>
        <w:t xml:space="preserve">Report to </w:t>
      </w:r>
      <w:bookmarkEnd w:id="16"/>
      <w:bookmarkEnd w:id="17"/>
      <w:bookmarkEnd w:id="18"/>
      <w:bookmarkEnd w:id="19"/>
      <w:bookmarkEnd w:id="20"/>
      <w:bookmarkEnd w:id="21"/>
      <w:bookmarkEnd w:id="22"/>
      <w:r w:rsidR="001157F5" w:rsidRPr="003E1F05">
        <w:rPr>
          <w:b/>
          <w:sz w:val="28"/>
          <w:szCs w:val="28"/>
        </w:rPr>
        <w:t>Government</w:t>
      </w:r>
      <w:bookmarkEnd w:id="23"/>
      <w:bookmarkEnd w:id="24"/>
      <w:bookmarkEnd w:id="25"/>
      <w:bookmarkEnd w:id="26"/>
      <w:bookmarkEnd w:id="27"/>
      <w:bookmarkEnd w:id="28"/>
    </w:p>
    <w:p w:rsidR="009212D4" w:rsidRPr="003E1F05" w:rsidRDefault="009212D4" w:rsidP="009212D4"/>
    <w:p w:rsidR="000463D1" w:rsidRPr="003E1F05" w:rsidRDefault="000463D1" w:rsidP="000463D1"/>
    <w:p w:rsidR="000463D1" w:rsidRPr="003E1F05" w:rsidRDefault="000463D1" w:rsidP="000463D1"/>
    <w:p w:rsidR="000463D1" w:rsidRPr="003E1F05" w:rsidRDefault="00E35FD7" w:rsidP="009F4F9C">
      <w:pPr>
        <w:rPr>
          <w:b/>
        </w:rPr>
      </w:pPr>
      <w:bookmarkStart w:id="29" w:name="_Toc340849018"/>
      <w:bookmarkStart w:id="30" w:name="_Toc340852084"/>
      <w:bookmarkStart w:id="31" w:name="_Toc340852151"/>
      <w:bookmarkStart w:id="32" w:name="_Toc341175224"/>
      <w:bookmarkStart w:id="33" w:name="_Toc341180115"/>
      <w:bookmarkStart w:id="34" w:name="_Toc341718011"/>
      <w:bookmarkStart w:id="35" w:name="_Toc341946999"/>
      <w:bookmarkStart w:id="36" w:name="_Toc341964941"/>
      <w:bookmarkStart w:id="37" w:name="_Toc342478569"/>
      <w:bookmarkStart w:id="38" w:name="_Toc342558105"/>
      <w:bookmarkStart w:id="39" w:name="_Toc351967068"/>
      <w:bookmarkStart w:id="40" w:name="_Toc359831560"/>
      <w:bookmarkStart w:id="41" w:name="_Toc359914390"/>
      <w:bookmarkStart w:id="42" w:name="_Toc360710901"/>
      <w:bookmarkStart w:id="43" w:name="_Toc368383245"/>
      <w:bookmarkStart w:id="44" w:name="_Toc371521187"/>
      <w:r w:rsidRPr="003E1F05">
        <w:rPr>
          <w:b/>
        </w:rPr>
        <w:t>Stage</w:t>
      </w:r>
      <w:r w:rsidR="000463D1" w:rsidRPr="003E1F05">
        <w:rPr>
          <w:b/>
        </w:rPr>
        <w:t xml:space="preserve"> </w:t>
      </w:r>
      <w:r w:rsidR="00073BB6" w:rsidRPr="003E1F05">
        <w:rPr>
          <w:b/>
        </w:rPr>
        <w:t>2</w:t>
      </w:r>
      <w:r w:rsidRPr="003E1F05">
        <w:rPr>
          <w:b/>
        </w:rPr>
        <w:t>:</w:t>
      </w:r>
      <w:r w:rsidRPr="003E1F05">
        <w:rPr>
          <w:b/>
        </w:rPr>
        <w:tab/>
      </w:r>
      <w:r w:rsidR="00073BB6" w:rsidRPr="003E1F05">
        <w:rPr>
          <w:b/>
        </w:rPr>
        <w:t>Insulin Pumps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5077D" w:rsidRPr="0025077D" w:rsidRDefault="007E529E" w:rsidP="00787F54">
      <w:pPr>
        <w:pStyle w:val="TOCHeading"/>
      </w:pPr>
      <w:r>
        <w:t xml:space="preserve">Version </w:t>
      </w:r>
      <w:r w:rsidR="00787F54">
        <w:t>5</w:t>
      </w:r>
    </w:p>
    <w:p w:rsidR="00C04591" w:rsidRDefault="00F352F3" w:rsidP="008831AF">
      <w:pPr>
        <w:jc w:val="center"/>
        <w:rPr>
          <w:noProof/>
        </w:rPr>
      </w:pPr>
      <w:r w:rsidRPr="003E1F05">
        <w:br w:type="page"/>
      </w:r>
      <w:r w:rsidR="008831AF" w:rsidRPr="003E1F05">
        <w:rPr>
          <w:b/>
          <w:sz w:val="40"/>
          <w:szCs w:val="40"/>
        </w:rPr>
        <w:lastRenderedPageBreak/>
        <w:t>Contents</w:t>
      </w:r>
      <w:r w:rsidR="008831AF" w:rsidRPr="003E1F05">
        <w:rPr>
          <w:sz w:val="32"/>
        </w:rPr>
        <w:t xml:space="preserve"> </w:t>
      </w:r>
      <w:r w:rsidR="00A309DB" w:rsidRPr="003E1F05">
        <w:rPr>
          <w:sz w:val="32"/>
        </w:rPr>
        <w:fldChar w:fldCharType="begin"/>
      </w:r>
      <w:r w:rsidR="00777F41" w:rsidRPr="003E1F05">
        <w:instrText xml:space="preserve"> TOC \o "1-2" \h \z \u </w:instrText>
      </w:r>
      <w:r w:rsidR="00A309DB" w:rsidRPr="003E1F05">
        <w:rPr>
          <w:sz w:val="32"/>
        </w:rPr>
        <w:fldChar w:fldCharType="separate"/>
      </w:r>
    </w:p>
    <w:p w:rsidR="00C04591" w:rsidRDefault="00763F1D">
      <w:pPr>
        <w:pStyle w:val="TOC1"/>
        <w:rPr>
          <w:rFonts w:asciiTheme="minorHAnsi" w:eastAsiaTheme="minorEastAsia" w:hAnsiTheme="minorHAnsi" w:cstheme="minorBidi"/>
          <w:sz w:val="22"/>
          <w:lang w:eastAsia="en-AU"/>
        </w:rPr>
      </w:pPr>
      <w:hyperlink w:anchor="_Toc387664307" w:history="1">
        <w:r w:rsidR="00C04591" w:rsidRPr="00EA112D">
          <w:rPr>
            <w:rStyle w:val="Hyperlink"/>
          </w:rPr>
          <w:t>Report Structure</w:t>
        </w:r>
        <w:r w:rsidR="00C04591">
          <w:rPr>
            <w:webHidden/>
          </w:rPr>
          <w:tab/>
        </w:r>
        <w:r w:rsidR="00C04591">
          <w:rPr>
            <w:webHidden/>
          </w:rPr>
          <w:fldChar w:fldCharType="begin"/>
        </w:r>
        <w:r w:rsidR="00C04591">
          <w:rPr>
            <w:webHidden/>
          </w:rPr>
          <w:instrText xml:space="preserve"> PAGEREF _Toc387664307 \h </w:instrText>
        </w:r>
        <w:r w:rsidR="00C04591">
          <w:rPr>
            <w:webHidden/>
          </w:rPr>
        </w:r>
        <w:r w:rsidR="00C04591">
          <w:rPr>
            <w:webHidden/>
          </w:rPr>
          <w:fldChar w:fldCharType="separate"/>
        </w:r>
        <w:r w:rsidR="001D27D3">
          <w:rPr>
            <w:webHidden/>
          </w:rPr>
          <w:t>4</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08" w:history="1">
        <w:r w:rsidR="00C04591" w:rsidRPr="00EA112D">
          <w:rPr>
            <w:rStyle w:val="Hyperlink"/>
          </w:rPr>
          <w:t>Glossary</w:t>
        </w:r>
        <w:r w:rsidR="00C04591">
          <w:rPr>
            <w:webHidden/>
          </w:rPr>
          <w:tab/>
        </w:r>
        <w:r w:rsidR="00C04591">
          <w:rPr>
            <w:webHidden/>
          </w:rPr>
          <w:fldChar w:fldCharType="begin"/>
        </w:r>
        <w:r w:rsidR="00C04591">
          <w:rPr>
            <w:webHidden/>
          </w:rPr>
          <w:instrText xml:space="preserve"> PAGEREF _Toc387664308 \h </w:instrText>
        </w:r>
        <w:r w:rsidR="00C04591">
          <w:rPr>
            <w:webHidden/>
          </w:rPr>
        </w:r>
        <w:r w:rsidR="00C04591">
          <w:rPr>
            <w:webHidden/>
          </w:rPr>
          <w:fldChar w:fldCharType="separate"/>
        </w:r>
        <w:r w:rsidR="001D27D3">
          <w:rPr>
            <w:webHidden/>
          </w:rPr>
          <w:t>5</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09" w:history="1">
        <w:r w:rsidR="00C04591" w:rsidRPr="00EA112D">
          <w:rPr>
            <w:rStyle w:val="Hyperlink"/>
          </w:rPr>
          <w:t>Executive Summary</w:t>
        </w:r>
        <w:r w:rsidR="00C04591">
          <w:rPr>
            <w:webHidden/>
          </w:rPr>
          <w:tab/>
        </w:r>
        <w:r w:rsidR="00C04591">
          <w:rPr>
            <w:webHidden/>
          </w:rPr>
          <w:fldChar w:fldCharType="begin"/>
        </w:r>
        <w:r w:rsidR="00C04591">
          <w:rPr>
            <w:webHidden/>
          </w:rPr>
          <w:instrText xml:space="preserve"> PAGEREF _Toc387664309 \h </w:instrText>
        </w:r>
        <w:r w:rsidR="00C04591">
          <w:rPr>
            <w:webHidden/>
          </w:rPr>
        </w:r>
        <w:r w:rsidR="00C04591">
          <w:rPr>
            <w:webHidden/>
          </w:rPr>
          <w:fldChar w:fldCharType="separate"/>
        </w:r>
        <w:r w:rsidR="001D27D3">
          <w:rPr>
            <w:webHidden/>
          </w:rPr>
          <w:t>8</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10" w:history="1">
        <w:r w:rsidR="00C04591" w:rsidRPr="00EA112D">
          <w:rPr>
            <w:rStyle w:val="Hyperlink"/>
            <w:rFonts w:cs="Calibri"/>
          </w:rPr>
          <w:t>Part 1 Review b</w:t>
        </w:r>
        <w:r w:rsidR="00C04591" w:rsidRPr="00EA112D">
          <w:rPr>
            <w:rStyle w:val="Hyperlink"/>
          </w:rPr>
          <w:t>ackground and context</w:t>
        </w:r>
        <w:r w:rsidR="00C04591">
          <w:rPr>
            <w:webHidden/>
          </w:rPr>
          <w:tab/>
        </w:r>
        <w:r w:rsidR="00C04591">
          <w:rPr>
            <w:webHidden/>
          </w:rPr>
          <w:fldChar w:fldCharType="begin"/>
        </w:r>
        <w:r w:rsidR="00C04591">
          <w:rPr>
            <w:webHidden/>
          </w:rPr>
          <w:instrText xml:space="preserve"> PAGEREF _Toc387664310 \h </w:instrText>
        </w:r>
        <w:r w:rsidR="00C04591">
          <w:rPr>
            <w:webHidden/>
          </w:rPr>
        </w:r>
        <w:r w:rsidR="00C04591">
          <w:rPr>
            <w:webHidden/>
          </w:rPr>
          <w:fldChar w:fldCharType="separate"/>
        </w:r>
        <w:r w:rsidR="001D27D3">
          <w:rPr>
            <w:webHidden/>
          </w:rPr>
          <w:t>11</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11" w:history="1">
        <w:r w:rsidR="00C04591" w:rsidRPr="00EA112D">
          <w:rPr>
            <w:rStyle w:val="Hyperlink"/>
          </w:rPr>
          <w:t>1.1</w:t>
        </w:r>
        <w:r w:rsidR="00C04591">
          <w:rPr>
            <w:rFonts w:asciiTheme="minorHAnsi" w:eastAsiaTheme="minorEastAsia" w:hAnsiTheme="minorHAnsi" w:cstheme="minorBidi"/>
            <w:sz w:val="22"/>
            <w:lang w:eastAsia="en-AU"/>
          </w:rPr>
          <w:tab/>
        </w:r>
        <w:r w:rsidR="00C04591" w:rsidRPr="00EA112D">
          <w:rPr>
            <w:rStyle w:val="Hyperlink"/>
          </w:rPr>
          <w:t>Diabetes Post-market Review</w:t>
        </w:r>
        <w:r w:rsidR="00C04591">
          <w:rPr>
            <w:webHidden/>
          </w:rPr>
          <w:tab/>
        </w:r>
        <w:r w:rsidR="00C04591">
          <w:rPr>
            <w:webHidden/>
          </w:rPr>
          <w:fldChar w:fldCharType="begin"/>
        </w:r>
        <w:r w:rsidR="00C04591">
          <w:rPr>
            <w:webHidden/>
          </w:rPr>
          <w:instrText xml:space="preserve"> PAGEREF _Toc387664311 \h </w:instrText>
        </w:r>
        <w:r w:rsidR="00C04591">
          <w:rPr>
            <w:webHidden/>
          </w:rPr>
        </w:r>
        <w:r w:rsidR="00C04591">
          <w:rPr>
            <w:webHidden/>
          </w:rPr>
          <w:fldChar w:fldCharType="separate"/>
        </w:r>
        <w:r w:rsidR="001D27D3">
          <w:rPr>
            <w:webHidden/>
          </w:rPr>
          <w:t>11</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12" w:history="1">
        <w:r w:rsidR="00C04591" w:rsidRPr="00EA112D">
          <w:rPr>
            <w:rStyle w:val="Hyperlink"/>
          </w:rPr>
          <w:t>1.2</w:t>
        </w:r>
        <w:r w:rsidR="00C04591">
          <w:rPr>
            <w:rFonts w:asciiTheme="minorHAnsi" w:eastAsiaTheme="minorEastAsia" w:hAnsiTheme="minorHAnsi" w:cstheme="minorBidi"/>
            <w:sz w:val="22"/>
            <w:lang w:eastAsia="en-AU"/>
          </w:rPr>
          <w:tab/>
        </w:r>
        <w:r w:rsidR="00C04591" w:rsidRPr="00EA112D">
          <w:rPr>
            <w:rStyle w:val="Hyperlink"/>
          </w:rPr>
          <w:t>Insulin Pumps Review</w:t>
        </w:r>
        <w:r w:rsidR="00C04591">
          <w:rPr>
            <w:webHidden/>
          </w:rPr>
          <w:tab/>
        </w:r>
        <w:r w:rsidR="00C04591">
          <w:rPr>
            <w:webHidden/>
          </w:rPr>
          <w:fldChar w:fldCharType="begin"/>
        </w:r>
        <w:r w:rsidR="00C04591">
          <w:rPr>
            <w:webHidden/>
          </w:rPr>
          <w:instrText xml:space="preserve"> PAGEREF _Toc387664312 \h </w:instrText>
        </w:r>
        <w:r w:rsidR="00C04591">
          <w:rPr>
            <w:webHidden/>
          </w:rPr>
        </w:r>
        <w:r w:rsidR="00C04591">
          <w:rPr>
            <w:webHidden/>
          </w:rPr>
          <w:fldChar w:fldCharType="separate"/>
        </w:r>
        <w:r w:rsidR="001D27D3">
          <w:rPr>
            <w:webHidden/>
          </w:rPr>
          <w:t>11</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13" w:history="1">
        <w:r w:rsidR="00C04591" w:rsidRPr="00EA112D">
          <w:rPr>
            <w:rStyle w:val="Hyperlink"/>
          </w:rPr>
          <w:t>1.3</w:t>
        </w:r>
        <w:r w:rsidR="00C04591">
          <w:rPr>
            <w:rFonts w:asciiTheme="minorHAnsi" w:eastAsiaTheme="minorEastAsia" w:hAnsiTheme="minorHAnsi" w:cstheme="minorBidi"/>
            <w:sz w:val="22"/>
            <w:lang w:eastAsia="en-AU"/>
          </w:rPr>
          <w:tab/>
        </w:r>
        <w:r w:rsidR="00C04591" w:rsidRPr="00EA112D">
          <w:rPr>
            <w:rStyle w:val="Hyperlink"/>
          </w:rPr>
          <w:t>Context for the Diabetes Post-market Review</w:t>
        </w:r>
        <w:r w:rsidR="00C04591">
          <w:rPr>
            <w:webHidden/>
          </w:rPr>
          <w:tab/>
        </w:r>
        <w:r w:rsidR="00C04591">
          <w:rPr>
            <w:webHidden/>
          </w:rPr>
          <w:fldChar w:fldCharType="begin"/>
        </w:r>
        <w:r w:rsidR="00C04591">
          <w:rPr>
            <w:webHidden/>
          </w:rPr>
          <w:instrText xml:space="preserve"> PAGEREF _Toc387664313 \h </w:instrText>
        </w:r>
        <w:r w:rsidR="00C04591">
          <w:rPr>
            <w:webHidden/>
          </w:rPr>
        </w:r>
        <w:r w:rsidR="00C04591">
          <w:rPr>
            <w:webHidden/>
          </w:rPr>
          <w:fldChar w:fldCharType="separate"/>
        </w:r>
        <w:r w:rsidR="001D27D3">
          <w:rPr>
            <w:webHidden/>
          </w:rPr>
          <w:t>15</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14" w:history="1">
        <w:r w:rsidR="00C04591" w:rsidRPr="00EA112D">
          <w:rPr>
            <w:rStyle w:val="Hyperlink"/>
            <w:rFonts w:cs="Calibri"/>
          </w:rPr>
          <w:t xml:space="preserve">Part </w:t>
        </w:r>
        <w:r w:rsidR="00C04591" w:rsidRPr="00EA112D">
          <w:rPr>
            <w:rStyle w:val="Hyperlink"/>
          </w:rPr>
          <w:t>2 Diabetes mellitus: treatment and access to insulin pumps</w:t>
        </w:r>
        <w:r w:rsidR="00C04591">
          <w:rPr>
            <w:webHidden/>
          </w:rPr>
          <w:tab/>
        </w:r>
        <w:r w:rsidR="00C04591">
          <w:rPr>
            <w:webHidden/>
          </w:rPr>
          <w:fldChar w:fldCharType="begin"/>
        </w:r>
        <w:r w:rsidR="00C04591">
          <w:rPr>
            <w:webHidden/>
          </w:rPr>
          <w:instrText xml:space="preserve"> PAGEREF _Toc387664314 \h </w:instrText>
        </w:r>
        <w:r w:rsidR="00C04591">
          <w:rPr>
            <w:webHidden/>
          </w:rPr>
        </w:r>
        <w:r w:rsidR="00C04591">
          <w:rPr>
            <w:webHidden/>
          </w:rPr>
          <w:fldChar w:fldCharType="separate"/>
        </w:r>
        <w:r w:rsidR="001D27D3">
          <w:rPr>
            <w:webHidden/>
          </w:rPr>
          <w:t>17</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15" w:history="1">
        <w:r w:rsidR="00C04591" w:rsidRPr="00EA112D">
          <w:rPr>
            <w:rStyle w:val="Hyperlink"/>
          </w:rPr>
          <w:t xml:space="preserve">2.1 </w:t>
        </w:r>
        <w:r w:rsidR="00C04591">
          <w:rPr>
            <w:rFonts w:asciiTheme="minorHAnsi" w:eastAsiaTheme="minorEastAsia" w:hAnsiTheme="minorHAnsi" w:cstheme="minorBidi"/>
            <w:sz w:val="22"/>
            <w:lang w:eastAsia="en-AU"/>
          </w:rPr>
          <w:tab/>
        </w:r>
        <w:r w:rsidR="00C04591" w:rsidRPr="00EA112D">
          <w:rPr>
            <w:rStyle w:val="Hyperlink"/>
          </w:rPr>
          <w:t>Diabetes mellitus</w:t>
        </w:r>
        <w:r w:rsidR="00C04591">
          <w:rPr>
            <w:webHidden/>
          </w:rPr>
          <w:tab/>
        </w:r>
        <w:r w:rsidR="00C04591">
          <w:rPr>
            <w:webHidden/>
          </w:rPr>
          <w:fldChar w:fldCharType="begin"/>
        </w:r>
        <w:r w:rsidR="00C04591">
          <w:rPr>
            <w:webHidden/>
          </w:rPr>
          <w:instrText xml:space="preserve"> PAGEREF _Toc387664315 \h </w:instrText>
        </w:r>
        <w:r w:rsidR="00C04591">
          <w:rPr>
            <w:webHidden/>
          </w:rPr>
        </w:r>
        <w:r w:rsidR="00C04591">
          <w:rPr>
            <w:webHidden/>
          </w:rPr>
          <w:fldChar w:fldCharType="separate"/>
        </w:r>
        <w:r w:rsidR="001D27D3">
          <w:rPr>
            <w:webHidden/>
          </w:rPr>
          <w:t>17</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16" w:history="1">
        <w:r w:rsidR="00C04591" w:rsidRPr="00EA112D">
          <w:rPr>
            <w:rStyle w:val="Hyperlink"/>
          </w:rPr>
          <w:t>2.2</w:t>
        </w:r>
        <w:r w:rsidR="00C04591">
          <w:rPr>
            <w:rFonts w:asciiTheme="minorHAnsi" w:eastAsiaTheme="minorEastAsia" w:hAnsiTheme="minorHAnsi" w:cstheme="minorBidi"/>
            <w:sz w:val="22"/>
            <w:lang w:eastAsia="en-AU"/>
          </w:rPr>
          <w:tab/>
        </w:r>
        <w:r w:rsidR="00C04591" w:rsidRPr="00EA112D">
          <w:rPr>
            <w:rStyle w:val="Hyperlink"/>
          </w:rPr>
          <w:t>Prevalence of diabetes in Australia</w:t>
        </w:r>
        <w:r w:rsidR="00C04591">
          <w:rPr>
            <w:webHidden/>
          </w:rPr>
          <w:tab/>
        </w:r>
        <w:r w:rsidR="00C04591">
          <w:rPr>
            <w:webHidden/>
          </w:rPr>
          <w:fldChar w:fldCharType="begin"/>
        </w:r>
        <w:r w:rsidR="00C04591">
          <w:rPr>
            <w:webHidden/>
          </w:rPr>
          <w:instrText xml:space="preserve"> PAGEREF _Toc387664316 \h </w:instrText>
        </w:r>
        <w:r w:rsidR="00C04591">
          <w:rPr>
            <w:webHidden/>
          </w:rPr>
        </w:r>
        <w:r w:rsidR="00C04591">
          <w:rPr>
            <w:webHidden/>
          </w:rPr>
          <w:fldChar w:fldCharType="separate"/>
        </w:r>
        <w:r w:rsidR="001D27D3">
          <w:rPr>
            <w:webHidden/>
          </w:rPr>
          <w:t>17</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17" w:history="1">
        <w:r w:rsidR="00C04591" w:rsidRPr="00EA112D">
          <w:rPr>
            <w:rStyle w:val="Hyperlink"/>
          </w:rPr>
          <w:t>2.3</w:t>
        </w:r>
        <w:r w:rsidR="00C04591">
          <w:rPr>
            <w:rFonts w:asciiTheme="minorHAnsi" w:eastAsiaTheme="minorEastAsia" w:hAnsiTheme="minorHAnsi" w:cstheme="minorBidi"/>
            <w:sz w:val="22"/>
            <w:lang w:eastAsia="en-AU"/>
          </w:rPr>
          <w:tab/>
        </w:r>
        <w:r w:rsidR="00C04591" w:rsidRPr="00EA112D">
          <w:rPr>
            <w:rStyle w:val="Hyperlink"/>
          </w:rPr>
          <w:t>Complications</w:t>
        </w:r>
        <w:r w:rsidR="00C04591">
          <w:rPr>
            <w:webHidden/>
          </w:rPr>
          <w:tab/>
        </w:r>
        <w:r w:rsidR="00C04591">
          <w:rPr>
            <w:webHidden/>
          </w:rPr>
          <w:fldChar w:fldCharType="begin"/>
        </w:r>
        <w:r w:rsidR="00C04591">
          <w:rPr>
            <w:webHidden/>
          </w:rPr>
          <w:instrText xml:space="preserve"> PAGEREF _Toc387664317 \h </w:instrText>
        </w:r>
        <w:r w:rsidR="00C04591">
          <w:rPr>
            <w:webHidden/>
          </w:rPr>
        </w:r>
        <w:r w:rsidR="00C04591">
          <w:rPr>
            <w:webHidden/>
          </w:rPr>
          <w:fldChar w:fldCharType="separate"/>
        </w:r>
        <w:r w:rsidR="001D27D3">
          <w:rPr>
            <w:webHidden/>
          </w:rPr>
          <w:t>18</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18" w:history="1">
        <w:r w:rsidR="00C04591" w:rsidRPr="00EA112D">
          <w:rPr>
            <w:rStyle w:val="Hyperlink"/>
          </w:rPr>
          <w:t xml:space="preserve">2.4 </w:t>
        </w:r>
        <w:r w:rsidR="00C04591">
          <w:rPr>
            <w:rFonts w:asciiTheme="minorHAnsi" w:eastAsiaTheme="minorEastAsia" w:hAnsiTheme="minorHAnsi" w:cstheme="minorBidi"/>
            <w:sz w:val="22"/>
            <w:lang w:eastAsia="en-AU"/>
          </w:rPr>
          <w:tab/>
        </w:r>
        <w:r w:rsidR="00C04591" w:rsidRPr="00EA112D">
          <w:rPr>
            <w:rStyle w:val="Hyperlink"/>
          </w:rPr>
          <w:t>Diagnosis</w:t>
        </w:r>
        <w:r w:rsidR="00C04591">
          <w:rPr>
            <w:webHidden/>
          </w:rPr>
          <w:tab/>
        </w:r>
        <w:r w:rsidR="00C04591">
          <w:rPr>
            <w:webHidden/>
          </w:rPr>
          <w:fldChar w:fldCharType="begin"/>
        </w:r>
        <w:r w:rsidR="00C04591">
          <w:rPr>
            <w:webHidden/>
          </w:rPr>
          <w:instrText xml:space="preserve"> PAGEREF _Toc387664318 \h </w:instrText>
        </w:r>
        <w:r w:rsidR="00C04591">
          <w:rPr>
            <w:webHidden/>
          </w:rPr>
        </w:r>
        <w:r w:rsidR="00C04591">
          <w:rPr>
            <w:webHidden/>
          </w:rPr>
          <w:fldChar w:fldCharType="separate"/>
        </w:r>
        <w:r w:rsidR="001D27D3">
          <w:rPr>
            <w:webHidden/>
          </w:rPr>
          <w:t>19</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19" w:history="1">
        <w:r w:rsidR="00C04591" w:rsidRPr="00EA112D">
          <w:rPr>
            <w:rStyle w:val="Hyperlink"/>
          </w:rPr>
          <w:t xml:space="preserve">2.5 </w:t>
        </w:r>
        <w:r w:rsidR="00C04591">
          <w:rPr>
            <w:rFonts w:asciiTheme="minorHAnsi" w:eastAsiaTheme="minorEastAsia" w:hAnsiTheme="minorHAnsi" w:cstheme="minorBidi"/>
            <w:sz w:val="22"/>
            <w:lang w:eastAsia="en-AU"/>
          </w:rPr>
          <w:tab/>
        </w:r>
        <w:r w:rsidR="00C04591" w:rsidRPr="00EA112D">
          <w:rPr>
            <w:rStyle w:val="Hyperlink"/>
          </w:rPr>
          <w:t>Monitoring blood glucose and glycaemic control</w:t>
        </w:r>
        <w:r w:rsidR="00C04591">
          <w:rPr>
            <w:webHidden/>
          </w:rPr>
          <w:tab/>
        </w:r>
        <w:r w:rsidR="00C04591">
          <w:rPr>
            <w:webHidden/>
          </w:rPr>
          <w:fldChar w:fldCharType="begin"/>
        </w:r>
        <w:r w:rsidR="00C04591">
          <w:rPr>
            <w:webHidden/>
          </w:rPr>
          <w:instrText xml:space="preserve"> PAGEREF _Toc387664319 \h </w:instrText>
        </w:r>
        <w:r w:rsidR="00C04591">
          <w:rPr>
            <w:webHidden/>
          </w:rPr>
        </w:r>
        <w:r w:rsidR="00C04591">
          <w:rPr>
            <w:webHidden/>
          </w:rPr>
          <w:fldChar w:fldCharType="separate"/>
        </w:r>
        <w:r w:rsidR="001D27D3">
          <w:rPr>
            <w:webHidden/>
          </w:rPr>
          <w:t>20</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20" w:history="1">
        <w:r w:rsidR="00C04591" w:rsidRPr="00EA112D">
          <w:rPr>
            <w:rStyle w:val="Hyperlink"/>
          </w:rPr>
          <w:t>2.6</w:t>
        </w:r>
        <w:r w:rsidR="00C04591">
          <w:rPr>
            <w:rFonts w:asciiTheme="minorHAnsi" w:eastAsiaTheme="minorEastAsia" w:hAnsiTheme="minorHAnsi" w:cstheme="minorBidi"/>
            <w:sz w:val="22"/>
            <w:lang w:eastAsia="en-AU"/>
          </w:rPr>
          <w:tab/>
        </w:r>
        <w:r w:rsidR="00C04591" w:rsidRPr="00EA112D">
          <w:rPr>
            <w:rStyle w:val="Hyperlink"/>
          </w:rPr>
          <w:t>Treatment options and technologies for type 1 diabetes</w:t>
        </w:r>
        <w:r w:rsidR="00C04591">
          <w:rPr>
            <w:webHidden/>
          </w:rPr>
          <w:tab/>
        </w:r>
        <w:r w:rsidR="00C04591">
          <w:rPr>
            <w:webHidden/>
          </w:rPr>
          <w:fldChar w:fldCharType="begin"/>
        </w:r>
        <w:r w:rsidR="00C04591">
          <w:rPr>
            <w:webHidden/>
          </w:rPr>
          <w:instrText xml:space="preserve"> PAGEREF _Toc387664320 \h </w:instrText>
        </w:r>
        <w:r w:rsidR="00C04591">
          <w:rPr>
            <w:webHidden/>
          </w:rPr>
        </w:r>
        <w:r w:rsidR="00C04591">
          <w:rPr>
            <w:webHidden/>
          </w:rPr>
          <w:fldChar w:fldCharType="separate"/>
        </w:r>
        <w:r w:rsidR="001D27D3">
          <w:rPr>
            <w:webHidden/>
          </w:rPr>
          <w:t>21</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21" w:history="1">
        <w:r w:rsidR="00C04591" w:rsidRPr="00EA112D">
          <w:rPr>
            <w:rStyle w:val="Hyperlink"/>
          </w:rPr>
          <w:t>2.7</w:t>
        </w:r>
        <w:r w:rsidR="00C04591">
          <w:rPr>
            <w:rFonts w:asciiTheme="minorHAnsi" w:eastAsiaTheme="minorEastAsia" w:hAnsiTheme="minorHAnsi" w:cstheme="minorBidi"/>
            <w:sz w:val="22"/>
            <w:lang w:eastAsia="en-AU"/>
          </w:rPr>
          <w:tab/>
        </w:r>
        <w:r w:rsidR="00C04591" w:rsidRPr="00EA112D">
          <w:rPr>
            <w:rStyle w:val="Hyperlink"/>
          </w:rPr>
          <w:t>Access to insulin pumps via the Type 1 Diabetes Insulin Pump Programme</w:t>
        </w:r>
        <w:r w:rsidR="00C04591">
          <w:rPr>
            <w:webHidden/>
          </w:rPr>
          <w:tab/>
        </w:r>
        <w:r w:rsidR="00C04591">
          <w:rPr>
            <w:webHidden/>
          </w:rPr>
          <w:fldChar w:fldCharType="begin"/>
        </w:r>
        <w:r w:rsidR="00C04591">
          <w:rPr>
            <w:webHidden/>
          </w:rPr>
          <w:instrText xml:space="preserve"> PAGEREF _Toc387664321 \h </w:instrText>
        </w:r>
        <w:r w:rsidR="00C04591">
          <w:rPr>
            <w:webHidden/>
          </w:rPr>
        </w:r>
        <w:r w:rsidR="00C04591">
          <w:rPr>
            <w:webHidden/>
          </w:rPr>
          <w:fldChar w:fldCharType="separate"/>
        </w:r>
        <w:r w:rsidR="001D27D3">
          <w:rPr>
            <w:webHidden/>
          </w:rPr>
          <w:t>24</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22" w:history="1">
        <w:r w:rsidR="00C04591" w:rsidRPr="00EA112D">
          <w:rPr>
            <w:rStyle w:val="Hyperlink"/>
          </w:rPr>
          <w:t>2.8</w:t>
        </w:r>
        <w:r w:rsidR="00C04591">
          <w:rPr>
            <w:rFonts w:asciiTheme="minorHAnsi" w:eastAsiaTheme="minorEastAsia" w:hAnsiTheme="minorHAnsi" w:cstheme="minorBidi"/>
            <w:sz w:val="22"/>
            <w:lang w:eastAsia="en-AU"/>
          </w:rPr>
          <w:tab/>
        </w:r>
        <w:r w:rsidR="00C04591" w:rsidRPr="00EA112D">
          <w:rPr>
            <w:rStyle w:val="Hyperlink"/>
          </w:rPr>
          <w:t>Access to insulin pumps via private health insurance</w:t>
        </w:r>
        <w:r w:rsidR="00C04591">
          <w:rPr>
            <w:webHidden/>
          </w:rPr>
          <w:tab/>
        </w:r>
        <w:r w:rsidR="00C04591">
          <w:rPr>
            <w:webHidden/>
          </w:rPr>
          <w:fldChar w:fldCharType="begin"/>
        </w:r>
        <w:r w:rsidR="00C04591">
          <w:rPr>
            <w:webHidden/>
          </w:rPr>
          <w:instrText xml:space="preserve"> PAGEREF _Toc387664322 \h </w:instrText>
        </w:r>
        <w:r w:rsidR="00C04591">
          <w:rPr>
            <w:webHidden/>
          </w:rPr>
        </w:r>
        <w:r w:rsidR="00C04591">
          <w:rPr>
            <w:webHidden/>
          </w:rPr>
          <w:fldChar w:fldCharType="separate"/>
        </w:r>
        <w:r w:rsidR="001D27D3">
          <w:rPr>
            <w:webHidden/>
          </w:rPr>
          <w:t>26</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23" w:history="1">
        <w:r w:rsidR="00C04591" w:rsidRPr="00EA112D">
          <w:rPr>
            <w:rStyle w:val="Hyperlink"/>
          </w:rPr>
          <w:t>2.9</w:t>
        </w:r>
        <w:r w:rsidR="00C04591">
          <w:rPr>
            <w:rFonts w:asciiTheme="minorHAnsi" w:eastAsiaTheme="minorEastAsia" w:hAnsiTheme="minorHAnsi" w:cstheme="minorBidi"/>
            <w:sz w:val="22"/>
            <w:lang w:eastAsia="en-AU"/>
          </w:rPr>
          <w:tab/>
        </w:r>
        <w:r w:rsidR="00C04591" w:rsidRPr="00EA112D">
          <w:rPr>
            <w:rStyle w:val="Hyperlink"/>
          </w:rPr>
          <w:t>Regulation of insulin pumps in Australia</w:t>
        </w:r>
        <w:r w:rsidR="00C04591">
          <w:rPr>
            <w:webHidden/>
          </w:rPr>
          <w:tab/>
        </w:r>
        <w:r w:rsidR="00C04591">
          <w:rPr>
            <w:webHidden/>
          </w:rPr>
          <w:fldChar w:fldCharType="begin"/>
        </w:r>
        <w:r w:rsidR="00C04591">
          <w:rPr>
            <w:webHidden/>
          </w:rPr>
          <w:instrText xml:space="preserve"> PAGEREF _Toc387664323 \h </w:instrText>
        </w:r>
        <w:r w:rsidR="00C04591">
          <w:rPr>
            <w:webHidden/>
          </w:rPr>
        </w:r>
        <w:r w:rsidR="00C04591">
          <w:rPr>
            <w:webHidden/>
          </w:rPr>
          <w:fldChar w:fldCharType="separate"/>
        </w:r>
        <w:r w:rsidR="001D27D3">
          <w:rPr>
            <w:webHidden/>
          </w:rPr>
          <w:t>28</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24" w:history="1">
        <w:r w:rsidR="00C04591" w:rsidRPr="00EA112D">
          <w:rPr>
            <w:rStyle w:val="Hyperlink"/>
          </w:rPr>
          <w:t>Part 3 Stakeholder consultation outcomes</w:t>
        </w:r>
        <w:r w:rsidR="00C04591">
          <w:rPr>
            <w:webHidden/>
          </w:rPr>
          <w:tab/>
        </w:r>
        <w:r w:rsidR="00C04591">
          <w:rPr>
            <w:webHidden/>
          </w:rPr>
          <w:fldChar w:fldCharType="begin"/>
        </w:r>
        <w:r w:rsidR="00C04591">
          <w:rPr>
            <w:webHidden/>
          </w:rPr>
          <w:instrText xml:space="preserve"> PAGEREF _Toc387664324 \h </w:instrText>
        </w:r>
        <w:r w:rsidR="00C04591">
          <w:rPr>
            <w:webHidden/>
          </w:rPr>
        </w:r>
        <w:r w:rsidR="00C04591">
          <w:rPr>
            <w:webHidden/>
          </w:rPr>
          <w:fldChar w:fldCharType="separate"/>
        </w:r>
        <w:r w:rsidR="001D27D3">
          <w:rPr>
            <w:webHidden/>
          </w:rPr>
          <w:t>30</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25" w:history="1">
        <w:r w:rsidR="00C04591" w:rsidRPr="00EA112D">
          <w:rPr>
            <w:rStyle w:val="Hyperlink"/>
          </w:rPr>
          <w:t>3.1</w:t>
        </w:r>
        <w:r w:rsidR="00C04591">
          <w:rPr>
            <w:rFonts w:asciiTheme="minorHAnsi" w:eastAsiaTheme="minorEastAsia" w:hAnsiTheme="minorHAnsi" w:cstheme="minorBidi"/>
            <w:sz w:val="22"/>
            <w:lang w:eastAsia="en-AU"/>
          </w:rPr>
          <w:tab/>
        </w:r>
        <w:r w:rsidR="00C04591" w:rsidRPr="00EA112D">
          <w:rPr>
            <w:rStyle w:val="Hyperlink"/>
          </w:rPr>
          <w:t>Public consultation processes</w:t>
        </w:r>
        <w:r w:rsidR="00C04591">
          <w:rPr>
            <w:webHidden/>
          </w:rPr>
          <w:tab/>
        </w:r>
        <w:r w:rsidR="00C04591">
          <w:rPr>
            <w:webHidden/>
          </w:rPr>
          <w:fldChar w:fldCharType="begin"/>
        </w:r>
        <w:r w:rsidR="00C04591">
          <w:rPr>
            <w:webHidden/>
          </w:rPr>
          <w:instrText xml:space="preserve"> PAGEREF _Toc387664325 \h </w:instrText>
        </w:r>
        <w:r w:rsidR="00C04591">
          <w:rPr>
            <w:webHidden/>
          </w:rPr>
        </w:r>
        <w:r w:rsidR="00C04591">
          <w:rPr>
            <w:webHidden/>
          </w:rPr>
          <w:fldChar w:fldCharType="separate"/>
        </w:r>
        <w:r w:rsidR="001D27D3">
          <w:rPr>
            <w:webHidden/>
          </w:rPr>
          <w:t>30</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26" w:history="1">
        <w:r w:rsidR="00C04591" w:rsidRPr="00EA112D">
          <w:rPr>
            <w:rStyle w:val="Hyperlink"/>
          </w:rPr>
          <w:t>3.2</w:t>
        </w:r>
        <w:r w:rsidR="00C04591">
          <w:rPr>
            <w:rFonts w:asciiTheme="minorHAnsi" w:eastAsiaTheme="minorEastAsia" w:hAnsiTheme="minorHAnsi" w:cstheme="minorBidi"/>
            <w:sz w:val="22"/>
            <w:lang w:eastAsia="en-AU"/>
          </w:rPr>
          <w:tab/>
        </w:r>
        <w:r w:rsidR="00C04591" w:rsidRPr="00EA112D">
          <w:rPr>
            <w:rStyle w:val="Hyperlink"/>
          </w:rPr>
          <w:t>Key issues raised in written submissions by stakeholders</w:t>
        </w:r>
        <w:r w:rsidR="00C04591">
          <w:rPr>
            <w:webHidden/>
          </w:rPr>
          <w:tab/>
        </w:r>
        <w:r w:rsidR="00C04591">
          <w:rPr>
            <w:webHidden/>
          </w:rPr>
          <w:fldChar w:fldCharType="begin"/>
        </w:r>
        <w:r w:rsidR="00C04591">
          <w:rPr>
            <w:webHidden/>
          </w:rPr>
          <w:instrText xml:space="preserve"> PAGEREF _Toc387664326 \h </w:instrText>
        </w:r>
        <w:r w:rsidR="00C04591">
          <w:rPr>
            <w:webHidden/>
          </w:rPr>
        </w:r>
        <w:r w:rsidR="00C04591">
          <w:rPr>
            <w:webHidden/>
          </w:rPr>
          <w:fldChar w:fldCharType="separate"/>
        </w:r>
        <w:r w:rsidR="001D27D3">
          <w:rPr>
            <w:webHidden/>
          </w:rPr>
          <w:t>30</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27" w:history="1">
        <w:r w:rsidR="00C04591" w:rsidRPr="00EA112D">
          <w:rPr>
            <w:rStyle w:val="Hyperlink"/>
          </w:rPr>
          <w:t>3.3</w:t>
        </w:r>
        <w:r w:rsidR="00C04591">
          <w:rPr>
            <w:rFonts w:asciiTheme="minorHAnsi" w:eastAsiaTheme="minorEastAsia" w:hAnsiTheme="minorHAnsi" w:cstheme="minorBidi"/>
            <w:sz w:val="22"/>
            <w:lang w:eastAsia="en-AU"/>
          </w:rPr>
          <w:tab/>
        </w:r>
        <w:r w:rsidR="00C04591" w:rsidRPr="00EA112D">
          <w:rPr>
            <w:rStyle w:val="Hyperlink"/>
          </w:rPr>
          <w:t>Key issues raised by stakeholders at the Stakeholder Forum</w:t>
        </w:r>
        <w:r w:rsidR="00C04591">
          <w:rPr>
            <w:webHidden/>
          </w:rPr>
          <w:tab/>
        </w:r>
        <w:r w:rsidR="00C04591">
          <w:rPr>
            <w:webHidden/>
          </w:rPr>
          <w:fldChar w:fldCharType="begin"/>
        </w:r>
        <w:r w:rsidR="00C04591">
          <w:rPr>
            <w:webHidden/>
          </w:rPr>
          <w:instrText xml:space="preserve"> PAGEREF _Toc387664327 \h </w:instrText>
        </w:r>
        <w:r w:rsidR="00C04591">
          <w:rPr>
            <w:webHidden/>
          </w:rPr>
        </w:r>
        <w:r w:rsidR="00C04591">
          <w:rPr>
            <w:webHidden/>
          </w:rPr>
          <w:fldChar w:fldCharType="separate"/>
        </w:r>
        <w:r w:rsidR="001D27D3">
          <w:rPr>
            <w:webHidden/>
          </w:rPr>
          <w:t>31</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28" w:history="1">
        <w:r w:rsidR="00C04591" w:rsidRPr="00EA112D">
          <w:rPr>
            <w:rStyle w:val="Hyperlink"/>
          </w:rPr>
          <w:t>3.4</w:t>
        </w:r>
        <w:r w:rsidR="00C04591">
          <w:rPr>
            <w:rFonts w:asciiTheme="minorHAnsi" w:eastAsiaTheme="minorEastAsia" w:hAnsiTheme="minorHAnsi" w:cstheme="minorBidi"/>
            <w:sz w:val="22"/>
            <w:lang w:eastAsia="en-AU"/>
          </w:rPr>
          <w:tab/>
        </w:r>
        <w:r w:rsidR="00C04591" w:rsidRPr="00EA112D">
          <w:rPr>
            <w:rStyle w:val="Hyperlink"/>
          </w:rPr>
          <w:t>Public consultation on the draft Insulin Pumps Review Report</w:t>
        </w:r>
        <w:r w:rsidR="00C04591">
          <w:rPr>
            <w:webHidden/>
          </w:rPr>
          <w:tab/>
        </w:r>
        <w:r w:rsidR="00C04591">
          <w:rPr>
            <w:webHidden/>
          </w:rPr>
          <w:fldChar w:fldCharType="begin"/>
        </w:r>
        <w:r w:rsidR="00C04591">
          <w:rPr>
            <w:webHidden/>
          </w:rPr>
          <w:instrText xml:space="preserve"> PAGEREF _Toc387664328 \h </w:instrText>
        </w:r>
        <w:r w:rsidR="00C04591">
          <w:rPr>
            <w:webHidden/>
          </w:rPr>
        </w:r>
        <w:r w:rsidR="00C04591">
          <w:rPr>
            <w:webHidden/>
          </w:rPr>
          <w:fldChar w:fldCharType="separate"/>
        </w:r>
        <w:r w:rsidR="001D27D3">
          <w:rPr>
            <w:webHidden/>
          </w:rPr>
          <w:t>32</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29" w:history="1">
        <w:r w:rsidR="00C04591" w:rsidRPr="00EA112D">
          <w:rPr>
            <w:rStyle w:val="Hyperlink"/>
          </w:rPr>
          <w:t>3.5</w:t>
        </w:r>
        <w:r w:rsidR="00C04591">
          <w:rPr>
            <w:rFonts w:asciiTheme="minorHAnsi" w:eastAsiaTheme="minorEastAsia" w:hAnsiTheme="minorHAnsi" w:cstheme="minorBidi"/>
            <w:sz w:val="22"/>
            <w:lang w:eastAsia="en-AU"/>
          </w:rPr>
          <w:tab/>
        </w:r>
        <w:r w:rsidR="00C04591" w:rsidRPr="00EA112D">
          <w:rPr>
            <w:rStyle w:val="Hyperlink"/>
          </w:rPr>
          <w:t>Internal Working Group</w:t>
        </w:r>
        <w:r w:rsidR="00C04591">
          <w:rPr>
            <w:webHidden/>
          </w:rPr>
          <w:tab/>
        </w:r>
        <w:r w:rsidR="00C04591">
          <w:rPr>
            <w:webHidden/>
          </w:rPr>
          <w:fldChar w:fldCharType="begin"/>
        </w:r>
        <w:r w:rsidR="00C04591">
          <w:rPr>
            <w:webHidden/>
          </w:rPr>
          <w:instrText xml:space="preserve"> PAGEREF _Toc387664329 \h </w:instrText>
        </w:r>
        <w:r w:rsidR="00C04591">
          <w:rPr>
            <w:webHidden/>
          </w:rPr>
        </w:r>
        <w:r w:rsidR="00C04591">
          <w:rPr>
            <w:webHidden/>
          </w:rPr>
          <w:fldChar w:fldCharType="separate"/>
        </w:r>
        <w:r w:rsidR="001D27D3">
          <w:rPr>
            <w:webHidden/>
          </w:rPr>
          <w:t>32</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30" w:history="1">
        <w:r w:rsidR="00C04591" w:rsidRPr="00EA112D">
          <w:rPr>
            <w:rStyle w:val="Hyperlink"/>
          </w:rPr>
          <w:t>3.6</w:t>
        </w:r>
        <w:r w:rsidR="00C04591">
          <w:rPr>
            <w:rFonts w:asciiTheme="minorHAnsi" w:eastAsiaTheme="minorEastAsia" w:hAnsiTheme="minorHAnsi" w:cstheme="minorBidi"/>
            <w:sz w:val="22"/>
            <w:lang w:eastAsia="en-AU"/>
          </w:rPr>
          <w:tab/>
        </w:r>
        <w:r w:rsidR="00C04591" w:rsidRPr="00EA112D">
          <w:rPr>
            <w:rStyle w:val="Hyperlink"/>
          </w:rPr>
          <w:t>Reference Group</w:t>
        </w:r>
        <w:r w:rsidR="00C04591">
          <w:rPr>
            <w:webHidden/>
          </w:rPr>
          <w:tab/>
        </w:r>
        <w:r w:rsidR="00C04591">
          <w:rPr>
            <w:webHidden/>
          </w:rPr>
          <w:fldChar w:fldCharType="begin"/>
        </w:r>
        <w:r w:rsidR="00C04591">
          <w:rPr>
            <w:webHidden/>
          </w:rPr>
          <w:instrText xml:space="preserve"> PAGEREF _Toc387664330 \h </w:instrText>
        </w:r>
        <w:r w:rsidR="00C04591">
          <w:rPr>
            <w:webHidden/>
          </w:rPr>
        </w:r>
        <w:r w:rsidR="00C04591">
          <w:rPr>
            <w:webHidden/>
          </w:rPr>
          <w:fldChar w:fldCharType="separate"/>
        </w:r>
        <w:r w:rsidR="001D27D3">
          <w:rPr>
            <w:webHidden/>
          </w:rPr>
          <w:t>32</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31" w:history="1">
        <w:r w:rsidR="00C04591" w:rsidRPr="00EA112D">
          <w:rPr>
            <w:rStyle w:val="Hyperlink"/>
          </w:rPr>
          <w:t>3.7</w:t>
        </w:r>
        <w:r w:rsidR="00C04591">
          <w:rPr>
            <w:rFonts w:asciiTheme="minorHAnsi" w:eastAsiaTheme="minorEastAsia" w:hAnsiTheme="minorHAnsi" w:cstheme="minorBidi"/>
            <w:sz w:val="22"/>
            <w:lang w:eastAsia="en-AU"/>
          </w:rPr>
          <w:tab/>
        </w:r>
        <w:r w:rsidR="00C04591" w:rsidRPr="00EA112D">
          <w:rPr>
            <w:rStyle w:val="Hyperlink"/>
          </w:rPr>
          <w:t>Advice from the Australasian Paediatric Endocrine Group (APEG)</w:t>
        </w:r>
        <w:r w:rsidR="00C04591">
          <w:rPr>
            <w:webHidden/>
          </w:rPr>
          <w:tab/>
        </w:r>
        <w:r w:rsidR="00C04591">
          <w:rPr>
            <w:webHidden/>
          </w:rPr>
          <w:fldChar w:fldCharType="begin"/>
        </w:r>
        <w:r w:rsidR="00C04591">
          <w:rPr>
            <w:webHidden/>
          </w:rPr>
          <w:instrText xml:space="preserve"> PAGEREF _Toc387664331 \h </w:instrText>
        </w:r>
        <w:r w:rsidR="00C04591">
          <w:rPr>
            <w:webHidden/>
          </w:rPr>
        </w:r>
        <w:r w:rsidR="00C04591">
          <w:rPr>
            <w:webHidden/>
          </w:rPr>
          <w:fldChar w:fldCharType="separate"/>
        </w:r>
        <w:r w:rsidR="001D27D3">
          <w:rPr>
            <w:webHidden/>
          </w:rPr>
          <w:t>33</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32" w:history="1">
        <w:r w:rsidR="00C04591" w:rsidRPr="00EA112D">
          <w:rPr>
            <w:rStyle w:val="Hyperlink"/>
          </w:rPr>
          <w:t>Part 4 – ToR 8 Benefits and safety of insulin pump therapy</w:t>
        </w:r>
        <w:r w:rsidR="00C04591">
          <w:rPr>
            <w:webHidden/>
          </w:rPr>
          <w:tab/>
        </w:r>
        <w:r w:rsidR="00C04591">
          <w:rPr>
            <w:webHidden/>
          </w:rPr>
          <w:fldChar w:fldCharType="begin"/>
        </w:r>
        <w:r w:rsidR="00C04591">
          <w:rPr>
            <w:webHidden/>
          </w:rPr>
          <w:instrText xml:space="preserve"> PAGEREF _Toc387664332 \h </w:instrText>
        </w:r>
        <w:r w:rsidR="00C04591">
          <w:rPr>
            <w:webHidden/>
          </w:rPr>
        </w:r>
        <w:r w:rsidR="00C04591">
          <w:rPr>
            <w:webHidden/>
          </w:rPr>
          <w:fldChar w:fldCharType="separate"/>
        </w:r>
        <w:r w:rsidR="001D27D3">
          <w:rPr>
            <w:webHidden/>
          </w:rPr>
          <w:t>34</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33" w:history="1">
        <w:r w:rsidR="00C04591" w:rsidRPr="00EA112D">
          <w:rPr>
            <w:rStyle w:val="Hyperlink"/>
          </w:rPr>
          <w:t>4.1</w:t>
        </w:r>
        <w:r w:rsidR="00C04591">
          <w:rPr>
            <w:rFonts w:asciiTheme="minorHAnsi" w:eastAsiaTheme="minorEastAsia" w:hAnsiTheme="minorHAnsi" w:cstheme="minorBidi"/>
            <w:sz w:val="22"/>
            <w:lang w:eastAsia="en-AU"/>
          </w:rPr>
          <w:tab/>
        </w:r>
        <w:r w:rsidR="00C04591" w:rsidRPr="00EA112D">
          <w:rPr>
            <w:rStyle w:val="Hyperlink"/>
          </w:rPr>
          <w:t>Key findings for ToR 8</w:t>
        </w:r>
        <w:r w:rsidR="00C04591">
          <w:rPr>
            <w:webHidden/>
          </w:rPr>
          <w:tab/>
        </w:r>
        <w:r w:rsidR="00C04591">
          <w:rPr>
            <w:webHidden/>
          </w:rPr>
          <w:fldChar w:fldCharType="begin"/>
        </w:r>
        <w:r w:rsidR="00C04591">
          <w:rPr>
            <w:webHidden/>
          </w:rPr>
          <w:instrText xml:space="preserve"> PAGEREF _Toc387664333 \h </w:instrText>
        </w:r>
        <w:r w:rsidR="00C04591">
          <w:rPr>
            <w:webHidden/>
          </w:rPr>
        </w:r>
        <w:r w:rsidR="00C04591">
          <w:rPr>
            <w:webHidden/>
          </w:rPr>
          <w:fldChar w:fldCharType="separate"/>
        </w:r>
        <w:r w:rsidR="001D27D3">
          <w:rPr>
            <w:webHidden/>
          </w:rPr>
          <w:t>34</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34" w:history="1">
        <w:r w:rsidR="00C04591" w:rsidRPr="00EA112D">
          <w:rPr>
            <w:rStyle w:val="Hyperlink"/>
          </w:rPr>
          <w:t>4.2</w:t>
        </w:r>
        <w:r w:rsidR="00C04591">
          <w:rPr>
            <w:rFonts w:asciiTheme="minorHAnsi" w:eastAsiaTheme="minorEastAsia" w:hAnsiTheme="minorHAnsi" w:cstheme="minorBidi"/>
            <w:sz w:val="22"/>
            <w:lang w:eastAsia="en-AU"/>
          </w:rPr>
          <w:tab/>
        </w:r>
        <w:r w:rsidR="00C04591" w:rsidRPr="00EA112D">
          <w:rPr>
            <w:rStyle w:val="Hyperlink"/>
          </w:rPr>
          <w:t>Introduction</w:t>
        </w:r>
        <w:r w:rsidR="00C04591">
          <w:rPr>
            <w:webHidden/>
          </w:rPr>
          <w:tab/>
        </w:r>
        <w:r w:rsidR="00C04591">
          <w:rPr>
            <w:webHidden/>
          </w:rPr>
          <w:fldChar w:fldCharType="begin"/>
        </w:r>
        <w:r w:rsidR="00C04591">
          <w:rPr>
            <w:webHidden/>
          </w:rPr>
          <w:instrText xml:space="preserve"> PAGEREF _Toc387664334 \h </w:instrText>
        </w:r>
        <w:r w:rsidR="00C04591">
          <w:rPr>
            <w:webHidden/>
          </w:rPr>
        </w:r>
        <w:r w:rsidR="00C04591">
          <w:rPr>
            <w:webHidden/>
          </w:rPr>
          <w:fldChar w:fldCharType="separate"/>
        </w:r>
        <w:r w:rsidR="001D27D3">
          <w:rPr>
            <w:webHidden/>
          </w:rPr>
          <w:t>36</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35" w:history="1">
        <w:r w:rsidR="00C04591" w:rsidRPr="00EA112D">
          <w:rPr>
            <w:rStyle w:val="Hyperlink"/>
          </w:rPr>
          <w:t>4.3</w:t>
        </w:r>
        <w:r w:rsidR="00C04591">
          <w:rPr>
            <w:rFonts w:asciiTheme="minorHAnsi" w:eastAsiaTheme="minorEastAsia" w:hAnsiTheme="minorHAnsi" w:cstheme="minorBidi"/>
            <w:sz w:val="22"/>
            <w:lang w:eastAsia="en-AU"/>
          </w:rPr>
          <w:tab/>
        </w:r>
        <w:r w:rsidR="00C04591" w:rsidRPr="00EA112D">
          <w:rPr>
            <w:rStyle w:val="Hyperlink"/>
          </w:rPr>
          <w:t>First literature review: Randomised controlled trials (RCTs)</w:t>
        </w:r>
        <w:r w:rsidR="00C04591">
          <w:rPr>
            <w:webHidden/>
          </w:rPr>
          <w:tab/>
        </w:r>
        <w:r w:rsidR="00C04591">
          <w:rPr>
            <w:webHidden/>
          </w:rPr>
          <w:fldChar w:fldCharType="begin"/>
        </w:r>
        <w:r w:rsidR="00C04591">
          <w:rPr>
            <w:webHidden/>
          </w:rPr>
          <w:instrText xml:space="preserve"> PAGEREF _Toc387664335 \h </w:instrText>
        </w:r>
        <w:r w:rsidR="00C04591">
          <w:rPr>
            <w:webHidden/>
          </w:rPr>
        </w:r>
        <w:r w:rsidR="00C04591">
          <w:rPr>
            <w:webHidden/>
          </w:rPr>
          <w:fldChar w:fldCharType="separate"/>
        </w:r>
        <w:r w:rsidR="001D27D3">
          <w:rPr>
            <w:webHidden/>
          </w:rPr>
          <w:t>37</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36" w:history="1">
        <w:r w:rsidR="00C04591" w:rsidRPr="00EA112D">
          <w:rPr>
            <w:rStyle w:val="Hyperlink"/>
          </w:rPr>
          <w:t>4.4</w:t>
        </w:r>
        <w:r w:rsidR="00C04591">
          <w:rPr>
            <w:rFonts w:asciiTheme="minorHAnsi" w:eastAsiaTheme="minorEastAsia" w:hAnsiTheme="minorHAnsi" w:cstheme="minorBidi"/>
            <w:sz w:val="22"/>
            <w:lang w:eastAsia="en-AU"/>
          </w:rPr>
          <w:tab/>
        </w:r>
        <w:r w:rsidR="00C04591" w:rsidRPr="00EA112D">
          <w:rPr>
            <w:rStyle w:val="Hyperlink"/>
          </w:rPr>
          <w:t>Second literature review: Observational studies</w:t>
        </w:r>
        <w:r w:rsidR="00C04591">
          <w:rPr>
            <w:webHidden/>
          </w:rPr>
          <w:tab/>
        </w:r>
        <w:r w:rsidR="00C04591">
          <w:rPr>
            <w:webHidden/>
          </w:rPr>
          <w:fldChar w:fldCharType="begin"/>
        </w:r>
        <w:r w:rsidR="00C04591">
          <w:rPr>
            <w:webHidden/>
          </w:rPr>
          <w:instrText xml:space="preserve"> PAGEREF _Toc387664336 \h </w:instrText>
        </w:r>
        <w:r w:rsidR="00C04591">
          <w:rPr>
            <w:webHidden/>
          </w:rPr>
        </w:r>
        <w:r w:rsidR="00C04591">
          <w:rPr>
            <w:webHidden/>
          </w:rPr>
          <w:fldChar w:fldCharType="separate"/>
        </w:r>
        <w:r w:rsidR="001D27D3">
          <w:rPr>
            <w:webHidden/>
          </w:rPr>
          <w:t>42</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37" w:history="1">
        <w:r w:rsidR="00C04591" w:rsidRPr="00EA112D">
          <w:rPr>
            <w:rStyle w:val="Hyperlink"/>
          </w:rPr>
          <w:t>4.5</w:t>
        </w:r>
        <w:r w:rsidR="00C04591">
          <w:rPr>
            <w:rFonts w:asciiTheme="minorHAnsi" w:eastAsiaTheme="minorEastAsia" w:hAnsiTheme="minorHAnsi" w:cstheme="minorBidi"/>
            <w:sz w:val="22"/>
            <w:lang w:eastAsia="en-AU"/>
          </w:rPr>
          <w:tab/>
        </w:r>
        <w:r w:rsidR="00C04591" w:rsidRPr="00EA112D">
          <w:rPr>
            <w:rStyle w:val="Hyperlink"/>
          </w:rPr>
          <w:t>Recent additional evidence</w:t>
        </w:r>
        <w:r w:rsidR="00C04591">
          <w:rPr>
            <w:webHidden/>
          </w:rPr>
          <w:tab/>
        </w:r>
        <w:r w:rsidR="00C04591">
          <w:rPr>
            <w:webHidden/>
          </w:rPr>
          <w:fldChar w:fldCharType="begin"/>
        </w:r>
        <w:r w:rsidR="00C04591">
          <w:rPr>
            <w:webHidden/>
          </w:rPr>
          <w:instrText xml:space="preserve"> PAGEREF _Toc387664337 \h </w:instrText>
        </w:r>
        <w:r w:rsidR="00C04591">
          <w:rPr>
            <w:webHidden/>
          </w:rPr>
        </w:r>
        <w:r w:rsidR="00C04591">
          <w:rPr>
            <w:webHidden/>
          </w:rPr>
          <w:fldChar w:fldCharType="separate"/>
        </w:r>
        <w:r w:rsidR="001D27D3">
          <w:rPr>
            <w:webHidden/>
          </w:rPr>
          <w:t>46</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38" w:history="1">
        <w:r w:rsidR="00C04591" w:rsidRPr="00EA112D">
          <w:rPr>
            <w:rStyle w:val="Hyperlink"/>
          </w:rPr>
          <w:t>4.6</w:t>
        </w:r>
        <w:r w:rsidR="00C04591">
          <w:rPr>
            <w:rFonts w:asciiTheme="minorHAnsi" w:eastAsiaTheme="minorEastAsia" w:hAnsiTheme="minorHAnsi" w:cstheme="minorBidi"/>
            <w:sz w:val="22"/>
            <w:lang w:eastAsia="en-AU"/>
          </w:rPr>
          <w:tab/>
        </w:r>
        <w:r w:rsidR="00C04591" w:rsidRPr="00EA112D">
          <w:rPr>
            <w:rStyle w:val="Hyperlink"/>
          </w:rPr>
          <w:t>Potential safety risks associated with insulin pump therapy</w:t>
        </w:r>
        <w:r w:rsidR="00C04591">
          <w:rPr>
            <w:webHidden/>
          </w:rPr>
          <w:tab/>
        </w:r>
        <w:r w:rsidR="00C04591">
          <w:rPr>
            <w:webHidden/>
          </w:rPr>
          <w:fldChar w:fldCharType="begin"/>
        </w:r>
        <w:r w:rsidR="00C04591">
          <w:rPr>
            <w:webHidden/>
          </w:rPr>
          <w:instrText xml:space="preserve"> PAGEREF _Toc387664338 \h </w:instrText>
        </w:r>
        <w:r w:rsidR="00C04591">
          <w:rPr>
            <w:webHidden/>
          </w:rPr>
        </w:r>
        <w:r w:rsidR="00C04591">
          <w:rPr>
            <w:webHidden/>
          </w:rPr>
          <w:fldChar w:fldCharType="separate"/>
        </w:r>
        <w:r w:rsidR="001D27D3">
          <w:rPr>
            <w:webHidden/>
          </w:rPr>
          <w:t>47</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39" w:history="1">
        <w:r w:rsidR="00C04591" w:rsidRPr="00EA112D">
          <w:rPr>
            <w:rStyle w:val="Hyperlink"/>
          </w:rPr>
          <w:t>4.7</w:t>
        </w:r>
        <w:r w:rsidR="00C04591">
          <w:rPr>
            <w:rFonts w:asciiTheme="minorHAnsi" w:eastAsiaTheme="minorEastAsia" w:hAnsiTheme="minorHAnsi" w:cstheme="minorBidi"/>
            <w:sz w:val="22"/>
            <w:lang w:eastAsia="en-AU"/>
          </w:rPr>
          <w:tab/>
        </w:r>
        <w:r w:rsidR="00C04591" w:rsidRPr="00EA112D">
          <w:rPr>
            <w:rStyle w:val="Hyperlink"/>
          </w:rPr>
          <w:t>Potential safety risks associated with multiple daily injections</w:t>
        </w:r>
        <w:r w:rsidR="00C04591">
          <w:rPr>
            <w:webHidden/>
          </w:rPr>
          <w:tab/>
        </w:r>
        <w:r w:rsidR="00C04591">
          <w:rPr>
            <w:webHidden/>
          </w:rPr>
          <w:fldChar w:fldCharType="begin"/>
        </w:r>
        <w:r w:rsidR="00C04591">
          <w:rPr>
            <w:webHidden/>
          </w:rPr>
          <w:instrText xml:space="preserve"> PAGEREF _Toc387664339 \h </w:instrText>
        </w:r>
        <w:r w:rsidR="00C04591">
          <w:rPr>
            <w:webHidden/>
          </w:rPr>
        </w:r>
        <w:r w:rsidR="00C04591">
          <w:rPr>
            <w:webHidden/>
          </w:rPr>
          <w:fldChar w:fldCharType="separate"/>
        </w:r>
        <w:r w:rsidR="001D27D3">
          <w:rPr>
            <w:webHidden/>
          </w:rPr>
          <w:t>48</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40" w:history="1">
        <w:r w:rsidR="00C04591" w:rsidRPr="00EA112D">
          <w:rPr>
            <w:rStyle w:val="Hyperlink"/>
          </w:rPr>
          <w:t>Part 5 – ToR 9 Costs and comparative effectiveness of insulin pumps</w:t>
        </w:r>
        <w:r w:rsidR="00C04591">
          <w:rPr>
            <w:webHidden/>
          </w:rPr>
          <w:tab/>
        </w:r>
        <w:r w:rsidR="00C04591">
          <w:rPr>
            <w:webHidden/>
          </w:rPr>
          <w:fldChar w:fldCharType="begin"/>
        </w:r>
        <w:r w:rsidR="00C04591">
          <w:rPr>
            <w:webHidden/>
          </w:rPr>
          <w:instrText xml:space="preserve"> PAGEREF _Toc387664340 \h </w:instrText>
        </w:r>
        <w:r w:rsidR="00C04591">
          <w:rPr>
            <w:webHidden/>
          </w:rPr>
        </w:r>
        <w:r w:rsidR="00C04591">
          <w:rPr>
            <w:webHidden/>
          </w:rPr>
          <w:fldChar w:fldCharType="separate"/>
        </w:r>
        <w:r w:rsidR="001D27D3">
          <w:rPr>
            <w:webHidden/>
          </w:rPr>
          <w:t>49</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41" w:history="1">
        <w:r w:rsidR="00C04591" w:rsidRPr="00EA112D">
          <w:rPr>
            <w:rStyle w:val="Hyperlink"/>
          </w:rPr>
          <w:t>5.1</w:t>
        </w:r>
        <w:r w:rsidR="00C04591">
          <w:rPr>
            <w:rFonts w:asciiTheme="minorHAnsi" w:eastAsiaTheme="minorEastAsia" w:hAnsiTheme="minorHAnsi" w:cstheme="minorBidi"/>
            <w:sz w:val="22"/>
            <w:lang w:eastAsia="en-AU"/>
          </w:rPr>
          <w:tab/>
        </w:r>
        <w:r w:rsidR="00C04591" w:rsidRPr="00EA112D">
          <w:rPr>
            <w:rStyle w:val="Hyperlink"/>
          </w:rPr>
          <w:t>Key findings for ToR 9</w:t>
        </w:r>
        <w:r w:rsidR="00C04591">
          <w:rPr>
            <w:webHidden/>
          </w:rPr>
          <w:tab/>
        </w:r>
        <w:r w:rsidR="00C04591">
          <w:rPr>
            <w:webHidden/>
          </w:rPr>
          <w:fldChar w:fldCharType="begin"/>
        </w:r>
        <w:r w:rsidR="00C04591">
          <w:rPr>
            <w:webHidden/>
          </w:rPr>
          <w:instrText xml:space="preserve"> PAGEREF _Toc387664341 \h </w:instrText>
        </w:r>
        <w:r w:rsidR="00C04591">
          <w:rPr>
            <w:webHidden/>
          </w:rPr>
        </w:r>
        <w:r w:rsidR="00C04591">
          <w:rPr>
            <w:webHidden/>
          </w:rPr>
          <w:fldChar w:fldCharType="separate"/>
        </w:r>
        <w:r w:rsidR="001D27D3">
          <w:rPr>
            <w:webHidden/>
          </w:rPr>
          <w:t>49</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42" w:history="1">
        <w:r w:rsidR="00C04591" w:rsidRPr="00EA112D">
          <w:rPr>
            <w:rStyle w:val="Hyperlink"/>
          </w:rPr>
          <w:t>5.2</w:t>
        </w:r>
        <w:r w:rsidR="00C04591">
          <w:rPr>
            <w:rFonts w:asciiTheme="minorHAnsi" w:eastAsiaTheme="minorEastAsia" w:hAnsiTheme="minorHAnsi" w:cstheme="minorBidi"/>
            <w:sz w:val="22"/>
            <w:lang w:eastAsia="en-AU"/>
          </w:rPr>
          <w:tab/>
        </w:r>
        <w:r w:rsidR="00C04591" w:rsidRPr="00EA112D">
          <w:rPr>
            <w:rStyle w:val="Hyperlink"/>
          </w:rPr>
          <w:t>Introduction</w:t>
        </w:r>
        <w:r w:rsidR="00C04591">
          <w:rPr>
            <w:webHidden/>
          </w:rPr>
          <w:tab/>
        </w:r>
        <w:r w:rsidR="00C04591">
          <w:rPr>
            <w:webHidden/>
          </w:rPr>
          <w:fldChar w:fldCharType="begin"/>
        </w:r>
        <w:r w:rsidR="00C04591">
          <w:rPr>
            <w:webHidden/>
          </w:rPr>
          <w:instrText xml:space="preserve"> PAGEREF _Toc387664342 \h </w:instrText>
        </w:r>
        <w:r w:rsidR="00C04591">
          <w:rPr>
            <w:webHidden/>
          </w:rPr>
        </w:r>
        <w:r w:rsidR="00C04591">
          <w:rPr>
            <w:webHidden/>
          </w:rPr>
          <w:fldChar w:fldCharType="separate"/>
        </w:r>
        <w:r w:rsidR="001D27D3">
          <w:rPr>
            <w:webHidden/>
          </w:rPr>
          <w:t>51</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43" w:history="1">
        <w:r w:rsidR="00C04591" w:rsidRPr="00EA112D">
          <w:rPr>
            <w:rStyle w:val="Hyperlink"/>
          </w:rPr>
          <w:t>5.3</w:t>
        </w:r>
        <w:r w:rsidR="00C04591">
          <w:rPr>
            <w:rFonts w:asciiTheme="minorHAnsi" w:eastAsiaTheme="minorEastAsia" w:hAnsiTheme="minorHAnsi" w:cstheme="minorBidi"/>
            <w:sz w:val="22"/>
            <w:lang w:eastAsia="en-AU"/>
          </w:rPr>
          <w:tab/>
        </w:r>
        <w:r w:rsidR="00C04591" w:rsidRPr="00EA112D">
          <w:rPr>
            <w:rStyle w:val="Hyperlink"/>
          </w:rPr>
          <w:t>Effectiveness of insulin pumps available under the Insulin Pump Programme</w:t>
        </w:r>
        <w:r w:rsidR="00C04591">
          <w:rPr>
            <w:webHidden/>
          </w:rPr>
          <w:tab/>
        </w:r>
        <w:r w:rsidR="00C04591">
          <w:rPr>
            <w:webHidden/>
          </w:rPr>
          <w:fldChar w:fldCharType="begin"/>
        </w:r>
        <w:r w:rsidR="00C04591">
          <w:rPr>
            <w:webHidden/>
          </w:rPr>
          <w:instrText xml:space="preserve"> PAGEREF _Toc387664343 \h </w:instrText>
        </w:r>
        <w:r w:rsidR="00C04591">
          <w:rPr>
            <w:webHidden/>
          </w:rPr>
        </w:r>
        <w:r w:rsidR="00C04591">
          <w:rPr>
            <w:webHidden/>
          </w:rPr>
          <w:fldChar w:fldCharType="separate"/>
        </w:r>
        <w:r w:rsidR="001D27D3">
          <w:rPr>
            <w:webHidden/>
          </w:rPr>
          <w:t>52</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44" w:history="1">
        <w:r w:rsidR="00C04591" w:rsidRPr="00EA112D">
          <w:rPr>
            <w:rStyle w:val="Hyperlink"/>
          </w:rPr>
          <w:t>5.4</w:t>
        </w:r>
        <w:r w:rsidR="00C04591">
          <w:rPr>
            <w:rFonts w:asciiTheme="minorHAnsi" w:eastAsiaTheme="minorEastAsia" w:hAnsiTheme="minorHAnsi" w:cstheme="minorBidi"/>
            <w:sz w:val="22"/>
            <w:lang w:eastAsia="en-AU"/>
          </w:rPr>
          <w:tab/>
        </w:r>
        <w:r w:rsidR="00C04591" w:rsidRPr="00EA112D">
          <w:rPr>
            <w:rStyle w:val="Hyperlink"/>
          </w:rPr>
          <w:t>Cost of insulin pump therapy</w:t>
        </w:r>
        <w:r w:rsidR="00C04591">
          <w:rPr>
            <w:webHidden/>
          </w:rPr>
          <w:tab/>
        </w:r>
        <w:r w:rsidR="00C04591">
          <w:rPr>
            <w:webHidden/>
          </w:rPr>
          <w:fldChar w:fldCharType="begin"/>
        </w:r>
        <w:r w:rsidR="00C04591">
          <w:rPr>
            <w:webHidden/>
          </w:rPr>
          <w:instrText xml:space="preserve"> PAGEREF _Toc387664344 \h </w:instrText>
        </w:r>
        <w:r w:rsidR="00C04591">
          <w:rPr>
            <w:webHidden/>
          </w:rPr>
        </w:r>
        <w:r w:rsidR="00C04591">
          <w:rPr>
            <w:webHidden/>
          </w:rPr>
          <w:fldChar w:fldCharType="separate"/>
        </w:r>
        <w:r w:rsidR="001D27D3">
          <w:rPr>
            <w:webHidden/>
          </w:rPr>
          <w:t>53</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45" w:history="1">
        <w:r w:rsidR="00C04591" w:rsidRPr="00EA112D">
          <w:rPr>
            <w:rStyle w:val="Hyperlink"/>
          </w:rPr>
          <w:t>5.5</w:t>
        </w:r>
        <w:r w:rsidR="00C04591">
          <w:rPr>
            <w:rFonts w:asciiTheme="minorHAnsi" w:eastAsiaTheme="minorEastAsia" w:hAnsiTheme="minorHAnsi" w:cstheme="minorBidi"/>
            <w:sz w:val="22"/>
            <w:lang w:eastAsia="en-AU"/>
          </w:rPr>
          <w:tab/>
        </w:r>
        <w:r w:rsidR="00C04591" w:rsidRPr="00EA112D">
          <w:rPr>
            <w:rStyle w:val="Hyperlink"/>
          </w:rPr>
          <w:t>Insulin pump use under the Programme</w:t>
        </w:r>
        <w:r w:rsidR="00C04591">
          <w:rPr>
            <w:webHidden/>
          </w:rPr>
          <w:tab/>
        </w:r>
        <w:r w:rsidR="00C04591">
          <w:rPr>
            <w:webHidden/>
          </w:rPr>
          <w:fldChar w:fldCharType="begin"/>
        </w:r>
        <w:r w:rsidR="00C04591">
          <w:rPr>
            <w:webHidden/>
          </w:rPr>
          <w:instrText xml:space="preserve"> PAGEREF _Toc387664345 \h </w:instrText>
        </w:r>
        <w:r w:rsidR="00C04591">
          <w:rPr>
            <w:webHidden/>
          </w:rPr>
        </w:r>
        <w:r w:rsidR="00C04591">
          <w:rPr>
            <w:webHidden/>
          </w:rPr>
          <w:fldChar w:fldCharType="separate"/>
        </w:r>
        <w:r w:rsidR="001D27D3">
          <w:rPr>
            <w:webHidden/>
          </w:rPr>
          <w:t>57</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46" w:history="1">
        <w:r w:rsidR="00C04591" w:rsidRPr="00EA112D">
          <w:rPr>
            <w:rStyle w:val="Hyperlink"/>
          </w:rPr>
          <w:t>5.6</w:t>
        </w:r>
        <w:r w:rsidR="00C04591">
          <w:rPr>
            <w:rFonts w:asciiTheme="minorHAnsi" w:eastAsiaTheme="minorEastAsia" w:hAnsiTheme="minorHAnsi" w:cstheme="minorBidi"/>
            <w:sz w:val="22"/>
            <w:lang w:eastAsia="en-AU"/>
          </w:rPr>
          <w:tab/>
        </w:r>
        <w:r w:rsidR="00C04591" w:rsidRPr="00EA112D">
          <w:rPr>
            <w:rStyle w:val="Hyperlink"/>
          </w:rPr>
          <w:t>Issues identified</w:t>
        </w:r>
        <w:r w:rsidR="00C04591">
          <w:rPr>
            <w:webHidden/>
          </w:rPr>
          <w:tab/>
        </w:r>
        <w:r w:rsidR="00C04591">
          <w:rPr>
            <w:webHidden/>
          </w:rPr>
          <w:fldChar w:fldCharType="begin"/>
        </w:r>
        <w:r w:rsidR="00C04591">
          <w:rPr>
            <w:webHidden/>
          </w:rPr>
          <w:instrText xml:space="preserve"> PAGEREF _Toc387664346 \h </w:instrText>
        </w:r>
        <w:r w:rsidR="00C04591">
          <w:rPr>
            <w:webHidden/>
          </w:rPr>
        </w:r>
        <w:r w:rsidR="00C04591">
          <w:rPr>
            <w:webHidden/>
          </w:rPr>
          <w:fldChar w:fldCharType="separate"/>
        </w:r>
        <w:r w:rsidR="001D27D3">
          <w:rPr>
            <w:webHidden/>
          </w:rPr>
          <w:t>60</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47" w:history="1">
        <w:r w:rsidR="00C04591" w:rsidRPr="00EA112D">
          <w:rPr>
            <w:rStyle w:val="Hyperlink"/>
          </w:rPr>
          <w:t>Part 6 – ToR 10 Programme eligibility criteria</w:t>
        </w:r>
        <w:r w:rsidR="00C04591">
          <w:rPr>
            <w:webHidden/>
          </w:rPr>
          <w:tab/>
        </w:r>
        <w:r w:rsidR="00C04591">
          <w:rPr>
            <w:webHidden/>
          </w:rPr>
          <w:fldChar w:fldCharType="begin"/>
        </w:r>
        <w:r w:rsidR="00C04591">
          <w:rPr>
            <w:webHidden/>
          </w:rPr>
          <w:instrText xml:space="preserve"> PAGEREF _Toc387664347 \h </w:instrText>
        </w:r>
        <w:r w:rsidR="00C04591">
          <w:rPr>
            <w:webHidden/>
          </w:rPr>
        </w:r>
        <w:r w:rsidR="00C04591">
          <w:rPr>
            <w:webHidden/>
          </w:rPr>
          <w:fldChar w:fldCharType="separate"/>
        </w:r>
        <w:r w:rsidR="001D27D3">
          <w:rPr>
            <w:webHidden/>
          </w:rPr>
          <w:t>62</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48" w:history="1">
        <w:r w:rsidR="00C04591" w:rsidRPr="00EA112D">
          <w:rPr>
            <w:rStyle w:val="Hyperlink"/>
          </w:rPr>
          <w:t>6.1</w:t>
        </w:r>
        <w:r w:rsidR="00C04591">
          <w:rPr>
            <w:rFonts w:asciiTheme="minorHAnsi" w:eastAsiaTheme="minorEastAsia" w:hAnsiTheme="minorHAnsi" w:cstheme="minorBidi"/>
            <w:sz w:val="22"/>
            <w:lang w:eastAsia="en-AU"/>
          </w:rPr>
          <w:tab/>
        </w:r>
        <w:r w:rsidR="00C04591" w:rsidRPr="00EA112D">
          <w:rPr>
            <w:rStyle w:val="Hyperlink"/>
          </w:rPr>
          <w:t>Key findings for ToR 10</w:t>
        </w:r>
        <w:r w:rsidR="00C04591">
          <w:rPr>
            <w:webHidden/>
          </w:rPr>
          <w:tab/>
        </w:r>
        <w:r w:rsidR="00C04591">
          <w:rPr>
            <w:webHidden/>
          </w:rPr>
          <w:fldChar w:fldCharType="begin"/>
        </w:r>
        <w:r w:rsidR="00C04591">
          <w:rPr>
            <w:webHidden/>
          </w:rPr>
          <w:instrText xml:space="preserve"> PAGEREF _Toc387664348 \h </w:instrText>
        </w:r>
        <w:r w:rsidR="00C04591">
          <w:rPr>
            <w:webHidden/>
          </w:rPr>
        </w:r>
        <w:r w:rsidR="00C04591">
          <w:rPr>
            <w:webHidden/>
          </w:rPr>
          <w:fldChar w:fldCharType="separate"/>
        </w:r>
        <w:r w:rsidR="001D27D3">
          <w:rPr>
            <w:webHidden/>
          </w:rPr>
          <w:t>62</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49" w:history="1">
        <w:r w:rsidR="00C04591" w:rsidRPr="00EA112D">
          <w:rPr>
            <w:rStyle w:val="Hyperlink"/>
          </w:rPr>
          <w:t>6.2</w:t>
        </w:r>
        <w:r w:rsidR="00C04591">
          <w:rPr>
            <w:rFonts w:asciiTheme="minorHAnsi" w:eastAsiaTheme="minorEastAsia" w:hAnsiTheme="minorHAnsi" w:cstheme="minorBidi"/>
            <w:sz w:val="22"/>
            <w:lang w:eastAsia="en-AU"/>
          </w:rPr>
          <w:tab/>
        </w:r>
        <w:r w:rsidR="00C04591" w:rsidRPr="00EA112D">
          <w:rPr>
            <w:rStyle w:val="Hyperlink"/>
          </w:rPr>
          <w:t>Introduction</w:t>
        </w:r>
        <w:r w:rsidR="00C04591">
          <w:rPr>
            <w:webHidden/>
          </w:rPr>
          <w:tab/>
        </w:r>
        <w:r w:rsidR="00C04591">
          <w:rPr>
            <w:webHidden/>
          </w:rPr>
          <w:fldChar w:fldCharType="begin"/>
        </w:r>
        <w:r w:rsidR="00C04591">
          <w:rPr>
            <w:webHidden/>
          </w:rPr>
          <w:instrText xml:space="preserve"> PAGEREF _Toc387664349 \h </w:instrText>
        </w:r>
        <w:r w:rsidR="00C04591">
          <w:rPr>
            <w:webHidden/>
          </w:rPr>
        </w:r>
        <w:r w:rsidR="00C04591">
          <w:rPr>
            <w:webHidden/>
          </w:rPr>
          <w:fldChar w:fldCharType="separate"/>
        </w:r>
        <w:r w:rsidR="001D27D3">
          <w:rPr>
            <w:webHidden/>
          </w:rPr>
          <w:t>63</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50" w:history="1">
        <w:r w:rsidR="00C04591" w:rsidRPr="00EA112D">
          <w:rPr>
            <w:rStyle w:val="Hyperlink"/>
          </w:rPr>
          <w:t>6.3</w:t>
        </w:r>
        <w:r w:rsidR="00C04591">
          <w:rPr>
            <w:rFonts w:asciiTheme="minorHAnsi" w:eastAsiaTheme="minorEastAsia" w:hAnsiTheme="minorHAnsi" w:cstheme="minorBidi"/>
            <w:sz w:val="22"/>
            <w:lang w:eastAsia="en-AU"/>
          </w:rPr>
          <w:tab/>
        </w:r>
        <w:r w:rsidR="00C04591" w:rsidRPr="00EA112D">
          <w:rPr>
            <w:rStyle w:val="Hyperlink"/>
          </w:rPr>
          <w:t>Literature review: RCTs and observational studies</w:t>
        </w:r>
        <w:r w:rsidR="00C04591">
          <w:rPr>
            <w:webHidden/>
          </w:rPr>
          <w:tab/>
        </w:r>
        <w:r w:rsidR="00C04591">
          <w:rPr>
            <w:webHidden/>
          </w:rPr>
          <w:fldChar w:fldCharType="begin"/>
        </w:r>
        <w:r w:rsidR="00C04591">
          <w:rPr>
            <w:webHidden/>
          </w:rPr>
          <w:instrText xml:space="preserve"> PAGEREF _Toc387664350 \h </w:instrText>
        </w:r>
        <w:r w:rsidR="00C04591">
          <w:rPr>
            <w:webHidden/>
          </w:rPr>
        </w:r>
        <w:r w:rsidR="00C04591">
          <w:rPr>
            <w:webHidden/>
          </w:rPr>
          <w:fldChar w:fldCharType="separate"/>
        </w:r>
        <w:r w:rsidR="001D27D3">
          <w:rPr>
            <w:webHidden/>
          </w:rPr>
          <w:t>64</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51" w:history="1">
        <w:r w:rsidR="00C04591" w:rsidRPr="00EA112D">
          <w:rPr>
            <w:rStyle w:val="Hyperlink"/>
          </w:rPr>
          <w:t>6.4</w:t>
        </w:r>
        <w:r w:rsidR="00C04591">
          <w:rPr>
            <w:rFonts w:asciiTheme="minorHAnsi" w:eastAsiaTheme="minorEastAsia" w:hAnsiTheme="minorHAnsi" w:cstheme="minorBidi"/>
            <w:sz w:val="22"/>
            <w:lang w:eastAsia="en-AU"/>
          </w:rPr>
          <w:tab/>
        </w:r>
        <w:r w:rsidR="00C04591" w:rsidRPr="00EA112D">
          <w:rPr>
            <w:rStyle w:val="Hyperlink"/>
          </w:rPr>
          <w:t>Literature review: Australian and international clinical guidelines</w:t>
        </w:r>
        <w:r w:rsidR="00C04591">
          <w:rPr>
            <w:webHidden/>
          </w:rPr>
          <w:tab/>
        </w:r>
        <w:r w:rsidR="00C04591">
          <w:rPr>
            <w:webHidden/>
          </w:rPr>
          <w:fldChar w:fldCharType="begin"/>
        </w:r>
        <w:r w:rsidR="00C04591">
          <w:rPr>
            <w:webHidden/>
          </w:rPr>
          <w:instrText xml:space="preserve"> PAGEREF _Toc387664351 \h </w:instrText>
        </w:r>
        <w:r w:rsidR="00C04591">
          <w:rPr>
            <w:webHidden/>
          </w:rPr>
        </w:r>
        <w:r w:rsidR="00C04591">
          <w:rPr>
            <w:webHidden/>
          </w:rPr>
          <w:fldChar w:fldCharType="separate"/>
        </w:r>
        <w:r w:rsidR="001D27D3">
          <w:rPr>
            <w:webHidden/>
          </w:rPr>
          <w:t>65</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52" w:history="1">
        <w:r w:rsidR="00C04591" w:rsidRPr="00EA112D">
          <w:rPr>
            <w:rStyle w:val="Hyperlink"/>
          </w:rPr>
          <w:t>6.5</w:t>
        </w:r>
        <w:r w:rsidR="00C04591">
          <w:rPr>
            <w:rFonts w:asciiTheme="minorHAnsi" w:eastAsiaTheme="minorEastAsia" w:hAnsiTheme="minorHAnsi" w:cstheme="minorBidi"/>
            <w:sz w:val="22"/>
            <w:lang w:eastAsia="en-AU"/>
          </w:rPr>
          <w:tab/>
        </w:r>
        <w:r w:rsidR="00C04591" w:rsidRPr="00EA112D">
          <w:rPr>
            <w:rStyle w:val="Hyperlink"/>
          </w:rPr>
          <w:t>Government subsidised access to insulin pump therapy in other countries</w:t>
        </w:r>
        <w:r w:rsidR="00C04591">
          <w:rPr>
            <w:webHidden/>
          </w:rPr>
          <w:tab/>
        </w:r>
        <w:r w:rsidR="00C04591">
          <w:rPr>
            <w:webHidden/>
          </w:rPr>
          <w:fldChar w:fldCharType="begin"/>
        </w:r>
        <w:r w:rsidR="00C04591">
          <w:rPr>
            <w:webHidden/>
          </w:rPr>
          <w:instrText xml:space="preserve"> PAGEREF _Toc387664352 \h </w:instrText>
        </w:r>
        <w:r w:rsidR="00C04591">
          <w:rPr>
            <w:webHidden/>
          </w:rPr>
        </w:r>
        <w:r w:rsidR="00C04591">
          <w:rPr>
            <w:webHidden/>
          </w:rPr>
          <w:fldChar w:fldCharType="separate"/>
        </w:r>
        <w:r w:rsidR="001D27D3">
          <w:rPr>
            <w:webHidden/>
          </w:rPr>
          <w:t>69</w:t>
        </w:r>
        <w:r w:rsidR="00C04591">
          <w:rPr>
            <w:webHidden/>
          </w:rPr>
          <w:fldChar w:fldCharType="end"/>
        </w:r>
      </w:hyperlink>
    </w:p>
    <w:p w:rsidR="00C04591" w:rsidRDefault="00763F1D">
      <w:pPr>
        <w:pStyle w:val="TOC2"/>
        <w:tabs>
          <w:tab w:val="left" w:pos="880"/>
        </w:tabs>
        <w:rPr>
          <w:rFonts w:asciiTheme="minorHAnsi" w:eastAsiaTheme="minorEastAsia" w:hAnsiTheme="minorHAnsi" w:cstheme="minorBidi"/>
          <w:sz w:val="22"/>
          <w:lang w:eastAsia="en-AU"/>
        </w:rPr>
      </w:pPr>
      <w:hyperlink w:anchor="_Toc387664353" w:history="1">
        <w:r w:rsidR="00C04591" w:rsidRPr="00EA112D">
          <w:rPr>
            <w:rStyle w:val="Hyperlink"/>
          </w:rPr>
          <w:t>6.6</w:t>
        </w:r>
        <w:r w:rsidR="00C04591">
          <w:rPr>
            <w:rFonts w:asciiTheme="minorHAnsi" w:eastAsiaTheme="minorEastAsia" w:hAnsiTheme="minorHAnsi" w:cstheme="minorBidi"/>
            <w:sz w:val="22"/>
            <w:lang w:eastAsia="en-AU"/>
          </w:rPr>
          <w:tab/>
        </w:r>
        <w:r w:rsidR="00C04591" w:rsidRPr="00EA112D">
          <w:rPr>
            <w:rStyle w:val="Hyperlink"/>
          </w:rPr>
          <w:t>Issues identified</w:t>
        </w:r>
        <w:r w:rsidR="00C04591">
          <w:rPr>
            <w:webHidden/>
          </w:rPr>
          <w:tab/>
        </w:r>
        <w:r w:rsidR="00C04591">
          <w:rPr>
            <w:webHidden/>
          </w:rPr>
          <w:fldChar w:fldCharType="begin"/>
        </w:r>
        <w:r w:rsidR="00C04591">
          <w:rPr>
            <w:webHidden/>
          </w:rPr>
          <w:instrText xml:space="preserve"> PAGEREF _Toc387664353 \h </w:instrText>
        </w:r>
        <w:r w:rsidR="00C04591">
          <w:rPr>
            <w:webHidden/>
          </w:rPr>
        </w:r>
        <w:r w:rsidR="00C04591">
          <w:rPr>
            <w:webHidden/>
          </w:rPr>
          <w:fldChar w:fldCharType="separate"/>
        </w:r>
        <w:r w:rsidR="001D27D3">
          <w:rPr>
            <w:webHidden/>
          </w:rPr>
          <w:t>70</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54" w:history="1">
        <w:r w:rsidR="00C04591" w:rsidRPr="00EA112D">
          <w:rPr>
            <w:rStyle w:val="Hyperlink"/>
          </w:rPr>
          <w:t>References</w:t>
        </w:r>
        <w:r w:rsidR="00C04591">
          <w:rPr>
            <w:webHidden/>
          </w:rPr>
          <w:tab/>
        </w:r>
        <w:r w:rsidR="00C04591">
          <w:rPr>
            <w:webHidden/>
          </w:rPr>
          <w:fldChar w:fldCharType="begin"/>
        </w:r>
        <w:r w:rsidR="00C04591">
          <w:rPr>
            <w:webHidden/>
          </w:rPr>
          <w:instrText xml:space="preserve"> PAGEREF _Toc387664354 \h </w:instrText>
        </w:r>
        <w:r w:rsidR="00C04591">
          <w:rPr>
            <w:webHidden/>
          </w:rPr>
        </w:r>
        <w:r w:rsidR="00C04591">
          <w:rPr>
            <w:webHidden/>
          </w:rPr>
          <w:fldChar w:fldCharType="separate"/>
        </w:r>
        <w:r w:rsidR="001D27D3">
          <w:rPr>
            <w:webHidden/>
          </w:rPr>
          <w:t>72</w:t>
        </w:r>
        <w:r w:rsidR="00C04591">
          <w:rPr>
            <w:webHidden/>
          </w:rPr>
          <w:fldChar w:fldCharType="end"/>
        </w:r>
      </w:hyperlink>
    </w:p>
    <w:p w:rsidR="00C04591" w:rsidRDefault="00763F1D">
      <w:pPr>
        <w:pStyle w:val="TOC1"/>
        <w:rPr>
          <w:rFonts w:asciiTheme="minorHAnsi" w:eastAsiaTheme="minorEastAsia" w:hAnsiTheme="minorHAnsi" w:cstheme="minorBidi"/>
          <w:sz w:val="22"/>
          <w:lang w:eastAsia="en-AU"/>
        </w:rPr>
      </w:pPr>
      <w:hyperlink w:anchor="_Toc387664355" w:history="1">
        <w:r w:rsidR="00C04591" w:rsidRPr="00EA112D">
          <w:rPr>
            <w:rStyle w:val="Hyperlink"/>
          </w:rPr>
          <w:t>Appendices</w:t>
        </w:r>
        <w:r w:rsidR="00C04591">
          <w:rPr>
            <w:webHidden/>
          </w:rPr>
          <w:tab/>
        </w:r>
        <w:r w:rsidR="00C04591">
          <w:rPr>
            <w:webHidden/>
          </w:rPr>
          <w:fldChar w:fldCharType="begin"/>
        </w:r>
        <w:r w:rsidR="00C04591">
          <w:rPr>
            <w:webHidden/>
          </w:rPr>
          <w:instrText xml:space="preserve"> PAGEREF _Toc387664355 \h </w:instrText>
        </w:r>
        <w:r w:rsidR="00C04591">
          <w:rPr>
            <w:webHidden/>
          </w:rPr>
        </w:r>
        <w:r w:rsidR="00C04591">
          <w:rPr>
            <w:webHidden/>
          </w:rPr>
          <w:fldChar w:fldCharType="separate"/>
        </w:r>
        <w:r w:rsidR="001D27D3">
          <w:rPr>
            <w:webHidden/>
          </w:rPr>
          <w:t>78</w:t>
        </w:r>
        <w:r w:rsidR="00C04591">
          <w:rPr>
            <w:webHidden/>
          </w:rPr>
          <w:fldChar w:fldCharType="end"/>
        </w:r>
      </w:hyperlink>
    </w:p>
    <w:p w:rsidR="00C04591" w:rsidRDefault="00763F1D">
      <w:pPr>
        <w:pStyle w:val="TOC2"/>
        <w:rPr>
          <w:rFonts w:asciiTheme="minorHAnsi" w:eastAsiaTheme="minorEastAsia" w:hAnsiTheme="minorHAnsi" w:cstheme="minorBidi"/>
          <w:sz w:val="22"/>
          <w:lang w:eastAsia="en-AU"/>
        </w:rPr>
      </w:pPr>
      <w:hyperlink w:anchor="_Toc387664356" w:history="1">
        <w:r w:rsidR="00C04591" w:rsidRPr="00EA112D">
          <w:rPr>
            <w:rStyle w:val="Hyperlink"/>
          </w:rPr>
          <w:t>Appendix A - Insulin pumps available under the Prostheses List as at February 2014</w:t>
        </w:r>
        <w:r w:rsidR="00C04591">
          <w:rPr>
            <w:webHidden/>
          </w:rPr>
          <w:tab/>
        </w:r>
        <w:r w:rsidR="00C04591">
          <w:rPr>
            <w:webHidden/>
          </w:rPr>
          <w:fldChar w:fldCharType="begin"/>
        </w:r>
        <w:r w:rsidR="00C04591">
          <w:rPr>
            <w:webHidden/>
          </w:rPr>
          <w:instrText xml:space="preserve"> PAGEREF _Toc387664356 \h </w:instrText>
        </w:r>
        <w:r w:rsidR="00C04591">
          <w:rPr>
            <w:webHidden/>
          </w:rPr>
        </w:r>
        <w:r w:rsidR="00C04591">
          <w:rPr>
            <w:webHidden/>
          </w:rPr>
          <w:fldChar w:fldCharType="separate"/>
        </w:r>
        <w:r w:rsidR="001D27D3">
          <w:rPr>
            <w:webHidden/>
          </w:rPr>
          <w:t>78</w:t>
        </w:r>
        <w:r w:rsidR="00C04591">
          <w:rPr>
            <w:webHidden/>
          </w:rPr>
          <w:fldChar w:fldCharType="end"/>
        </w:r>
      </w:hyperlink>
    </w:p>
    <w:p w:rsidR="00C04591" w:rsidRDefault="00763F1D">
      <w:pPr>
        <w:pStyle w:val="TOC2"/>
        <w:rPr>
          <w:rFonts w:asciiTheme="minorHAnsi" w:eastAsiaTheme="minorEastAsia" w:hAnsiTheme="minorHAnsi" w:cstheme="minorBidi"/>
          <w:sz w:val="22"/>
          <w:lang w:eastAsia="en-AU"/>
        </w:rPr>
      </w:pPr>
      <w:hyperlink w:anchor="_Toc387664357" w:history="1">
        <w:r w:rsidR="00C04591" w:rsidRPr="00EA112D">
          <w:rPr>
            <w:rStyle w:val="Hyperlink"/>
          </w:rPr>
          <w:t>Appendix B – Insulin pumps no longer available under the Prostheses List</w:t>
        </w:r>
        <w:r w:rsidR="00C04591">
          <w:rPr>
            <w:webHidden/>
          </w:rPr>
          <w:tab/>
        </w:r>
        <w:r w:rsidR="00C04591">
          <w:rPr>
            <w:webHidden/>
          </w:rPr>
          <w:fldChar w:fldCharType="begin"/>
        </w:r>
        <w:r w:rsidR="00C04591">
          <w:rPr>
            <w:webHidden/>
          </w:rPr>
          <w:instrText xml:space="preserve"> PAGEREF _Toc387664357 \h </w:instrText>
        </w:r>
        <w:r w:rsidR="00C04591">
          <w:rPr>
            <w:webHidden/>
          </w:rPr>
        </w:r>
        <w:r w:rsidR="00C04591">
          <w:rPr>
            <w:webHidden/>
          </w:rPr>
          <w:fldChar w:fldCharType="separate"/>
        </w:r>
        <w:r w:rsidR="001D27D3">
          <w:rPr>
            <w:webHidden/>
          </w:rPr>
          <w:t>85</w:t>
        </w:r>
        <w:r w:rsidR="00C04591">
          <w:rPr>
            <w:webHidden/>
          </w:rPr>
          <w:fldChar w:fldCharType="end"/>
        </w:r>
      </w:hyperlink>
    </w:p>
    <w:p w:rsidR="00C04591" w:rsidRDefault="00763F1D">
      <w:pPr>
        <w:pStyle w:val="TOC2"/>
        <w:rPr>
          <w:rFonts w:asciiTheme="minorHAnsi" w:eastAsiaTheme="minorEastAsia" w:hAnsiTheme="minorHAnsi" w:cstheme="minorBidi"/>
          <w:sz w:val="22"/>
          <w:lang w:eastAsia="en-AU"/>
        </w:rPr>
      </w:pPr>
      <w:hyperlink w:anchor="_Toc387664358" w:history="1">
        <w:r w:rsidR="00C04591" w:rsidRPr="00EA112D">
          <w:rPr>
            <w:rStyle w:val="Hyperlink"/>
          </w:rPr>
          <w:t>Appendix C – Breakdown of insulin pump brands supplied under the Insulin Pump Programme from commencement to 31 March 2013</w:t>
        </w:r>
        <w:r w:rsidR="00C04591">
          <w:rPr>
            <w:webHidden/>
          </w:rPr>
          <w:tab/>
        </w:r>
        <w:r w:rsidR="00C04591">
          <w:rPr>
            <w:webHidden/>
          </w:rPr>
          <w:fldChar w:fldCharType="begin"/>
        </w:r>
        <w:r w:rsidR="00C04591">
          <w:rPr>
            <w:webHidden/>
          </w:rPr>
          <w:instrText xml:space="preserve"> PAGEREF _Toc387664358 \h </w:instrText>
        </w:r>
        <w:r w:rsidR="00C04591">
          <w:rPr>
            <w:webHidden/>
          </w:rPr>
        </w:r>
        <w:r w:rsidR="00C04591">
          <w:rPr>
            <w:webHidden/>
          </w:rPr>
          <w:fldChar w:fldCharType="separate"/>
        </w:r>
        <w:r w:rsidR="001D27D3">
          <w:rPr>
            <w:webHidden/>
          </w:rPr>
          <w:t>86</w:t>
        </w:r>
        <w:r w:rsidR="00C04591">
          <w:rPr>
            <w:webHidden/>
          </w:rPr>
          <w:fldChar w:fldCharType="end"/>
        </w:r>
      </w:hyperlink>
    </w:p>
    <w:p w:rsidR="00C04591" w:rsidRDefault="00763F1D">
      <w:pPr>
        <w:pStyle w:val="TOC2"/>
        <w:rPr>
          <w:rFonts w:asciiTheme="minorHAnsi" w:eastAsiaTheme="minorEastAsia" w:hAnsiTheme="minorHAnsi" w:cstheme="minorBidi"/>
          <w:sz w:val="22"/>
          <w:lang w:eastAsia="en-AU"/>
        </w:rPr>
      </w:pPr>
      <w:hyperlink w:anchor="_Toc387664359" w:history="1">
        <w:r w:rsidR="00C04591" w:rsidRPr="00EA112D">
          <w:rPr>
            <w:rStyle w:val="Hyperlink"/>
          </w:rPr>
          <w:t>Appendix D – National and international guidelines for the management of type 1 diabetes using insulin pump therapy</w:t>
        </w:r>
        <w:r w:rsidR="00C04591">
          <w:rPr>
            <w:webHidden/>
          </w:rPr>
          <w:tab/>
        </w:r>
        <w:r w:rsidR="00C04591">
          <w:rPr>
            <w:webHidden/>
          </w:rPr>
          <w:fldChar w:fldCharType="begin"/>
        </w:r>
        <w:r w:rsidR="00C04591">
          <w:rPr>
            <w:webHidden/>
          </w:rPr>
          <w:instrText xml:space="preserve"> PAGEREF _Toc387664359 \h </w:instrText>
        </w:r>
        <w:r w:rsidR="00C04591">
          <w:rPr>
            <w:webHidden/>
          </w:rPr>
        </w:r>
        <w:r w:rsidR="00C04591">
          <w:rPr>
            <w:webHidden/>
          </w:rPr>
          <w:fldChar w:fldCharType="separate"/>
        </w:r>
        <w:r w:rsidR="001D27D3">
          <w:rPr>
            <w:webHidden/>
          </w:rPr>
          <w:t>87</w:t>
        </w:r>
        <w:r w:rsidR="00C04591">
          <w:rPr>
            <w:webHidden/>
          </w:rPr>
          <w:fldChar w:fldCharType="end"/>
        </w:r>
      </w:hyperlink>
    </w:p>
    <w:p w:rsidR="00C04591" w:rsidRDefault="00763F1D">
      <w:pPr>
        <w:pStyle w:val="TOC2"/>
        <w:rPr>
          <w:rFonts w:asciiTheme="minorHAnsi" w:eastAsiaTheme="minorEastAsia" w:hAnsiTheme="minorHAnsi" w:cstheme="minorBidi"/>
          <w:sz w:val="22"/>
          <w:lang w:eastAsia="en-AU"/>
        </w:rPr>
      </w:pPr>
      <w:hyperlink w:anchor="_Toc387664360" w:history="1">
        <w:r w:rsidR="00C04591" w:rsidRPr="00EA112D">
          <w:rPr>
            <w:rStyle w:val="Hyperlink"/>
          </w:rPr>
          <w:t>Appendix E – Current Guidelines hosted by the NHMRC Clinical Guidelines Portal in relation to type 1 diabetes</w:t>
        </w:r>
        <w:r w:rsidR="00C04591">
          <w:rPr>
            <w:webHidden/>
          </w:rPr>
          <w:tab/>
        </w:r>
        <w:r w:rsidR="00C04591">
          <w:rPr>
            <w:webHidden/>
          </w:rPr>
          <w:fldChar w:fldCharType="begin"/>
        </w:r>
        <w:r w:rsidR="00C04591">
          <w:rPr>
            <w:webHidden/>
          </w:rPr>
          <w:instrText xml:space="preserve"> PAGEREF _Toc387664360 \h </w:instrText>
        </w:r>
        <w:r w:rsidR="00C04591">
          <w:rPr>
            <w:webHidden/>
          </w:rPr>
        </w:r>
        <w:r w:rsidR="00C04591">
          <w:rPr>
            <w:webHidden/>
          </w:rPr>
          <w:fldChar w:fldCharType="separate"/>
        </w:r>
        <w:r w:rsidR="001D27D3">
          <w:rPr>
            <w:webHidden/>
          </w:rPr>
          <w:t>91</w:t>
        </w:r>
        <w:r w:rsidR="00C04591">
          <w:rPr>
            <w:webHidden/>
          </w:rPr>
          <w:fldChar w:fldCharType="end"/>
        </w:r>
      </w:hyperlink>
    </w:p>
    <w:p w:rsidR="008831AF" w:rsidRPr="0088468F" w:rsidRDefault="00A309DB" w:rsidP="008831AF">
      <w:pPr>
        <w:pStyle w:val="Heading1"/>
        <w:rPr>
          <w:rFonts w:cs="Calibri"/>
          <w:szCs w:val="24"/>
        </w:rPr>
      </w:pPr>
      <w:r w:rsidRPr="003E1F05">
        <w:rPr>
          <w:color w:val="auto"/>
          <w:sz w:val="28"/>
        </w:rPr>
        <w:fldChar w:fldCharType="end"/>
      </w:r>
      <w:r w:rsidR="00F92449">
        <w:rPr>
          <w:rFonts w:cs="Calibri"/>
        </w:rPr>
        <w:br w:type="page"/>
      </w:r>
      <w:bookmarkStart w:id="45" w:name="_Toc381622772"/>
      <w:bookmarkStart w:id="46" w:name="_Toc387664307"/>
      <w:bookmarkStart w:id="47" w:name="_Toc372542356"/>
      <w:bookmarkStart w:id="48" w:name="_Toc342558136"/>
      <w:bookmarkStart w:id="49" w:name="_Toc373482051"/>
      <w:r w:rsidR="008831AF" w:rsidRPr="0088468F">
        <w:lastRenderedPageBreak/>
        <w:t>Report Structure</w:t>
      </w:r>
      <w:bookmarkEnd w:id="45"/>
      <w:bookmarkEnd w:id="46"/>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spacing w:after="120"/>
        <w:rPr>
          <w:rFonts w:cs="Calibri"/>
          <w:szCs w:val="24"/>
        </w:rPr>
      </w:pPr>
      <w:r w:rsidRPr="003E1F05">
        <w:rPr>
          <w:rFonts w:cs="Calibri"/>
          <w:szCs w:val="24"/>
        </w:rPr>
        <w:t xml:space="preserve">This report </w:t>
      </w:r>
      <w:proofErr w:type="gramStart"/>
      <w:r w:rsidRPr="003E1F05">
        <w:rPr>
          <w:rFonts w:cs="Calibri"/>
          <w:szCs w:val="24"/>
        </w:rPr>
        <w:t>is separated</w:t>
      </w:r>
      <w:proofErr w:type="gramEnd"/>
      <w:r w:rsidRPr="003E1F05">
        <w:rPr>
          <w:rFonts w:cs="Calibri"/>
          <w:szCs w:val="24"/>
        </w:rPr>
        <w:t xml:space="preserve"> into </w:t>
      </w:r>
      <w:r w:rsidR="00507DD7" w:rsidRPr="003E1F05">
        <w:rPr>
          <w:rFonts w:cs="Calibri"/>
          <w:szCs w:val="24"/>
        </w:rPr>
        <w:t xml:space="preserve">seven </w:t>
      </w:r>
      <w:r w:rsidRPr="003E1F05">
        <w:rPr>
          <w:rFonts w:cs="Calibri"/>
          <w:szCs w:val="24"/>
        </w:rPr>
        <w:t xml:space="preserve">parts, as briefly outlined below. The Report structure </w:t>
      </w:r>
      <w:proofErr w:type="gramStart"/>
      <w:r w:rsidRPr="003E1F05">
        <w:rPr>
          <w:rFonts w:cs="Calibri"/>
          <w:szCs w:val="24"/>
        </w:rPr>
        <w:t>is designed</w:t>
      </w:r>
      <w:proofErr w:type="gramEnd"/>
      <w:r w:rsidRPr="003E1F05">
        <w:rPr>
          <w:rFonts w:cs="Calibri"/>
          <w:szCs w:val="24"/>
        </w:rPr>
        <w:t xml:space="preserve"> to clearly address the Terms of Reference on insulin pumps and the Insulin Pump Programme for Stage 2 of the Diabetes Post</w:t>
      </w:r>
      <w:r w:rsidRPr="003E1F05">
        <w:rPr>
          <w:rFonts w:cs="Calibri"/>
          <w:szCs w:val="24"/>
        </w:rPr>
        <w:noBreakHyphen/>
        <w:t xml:space="preserve">market Review. </w:t>
      </w:r>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spacing w:after="120"/>
        <w:rPr>
          <w:rFonts w:cs="Calibri"/>
          <w:szCs w:val="24"/>
        </w:rPr>
      </w:pPr>
      <w:r w:rsidRPr="003E1F05">
        <w:rPr>
          <w:rFonts w:cs="Calibri"/>
          <w:b/>
          <w:szCs w:val="24"/>
        </w:rPr>
        <w:t xml:space="preserve">Executive Summary </w:t>
      </w:r>
      <w:r w:rsidRPr="003E1F05">
        <w:rPr>
          <w:rFonts w:cs="Calibri"/>
          <w:szCs w:val="24"/>
        </w:rPr>
        <w:t>– This summary is a stand-alone document that summarises the process and results of the Insulin Pumps Review.</w:t>
      </w:r>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spacing w:after="120"/>
        <w:rPr>
          <w:rFonts w:cs="Calibri"/>
          <w:szCs w:val="24"/>
        </w:rPr>
      </w:pPr>
      <w:r w:rsidRPr="003E1F05">
        <w:rPr>
          <w:rFonts w:cs="Calibri"/>
          <w:b/>
          <w:szCs w:val="24"/>
        </w:rPr>
        <w:t xml:space="preserve">Part </w:t>
      </w:r>
      <w:proofErr w:type="gramStart"/>
      <w:r w:rsidRPr="003E1F05">
        <w:rPr>
          <w:rFonts w:cs="Calibri"/>
          <w:b/>
          <w:szCs w:val="24"/>
        </w:rPr>
        <w:t>1</w:t>
      </w:r>
      <w:proofErr w:type="gramEnd"/>
      <w:r w:rsidRPr="003E1F05">
        <w:rPr>
          <w:rFonts w:cs="Calibri"/>
          <w:b/>
          <w:szCs w:val="24"/>
        </w:rPr>
        <w:t xml:space="preserve"> </w:t>
      </w:r>
      <w:r w:rsidRPr="003E1F05">
        <w:rPr>
          <w:rFonts w:cs="Calibri"/>
          <w:szCs w:val="24"/>
        </w:rPr>
        <w:t>– Review background and context.</w:t>
      </w:r>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spacing w:after="120"/>
        <w:rPr>
          <w:rFonts w:cs="Calibri"/>
          <w:szCs w:val="24"/>
        </w:rPr>
      </w:pPr>
      <w:proofErr w:type="gramStart"/>
      <w:r w:rsidRPr="003E1F05">
        <w:rPr>
          <w:rFonts w:cs="Calibri"/>
          <w:b/>
          <w:szCs w:val="24"/>
        </w:rPr>
        <w:t xml:space="preserve">Part 2 – </w:t>
      </w:r>
      <w:r w:rsidRPr="003E1F05">
        <w:rPr>
          <w:rFonts w:cs="Calibri"/>
          <w:szCs w:val="24"/>
        </w:rPr>
        <w:t>Diabetes background including prevalence, impact in Australia, complications, diagnosis, monitoring, and treatment options.</w:t>
      </w:r>
      <w:proofErr w:type="gramEnd"/>
      <w:r w:rsidRPr="003E1F05">
        <w:rPr>
          <w:rFonts w:cs="Calibri"/>
          <w:szCs w:val="24"/>
        </w:rPr>
        <w:t xml:space="preserve"> This section also contains information on access to insulin pumps including detail on the Insulin Pump Programme and the regulation of insulin pumps in Australia. </w:t>
      </w:r>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spacing w:after="120"/>
        <w:rPr>
          <w:rFonts w:cs="Calibri"/>
          <w:szCs w:val="24"/>
        </w:rPr>
      </w:pPr>
      <w:r w:rsidRPr="003E1F05">
        <w:rPr>
          <w:rFonts w:cs="Calibri"/>
          <w:b/>
          <w:szCs w:val="24"/>
        </w:rPr>
        <w:t xml:space="preserve">Part </w:t>
      </w:r>
      <w:proofErr w:type="gramStart"/>
      <w:r w:rsidRPr="003E1F05">
        <w:rPr>
          <w:rFonts w:cs="Calibri"/>
          <w:b/>
          <w:szCs w:val="24"/>
        </w:rPr>
        <w:t>3</w:t>
      </w:r>
      <w:proofErr w:type="gramEnd"/>
      <w:r w:rsidRPr="003E1F05">
        <w:rPr>
          <w:rFonts w:cs="Calibri"/>
          <w:b/>
          <w:szCs w:val="24"/>
        </w:rPr>
        <w:t xml:space="preserve"> </w:t>
      </w:r>
      <w:r w:rsidRPr="003E1F05">
        <w:rPr>
          <w:rFonts w:cs="Calibri"/>
          <w:szCs w:val="24"/>
        </w:rPr>
        <w:t>–</w:t>
      </w:r>
      <w:r w:rsidRPr="003E1F05">
        <w:rPr>
          <w:rFonts w:cs="Calibri"/>
          <w:b/>
          <w:szCs w:val="24"/>
        </w:rPr>
        <w:t xml:space="preserve"> </w:t>
      </w:r>
      <w:r w:rsidRPr="003E1F05">
        <w:rPr>
          <w:rFonts w:cs="Calibri"/>
          <w:szCs w:val="24"/>
        </w:rPr>
        <w:t>Stakeholder consultation and input.</w:t>
      </w:r>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spacing w:after="120"/>
        <w:rPr>
          <w:rFonts w:cs="Calibri"/>
          <w:szCs w:val="24"/>
        </w:rPr>
      </w:pPr>
      <w:r w:rsidRPr="003E1F05">
        <w:rPr>
          <w:rFonts w:cs="Calibri"/>
          <w:b/>
          <w:szCs w:val="24"/>
        </w:rPr>
        <w:t xml:space="preserve">Part </w:t>
      </w:r>
      <w:proofErr w:type="gramStart"/>
      <w:r w:rsidRPr="003E1F05">
        <w:rPr>
          <w:rFonts w:cs="Calibri"/>
          <w:b/>
          <w:szCs w:val="24"/>
        </w:rPr>
        <w:t>4</w:t>
      </w:r>
      <w:proofErr w:type="gramEnd"/>
      <w:r w:rsidRPr="003E1F05">
        <w:rPr>
          <w:rFonts w:cs="Calibri"/>
          <w:szCs w:val="24"/>
        </w:rPr>
        <w:t xml:space="preserve"> – Benefits and safety of insulin pump therapy (Terms of Reference 8).</w:t>
      </w:r>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spacing w:after="120"/>
        <w:rPr>
          <w:rFonts w:cs="Calibri"/>
          <w:szCs w:val="24"/>
        </w:rPr>
      </w:pPr>
      <w:r w:rsidRPr="003E1F05">
        <w:rPr>
          <w:rFonts w:cs="Calibri"/>
          <w:b/>
          <w:szCs w:val="24"/>
        </w:rPr>
        <w:t xml:space="preserve">Part </w:t>
      </w:r>
      <w:proofErr w:type="gramStart"/>
      <w:r w:rsidRPr="003E1F05">
        <w:rPr>
          <w:rFonts w:cs="Calibri"/>
          <w:b/>
          <w:szCs w:val="24"/>
        </w:rPr>
        <w:t>5</w:t>
      </w:r>
      <w:proofErr w:type="gramEnd"/>
      <w:r w:rsidRPr="003E1F05">
        <w:rPr>
          <w:rFonts w:cs="Calibri"/>
          <w:szCs w:val="24"/>
        </w:rPr>
        <w:t xml:space="preserve"> – Costs and comparative effectiveness of insulin pump therapy (Terms of Reference 9).</w:t>
      </w:r>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spacing w:after="120"/>
        <w:rPr>
          <w:rFonts w:cs="Calibri"/>
          <w:szCs w:val="24"/>
        </w:rPr>
      </w:pPr>
      <w:proofErr w:type="gramStart"/>
      <w:r w:rsidRPr="003E1F05">
        <w:rPr>
          <w:rFonts w:cs="Calibri"/>
          <w:b/>
          <w:szCs w:val="24"/>
        </w:rPr>
        <w:t>Part 6</w:t>
      </w:r>
      <w:r w:rsidRPr="003E1F05">
        <w:rPr>
          <w:rFonts w:cs="Calibri"/>
          <w:szCs w:val="24"/>
        </w:rPr>
        <w:t xml:space="preserve"> – Examination of the Insulin Pump Programme eligibility criteria (Terms of Reference 10).</w:t>
      </w:r>
      <w:proofErr w:type="gramEnd"/>
    </w:p>
    <w:p w:rsidR="008831AF" w:rsidRPr="003E1F05" w:rsidRDefault="008831AF" w:rsidP="008831AF">
      <w:pPr>
        <w:spacing w:after="120"/>
        <w:rPr>
          <w:rFonts w:cs="Calibri"/>
          <w:szCs w:val="24"/>
        </w:rPr>
      </w:pPr>
    </w:p>
    <w:p w:rsidR="008831AF" w:rsidRPr="0088468F" w:rsidRDefault="008831AF" w:rsidP="008831AF">
      <w:pPr>
        <w:pStyle w:val="Heading1"/>
      </w:pPr>
      <w:bookmarkStart w:id="50" w:name="_Glossary"/>
      <w:bookmarkEnd w:id="50"/>
      <w:r w:rsidRPr="00F92449">
        <w:br w:type="page"/>
      </w:r>
      <w:bookmarkStart w:id="51" w:name="_Toc381622773"/>
      <w:bookmarkStart w:id="52" w:name="_Toc387664308"/>
      <w:r w:rsidRPr="0088468F">
        <w:lastRenderedPageBreak/>
        <w:t>Glossary</w:t>
      </w:r>
      <w:bookmarkEnd w:id="51"/>
      <w:bookmarkEnd w:id="52"/>
    </w:p>
    <w:tbl>
      <w:tblPr>
        <w:tblW w:w="99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68"/>
        <w:gridCol w:w="7655"/>
      </w:tblGrid>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AADE</w:t>
            </w:r>
          </w:p>
        </w:tc>
        <w:tc>
          <w:tcPr>
            <w:tcW w:w="7655" w:type="dxa"/>
            <w:shd w:val="clear" w:color="auto" w:fill="auto"/>
            <w:vAlign w:val="center"/>
          </w:tcPr>
          <w:p w:rsidR="008831AF" w:rsidRPr="00787F54" w:rsidRDefault="008831AF" w:rsidP="008831AF">
            <w:pPr>
              <w:spacing w:before="120" w:after="120"/>
              <w:rPr>
                <w:szCs w:val="24"/>
              </w:rPr>
            </w:pPr>
            <w:r w:rsidRPr="003E1F05">
              <w:rPr>
                <w:rFonts w:eastAsia="Calibri"/>
                <w:szCs w:val="24"/>
                <w:lang w:eastAsia="en-AU"/>
              </w:rPr>
              <w:t>American Association of Diabetes Educators</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ADEA</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szCs w:val="24"/>
              </w:rPr>
              <w:t>Australian Diabetes Educators Association</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AIHW</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Australian Institute of Health and Welfare</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APEG</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Australasian Paediatric Endocrine Group</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ARTG</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Australian Register of Therapeutic Goods</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CADTH</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szCs w:val="24"/>
              </w:rPr>
              <w:t>Canadian Agency for Drugs and Technologies in Health</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CGM</w:t>
            </w:r>
          </w:p>
        </w:tc>
        <w:tc>
          <w:tcPr>
            <w:tcW w:w="7655" w:type="dxa"/>
            <w:shd w:val="clear" w:color="auto" w:fill="auto"/>
            <w:vAlign w:val="center"/>
          </w:tcPr>
          <w:p w:rsidR="008831AF" w:rsidRPr="00787F54" w:rsidRDefault="008831AF" w:rsidP="008831AF">
            <w:pPr>
              <w:spacing w:before="120" w:after="120"/>
            </w:pPr>
            <w:r w:rsidRPr="003E1F05">
              <w:t>Continuous Glucose Monitoring</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CHD</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Coronary Heart Disease</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CI</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Confidence Interval</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Commonwealth</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Commonwealth of Australia as represented by the Department of Health</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CSII</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Continuous subcutaneous insulin infusion (insulin pump therapy)</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DAEN</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Database of Adverse Event Notifications</w:t>
            </w:r>
          </w:p>
        </w:tc>
      </w:tr>
      <w:tr w:rsidR="008831AF" w:rsidRPr="004933B1" w:rsidTr="008831AF">
        <w:tc>
          <w:tcPr>
            <w:tcW w:w="2268" w:type="dxa"/>
            <w:shd w:val="clear" w:color="auto" w:fill="auto"/>
            <w:vAlign w:val="center"/>
          </w:tcPr>
          <w:p w:rsidR="008831AF" w:rsidRPr="00CD1F96" w:rsidRDefault="008831AF" w:rsidP="008831AF">
            <w:pPr>
              <w:spacing w:before="120" w:after="120"/>
              <w:jc w:val="left"/>
              <w:rPr>
                <w:rFonts w:cs="Arial"/>
                <w:color w:val="008000"/>
                <w:szCs w:val="24"/>
              </w:rPr>
            </w:pPr>
            <w:r w:rsidRPr="003E1F05">
              <w:rPr>
                <w:rFonts w:cs="Arial"/>
                <w:szCs w:val="24"/>
              </w:rPr>
              <w:t>Dawn phenomenon</w:t>
            </w:r>
          </w:p>
        </w:tc>
        <w:tc>
          <w:tcPr>
            <w:tcW w:w="7655" w:type="dxa"/>
            <w:shd w:val="clear" w:color="auto" w:fill="auto"/>
            <w:vAlign w:val="center"/>
          </w:tcPr>
          <w:p w:rsidR="008831AF" w:rsidRPr="00787F54" w:rsidRDefault="008831AF" w:rsidP="008831AF">
            <w:pPr>
              <w:spacing w:before="120" w:after="120"/>
              <w:rPr>
                <w:rFonts w:cs="Arial"/>
                <w:szCs w:val="24"/>
              </w:rPr>
            </w:pPr>
            <w:r w:rsidRPr="003E1F05">
              <w:t>Long-acting insulin analogues may cause a trough of insulin dosing before breakfast resulting in fasting hyperglycaemia, known as the dawn phenomenon.</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Department</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Department of Health</w:t>
            </w:r>
          </w:p>
        </w:tc>
      </w:tr>
      <w:tr w:rsidR="008831AF" w:rsidRPr="004933B1" w:rsidTr="008831AF">
        <w:tc>
          <w:tcPr>
            <w:tcW w:w="2268" w:type="dxa"/>
            <w:shd w:val="clear" w:color="auto" w:fill="auto"/>
            <w:vAlign w:val="center"/>
          </w:tcPr>
          <w:p w:rsidR="008831AF" w:rsidRPr="00787F54" w:rsidRDefault="008831AF" w:rsidP="008831AF">
            <w:pPr>
              <w:spacing w:before="120" w:after="120"/>
              <w:jc w:val="left"/>
              <w:rPr>
                <w:rFonts w:cs="Arial"/>
                <w:szCs w:val="24"/>
              </w:rPr>
            </w:pPr>
            <w:r w:rsidRPr="003E1F05">
              <w:rPr>
                <w:rFonts w:cs="Arial"/>
                <w:szCs w:val="24"/>
              </w:rPr>
              <w:t>DCCT</w:t>
            </w:r>
          </w:p>
        </w:tc>
        <w:tc>
          <w:tcPr>
            <w:tcW w:w="7655" w:type="dxa"/>
            <w:shd w:val="clear" w:color="auto" w:fill="auto"/>
            <w:vAlign w:val="center"/>
          </w:tcPr>
          <w:p w:rsidR="008831AF" w:rsidRPr="00787F54" w:rsidRDefault="008831AF" w:rsidP="008831AF">
            <w:pPr>
              <w:spacing w:before="120" w:after="120"/>
              <w:rPr>
                <w:rFonts w:cs="Arial"/>
                <w:szCs w:val="24"/>
              </w:rPr>
            </w:pPr>
            <w:r w:rsidRPr="003E1F05">
              <w:rPr>
                <w:rFonts w:cs="Arial"/>
                <w:szCs w:val="24"/>
              </w:rPr>
              <w:t>Diabetes Control and Complications Trial</w:t>
            </w:r>
          </w:p>
        </w:tc>
      </w:tr>
      <w:tr w:rsidR="00EE7F79" w:rsidRPr="004933B1" w:rsidTr="008831AF">
        <w:tc>
          <w:tcPr>
            <w:tcW w:w="2268" w:type="dxa"/>
            <w:shd w:val="clear" w:color="auto" w:fill="auto"/>
            <w:vAlign w:val="center"/>
          </w:tcPr>
          <w:p w:rsidR="00EE7F79" w:rsidRPr="00B27735" w:rsidRDefault="00EE7F79" w:rsidP="00A515D3">
            <w:pPr>
              <w:spacing w:before="120" w:after="120"/>
              <w:jc w:val="left"/>
              <w:rPr>
                <w:rFonts w:cs="Arial"/>
                <w:color w:val="008000"/>
                <w:szCs w:val="24"/>
              </w:rPr>
            </w:pPr>
            <w:r w:rsidRPr="003E1F05">
              <w:rPr>
                <w:rFonts w:cs="Arial"/>
                <w:szCs w:val="24"/>
              </w:rPr>
              <w:t>DHS</w:t>
            </w:r>
          </w:p>
        </w:tc>
        <w:tc>
          <w:tcPr>
            <w:tcW w:w="7655" w:type="dxa"/>
            <w:shd w:val="clear" w:color="auto" w:fill="auto"/>
            <w:vAlign w:val="center"/>
          </w:tcPr>
          <w:p w:rsidR="00EE7F79" w:rsidRPr="00B27735" w:rsidRDefault="00EE7F79" w:rsidP="00A515D3">
            <w:pPr>
              <w:spacing w:before="120" w:after="120"/>
              <w:rPr>
                <w:rFonts w:cs="Arial"/>
                <w:color w:val="008000"/>
                <w:szCs w:val="24"/>
              </w:rPr>
            </w:pPr>
            <w:r w:rsidRPr="003E1F05">
              <w:rPr>
                <w:rFonts w:cs="Arial"/>
                <w:szCs w:val="24"/>
              </w:rPr>
              <w:t>Department of Human Services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Diabetes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Diabetes Mellitus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DKA</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Diabetic Ketoacidosis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DUSC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Drug Utilisation Sub-Committee (of the PBAC)</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DVA</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Department of Veterans’ Affairs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ESC</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Economics Sub-Committee (of the PBAC)</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HbA</w:t>
            </w:r>
            <w:r w:rsidRPr="003E1F05">
              <w:rPr>
                <w:rFonts w:cs="Arial"/>
                <w:szCs w:val="24"/>
                <w:vertAlign w:val="subscript"/>
              </w:rPr>
              <w:t>1c</w:t>
            </w:r>
          </w:p>
        </w:tc>
        <w:tc>
          <w:tcPr>
            <w:tcW w:w="7655" w:type="dxa"/>
            <w:shd w:val="clear" w:color="auto" w:fill="auto"/>
            <w:vAlign w:val="center"/>
          </w:tcPr>
          <w:p w:rsidR="00EE7F79" w:rsidRPr="00787F54" w:rsidRDefault="00EE7F79" w:rsidP="008831AF">
            <w:pPr>
              <w:spacing w:before="120" w:after="120"/>
              <w:rPr>
                <w:szCs w:val="24"/>
              </w:rPr>
            </w:pPr>
            <w:proofErr w:type="spellStart"/>
            <w:r w:rsidRPr="003E1F05">
              <w:rPr>
                <w:szCs w:val="24"/>
              </w:rPr>
              <w:t>Glycated</w:t>
            </w:r>
            <w:proofErr w:type="spellEnd"/>
            <w:r w:rsidRPr="003E1F05">
              <w:rPr>
                <w:szCs w:val="24"/>
              </w:rPr>
              <w:t xml:space="preserve"> Haemoglobin, measured as a per cent or in </w:t>
            </w:r>
            <w:proofErr w:type="spellStart"/>
            <w:r w:rsidRPr="003E1F05">
              <w:rPr>
                <w:szCs w:val="24"/>
              </w:rPr>
              <w:t>mmol</w:t>
            </w:r>
            <w:proofErr w:type="spellEnd"/>
            <w:r w:rsidRPr="003E1F05">
              <w:rPr>
                <w:szCs w:val="24"/>
              </w:rPr>
              <w:t>/</w:t>
            </w:r>
            <w:proofErr w:type="spellStart"/>
            <w:r w:rsidRPr="003E1F05">
              <w:rPr>
                <w:szCs w:val="24"/>
              </w:rPr>
              <w:t>mol</w:t>
            </w:r>
            <w:proofErr w:type="spellEnd"/>
            <w:r w:rsidRPr="003E1F05">
              <w:rPr>
                <w:szCs w:val="24"/>
              </w:rPr>
              <w:t>, 1% HbA</w:t>
            </w:r>
            <w:r w:rsidRPr="003E1F05">
              <w:rPr>
                <w:szCs w:val="24"/>
                <w:vertAlign w:val="subscript"/>
              </w:rPr>
              <w:t>1c</w:t>
            </w:r>
            <w:r w:rsidRPr="003E1F05">
              <w:rPr>
                <w:szCs w:val="24"/>
              </w:rPr>
              <w:t xml:space="preserve"> is equivalent to 11mmol/mol.</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lastRenderedPageBreak/>
              <w:t>Insulin Pump</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A small computerised device that delivers small amounts of continuous rapid acting insulin throughout the day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IPC</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 xml:space="preserve">Insulin pump consumable </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IU</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International Units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JDRF</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Juvenile Diabetes Research Foundation (Australia)</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proofErr w:type="spellStart"/>
            <w:r w:rsidRPr="003E1F05">
              <w:rPr>
                <w:rFonts w:cs="Arial"/>
                <w:szCs w:val="24"/>
              </w:rPr>
              <w:t>Macrovascular</w:t>
            </w:r>
            <w:proofErr w:type="spellEnd"/>
            <w:r w:rsidRPr="003E1F05">
              <w:rPr>
                <w:rFonts w:cs="Arial"/>
                <w:szCs w:val="24"/>
              </w:rPr>
              <w:t xml:space="preserve"> complications</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Damage to large blood vessels of the heart, brain, and legs leading to heart attack and stroke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MDI</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Multiple daily injections (multiple insulin injections (MII))</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Microvascular complications</w:t>
            </w:r>
          </w:p>
        </w:tc>
        <w:tc>
          <w:tcPr>
            <w:tcW w:w="7655" w:type="dxa"/>
            <w:shd w:val="clear" w:color="auto" w:fill="auto"/>
            <w:vAlign w:val="center"/>
          </w:tcPr>
          <w:p w:rsidR="00EE7F79" w:rsidRPr="00787F54" w:rsidRDefault="00EE7F79" w:rsidP="008831AF">
            <w:pPr>
              <w:spacing w:before="120" w:after="120"/>
              <w:rPr>
                <w:szCs w:val="24"/>
              </w:rPr>
            </w:pPr>
            <w:r w:rsidRPr="003E1F05">
              <w:rPr>
                <w:szCs w:val="24"/>
              </w:rPr>
              <w:t>Damage to small blood vessels causing problems in the eyes, kidney, feet and nerves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NDSS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National Diabetes Services Scheme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NICE</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National Institute for Health and Clinical Excellence, United Kingdom</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NHMRC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National Health and Medical Research Council</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NMP</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National Medicines Policy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 xml:space="preserve">NPS </w:t>
            </w:r>
            <w:proofErr w:type="spellStart"/>
            <w:r w:rsidRPr="003E1F05">
              <w:rPr>
                <w:rFonts w:cs="Arial"/>
                <w:szCs w:val="24"/>
              </w:rPr>
              <w:t>Medicinewise</w:t>
            </w:r>
            <w:proofErr w:type="spellEnd"/>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 xml:space="preserve">National Prescribing Service </w:t>
            </w:r>
            <w:proofErr w:type="spellStart"/>
            <w:r w:rsidRPr="003E1F05">
              <w:rPr>
                <w:rFonts w:cs="Arial"/>
                <w:szCs w:val="24"/>
              </w:rPr>
              <w:t>Medicinewise</w:t>
            </w:r>
            <w:proofErr w:type="spellEnd"/>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NZSSD</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eastAsia="Calibri"/>
                <w:lang w:eastAsia="en-AU"/>
              </w:rPr>
              <w:t>New Zealand Society for the Study of Diabetes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PBAC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Pharmaceutical Benefits Advisory Committee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PBS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Pharmaceutical Benefits Scheme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PLAC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Prostheses List Advisory Committee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Programme</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Type 1 Diabetes Insulin Pump Programme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Prostheses List</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 xml:space="preserve">A determination under Section 72-10 (5) of the </w:t>
            </w:r>
            <w:r w:rsidRPr="003E1F05">
              <w:rPr>
                <w:rFonts w:cs="Arial"/>
                <w:i/>
                <w:szCs w:val="24"/>
              </w:rPr>
              <w:t>Private Health Insurance Act 2007</w:t>
            </w:r>
            <w:r w:rsidRPr="003E1F05">
              <w:rPr>
                <w:rFonts w:cs="Arial"/>
                <w:szCs w:val="24"/>
              </w:rPr>
              <w:t xml:space="preserve"> which lists devices that are provided as part of an episode of hospital treatment (or hospital substitute treatment) where a Medicare benefit is payable for the associated professional services (surgery) which private health insurers are required to pay mandatory benefits for.</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PVD</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Peripheral Vascular Disease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proofErr w:type="spellStart"/>
            <w:r w:rsidRPr="003E1F05">
              <w:rPr>
                <w:rFonts w:cs="Arial"/>
                <w:szCs w:val="24"/>
              </w:rPr>
              <w:t>QoL</w:t>
            </w:r>
            <w:proofErr w:type="spellEnd"/>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Quality of Life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lastRenderedPageBreak/>
              <w:t>QUM</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Quality Use of Medicines</w:t>
            </w:r>
          </w:p>
        </w:tc>
      </w:tr>
      <w:tr w:rsidR="00EE7F79" w:rsidRPr="004933B1" w:rsidTr="008831AF">
        <w:trPr>
          <w:trHeight w:val="720"/>
        </w:trPr>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QUMAX</w:t>
            </w:r>
          </w:p>
        </w:tc>
        <w:tc>
          <w:tcPr>
            <w:tcW w:w="7655" w:type="dxa"/>
            <w:shd w:val="clear" w:color="auto" w:fill="auto"/>
            <w:vAlign w:val="center"/>
          </w:tcPr>
          <w:p w:rsidR="00EE7F79" w:rsidRPr="00787F54" w:rsidRDefault="00EE7F79" w:rsidP="008831AF">
            <w:pPr>
              <w:spacing w:before="120" w:after="120"/>
              <w:rPr>
                <w:rFonts w:cs="Arial"/>
                <w:szCs w:val="24"/>
              </w:rPr>
            </w:pPr>
            <w:r w:rsidRPr="003E1F05">
              <w:t>Quality Use of Medicine Maximised for Aboriginal and Torres Strait Islander People</w:t>
            </w:r>
          </w:p>
        </w:tc>
      </w:tr>
      <w:tr w:rsidR="00EE7F79" w:rsidRPr="004933B1" w:rsidTr="008831AF">
        <w:trPr>
          <w:trHeight w:val="720"/>
        </w:trPr>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QUMPRC</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Quality Use of Medicines and Pharmacy Research Centre (University of South Australia)</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RCT</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Randomised Controlled Trial</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RPBS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Repatriation Pharmaceutical Benefits Scheme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SARA</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System for Australian Recall Actions</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SF-12</w:t>
            </w:r>
          </w:p>
        </w:tc>
        <w:tc>
          <w:tcPr>
            <w:tcW w:w="7655" w:type="dxa"/>
            <w:shd w:val="clear" w:color="auto" w:fill="auto"/>
            <w:vAlign w:val="center"/>
          </w:tcPr>
          <w:p w:rsidR="00EE7F79" w:rsidRPr="00787F54" w:rsidRDefault="00EE7F79" w:rsidP="008831AF">
            <w:pPr>
              <w:spacing w:before="120" w:after="120"/>
              <w:rPr>
                <w:szCs w:val="24"/>
              </w:rPr>
            </w:pPr>
            <w:r w:rsidRPr="003E1F05">
              <w:t>Medical Outcomes Study 12-Item Short-Form Survey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SF-36</w:t>
            </w:r>
          </w:p>
        </w:tc>
        <w:tc>
          <w:tcPr>
            <w:tcW w:w="7655" w:type="dxa"/>
            <w:shd w:val="clear" w:color="auto" w:fill="auto"/>
            <w:vAlign w:val="center"/>
          </w:tcPr>
          <w:p w:rsidR="00EE7F79" w:rsidRPr="00787F54" w:rsidRDefault="00EE7F79" w:rsidP="008831AF">
            <w:pPr>
              <w:spacing w:before="120" w:after="120"/>
              <w:rPr>
                <w:szCs w:val="24"/>
              </w:rPr>
            </w:pPr>
            <w:r w:rsidRPr="003E1F05">
              <w:t>Medical Outcomes Study 36-Item Short-Form Survey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SIGN</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szCs w:val="24"/>
              </w:rPr>
              <w:t>Scottish Intercollegiate Guidelines Network</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TGA</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The Therapeutic Goods Administration</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proofErr w:type="spellStart"/>
            <w:r w:rsidRPr="003E1F05">
              <w:rPr>
                <w:rFonts w:cs="Arial"/>
                <w:szCs w:val="24"/>
              </w:rPr>
              <w:t>ToR</w:t>
            </w:r>
            <w:proofErr w:type="spellEnd"/>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Terms of Reference</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UKPDS</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United Kingdom Prospective Diabetes Study</w:t>
            </w:r>
          </w:p>
        </w:tc>
      </w:tr>
      <w:tr w:rsidR="00EE7F79" w:rsidRPr="004933B1" w:rsidTr="008831AF">
        <w:tc>
          <w:tcPr>
            <w:tcW w:w="2268" w:type="dxa"/>
            <w:shd w:val="clear" w:color="auto" w:fill="auto"/>
            <w:vAlign w:val="center"/>
          </w:tcPr>
          <w:p w:rsidR="00EE7F79" w:rsidRPr="00787F54" w:rsidRDefault="00EE7F79" w:rsidP="008831AF">
            <w:pPr>
              <w:spacing w:before="120" w:after="120"/>
              <w:jc w:val="left"/>
              <w:rPr>
                <w:rFonts w:cs="Arial"/>
                <w:szCs w:val="24"/>
              </w:rPr>
            </w:pPr>
            <w:r w:rsidRPr="003E1F05">
              <w:rPr>
                <w:rFonts w:cs="Arial"/>
                <w:szCs w:val="24"/>
              </w:rPr>
              <w:t>WHO</w:t>
            </w:r>
          </w:p>
        </w:tc>
        <w:tc>
          <w:tcPr>
            <w:tcW w:w="7655" w:type="dxa"/>
            <w:shd w:val="clear" w:color="auto" w:fill="auto"/>
            <w:vAlign w:val="center"/>
          </w:tcPr>
          <w:p w:rsidR="00EE7F79" w:rsidRPr="00787F54" w:rsidRDefault="00EE7F79" w:rsidP="008831AF">
            <w:pPr>
              <w:spacing w:before="120" w:after="120"/>
              <w:rPr>
                <w:rFonts w:cs="Arial"/>
                <w:szCs w:val="24"/>
              </w:rPr>
            </w:pPr>
            <w:r w:rsidRPr="003E1F05">
              <w:rPr>
                <w:rFonts w:cs="Arial"/>
                <w:szCs w:val="24"/>
              </w:rPr>
              <w:t>World Health Organization</w:t>
            </w:r>
          </w:p>
        </w:tc>
      </w:tr>
    </w:tbl>
    <w:p w:rsidR="008831AF" w:rsidRPr="00787F54" w:rsidRDefault="008831AF" w:rsidP="008831AF">
      <w:pPr>
        <w:pStyle w:val="Heading1"/>
      </w:pPr>
      <w:r>
        <w:rPr>
          <w:rFonts w:cs="Calibri"/>
        </w:rPr>
        <w:br w:type="page"/>
      </w:r>
      <w:bookmarkStart w:id="53" w:name="_Toc381622774"/>
      <w:bookmarkStart w:id="54" w:name="_Toc387664309"/>
      <w:r w:rsidRPr="00787F54">
        <w:lastRenderedPageBreak/>
        <w:t>Executive Summary</w:t>
      </w:r>
      <w:bookmarkEnd w:id="53"/>
      <w:bookmarkEnd w:id="54"/>
    </w:p>
    <w:p w:rsidR="008831AF" w:rsidRPr="00787F54" w:rsidRDefault="008831AF" w:rsidP="008831AF">
      <w:pPr>
        <w:pStyle w:val="Heading3"/>
      </w:pPr>
      <w:r w:rsidRPr="00787F54">
        <w:t>Background and context</w:t>
      </w:r>
    </w:p>
    <w:p w:rsidR="008831AF" w:rsidRPr="003E1F05" w:rsidRDefault="008831AF" w:rsidP="008831AF">
      <w:pPr>
        <w:spacing w:before="160" w:after="160"/>
        <w:rPr>
          <w:rFonts w:cs="Calibri"/>
          <w:szCs w:val="24"/>
        </w:rPr>
      </w:pPr>
      <w:r w:rsidRPr="003E1F05">
        <w:rPr>
          <w:rFonts w:cs="Calibri"/>
          <w:szCs w:val="24"/>
        </w:rPr>
        <w:t xml:space="preserve">This Report contains the findings of Stage 2 of the </w:t>
      </w:r>
      <w:r w:rsidRPr="003E1F05">
        <w:t>Post-market Review of Products used in the Management of Diabetes focussing on insulin pumps. The objective of the Insulin Pumps Review, in line with the Diabetes Review Terms of Reference (</w:t>
      </w:r>
      <w:proofErr w:type="spellStart"/>
      <w:r w:rsidRPr="003E1F05">
        <w:t>ToR</w:t>
      </w:r>
      <w:proofErr w:type="spellEnd"/>
      <w:r w:rsidRPr="003E1F05">
        <w:t xml:space="preserve"> 8-10), was to evaluate the </w:t>
      </w:r>
      <w:r w:rsidRPr="003E1F05">
        <w:rPr>
          <w:rFonts w:cs="Calibri"/>
          <w:szCs w:val="24"/>
        </w:rPr>
        <w:t>clinical outcomes and cost-effectiveness of i</w:t>
      </w:r>
      <w:r w:rsidRPr="003E1F05">
        <w:t xml:space="preserve">nsulin pump therapy for people with type 1 diabetes, and the </w:t>
      </w:r>
      <w:r w:rsidRPr="003E1F05">
        <w:rPr>
          <w:rFonts w:cs="Calibri"/>
          <w:szCs w:val="24"/>
        </w:rPr>
        <w:t xml:space="preserve">clinical and financial eligibility criteria for the Insulin Pump Programme. The Insulin Pumps Review </w:t>
      </w:r>
      <w:proofErr w:type="gramStart"/>
      <w:r w:rsidRPr="003E1F05">
        <w:rPr>
          <w:rFonts w:cs="Calibri"/>
          <w:szCs w:val="24"/>
        </w:rPr>
        <w:t>was conducted</w:t>
      </w:r>
      <w:proofErr w:type="gramEnd"/>
      <w:r w:rsidRPr="003E1F05">
        <w:rPr>
          <w:rFonts w:cs="Calibri"/>
          <w:szCs w:val="24"/>
        </w:rPr>
        <w:t xml:space="preserve"> according to the </w:t>
      </w:r>
      <w:hyperlink r:id="rId9" w:history="1">
        <w:r w:rsidRPr="003E1F05">
          <w:rPr>
            <w:rStyle w:val="Hyperlink"/>
            <w:rFonts w:cs="Calibri"/>
            <w:color w:val="auto"/>
            <w:szCs w:val="24"/>
          </w:rPr>
          <w:t>Post</w:t>
        </w:r>
        <w:r w:rsidRPr="003E1F05">
          <w:rPr>
            <w:rStyle w:val="Hyperlink"/>
            <w:rFonts w:cs="Calibri"/>
            <w:color w:val="auto"/>
            <w:szCs w:val="24"/>
          </w:rPr>
          <w:noBreakHyphen/>
          <w:t>market Review Framework</w:t>
        </w:r>
      </w:hyperlink>
      <w:r w:rsidRPr="003E1F05">
        <w:rPr>
          <w:rFonts w:cs="Calibri"/>
          <w:szCs w:val="24"/>
        </w:rPr>
        <w:t xml:space="preserve"> (as at February 2014).</w:t>
      </w:r>
    </w:p>
    <w:p w:rsidR="008831AF" w:rsidRPr="003E1F05" w:rsidRDefault="008831AF" w:rsidP="008831AF">
      <w:pPr>
        <w:spacing w:before="160" w:after="160"/>
        <w:rPr>
          <w:rFonts w:eastAsia="Calibri"/>
          <w:szCs w:val="24"/>
        </w:rPr>
      </w:pPr>
      <w:r w:rsidRPr="003E1F05">
        <w:t xml:space="preserve">The Type 1 Diabetes Insulin Pump Programme (the Programme) </w:t>
      </w:r>
      <w:r w:rsidRPr="003E1F05">
        <w:rPr>
          <w:rFonts w:eastAsia="Calibri"/>
          <w:szCs w:val="24"/>
        </w:rPr>
        <w:t>aims to increase the affordability of insulin pump therapy for children up to 18 years of age from low-income families without private health insurance by subsidising the cost of an insulin pump.</w:t>
      </w:r>
      <w:r w:rsidRPr="003E1F05">
        <w:t xml:space="preserve"> </w:t>
      </w:r>
      <w:r w:rsidRPr="003E1F05">
        <w:rPr>
          <w:rFonts w:eastAsia="Calibri"/>
          <w:szCs w:val="24"/>
        </w:rPr>
        <w:t xml:space="preserve">The Programme also provides funding for part of the cost of pump consumables, </w:t>
      </w:r>
      <w:r w:rsidRPr="003E1F05">
        <w:rPr>
          <w:szCs w:val="24"/>
        </w:rPr>
        <w:t>including infusions sets, cannulas, and tubing</w:t>
      </w:r>
      <w:r w:rsidRPr="003E1F05">
        <w:rPr>
          <w:rFonts w:eastAsia="Calibri"/>
          <w:szCs w:val="24"/>
        </w:rPr>
        <w:t xml:space="preserve">. </w:t>
      </w:r>
      <w:r w:rsidRPr="003E1F05">
        <w:t>The Juvenile Diabetes Research Foundation (JDRF) administers insulin pumps under the Programme</w:t>
      </w:r>
      <w:r w:rsidRPr="003E1F05">
        <w:rPr>
          <w:rFonts w:eastAsia="Calibri"/>
          <w:szCs w:val="24"/>
        </w:rPr>
        <w:t xml:space="preserve">, while consumables </w:t>
      </w:r>
      <w:proofErr w:type="gramStart"/>
      <w:r w:rsidRPr="003E1F05">
        <w:rPr>
          <w:rFonts w:eastAsia="Calibri"/>
          <w:szCs w:val="24"/>
        </w:rPr>
        <w:t>are supplied</w:t>
      </w:r>
      <w:proofErr w:type="gramEnd"/>
      <w:r w:rsidRPr="003E1F05">
        <w:rPr>
          <w:rFonts w:eastAsia="Calibri"/>
          <w:szCs w:val="24"/>
        </w:rPr>
        <w:t xml:space="preserve"> through the National Diabetes Services Scheme (NDSS) administered by Diabetes Australia.</w:t>
      </w:r>
      <w:r w:rsidRPr="003E1F05">
        <w:t xml:space="preserve"> Programme funding totals $6.97 million over the four years to 2015-16.</w:t>
      </w:r>
    </w:p>
    <w:p w:rsidR="008831AF" w:rsidRPr="003E1F05" w:rsidRDefault="008831AF" w:rsidP="008831AF">
      <w:pPr>
        <w:spacing w:before="160" w:after="160"/>
      </w:pPr>
      <w:r w:rsidRPr="003E1F05">
        <w:t xml:space="preserve">It </w:t>
      </w:r>
      <w:proofErr w:type="gramStart"/>
      <w:r w:rsidRPr="003E1F05">
        <w:t>is estimated</w:t>
      </w:r>
      <w:proofErr w:type="gramEnd"/>
      <w:r w:rsidRPr="003E1F05">
        <w:t xml:space="preserve"> that there are approximately 118,600 Australians with type 1 diabetes (ABS 2013), of which approximately 10,510 are currently using an insulin pump (AIHW 2012b). </w:t>
      </w:r>
      <w:r w:rsidRPr="003E1F05">
        <w:rPr>
          <w:rFonts w:eastAsia="Calibri"/>
          <w:szCs w:val="24"/>
        </w:rPr>
        <w:t xml:space="preserve">As at February 2014, </w:t>
      </w:r>
      <w:r w:rsidRPr="003E1F05">
        <w:rPr>
          <w:szCs w:val="24"/>
        </w:rPr>
        <w:t xml:space="preserve">466 pumps </w:t>
      </w:r>
      <w:proofErr w:type="gramStart"/>
      <w:r w:rsidRPr="003E1F05">
        <w:rPr>
          <w:szCs w:val="24"/>
        </w:rPr>
        <w:t>were supplied</w:t>
      </w:r>
      <w:proofErr w:type="gramEnd"/>
      <w:r w:rsidRPr="003E1F05">
        <w:rPr>
          <w:szCs w:val="24"/>
        </w:rPr>
        <w:t xml:space="preserve"> under the Programme.</w:t>
      </w:r>
      <w:r w:rsidRPr="003E1F05">
        <w:rPr>
          <w:rFonts w:eastAsia="Calibri"/>
          <w:szCs w:val="24"/>
        </w:rPr>
        <w:t xml:space="preserve"> </w:t>
      </w:r>
      <w:r w:rsidRPr="003E1F05">
        <w:t xml:space="preserve">Families accessing a subsidised insulin pump under the Programme are able to choose any of the pumps on the Prostheses List, which is primarily designed for private health insurance purposes and </w:t>
      </w:r>
      <w:proofErr w:type="gramStart"/>
      <w:r w:rsidRPr="003E1F05">
        <w:t>is also</w:t>
      </w:r>
      <w:proofErr w:type="gramEnd"/>
      <w:r w:rsidRPr="003E1F05">
        <w:t xml:space="preserve"> managed by the Department, or any other eligible and clinically recommended pump. </w:t>
      </w:r>
    </w:p>
    <w:p w:rsidR="008831AF" w:rsidRPr="00787F54" w:rsidRDefault="008831AF" w:rsidP="008831AF">
      <w:pPr>
        <w:pStyle w:val="Heading3"/>
      </w:pPr>
      <w:r w:rsidRPr="00787F54">
        <w:t>Review findings</w:t>
      </w:r>
    </w:p>
    <w:p w:rsidR="008831AF" w:rsidRPr="003E1F05" w:rsidRDefault="008831AF" w:rsidP="008831AF">
      <w:proofErr w:type="spellStart"/>
      <w:r w:rsidRPr="003E1F05">
        <w:t>ToR</w:t>
      </w:r>
      <w:proofErr w:type="spellEnd"/>
      <w:r w:rsidRPr="003E1F05">
        <w:t xml:space="preserve"> 8 focussed on clinical outcomes of insulin pump therapy. The systematic literature review of randomised controlled trials (RCTs) showed that the evidence does not conclusively support the superior efficacy or safety of insulin pump therapy over multiple daily injections in any age group. The overall strength of evidence was low to very low, with minimal benefit from insulin pump therapy on HbA</w:t>
      </w:r>
      <w:r w:rsidRPr="003E1F05">
        <w:rPr>
          <w:vertAlign w:val="subscript"/>
        </w:rPr>
        <w:t>1c</w:t>
      </w:r>
      <w:r w:rsidRPr="003E1F05">
        <w:t xml:space="preserve"> and no effect on hypoglycaemia. The observed benefit of insulin pump therapy compared to multiple daily injections showed a reduction in HbA</w:t>
      </w:r>
      <w:r w:rsidRPr="003E1F05">
        <w:rPr>
          <w:vertAlign w:val="subscript"/>
        </w:rPr>
        <w:t>1c</w:t>
      </w:r>
      <w:r w:rsidRPr="003E1F05">
        <w:t xml:space="preserve"> levels, ranging from 0.1–0.22% in children and adolescents, and 0.19–0.30% for adults. The difference did not reach the 0.5% reduction generally accepted to be of clinical significance (</w:t>
      </w:r>
      <w:proofErr w:type="spellStart"/>
      <w:r w:rsidRPr="003E1F05">
        <w:t>Clar</w:t>
      </w:r>
      <w:proofErr w:type="spellEnd"/>
      <w:r w:rsidRPr="003E1F05">
        <w:t xml:space="preserve"> </w:t>
      </w:r>
      <w:r w:rsidRPr="003E1F05">
        <w:rPr>
          <w:i/>
        </w:rPr>
        <w:t>et al.</w:t>
      </w:r>
      <w:r w:rsidRPr="003E1F05">
        <w:t xml:space="preserve"> 2010; Cummins </w:t>
      </w:r>
      <w:r w:rsidRPr="003E1F05">
        <w:rPr>
          <w:i/>
        </w:rPr>
        <w:t>et al.</w:t>
      </w:r>
      <w:r w:rsidRPr="003E1F05">
        <w:t xml:space="preserve"> 2010). However, there is no consensus on this issue and a smaller reduction </w:t>
      </w:r>
      <w:proofErr w:type="gramStart"/>
      <w:r w:rsidRPr="003E1F05">
        <w:t xml:space="preserve">may </w:t>
      </w:r>
      <w:r w:rsidRPr="003E1F05">
        <w:rPr>
          <w:szCs w:val="24"/>
        </w:rPr>
        <w:t>be considered</w:t>
      </w:r>
      <w:proofErr w:type="gramEnd"/>
      <w:r w:rsidRPr="003E1F05">
        <w:rPr>
          <w:szCs w:val="24"/>
        </w:rPr>
        <w:t xml:space="preserve"> important from a public health perspective if achieved on a wide scale (Farmer </w:t>
      </w:r>
      <w:r w:rsidRPr="003E1F05">
        <w:rPr>
          <w:i/>
          <w:szCs w:val="24"/>
        </w:rPr>
        <w:t>et al.</w:t>
      </w:r>
      <w:r w:rsidRPr="003E1F05">
        <w:rPr>
          <w:szCs w:val="24"/>
        </w:rPr>
        <w:t xml:space="preserve"> 2012).</w:t>
      </w:r>
      <w:r w:rsidRPr="003E1F05">
        <w:t xml:space="preserve"> </w:t>
      </w:r>
      <w:r w:rsidRPr="003E1F05">
        <w:rPr>
          <w:bCs/>
          <w:szCs w:val="24"/>
        </w:rPr>
        <w:t>No trials assessed long</w:t>
      </w:r>
      <w:r w:rsidRPr="003E1F05">
        <w:rPr>
          <w:bCs/>
          <w:szCs w:val="24"/>
        </w:rPr>
        <w:noBreakHyphen/>
        <w:t xml:space="preserve">term health outcomes. </w:t>
      </w:r>
    </w:p>
    <w:p w:rsidR="008831AF" w:rsidRPr="003E1F05" w:rsidRDefault="008831AF" w:rsidP="008831AF">
      <w:r w:rsidRPr="003E1F05">
        <w:t>The systematic review of observational evidence indicated that children, adolescents, and adults appear to achieve greater reductions in HbA</w:t>
      </w:r>
      <w:r w:rsidRPr="003E1F05">
        <w:rPr>
          <w:vertAlign w:val="subscript"/>
        </w:rPr>
        <w:t>1c</w:t>
      </w:r>
      <w:r w:rsidRPr="003E1F05">
        <w:t xml:space="preserve"> with insulin pump therapy and have a lower risk of severe hypoglycaemia. </w:t>
      </w:r>
      <w:r w:rsidR="00EE7F79" w:rsidRPr="003E1F05">
        <w:t xml:space="preserve">Some </w:t>
      </w:r>
      <w:proofErr w:type="gramStart"/>
      <w:r w:rsidR="00EE7F79" w:rsidRPr="003E1F05">
        <w:t>long term</w:t>
      </w:r>
      <w:proofErr w:type="gramEnd"/>
      <w:r w:rsidR="00EE7F79" w:rsidRPr="003E1F05">
        <w:t xml:space="preserve"> </w:t>
      </w:r>
      <w:r w:rsidRPr="003E1F05">
        <w:t xml:space="preserve">studies showed statistically </w:t>
      </w:r>
      <w:r w:rsidRPr="003E1F05">
        <w:lastRenderedPageBreak/>
        <w:t>significant reductions in HbA</w:t>
      </w:r>
      <w:r w:rsidRPr="003E1F05">
        <w:rPr>
          <w:vertAlign w:val="subscript"/>
        </w:rPr>
        <w:t>1c</w:t>
      </w:r>
      <w:r w:rsidRPr="003E1F05">
        <w:t xml:space="preserve"> ranging from 0.3–0.5% in children and adolescents</w:t>
      </w:r>
      <w:r w:rsidR="00EE7F79" w:rsidRPr="003E1F05">
        <w:t xml:space="preserve"> using insulin pump therapy at 2-5 years follow-up. </w:t>
      </w:r>
      <w:r w:rsidR="003C3ADE" w:rsidRPr="003E1F05">
        <w:t>In addition, a r</w:t>
      </w:r>
      <w:r w:rsidR="003C3ADE" w:rsidRPr="003E1F05">
        <w:rPr>
          <w:rFonts w:cs="Cambria"/>
          <w:lang w:eastAsia="en-AU"/>
        </w:rPr>
        <w:t>ecently published case-control study undertaken in children and adolescents in Australia showed a significant reduction in HbA</w:t>
      </w:r>
      <w:r w:rsidR="003C3ADE" w:rsidRPr="003E1F05">
        <w:rPr>
          <w:rFonts w:cs="Cambria"/>
          <w:vertAlign w:val="subscript"/>
          <w:lang w:eastAsia="en-AU"/>
        </w:rPr>
        <w:t>1c</w:t>
      </w:r>
      <w:r w:rsidR="003C3ADE" w:rsidRPr="003E1F05">
        <w:rPr>
          <w:rFonts w:cs="Cambria"/>
          <w:lang w:eastAsia="en-AU"/>
        </w:rPr>
        <w:t xml:space="preserve"> of 0.6% with insulin pump therapy and reduced rates of severe hypoglycaemia and hospitalisation for ketoacidosis (Johnson </w:t>
      </w:r>
      <w:r w:rsidR="003C3ADE" w:rsidRPr="003E1F05">
        <w:rPr>
          <w:rFonts w:cs="Cambria"/>
          <w:i/>
          <w:lang w:eastAsia="en-AU"/>
        </w:rPr>
        <w:t>et al.</w:t>
      </w:r>
      <w:r w:rsidR="003C3ADE" w:rsidRPr="003E1F05">
        <w:rPr>
          <w:rFonts w:cs="Cambria"/>
          <w:lang w:eastAsia="en-AU"/>
        </w:rPr>
        <w:t xml:space="preserve"> 2013). </w:t>
      </w:r>
      <w:r w:rsidR="00EE7F79" w:rsidRPr="003E1F05">
        <w:t xml:space="preserve">In adults, before-and-after studies showed statistically significant </w:t>
      </w:r>
      <w:r w:rsidR="003C3ADE" w:rsidRPr="003E1F05">
        <w:t xml:space="preserve">reductions </w:t>
      </w:r>
      <w:r w:rsidR="00EE7F79" w:rsidRPr="003E1F05">
        <w:t>in HbA</w:t>
      </w:r>
      <w:r w:rsidR="00EE7F79" w:rsidRPr="003E1F05">
        <w:rPr>
          <w:vertAlign w:val="subscript"/>
        </w:rPr>
        <w:t>1c</w:t>
      </w:r>
      <w:r w:rsidR="00EE7F79" w:rsidRPr="003E1F05">
        <w:t xml:space="preserve"> in most studies, with </w:t>
      </w:r>
      <w:r w:rsidR="00E75393" w:rsidRPr="003E1F05">
        <w:t xml:space="preserve">mean decreases of </w:t>
      </w:r>
      <w:r w:rsidRPr="003E1F05">
        <w:t xml:space="preserve">0.17–1.9%. </w:t>
      </w:r>
      <w:r w:rsidR="003C3ADE" w:rsidRPr="003E1F05">
        <w:t>The largest cohort study in adults, showed a statistically significant reduction in HbA</w:t>
      </w:r>
      <w:r w:rsidR="003C3ADE" w:rsidRPr="003E1F05">
        <w:rPr>
          <w:vertAlign w:val="subscript"/>
        </w:rPr>
        <w:t>1c</w:t>
      </w:r>
      <w:r w:rsidR="003C3ADE" w:rsidRPr="003E1F05">
        <w:t xml:space="preserve"> with insulin pump therapy of 0.2% at five years (</w:t>
      </w:r>
      <w:proofErr w:type="spellStart"/>
      <w:r w:rsidR="003C3ADE" w:rsidRPr="003E1F05">
        <w:t>Carlsson</w:t>
      </w:r>
      <w:proofErr w:type="spellEnd"/>
      <w:r w:rsidR="003C3ADE" w:rsidRPr="003E1F05">
        <w:t xml:space="preserve"> </w:t>
      </w:r>
      <w:r w:rsidR="003C3ADE" w:rsidRPr="003E1F05">
        <w:rPr>
          <w:i/>
        </w:rPr>
        <w:t>et al.</w:t>
      </w:r>
      <w:r w:rsidR="003C3ADE" w:rsidRPr="003E1F05">
        <w:t xml:space="preserve"> 2013). </w:t>
      </w:r>
      <w:r w:rsidRPr="003E1F05">
        <w:rPr>
          <w:rFonts w:cs="Cambria"/>
          <w:lang w:eastAsia="en-AU"/>
        </w:rPr>
        <w:t xml:space="preserve">The observational studies lack randomisation and have a high risk of selection and publication bias and results </w:t>
      </w:r>
      <w:proofErr w:type="gramStart"/>
      <w:r w:rsidRPr="003E1F05">
        <w:rPr>
          <w:rFonts w:cs="Cambria"/>
          <w:lang w:eastAsia="en-AU"/>
        </w:rPr>
        <w:t>should be interpreted</w:t>
      </w:r>
      <w:proofErr w:type="gramEnd"/>
      <w:r w:rsidRPr="003E1F05">
        <w:rPr>
          <w:rFonts w:cs="Cambria"/>
          <w:lang w:eastAsia="en-AU"/>
        </w:rPr>
        <w:t xml:space="preserve"> cautiously. However, the patients included in these studies may be more reflective of the patients in which insulin pumps are used in Australia, such as those with diabetes complications or hypoglycaemia unawareness, </w:t>
      </w:r>
      <w:proofErr w:type="gramStart"/>
      <w:r w:rsidRPr="003E1F05">
        <w:rPr>
          <w:rFonts w:cs="Cambria"/>
          <w:lang w:eastAsia="en-AU"/>
        </w:rPr>
        <w:t>who</w:t>
      </w:r>
      <w:proofErr w:type="gramEnd"/>
      <w:r w:rsidRPr="003E1F05">
        <w:rPr>
          <w:rFonts w:cs="Cambria"/>
          <w:lang w:eastAsia="en-AU"/>
        </w:rPr>
        <w:t xml:space="preserve"> were generally excluded from RCTs. </w:t>
      </w:r>
    </w:p>
    <w:p w:rsidR="008831AF" w:rsidRPr="003E1F05" w:rsidRDefault="008831AF" w:rsidP="008831AF">
      <w:pPr>
        <w:spacing w:before="160" w:after="160"/>
        <w:rPr>
          <w:szCs w:val="24"/>
        </w:rPr>
      </w:pPr>
      <w:r w:rsidRPr="003E1F05">
        <w:rPr>
          <w:szCs w:val="24"/>
        </w:rPr>
        <w:t xml:space="preserve">As the literature reviews demonstrated only minimal benefits of insulin pump therapy over multiple daily injections, a cost-effectiveness analysis was not undertaken. In addition, the literature search showed that there is no evidence available on the comparative effectiveness of different insulin pump brands and no evidence </w:t>
      </w:r>
      <w:proofErr w:type="gramStart"/>
      <w:r w:rsidRPr="003E1F05">
        <w:rPr>
          <w:szCs w:val="24"/>
        </w:rPr>
        <w:t>was provided</w:t>
      </w:r>
      <w:proofErr w:type="gramEnd"/>
      <w:r w:rsidRPr="003E1F05">
        <w:rPr>
          <w:szCs w:val="24"/>
        </w:rPr>
        <w:t xml:space="preserve"> on this through the stakeholder consultation process</w:t>
      </w:r>
      <w:r w:rsidRPr="003E1F05">
        <w:rPr>
          <w:rFonts w:eastAsia="Calibri"/>
        </w:rPr>
        <w:t>.</w:t>
      </w:r>
      <w:r w:rsidRPr="003E1F05">
        <w:rPr>
          <w:szCs w:val="24"/>
        </w:rPr>
        <w:t xml:space="preserve"> </w:t>
      </w:r>
      <w:proofErr w:type="spellStart"/>
      <w:r w:rsidRPr="003E1F05">
        <w:rPr>
          <w:szCs w:val="24"/>
        </w:rPr>
        <w:t>ToR</w:t>
      </w:r>
      <w:proofErr w:type="spellEnd"/>
      <w:r w:rsidRPr="003E1F05">
        <w:rPr>
          <w:szCs w:val="24"/>
        </w:rPr>
        <w:t xml:space="preserve"> 9 subsequently focussed primarily on Programme costs to consumers and Government, utilisation, and affordability and access issues. </w:t>
      </w:r>
    </w:p>
    <w:p w:rsidR="008831AF" w:rsidRPr="003E1F05" w:rsidRDefault="008831AF" w:rsidP="008831AF">
      <w:pPr>
        <w:spacing w:before="160" w:after="160"/>
      </w:pPr>
      <w:r w:rsidRPr="003E1F05">
        <w:rPr>
          <w:szCs w:val="24"/>
        </w:rPr>
        <w:t xml:space="preserve">On average, insulin pump consumables (excluding insulin) cost consumers </w:t>
      </w:r>
      <w:r w:rsidRPr="003E1F05">
        <w:rPr>
          <w:rFonts w:eastAsia="Calibri" w:cs="Cambria"/>
          <w:szCs w:val="24"/>
        </w:rPr>
        <w:t>$310 per annum.</w:t>
      </w:r>
      <w:r w:rsidRPr="003E1F05">
        <w:rPr>
          <w:szCs w:val="24"/>
        </w:rPr>
        <w:t xml:space="preserve"> In terms of costs, the average cost to Government for each insulin pump supplied through the Programme is $</w:t>
      </w:r>
      <w:r w:rsidRPr="003E1F05">
        <w:rPr>
          <w:rFonts w:cs="Calibri"/>
          <w:szCs w:val="24"/>
          <w:lang w:eastAsia="en-AU"/>
        </w:rPr>
        <w:t xml:space="preserve">14,779 over </w:t>
      </w:r>
      <w:r w:rsidRPr="003E1F05">
        <w:rPr>
          <w:szCs w:val="24"/>
        </w:rPr>
        <w:t xml:space="preserve">four years (the warranty period), or $3,695 per annum. This estimate </w:t>
      </w:r>
      <w:proofErr w:type="gramStart"/>
      <w:r w:rsidRPr="003E1F05">
        <w:rPr>
          <w:szCs w:val="24"/>
        </w:rPr>
        <w:t>is based</w:t>
      </w:r>
      <w:proofErr w:type="gramEnd"/>
      <w:r w:rsidRPr="003E1F05">
        <w:rPr>
          <w:szCs w:val="24"/>
        </w:rPr>
        <w:t xml:space="preserve"> on the median pump subsidy amount ($6,400) and the cost of consumables for four years (</w:t>
      </w:r>
      <w:r w:rsidRPr="003E1F05">
        <w:rPr>
          <w:rFonts w:eastAsia="Calibri" w:cs="Cambria"/>
          <w:szCs w:val="24"/>
        </w:rPr>
        <w:t>$2,098 per annum)</w:t>
      </w:r>
      <w:r w:rsidRPr="003E1F05">
        <w:rPr>
          <w:szCs w:val="24"/>
        </w:rPr>
        <w:t>.</w:t>
      </w:r>
      <w:r w:rsidRPr="003E1F05">
        <w:rPr>
          <w:rFonts w:eastAsia="Calibri"/>
          <w:szCs w:val="24"/>
        </w:rPr>
        <w:t xml:space="preserve"> </w:t>
      </w:r>
    </w:p>
    <w:p w:rsidR="008831AF" w:rsidRPr="003E1F05" w:rsidRDefault="008831AF" w:rsidP="008831AF">
      <w:pPr>
        <w:spacing w:before="160" w:after="160"/>
        <w:rPr>
          <w:szCs w:val="24"/>
        </w:rPr>
      </w:pPr>
      <w:r w:rsidRPr="003E1F05">
        <w:rPr>
          <w:szCs w:val="24"/>
        </w:rPr>
        <w:t>A brief review of the available cost-effectiveness models indicates that insulin pumps are unlikely to be cost-effective assuming an HbA</w:t>
      </w:r>
      <w:r w:rsidRPr="003E1F05">
        <w:rPr>
          <w:szCs w:val="24"/>
          <w:vertAlign w:val="subscript"/>
        </w:rPr>
        <w:t>1c</w:t>
      </w:r>
      <w:r w:rsidRPr="003E1F05">
        <w:rPr>
          <w:szCs w:val="24"/>
        </w:rPr>
        <w:t xml:space="preserve"> reduction of around 0.5% relative to multiple daily injections, but are likely to be cost-effective assuming an HbA</w:t>
      </w:r>
      <w:r w:rsidRPr="003E1F05">
        <w:rPr>
          <w:szCs w:val="24"/>
          <w:vertAlign w:val="subscript"/>
        </w:rPr>
        <w:t>1c</w:t>
      </w:r>
      <w:r w:rsidRPr="003E1F05">
        <w:rPr>
          <w:szCs w:val="24"/>
        </w:rPr>
        <w:t xml:space="preserve"> reduction of around 1.2% (Cummins </w:t>
      </w:r>
      <w:r w:rsidRPr="003E1F05">
        <w:rPr>
          <w:i/>
          <w:szCs w:val="24"/>
        </w:rPr>
        <w:t xml:space="preserve">et al. </w:t>
      </w:r>
      <w:r w:rsidRPr="003E1F05">
        <w:rPr>
          <w:szCs w:val="24"/>
        </w:rPr>
        <w:t xml:space="preserve">2010, Cohen </w:t>
      </w:r>
      <w:r w:rsidRPr="003E1F05">
        <w:rPr>
          <w:i/>
          <w:szCs w:val="24"/>
        </w:rPr>
        <w:t>et al.</w:t>
      </w:r>
      <w:r w:rsidRPr="003E1F05">
        <w:rPr>
          <w:szCs w:val="24"/>
        </w:rPr>
        <w:t xml:space="preserve"> 2007). The incremental cost-effectiveness ratio for insulin pump therapy is likely to be $A110</w:t>
      </w:r>
      <w:proofErr w:type="gramStart"/>
      <w:r w:rsidRPr="003E1F05">
        <w:rPr>
          <w:szCs w:val="24"/>
        </w:rPr>
        <w:t>,000</w:t>
      </w:r>
      <w:proofErr w:type="gramEnd"/>
      <w:r w:rsidRPr="003E1F05">
        <w:rPr>
          <w:szCs w:val="24"/>
        </w:rPr>
        <w:t>–$150,000 per quality-adjusted life year assuming a reduction in HbA</w:t>
      </w:r>
      <w:r w:rsidRPr="003E1F05">
        <w:rPr>
          <w:szCs w:val="24"/>
          <w:vertAlign w:val="subscript"/>
        </w:rPr>
        <w:t>1c</w:t>
      </w:r>
      <w:r w:rsidRPr="003E1F05">
        <w:rPr>
          <w:szCs w:val="24"/>
        </w:rPr>
        <w:t xml:space="preserve"> of 0.5–0.6% (Cummins </w:t>
      </w:r>
      <w:r w:rsidRPr="003E1F05">
        <w:rPr>
          <w:i/>
          <w:szCs w:val="24"/>
        </w:rPr>
        <w:t xml:space="preserve">et al. </w:t>
      </w:r>
      <w:r w:rsidRPr="003E1F05">
        <w:rPr>
          <w:szCs w:val="24"/>
        </w:rPr>
        <w:t xml:space="preserve">2010, Cohen </w:t>
      </w:r>
      <w:r w:rsidRPr="003E1F05">
        <w:rPr>
          <w:i/>
          <w:szCs w:val="24"/>
        </w:rPr>
        <w:t>et al.</w:t>
      </w:r>
      <w:r w:rsidRPr="003E1F05">
        <w:rPr>
          <w:szCs w:val="24"/>
        </w:rPr>
        <w:t xml:space="preserve"> 2007). This suggests that patient selection is important to ensure cost-effective use of insulin pumps, but the lack of sub-group analyses makes this difficult. The literature review of observational evidence indicated that people with high initial HbA</w:t>
      </w:r>
      <w:r w:rsidRPr="003E1F05">
        <w:rPr>
          <w:szCs w:val="24"/>
          <w:vertAlign w:val="subscript"/>
        </w:rPr>
        <w:t>1c</w:t>
      </w:r>
      <w:r w:rsidRPr="003E1F05">
        <w:rPr>
          <w:szCs w:val="24"/>
        </w:rPr>
        <w:t xml:space="preserve"> generally showed greater improvements in HbA</w:t>
      </w:r>
      <w:r w:rsidRPr="003E1F05">
        <w:rPr>
          <w:szCs w:val="24"/>
          <w:vertAlign w:val="subscript"/>
        </w:rPr>
        <w:t>1c</w:t>
      </w:r>
      <w:r w:rsidRPr="003E1F05">
        <w:rPr>
          <w:szCs w:val="24"/>
        </w:rPr>
        <w:t xml:space="preserve"> with insulin pump therapy. Use in patients with </w:t>
      </w:r>
      <w:r w:rsidRPr="003E1F05">
        <w:t xml:space="preserve">severe and/or unpredictable hypoglycaemia requiring hospitalisation at least once a year </w:t>
      </w:r>
      <w:r w:rsidRPr="003E1F05">
        <w:rPr>
          <w:szCs w:val="24"/>
        </w:rPr>
        <w:t xml:space="preserve">may also be cost-effective </w:t>
      </w:r>
      <w:r w:rsidRPr="003E1F05">
        <w:t>(</w:t>
      </w:r>
      <w:proofErr w:type="spellStart"/>
      <w:r w:rsidRPr="003E1F05">
        <w:t>Scuffham</w:t>
      </w:r>
      <w:proofErr w:type="spellEnd"/>
      <w:r w:rsidRPr="003E1F05">
        <w:t xml:space="preserve"> &amp; Carr 2003)</w:t>
      </w:r>
      <w:r w:rsidRPr="003E1F05">
        <w:rPr>
          <w:szCs w:val="24"/>
        </w:rPr>
        <w:t>.</w:t>
      </w:r>
    </w:p>
    <w:p w:rsidR="008831AF" w:rsidRPr="003E1F05" w:rsidRDefault="008831AF" w:rsidP="008831AF">
      <w:pPr>
        <w:spacing w:before="160" w:after="160"/>
        <w:rPr>
          <w:szCs w:val="24"/>
        </w:rPr>
      </w:pPr>
      <w:r w:rsidRPr="003E1F05">
        <w:rPr>
          <w:rFonts w:eastAsia="Calibri"/>
          <w:szCs w:val="24"/>
        </w:rPr>
        <w:t xml:space="preserve">The investigation of the Programme’s usage and financial eligibility criteria </w:t>
      </w:r>
      <w:r w:rsidR="00D437B2" w:rsidRPr="003E1F05">
        <w:rPr>
          <w:rFonts w:eastAsia="Calibri"/>
          <w:szCs w:val="24"/>
        </w:rPr>
        <w:t xml:space="preserve">highlighted several issues with </w:t>
      </w:r>
      <w:r w:rsidRPr="003E1F05">
        <w:rPr>
          <w:rFonts w:eastAsia="Calibri"/>
          <w:szCs w:val="24"/>
        </w:rPr>
        <w:t>affordability for the eligible population.</w:t>
      </w:r>
      <w:r w:rsidRPr="003E1F05">
        <w:rPr>
          <w:szCs w:val="24"/>
        </w:rPr>
        <w:t xml:space="preserve"> </w:t>
      </w:r>
      <w:hyperlink w:anchor="Figure1" w:history="1">
        <w:r w:rsidRPr="003E1F05">
          <w:rPr>
            <w:rStyle w:val="Hyperlink"/>
            <w:color w:val="auto"/>
            <w:szCs w:val="24"/>
          </w:rPr>
          <w:t>Figure 1</w:t>
        </w:r>
      </w:hyperlink>
      <w:r w:rsidRPr="003E1F05">
        <w:rPr>
          <w:szCs w:val="24"/>
        </w:rPr>
        <w:t xml:space="preserve"> in Part 2.7.2 summarises the relationship between family income, the amount of the Government subsidy and cost of the patient co-payment for the most used insulin pump under the Programme. </w:t>
      </w:r>
      <w:r w:rsidRPr="003E1F05">
        <w:rPr>
          <w:rFonts w:eastAsia="Calibri"/>
          <w:szCs w:val="24"/>
        </w:rPr>
        <w:t xml:space="preserve">After JDRF made agreements in 2011 with some manufacturers to cover the patient co-payment to aid access for the lowest income families, Programme uptake </w:t>
      </w:r>
      <w:r w:rsidRPr="003E1F05">
        <w:rPr>
          <w:rFonts w:eastAsia="Calibri"/>
          <w:szCs w:val="24"/>
        </w:rPr>
        <w:lastRenderedPageBreak/>
        <w:t xml:space="preserve">increased. This led to the development of a waiting list in 2012-13, which </w:t>
      </w:r>
      <w:proofErr w:type="gramStart"/>
      <w:r w:rsidRPr="003E1F05">
        <w:rPr>
          <w:rFonts w:eastAsia="Calibri"/>
          <w:szCs w:val="24"/>
        </w:rPr>
        <w:t>has since been addressed</w:t>
      </w:r>
      <w:proofErr w:type="gramEnd"/>
      <w:r w:rsidRPr="003E1F05">
        <w:rPr>
          <w:rFonts w:eastAsia="Calibri"/>
          <w:szCs w:val="24"/>
        </w:rPr>
        <w:t xml:space="preserve"> with new funding from the Government.</w:t>
      </w:r>
      <w:r w:rsidRPr="003E1F05">
        <w:rPr>
          <w:szCs w:val="24"/>
        </w:rPr>
        <w:t xml:space="preserve"> As at February 2014, the delivery of insulin pum</w:t>
      </w:r>
      <w:r w:rsidR="00EA7B66">
        <w:rPr>
          <w:szCs w:val="24"/>
        </w:rPr>
        <w:t>ps through the Programme has</w:t>
      </w:r>
      <w:r w:rsidRPr="003E1F05">
        <w:rPr>
          <w:szCs w:val="24"/>
        </w:rPr>
        <w:t xml:space="preserve"> recommenced.</w:t>
      </w:r>
    </w:p>
    <w:p w:rsidR="008831AF" w:rsidRPr="003E1F05" w:rsidRDefault="008831AF" w:rsidP="008831AF">
      <w:pPr>
        <w:spacing w:before="160" w:after="160"/>
        <w:rPr>
          <w:szCs w:val="24"/>
        </w:rPr>
      </w:pPr>
      <w:r w:rsidRPr="003E1F05">
        <w:rPr>
          <w:szCs w:val="24"/>
        </w:rPr>
        <w:t>The Prostheses List pump prices increased on 1 August 2012, which led to a subsequent increase in the patient co</w:t>
      </w:r>
      <w:r w:rsidRPr="003E1F05">
        <w:rPr>
          <w:szCs w:val="24"/>
        </w:rPr>
        <w:noBreakHyphen/>
        <w:t>payment as the Programme’s maximum subsidy remained capped. Families on the lowest eligible incomes of under $71,230 (2013-14) per annum are now less likely to be able to afford the co</w:t>
      </w:r>
      <w:r w:rsidRPr="003E1F05">
        <w:rPr>
          <w:szCs w:val="24"/>
        </w:rPr>
        <w:noBreakHyphen/>
        <w:t xml:space="preserve">payment without further subsidy or continued assistance from insulin pump manufacturers. For the majority of other eligible families, private hospital insurance is likely to be a more affordable option than to access the Programme, at least for their first insulin pump. The median family income data indicates that families on eligible incomes </w:t>
      </w:r>
      <w:proofErr w:type="gramStart"/>
      <w:r w:rsidRPr="003E1F05">
        <w:rPr>
          <w:szCs w:val="24"/>
        </w:rPr>
        <w:t>between $71,230-$101,653 (2013-14)</w:t>
      </w:r>
      <w:proofErr w:type="gramEnd"/>
      <w:r w:rsidRPr="003E1F05">
        <w:rPr>
          <w:szCs w:val="24"/>
        </w:rPr>
        <w:t xml:space="preserve"> rarely access the Programme (JDRF data). This raises the issue of the affordability of the Programme for low- and middle-income families.</w:t>
      </w:r>
      <w:r w:rsidRPr="003E1F05">
        <w:t xml:space="preserve"> </w:t>
      </w:r>
    </w:p>
    <w:p w:rsidR="008831AF" w:rsidRPr="003E1F05" w:rsidRDefault="008831AF" w:rsidP="008831AF">
      <w:pPr>
        <w:spacing w:before="160" w:after="160"/>
        <w:rPr>
          <w:szCs w:val="24"/>
        </w:rPr>
      </w:pPr>
      <w:proofErr w:type="spellStart"/>
      <w:r w:rsidRPr="003E1F05">
        <w:rPr>
          <w:szCs w:val="24"/>
        </w:rPr>
        <w:t>ToR</w:t>
      </w:r>
      <w:proofErr w:type="spellEnd"/>
      <w:r w:rsidRPr="003E1F05">
        <w:rPr>
          <w:szCs w:val="24"/>
        </w:rPr>
        <w:t xml:space="preserve"> 10 examined the clinical eligibility of the Programme, as well as a comparison of Australian and international guidelines for insulin pump </w:t>
      </w:r>
      <w:proofErr w:type="gramStart"/>
      <w:r w:rsidRPr="003E1F05">
        <w:rPr>
          <w:szCs w:val="24"/>
        </w:rPr>
        <w:t>therapy,</w:t>
      </w:r>
      <w:proofErr w:type="gramEnd"/>
      <w:r w:rsidRPr="003E1F05">
        <w:rPr>
          <w:szCs w:val="24"/>
        </w:rPr>
        <w:t xml:space="preserve"> and subsidy arrangements in other countries. This showed that most guidelines recommend that the decision to initiate insulin pump therapy should be at the discretion of a healthcare professional in consultation with the patient or carer. The literature shows that there is limited evidence regarding sub-groups that receive greater benefit from insulin pump therapy, which makes it difficult to define clinical criteria to restrict use of the Programme to patients in which insulin pumps are most likely to be effective and cost</w:t>
      </w:r>
      <w:r w:rsidRPr="003E1F05">
        <w:rPr>
          <w:szCs w:val="24"/>
        </w:rPr>
        <w:noBreakHyphen/>
        <w:t>effective.</w:t>
      </w:r>
    </w:p>
    <w:p w:rsidR="008831AF" w:rsidRPr="003E1F05" w:rsidRDefault="008831AF" w:rsidP="008831AF">
      <w:pPr>
        <w:spacing w:before="160" w:after="160"/>
        <w:rPr>
          <w:szCs w:val="24"/>
        </w:rPr>
      </w:pPr>
      <w:r w:rsidRPr="003E1F05">
        <w:rPr>
          <w:szCs w:val="24"/>
        </w:rPr>
        <w:t xml:space="preserve">The Australasian Paediatric Endocrine Group (APEG) advised, via direct written input, that the current Programme eligibility criteria are appropriate for children, and that there is not enough evidence on which to base any additional criteria. Australian and international clinical guidelines often recommend insulin pump therapy for children under 12 years where multiple daily injections are impractical, women who are pregnant or trying to conceive, and people with poor glycaemic control. For the healthcare systems examined, most provided full or partial subsidy arrangements for an insulin pump, with a focus on </w:t>
      </w:r>
      <w:r w:rsidR="00EA7B66">
        <w:rPr>
          <w:szCs w:val="24"/>
        </w:rPr>
        <w:t>providing access for children and</w:t>
      </w:r>
      <w:r w:rsidRPr="003E1F05">
        <w:rPr>
          <w:szCs w:val="24"/>
        </w:rPr>
        <w:t xml:space="preserve"> young adults.</w:t>
      </w:r>
    </w:p>
    <w:p w:rsidR="008831AF" w:rsidRPr="00787F54" w:rsidRDefault="008831AF" w:rsidP="008831AF">
      <w:pPr>
        <w:pStyle w:val="Heading3"/>
      </w:pPr>
      <w:r w:rsidRPr="00787F54">
        <w:t xml:space="preserve">Stakeholder input </w:t>
      </w:r>
    </w:p>
    <w:p w:rsidR="008831AF" w:rsidRPr="003E1F05" w:rsidRDefault="008831AF" w:rsidP="008831AF">
      <w:pPr>
        <w:spacing w:before="160" w:after="160"/>
        <w:rPr>
          <w:szCs w:val="24"/>
        </w:rPr>
      </w:pPr>
      <w:r w:rsidRPr="003E1F05">
        <w:rPr>
          <w:szCs w:val="24"/>
        </w:rPr>
        <w:t>The overall sentiment from stakeholders was that there are clinical (effectiveness and safety) and quality of life benefits to insulin pump therapy. Stakeholders were supportive of the continuation of the Programme and suggested expansion to pregnant women and to all ages. Clinical groups expressed that while the evidence does not conclusively support the clinical benefits of insulin pump therapy, there is some benefit in particular patient sub</w:t>
      </w:r>
      <w:r w:rsidRPr="003E1F05">
        <w:rPr>
          <w:szCs w:val="24"/>
        </w:rPr>
        <w:noBreakHyphen/>
        <w:t xml:space="preserve">groups, including high-risk patients. It was explicit that success with either therapy was dependent on the level of motivation and compliance of the patient/carer. It </w:t>
      </w:r>
      <w:proofErr w:type="gramStart"/>
      <w:r w:rsidRPr="003E1F05">
        <w:rPr>
          <w:szCs w:val="24"/>
        </w:rPr>
        <w:t>was also suggested</w:t>
      </w:r>
      <w:proofErr w:type="gramEnd"/>
      <w:r w:rsidRPr="003E1F05">
        <w:rPr>
          <w:szCs w:val="24"/>
        </w:rPr>
        <w:t xml:space="preserve"> that access to a range of insulin pumps assisted health professionals to </w:t>
      </w:r>
      <w:r w:rsidR="00EA7B66">
        <w:rPr>
          <w:szCs w:val="24"/>
        </w:rPr>
        <w:t>tailor products to individual</w:t>
      </w:r>
      <w:r w:rsidRPr="003E1F05">
        <w:rPr>
          <w:szCs w:val="24"/>
        </w:rPr>
        <w:t xml:space="preserve"> patient needs. </w:t>
      </w:r>
    </w:p>
    <w:p w:rsidR="008831AF" w:rsidRPr="00D978D7" w:rsidRDefault="008831AF" w:rsidP="008831AF">
      <w:pPr>
        <w:pStyle w:val="Heading1"/>
        <w:rPr>
          <w:rFonts w:cs="Calibri"/>
        </w:rPr>
      </w:pPr>
      <w:bookmarkStart w:id="55" w:name="_Part_1_–"/>
      <w:bookmarkStart w:id="56" w:name="_GoBack"/>
      <w:bookmarkEnd w:id="55"/>
      <w:bookmarkEnd w:id="56"/>
      <w:r w:rsidRPr="00787F54">
        <w:rPr>
          <w:rFonts w:cs="Calibri"/>
          <w:color w:val="auto"/>
        </w:rPr>
        <w:br w:type="page"/>
      </w:r>
      <w:bookmarkStart w:id="57" w:name="_1.3_Type_1"/>
      <w:bookmarkStart w:id="58" w:name="_Toc381622775"/>
      <w:bookmarkStart w:id="59" w:name="_Toc387664310"/>
      <w:bookmarkEnd w:id="57"/>
      <w:r>
        <w:rPr>
          <w:rFonts w:cs="Calibri"/>
        </w:rPr>
        <w:lastRenderedPageBreak/>
        <w:t>Part 1</w:t>
      </w:r>
      <w:r>
        <w:rPr>
          <w:rFonts w:cs="Calibri"/>
        </w:rPr>
        <w:br/>
        <w:t>Review b</w:t>
      </w:r>
      <w:r w:rsidRPr="00F92449">
        <w:t>ackground</w:t>
      </w:r>
      <w:r>
        <w:t xml:space="preserve"> and context</w:t>
      </w:r>
      <w:bookmarkEnd w:id="58"/>
      <w:bookmarkEnd w:id="59"/>
    </w:p>
    <w:p w:rsidR="008831AF" w:rsidRPr="00D52454" w:rsidRDefault="008831AF" w:rsidP="008831AF">
      <w:pPr>
        <w:pStyle w:val="Heading2"/>
      </w:pPr>
      <w:bookmarkStart w:id="60" w:name="_Toc381622776"/>
      <w:bookmarkStart w:id="61" w:name="_Toc387664311"/>
      <w:r w:rsidRPr="00D52454">
        <w:t>1.1</w:t>
      </w:r>
      <w:r w:rsidRPr="00D52454">
        <w:tab/>
        <w:t>Diabetes Post-market Review</w:t>
      </w:r>
      <w:bookmarkEnd w:id="60"/>
      <w:bookmarkEnd w:id="61"/>
    </w:p>
    <w:p w:rsidR="008831AF" w:rsidRPr="003E1F05" w:rsidRDefault="008831AF" w:rsidP="008831AF">
      <w:r w:rsidRPr="003E1F05">
        <w:t>Appropriate medication and treatment management is a significant National Medicines Policy (NMP) issue and the Department of Health (the Department) is working with key partners to improve the management of diabetes in Australia, including a focus on medicines, devices and the delivery of support services to consumers. The Post-market Review of Products used in the Management of Diabetes (Diabetes Review) aims to ensure that patients are using the most appropriate medicines and products, effectively, and safely, to achieve optimal health outcomes and support quality use of medicines.</w:t>
      </w:r>
    </w:p>
    <w:p w:rsidR="008831AF" w:rsidRPr="003E1F05" w:rsidRDefault="008831AF" w:rsidP="008831AF">
      <w:r w:rsidRPr="003E1F05">
        <w:t>The Diabetes Review has three stages:</w:t>
      </w:r>
    </w:p>
    <w:p w:rsidR="008831AF" w:rsidRPr="003E1F05" w:rsidRDefault="008831AF" w:rsidP="008831AF">
      <w:pPr>
        <w:pStyle w:val="ListParagraph"/>
        <w:numPr>
          <w:ilvl w:val="0"/>
          <w:numId w:val="17"/>
        </w:numPr>
        <w:ind w:left="709" w:hanging="426"/>
      </w:pPr>
      <w:r w:rsidRPr="003E1F05">
        <w:t>Blood glucose test strips use in people with type 2 diabetes not using insulin;</w:t>
      </w:r>
    </w:p>
    <w:p w:rsidR="008831AF" w:rsidRPr="003E1F05" w:rsidRDefault="008831AF" w:rsidP="008831AF">
      <w:pPr>
        <w:pStyle w:val="ListParagraph"/>
        <w:numPr>
          <w:ilvl w:val="0"/>
          <w:numId w:val="17"/>
        </w:numPr>
        <w:ind w:left="709" w:hanging="426"/>
      </w:pPr>
      <w:r w:rsidRPr="003E1F05">
        <w:t>Insulin pumps for people with type 1 diabetes, and the Insulin Pump Programme; and</w:t>
      </w:r>
    </w:p>
    <w:p w:rsidR="008831AF" w:rsidRPr="003E1F05" w:rsidRDefault="008831AF" w:rsidP="008831AF">
      <w:pPr>
        <w:pStyle w:val="ListParagraph"/>
        <w:numPr>
          <w:ilvl w:val="0"/>
          <w:numId w:val="17"/>
        </w:numPr>
        <w:ind w:left="709" w:hanging="426"/>
      </w:pPr>
      <w:r w:rsidRPr="003E1F05">
        <w:t xml:space="preserve">Medicines used in the management of type </w:t>
      </w:r>
      <w:proofErr w:type="gramStart"/>
      <w:r w:rsidRPr="003E1F05">
        <w:t>2</w:t>
      </w:r>
      <w:proofErr w:type="gramEnd"/>
      <w:r w:rsidRPr="003E1F05">
        <w:t xml:space="preserve"> diabetes. </w:t>
      </w:r>
    </w:p>
    <w:p w:rsidR="008831AF" w:rsidRPr="003E1F05" w:rsidRDefault="008831AF" w:rsidP="008831AF">
      <w:r w:rsidRPr="003E1F05">
        <w:t xml:space="preserve">Each stage is being progressed separately with the findings presented in an associated written report. Each report </w:t>
      </w:r>
      <w:proofErr w:type="gramStart"/>
      <w:r w:rsidRPr="003E1F05">
        <w:t>is designed to be read</w:t>
      </w:r>
      <w:proofErr w:type="gramEnd"/>
      <w:r w:rsidRPr="003E1F05">
        <w:t xml:space="preserve"> as a stand-alone document and may contain some shared information with previous reports. Reports </w:t>
      </w:r>
      <w:proofErr w:type="gramStart"/>
      <w:r w:rsidRPr="003E1F05">
        <w:t>will be provided</w:t>
      </w:r>
      <w:proofErr w:type="gramEnd"/>
      <w:r w:rsidRPr="003E1F05">
        <w:t xml:space="preserve"> to the Pharmaceutical Benefits Advisory Committee (PBAC) and to Government for consideration in a staged approach in the context of the broader </w:t>
      </w:r>
      <w:r w:rsidRPr="003E1F05">
        <w:br/>
        <w:t xml:space="preserve">Diabetes Review. The findings </w:t>
      </w:r>
      <w:proofErr w:type="gramStart"/>
      <w:r w:rsidRPr="003E1F05">
        <w:t>will be published</w:t>
      </w:r>
      <w:proofErr w:type="gramEnd"/>
      <w:r w:rsidRPr="003E1F05">
        <w:t xml:space="preserve"> on the </w:t>
      </w:r>
      <w:hyperlink r:id="rId10" w:history="1">
        <w:r w:rsidRPr="003E1F05">
          <w:rPr>
            <w:u w:val="single"/>
          </w:rPr>
          <w:t>Diabetes Review</w:t>
        </w:r>
      </w:hyperlink>
      <w:r w:rsidRPr="003E1F05">
        <w:t xml:space="preserve"> website.</w:t>
      </w:r>
    </w:p>
    <w:p w:rsidR="008831AF" w:rsidRPr="003E1F05" w:rsidRDefault="008831AF" w:rsidP="008831AF">
      <w:pPr>
        <w:rPr>
          <w:rFonts w:cs="Calibri"/>
        </w:rPr>
      </w:pPr>
      <w:r w:rsidRPr="003E1F05">
        <w:rPr>
          <w:rFonts w:cs="Calibri"/>
        </w:rPr>
        <w:t xml:space="preserve">Each stage will be progressed in line with work </w:t>
      </w:r>
      <w:proofErr w:type="gramStart"/>
      <w:r w:rsidRPr="003E1F05">
        <w:rPr>
          <w:rFonts w:cs="Calibri"/>
        </w:rPr>
        <w:t>being undertaken</w:t>
      </w:r>
      <w:proofErr w:type="gramEnd"/>
      <w:r w:rsidRPr="003E1F05">
        <w:rPr>
          <w:rFonts w:cs="Calibri"/>
        </w:rPr>
        <w:t xml:space="preserve"> across other NMP partners including the Therapeutic Goods Administration (TGA), the National Health and Medical Research Council (NHMRC), and the National Prescribing Service </w:t>
      </w:r>
      <w:proofErr w:type="spellStart"/>
      <w:r w:rsidRPr="003E1F05">
        <w:rPr>
          <w:rFonts w:cs="Calibri"/>
        </w:rPr>
        <w:t>Medicinewise</w:t>
      </w:r>
      <w:proofErr w:type="spellEnd"/>
      <w:r w:rsidRPr="003E1F05">
        <w:rPr>
          <w:rFonts w:cs="Calibri"/>
        </w:rPr>
        <w:t xml:space="preserve"> (NPS </w:t>
      </w:r>
      <w:proofErr w:type="spellStart"/>
      <w:r w:rsidRPr="003E1F05">
        <w:rPr>
          <w:rFonts w:cs="Calibri"/>
        </w:rPr>
        <w:t>Medicinewise</w:t>
      </w:r>
      <w:proofErr w:type="spellEnd"/>
      <w:r w:rsidRPr="003E1F05">
        <w:rPr>
          <w:rFonts w:cs="Calibri"/>
        </w:rPr>
        <w:t>).</w:t>
      </w:r>
    </w:p>
    <w:p w:rsidR="008831AF" w:rsidRPr="003E1F05" w:rsidRDefault="008831AF" w:rsidP="008831AF">
      <w:r w:rsidRPr="003E1F05">
        <w:t xml:space="preserve">The Review aligns with the objectives of the current National Diabetes Strategy as it aims to improve patient outcomes by ensuring that the use of medicines and products in clinical practice reflects best evidence and guidelines. The Department will work via the Review’s Internal Working Group to ensure that outcomes align with the </w:t>
      </w:r>
      <w:r w:rsidR="009017CE" w:rsidRPr="003E1F05">
        <w:t xml:space="preserve">new National Diabetes </w:t>
      </w:r>
      <w:r w:rsidRPr="003E1F05">
        <w:t>Strategy</w:t>
      </w:r>
      <w:r w:rsidR="009017CE" w:rsidRPr="003E1F05">
        <w:t>, currently in development</w:t>
      </w:r>
      <w:r w:rsidRPr="003E1F05">
        <w:t>.</w:t>
      </w:r>
    </w:p>
    <w:p w:rsidR="008831AF" w:rsidRPr="00D52454" w:rsidRDefault="008831AF" w:rsidP="008831AF">
      <w:pPr>
        <w:pStyle w:val="Heading2"/>
      </w:pPr>
      <w:bookmarkStart w:id="62" w:name="_Toc381622777"/>
      <w:bookmarkStart w:id="63" w:name="_Toc387664312"/>
      <w:r w:rsidRPr="00D52454">
        <w:t>1.2</w:t>
      </w:r>
      <w:r w:rsidRPr="00D52454">
        <w:tab/>
        <w:t>Insulin Pumps Review</w:t>
      </w:r>
      <w:bookmarkEnd w:id="62"/>
      <w:bookmarkEnd w:id="63"/>
    </w:p>
    <w:p w:rsidR="008831AF" w:rsidRPr="00787F54" w:rsidRDefault="008831AF" w:rsidP="008831AF">
      <w:pPr>
        <w:pStyle w:val="Heading3"/>
      </w:pPr>
      <w:r w:rsidRPr="00787F54">
        <w:t xml:space="preserve">1.2.1 </w:t>
      </w:r>
      <w:r w:rsidRPr="00787F54">
        <w:tab/>
        <w:t>Review purpose and Terms of Reference (</w:t>
      </w:r>
      <w:proofErr w:type="spellStart"/>
      <w:r w:rsidRPr="00787F54">
        <w:t>ToR</w:t>
      </w:r>
      <w:proofErr w:type="spellEnd"/>
      <w:r w:rsidRPr="00787F54">
        <w:t xml:space="preserve">) </w:t>
      </w:r>
    </w:p>
    <w:p w:rsidR="008831AF" w:rsidRPr="003E1F05" w:rsidRDefault="008831AF" w:rsidP="008831AF">
      <w:pPr>
        <w:spacing w:after="120"/>
        <w:rPr>
          <w:rFonts w:cs="Calibri"/>
          <w:szCs w:val="24"/>
        </w:rPr>
      </w:pPr>
      <w:r w:rsidRPr="003E1F05">
        <w:rPr>
          <w:rFonts w:cs="Calibri"/>
          <w:szCs w:val="24"/>
        </w:rPr>
        <w:t>In August 2012, the PBAC endorsed the following Terms of Reference (</w:t>
      </w:r>
      <w:proofErr w:type="spellStart"/>
      <w:r w:rsidRPr="003E1F05">
        <w:rPr>
          <w:rFonts w:cs="Calibri"/>
          <w:szCs w:val="24"/>
        </w:rPr>
        <w:t>ToR</w:t>
      </w:r>
      <w:proofErr w:type="spellEnd"/>
      <w:r w:rsidRPr="003E1F05">
        <w:rPr>
          <w:rFonts w:cs="Calibri"/>
          <w:szCs w:val="24"/>
        </w:rPr>
        <w:t xml:space="preserve">) for the Insulin Pumps Review (Stage 2). The Insulin Pumps Review comprises </w:t>
      </w:r>
      <w:proofErr w:type="spellStart"/>
      <w:r w:rsidRPr="003E1F05">
        <w:rPr>
          <w:rFonts w:cs="Calibri"/>
          <w:szCs w:val="24"/>
        </w:rPr>
        <w:t>ToR</w:t>
      </w:r>
      <w:proofErr w:type="spellEnd"/>
      <w:r w:rsidRPr="003E1F05">
        <w:rPr>
          <w:rFonts w:cs="Calibri"/>
          <w:szCs w:val="24"/>
        </w:rPr>
        <w:t xml:space="preserve"> 8–10 of the Diabetes Review:</w:t>
      </w:r>
    </w:p>
    <w:p w:rsidR="008831AF" w:rsidRPr="003E1F05" w:rsidRDefault="008831AF" w:rsidP="008831AF">
      <w:pPr>
        <w:numPr>
          <w:ilvl w:val="0"/>
          <w:numId w:val="16"/>
        </w:numPr>
        <w:shd w:val="clear" w:color="auto" w:fill="F2F2F2" w:themeFill="background1" w:themeFillShade="F2"/>
        <w:spacing w:after="120"/>
        <w:ind w:left="567" w:hanging="525"/>
        <w:rPr>
          <w:rFonts w:cs="Calibri"/>
          <w:szCs w:val="24"/>
        </w:rPr>
      </w:pPr>
      <w:r w:rsidRPr="003E1F05">
        <w:rPr>
          <w:rFonts w:cs="Calibri"/>
          <w:szCs w:val="24"/>
        </w:rPr>
        <w:t>Determine the clinical outcomes (e.g. HbA</w:t>
      </w:r>
      <w:r w:rsidRPr="003E1F05">
        <w:rPr>
          <w:rFonts w:cs="Calibri"/>
          <w:szCs w:val="24"/>
          <w:vertAlign w:val="subscript"/>
        </w:rPr>
        <w:t>1c</w:t>
      </w:r>
      <w:r w:rsidRPr="003E1F05">
        <w:rPr>
          <w:rFonts w:cs="Calibri"/>
          <w:szCs w:val="24"/>
        </w:rPr>
        <w:t xml:space="preserve">, health-related quality of life), and other potential benefits and harms for people with type 1 diabetes of insulin pump therapy. In this, consideration </w:t>
      </w:r>
      <w:proofErr w:type="gramStart"/>
      <w:r w:rsidRPr="003E1F05">
        <w:rPr>
          <w:rFonts w:cs="Calibri"/>
          <w:szCs w:val="24"/>
        </w:rPr>
        <w:t>should be given</w:t>
      </w:r>
      <w:proofErr w:type="gramEnd"/>
      <w:r w:rsidRPr="003E1F05">
        <w:rPr>
          <w:rFonts w:cs="Calibri"/>
          <w:szCs w:val="24"/>
        </w:rPr>
        <w:t xml:space="preserve"> to different age groups, with a </w:t>
      </w:r>
      <w:r w:rsidRPr="003E1F05">
        <w:rPr>
          <w:rFonts w:cs="Calibri"/>
          <w:szCs w:val="24"/>
        </w:rPr>
        <w:lastRenderedPageBreak/>
        <w:t>particular reference to those under 18 who may be eligible for the Insulin Pump Programme, which is funded by the Australian Government.</w:t>
      </w:r>
    </w:p>
    <w:p w:rsidR="008831AF" w:rsidRPr="003E1F05" w:rsidRDefault="008831AF" w:rsidP="008831AF">
      <w:pPr>
        <w:numPr>
          <w:ilvl w:val="0"/>
          <w:numId w:val="16"/>
        </w:numPr>
        <w:shd w:val="clear" w:color="auto" w:fill="F2F2F2" w:themeFill="background1" w:themeFillShade="F2"/>
        <w:spacing w:after="120"/>
        <w:ind w:left="567" w:hanging="525"/>
        <w:rPr>
          <w:rFonts w:cs="Calibri"/>
          <w:szCs w:val="24"/>
        </w:rPr>
      </w:pPr>
      <w:r w:rsidRPr="003E1F05">
        <w:rPr>
          <w:rFonts w:cs="Calibri"/>
          <w:szCs w:val="24"/>
        </w:rPr>
        <w:t>Investigate the cost-effective use of different insulin pumps available under the Insulin Pump Programme.</w:t>
      </w:r>
    </w:p>
    <w:p w:rsidR="008831AF" w:rsidRPr="003E1F05" w:rsidRDefault="008831AF" w:rsidP="008831AF">
      <w:pPr>
        <w:numPr>
          <w:ilvl w:val="0"/>
          <w:numId w:val="16"/>
        </w:numPr>
        <w:shd w:val="clear" w:color="auto" w:fill="F2F2F2" w:themeFill="background1" w:themeFillShade="F2"/>
        <w:spacing w:after="120"/>
        <w:ind w:left="567" w:hanging="525"/>
        <w:rPr>
          <w:rFonts w:cs="Calibri"/>
          <w:szCs w:val="24"/>
        </w:rPr>
      </w:pPr>
      <w:r w:rsidRPr="003E1F05">
        <w:rPr>
          <w:rFonts w:cs="Calibri"/>
          <w:szCs w:val="24"/>
        </w:rPr>
        <w:t>Consider the clinical criteria and eligibility under the Insulin Pump Programme, to ensure those who would most benefit from insulin pump therapy receive support to assist in their care.</w:t>
      </w:r>
    </w:p>
    <w:p w:rsidR="009017CE" w:rsidRPr="003E1F05" w:rsidRDefault="009017CE" w:rsidP="008831AF">
      <w:pPr>
        <w:spacing w:after="120"/>
        <w:rPr>
          <w:rFonts w:cs="Calibri"/>
          <w:szCs w:val="24"/>
        </w:rPr>
      </w:pPr>
      <w:bookmarkStart w:id="64" w:name="_1.2.2__Overview"/>
      <w:bookmarkEnd w:id="64"/>
    </w:p>
    <w:p w:rsidR="008831AF" w:rsidRPr="003E1F05" w:rsidRDefault="008831AF" w:rsidP="008831AF">
      <w:pPr>
        <w:spacing w:after="120"/>
        <w:rPr>
          <w:rFonts w:cs="Calibri"/>
          <w:szCs w:val="24"/>
        </w:rPr>
      </w:pPr>
      <w:r w:rsidRPr="003E1F05">
        <w:rPr>
          <w:rFonts w:cs="Calibri"/>
          <w:szCs w:val="24"/>
        </w:rPr>
        <w:t xml:space="preserve">The purpose of the Insulin Pumps Review is to examine the use of insulin pumps for people with type 1 diabetes, to inform an assessment of their effectiveness in terms of clinical outcomes and cost. </w:t>
      </w:r>
      <w:r w:rsidRPr="003E1F05">
        <w:t xml:space="preserve">Ongoing representations from the Juvenile Diabetes Research Foundation (JDRF), Diabetes Australia, and consumers regarding the current Insulin Pump Programme parameters, eligibility criteria and funding, lead to a review of the Programme. The Insulin Pumps Review </w:t>
      </w:r>
      <w:proofErr w:type="gramStart"/>
      <w:r w:rsidRPr="003E1F05">
        <w:t>was incorporated</w:t>
      </w:r>
      <w:proofErr w:type="gramEnd"/>
      <w:r w:rsidRPr="003E1F05">
        <w:t xml:space="preserve"> into the overarching Diabetes Review to provide an established framework that includes opportunities for public consultation and expert input, and to ensure that the Programme was not considered in isolation.</w:t>
      </w:r>
    </w:p>
    <w:p w:rsidR="008831AF" w:rsidRPr="00787F54" w:rsidRDefault="008831AF" w:rsidP="008831AF">
      <w:pPr>
        <w:pStyle w:val="Heading3"/>
        <w:rPr>
          <w:rFonts w:cs="Calibri"/>
          <w:lang w:eastAsia="en-AU"/>
        </w:rPr>
      </w:pPr>
      <w:r w:rsidRPr="00787F54">
        <w:t xml:space="preserve">1.2.2 </w:t>
      </w:r>
      <w:r w:rsidRPr="00787F54">
        <w:tab/>
        <w:t>Overview of the Insulin Pumps Review process</w:t>
      </w:r>
    </w:p>
    <w:p w:rsidR="008831AF" w:rsidRPr="003E1F05" w:rsidRDefault="008831AF" w:rsidP="008831AF">
      <w:pPr>
        <w:keepNext/>
        <w:keepLines/>
        <w:widowControl w:val="0"/>
        <w:spacing w:after="120"/>
        <w:rPr>
          <w:rFonts w:cs="Calibri"/>
          <w:szCs w:val="24"/>
        </w:rPr>
      </w:pPr>
      <w:r w:rsidRPr="003E1F05">
        <w:rPr>
          <w:rFonts w:cs="Calibri"/>
          <w:szCs w:val="24"/>
        </w:rPr>
        <w:t xml:space="preserve">Post-market reviews follow a standard process detailed on the </w:t>
      </w:r>
      <w:hyperlink r:id="rId11" w:history="1">
        <w:r w:rsidRPr="003E1F05">
          <w:rPr>
            <w:rFonts w:cs="Calibri"/>
            <w:szCs w:val="24"/>
            <w:u w:val="single"/>
          </w:rPr>
          <w:t>Post-Market Review website</w:t>
        </w:r>
      </w:hyperlink>
      <w:r w:rsidRPr="003E1F05">
        <w:rPr>
          <w:rFonts w:cs="Calibri"/>
          <w:szCs w:val="24"/>
        </w:rPr>
        <w:t xml:space="preserve"> (as at February 2014).</w:t>
      </w:r>
    </w:p>
    <w:p w:rsidR="008831AF" w:rsidRPr="00787F54" w:rsidRDefault="008831AF" w:rsidP="008831AF">
      <w:pPr>
        <w:pStyle w:val="Heading4"/>
        <w:tabs>
          <w:tab w:val="left" w:pos="1134"/>
        </w:tabs>
      </w:pPr>
      <w:r w:rsidRPr="00787F54">
        <w:t>1.2.2.1</w:t>
      </w:r>
      <w:r w:rsidRPr="00787F54">
        <w:tab/>
        <w:t>Process for written stakeholder submissions</w:t>
      </w:r>
    </w:p>
    <w:p w:rsidR="00A83385" w:rsidRPr="003E1F05" w:rsidRDefault="008831AF" w:rsidP="00A83385">
      <w:pPr>
        <w:spacing w:after="120"/>
        <w:rPr>
          <w:szCs w:val="24"/>
        </w:rPr>
      </w:pPr>
      <w:r w:rsidRPr="003E1F05">
        <w:rPr>
          <w:rFonts w:cs="Calibri"/>
          <w:szCs w:val="24"/>
        </w:rPr>
        <w:t xml:space="preserve">Direct stakeholder input </w:t>
      </w:r>
      <w:proofErr w:type="gramStart"/>
      <w:r w:rsidRPr="003E1F05">
        <w:rPr>
          <w:rFonts w:cs="Calibri"/>
          <w:szCs w:val="24"/>
        </w:rPr>
        <w:t>was sought</w:t>
      </w:r>
      <w:proofErr w:type="gramEnd"/>
      <w:r w:rsidRPr="003E1F05">
        <w:rPr>
          <w:rFonts w:cs="Calibri"/>
          <w:szCs w:val="24"/>
        </w:rPr>
        <w:t xml:space="preserve"> by announcing a call for submissions to address </w:t>
      </w:r>
      <w:proofErr w:type="spellStart"/>
      <w:r w:rsidRPr="003E1F05">
        <w:rPr>
          <w:rFonts w:cs="Calibri"/>
          <w:szCs w:val="24"/>
        </w:rPr>
        <w:t>ToR</w:t>
      </w:r>
      <w:proofErr w:type="spellEnd"/>
      <w:r w:rsidRPr="003E1F05">
        <w:rPr>
          <w:rFonts w:cs="Calibri"/>
          <w:szCs w:val="24"/>
        </w:rPr>
        <w:t xml:space="preserve"> 8–10, along with information about the Insulin Pumps Review, on the </w:t>
      </w:r>
      <w:hyperlink r:id="rId12" w:history="1">
        <w:r w:rsidRPr="003E1F05">
          <w:rPr>
            <w:rFonts w:cs="Calibri"/>
            <w:szCs w:val="24"/>
            <w:u w:val="single"/>
          </w:rPr>
          <w:t>PBS website</w:t>
        </w:r>
      </w:hyperlink>
      <w:r w:rsidRPr="003E1F05">
        <w:rPr>
          <w:rFonts w:cs="Calibri"/>
          <w:szCs w:val="24"/>
        </w:rPr>
        <w:t xml:space="preserve">. The call for submissions was open between 20 December 2012 and 13 February 2013. </w:t>
      </w:r>
      <w:r w:rsidRPr="003E1F05">
        <w:rPr>
          <w:bCs/>
          <w:szCs w:val="24"/>
        </w:rPr>
        <w:t>Thirty-three s</w:t>
      </w:r>
      <w:r w:rsidRPr="003E1F05">
        <w:rPr>
          <w:szCs w:val="24"/>
        </w:rPr>
        <w:t xml:space="preserve">ubmissions </w:t>
      </w:r>
      <w:proofErr w:type="gramStart"/>
      <w:r w:rsidRPr="003E1F05">
        <w:rPr>
          <w:szCs w:val="24"/>
        </w:rPr>
        <w:t>were received</w:t>
      </w:r>
      <w:proofErr w:type="gramEnd"/>
      <w:r w:rsidRPr="003E1F05">
        <w:rPr>
          <w:szCs w:val="24"/>
        </w:rPr>
        <w:t xml:space="preserve"> from a range of stakeholders including consumers and consumer groups, industry organisations, non-government organisations, peak professional bodies, a government organisation, and an individual professional. </w:t>
      </w:r>
    </w:p>
    <w:p w:rsidR="00A83385" w:rsidRPr="003E1F05" w:rsidRDefault="008831AF" w:rsidP="00A83385">
      <w:pPr>
        <w:spacing w:after="120"/>
        <w:rPr>
          <w:szCs w:val="24"/>
        </w:rPr>
      </w:pPr>
      <w:r w:rsidRPr="003E1F05">
        <w:rPr>
          <w:szCs w:val="24"/>
        </w:rPr>
        <w:t xml:space="preserve">In particular, the Department requested information regarding the </w:t>
      </w:r>
      <w:r w:rsidRPr="003E1F05">
        <w:t xml:space="preserve">current clinical outcomes for patients with type 1 diabetes on insulin pump therapy; the range of insulin pumps available including their differences, advantages and disadvantages; and how investment in the Insulin Pump Programme </w:t>
      </w:r>
      <w:proofErr w:type="gramStart"/>
      <w:r w:rsidRPr="003E1F05">
        <w:t>should be directed</w:t>
      </w:r>
      <w:proofErr w:type="gramEnd"/>
      <w:r w:rsidRPr="003E1F05">
        <w:t xml:space="preserve"> to achieve the most benefit.</w:t>
      </w:r>
      <w:r w:rsidRPr="003E1F05">
        <w:rPr>
          <w:szCs w:val="24"/>
        </w:rPr>
        <w:t xml:space="preserve"> </w:t>
      </w:r>
    </w:p>
    <w:p w:rsidR="00A83385" w:rsidRPr="003E1F05" w:rsidRDefault="008831AF" w:rsidP="00A83385">
      <w:pPr>
        <w:spacing w:after="120"/>
        <w:rPr>
          <w:szCs w:val="24"/>
        </w:rPr>
      </w:pPr>
      <w:r w:rsidRPr="003E1F05">
        <w:rPr>
          <w:rFonts w:cs="Calibri"/>
          <w:szCs w:val="24"/>
        </w:rPr>
        <w:t xml:space="preserve">The full submissions </w:t>
      </w:r>
      <w:proofErr w:type="gramStart"/>
      <w:r w:rsidRPr="003E1F05">
        <w:rPr>
          <w:rFonts w:cs="Calibri"/>
          <w:szCs w:val="24"/>
        </w:rPr>
        <w:t>were published</w:t>
      </w:r>
      <w:proofErr w:type="gramEnd"/>
      <w:r w:rsidRPr="003E1F05">
        <w:rPr>
          <w:rFonts w:cs="Calibri"/>
          <w:szCs w:val="24"/>
        </w:rPr>
        <w:t xml:space="preserve"> on the </w:t>
      </w:r>
      <w:hyperlink r:id="rId13" w:history="1">
        <w:r w:rsidRPr="003E1F05">
          <w:rPr>
            <w:rStyle w:val="Hyperlink"/>
            <w:rFonts w:cs="Calibri"/>
            <w:color w:val="auto"/>
            <w:szCs w:val="24"/>
          </w:rPr>
          <w:t>Diabetes Review webpage</w:t>
        </w:r>
      </w:hyperlink>
      <w:r w:rsidRPr="003E1F05">
        <w:rPr>
          <w:rFonts w:cs="Calibri"/>
          <w:szCs w:val="24"/>
        </w:rPr>
        <w:t xml:space="preserve">, except where requested to be withheld by the author. A summary of key issues raised by stakeholders is in </w:t>
      </w:r>
      <w:hyperlink w:anchor="_3.2_Key_issues" w:history="1">
        <w:r w:rsidRPr="003E1F05">
          <w:rPr>
            <w:rStyle w:val="Hyperlink"/>
            <w:rFonts w:cs="Calibri"/>
            <w:color w:val="auto"/>
            <w:szCs w:val="24"/>
          </w:rPr>
          <w:t>Part 3.2</w:t>
        </w:r>
      </w:hyperlink>
      <w:r w:rsidRPr="003E1F05">
        <w:rPr>
          <w:rFonts w:cs="Calibri"/>
          <w:szCs w:val="24"/>
        </w:rPr>
        <w:t>.</w:t>
      </w:r>
    </w:p>
    <w:p w:rsidR="008831AF" w:rsidRPr="00787F54" w:rsidRDefault="008831AF" w:rsidP="008831AF">
      <w:pPr>
        <w:pStyle w:val="Heading4"/>
        <w:tabs>
          <w:tab w:val="left" w:pos="1134"/>
        </w:tabs>
      </w:pPr>
      <w:r w:rsidRPr="00787F54">
        <w:t>1.2.2.2</w:t>
      </w:r>
      <w:r w:rsidRPr="00787F54">
        <w:tab/>
        <w:t>Process for the Stakeholder Forum</w:t>
      </w:r>
    </w:p>
    <w:p w:rsidR="008831AF" w:rsidRPr="003E1F05" w:rsidRDefault="008831AF" w:rsidP="008831AF">
      <w:r w:rsidRPr="003E1F05">
        <w:rPr>
          <w:rFonts w:cs="Calibri"/>
          <w:szCs w:val="24"/>
        </w:rPr>
        <w:t xml:space="preserve">A Stakeholder Forum </w:t>
      </w:r>
      <w:proofErr w:type="gramStart"/>
      <w:r w:rsidRPr="003E1F05">
        <w:rPr>
          <w:rFonts w:cs="Calibri"/>
          <w:szCs w:val="24"/>
        </w:rPr>
        <w:t>was held</w:t>
      </w:r>
      <w:proofErr w:type="gramEnd"/>
      <w:r w:rsidRPr="003E1F05">
        <w:rPr>
          <w:rFonts w:cs="Calibri"/>
          <w:szCs w:val="24"/>
        </w:rPr>
        <w:t xml:space="preserve"> in Canberra on 12 September 2013. The Forum was further opportunity for stakeholders to contribute to Stage 2 of the Diabetes Review. </w:t>
      </w:r>
      <w:r w:rsidRPr="003E1F05">
        <w:t xml:space="preserve">Prior to the Forum, attendees </w:t>
      </w:r>
      <w:proofErr w:type="gramStart"/>
      <w:r w:rsidRPr="003E1F05">
        <w:t>were provided</w:t>
      </w:r>
      <w:proofErr w:type="gramEnd"/>
      <w:r w:rsidRPr="003E1F05">
        <w:t xml:space="preserve"> with a discussion paper that included </w:t>
      </w:r>
      <w:r w:rsidRPr="003E1F05">
        <w:lastRenderedPageBreak/>
        <w:t xml:space="preserve">background information, the </w:t>
      </w:r>
      <w:proofErr w:type="spellStart"/>
      <w:r w:rsidRPr="003E1F05">
        <w:t>ToR</w:t>
      </w:r>
      <w:proofErr w:type="spellEnd"/>
      <w:r w:rsidRPr="003E1F05">
        <w:t xml:space="preserve">, a summary of the literature review undertaken by the University of South Australia, and issues and themes raised by stakeholders through the public submission process. Discussion focussed on four questions posed by the Department, with opportunities for additional comments. </w:t>
      </w:r>
    </w:p>
    <w:p w:rsidR="008831AF" w:rsidRPr="003E1F05" w:rsidRDefault="008831AF" w:rsidP="008831AF">
      <w:r w:rsidRPr="003E1F05">
        <w:t>The main themes of the Forum were:</w:t>
      </w:r>
    </w:p>
    <w:p w:rsidR="008831AF" w:rsidRPr="003E1F05" w:rsidRDefault="008831AF" w:rsidP="008831AF">
      <w:pPr>
        <w:pStyle w:val="ListParagraph"/>
        <w:numPr>
          <w:ilvl w:val="0"/>
          <w:numId w:val="51"/>
        </w:numPr>
      </w:pPr>
      <w:r w:rsidRPr="003E1F05">
        <w:t xml:space="preserve">consumer and clinician views on the advantages and disadvantages of insulin pump therapy (manufacturer views were well expressed via the written submissions to the </w:t>
      </w:r>
      <w:proofErr w:type="spellStart"/>
      <w:r w:rsidRPr="003E1F05">
        <w:t>ToRs</w:t>
      </w:r>
      <w:proofErr w:type="spellEnd"/>
      <w:r w:rsidRPr="003E1F05">
        <w:t>);</w:t>
      </w:r>
    </w:p>
    <w:p w:rsidR="008831AF" w:rsidRPr="003E1F05" w:rsidRDefault="008831AF" w:rsidP="008831AF">
      <w:pPr>
        <w:pStyle w:val="ListParagraph"/>
        <w:numPr>
          <w:ilvl w:val="0"/>
          <w:numId w:val="51"/>
        </w:numPr>
      </w:pPr>
      <w:r w:rsidRPr="003E1F05">
        <w:t>differences between brands or types of insulin pumps, including aspects that might be important for clinical outcomes or desirable to patients; and</w:t>
      </w:r>
    </w:p>
    <w:p w:rsidR="008831AF" w:rsidRPr="003E1F05" w:rsidRDefault="008831AF" w:rsidP="008831AF">
      <w:pPr>
        <w:pStyle w:val="ListParagraph"/>
        <w:numPr>
          <w:ilvl w:val="0"/>
          <w:numId w:val="51"/>
        </w:numPr>
      </w:pPr>
      <w:proofErr w:type="gramStart"/>
      <w:r w:rsidRPr="003E1F05">
        <w:t>the</w:t>
      </w:r>
      <w:proofErr w:type="gramEnd"/>
      <w:r w:rsidRPr="003E1F05">
        <w:t xml:space="preserve"> eligibility criteria for the Insulin Pump Programme and types of patients that should be prioritised to receive a subsidised pump.</w:t>
      </w:r>
    </w:p>
    <w:p w:rsidR="008831AF" w:rsidRPr="003E1F05" w:rsidRDefault="008831AF" w:rsidP="008831AF">
      <w:pPr>
        <w:rPr>
          <w:rFonts w:cs="Calibri"/>
          <w:szCs w:val="24"/>
        </w:rPr>
      </w:pPr>
      <w:r w:rsidRPr="003E1F05">
        <w:rPr>
          <w:rFonts w:cs="Calibri"/>
          <w:szCs w:val="24"/>
        </w:rPr>
        <w:t xml:space="preserve">The Forum Summary </w:t>
      </w:r>
      <w:proofErr w:type="gramStart"/>
      <w:r w:rsidRPr="003E1F05">
        <w:rPr>
          <w:rFonts w:cs="Calibri"/>
          <w:szCs w:val="24"/>
        </w:rPr>
        <w:t>was published</w:t>
      </w:r>
      <w:proofErr w:type="gramEnd"/>
      <w:r w:rsidRPr="003E1F05">
        <w:rPr>
          <w:rFonts w:cs="Calibri"/>
          <w:szCs w:val="24"/>
        </w:rPr>
        <w:t xml:space="preserve"> on the </w:t>
      </w:r>
      <w:hyperlink r:id="rId14" w:history="1">
        <w:r w:rsidRPr="003E1F05">
          <w:rPr>
            <w:rStyle w:val="Hyperlink"/>
            <w:rFonts w:cs="Calibri"/>
            <w:color w:val="auto"/>
            <w:szCs w:val="24"/>
          </w:rPr>
          <w:t>Diabetes Review webpage</w:t>
        </w:r>
      </w:hyperlink>
      <w:r w:rsidRPr="003E1F05">
        <w:rPr>
          <w:rFonts w:cs="Calibri"/>
          <w:szCs w:val="24"/>
        </w:rPr>
        <w:t>.</w:t>
      </w:r>
      <w:r w:rsidRPr="003E1F05">
        <w:t xml:space="preserve"> </w:t>
      </w:r>
      <w:r w:rsidRPr="003E1F05">
        <w:rPr>
          <w:rFonts w:cs="Calibri"/>
          <w:szCs w:val="24"/>
        </w:rPr>
        <w:t xml:space="preserve">A summary of key issues raised by stakeholders is in </w:t>
      </w:r>
      <w:hyperlink w:anchor="_3.3_Key_issues" w:history="1">
        <w:r w:rsidRPr="003E1F05">
          <w:rPr>
            <w:rStyle w:val="Hyperlink"/>
            <w:rFonts w:cs="Calibri"/>
            <w:color w:val="auto"/>
            <w:szCs w:val="24"/>
          </w:rPr>
          <w:t>Part 3.3</w:t>
        </w:r>
      </w:hyperlink>
      <w:r w:rsidRPr="003E1F05">
        <w:rPr>
          <w:rFonts w:cs="Calibri"/>
          <w:szCs w:val="24"/>
        </w:rPr>
        <w:t>.</w:t>
      </w:r>
    </w:p>
    <w:p w:rsidR="008831AF" w:rsidRPr="00787F54" w:rsidRDefault="008831AF" w:rsidP="008831AF">
      <w:pPr>
        <w:pStyle w:val="Heading4"/>
        <w:tabs>
          <w:tab w:val="left" w:pos="1134"/>
        </w:tabs>
        <w:rPr>
          <w:rFonts w:cs="Calibri"/>
          <w:szCs w:val="24"/>
        </w:rPr>
      </w:pPr>
      <w:r w:rsidRPr="00787F54">
        <w:rPr>
          <w:rFonts w:cs="Calibri"/>
          <w:szCs w:val="24"/>
        </w:rPr>
        <w:t>1.2.2.3</w:t>
      </w:r>
      <w:r w:rsidRPr="00787F54">
        <w:rPr>
          <w:rFonts w:cs="Calibri"/>
          <w:szCs w:val="24"/>
        </w:rPr>
        <w:tab/>
      </w:r>
      <w:r w:rsidRPr="00787F54">
        <w:t>Process for the Internal Working Group</w:t>
      </w:r>
    </w:p>
    <w:p w:rsidR="008831AF" w:rsidRPr="003E1F05" w:rsidRDefault="008831AF" w:rsidP="008831AF">
      <w:pPr>
        <w:keepNext/>
        <w:keepLines/>
        <w:widowControl w:val="0"/>
        <w:spacing w:after="120"/>
        <w:rPr>
          <w:rFonts w:cs="Calibri"/>
          <w:szCs w:val="24"/>
        </w:rPr>
      </w:pPr>
      <w:r w:rsidRPr="003E1F05">
        <w:rPr>
          <w:rFonts w:cs="Calibri"/>
          <w:szCs w:val="24"/>
        </w:rPr>
        <w:t xml:space="preserve">An Internal Working Group </w:t>
      </w:r>
      <w:proofErr w:type="gramStart"/>
      <w:r w:rsidRPr="003E1F05">
        <w:rPr>
          <w:rFonts w:cs="Calibri"/>
          <w:szCs w:val="24"/>
        </w:rPr>
        <w:t>was formed</w:t>
      </w:r>
      <w:proofErr w:type="gramEnd"/>
      <w:r w:rsidRPr="003E1F05">
        <w:rPr>
          <w:rFonts w:cs="Calibri"/>
          <w:szCs w:val="24"/>
        </w:rPr>
        <w:t xml:space="preserve"> consisting of key Australian Government agencies and relevant divisions of the Department </w:t>
      </w:r>
      <w:r w:rsidRPr="003E1F05">
        <w:rPr>
          <w:szCs w:val="24"/>
        </w:rPr>
        <w:t>to provide a forum to discuss potential interactions with other Government programmes and priorities</w:t>
      </w:r>
      <w:r w:rsidRPr="003E1F05">
        <w:rPr>
          <w:rFonts w:cs="Calibri"/>
          <w:szCs w:val="24"/>
        </w:rPr>
        <w:t xml:space="preserve">. </w:t>
      </w:r>
    </w:p>
    <w:p w:rsidR="008831AF" w:rsidRPr="003E1F05" w:rsidRDefault="008831AF" w:rsidP="008831AF">
      <w:pPr>
        <w:rPr>
          <w:szCs w:val="24"/>
        </w:rPr>
      </w:pPr>
      <w:r w:rsidRPr="003E1F05">
        <w:rPr>
          <w:szCs w:val="24"/>
        </w:rPr>
        <w:t xml:space="preserve">The Working Group assisted in steering the Review and worked in parallel to the Reference Group. </w:t>
      </w:r>
      <w:r w:rsidRPr="003E1F05">
        <w:rPr>
          <w:rFonts w:cs="Calibri"/>
          <w:szCs w:val="24"/>
        </w:rPr>
        <w:t xml:space="preserve">The Group convened three times </w:t>
      </w:r>
      <w:proofErr w:type="gramStart"/>
      <w:r w:rsidRPr="003E1F05">
        <w:rPr>
          <w:rFonts w:cs="Calibri"/>
          <w:szCs w:val="24"/>
        </w:rPr>
        <w:t>on:</w:t>
      </w:r>
      <w:proofErr w:type="gramEnd"/>
      <w:r w:rsidRPr="003E1F05">
        <w:rPr>
          <w:rFonts w:cs="Calibri"/>
          <w:szCs w:val="24"/>
        </w:rPr>
        <w:t xml:space="preserve"> </w:t>
      </w:r>
      <w:r w:rsidRPr="003E1F05">
        <w:rPr>
          <w:szCs w:val="24"/>
        </w:rPr>
        <w:t>23 October 2012, 10 April 2013, and 10 October 2013.</w:t>
      </w:r>
    </w:p>
    <w:p w:rsidR="008831AF" w:rsidRPr="003E1F05" w:rsidRDefault="008831AF" w:rsidP="008831AF">
      <w:pPr>
        <w:keepNext/>
        <w:keepLines/>
        <w:widowControl w:val="0"/>
        <w:spacing w:after="120"/>
        <w:rPr>
          <w:rFonts w:cs="Calibri"/>
          <w:szCs w:val="24"/>
        </w:rPr>
      </w:pPr>
      <w:r w:rsidRPr="003E1F05">
        <w:rPr>
          <w:rFonts w:cs="Calibri"/>
          <w:szCs w:val="24"/>
        </w:rPr>
        <w:t xml:space="preserve">A summary of key issues raised by Working Group members is in </w:t>
      </w:r>
      <w:hyperlink w:anchor="_3.5_Internal_Working" w:history="1">
        <w:r w:rsidRPr="003E1F05">
          <w:rPr>
            <w:rStyle w:val="Hyperlink"/>
            <w:rFonts w:cs="Calibri"/>
            <w:color w:val="auto"/>
            <w:szCs w:val="24"/>
          </w:rPr>
          <w:t>Part 3.5</w:t>
        </w:r>
      </w:hyperlink>
      <w:r w:rsidRPr="003E1F05">
        <w:rPr>
          <w:rFonts w:cs="Calibri"/>
          <w:szCs w:val="24"/>
        </w:rPr>
        <w:t>.</w:t>
      </w:r>
    </w:p>
    <w:p w:rsidR="008831AF" w:rsidRPr="00787F54" w:rsidRDefault="008831AF" w:rsidP="008831AF">
      <w:pPr>
        <w:pStyle w:val="Heading4"/>
        <w:tabs>
          <w:tab w:val="left" w:pos="1134"/>
        </w:tabs>
        <w:rPr>
          <w:rFonts w:cs="Calibri"/>
          <w:szCs w:val="24"/>
        </w:rPr>
      </w:pPr>
      <w:r w:rsidRPr="00787F54">
        <w:rPr>
          <w:rFonts w:cs="Calibri"/>
          <w:szCs w:val="24"/>
        </w:rPr>
        <w:t>1.2.2.4</w:t>
      </w:r>
      <w:r w:rsidRPr="00787F54">
        <w:rPr>
          <w:rFonts w:cs="Calibri"/>
          <w:szCs w:val="24"/>
        </w:rPr>
        <w:tab/>
      </w:r>
      <w:r w:rsidRPr="00787F54">
        <w:t>Process for the Reference Group</w:t>
      </w:r>
    </w:p>
    <w:p w:rsidR="008831AF" w:rsidRPr="003E1F05" w:rsidRDefault="008831AF" w:rsidP="008831AF">
      <w:pPr>
        <w:spacing w:after="120"/>
        <w:rPr>
          <w:rFonts w:cs="Calibri"/>
          <w:szCs w:val="24"/>
        </w:rPr>
      </w:pPr>
      <w:r w:rsidRPr="003E1F05">
        <w:rPr>
          <w:rFonts w:cs="Calibri"/>
          <w:szCs w:val="24"/>
        </w:rPr>
        <w:t xml:space="preserve">A Reference Group </w:t>
      </w:r>
      <w:proofErr w:type="gramStart"/>
      <w:r w:rsidRPr="003E1F05">
        <w:rPr>
          <w:rFonts w:cs="Calibri"/>
          <w:szCs w:val="24"/>
        </w:rPr>
        <w:t>was formed</w:t>
      </w:r>
      <w:proofErr w:type="gramEnd"/>
      <w:r w:rsidRPr="003E1F05">
        <w:rPr>
          <w:rFonts w:cs="Calibri"/>
          <w:szCs w:val="24"/>
        </w:rPr>
        <w:t xml:space="preserve"> to provide a platform for expert advice to inform the Diabetes Review. The Reference Group includes experts from a range of fields including endocrinology, diabetes education, general practice, consumer advocacy, clinical epidemiology, pharmacy, health economics, nutrition, and psychology. Reference Group </w:t>
      </w:r>
      <w:proofErr w:type="gramStart"/>
      <w:r w:rsidRPr="003E1F05">
        <w:rPr>
          <w:rFonts w:cs="Calibri"/>
          <w:szCs w:val="24"/>
        </w:rPr>
        <w:t>meetings</w:t>
      </w:r>
      <w:proofErr w:type="gramEnd"/>
      <w:r w:rsidRPr="003E1F05">
        <w:rPr>
          <w:rFonts w:cs="Calibri"/>
          <w:szCs w:val="24"/>
        </w:rPr>
        <w:t xml:space="preserve"> at which the Insulin Pumps Review was discussed, were held on: 17 April 2013, 17 July 2013, and 16 January 2014.</w:t>
      </w:r>
    </w:p>
    <w:p w:rsidR="008831AF" w:rsidRPr="003E1F05" w:rsidRDefault="008831AF" w:rsidP="008831AF">
      <w:pPr>
        <w:spacing w:after="120"/>
        <w:rPr>
          <w:rFonts w:cs="Calibri"/>
          <w:szCs w:val="24"/>
        </w:rPr>
      </w:pPr>
      <w:r w:rsidRPr="003E1F05">
        <w:rPr>
          <w:rFonts w:cs="Calibri"/>
          <w:szCs w:val="24"/>
        </w:rPr>
        <w:t xml:space="preserve">Reference Group advice </w:t>
      </w:r>
      <w:proofErr w:type="gramStart"/>
      <w:r w:rsidRPr="003E1F05">
        <w:rPr>
          <w:rFonts w:cs="Calibri"/>
          <w:szCs w:val="24"/>
        </w:rPr>
        <w:t>has been used</w:t>
      </w:r>
      <w:proofErr w:type="gramEnd"/>
      <w:r w:rsidRPr="003E1F05">
        <w:rPr>
          <w:rFonts w:cs="Calibri"/>
          <w:szCs w:val="24"/>
        </w:rPr>
        <w:t xml:space="preserve"> to guide the development of the Insulin Pumps Review and this Report. </w:t>
      </w:r>
      <w:r w:rsidRPr="003E1F05">
        <w:rPr>
          <w:rFonts w:eastAsia="Calibri"/>
        </w:rPr>
        <w:t xml:space="preserve">Following public consultation on the draft Insulin Pumps Report and further consideration by the Reference Group, the final Report </w:t>
      </w:r>
      <w:proofErr w:type="gramStart"/>
      <w:r w:rsidRPr="003E1F05">
        <w:rPr>
          <w:rFonts w:eastAsia="Calibri"/>
        </w:rPr>
        <w:t>will be provided</w:t>
      </w:r>
      <w:proofErr w:type="gramEnd"/>
      <w:r w:rsidRPr="003E1F05">
        <w:rPr>
          <w:rFonts w:eastAsia="Calibri"/>
        </w:rPr>
        <w:t xml:space="preserve"> to the PBAC for noting and the Minister for Health for consideration.</w:t>
      </w:r>
      <w:r w:rsidRPr="003E1F05">
        <w:rPr>
          <w:rFonts w:cs="Calibri"/>
          <w:szCs w:val="24"/>
        </w:rPr>
        <w:t xml:space="preserve"> </w:t>
      </w:r>
    </w:p>
    <w:p w:rsidR="008831AF" w:rsidRPr="00787F54" w:rsidRDefault="008831AF" w:rsidP="008831AF">
      <w:pPr>
        <w:pStyle w:val="Heading4"/>
        <w:tabs>
          <w:tab w:val="left" w:pos="1134"/>
        </w:tabs>
        <w:rPr>
          <w:rFonts w:eastAsia="Calibri"/>
        </w:rPr>
      </w:pPr>
      <w:r w:rsidRPr="00787F54">
        <w:rPr>
          <w:rFonts w:eastAsia="Calibri"/>
        </w:rPr>
        <w:lastRenderedPageBreak/>
        <w:t>1.2.2.5</w:t>
      </w:r>
      <w:r w:rsidRPr="00787F54">
        <w:rPr>
          <w:rFonts w:eastAsia="Calibri"/>
        </w:rPr>
        <w:tab/>
        <w:t>Process for literature searches</w:t>
      </w:r>
    </w:p>
    <w:p w:rsidR="008831AF" w:rsidRPr="003E1F05" w:rsidRDefault="008831AF" w:rsidP="008831AF">
      <w:pPr>
        <w:keepNext/>
        <w:keepLines/>
        <w:rPr>
          <w:rFonts w:eastAsia="Calibri"/>
        </w:rPr>
      </w:pPr>
      <w:r w:rsidRPr="003E1F05">
        <w:rPr>
          <w:rFonts w:eastAsia="Calibri"/>
        </w:rPr>
        <w:t xml:space="preserve">The Department engaged the Quality Use of Medicines and Pharmacy Research Centre (QUMPRC) of the University of South Australia to conduct a literature review on the efficacy and safety of insulin pump therapy versus multiple daily injections. Further detail on the literature review findings is included in </w:t>
      </w:r>
      <w:hyperlink w:anchor="_Part_4_–_2" w:history="1">
        <w:r w:rsidRPr="003E1F05">
          <w:rPr>
            <w:rStyle w:val="Hyperlink"/>
            <w:rFonts w:eastAsia="Calibri"/>
            <w:color w:val="auto"/>
          </w:rPr>
          <w:t>Part 4</w:t>
        </w:r>
      </w:hyperlink>
      <w:r w:rsidRPr="003E1F05">
        <w:rPr>
          <w:rFonts w:eastAsia="Calibri"/>
        </w:rPr>
        <w:t xml:space="preserve">, </w:t>
      </w:r>
      <w:hyperlink w:anchor="_Part_5_–" w:history="1">
        <w:r w:rsidRPr="003E1F05">
          <w:rPr>
            <w:rStyle w:val="Hyperlink"/>
            <w:rFonts w:eastAsia="Calibri"/>
            <w:color w:val="auto"/>
          </w:rPr>
          <w:t>Part 5</w:t>
        </w:r>
      </w:hyperlink>
      <w:r w:rsidRPr="003E1F05">
        <w:rPr>
          <w:rFonts w:eastAsia="Calibri"/>
        </w:rPr>
        <w:t xml:space="preserve">, and </w:t>
      </w:r>
      <w:hyperlink w:anchor="_Part_6_–" w:history="1">
        <w:r w:rsidRPr="003E1F05">
          <w:rPr>
            <w:rStyle w:val="Hyperlink"/>
            <w:rFonts w:eastAsia="Calibri"/>
            <w:color w:val="auto"/>
          </w:rPr>
          <w:t>Part 6</w:t>
        </w:r>
      </w:hyperlink>
      <w:r w:rsidRPr="003E1F05">
        <w:rPr>
          <w:rFonts w:eastAsia="Calibri"/>
        </w:rPr>
        <w:t>.</w:t>
      </w:r>
    </w:p>
    <w:p w:rsidR="008831AF" w:rsidRPr="003E1F05" w:rsidRDefault="008831AF" w:rsidP="008831AF">
      <w:pPr>
        <w:autoSpaceDE w:val="0"/>
        <w:autoSpaceDN w:val="0"/>
        <w:adjustRightInd w:val="0"/>
        <w:spacing w:before="120" w:after="0"/>
        <w:rPr>
          <w:bCs/>
          <w:szCs w:val="24"/>
        </w:rPr>
      </w:pPr>
      <w:r w:rsidRPr="003E1F05">
        <w:rPr>
          <w:bCs/>
          <w:szCs w:val="24"/>
        </w:rPr>
        <w:t xml:space="preserve">The Department presented the findings of the literature review, which considered </w:t>
      </w:r>
      <w:r w:rsidRPr="003E1F05">
        <w:rPr>
          <w:rFonts w:eastAsia="Calibri"/>
        </w:rPr>
        <w:t xml:space="preserve">evidence from randomised controlled trials (RCTs), </w:t>
      </w:r>
      <w:r w:rsidRPr="003E1F05">
        <w:rPr>
          <w:bCs/>
          <w:szCs w:val="24"/>
        </w:rPr>
        <w:t>to the Reference Group. The trial evidence did not conclusively support the superior effectiveness or safety of insulin pump therapy over multiple daily injections, particularly for children and adolescents. The Reference Group suggested expanding the scope of the literature review to assess whether other sources of evidence such as observational studies, would be able to provide any further information about the benefits of insulin pump therapy, or sub-populations that may benefit from insulin pump therapy.</w:t>
      </w:r>
      <w:r w:rsidRPr="003E1F05">
        <w:rPr>
          <w:rFonts w:eastAsia="Calibri"/>
        </w:rPr>
        <w:t xml:space="preserve"> </w:t>
      </w:r>
      <w:r w:rsidRPr="003E1F05">
        <w:t>The Department subsequently engaged the QUMPRC to conduct a second literature search to include observational studies.</w:t>
      </w:r>
    </w:p>
    <w:p w:rsidR="008831AF" w:rsidRPr="003E1F05" w:rsidRDefault="008831AF" w:rsidP="008831AF">
      <w:pPr>
        <w:keepNext/>
        <w:keepLines/>
        <w:spacing w:before="120" w:after="0"/>
        <w:rPr>
          <w:rFonts w:eastAsia="Calibri"/>
        </w:rPr>
      </w:pPr>
      <w:r w:rsidRPr="003E1F05">
        <w:rPr>
          <w:rFonts w:eastAsia="Calibri"/>
        </w:rPr>
        <w:t xml:space="preserve">As a part of addressing the </w:t>
      </w:r>
      <w:proofErr w:type="spellStart"/>
      <w:r w:rsidRPr="003E1F05">
        <w:rPr>
          <w:rFonts w:eastAsia="Calibri"/>
        </w:rPr>
        <w:t>ToRs</w:t>
      </w:r>
      <w:proofErr w:type="spellEnd"/>
      <w:r w:rsidRPr="003E1F05">
        <w:rPr>
          <w:rFonts w:eastAsia="Calibri"/>
        </w:rPr>
        <w:t xml:space="preserve">, the literature reviews considered studies that assessed the effects of each therapy </w:t>
      </w:r>
      <w:proofErr w:type="gramStart"/>
      <w:r w:rsidRPr="003E1F05">
        <w:rPr>
          <w:rFonts w:eastAsia="Calibri"/>
        </w:rPr>
        <w:t>on:</w:t>
      </w:r>
      <w:proofErr w:type="gramEnd"/>
      <w:r w:rsidRPr="003E1F05">
        <w:rPr>
          <w:rFonts w:eastAsia="Calibri"/>
        </w:rPr>
        <w:t xml:space="preserve"> HbA</w:t>
      </w:r>
      <w:r w:rsidRPr="003E1F05">
        <w:rPr>
          <w:rFonts w:eastAsia="Calibri"/>
          <w:vertAlign w:val="subscript"/>
        </w:rPr>
        <w:t>1c</w:t>
      </w:r>
      <w:r w:rsidRPr="003E1F05">
        <w:rPr>
          <w:rFonts w:eastAsia="Calibri"/>
        </w:rPr>
        <w:t xml:space="preserve"> levels, quality of life in all age groups, and hypoglycaemia. The literature searches did not identify any RCTs or studies comparing the different types of insulin pumps or long-term health outcomes of insulin pump therapy, as there is currently no literature available on these issues. </w:t>
      </w:r>
    </w:p>
    <w:p w:rsidR="008831AF" w:rsidRPr="003E1F05" w:rsidRDefault="008831AF" w:rsidP="008831AF">
      <w:pPr>
        <w:spacing w:before="120" w:after="0"/>
        <w:rPr>
          <w:rFonts w:eastAsia="Calibri"/>
        </w:rPr>
      </w:pPr>
      <w:r w:rsidRPr="003E1F05">
        <w:t xml:space="preserve">The full literature review reports are available on </w:t>
      </w:r>
      <w:r w:rsidR="00726C24" w:rsidRPr="003E1F05">
        <w:t xml:space="preserve">a case-by-case basis on </w:t>
      </w:r>
      <w:r w:rsidRPr="003E1F05">
        <w:t>request from the Department.</w:t>
      </w:r>
    </w:p>
    <w:p w:rsidR="008831AF" w:rsidRPr="003E1F05" w:rsidRDefault="008831AF" w:rsidP="008831AF">
      <w:pPr>
        <w:spacing w:before="120" w:after="0"/>
        <w:rPr>
          <w:rFonts w:eastAsia="Calibri"/>
        </w:rPr>
      </w:pPr>
      <w:r w:rsidRPr="003E1F05">
        <w:rPr>
          <w:rFonts w:eastAsia="Calibri"/>
        </w:rPr>
        <w:t xml:space="preserve">The Department and Reference Group also considered the following in addressing </w:t>
      </w:r>
      <w:proofErr w:type="spellStart"/>
      <w:r w:rsidRPr="003E1F05">
        <w:rPr>
          <w:rFonts w:eastAsia="Calibri"/>
        </w:rPr>
        <w:t>ToR</w:t>
      </w:r>
      <w:proofErr w:type="spellEnd"/>
      <w:r w:rsidRPr="003E1F05">
        <w:rPr>
          <w:rFonts w:eastAsia="Calibri"/>
        </w:rPr>
        <w:t> 8:</w:t>
      </w:r>
    </w:p>
    <w:p w:rsidR="008831AF" w:rsidRPr="003E1F05" w:rsidRDefault="008831AF" w:rsidP="008831AF">
      <w:pPr>
        <w:pStyle w:val="ListParagraph"/>
        <w:numPr>
          <w:ilvl w:val="0"/>
          <w:numId w:val="31"/>
        </w:numPr>
        <w:spacing w:before="120" w:after="0"/>
        <w:rPr>
          <w:rFonts w:eastAsia="Calibri"/>
        </w:rPr>
      </w:pPr>
      <w:r w:rsidRPr="003E1F05">
        <w:rPr>
          <w:rFonts w:eastAsia="Calibri"/>
        </w:rPr>
        <w:t>written stakeholder submissions and comments received at the Stakeholder Forum;</w:t>
      </w:r>
    </w:p>
    <w:p w:rsidR="008831AF" w:rsidRPr="003E1F05" w:rsidRDefault="008831AF" w:rsidP="008831AF">
      <w:pPr>
        <w:pStyle w:val="ListParagraph"/>
        <w:numPr>
          <w:ilvl w:val="0"/>
          <w:numId w:val="31"/>
        </w:numPr>
        <w:spacing w:before="120" w:after="0"/>
        <w:rPr>
          <w:rFonts w:eastAsia="Calibri"/>
        </w:rPr>
      </w:pPr>
      <w:r w:rsidRPr="003E1F05">
        <w:rPr>
          <w:rFonts w:eastAsia="Calibri"/>
        </w:rPr>
        <w:t>literature on potential safety risks associated with insulin pump therapy and multiple daily injections;</w:t>
      </w:r>
    </w:p>
    <w:p w:rsidR="008831AF" w:rsidRPr="003E1F05" w:rsidRDefault="008831AF" w:rsidP="008831AF">
      <w:pPr>
        <w:pStyle w:val="ListParagraph"/>
        <w:numPr>
          <w:ilvl w:val="0"/>
          <w:numId w:val="31"/>
        </w:numPr>
        <w:spacing w:before="120" w:after="0"/>
        <w:rPr>
          <w:rFonts w:eastAsia="Calibri"/>
        </w:rPr>
      </w:pPr>
      <w:r w:rsidRPr="003E1F05">
        <w:rPr>
          <w:rFonts w:eastAsia="Calibri"/>
        </w:rPr>
        <w:t>the Australian Institute of Health and Welfare (AIHW) Insulin Pump User Survey (2012b); and</w:t>
      </w:r>
    </w:p>
    <w:p w:rsidR="008831AF" w:rsidRPr="003E1F05" w:rsidRDefault="008831AF" w:rsidP="008831AF">
      <w:pPr>
        <w:pStyle w:val="ListParagraph"/>
        <w:numPr>
          <w:ilvl w:val="0"/>
          <w:numId w:val="31"/>
        </w:numPr>
        <w:spacing w:before="120" w:after="0"/>
        <w:rPr>
          <w:rFonts w:eastAsia="Calibri"/>
        </w:rPr>
      </w:pPr>
      <w:proofErr w:type="gramStart"/>
      <w:r w:rsidRPr="003E1F05">
        <w:rPr>
          <w:rFonts w:eastAsia="Calibri"/>
        </w:rPr>
        <w:t>the</w:t>
      </w:r>
      <w:proofErr w:type="gramEnd"/>
      <w:r w:rsidRPr="003E1F05">
        <w:rPr>
          <w:rFonts w:eastAsia="Calibri"/>
        </w:rPr>
        <w:t xml:space="preserve"> regulatory requirements for insulin pumps to be included on the Australian Register of Therapeutic Goods (ARTG).</w:t>
      </w:r>
    </w:p>
    <w:p w:rsidR="008831AF" w:rsidRPr="00D52454" w:rsidRDefault="008831AF" w:rsidP="008831AF">
      <w:pPr>
        <w:pStyle w:val="Heading2"/>
        <w:keepNext/>
        <w:keepLines/>
      </w:pPr>
      <w:bookmarkStart w:id="65" w:name="_Toc381622778"/>
      <w:bookmarkStart w:id="66" w:name="_Toc387664313"/>
      <w:r w:rsidRPr="00D52454">
        <w:lastRenderedPageBreak/>
        <w:t>1.3</w:t>
      </w:r>
      <w:r w:rsidRPr="00D52454">
        <w:tab/>
        <w:t>Context for the Diabetes Post-market Review</w:t>
      </w:r>
      <w:bookmarkEnd w:id="65"/>
      <w:bookmarkEnd w:id="66"/>
    </w:p>
    <w:p w:rsidR="008831AF" w:rsidRPr="00787F54" w:rsidRDefault="008831AF" w:rsidP="008831AF">
      <w:pPr>
        <w:pStyle w:val="Heading3"/>
        <w:keepLines/>
      </w:pPr>
      <w:r w:rsidRPr="00787F54">
        <w:t>1.3.1</w:t>
      </w:r>
      <w:r w:rsidRPr="00787F54">
        <w:tab/>
        <w:t>The National Medicines Policy (NMP)</w:t>
      </w:r>
    </w:p>
    <w:p w:rsidR="008831AF" w:rsidRPr="003E1F05" w:rsidRDefault="008831AF" w:rsidP="008831AF">
      <w:pPr>
        <w:keepNext/>
        <w:keepLines/>
        <w:tabs>
          <w:tab w:val="left" w:pos="1134"/>
        </w:tabs>
        <w:spacing w:after="120"/>
        <w:rPr>
          <w:rFonts w:cs="Calibri"/>
          <w:szCs w:val="24"/>
        </w:rPr>
      </w:pPr>
      <w:r w:rsidRPr="003E1F05">
        <w:rPr>
          <w:rFonts w:cs="Calibri"/>
          <w:szCs w:val="24"/>
        </w:rPr>
        <w:t xml:space="preserve">The NMP is a broad framework that aims to improve health outcomes for all Australians through improving both access to, and appropriate use of, medicines. </w:t>
      </w:r>
    </w:p>
    <w:p w:rsidR="008831AF" w:rsidRPr="003E1F05" w:rsidRDefault="008831AF" w:rsidP="008831AF">
      <w:pPr>
        <w:keepNext/>
        <w:keepLines/>
        <w:spacing w:after="120"/>
        <w:rPr>
          <w:rFonts w:cs="Calibri"/>
          <w:szCs w:val="24"/>
        </w:rPr>
      </w:pPr>
      <w:r w:rsidRPr="003E1F05">
        <w:rPr>
          <w:rFonts w:cs="Calibri"/>
          <w:szCs w:val="24"/>
        </w:rPr>
        <w:t>The four central objectives of the policy are:</w:t>
      </w:r>
    </w:p>
    <w:p w:rsidR="008831AF" w:rsidRPr="003E1F05" w:rsidRDefault="008831AF" w:rsidP="008831AF">
      <w:pPr>
        <w:keepNext/>
        <w:keepLines/>
        <w:numPr>
          <w:ilvl w:val="0"/>
          <w:numId w:val="12"/>
        </w:numPr>
        <w:spacing w:after="120"/>
        <w:rPr>
          <w:rFonts w:cs="Calibri"/>
          <w:szCs w:val="24"/>
        </w:rPr>
      </w:pPr>
      <w:r w:rsidRPr="003E1F05">
        <w:rPr>
          <w:rFonts w:cs="Calibri"/>
          <w:szCs w:val="24"/>
        </w:rPr>
        <w:t>timely and affordable access to medicines for all Australians;</w:t>
      </w:r>
    </w:p>
    <w:p w:rsidR="008831AF" w:rsidRPr="003E1F05" w:rsidRDefault="008831AF" w:rsidP="008831AF">
      <w:pPr>
        <w:keepNext/>
        <w:keepLines/>
        <w:numPr>
          <w:ilvl w:val="0"/>
          <w:numId w:val="12"/>
        </w:numPr>
        <w:spacing w:after="120"/>
        <w:rPr>
          <w:rFonts w:cs="Calibri"/>
          <w:szCs w:val="24"/>
        </w:rPr>
      </w:pPr>
      <w:r w:rsidRPr="003E1F05">
        <w:rPr>
          <w:rFonts w:cs="Calibri"/>
          <w:szCs w:val="24"/>
        </w:rPr>
        <w:t>appropriate standards of quality, safety, and efficacy of medicines;</w:t>
      </w:r>
    </w:p>
    <w:p w:rsidR="008831AF" w:rsidRPr="003E1F05" w:rsidRDefault="008831AF" w:rsidP="008831AF">
      <w:pPr>
        <w:keepNext/>
        <w:keepLines/>
        <w:numPr>
          <w:ilvl w:val="0"/>
          <w:numId w:val="12"/>
        </w:numPr>
        <w:spacing w:after="120"/>
        <w:rPr>
          <w:rFonts w:cs="Calibri"/>
          <w:szCs w:val="24"/>
        </w:rPr>
      </w:pPr>
      <w:r w:rsidRPr="003E1F05">
        <w:rPr>
          <w:rFonts w:cs="Calibri"/>
          <w:szCs w:val="24"/>
        </w:rPr>
        <w:t>quality use of medicines; and</w:t>
      </w:r>
    </w:p>
    <w:p w:rsidR="008831AF" w:rsidRPr="003E1F05" w:rsidRDefault="008831AF" w:rsidP="008831AF">
      <w:pPr>
        <w:keepNext/>
        <w:keepLines/>
        <w:numPr>
          <w:ilvl w:val="0"/>
          <w:numId w:val="12"/>
        </w:numPr>
        <w:spacing w:after="120"/>
        <w:rPr>
          <w:rFonts w:cs="Calibri"/>
          <w:szCs w:val="24"/>
        </w:rPr>
      </w:pPr>
      <w:proofErr w:type="gramStart"/>
      <w:r w:rsidRPr="003E1F05">
        <w:rPr>
          <w:rFonts w:cs="Calibri"/>
          <w:szCs w:val="24"/>
        </w:rPr>
        <w:t>maintenance</w:t>
      </w:r>
      <w:proofErr w:type="gramEnd"/>
      <w:r w:rsidRPr="003E1F05">
        <w:rPr>
          <w:rFonts w:cs="Calibri"/>
          <w:szCs w:val="24"/>
        </w:rPr>
        <w:t xml:space="preserve"> of a responsible and viable medicines industry in Australia.</w:t>
      </w:r>
    </w:p>
    <w:p w:rsidR="008831AF" w:rsidRPr="003E1F05" w:rsidRDefault="008831AF" w:rsidP="008831AF">
      <w:pPr>
        <w:keepNext/>
        <w:keepLines/>
        <w:spacing w:after="120"/>
        <w:rPr>
          <w:rFonts w:cs="Calibri"/>
          <w:szCs w:val="24"/>
        </w:rPr>
      </w:pPr>
      <w:r w:rsidRPr="003E1F05">
        <w:rPr>
          <w:rFonts w:cs="Calibri"/>
          <w:szCs w:val="24"/>
        </w:rPr>
        <w:t>Post-market reviews contribute to the quality use of medicines objective of the NMP.</w:t>
      </w:r>
    </w:p>
    <w:p w:rsidR="008831AF" w:rsidRPr="003E1F05" w:rsidRDefault="008831AF" w:rsidP="008831AF">
      <w:pPr>
        <w:keepNext/>
        <w:keepLines/>
        <w:spacing w:after="120"/>
        <w:rPr>
          <w:rFonts w:cs="Calibri"/>
          <w:szCs w:val="24"/>
        </w:rPr>
      </w:pPr>
      <w:r w:rsidRPr="003E1F05">
        <w:rPr>
          <w:rFonts w:cs="Calibri"/>
          <w:i/>
          <w:szCs w:val="24"/>
        </w:rPr>
        <w:t>Quality use of medicines</w:t>
      </w:r>
      <w:r w:rsidRPr="003E1F05">
        <w:rPr>
          <w:rFonts w:cs="Calibri"/>
          <w:szCs w:val="24"/>
        </w:rPr>
        <w:t xml:space="preserve"> </w:t>
      </w:r>
      <w:proofErr w:type="gramStart"/>
      <w:r w:rsidRPr="003E1F05">
        <w:rPr>
          <w:rFonts w:cs="Calibri"/>
          <w:szCs w:val="24"/>
        </w:rPr>
        <w:t>is defined</w:t>
      </w:r>
      <w:proofErr w:type="gramEnd"/>
      <w:r w:rsidRPr="003E1F05">
        <w:rPr>
          <w:rFonts w:cs="Calibri"/>
          <w:szCs w:val="24"/>
        </w:rPr>
        <w:t xml:space="preserve"> as:</w:t>
      </w:r>
    </w:p>
    <w:p w:rsidR="008831AF" w:rsidRPr="003E1F05" w:rsidRDefault="008831AF" w:rsidP="008831AF">
      <w:pPr>
        <w:keepNext/>
        <w:keepLines/>
        <w:numPr>
          <w:ilvl w:val="0"/>
          <w:numId w:val="14"/>
        </w:numPr>
        <w:spacing w:after="120"/>
        <w:rPr>
          <w:rFonts w:cs="Calibri"/>
          <w:szCs w:val="24"/>
        </w:rPr>
      </w:pPr>
      <w:r w:rsidRPr="003E1F05">
        <w:rPr>
          <w:rFonts w:cs="Calibri"/>
          <w:szCs w:val="24"/>
        </w:rPr>
        <w:t>selecting management options wisely;</w:t>
      </w:r>
    </w:p>
    <w:p w:rsidR="008831AF" w:rsidRPr="003E1F05" w:rsidRDefault="008831AF" w:rsidP="008831AF">
      <w:pPr>
        <w:keepNext/>
        <w:keepLines/>
        <w:numPr>
          <w:ilvl w:val="0"/>
          <w:numId w:val="14"/>
        </w:numPr>
        <w:spacing w:after="120"/>
        <w:rPr>
          <w:rFonts w:cs="Calibri"/>
          <w:szCs w:val="24"/>
        </w:rPr>
      </w:pPr>
      <w:r w:rsidRPr="003E1F05">
        <w:rPr>
          <w:rFonts w:cs="Calibri"/>
          <w:szCs w:val="24"/>
        </w:rPr>
        <w:t>choosing suitable medicines if a medicine is considered necessary; and</w:t>
      </w:r>
    </w:p>
    <w:p w:rsidR="008831AF" w:rsidRPr="003E1F05" w:rsidRDefault="008831AF" w:rsidP="008831AF">
      <w:pPr>
        <w:keepNext/>
        <w:keepLines/>
        <w:numPr>
          <w:ilvl w:val="0"/>
          <w:numId w:val="14"/>
        </w:numPr>
        <w:spacing w:after="120"/>
        <w:rPr>
          <w:rFonts w:cs="Calibri"/>
          <w:szCs w:val="24"/>
        </w:rPr>
      </w:pPr>
      <w:proofErr w:type="gramStart"/>
      <w:r w:rsidRPr="003E1F05">
        <w:rPr>
          <w:rFonts w:cs="Calibri"/>
          <w:szCs w:val="24"/>
        </w:rPr>
        <w:t>using</w:t>
      </w:r>
      <w:proofErr w:type="gramEnd"/>
      <w:r w:rsidRPr="003E1F05">
        <w:rPr>
          <w:rFonts w:cs="Calibri"/>
          <w:szCs w:val="24"/>
        </w:rPr>
        <w:t xml:space="preserve"> medicines safely and effectively. </w:t>
      </w:r>
    </w:p>
    <w:p w:rsidR="008831AF" w:rsidRPr="003E1F05" w:rsidRDefault="008831AF" w:rsidP="008831AF">
      <w:pPr>
        <w:keepNext/>
        <w:keepLines/>
        <w:spacing w:after="120"/>
        <w:rPr>
          <w:rFonts w:cs="Calibri"/>
          <w:szCs w:val="24"/>
        </w:rPr>
      </w:pPr>
      <w:r w:rsidRPr="003E1F05">
        <w:rPr>
          <w:rFonts w:cs="Calibri"/>
          <w:szCs w:val="24"/>
        </w:rPr>
        <w:t>The definition of quality use of medicines applies equally to decisions about medicine use by individuals and decisions that affect the health of the population.</w:t>
      </w:r>
    </w:p>
    <w:p w:rsidR="008831AF" w:rsidRPr="00787F54" w:rsidRDefault="008831AF" w:rsidP="008831AF">
      <w:pPr>
        <w:pStyle w:val="Heading3"/>
      </w:pPr>
      <w:r w:rsidRPr="00787F54">
        <w:t>1.3.2</w:t>
      </w:r>
      <w:r w:rsidRPr="00787F54">
        <w:tab/>
        <w:t>The Pharmaceutical Benefits Scheme (PBS)</w:t>
      </w:r>
    </w:p>
    <w:p w:rsidR="008831AF" w:rsidRPr="003E1F05" w:rsidRDefault="008831AF" w:rsidP="008831AF">
      <w:pPr>
        <w:rPr>
          <w:rFonts w:asciiTheme="majorHAnsi" w:hAnsiTheme="majorHAnsi"/>
          <w:lang w:eastAsia="en-AU"/>
        </w:rPr>
      </w:pPr>
      <w:r w:rsidRPr="003E1F05">
        <w:rPr>
          <w:rFonts w:asciiTheme="majorHAnsi" w:hAnsiTheme="majorHAnsi"/>
        </w:rPr>
        <w:t xml:space="preserve">The PBS provides reliable, timely, and affordable access to a wide range of medicines for all Australians. Under the PBS, the Australian Government subsidises medicine costs to help people afford prescription medicines for most medical conditions. </w:t>
      </w:r>
      <w:r w:rsidRPr="003E1F05">
        <w:rPr>
          <w:rFonts w:asciiTheme="majorHAnsi" w:hAnsiTheme="majorHAnsi"/>
          <w:lang w:eastAsia="en-AU"/>
        </w:rPr>
        <w:t xml:space="preserve">The PBS is part of the Australian Government’s broader NMP. </w:t>
      </w:r>
    </w:p>
    <w:p w:rsidR="008831AF" w:rsidRPr="00787F54" w:rsidRDefault="008831AF" w:rsidP="008831AF">
      <w:pPr>
        <w:pStyle w:val="Heading3"/>
      </w:pPr>
      <w:r w:rsidRPr="00787F54">
        <w:t>1.3.3</w:t>
      </w:r>
      <w:r w:rsidRPr="00787F54">
        <w:tab/>
        <w:t>The Pharmaceutical Benefits Advisory Committee (PBAC)</w:t>
      </w:r>
    </w:p>
    <w:p w:rsidR="008831AF" w:rsidRPr="003E1F05" w:rsidRDefault="008831AF" w:rsidP="008831AF">
      <w:pPr>
        <w:rPr>
          <w:rFonts w:cstheme="minorHAnsi"/>
        </w:rPr>
      </w:pPr>
      <w:r w:rsidRPr="003E1F05">
        <w:rPr>
          <w:rFonts w:cstheme="minorHAnsi"/>
        </w:rPr>
        <w:t xml:space="preserve">The PBAC is an independent expert body appointed by the Australian Government, comprised of doctors, health professionals, health economists and consumer representatives. The PBAC meets three times a year, usually in March, July and November. Additional special meetings </w:t>
      </w:r>
      <w:proofErr w:type="gramStart"/>
      <w:r w:rsidRPr="003E1F05">
        <w:rPr>
          <w:rFonts w:cstheme="minorHAnsi"/>
        </w:rPr>
        <w:t>may be held</w:t>
      </w:r>
      <w:proofErr w:type="gramEnd"/>
      <w:r w:rsidRPr="003E1F05">
        <w:rPr>
          <w:rFonts w:cstheme="minorHAnsi"/>
        </w:rPr>
        <w:t xml:space="preserve"> as required.</w:t>
      </w:r>
    </w:p>
    <w:p w:rsidR="008831AF" w:rsidRPr="003E1F05" w:rsidRDefault="008831AF" w:rsidP="008831AF">
      <w:pPr>
        <w:rPr>
          <w:rFonts w:cstheme="minorHAnsi"/>
        </w:rPr>
      </w:pPr>
      <w:r w:rsidRPr="003E1F05">
        <w:rPr>
          <w:rFonts w:cstheme="minorHAnsi"/>
        </w:rPr>
        <w:t xml:space="preserve">The PBAC is responsible for evaluating the clinical and cost-effectiveness of medicines in order to make recommendations relating to listing on the PBS. Recommendations for new listings </w:t>
      </w:r>
      <w:proofErr w:type="gramStart"/>
      <w:r w:rsidRPr="003E1F05">
        <w:rPr>
          <w:rFonts w:cstheme="minorHAnsi"/>
        </w:rPr>
        <w:t>are informed</w:t>
      </w:r>
      <w:proofErr w:type="gramEnd"/>
      <w:r w:rsidRPr="003E1F05">
        <w:rPr>
          <w:rFonts w:cstheme="minorHAnsi"/>
        </w:rPr>
        <w:t xml:space="preserve"> by evidence of a medicine’s clinical effectiveness, safety, and cost-effectiveness (‘value for money’) compared with other treatments. </w:t>
      </w:r>
    </w:p>
    <w:p w:rsidR="008831AF" w:rsidRPr="003E1F05" w:rsidRDefault="008831AF" w:rsidP="008831AF">
      <w:r w:rsidRPr="003E1F05">
        <w:t xml:space="preserve">The PBAC has a broad statutory function under the </w:t>
      </w:r>
      <w:r w:rsidRPr="003E1F05">
        <w:rPr>
          <w:i/>
        </w:rPr>
        <w:t>National Health Act 1953</w:t>
      </w:r>
      <w:r w:rsidRPr="003E1F05">
        <w:t xml:space="preserve">, to advise the Minister on any matters concerning the operation of the PBS. This includes making further recommendations regarding the safety, effectiveness and cost-effectiveness of medicines after they </w:t>
      </w:r>
      <w:proofErr w:type="gramStart"/>
      <w:r w:rsidRPr="003E1F05">
        <w:t>have been listed</w:t>
      </w:r>
      <w:proofErr w:type="gramEnd"/>
      <w:r w:rsidRPr="003E1F05">
        <w:t xml:space="preserve">. Therefore, the PBAC considers the need for, and provides recommendations on, post-market reviews. The advice of the PBAC </w:t>
      </w:r>
      <w:proofErr w:type="gramStart"/>
      <w:r w:rsidRPr="003E1F05">
        <w:t xml:space="preserve">will be </w:t>
      </w:r>
      <w:r w:rsidRPr="003E1F05">
        <w:lastRenderedPageBreak/>
        <w:t>sought</w:t>
      </w:r>
      <w:proofErr w:type="gramEnd"/>
      <w:r w:rsidRPr="003E1F05">
        <w:t xml:space="preserve"> on the Insulin Pumps Review Report to provide consistency across the Diabetes Review.</w:t>
      </w:r>
    </w:p>
    <w:p w:rsidR="008831AF" w:rsidRPr="003E1F05" w:rsidRDefault="008831AF" w:rsidP="008831AF">
      <w:pPr>
        <w:rPr>
          <w:rFonts w:cstheme="minorHAnsi"/>
        </w:rPr>
      </w:pPr>
      <w:r w:rsidRPr="003E1F05">
        <w:rPr>
          <w:rFonts w:cstheme="minorHAnsi"/>
        </w:rPr>
        <w:t xml:space="preserve">The PBAC has two sub-committees to assist with analysis and advice: the Drug Utilisation Sub-Committee (DUSC) and the Economics Sub-Committee (ESC). </w:t>
      </w:r>
      <w:r w:rsidRPr="003E1F05">
        <w:rPr>
          <w:lang w:eastAsia="en-AU"/>
        </w:rPr>
        <w:t xml:space="preserve">Information relating to the PBS, and the PBAC, DUSC and ESC meeting dates, and agendas and outcomes are available on the </w:t>
      </w:r>
      <w:hyperlink r:id="rId15" w:history="1">
        <w:r w:rsidRPr="003E1F05">
          <w:rPr>
            <w:u w:val="single"/>
            <w:lang w:eastAsia="en-AU"/>
          </w:rPr>
          <w:t>PBS website</w:t>
        </w:r>
      </w:hyperlink>
      <w:r w:rsidRPr="003E1F05">
        <w:rPr>
          <w:lang w:eastAsia="en-AU"/>
        </w:rPr>
        <w:t>.</w:t>
      </w:r>
    </w:p>
    <w:p w:rsidR="008831AF" w:rsidRPr="00787F54" w:rsidRDefault="008831AF" w:rsidP="008831AF">
      <w:pPr>
        <w:pStyle w:val="Heading3"/>
      </w:pPr>
      <w:r w:rsidRPr="00787F54">
        <w:t xml:space="preserve">1.3.4 </w:t>
      </w:r>
      <w:r w:rsidRPr="00787F54">
        <w:tab/>
        <w:t xml:space="preserve">Post-market monitoring </w:t>
      </w:r>
    </w:p>
    <w:p w:rsidR="008831AF" w:rsidRPr="003E1F05" w:rsidRDefault="008831AF" w:rsidP="008831AF">
      <w:pPr>
        <w:spacing w:after="120"/>
        <w:rPr>
          <w:rFonts w:cs="Calibri"/>
          <w:szCs w:val="24"/>
        </w:rPr>
      </w:pPr>
      <w:r w:rsidRPr="003E1F05">
        <w:rPr>
          <w:rFonts w:cs="Calibri"/>
          <w:szCs w:val="24"/>
          <w:lang w:val="en-US"/>
        </w:rPr>
        <w:t xml:space="preserve">Post-market reviews are a systematic and formal approach to monitoring the use of medicines listed on the PBS. The Post-market Review </w:t>
      </w:r>
      <w:proofErr w:type="spellStart"/>
      <w:r w:rsidRPr="003E1F05">
        <w:rPr>
          <w:rFonts w:cs="Calibri"/>
          <w:szCs w:val="24"/>
          <w:lang w:val="en-US"/>
        </w:rPr>
        <w:t>Programme</w:t>
      </w:r>
      <w:proofErr w:type="spellEnd"/>
      <w:r w:rsidRPr="003E1F05">
        <w:rPr>
          <w:rFonts w:cs="Calibri"/>
          <w:szCs w:val="24"/>
          <w:lang w:val="en-US"/>
        </w:rPr>
        <w:t xml:space="preserve"> was established to improve patient safety and quality use of medicines, in addition to supporting the ongoing evidence-based cost</w:t>
      </w:r>
      <w:r w:rsidR="00F91737" w:rsidRPr="003E1F05">
        <w:rPr>
          <w:rFonts w:cs="Calibri"/>
          <w:szCs w:val="24"/>
          <w:lang w:val="en-US"/>
        </w:rPr>
        <w:t xml:space="preserve"> and clinically </w:t>
      </w:r>
      <w:r w:rsidRPr="003E1F05">
        <w:rPr>
          <w:rFonts w:cs="Calibri"/>
          <w:szCs w:val="24"/>
          <w:lang w:val="en-US"/>
        </w:rPr>
        <w:t>effective use of PBS listed medicines.</w:t>
      </w:r>
    </w:p>
    <w:p w:rsidR="008831AF" w:rsidRPr="003E1F05" w:rsidRDefault="008831AF" w:rsidP="008831AF">
      <w:pPr>
        <w:spacing w:after="120"/>
        <w:rPr>
          <w:rFonts w:cs="Calibri"/>
          <w:szCs w:val="24"/>
        </w:rPr>
      </w:pPr>
      <w:r w:rsidRPr="003E1F05">
        <w:rPr>
          <w:rFonts w:cs="Calibri"/>
          <w:szCs w:val="24"/>
        </w:rPr>
        <w:t xml:space="preserve">Applications to list a medicine on the PBS </w:t>
      </w:r>
      <w:proofErr w:type="gramStart"/>
      <w:r w:rsidRPr="003E1F05">
        <w:rPr>
          <w:rFonts w:cs="Calibri"/>
          <w:szCs w:val="24"/>
        </w:rPr>
        <w:t>are considered</w:t>
      </w:r>
      <w:proofErr w:type="gramEnd"/>
      <w:r w:rsidRPr="003E1F05">
        <w:rPr>
          <w:rFonts w:cs="Calibri"/>
          <w:szCs w:val="24"/>
        </w:rPr>
        <w:t xml:space="preserve"> by the </w:t>
      </w:r>
      <w:r w:rsidRPr="003E1F05">
        <w:rPr>
          <w:rFonts w:cs="Calibri"/>
          <w:szCs w:val="24"/>
          <w:lang w:val="en-US"/>
        </w:rPr>
        <w:t xml:space="preserve">PBAC </w:t>
      </w:r>
      <w:r w:rsidRPr="003E1F05">
        <w:rPr>
          <w:rFonts w:cs="Calibri"/>
          <w:szCs w:val="24"/>
        </w:rPr>
        <w:t xml:space="preserve">on a case-by-case basis at the time a submission for listing is made. This means that a medicine </w:t>
      </w:r>
      <w:proofErr w:type="gramStart"/>
      <w:r w:rsidRPr="003E1F05">
        <w:rPr>
          <w:rFonts w:cs="Calibri"/>
          <w:szCs w:val="24"/>
        </w:rPr>
        <w:t>is only considered</w:t>
      </w:r>
      <w:proofErr w:type="gramEnd"/>
      <w:r w:rsidRPr="003E1F05">
        <w:rPr>
          <w:rFonts w:cs="Calibri"/>
          <w:szCs w:val="24"/>
        </w:rPr>
        <w:t xml:space="preserve"> in the context of treatments and evidence available at that time. Over time, new medicines </w:t>
      </w:r>
      <w:proofErr w:type="gramStart"/>
      <w:r w:rsidRPr="003E1F05">
        <w:rPr>
          <w:rFonts w:cs="Calibri"/>
          <w:szCs w:val="24"/>
        </w:rPr>
        <w:t>are listed</w:t>
      </w:r>
      <w:proofErr w:type="gramEnd"/>
      <w:r w:rsidRPr="003E1F05">
        <w:rPr>
          <w:rFonts w:cs="Calibri"/>
          <w:szCs w:val="24"/>
        </w:rPr>
        <w:t xml:space="preserve"> on the PBS, more data on medicine safety and efficacy becomes available, and treatment guidelines change. As a result, the actual use or health outcomes of a medicine may be different to what </w:t>
      </w:r>
      <w:proofErr w:type="gramStart"/>
      <w:r w:rsidRPr="003E1F05">
        <w:rPr>
          <w:rFonts w:cs="Calibri"/>
          <w:szCs w:val="24"/>
        </w:rPr>
        <w:t>was considered</w:t>
      </w:r>
      <w:proofErr w:type="gramEnd"/>
      <w:r w:rsidRPr="003E1F05">
        <w:rPr>
          <w:rFonts w:cs="Calibri"/>
          <w:szCs w:val="24"/>
        </w:rPr>
        <w:t xml:space="preserve"> by the PBAC at the time of listing. The post-market review process provides a mechanism for medicines to </w:t>
      </w:r>
      <w:proofErr w:type="gramStart"/>
      <w:r w:rsidRPr="003E1F05">
        <w:rPr>
          <w:rFonts w:cs="Calibri"/>
          <w:szCs w:val="24"/>
        </w:rPr>
        <w:t>be considered</w:t>
      </w:r>
      <w:proofErr w:type="gramEnd"/>
      <w:r w:rsidRPr="003E1F05">
        <w:rPr>
          <w:rFonts w:cs="Calibri"/>
          <w:szCs w:val="24"/>
        </w:rPr>
        <w:t xml:space="preserve"> in the full and current treatment context, including actual utilisation, comparative efficacy, treatment guidelines and health outcomes. </w:t>
      </w:r>
    </w:p>
    <w:p w:rsidR="008831AF" w:rsidRPr="003E1F05" w:rsidRDefault="008831AF" w:rsidP="008831AF">
      <w:pPr>
        <w:spacing w:after="120"/>
        <w:rPr>
          <w:rFonts w:cs="Calibri"/>
          <w:szCs w:val="24"/>
          <w:lang w:val="en-US"/>
        </w:rPr>
      </w:pPr>
      <w:r w:rsidRPr="003E1F05">
        <w:rPr>
          <w:rFonts w:cs="Calibri"/>
          <w:szCs w:val="24"/>
          <w:lang w:val="en-US"/>
        </w:rPr>
        <w:t xml:space="preserve">The Post-market Review </w:t>
      </w:r>
      <w:proofErr w:type="spellStart"/>
      <w:r w:rsidRPr="003E1F05">
        <w:rPr>
          <w:rFonts w:cs="Calibri"/>
          <w:szCs w:val="24"/>
          <w:lang w:val="en-US"/>
        </w:rPr>
        <w:t>Programme</w:t>
      </w:r>
      <w:proofErr w:type="spellEnd"/>
      <w:r w:rsidRPr="003E1F05">
        <w:rPr>
          <w:rFonts w:cs="Calibri"/>
          <w:szCs w:val="24"/>
          <w:lang w:val="en-US"/>
        </w:rPr>
        <w:t xml:space="preserve"> aims to achieve four main goals:</w:t>
      </w:r>
    </w:p>
    <w:p w:rsidR="008831AF" w:rsidRPr="003E1F05" w:rsidRDefault="008831AF" w:rsidP="008831AF">
      <w:pPr>
        <w:numPr>
          <w:ilvl w:val="0"/>
          <w:numId w:val="13"/>
        </w:numPr>
        <w:spacing w:after="120"/>
        <w:rPr>
          <w:rFonts w:cs="Calibri"/>
          <w:szCs w:val="24"/>
          <w:lang w:val="en-US"/>
        </w:rPr>
      </w:pPr>
      <w:r w:rsidRPr="003E1F05">
        <w:rPr>
          <w:rFonts w:cs="Calibri"/>
          <w:szCs w:val="24"/>
          <w:lang w:val="en-US"/>
        </w:rPr>
        <w:t>improved patient safety through better understanding of adverse events and medicine-related harms;</w:t>
      </w:r>
    </w:p>
    <w:p w:rsidR="008831AF" w:rsidRPr="003E1F05" w:rsidRDefault="008831AF" w:rsidP="008831AF">
      <w:pPr>
        <w:numPr>
          <w:ilvl w:val="0"/>
          <w:numId w:val="13"/>
        </w:numPr>
        <w:spacing w:after="120"/>
        <w:rPr>
          <w:rFonts w:cs="Calibri"/>
          <w:szCs w:val="24"/>
          <w:lang w:val="en-US"/>
        </w:rPr>
      </w:pPr>
      <w:r w:rsidRPr="003E1F05">
        <w:rPr>
          <w:rFonts w:cs="Calibri"/>
          <w:szCs w:val="24"/>
          <w:lang w:val="en-US"/>
        </w:rPr>
        <w:t>ensuring the ongoing viability of the PBS through better targeting of medicines use and avoiding preventable wastage or inappropriate prescribing;</w:t>
      </w:r>
    </w:p>
    <w:p w:rsidR="008831AF" w:rsidRPr="003E1F05" w:rsidRDefault="008831AF" w:rsidP="008831AF">
      <w:pPr>
        <w:numPr>
          <w:ilvl w:val="0"/>
          <w:numId w:val="13"/>
        </w:numPr>
        <w:spacing w:after="120"/>
        <w:rPr>
          <w:rFonts w:cs="Calibri"/>
          <w:szCs w:val="24"/>
          <w:lang w:val="en-US"/>
        </w:rPr>
      </w:pPr>
      <w:r w:rsidRPr="003E1F05">
        <w:rPr>
          <w:rFonts w:cs="Calibri"/>
          <w:szCs w:val="24"/>
          <w:lang w:val="en-US"/>
        </w:rPr>
        <w:t>developing a better understanding of medicines use, to validate intended clinical benefit and inform medicines evaluation processes; and</w:t>
      </w:r>
    </w:p>
    <w:p w:rsidR="008831AF" w:rsidRPr="003E1F05" w:rsidRDefault="008831AF" w:rsidP="008831AF">
      <w:pPr>
        <w:numPr>
          <w:ilvl w:val="0"/>
          <w:numId w:val="13"/>
        </w:numPr>
        <w:spacing w:after="120"/>
        <w:rPr>
          <w:rFonts w:cs="Calibri"/>
          <w:szCs w:val="24"/>
          <w:lang w:val="en-US"/>
        </w:rPr>
      </w:pPr>
      <w:proofErr w:type="gramStart"/>
      <w:r w:rsidRPr="003E1F05">
        <w:rPr>
          <w:rFonts w:cs="Calibri"/>
          <w:szCs w:val="24"/>
          <w:lang w:val="en-US"/>
        </w:rPr>
        <w:t>strengthened</w:t>
      </w:r>
      <w:proofErr w:type="gramEnd"/>
      <w:r w:rsidRPr="003E1F05">
        <w:rPr>
          <w:rFonts w:cs="Calibri"/>
          <w:szCs w:val="24"/>
          <w:lang w:val="en-US"/>
        </w:rPr>
        <w:t xml:space="preserve"> medicines pricing management, including through better management of clinical and economic uncertainty.</w:t>
      </w:r>
    </w:p>
    <w:p w:rsidR="008831AF" w:rsidRPr="003E1F05" w:rsidRDefault="008831AF" w:rsidP="008831AF">
      <w:pPr>
        <w:spacing w:after="120"/>
        <w:rPr>
          <w:szCs w:val="24"/>
        </w:rPr>
      </w:pPr>
      <w:r w:rsidRPr="003E1F05">
        <w:rPr>
          <w:szCs w:val="24"/>
        </w:rPr>
        <w:t>Post-market reviews are initiated due to concerns related to safety, cost</w:t>
      </w:r>
      <w:r w:rsidRPr="003E1F05">
        <w:rPr>
          <w:szCs w:val="24"/>
        </w:rPr>
        <w:noBreakHyphen/>
        <w:t xml:space="preserve">effectiveness, </w:t>
      </w:r>
      <w:proofErr w:type="gramStart"/>
      <w:r w:rsidRPr="003E1F05">
        <w:rPr>
          <w:szCs w:val="24"/>
        </w:rPr>
        <w:t>clinical</w:t>
      </w:r>
      <w:proofErr w:type="gramEnd"/>
      <w:r w:rsidRPr="003E1F05">
        <w:rPr>
          <w:szCs w:val="24"/>
        </w:rPr>
        <w:t xml:space="preserve">-effectiveness, higher than predicted use and/or international differences in use, of a medicine or a group of medicines. A full post-market review will only proceed following either PBAC agreement or Ministerial approval. </w:t>
      </w:r>
    </w:p>
    <w:p w:rsidR="008831AF" w:rsidRPr="005A3DA8" w:rsidRDefault="008831AF" w:rsidP="008831AF">
      <w:pPr>
        <w:pStyle w:val="Heading1"/>
      </w:pPr>
      <w:r w:rsidRPr="00787F54">
        <w:rPr>
          <w:rFonts w:cs="Calibri"/>
          <w:color w:val="auto"/>
        </w:rPr>
        <w:br w:type="page"/>
      </w:r>
      <w:bookmarkStart w:id="67" w:name="_Part_3_–_1"/>
      <w:bookmarkStart w:id="68" w:name="_Toc373130823"/>
      <w:bookmarkStart w:id="69" w:name="_Toc381622779"/>
      <w:bookmarkStart w:id="70" w:name="_Toc387664314"/>
      <w:bookmarkStart w:id="71" w:name="_Toc371521201"/>
      <w:bookmarkEnd w:id="67"/>
      <w:r w:rsidRPr="005A3DA8">
        <w:rPr>
          <w:rFonts w:cs="Calibri"/>
        </w:rPr>
        <w:lastRenderedPageBreak/>
        <w:t xml:space="preserve">Part </w:t>
      </w:r>
      <w:r>
        <w:t>2</w:t>
      </w:r>
      <w:r>
        <w:br/>
        <w:t>Diabetes mellitus: t</w:t>
      </w:r>
      <w:r w:rsidRPr="005A3DA8">
        <w:t xml:space="preserve">reatment and </w:t>
      </w:r>
      <w:r>
        <w:t>access to i</w:t>
      </w:r>
      <w:r w:rsidRPr="005A3DA8">
        <w:t xml:space="preserve">nsulin </w:t>
      </w:r>
      <w:r>
        <w:t>p</w:t>
      </w:r>
      <w:r w:rsidRPr="005A3DA8">
        <w:t>umps</w:t>
      </w:r>
      <w:bookmarkEnd w:id="68"/>
      <w:bookmarkEnd w:id="69"/>
      <w:bookmarkEnd w:id="70"/>
    </w:p>
    <w:p w:rsidR="008831AF" w:rsidRPr="00D52454" w:rsidRDefault="008831AF" w:rsidP="008831AF">
      <w:pPr>
        <w:pStyle w:val="Heading2"/>
      </w:pPr>
      <w:bookmarkStart w:id="72" w:name="_Toc373130824"/>
      <w:bookmarkStart w:id="73" w:name="_Toc381622780"/>
      <w:bookmarkStart w:id="74" w:name="_Toc387664315"/>
      <w:r w:rsidRPr="00D52454">
        <w:t xml:space="preserve">2.1 </w:t>
      </w:r>
      <w:r w:rsidRPr="00D52454">
        <w:tab/>
        <w:t>Diabetes mellitus</w:t>
      </w:r>
      <w:bookmarkEnd w:id="72"/>
      <w:bookmarkEnd w:id="73"/>
      <w:bookmarkEnd w:id="74"/>
    </w:p>
    <w:p w:rsidR="008831AF" w:rsidRPr="003E1F05" w:rsidRDefault="008831AF" w:rsidP="008831AF">
      <w:pPr>
        <w:spacing w:after="120"/>
        <w:rPr>
          <w:szCs w:val="24"/>
        </w:rPr>
      </w:pPr>
      <w:r w:rsidRPr="003E1F05">
        <w:rPr>
          <w:szCs w:val="24"/>
        </w:rPr>
        <w:t xml:space="preserve">Diabetes mellitus (diabetes) is a chronic disease characterised by high levels of glucose in the blood. Insulin, a hormone produced by the </w:t>
      </w:r>
      <w:proofErr w:type="gramStart"/>
      <w:r w:rsidRPr="003E1F05">
        <w:rPr>
          <w:szCs w:val="24"/>
        </w:rPr>
        <w:t>beta-cells</w:t>
      </w:r>
      <w:proofErr w:type="gramEnd"/>
      <w:r w:rsidRPr="003E1F05">
        <w:rPr>
          <w:szCs w:val="24"/>
        </w:rPr>
        <w:t xml:space="preserve"> of the pancreas, controls blood glucose levels. Diabetes occurs when the pancreas is unable to produce enough insulin, or the body becomes resistant to insulin, or both (World Health Organization (WHO) 2013). There are three main types of diabetes: type </w:t>
      </w:r>
      <w:proofErr w:type="gramStart"/>
      <w:r w:rsidRPr="003E1F05">
        <w:rPr>
          <w:szCs w:val="24"/>
        </w:rPr>
        <w:t>1</w:t>
      </w:r>
      <w:proofErr w:type="gramEnd"/>
      <w:r w:rsidRPr="003E1F05">
        <w:rPr>
          <w:szCs w:val="24"/>
        </w:rPr>
        <w:t xml:space="preserve"> diabetes, type 2 diabetes, and gestational diabetes (WHO 2013).</w:t>
      </w:r>
    </w:p>
    <w:p w:rsidR="008831AF" w:rsidRPr="00787F54" w:rsidRDefault="008831AF" w:rsidP="008831AF">
      <w:pPr>
        <w:pStyle w:val="Heading3"/>
      </w:pPr>
      <w:bookmarkStart w:id="75" w:name="_Toc373130825"/>
      <w:r w:rsidRPr="00787F54">
        <w:t>2.1.1</w:t>
      </w:r>
      <w:r w:rsidRPr="00787F54">
        <w:tab/>
        <w:t>Type 1 diabetes</w:t>
      </w:r>
      <w:bookmarkEnd w:id="75"/>
    </w:p>
    <w:p w:rsidR="008831AF" w:rsidRPr="003E1F05" w:rsidRDefault="008831AF" w:rsidP="008831AF">
      <w:pPr>
        <w:rPr>
          <w:szCs w:val="24"/>
        </w:rPr>
      </w:pPr>
      <w:r w:rsidRPr="003E1F05">
        <w:t xml:space="preserve">Type 1 diabetes is an autoimmune disease characterised by the progressive destruction of the insulin producing </w:t>
      </w:r>
      <w:proofErr w:type="gramStart"/>
      <w:r w:rsidRPr="003E1F05">
        <w:t>beta-cells</w:t>
      </w:r>
      <w:proofErr w:type="gramEnd"/>
      <w:r w:rsidRPr="003E1F05">
        <w:t xml:space="preserve"> of the pancreas. People with type 1 diabetes cannot produce insulin and require lifelong insulin injections for survival (WHO 2013). Type </w:t>
      </w:r>
      <w:proofErr w:type="gramStart"/>
      <w:r w:rsidRPr="003E1F05">
        <w:t>1 diabetes</w:t>
      </w:r>
      <w:proofErr w:type="gramEnd"/>
      <w:r w:rsidRPr="003E1F05">
        <w:t xml:space="preserve"> is sometimes referred to as juvenile onset diabetes or insulin dependent diabetes. Type 1 diabetes affects about 10% of people with diabetes (AIHW 2013). </w:t>
      </w:r>
      <w:r w:rsidRPr="003E1F05">
        <w:rPr>
          <w:szCs w:val="24"/>
        </w:rPr>
        <w:t>The cause of type 1 diabetes is not known, there are no known cures, and it is not preventable with current knowledge (</w:t>
      </w:r>
      <w:proofErr w:type="spellStart"/>
      <w:r w:rsidRPr="003E1F05">
        <w:rPr>
          <w:szCs w:val="24"/>
        </w:rPr>
        <w:t>Misso</w:t>
      </w:r>
      <w:proofErr w:type="spellEnd"/>
      <w:r w:rsidRPr="003E1F05">
        <w:rPr>
          <w:szCs w:val="24"/>
        </w:rPr>
        <w:t xml:space="preserve"> </w:t>
      </w:r>
      <w:r w:rsidRPr="003E1F05">
        <w:rPr>
          <w:i/>
          <w:szCs w:val="24"/>
        </w:rPr>
        <w:t>et al</w:t>
      </w:r>
      <w:r w:rsidRPr="003E1F05">
        <w:rPr>
          <w:szCs w:val="24"/>
        </w:rPr>
        <w:t>. 2010, WHO 2013).</w:t>
      </w:r>
    </w:p>
    <w:p w:rsidR="008831AF" w:rsidRPr="00787F54" w:rsidRDefault="008831AF" w:rsidP="008831AF">
      <w:pPr>
        <w:pStyle w:val="Heading3"/>
      </w:pPr>
      <w:bookmarkStart w:id="76" w:name="_Toc373130826"/>
      <w:r w:rsidRPr="00787F54">
        <w:t xml:space="preserve">2.1.2 </w:t>
      </w:r>
      <w:r w:rsidRPr="00787F54">
        <w:tab/>
        <w:t>Type 2 diabetes</w:t>
      </w:r>
      <w:bookmarkEnd w:id="76"/>
    </w:p>
    <w:p w:rsidR="008831AF" w:rsidRPr="003E1F05" w:rsidRDefault="008831AF" w:rsidP="008831AF">
      <w:pPr>
        <w:rPr>
          <w:szCs w:val="24"/>
        </w:rPr>
      </w:pPr>
      <w:r w:rsidRPr="003E1F05">
        <w:rPr>
          <w:szCs w:val="24"/>
        </w:rPr>
        <w:t xml:space="preserve">People with type </w:t>
      </w:r>
      <w:proofErr w:type="gramStart"/>
      <w:r w:rsidRPr="003E1F05">
        <w:rPr>
          <w:szCs w:val="24"/>
        </w:rPr>
        <w:t>2</w:t>
      </w:r>
      <w:proofErr w:type="gramEnd"/>
      <w:r w:rsidRPr="003E1F05">
        <w:rPr>
          <w:szCs w:val="24"/>
        </w:rPr>
        <w:t xml:space="preserve"> diabetes produce insulin, but may not produce enough of it or cannot use it effectively (insulin resistance) (AIHW 2013). It is associated with hereditary factors and lifestyle risk factors, including poor diet, insufficient physical activity and being overweight or obese (Shaw &amp; Chisholm 2003). Some people with type 2 diabetes may be able to manage their condition through lifestyle </w:t>
      </w:r>
      <w:proofErr w:type="gramStart"/>
      <w:r w:rsidRPr="003E1F05">
        <w:rPr>
          <w:szCs w:val="24"/>
        </w:rPr>
        <w:t>changes,</w:t>
      </w:r>
      <w:proofErr w:type="gramEnd"/>
      <w:r w:rsidRPr="003E1F05">
        <w:rPr>
          <w:szCs w:val="24"/>
        </w:rPr>
        <w:t xml:space="preserve"> others may require diabetes medications or insulin injections to control blood glucose levels. Type 2 diabetes occurs mostly in people aged over 40 years. However, the disease is becoming increasingly prevalent in younger age groups, including children (WHO 2013). </w:t>
      </w:r>
    </w:p>
    <w:p w:rsidR="008831AF" w:rsidRPr="00787F54" w:rsidRDefault="008831AF" w:rsidP="008831AF">
      <w:pPr>
        <w:pStyle w:val="Heading3"/>
        <w:rPr>
          <w:rFonts w:eastAsia="Calibri"/>
        </w:rPr>
      </w:pPr>
      <w:bookmarkStart w:id="77" w:name="_Toc373130827"/>
      <w:r w:rsidRPr="00787F54">
        <w:rPr>
          <w:rFonts w:eastAsia="Calibri"/>
        </w:rPr>
        <w:t>2.1.3</w:t>
      </w:r>
      <w:r w:rsidRPr="00787F54">
        <w:rPr>
          <w:rFonts w:eastAsia="Calibri"/>
        </w:rPr>
        <w:tab/>
        <w:t>Gestational diabetes</w:t>
      </w:r>
      <w:bookmarkEnd w:id="77"/>
    </w:p>
    <w:p w:rsidR="008831AF" w:rsidRPr="003E1F05" w:rsidRDefault="008831AF" w:rsidP="008831AF">
      <w:pPr>
        <w:keepNext/>
        <w:keepLines/>
        <w:spacing w:after="120"/>
        <w:rPr>
          <w:szCs w:val="24"/>
        </w:rPr>
      </w:pPr>
      <w:r w:rsidRPr="003E1F05">
        <w:rPr>
          <w:szCs w:val="24"/>
        </w:rPr>
        <w:t xml:space="preserve">Gestational diabetes occurs during pregnancy and usually resolves after birth. However, a history of gestational diabetes increases a woman's risk of developing type </w:t>
      </w:r>
      <w:proofErr w:type="gramStart"/>
      <w:r w:rsidRPr="003E1F05">
        <w:rPr>
          <w:szCs w:val="24"/>
        </w:rPr>
        <w:t>2 diabetes later in life</w:t>
      </w:r>
      <w:proofErr w:type="gramEnd"/>
      <w:r w:rsidRPr="003E1F05">
        <w:rPr>
          <w:szCs w:val="24"/>
        </w:rPr>
        <w:t xml:space="preserve">. It </w:t>
      </w:r>
      <w:proofErr w:type="gramStart"/>
      <w:r w:rsidRPr="003E1F05">
        <w:rPr>
          <w:szCs w:val="24"/>
        </w:rPr>
        <w:t>is estimated</w:t>
      </w:r>
      <w:proofErr w:type="gramEnd"/>
      <w:r w:rsidRPr="003E1F05">
        <w:rPr>
          <w:szCs w:val="24"/>
        </w:rPr>
        <w:t xml:space="preserve"> that gestational diabetes affects women in about 3-8% of pregnancies. Additionally, certain populations including Aboriginal or Torres Strait Islander, Indian, Vietnamese, Chinese, Middle Eastern and Polynesian, are at increased risk of gestational diabetes (Diabetes Australia 2012). </w:t>
      </w:r>
    </w:p>
    <w:p w:rsidR="008831AF" w:rsidRPr="00D52454" w:rsidRDefault="008831AF" w:rsidP="008831AF">
      <w:pPr>
        <w:pStyle w:val="Heading2"/>
      </w:pPr>
      <w:bookmarkStart w:id="78" w:name="_Toc373130828"/>
      <w:bookmarkStart w:id="79" w:name="_Toc381622781"/>
      <w:bookmarkStart w:id="80" w:name="_Toc387664316"/>
      <w:r w:rsidRPr="00D52454">
        <w:t>2.2</w:t>
      </w:r>
      <w:r w:rsidRPr="00D52454">
        <w:tab/>
        <w:t>Prevalence of diabetes in Australia</w:t>
      </w:r>
      <w:bookmarkEnd w:id="78"/>
      <w:bookmarkEnd w:id="79"/>
      <w:bookmarkEnd w:id="80"/>
    </w:p>
    <w:p w:rsidR="008831AF" w:rsidRPr="003E1F05" w:rsidRDefault="008831AF" w:rsidP="008831AF">
      <w:pPr>
        <w:spacing w:after="120"/>
        <w:rPr>
          <w:szCs w:val="24"/>
        </w:rPr>
      </w:pPr>
      <w:r w:rsidRPr="003E1F05">
        <w:rPr>
          <w:szCs w:val="24"/>
        </w:rPr>
        <w:t xml:space="preserve">Diabetes mellitus </w:t>
      </w:r>
      <w:proofErr w:type="gramStart"/>
      <w:r w:rsidRPr="003E1F05">
        <w:rPr>
          <w:szCs w:val="24"/>
        </w:rPr>
        <w:t>was endorsed</w:t>
      </w:r>
      <w:proofErr w:type="gramEnd"/>
      <w:r w:rsidRPr="003E1F05">
        <w:rPr>
          <w:szCs w:val="24"/>
        </w:rPr>
        <w:t xml:space="preserve"> as a National Health Priority Area at the Australian Health Minister's Conference in 1996, in recognition of the high prevalence of the disease in Australia, its impact on morbidity and mortality, and its potential for health improvements through prevention and treatment programmes.</w:t>
      </w:r>
    </w:p>
    <w:p w:rsidR="008831AF" w:rsidRPr="003E1F05" w:rsidRDefault="008831AF" w:rsidP="008831AF">
      <w:pPr>
        <w:spacing w:after="120"/>
        <w:rPr>
          <w:szCs w:val="24"/>
        </w:rPr>
      </w:pPr>
      <w:r w:rsidRPr="003E1F05">
        <w:lastRenderedPageBreak/>
        <w:t xml:space="preserve">According to the </w:t>
      </w:r>
      <w:r w:rsidRPr="003E1F05">
        <w:rPr>
          <w:i/>
        </w:rPr>
        <w:t>Australian Health Survey: Updated Results (2011-12),</w:t>
      </w:r>
      <w:r w:rsidRPr="003E1F05">
        <w:t xml:space="preserve"> the total number of people in Australia aged 2 years and older that have ever been diagnosed with diabetes (excluding gestational diabetes) is 999,000, around 4.6% of the population (Australian Bureau of Statistics (ABS) 2013)</w:t>
      </w:r>
      <w:r w:rsidRPr="003E1F05">
        <w:rPr>
          <w:szCs w:val="24"/>
        </w:rPr>
        <w:t xml:space="preserve">. </w:t>
      </w:r>
    </w:p>
    <w:p w:rsidR="008831AF" w:rsidRPr="003E1F05" w:rsidRDefault="008831AF" w:rsidP="008831AF">
      <w:pPr>
        <w:spacing w:after="120"/>
        <w:rPr>
          <w:szCs w:val="24"/>
        </w:rPr>
      </w:pPr>
      <w:r w:rsidRPr="003E1F05">
        <w:rPr>
          <w:szCs w:val="24"/>
        </w:rPr>
        <w:t xml:space="preserve">The prevalence of diabetes in Australia has almost doubled since 1995 (407,900 people). This substantial increase </w:t>
      </w:r>
      <w:proofErr w:type="gramStart"/>
      <w:r w:rsidRPr="003E1F05">
        <w:rPr>
          <w:szCs w:val="24"/>
        </w:rPr>
        <w:t>has been attributed</w:t>
      </w:r>
      <w:proofErr w:type="gramEnd"/>
      <w:r w:rsidRPr="003E1F05">
        <w:rPr>
          <w:szCs w:val="24"/>
        </w:rPr>
        <w:t xml:space="preserve"> to more people developing the disease, but also people with diabetes living longer and improved detection of the disease. </w:t>
      </w:r>
      <w:r w:rsidRPr="003E1F05">
        <w:t xml:space="preserve">However, the prevalence of diabetes in terms of percentage of the Australian </w:t>
      </w:r>
      <w:proofErr w:type="gramStart"/>
      <w:r w:rsidRPr="003E1F05">
        <w:t>population,</w:t>
      </w:r>
      <w:proofErr w:type="gramEnd"/>
      <w:r w:rsidRPr="003E1F05">
        <w:t xml:space="preserve"> remained stable between 2007-08 and 2011-12 (4.5% in 2007–08) (ABS 2013).</w:t>
      </w:r>
    </w:p>
    <w:p w:rsidR="008831AF" w:rsidRPr="003E1F05" w:rsidRDefault="008831AF" w:rsidP="008831AF">
      <w:pPr>
        <w:rPr>
          <w:szCs w:val="24"/>
        </w:rPr>
      </w:pPr>
      <w:r w:rsidRPr="003E1F05">
        <w:rPr>
          <w:szCs w:val="24"/>
        </w:rPr>
        <w:t xml:space="preserve">The </w:t>
      </w:r>
      <w:r w:rsidRPr="003E1F05">
        <w:rPr>
          <w:i/>
          <w:szCs w:val="24"/>
        </w:rPr>
        <w:t>Australian Health Survey: Updated Results (2011-12)</w:t>
      </w:r>
      <w:r w:rsidRPr="003E1F05">
        <w:rPr>
          <w:szCs w:val="24"/>
        </w:rPr>
        <w:t xml:space="preserve"> show that, of persons aged 2 years and older who reported having diabetes: 84.9% had type 2 diabetes, 11.9% had type 1 diabetes, and 3.3% had an unspecified type of diabetes. More men reported having diabetes than </w:t>
      </w:r>
      <w:proofErr w:type="gramStart"/>
      <w:r w:rsidRPr="003E1F05">
        <w:rPr>
          <w:szCs w:val="24"/>
        </w:rPr>
        <w:t>women</w:t>
      </w:r>
      <w:proofErr w:type="gramEnd"/>
      <w:r w:rsidRPr="003E1F05">
        <w:rPr>
          <w:szCs w:val="24"/>
        </w:rPr>
        <w:t xml:space="preserve"> (5.1% of all men compared with 4.2% of all women) (ABS 2013). </w:t>
      </w:r>
    </w:p>
    <w:p w:rsidR="008831AF" w:rsidRPr="003E1F05" w:rsidRDefault="008831AF" w:rsidP="008831AF">
      <w:pPr>
        <w:spacing w:after="120"/>
        <w:rPr>
          <w:rFonts w:eastAsia="Calibri" w:cs="Book Antiqua"/>
          <w:szCs w:val="24"/>
          <w:lang w:eastAsia="en-AU"/>
        </w:rPr>
      </w:pPr>
      <w:r w:rsidRPr="003E1F05">
        <w:rPr>
          <w:szCs w:val="24"/>
        </w:rPr>
        <w:t xml:space="preserve">Type 1 diabetes can occur at any age, although new cases mostly occur in children and young adults. While many childhood diseases are declining in Australia, </w:t>
      </w:r>
      <w:r w:rsidRPr="003E1F05">
        <w:rPr>
          <w:rFonts w:eastAsia="Calibri" w:cs="Book Antiqua"/>
          <w:szCs w:val="24"/>
          <w:lang w:eastAsia="en-AU"/>
        </w:rPr>
        <w:t>it is estimated that the prevalence of type 1 diabetes in</w:t>
      </w:r>
      <w:r w:rsidRPr="003E1F05">
        <w:rPr>
          <w:rFonts w:cs="Book Antiqua"/>
          <w:szCs w:val="24"/>
        </w:rPr>
        <w:t xml:space="preserve"> the </w:t>
      </w:r>
      <w:r w:rsidRPr="003E1F05">
        <w:rPr>
          <w:rFonts w:eastAsia="Calibri" w:cs="Book Antiqua"/>
          <w:szCs w:val="24"/>
          <w:lang w:eastAsia="en-AU"/>
        </w:rPr>
        <w:t>0-14 year old</w:t>
      </w:r>
      <w:r w:rsidRPr="003E1F05">
        <w:rPr>
          <w:rFonts w:cs="Book Antiqua"/>
          <w:szCs w:val="24"/>
        </w:rPr>
        <w:t xml:space="preserve"> demographic </w:t>
      </w:r>
      <w:r w:rsidRPr="003E1F05">
        <w:rPr>
          <w:rFonts w:eastAsia="Calibri" w:cs="Book Antiqua"/>
          <w:szCs w:val="24"/>
          <w:lang w:eastAsia="en-AU"/>
        </w:rPr>
        <w:t xml:space="preserve">will increase by 10% between 2008 and 2013, from </w:t>
      </w:r>
      <w:r w:rsidRPr="003E1F05">
        <w:rPr>
          <w:rFonts w:cs="Book Antiqua"/>
          <w:szCs w:val="24"/>
        </w:rPr>
        <w:t>5,700 to 6,300 (AIHW 2012a)</w:t>
      </w:r>
      <w:r w:rsidRPr="003E1F05">
        <w:rPr>
          <w:rFonts w:eastAsia="Calibri" w:cs="Book Antiqua"/>
          <w:szCs w:val="24"/>
          <w:lang w:eastAsia="en-AU"/>
        </w:rPr>
        <w:t>.</w:t>
      </w:r>
    </w:p>
    <w:p w:rsidR="008831AF" w:rsidRPr="00D52454" w:rsidRDefault="008831AF" w:rsidP="008831AF">
      <w:pPr>
        <w:pStyle w:val="Heading2"/>
      </w:pPr>
      <w:bookmarkStart w:id="81" w:name="_Toc373130829"/>
      <w:bookmarkStart w:id="82" w:name="_Toc381622782"/>
      <w:bookmarkStart w:id="83" w:name="_Toc387664317"/>
      <w:r w:rsidRPr="00D52454">
        <w:t>2.3</w:t>
      </w:r>
      <w:r w:rsidRPr="00D52454">
        <w:tab/>
        <w:t>Complications</w:t>
      </w:r>
      <w:bookmarkEnd w:id="81"/>
      <w:bookmarkEnd w:id="82"/>
      <w:bookmarkEnd w:id="83"/>
    </w:p>
    <w:p w:rsidR="008831AF" w:rsidRPr="003E1F05" w:rsidRDefault="008831AF" w:rsidP="008831AF">
      <w:pPr>
        <w:spacing w:after="120"/>
        <w:rPr>
          <w:szCs w:val="24"/>
        </w:rPr>
      </w:pPr>
      <w:r w:rsidRPr="003E1F05">
        <w:rPr>
          <w:szCs w:val="24"/>
        </w:rPr>
        <w:t>In type 1 diabetes, a lack of insulin elevates blood glucose levels (hyperglycaemia) and creates disturbances in carbohydrate, lipid and protein metabolism. Subsequently, because the body cells are not receiving a source of energy through glucose (sugar), the body responds by using fats as an energy source. This causes accumulation of ketones (an acidic molecule) in the blood, a by-product of abnormal lipid metabolism, lowering the blood pH to a point that is more acidic than normal and leading to diabetic ketoacidosis (DKA) (AIHW 2012b). If not treated, there are many potentially life threatening diabetes complications (</w:t>
      </w:r>
      <w:proofErr w:type="spellStart"/>
      <w:r w:rsidRPr="003E1F05">
        <w:rPr>
          <w:szCs w:val="24"/>
        </w:rPr>
        <w:t>Misso</w:t>
      </w:r>
      <w:proofErr w:type="spellEnd"/>
      <w:r w:rsidRPr="003E1F05">
        <w:rPr>
          <w:szCs w:val="24"/>
        </w:rPr>
        <w:t xml:space="preserve"> </w:t>
      </w:r>
      <w:r w:rsidRPr="003E1F05">
        <w:rPr>
          <w:i/>
          <w:szCs w:val="24"/>
        </w:rPr>
        <w:t>et al</w:t>
      </w:r>
      <w:r w:rsidRPr="003E1F05">
        <w:rPr>
          <w:szCs w:val="24"/>
        </w:rPr>
        <w:t xml:space="preserve">. 2010). </w:t>
      </w:r>
    </w:p>
    <w:p w:rsidR="008831AF" w:rsidRPr="003E1F05" w:rsidRDefault="008831AF" w:rsidP="008831AF">
      <w:pPr>
        <w:spacing w:after="120"/>
        <w:rPr>
          <w:szCs w:val="24"/>
        </w:rPr>
      </w:pPr>
      <w:r w:rsidRPr="003E1F05">
        <w:rPr>
          <w:szCs w:val="24"/>
        </w:rPr>
        <w:t xml:space="preserve">For people with diabetes, low blood glucose levels (hypoglycaemia) </w:t>
      </w:r>
      <w:proofErr w:type="gramStart"/>
      <w:r w:rsidRPr="003E1F05">
        <w:rPr>
          <w:szCs w:val="24"/>
        </w:rPr>
        <w:t>can be brought on</w:t>
      </w:r>
      <w:proofErr w:type="gramEnd"/>
      <w:r w:rsidRPr="003E1F05">
        <w:rPr>
          <w:szCs w:val="24"/>
        </w:rPr>
        <w:t xml:space="preserve"> by delaying or missing a meal, eating an insufficient amount of carbohydrates, unplanned physical activity, alcohol consumption, and mismanagement of insulin administration or diabetes medicines. In the short-term, hypoglycaemia can lead to loss of coordination, slurred speech, confusion, loss of consciousness, seizure and death (Diabetes Australia 2010).</w:t>
      </w:r>
    </w:p>
    <w:p w:rsidR="008831AF" w:rsidRPr="00787F54" w:rsidRDefault="008831AF" w:rsidP="008831AF">
      <w:pPr>
        <w:pStyle w:val="Heading3"/>
      </w:pPr>
      <w:r w:rsidRPr="00787F54">
        <w:t>2.3.1</w:t>
      </w:r>
      <w:r w:rsidRPr="00787F54">
        <w:tab/>
        <w:t>Long-term complications</w:t>
      </w:r>
    </w:p>
    <w:p w:rsidR="008831AF" w:rsidRPr="003E1F05" w:rsidRDefault="008831AF" w:rsidP="008831AF">
      <w:pPr>
        <w:spacing w:after="120"/>
        <w:rPr>
          <w:szCs w:val="24"/>
        </w:rPr>
      </w:pPr>
      <w:r w:rsidRPr="003E1F05">
        <w:rPr>
          <w:szCs w:val="24"/>
        </w:rPr>
        <w:t xml:space="preserve">As the disease progresses over time, diabetes </w:t>
      </w:r>
      <w:proofErr w:type="spellStart"/>
      <w:r w:rsidRPr="003E1F05">
        <w:rPr>
          <w:szCs w:val="24"/>
        </w:rPr>
        <w:t>macrovascular</w:t>
      </w:r>
      <w:proofErr w:type="spellEnd"/>
      <w:r w:rsidRPr="003E1F05">
        <w:rPr>
          <w:szCs w:val="24"/>
        </w:rPr>
        <w:t xml:space="preserve"> and microvascular complications can damage the heart, blood vessels, eyes, kidneys and nerves, as well as diminishing quality of life (WHO 2006). Diabetes increases the risk </w:t>
      </w:r>
      <w:proofErr w:type="gramStart"/>
      <w:r w:rsidRPr="003E1F05">
        <w:rPr>
          <w:szCs w:val="24"/>
        </w:rPr>
        <w:t>of</w:t>
      </w:r>
      <w:proofErr w:type="gramEnd"/>
      <w:r w:rsidRPr="003E1F05">
        <w:rPr>
          <w:szCs w:val="24"/>
        </w:rPr>
        <w:t>:</w:t>
      </w:r>
    </w:p>
    <w:p w:rsidR="008831AF" w:rsidRPr="003E1F05" w:rsidRDefault="008831AF" w:rsidP="008831AF">
      <w:pPr>
        <w:numPr>
          <w:ilvl w:val="0"/>
          <w:numId w:val="3"/>
        </w:numPr>
        <w:spacing w:after="120"/>
        <w:rPr>
          <w:szCs w:val="24"/>
        </w:rPr>
      </w:pPr>
      <w:r w:rsidRPr="003E1F05">
        <w:rPr>
          <w:szCs w:val="24"/>
        </w:rPr>
        <w:t xml:space="preserve">heart disease and stroke; </w:t>
      </w:r>
    </w:p>
    <w:p w:rsidR="008831AF" w:rsidRPr="003E1F05" w:rsidRDefault="008831AF" w:rsidP="008831AF">
      <w:pPr>
        <w:numPr>
          <w:ilvl w:val="0"/>
          <w:numId w:val="3"/>
        </w:numPr>
        <w:spacing w:after="120"/>
        <w:rPr>
          <w:szCs w:val="24"/>
        </w:rPr>
      </w:pPr>
      <w:r w:rsidRPr="003E1F05">
        <w:rPr>
          <w:szCs w:val="24"/>
        </w:rPr>
        <w:lastRenderedPageBreak/>
        <w:t>diabetic neuropathy (nerve damage), and reduced blood flow and blood vessel damage, resulting in foot ulcers and limb amputation;</w:t>
      </w:r>
    </w:p>
    <w:p w:rsidR="008831AF" w:rsidRPr="003E1F05" w:rsidRDefault="008831AF" w:rsidP="008831AF">
      <w:pPr>
        <w:numPr>
          <w:ilvl w:val="0"/>
          <w:numId w:val="3"/>
        </w:numPr>
        <w:spacing w:after="120"/>
        <w:rPr>
          <w:szCs w:val="24"/>
        </w:rPr>
      </w:pPr>
      <w:r w:rsidRPr="003E1F05">
        <w:rPr>
          <w:szCs w:val="24"/>
        </w:rPr>
        <w:t>diabetic retinopathy, which can cause blindness resulting from long-term accumulated damage to the small blood vessels in the retina (</w:t>
      </w:r>
      <w:proofErr w:type="spellStart"/>
      <w:r w:rsidRPr="003E1F05">
        <w:rPr>
          <w:szCs w:val="24"/>
        </w:rPr>
        <w:t>microaneurysms</w:t>
      </w:r>
      <w:proofErr w:type="spellEnd"/>
      <w:r w:rsidRPr="003E1F05">
        <w:rPr>
          <w:szCs w:val="24"/>
        </w:rPr>
        <w:t>);</w:t>
      </w:r>
    </w:p>
    <w:p w:rsidR="008831AF" w:rsidRPr="003E1F05" w:rsidRDefault="008831AF" w:rsidP="008831AF">
      <w:pPr>
        <w:numPr>
          <w:ilvl w:val="0"/>
          <w:numId w:val="3"/>
        </w:numPr>
        <w:spacing w:after="120"/>
        <w:rPr>
          <w:szCs w:val="24"/>
        </w:rPr>
      </w:pPr>
      <w:r w:rsidRPr="003E1F05">
        <w:rPr>
          <w:szCs w:val="24"/>
        </w:rPr>
        <w:t xml:space="preserve">nephropathy (kidney disease), which can lead to kidney failure; and </w:t>
      </w:r>
    </w:p>
    <w:p w:rsidR="008831AF" w:rsidRPr="003E1F05" w:rsidRDefault="008831AF" w:rsidP="008831AF">
      <w:pPr>
        <w:numPr>
          <w:ilvl w:val="0"/>
          <w:numId w:val="3"/>
        </w:numPr>
        <w:spacing w:after="120"/>
        <w:rPr>
          <w:szCs w:val="24"/>
        </w:rPr>
      </w:pPr>
      <w:proofErr w:type="gramStart"/>
      <w:r w:rsidRPr="003E1F05">
        <w:rPr>
          <w:szCs w:val="24"/>
        </w:rPr>
        <w:t>death</w:t>
      </w:r>
      <w:proofErr w:type="gramEnd"/>
      <w:r w:rsidRPr="003E1F05">
        <w:rPr>
          <w:szCs w:val="24"/>
        </w:rPr>
        <w:t>.</w:t>
      </w:r>
    </w:p>
    <w:p w:rsidR="008831AF" w:rsidRPr="003E1F05" w:rsidRDefault="008831AF" w:rsidP="008831AF">
      <w:pPr>
        <w:autoSpaceDE w:val="0"/>
        <w:autoSpaceDN w:val="0"/>
        <w:adjustRightInd w:val="0"/>
        <w:spacing w:after="240"/>
        <w:rPr>
          <w:rFonts w:cs="Cambria"/>
          <w:lang w:eastAsia="en-AU"/>
        </w:rPr>
      </w:pPr>
      <w:r w:rsidRPr="003E1F05">
        <w:rPr>
          <w:szCs w:val="24"/>
        </w:rPr>
        <w:t>After 15 years of having the disease, approximately 2% of people become blind and 10% develop severe visual impairment. Diabetes is one of the leading causes of kidney failure and this condition is the cause of death in 10-20% of people with diabetes. Diabetic neuropathy affects up to 50% of people with diabetes with common symptoms including tingling, pain, numbness, or weakness in the feet and hands (WHO 2013). Cardiovascular disease is the major cause of death in people with diabetes, accounting for approximately 50% of all fatalities (International Diabetes Federation 2011).</w:t>
      </w:r>
    </w:p>
    <w:p w:rsidR="008831AF" w:rsidRPr="003E1F05" w:rsidRDefault="008831AF" w:rsidP="008831AF">
      <w:pPr>
        <w:autoSpaceDE w:val="0"/>
        <w:autoSpaceDN w:val="0"/>
        <w:adjustRightInd w:val="0"/>
        <w:spacing w:after="240"/>
        <w:rPr>
          <w:szCs w:val="24"/>
        </w:rPr>
      </w:pPr>
      <w:r w:rsidRPr="003E1F05">
        <w:rPr>
          <w:rFonts w:cs="Cambria"/>
          <w:lang w:eastAsia="en-AU"/>
        </w:rPr>
        <w:t xml:space="preserve">Early age of onset of type 1 diabetes is associated with a minor, but statistically significant reduction in IQ, presumably due to poor glycaemic control (Craig </w:t>
      </w:r>
      <w:r w:rsidRPr="003E1F05">
        <w:rPr>
          <w:rFonts w:cs="Cambria"/>
          <w:i/>
          <w:lang w:eastAsia="en-AU"/>
        </w:rPr>
        <w:t>et al</w:t>
      </w:r>
      <w:r w:rsidRPr="003E1F05">
        <w:rPr>
          <w:rFonts w:cs="Cambria"/>
          <w:lang w:eastAsia="en-AU"/>
        </w:rPr>
        <w:t xml:space="preserve">. 2011). Serious complications of diabetes including nerve damage, foot ulcers, and eye and kidney disease, are already evident in some people aged 19-30 years; many of these conditions may have been preventable by improved glycaemic control (AIHW 2012a). </w:t>
      </w:r>
    </w:p>
    <w:p w:rsidR="008831AF" w:rsidRPr="00787F54" w:rsidRDefault="008831AF" w:rsidP="008831AF">
      <w:pPr>
        <w:pStyle w:val="Heading3"/>
      </w:pPr>
      <w:bookmarkStart w:id="84" w:name="_Toc373130830"/>
      <w:r w:rsidRPr="00787F54">
        <w:t>2.3.2</w:t>
      </w:r>
      <w:r w:rsidRPr="00787F54">
        <w:tab/>
        <w:t>Impact in Australia</w:t>
      </w:r>
      <w:bookmarkEnd w:id="84"/>
    </w:p>
    <w:p w:rsidR="008831AF" w:rsidRPr="003E1F05" w:rsidRDefault="008831AF" w:rsidP="008831AF">
      <w:pPr>
        <w:spacing w:after="120"/>
        <w:rPr>
          <w:szCs w:val="24"/>
        </w:rPr>
      </w:pPr>
      <w:r w:rsidRPr="003E1F05">
        <w:rPr>
          <w:szCs w:val="24"/>
        </w:rPr>
        <w:t>Diabetes significantly affects the health of many Australians and can result in a range of complications. In 2005, diabetes was associated with cause of death for nearly 11,900 people in Australia or 9% of all deaths that year. Approximately half of these deaths involved coronary heart disease (47%), while hypertensive and cerebrovascular diseases accounted for 30% and 20% of diabetes deaths, respectively (AIHW 2013).</w:t>
      </w:r>
      <w:r w:rsidR="001C0ECE" w:rsidRPr="003E1F05">
        <w:t xml:space="preserve"> However, these data may underestimate death caused by </w:t>
      </w:r>
      <w:proofErr w:type="gramStart"/>
      <w:r w:rsidR="001C0ECE" w:rsidRPr="003E1F05">
        <w:t>diabetes</w:t>
      </w:r>
      <w:proofErr w:type="gramEnd"/>
      <w:r w:rsidR="001C0ECE" w:rsidRPr="003E1F05">
        <w:t xml:space="preserve"> as it is not always recorded as a contributory cause on the death certificate (Yorkshire and Humbler Public Health Observatory 2008).</w:t>
      </w:r>
      <w:r w:rsidRPr="003E1F05">
        <w:rPr>
          <w:szCs w:val="24"/>
        </w:rPr>
        <w:t xml:space="preserve"> </w:t>
      </w:r>
      <w:r w:rsidRPr="003E1F05">
        <w:rPr>
          <w:rFonts w:cs="Cambria"/>
          <w:lang w:eastAsia="en-AU"/>
        </w:rPr>
        <w:t xml:space="preserve">Diabetes was the underlying cause of death in </w:t>
      </w:r>
      <w:r w:rsidRPr="003E1F05">
        <w:t>88 people with type 1 diabetes aged 0-30 years in 2001</w:t>
      </w:r>
      <w:r w:rsidRPr="003E1F05">
        <w:noBreakHyphen/>
        <w:t xml:space="preserve">07 (AIHW 2012a). </w:t>
      </w:r>
    </w:p>
    <w:p w:rsidR="008831AF" w:rsidRPr="00D52454" w:rsidRDefault="008831AF" w:rsidP="008831AF">
      <w:pPr>
        <w:pStyle w:val="Heading2"/>
      </w:pPr>
      <w:bookmarkStart w:id="85" w:name="_Toc373130831"/>
      <w:bookmarkStart w:id="86" w:name="_Toc381622783"/>
      <w:bookmarkStart w:id="87" w:name="_Toc387664318"/>
      <w:r w:rsidRPr="00D52454">
        <w:t xml:space="preserve">2.4 </w:t>
      </w:r>
      <w:r w:rsidRPr="00D52454">
        <w:tab/>
        <w:t>Diagnosis</w:t>
      </w:r>
      <w:bookmarkEnd w:id="85"/>
      <w:bookmarkEnd w:id="86"/>
      <w:bookmarkEnd w:id="87"/>
    </w:p>
    <w:p w:rsidR="008831AF" w:rsidRPr="003E1F05" w:rsidRDefault="008831AF" w:rsidP="008831AF">
      <w:pPr>
        <w:keepNext/>
        <w:keepLines/>
        <w:spacing w:after="120"/>
        <w:rPr>
          <w:szCs w:val="24"/>
        </w:rPr>
      </w:pPr>
      <w:r w:rsidRPr="003E1F05">
        <w:rPr>
          <w:szCs w:val="24"/>
        </w:rPr>
        <w:t xml:space="preserve">The current WHO (2006) diagnostic criteria for diabetes include: </w:t>
      </w:r>
    </w:p>
    <w:p w:rsidR="008831AF" w:rsidRPr="003E1F05" w:rsidRDefault="008831AF" w:rsidP="008831AF">
      <w:pPr>
        <w:keepNext/>
        <w:keepLines/>
        <w:numPr>
          <w:ilvl w:val="0"/>
          <w:numId w:val="1"/>
        </w:numPr>
        <w:spacing w:after="120"/>
        <w:ind w:left="426" w:hanging="426"/>
        <w:rPr>
          <w:szCs w:val="24"/>
        </w:rPr>
      </w:pPr>
      <w:r w:rsidRPr="003E1F05">
        <w:rPr>
          <w:szCs w:val="24"/>
        </w:rPr>
        <w:t xml:space="preserve">Fasting plasma glucose ≥ 7.0mmol/l (126mg/dl); or </w:t>
      </w:r>
    </w:p>
    <w:p w:rsidR="008831AF" w:rsidRPr="003E1F05" w:rsidRDefault="008831AF" w:rsidP="008831AF">
      <w:pPr>
        <w:keepNext/>
        <w:keepLines/>
        <w:numPr>
          <w:ilvl w:val="0"/>
          <w:numId w:val="1"/>
        </w:numPr>
        <w:spacing w:after="120"/>
        <w:ind w:left="426" w:hanging="426"/>
        <w:rPr>
          <w:szCs w:val="24"/>
        </w:rPr>
      </w:pPr>
      <w:r w:rsidRPr="003E1F05">
        <w:rPr>
          <w:szCs w:val="24"/>
        </w:rPr>
        <w:t xml:space="preserve">2–hour </w:t>
      </w:r>
      <w:proofErr w:type="gramStart"/>
      <w:r w:rsidRPr="003E1F05">
        <w:rPr>
          <w:szCs w:val="24"/>
        </w:rPr>
        <w:t>plasma glucose ≥ 11.1mmol/l</w:t>
      </w:r>
      <w:proofErr w:type="gramEnd"/>
      <w:r w:rsidRPr="003E1F05">
        <w:rPr>
          <w:szCs w:val="24"/>
        </w:rPr>
        <w:t xml:space="preserve"> (200mg/dl).</w:t>
      </w:r>
    </w:p>
    <w:p w:rsidR="008831AF" w:rsidRPr="003E1F05" w:rsidRDefault="008831AF" w:rsidP="008831AF">
      <w:pPr>
        <w:spacing w:after="120"/>
        <w:rPr>
          <w:szCs w:val="24"/>
        </w:rPr>
      </w:pPr>
      <w:r w:rsidRPr="003E1F05">
        <w:rPr>
          <w:szCs w:val="24"/>
        </w:rPr>
        <w:t>HbA</w:t>
      </w:r>
      <w:r w:rsidRPr="003E1F05">
        <w:rPr>
          <w:szCs w:val="24"/>
          <w:vertAlign w:val="subscript"/>
        </w:rPr>
        <w:t>1c</w:t>
      </w:r>
      <w:r w:rsidRPr="003E1F05">
        <w:rPr>
          <w:szCs w:val="24"/>
        </w:rPr>
        <w:t xml:space="preserve"> (</w:t>
      </w:r>
      <w:proofErr w:type="spellStart"/>
      <w:r w:rsidRPr="003E1F05">
        <w:rPr>
          <w:szCs w:val="24"/>
        </w:rPr>
        <w:t>glycated</w:t>
      </w:r>
      <w:proofErr w:type="spellEnd"/>
      <w:r w:rsidRPr="003E1F05">
        <w:rPr>
          <w:szCs w:val="24"/>
        </w:rPr>
        <w:t xml:space="preserve"> haemoglobin) is a laboratory test that shows the average level of blood glucose over the previous three months. HbA</w:t>
      </w:r>
      <w:r w:rsidRPr="003E1F05">
        <w:rPr>
          <w:szCs w:val="24"/>
          <w:vertAlign w:val="subscript"/>
        </w:rPr>
        <w:t>1c</w:t>
      </w:r>
      <w:r w:rsidRPr="003E1F05">
        <w:rPr>
          <w:szCs w:val="24"/>
        </w:rPr>
        <w:t xml:space="preserve"> has recently been accepted as an additional test to diagnose diabetes, </w:t>
      </w:r>
      <w:proofErr w:type="gramStart"/>
      <w:r w:rsidRPr="003E1F05">
        <w:rPr>
          <w:szCs w:val="24"/>
        </w:rPr>
        <w:t>provided that</w:t>
      </w:r>
      <w:proofErr w:type="gramEnd"/>
      <w:r w:rsidRPr="003E1F05">
        <w:rPr>
          <w:szCs w:val="24"/>
        </w:rPr>
        <w:t xml:space="preserve"> stringent quality assurance tests are in place and assays are standardised to criteria aligned to the international reference values. An HbA</w:t>
      </w:r>
      <w:r w:rsidRPr="003E1F05">
        <w:rPr>
          <w:szCs w:val="24"/>
          <w:vertAlign w:val="subscript"/>
        </w:rPr>
        <w:t>1c</w:t>
      </w:r>
      <w:r w:rsidRPr="003E1F05">
        <w:rPr>
          <w:szCs w:val="24"/>
        </w:rPr>
        <w:t xml:space="preserve"> of ≥</w:t>
      </w:r>
      <w:r w:rsidRPr="003E1F05">
        <w:rPr>
          <w:rFonts w:eastAsia="Calibri" w:cs="Frutiger-Light"/>
          <w:szCs w:val="24"/>
          <w:lang w:eastAsia="en-AU"/>
        </w:rPr>
        <w:t xml:space="preserve">48 </w:t>
      </w:r>
      <w:proofErr w:type="spellStart"/>
      <w:r w:rsidRPr="003E1F05">
        <w:rPr>
          <w:rFonts w:eastAsia="Calibri" w:cs="Frutiger-Light"/>
          <w:szCs w:val="24"/>
          <w:lang w:eastAsia="en-AU"/>
        </w:rPr>
        <w:t>mmol</w:t>
      </w:r>
      <w:proofErr w:type="spellEnd"/>
      <w:r w:rsidRPr="003E1F05">
        <w:rPr>
          <w:rFonts w:eastAsia="Calibri" w:cs="Frutiger-Light"/>
          <w:szCs w:val="24"/>
          <w:lang w:eastAsia="en-AU"/>
        </w:rPr>
        <w:t>/</w:t>
      </w:r>
      <w:proofErr w:type="spellStart"/>
      <w:r w:rsidRPr="003E1F05">
        <w:rPr>
          <w:rFonts w:eastAsia="Calibri" w:cs="Frutiger-Light"/>
          <w:szCs w:val="24"/>
          <w:lang w:eastAsia="en-AU"/>
        </w:rPr>
        <w:t>mol</w:t>
      </w:r>
      <w:proofErr w:type="spellEnd"/>
      <w:r w:rsidRPr="003E1F05">
        <w:rPr>
          <w:szCs w:val="24"/>
        </w:rPr>
        <w:t xml:space="preserve"> (6.5%</w:t>
      </w:r>
      <w:r w:rsidRPr="003E1F05">
        <w:rPr>
          <w:rFonts w:eastAsia="Calibri" w:cs="Frutiger-Light"/>
          <w:szCs w:val="24"/>
          <w:lang w:eastAsia="en-AU"/>
        </w:rPr>
        <w:t>)</w:t>
      </w:r>
      <w:r w:rsidRPr="003E1F05">
        <w:rPr>
          <w:szCs w:val="24"/>
        </w:rPr>
        <w:t xml:space="preserve"> </w:t>
      </w:r>
      <w:proofErr w:type="gramStart"/>
      <w:r w:rsidRPr="003E1F05">
        <w:rPr>
          <w:szCs w:val="24"/>
        </w:rPr>
        <w:t>is recommended</w:t>
      </w:r>
      <w:proofErr w:type="gramEnd"/>
      <w:r w:rsidRPr="003E1F05">
        <w:rPr>
          <w:szCs w:val="24"/>
        </w:rPr>
        <w:t xml:space="preserve"> as the cut off point for diagnosing diabetes. However, a value less than 6.5% does not exclude diabetes, if a diagnosis of diabetes is indicated using the glucose tests above (</w:t>
      </w:r>
      <w:proofErr w:type="gramStart"/>
      <w:r w:rsidRPr="003E1F05">
        <w:rPr>
          <w:szCs w:val="24"/>
        </w:rPr>
        <w:t>WHO</w:t>
      </w:r>
      <w:proofErr w:type="gramEnd"/>
      <w:r w:rsidRPr="003E1F05">
        <w:rPr>
          <w:szCs w:val="24"/>
        </w:rPr>
        <w:t xml:space="preserve"> 2011).</w:t>
      </w:r>
    </w:p>
    <w:p w:rsidR="008831AF" w:rsidRPr="00D52454" w:rsidRDefault="008831AF" w:rsidP="008831AF">
      <w:pPr>
        <w:pStyle w:val="Heading2"/>
        <w:keepNext/>
        <w:keepLines/>
      </w:pPr>
      <w:bookmarkStart w:id="88" w:name="_Toc373130832"/>
      <w:bookmarkStart w:id="89" w:name="_Toc381622784"/>
      <w:bookmarkStart w:id="90" w:name="_Toc387664319"/>
      <w:r w:rsidRPr="00D52454">
        <w:lastRenderedPageBreak/>
        <w:t xml:space="preserve">2.5 </w:t>
      </w:r>
      <w:r w:rsidRPr="00D52454">
        <w:tab/>
        <w:t xml:space="preserve">Monitoring blood glucose and </w:t>
      </w:r>
      <w:proofErr w:type="spellStart"/>
      <w:r w:rsidRPr="00D52454">
        <w:t>glycaemic</w:t>
      </w:r>
      <w:proofErr w:type="spellEnd"/>
      <w:r w:rsidRPr="00D52454">
        <w:t xml:space="preserve"> control</w:t>
      </w:r>
      <w:bookmarkEnd w:id="88"/>
      <w:bookmarkEnd w:id="89"/>
      <w:bookmarkEnd w:id="90"/>
    </w:p>
    <w:p w:rsidR="008831AF" w:rsidRPr="00787F54" w:rsidRDefault="008831AF" w:rsidP="008831AF">
      <w:pPr>
        <w:pStyle w:val="Heading3"/>
        <w:keepLines/>
        <w:rPr>
          <w:rFonts w:eastAsia="Calibri"/>
        </w:rPr>
      </w:pPr>
      <w:bookmarkStart w:id="91" w:name="_Toc373130833"/>
      <w:r w:rsidRPr="00787F54">
        <w:rPr>
          <w:rFonts w:eastAsia="Calibri"/>
        </w:rPr>
        <w:t>2.5.1</w:t>
      </w:r>
      <w:r w:rsidRPr="00787F54">
        <w:rPr>
          <w:rFonts w:eastAsia="Calibri"/>
        </w:rPr>
        <w:tab/>
        <w:t>Self-monitoring of blood glucose</w:t>
      </w:r>
      <w:bookmarkEnd w:id="91"/>
    </w:p>
    <w:p w:rsidR="008831AF" w:rsidRPr="003E1F05" w:rsidRDefault="008831AF" w:rsidP="008831AF">
      <w:pPr>
        <w:spacing w:after="120"/>
        <w:rPr>
          <w:szCs w:val="24"/>
        </w:rPr>
      </w:pPr>
      <w:r w:rsidRPr="003E1F05">
        <w:rPr>
          <w:szCs w:val="24"/>
        </w:rPr>
        <w:t xml:space="preserve">Self-monitoring of blood glucose using blood glucose test strips and a blood glucose meter </w:t>
      </w:r>
      <w:proofErr w:type="gramStart"/>
      <w:r w:rsidRPr="003E1F05">
        <w:rPr>
          <w:szCs w:val="24"/>
        </w:rPr>
        <w:t>is recommended</w:t>
      </w:r>
      <w:proofErr w:type="gramEnd"/>
      <w:r w:rsidRPr="003E1F05">
        <w:rPr>
          <w:szCs w:val="24"/>
        </w:rPr>
        <w:t xml:space="preserve"> for people using insulin. In type 1 diabetes and gestational diabetes it is usually recommended that blood glucose levels be tested at least four times daily (early morning, plus other tests before and/or after meals). Less frequent testing in usually recommended for people with type 2 diabetes. Frequent consultation with health care professionals is important. Self-monitoring should be individualised and assist people with diabetes to understand the impact of insulin, food, physical activity, and other factors on blood glucose control. Frequency of monitoring should be determined according to the individual’s self-management goals.</w:t>
      </w:r>
    </w:p>
    <w:p w:rsidR="008831AF" w:rsidRPr="00787F54" w:rsidRDefault="008831AF" w:rsidP="008831AF">
      <w:pPr>
        <w:pStyle w:val="Heading3"/>
        <w:rPr>
          <w:rFonts w:eastAsia="Calibri"/>
        </w:rPr>
      </w:pPr>
      <w:bookmarkStart w:id="92" w:name="_Toc373130834"/>
      <w:r w:rsidRPr="00787F54">
        <w:rPr>
          <w:rFonts w:eastAsia="Calibri"/>
        </w:rPr>
        <w:t>2.5.2</w:t>
      </w:r>
      <w:r w:rsidRPr="00787F54">
        <w:rPr>
          <w:rFonts w:eastAsia="Calibri"/>
        </w:rPr>
        <w:tab/>
        <w:t>HbA</w:t>
      </w:r>
      <w:bookmarkEnd w:id="92"/>
      <w:r w:rsidRPr="00787F54">
        <w:rPr>
          <w:rFonts w:eastAsia="Calibri"/>
          <w:vertAlign w:val="subscript"/>
        </w:rPr>
        <w:t>1c</w:t>
      </w:r>
    </w:p>
    <w:p w:rsidR="008831AF" w:rsidRPr="003E1F05" w:rsidRDefault="008831AF" w:rsidP="008831AF">
      <w:pPr>
        <w:spacing w:after="120"/>
        <w:rPr>
          <w:szCs w:val="24"/>
        </w:rPr>
      </w:pPr>
      <w:r w:rsidRPr="003E1F05">
        <w:rPr>
          <w:szCs w:val="24"/>
        </w:rPr>
        <w:t>In addition to its use as a diagnostic tool, HbA</w:t>
      </w:r>
      <w:r w:rsidRPr="003E1F05">
        <w:rPr>
          <w:szCs w:val="24"/>
          <w:vertAlign w:val="subscript"/>
        </w:rPr>
        <w:t>1c</w:t>
      </w:r>
      <w:r w:rsidRPr="003E1F05">
        <w:rPr>
          <w:szCs w:val="24"/>
        </w:rPr>
        <w:t xml:space="preserve"> testing </w:t>
      </w:r>
      <w:proofErr w:type="gramStart"/>
      <w:r w:rsidRPr="003E1F05">
        <w:rPr>
          <w:szCs w:val="24"/>
        </w:rPr>
        <w:t>is also used</w:t>
      </w:r>
      <w:proofErr w:type="gramEnd"/>
      <w:r w:rsidRPr="003E1F05">
        <w:rPr>
          <w:szCs w:val="24"/>
        </w:rPr>
        <w:t xml:space="preserve"> to provide an indication of how well a patient’s diabetes is being controlled. High levels of HbA</w:t>
      </w:r>
      <w:r w:rsidRPr="003E1F05">
        <w:rPr>
          <w:szCs w:val="24"/>
          <w:vertAlign w:val="subscript"/>
        </w:rPr>
        <w:t>1c</w:t>
      </w:r>
      <w:r w:rsidRPr="003E1F05">
        <w:rPr>
          <w:szCs w:val="24"/>
        </w:rPr>
        <w:t xml:space="preserve"> indicate poor glycaemic control. The Diabetes Control and Complications Trial (DCCT) in Type 1 diabetes and the UK Prospective Diabetes Study (UKPDS) in Type 2 diabetes both showed that, as HbA</w:t>
      </w:r>
      <w:r w:rsidRPr="003E1F05">
        <w:rPr>
          <w:szCs w:val="24"/>
          <w:vertAlign w:val="subscript"/>
        </w:rPr>
        <w:t>1c</w:t>
      </w:r>
      <w:r w:rsidRPr="003E1F05">
        <w:rPr>
          <w:szCs w:val="24"/>
        </w:rPr>
        <w:t xml:space="preserve"> increases, the risk of microvascular and </w:t>
      </w:r>
      <w:proofErr w:type="spellStart"/>
      <w:r w:rsidRPr="003E1F05">
        <w:rPr>
          <w:szCs w:val="24"/>
        </w:rPr>
        <w:t>macrovascular</w:t>
      </w:r>
      <w:proofErr w:type="spellEnd"/>
      <w:r w:rsidRPr="003E1F05">
        <w:rPr>
          <w:szCs w:val="24"/>
        </w:rPr>
        <w:t xml:space="preserve"> complications of diabetes increases (Craig </w:t>
      </w:r>
      <w:r w:rsidRPr="003E1F05">
        <w:rPr>
          <w:i/>
          <w:szCs w:val="24"/>
        </w:rPr>
        <w:t>et al.</w:t>
      </w:r>
      <w:r w:rsidRPr="003E1F05">
        <w:rPr>
          <w:szCs w:val="24"/>
        </w:rPr>
        <w:t xml:space="preserve"> 2011). </w:t>
      </w:r>
    </w:p>
    <w:p w:rsidR="008831AF" w:rsidRPr="003E1F05" w:rsidRDefault="008831AF" w:rsidP="008831AF">
      <w:pPr>
        <w:spacing w:after="120"/>
        <w:rPr>
          <w:szCs w:val="24"/>
        </w:rPr>
      </w:pPr>
      <w:r w:rsidRPr="003E1F05">
        <w:rPr>
          <w:szCs w:val="24"/>
        </w:rPr>
        <w:t>The Australian Diabetes Society recommends a general target HbA</w:t>
      </w:r>
      <w:r w:rsidRPr="003E1F05">
        <w:rPr>
          <w:szCs w:val="24"/>
          <w:vertAlign w:val="subscript"/>
        </w:rPr>
        <w:t>1c</w:t>
      </w:r>
      <w:r w:rsidRPr="003E1F05">
        <w:rPr>
          <w:szCs w:val="24"/>
        </w:rPr>
        <w:t xml:space="preserve"> of ≤</w:t>
      </w:r>
      <w:proofErr w:type="gramStart"/>
      <w:r w:rsidRPr="003E1F05">
        <w:rPr>
          <w:szCs w:val="24"/>
        </w:rPr>
        <w:t>7.0%</w:t>
      </w:r>
      <w:proofErr w:type="gramEnd"/>
      <w:r w:rsidRPr="003E1F05">
        <w:rPr>
          <w:szCs w:val="24"/>
        </w:rPr>
        <w:t xml:space="preserve"> (53 </w:t>
      </w:r>
      <w:proofErr w:type="spellStart"/>
      <w:r w:rsidRPr="003E1F05">
        <w:rPr>
          <w:szCs w:val="24"/>
        </w:rPr>
        <w:t>mmol</w:t>
      </w:r>
      <w:proofErr w:type="spellEnd"/>
      <w:r w:rsidRPr="003E1F05">
        <w:rPr>
          <w:szCs w:val="24"/>
        </w:rPr>
        <w:t>/</w:t>
      </w:r>
      <w:proofErr w:type="spellStart"/>
      <w:r w:rsidRPr="003E1F05">
        <w:rPr>
          <w:szCs w:val="24"/>
        </w:rPr>
        <w:t>mol</w:t>
      </w:r>
      <w:proofErr w:type="spellEnd"/>
      <w:r w:rsidRPr="003E1F05">
        <w:rPr>
          <w:szCs w:val="24"/>
        </w:rPr>
        <w:t>) for most patients (Australian Diabetes Society 2009). However, HbA</w:t>
      </w:r>
      <w:r w:rsidRPr="003E1F05">
        <w:rPr>
          <w:szCs w:val="24"/>
          <w:vertAlign w:val="subscript"/>
        </w:rPr>
        <w:t>1c</w:t>
      </w:r>
      <w:r w:rsidRPr="003E1F05">
        <w:rPr>
          <w:szCs w:val="24"/>
        </w:rPr>
        <w:t xml:space="preserve"> targets should be individualised and may need to be higher for some people including children and the elderly (Craig </w:t>
      </w:r>
      <w:r w:rsidRPr="003E1F05">
        <w:rPr>
          <w:i/>
          <w:szCs w:val="24"/>
        </w:rPr>
        <w:t>et al.</w:t>
      </w:r>
      <w:r w:rsidRPr="003E1F05">
        <w:rPr>
          <w:szCs w:val="24"/>
        </w:rPr>
        <w:t xml:space="preserve"> 2011).</w:t>
      </w:r>
    </w:p>
    <w:p w:rsidR="008831AF" w:rsidRPr="003E1F05" w:rsidRDefault="008831AF" w:rsidP="008831AF">
      <w:pPr>
        <w:spacing w:after="120"/>
        <w:rPr>
          <w:szCs w:val="24"/>
        </w:rPr>
      </w:pPr>
      <w:r w:rsidRPr="003E1F05">
        <w:rPr>
          <w:szCs w:val="24"/>
        </w:rPr>
        <w:t>HbA</w:t>
      </w:r>
      <w:r w:rsidRPr="003E1F05">
        <w:rPr>
          <w:szCs w:val="24"/>
          <w:vertAlign w:val="subscript"/>
        </w:rPr>
        <w:t>1c</w:t>
      </w:r>
      <w:r w:rsidRPr="003E1F05">
        <w:rPr>
          <w:szCs w:val="24"/>
        </w:rPr>
        <w:t xml:space="preserve"> testing provides clinicians with a reliable indication that therapy is working appropriately and the risk of long-term complications, particularly microvascular complications, is reduced (</w:t>
      </w:r>
      <w:proofErr w:type="spellStart"/>
      <w:r w:rsidRPr="003E1F05">
        <w:rPr>
          <w:szCs w:val="24"/>
        </w:rPr>
        <w:t>Saudek</w:t>
      </w:r>
      <w:proofErr w:type="spellEnd"/>
      <w:r w:rsidRPr="003E1F05">
        <w:rPr>
          <w:szCs w:val="24"/>
        </w:rPr>
        <w:t xml:space="preserve"> &amp; Brick 2009).</w:t>
      </w:r>
    </w:p>
    <w:p w:rsidR="008831AF" w:rsidRPr="003E1F05" w:rsidRDefault="008831AF" w:rsidP="008831AF">
      <w:pPr>
        <w:spacing w:after="120"/>
        <w:rPr>
          <w:szCs w:val="24"/>
        </w:rPr>
      </w:pPr>
      <w:r w:rsidRPr="003E1F05">
        <w:rPr>
          <w:szCs w:val="24"/>
        </w:rPr>
        <w:t xml:space="preserve">It should be noted that </w:t>
      </w:r>
      <w:proofErr w:type="spellStart"/>
      <w:r w:rsidRPr="003E1F05">
        <w:rPr>
          <w:szCs w:val="24"/>
        </w:rPr>
        <w:t>glycation</w:t>
      </w:r>
      <w:proofErr w:type="spellEnd"/>
      <w:r w:rsidRPr="003E1F05">
        <w:rPr>
          <w:szCs w:val="24"/>
        </w:rPr>
        <w:t xml:space="preserve"> of haemoglobin occurs only as the erythrocyte (red blood cell) circulates in serum. Therefore, anything that alters the erythrocyte survival will influence HbA</w:t>
      </w:r>
      <w:r w:rsidRPr="003E1F05">
        <w:rPr>
          <w:szCs w:val="24"/>
          <w:vertAlign w:val="subscript"/>
        </w:rPr>
        <w:t>1c</w:t>
      </w:r>
      <w:r w:rsidRPr="003E1F05">
        <w:rPr>
          <w:szCs w:val="24"/>
        </w:rPr>
        <w:t xml:space="preserve"> independent of glycaemia. In people with conditions associated with altered erythrocyte survival (e.g. </w:t>
      </w:r>
      <w:proofErr w:type="spellStart"/>
      <w:r w:rsidRPr="003E1F05">
        <w:rPr>
          <w:szCs w:val="24"/>
        </w:rPr>
        <w:t>thalassaemia</w:t>
      </w:r>
      <w:proofErr w:type="spellEnd"/>
      <w:r w:rsidRPr="003E1F05">
        <w:rPr>
          <w:szCs w:val="24"/>
        </w:rPr>
        <w:t>, portal hypertension, haemolytic anaemia), HbA</w:t>
      </w:r>
      <w:r w:rsidRPr="003E1F05">
        <w:rPr>
          <w:szCs w:val="24"/>
          <w:vertAlign w:val="subscript"/>
        </w:rPr>
        <w:t>1c</w:t>
      </w:r>
      <w:r w:rsidRPr="003E1F05">
        <w:rPr>
          <w:szCs w:val="24"/>
        </w:rPr>
        <w:t xml:space="preserve"> is less reliable and self-monitoring of blood glucose or </w:t>
      </w:r>
      <w:proofErr w:type="spellStart"/>
      <w:r w:rsidRPr="003E1F05">
        <w:rPr>
          <w:szCs w:val="24"/>
        </w:rPr>
        <w:t>fructosamine</w:t>
      </w:r>
      <w:proofErr w:type="spellEnd"/>
      <w:r w:rsidRPr="003E1F05">
        <w:rPr>
          <w:szCs w:val="24"/>
        </w:rPr>
        <w:t xml:space="preserve"> testing, which measures the </w:t>
      </w:r>
      <w:proofErr w:type="spellStart"/>
      <w:r w:rsidRPr="003E1F05">
        <w:rPr>
          <w:szCs w:val="24"/>
        </w:rPr>
        <w:t>glycation</w:t>
      </w:r>
      <w:proofErr w:type="spellEnd"/>
      <w:r w:rsidRPr="003E1F05">
        <w:rPr>
          <w:szCs w:val="24"/>
        </w:rPr>
        <w:t xml:space="preserve"> of all serum proteins, may be of more value (</w:t>
      </w:r>
      <w:proofErr w:type="spellStart"/>
      <w:r w:rsidRPr="003E1F05">
        <w:rPr>
          <w:szCs w:val="24"/>
        </w:rPr>
        <w:t>Saudek</w:t>
      </w:r>
      <w:proofErr w:type="spellEnd"/>
      <w:r w:rsidRPr="003E1F05">
        <w:rPr>
          <w:szCs w:val="24"/>
        </w:rPr>
        <w:t xml:space="preserve"> &amp; Brick 2009). </w:t>
      </w:r>
    </w:p>
    <w:p w:rsidR="008831AF" w:rsidRPr="00D720DA" w:rsidRDefault="008831AF" w:rsidP="008831AF">
      <w:pPr>
        <w:pStyle w:val="Heading3"/>
        <w:rPr>
          <w:rFonts w:eastAsia="Calibri"/>
        </w:rPr>
      </w:pPr>
      <w:r w:rsidRPr="00D720DA">
        <w:rPr>
          <w:rFonts w:eastAsia="Calibri"/>
        </w:rPr>
        <w:t>2.5.3</w:t>
      </w:r>
      <w:r w:rsidRPr="00D720DA">
        <w:rPr>
          <w:rFonts w:eastAsia="Calibri"/>
        </w:rPr>
        <w:tab/>
        <w:t>Glycaemic variability</w:t>
      </w:r>
    </w:p>
    <w:p w:rsidR="008831AF" w:rsidRPr="003E1F05" w:rsidRDefault="008831AF" w:rsidP="008831AF">
      <w:pPr>
        <w:spacing w:after="120"/>
        <w:rPr>
          <w:szCs w:val="24"/>
        </w:rPr>
      </w:pPr>
      <w:r w:rsidRPr="003E1F05">
        <w:rPr>
          <w:szCs w:val="24"/>
        </w:rPr>
        <w:t xml:space="preserve">Glycaemic variability </w:t>
      </w:r>
      <w:proofErr w:type="gramStart"/>
      <w:r w:rsidRPr="003E1F05">
        <w:rPr>
          <w:szCs w:val="24"/>
        </w:rPr>
        <w:t>has been suggested</w:t>
      </w:r>
      <w:proofErr w:type="gramEnd"/>
      <w:r w:rsidRPr="003E1F05">
        <w:rPr>
          <w:szCs w:val="24"/>
        </w:rPr>
        <w:t xml:space="preserve"> as a factor that may increase the risk of diabetes complications independent of HbA</w:t>
      </w:r>
      <w:r w:rsidRPr="003E1F05">
        <w:rPr>
          <w:szCs w:val="24"/>
          <w:vertAlign w:val="subscript"/>
        </w:rPr>
        <w:t>1c</w:t>
      </w:r>
      <w:r w:rsidRPr="003E1F05">
        <w:rPr>
          <w:szCs w:val="24"/>
        </w:rPr>
        <w:t xml:space="preserve">. A systematic review examined glycaemic variability and its impact on diabetes complications and found that of eight studies in patients with type 1 diabetes, only two studies demonstrated a significant association with microvascular complications, and none showed an association with </w:t>
      </w:r>
      <w:proofErr w:type="spellStart"/>
      <w:r w:rsidRPr="003E1F05">
        <w:rPr>
          <w:szCs w:val="24"/>
        </w:rPr>
        <w:t>macrovascular</w:t>
      </w:r>
      <w:proofErr w:type="spellEnd"/>
      <w:r w:rsidRPr="003E1F05">
        <w:rPr>
          <w:szCs w:val="24"/>
        </w:rPr>
        <w:t xml:space="preserve"> complications (</w:t>
      </w:r>
      <w:proofErr w:type="spellStart"/>
      <w:r w:rsidRPr="003E1F05">
        <w:rPr>
          <w:szCs w:val="24"/>
        </w:rPr>
        <w:t>Nalysnyk</w:t>
      </w:r>
      <w:proofErr w:type="spellEnd"/>
      <w:r w:rsidRPr="003E1F05">
        <w:rPr>
          <w:szCs w:val="24"/>
        </w:rPr>
        <w:t xml:space="preserve"> </w:t>
      </w:r>
      <w:r w:rsidRPr="003E1F05">
        <w:rPr>
          <w:i/>
          <w:szCs w:val="24"/>
        </w:rPr>
        <w:t>et al.</w:t>
      </w:r>
      <w:r w:rsidRPr="003E1F05">
        <w:rPr>
          <w:szCs w:val="24"/>
        </w:rPr>
        <w:t xml:space="preserve"> 2010). Diabetes complications </w:t>
      </w:r>
      <w:proofErr w:type="gramStart"/>
      <w:r w:rsidRPr="003E1F05">
        <w:rPr>
          <w:szCs w:val="24"/>
        </w:rPr>
        <w:t>are proposed</w:t>
      </w:r>
      <w:proofErr w:type="gramEnd"/>
      <w:r w:rsidRPr="003E1F05">
        <w:rPr>
          <w:szCs w:val="24"/>
        </w:rPr>
        <w:t xml:space="preserve"> to result from increased mitochondrial oxidative stress induced by hyperglycaemia (</w:t>
      </w:r>
      <w:proofErr w:type="spellStart"/>
      <w:r w:rsidRPr="003E1F05">
        <w:rPr>
          <w:szCs w:val="24"/>
        </w:rPr>
        <w:t>Giacco</w:t>
      </w:r>
      <w:proofErr w:type="spellEnd"/>
      <w:r w:rsidRPr="003E1F05">
        <w:rPr>
          <w:szCs w:val="24"/>
        </w:rPr>
        <w:t xml:space="preserve"> &amp; Brownlee 2010). One study showed that there was no association between glycaemic </w:t>
      </w:r>
      <w:r w:rsidRPr="003E1F05">
        <w:rPr>
          <w:szCs w:val="24"/>
        </w:rPr>
        <w:lastRenderedPageBreak/>
        <w:t xml:space="preserve">variability and urinary markers of oxidative stress in people with type </w:t>
      </w:r>
      <w:proofErr w:type="gramStart"/>
      <w:r w:rsidRPr="003E1F05">
        <w:rPr>
          <w:szCs w:val="24"/>
        </w:rPr>
        <w:t>1 diabetes</w:t>
      </w:r>
      <w:proofErr w:type="gramEnd"/>
      <w:r w:rsidRPr="003E1F05">
        <w:rPr>
          <w:szCs w:val="24"/>
        </w:rPr>
        <w:t xml:space="preserve"> (</w:t>
      </w:r>
      <w:proofErr w:type="spellStart"/>
      <w:r w:rsidRPr="003E1F05">
        <w:rPr>
          <w:szCs w:val="24"/>
        </w:rPr>
        <w:t>Wentholt</w:t>
      </w:r>
      <w:proofErr w:type="spellEnd"/>
      <w:r w:rsidRPr="003E1F05">
        <w:rPr>
          <w:szCs w:val="24"/>
        </w:rPr>
        <w:t xml:space="preserve"> </w:t>
      </w:r>
      <w:r w:rsidRPr="003E1F05">
        <w:rPr>
          <w:i/>
          <w:szCs w:val="24"/>
        </w:rPr>
        <w:t xml:space="preserve">et al. </w:t>
      </w:r>
      <w:r w:rsidRPr="003E1F05">
        <w:rPr>
          <w:szCs w:val="24"/>
        </w:rPr>
        <w:t xml:space="preserve">2008). Though it remains uncertain, other studies also do not support glycaemic variability as an important independent factor in the development of diabetes complications in people with type 1 diabetes (Borg </w:t>
      </w:r>
      <w:r w:rsidRPr="003E1F05">
        <w:rPr>
          <w:i/>
          <w:szCs w:val="24"/>
        </w:rPr>
        <w:t>et al.</w:t>
      </w:r>
      <w:r w:rsidRPr="003E1F05">
        <w:rPr>
          <w:szCs w:val="24"/>
        </w:rPr>
        <w:t xml:space="preserve"> 2011, </w:t>
      </w:r>
      <w:proofErr w:type="spellStart"/>
      <w:r w:rsidRPr="003E1F05">
        <w:rPr>
          <w:szCs w:val="24"/>
        </w:rPr>
        <w:t>Cavalot</w:t>
      </w:r>
      <w:proofErr w:type="spellEnd"/>
      <w:r w:rsidRPr="003E1F05">
        <w:rPr>
          <w:szCs w:val="24"/>
        </w:rPr>
        <w:t xml:space="preserve"> 2013, </w:t>
      </w:r>
      <w:proofErr w:type="spellStart"/>
      <w:r w:rsidRPr="003E1F05">
        <w:rPr>
          <w:szCs w:val="24"/>
        </w:rPr>
        <w:t>Gordin</w:t>
      </w:r>
      <w:proofErr w:type="spellEnd"/>
      <w:r w:rsidRPr="003E1F05">
        <w:rPr>
          <w:szCs w:val="24"/>
        </w:rPr>
        <w:t xml:space="preserve"> </w:t>
      </w:r>
      <w:r w:rsidRPr="003E1F05">
        <w:rPr>
          <w:i/>
          <w:szCs w:val="24"/>
        </w:rPr>
        <w:t xml:space="preserve">et al. </w:t>
      </w:r>
      <w:r w:rsidRPr="003E1F05">
        <w:rPr>
          <w:szCs w:val="24"/>
        </w:rPr>
        <w:t xml:space="preserve">2008, </w:t>
      </w:r>
      <w:proofErr w:type="gramStart"/>
      <w:r w:rsidRPr="003E1F05">
        <w:rPr>
          <w:szCs w:val="24"/>
        </w:rPr>
        <w:t>Pena</w:t>
      </w:r>
      <w:proofErr w:type="gramEnd"/>
      <w:r w:rsidRPr="003E1F05">
        <w:rPr>
          <w:szCs w:val="24"/>
        </w:rPr>
        <w:t xml:space="preserve"> </w:t>
      </w:r>
      <w:r w:rsidRPr="003E1F05">
        <w:rPr>
          <w:i/>
          <w:szCs w:val="24"/>
        </w:rPr>
        <w:t>et al.</w:t>
      </w:r>
      <w:r w:rsidRPr="003E1F05">
        <w:rPr>
          <w:szCs w:val="24"/>
        </w:rPr>
        <w:t xml:space="preserve"> 2011). Therefore, due to this uncertainty, this report concentrates primarily on HbA</w:t>
      </w:r>
      <w:r w:rsidRPr="003E1F05">
        <w:rPr>
          <w:szCs w:val="24"/>
          <w:vertAlign w:val="subscript"/>
        </w:rPr>
        <w:t>1c</w:t>
      </w:r>
      <w:r w:rsidRPr="003E1F05">
        <w:rPr>
          <w:szCs w:val="24"/>
        </w:rPr>
        <w:t xml:space="preserve"> as a measure of glycaemic control and predictor of diabetes complications, and frequency of hypoglycaemic episodes as a measure of safety.</w:t>
      </w:r>
    </w:p>
    <w:p w:rsidR="008831AF" w:rsidRPr="00D52454" w:rsidRDefault="008831AF" w:rsidP="008831AF">
      <w:pPr>
        <w:pStyle w:val="Heading2"/>
      </w:pPr>
      <w:bookmarkStart w:id="93" w:name="_Toc373130835"/>
      <w:bookmarkStart w:id="94" w:name="_Toc381622785"/>
      <w:bookmarkStart w:id="95" w:name="_Toc387664320"/>
      <w:r w:rsidRPr="00D52454">
        <w:t>2.6</w:t>
      </w:r>
      <w:r w:rsidRPr="00D52454">
        <w:tab/>
        <w:t>Treatment options and technologies for type 1 diabetes</w:t>
      </w:r>
      <w:bookmarkEnd w:id="93"/>
      <w:bookmarkEnd w:id="94"/>
      <w:bookmarkEnd w:id="95"/>
    </w:p>
    <w:p w:rsidR="008831AF" w:rsidRPr="003E1F05" w:rsidRDefault="008831AF" w:rsidP="008831AF">
      <w:r w:rsidRPr="003E1F05">
        <w:t xml:space="preserve">People with type 1 diabetes are required to manage their condition with lifelong insulin therapy and blood glucose level monitoring. Insulin </w:t>
      </w:r>
      <w:proofErr w:type="gramStart"/>
      <w:r w:rsidRPr="003E1F05">
        <w:t>is administered</w:t>
      </w:r>
      <w:proofErr w:type="gramEnd"/>
      <w:r w:rsidRPr="003E1F05">
        <w:t xml:space="preserve"> subcutaneously where it is absorbed into the blood stream. The two main forms of insulin administration are the conventional method of multiple daily injections, and continuous subcutaneous insulin infusion using an insulin pump (insulin pump therapy) (</w:t>
      </w:r>
      <w:proofErr w:type="spellStart"/>
      <w:r w:rsidRPr="003E1F05">
        <w:t>Misso</w:t>
      </w:r>
      <w:proofErr w:type="spellEnd"/>
      <w:r w:rsidRPr="003E1F05">
        <w:t> </w:t>
      </w:r>
      <w:r w:rsidRPr="003E1F05">
        <w:rPr>
          <w:i/>
        </w:rPr>
        <w:t>et</w:t>
      </w:r>
      <w:proofErr w:type="gramStart"/>
      <w:r w:rsidRPr="003E1F05">
        <w:rPr>
          <w:i/>
        </w:rPr>
        <w:t>  al</w:t>
      </w:r>
      <w:proofErr w:type="gramEnd"/>
      <w:r w:rsidRPr="003E1F05">
        <w:t>. 2010).</w:t>
      </w:r>
    </w:p>
    <w:p w:rsidR="008831AF" w:rsidRPr="00787F54" w:rsidRDefault="008831AF" w:rsidP="008831AF">
      <w:pPr>
        <w:pStyle w:val="Heading3"/>
      </w:pPr>
      <w:bookmarkStart w:id="96" w:name="_Toc373130836"/>
      <w:r w:rsidRPr="00787F54">
        <w:t>2.6.1</w:t>
      </w:r>
      <w:r w:rsidRPr="00787F54">
        <w:tab/>
        <w:t>Multiple daily injections</w:t>
      </w:r>
      <w:bookmarkEnd w:id="96"/>
      <w:r w:rsidRPr="00787F54">
        <w:t xml:space="preserve"> </w:t>
      </w:r>
    </w:p>
    <w:p w:rsidR="008831AF" w:rsidRPr="003E1F05" w:rsidRDefault="008831AF" w:rsidP="008831AF">
      <w:r w:rsidRPr="003E1F05">
        <w:t xml:space="preserve">Multiple daily injection insulin therapy consists of administering around three or four insulin injections per day. There are five different types of insulin currently available to treat diabetes in Australia: ultra-short acting, </w:t>
      </w:r>
      <w:proofErr w:type="gramStart"/>
      <w:r w:rsidRPr="003E1F05">
        <w:t>short-acting</w:t>
      </w:r>
      <w:proofErr w:type="gramEnd"/>
      <w:r w:rsidRPr="003E1F05">
        <w:t>, intermediate-acting, long</w:t>
      </w:r>
      <w:r w:rsidRPr="003E1F05">
        <w:noBreakHyphen/>
        <w:t xml:space="preserve">acting, and pre-mixed. These types differ in both their speed of onset, time to peak, and duration of glucose-lowering action. </w:t>
      </w:r>
    </w:p>
    <w:p w:rsidR="008831AF" w:rsidRPr="003E1F05" w:rsidRDefault="008831AF" w:rsidP="008831AF">
      <w:r w:rsidRPr="003E1F05">
        <w:t xml:space="preserve">Ultra-short acting analogues and short-acting </w:t>
      </w:r>
      <w:proofErr w:type="spellStart"/>
      <w:r w:rsidRPr="003E1F05">
        <w:t>insulins</w:t>
      </w:r>
      <w:proofErr w:type="spellEnd"/>
      <w:r w:rsidRPr="003E1F05">
        <w:t xml:space="preserve"> are designed to supply the bolus level of insulin needed after a meal, while intermediate-acting insulin and long-acting analogues do not need to be injected with a meal and are used to help mimic the basal level of insulin excreted by the pancreas (Diabetes Australia 2008).</w:t>
      </w:r>
    </w:p>
    <w:p w:rsidR="008831AF" w:rsidRPr="00787F54" w:rsidRDefault="008831AF" w:rsidP="008831AF">
      <w:pPr>
        <w:pStyle w:val="Heading3"/>
      </w:pPr>
      <w:bookmarkStart w:id="97" w:name="_Toc373130837"/>
      <w:r w:rsidRPr="00787F54">
        <w:t>2.6.2</w:t>
      </w:r>
      <w:r w:rsidRPr="00787F54">
        <w:tab/>
        <w:t>Insulin pumps</w:t>
      </w:r>
      <w:bookmarkEnd w:id="97"/>
      <w:r w:rsidRPr="00787F54">
        <w:t xml:space="preserve"> </w:t>
      </w:r>
    </w:p>
    <w:p w:rsidR="008831AF" w:rsidRPr="003E1F05" w:rsidRDefault="008831AF" w:rsidP="008831AF">
      <w:pPr>
        <w:spacing w:after="120"/>
        <w:rPr>
          <w:szCs w:val="24"/>
        </w:rPr>
      </w:pPr>
      <w:r w:rsidRPr="003E1F05">
        <w:rPr>
          <w:szCs w:val="24"/>
        </w:rPr>
        <w:t>Insulin pumps are small, computerised, portable devices that deliver continuous, small doses of fast-acting insulin 24-hours a day, known as the basal insulin dose (</w:t>
      </w:r>
      <w:proofErr w:type="spellStart"/>
      <w:r w:rsidRPr="003E1F05">
        <w:rPr>
          <w:szCs w:val="24"/>
        </w:rPr>
        <w:t>Misso</w:t>
      </w:r>
      <w:proofErr w:type="spellEnd"/>
      <w:r w:rsidRPr="003E1F05">
        <w:rPr>
          <w:szCs w:val="24"/>
        </w:rPr>
        <w:t> </w:t>
      </w:r>
      <w:r w:rsidRPr="003E1F05">
        <w:rPr>
          <w:i/>
          <w:szCs w:val="24"/>
        </w:rPr>
        <w:t>et al</w:t>
      </w:r>
      <w:r w:rsidRPr="003E1F05">
        <w:rPr>
          <w:szCs w:val="24"/>
        </w:rPr>
        <w:t xml:space="preserve">. 2011). Basal insulin controls blood glucose at night and between meals (Diabetes Queensland 2009). </w:t>
      </w:r>
      <w:r w:rsidRPr="003E1F05">
        <w:t xml:space="preserve">A bolus dose, also of fast-acting insulin, is initiated manually by the individual before meals and when correcting hyperglycaemia (high blood glucose) (Diabetes Australia 2008). </w:t>
      </w:r>
    </w:p>
    <w:p w:rsidR="008831AF" w:rsidRPr="003E1F05" w:rsidRDefault="008831AF" w:rsidP="008831AF">
      <w:pPr>
        <w:spacing w:after="120"/>
        <w:rPr>
          <w:szCs w:val="24"/>
        </w:rPr>
      </w:pPr>
      <w:r w:rsidRPr="003E1F05">
        <w:rPr>
          <w:szCs w:val="24"/>
        </w:rPr>
        <w:t xml:space="preserve">Insulin </w:t>
      </w:r>
      <w:proofErr w:type="gramStart"/>
      <w:r w:rsidRPr="003E1F05">
        <w:rPr>
          <w:szCs w:val="24"/>
        </w:rPr>
        <w:t>is delivered</w:t>
      </w:r>
      <w:proofErr w:type="gramEnd"/>
      <w:r w:rsidRPr="003E1F05">
        <w:rPr>
          <w:szCs w:val="24"/>
        </w:rPr>
        <w:t xml:space="preserve"> through a small tube and cannula, and an infusion set inserted subcutaneously, usually in the abdomen or hip region (</w:t>
      </w:r>
      <w:proofErr w:type="spellStart"/>
      <w:r w:rsidRPr="003E1F05">
        <w:rPr>
          <w:szCs w:val="24"/>
        </w:rPr>
        <w:t>Misso</w:t>
      </w:r>
      <w:proofErr w:type="spellEnd"/>
      <w:r w:rsidRPr="003E1F05">
        <w:rPr>
          <w:szCs w:val="24"/>
        </w:rPr>
        <w:t> </w:t>
      </w:r>
      <w:r w:rsidRPr="003E1F05">
        <w:rPr>
          <w:i/>
          <w:szCs w:val="24"/>
        </w:rPr>
        <w:t>et al</w:t>
      </w:r>
      <w:r w:rsidRPr="003E1F05">
        <w:rPr>
          <w:szCs w:val="24"/>
        </w:rPr>
        <w:t xml:space="preserve">. 2011). These sets </w:t>
      </w:r>
      <w:proofErr w:type="gramStart"/>
      <w:r w:rsidRPr="003E1F05">
        <w:rPr>
          <w:szCs w:val="24"/>
        </w:rPr>
        <w:t>are changed</w:t>
      </w:r>
      <w:proofErr w:type="gramEnd"/>
      <w:r w:rsidRPr="003E1F05">
        <w:rPr>
          <w:szCs w:val="24"/>
        </w:rPr>
        <w:t xml:space="preserve"> on average every three days, depending on the type of infusion set.</w:t>
      </w:r>
    </w:p>
    <w:p w:rsidR="008831AF" w:rsidRPr="003E1F05" w:rsidRDefault="008831AF" w:rsidP="008831AF">
      <w:pPr>
        <w:spacing w:after="120"/>
        <w:rPr>
          <w:szCs w:val="24"/>
        </w:rPr>
      </w:pPr>
      <w:r w:rsidRPr="003E1F05">
        <w:rPr>
          <w:szCs w:val="24"/>
        </w:rPr>
        <w:t xml:space="preserve">Insulin dose adjustments </w:t>
      </w:r>
      <w:proofErr w:type="gramStart"/>
      <w:r w:rsidRPr="003E1F05">
        <w:rPr>
          <w:szCs w:val="24"/>
        </w:rPr>
        <w:t>may be based</w:t>
      </w:r>
      <w:proofErr w:type="gramEnd"/>
      <w:r w:rsidRPr="003E1F05">
        <w:rPr>
          <w:szCs w:val="24"/>
        </w:rPr>
        <w:t xml:space="preserve"> on food intake, exercise and other factors, and in-built algorithms may assist users with these calculations. The insulin pump can only be disconnected for short </w:t>
      </w:r>
      <w:proofErr w:type="gramStart"/>
      <w:r w:rsidRPr="003E1F05">
        <w:rPr>
          <w:szCs w:val="24"/>
        </w:rPr>
        <w:t>periods of time</w:t>
      </w:r>
      <w:proofErr w:type="gramEnd"/>
      <w:r w:rsidRPr="003E1F05">
        <w:rPr>
          <w:szCs w:val="24"/>
        </w:rPr>
        <w:t xml:space="preserve"> (for exercise or showering), usually not more than two hours (Diabetes Queensland 2009).</w:t>
      </w:r>
    </w:p>
    <w:p w:rsidR="008831AF" w:rsidRPr="003E1F05" w:rsidRDefault="008831AF" w:rsidP="008831AF">
      <w:pPr>
        <w:rPr>
          <w:szCs w:val="24"/>
        </w:rPr>
      </w:pPr>
      <w:r w:rsidRPr="003E1F05">
        <w:rPr>
          <w:szCs w:val="24"/>
        </w:rPr>
        <w:t xml:space="preserve">Insulin pumps do not measure blood glucose levels and levels </w:t>
      </w:r>
      <w:proofErr w:type="gramStart"/>
      <w:r w:rsidRPr="003E1F05">
        <w:rPr>
          <w:szCs w:val="24"/>
        </w:rPr>
        <w:t>must be monitored</w:t>
      </w:r>
      <w:proofErr w:type="gramEnd"/>
      <w:r w:rsidRPr="003E1F05">
        <w:rPr>
          <w:szCs w:val="24"/>
        </w:rPr>
        <w:t xml:space="preserve"> throughout the day with the use of blood glucose test strips and a blood glucose meter, </w:t>
      </w:r>
      <w:r w:rsidRPr="003E1F05">
        <w:rPr>
          <w:szCs w:val="24"/>
        </w:rPr>
        <w:lastRenderedPageBreak/>
        <w:t xml:space="preserve">similar to those using multiple daily injection therapy. Insulin pump users should perform four or more blood glucose tests a day to ensure insulin administration from the pump is correct. There are insulin pumps with the capability of continuous glucose monitoring with the addition of a glucose sensor (Diabetes Queensland 2009). However, continuous glucose monitoring does not replace the need for independent testing of blood glucose with a blood glucose meter, and for some insulin pumps is not indicated for use in patients </w:t>
      </w:r>
      <w:proofErr w:type="gramStart"/>
      <w:r w:rsidRPr="003E1F05">
        <w:rPr>
          <w:szCs w:val="24"/>
        </w:rPr>
        <w:t>under</w:t>
      </w:r>
      <w:proofErr w:type="gramEnd"/>
      <w:r w:rsidRPr="003E1F05">
        <w:rPr>
          <w:szCs w:val="24"/>
        </w:rPr>
        <w:t xml:space="preserve"> 18 years of age (Animas Corporation 2012; Medtronic </w:t>
      </w:r>
      <w:proofErr w:type="spellStart"/>
      <w:r w:rsidRPr="003E1F05">
        <w:rPr>
          <w:szCs w:val="24"/>
        </w:rPr>
        <w:t>MiniMed</w:t>
      </w:r>
      <w:proofErr w:type="spellEnd"/>
      <w:r w:rsidRPr="003E1F05">
        <w:rPr>
          <w:szCs w:val="24"/>
        </w:rPr>
        <w:t xml:space="preserve"> Inc. 2009).</w:t>
      </w:r>
    </w:p>
    <w:p w:rsidR="008831AF" w:rsidRPr="00787F54" w:rsidRDefault="008831AF" w:rsidP="008831AF">
      <w:pPr>
        <w:pStyle w:val="Heading3"/>
      </w:pPr>
      <w:r w:rsidRPr="00787F54">
        <w:t>2.6.3</w:t>
      </w:r>
      <w:r w:rsidRPr="00787F54">
        <w:tab/>
        <w:t>Insulin pump use in Australia</w:t>
      </w:r>
    </w:p>
    <w:p w:rsidR="008831AF" w:rsidRPr="003E1F05" w:rsidRDefault="008831AF" w:rsidP="008831AF">
      <w:r w:rsidRPr="003E1F05">
        <w:rPr>
          <w:rFonts w:cs="Arial"/>
          <w:lang w:eastAsia="en-AU"/>
        </w:rPr>
        <w:t xml:space="preserve">The </w:t>
      </w:r>
      <w:r w:rsidRPr="003E1F05">
        <w:rPr>
          <w:i/>
        </w:rPr>
        <w:t>Australian Health Survey: Updated Results</w:t>
      </w:r>
      <w:r w:rsidRPr="003E1F05">
        <w:rPr>
          <w:u w:val="single"/>
        </w:rPr>
        <w:t>,</w:t>
      </w:r>
      <w:r w:rsidRPr="003E1F05">
        <w:t xml:space="preserve"> </w:t>
      </w:r>
      <w:r w:rsidRPr="003E1F05">
        <w:rPr>
          <w:i/>
        </w:rPr>
        <w:t>2011-12</w:t>
      </w:r>
      <w:r w:rsidRPr="003E1F05">
        <w:t xml:space="preserve">, indicates there are approximately 118,600 people with type 1 diabetes (ABS 2013). </w:t>
      </w:r>
      <w:r w:rsidRPr="003E1F05">
        <w:rPr>
          <w:rFonts w:eastAsia="Calibri"/>
          <w:lang w:eastAsia="en-AU"/>
        </w:rPr>
        <w:t xml:space="preserve">The AIHW report, </w:t>
      </w:r>
      <w:r w:rsidRPr="003E1F05">
        <w:rPr>
          <w:rFonts w:eastAsia="Calibri"/>
          <w:i/>
          <w:lang w:eastAsia="en-AU"/>
        </w:rPr>
        <w:t>Insulin Pump Use in Australia</w:t>
      </w:r>
      <w:r w:rsidRPr="003E1F05">
        <w:rPr>
          <w:rFonts w:eastAsia="Calibri"/>
          <w:lang w:eastAsia="en-AU"/>
        </w:rPr>
        <w:t xml:space="preserve"> (2012b), states that there are approximately </w:t>
      </w:r>
      <w:r w:rsidRPr="003E1F05">
        <w:rPr>
          <w:rFonts w:cs="Arial"/>
          <w:lang w:eastAsia="en-AU"/>
        </w:rPr>
        <w:t xml:space="preserve">10,510 people with type 1 diabetes in Australia currently using an insulin pump, or around 10% of all people with type 1 diabetes. </w:t>
      </w:r>
      <w:r w:rsidRPr="003E1F05">
        <w:t>It is unclear how the affordability of insulin pumps and the associated consumables influences their usage in Australia. However, the most commonly identified issue for insulin pump users in Australia, identified by 32% of survey respondents, was the cost of insulin pump consumables (AIHW 2012b).</w:t>
      </w:r>
    </w:p>
    <w:p w:rsidR="008831AF" w:rsidRPr="003E1F05" w:rsidRDefault="008831AF" w:rsidP="008831AF">
      <w:r w:rsidRPr="003E1F05">
        <w:rPr>
          <w:rFonts w:eastAsia="Calibri"/>
          <w:lang w:eastAsia="en-AU"/>
        </w:rPr>
        <w:t xml:space="preserve">According to the AIHW report, </w:t>
      </w:r>
      <w:r w:rsidRPr="003E1F05">
        <w:rPr>
          <w:rFonts w:eastAsia="Calibri"/>
          <w:i/>
          <w:lang w:eastAsia="en-AU"/>
        </w:rPr>
        <w:t xml:space="preserve">Diabetes </w:t>
      </w:r>
      <w:proofErr w:type="gramStart"/>
      <w:r w:rsidRPr="003E1F05">
        <w:rPr>
          <w:rFonts w:eastAsia="Calibri"/>
          <w:i/>
          <w:lang w:eastAsia="en-AU"/>
        </w:rPr>
        <w:t>Among</w:t>
      </w:r>
      <w:proofErr w:type="gramEnd"/>
      <w:r w:rsidRPr="003E1F05">
        <w:rPr>
          <w:rFonts w:eastAsia="Calibri"/>
          <w:i/>
          <w:lang w:eastAsia="en-AU"/>
        </w:rPr>
        <w:t xml:space="preserve"> Young Australians </w:t>
      </w:r>
      <w:r w:rsidRPr="003E1F05">
        <w:rPr>
          <w:rFonts w:eastAsia="Calibri"/>
          <w:lang w:eastAsia="en-AU"/>
        </w:rPr>
        <w:t>(2012a), insulin pump use is most common among people under the age of 19. Data from the NDSS indicates that there are 9,971 children aged between 0-18 with type 1 diabetes in Australia. Of these, 3,402 have been recorded as using insulin pump therapy for their form of treatment; meaning approximately 6,500 children (0</w:t>
      </w:r>
      <w:r w:rsidRPr="003E1F05">
        <w:rPr>
          <w:rFonts w:eastAsia="Calibri"/>
          <w:lang w:eastAsia="en-AU"/>
        </w:rPr>
        <w:noBreakHyphen/>
        <w:t xml:space="preserve">18 years) with type 1 diabetes are currently not using insulin pump therapy. These figures represent a 34% uptake rate of insulin pump therapy in the 0-18 year demographic in Australia. This is similar to </w:t>
      </w:r>
      <w:r w:rsidRPr="003E1F05">
        <w:t xml:space="preserve">the modelled uptake of insulin pumps in the United Kingdom, where the National Institute for Health and Clinical Excellence (NICE) estimated a 12.4% uptake across all age </w:t>
      </w:r>
      <w:proofErr w:type="gramStart"/>
      <w:r w:rsidRPr="003E1F05">
        <w:t>groups,</w:t>
      </w:r>
      <w:proofErr w:type="gramEnd"/>
      <w:r w:rsidRPr="003E1F05">
        <w:t xml:space="preserve"> and 33% uptake for those under 12 years of age (NICE 2009).</w:t>
      </w:r>
    </w:p>
    <w:p w:rsidR="008831AF" w:rsidRPr="00787F54" w:rsidRDefault="008831AF" w:rsidP="008831AF">
      <w:pPr>
        <w:pStyle w:val="Heading3"/>
        <w:rPr>
          <w:lang w:eastAsia="en-AU"/>
        </w:rPr>
      </w:pPr>
      <w:r w:rsidRPr="00787F54">
        <w:rPr>
          <w:lang w:eastAsia="en-AU"/>
        </w:rPr>
        <w:t>2.6.4</w:t>
      </w:r>
      <w:r w:rsidRPr="00787F54">
        <w:rPr>
          <w:lang w:eastAsia="en-AU"/>
        </w:rPr>
        <w:tab/>
        <w:t>Diabetes management at school</w:t>
      </w:r>
    </w:p>
    <w:p w:rsidR="008831AF" w:rsidRPr="003E1F05" w:rsidRDefault="008831AF" w:rsidP="008831AF">
      <w:pPr>
        <w:rPr>
          <w:lang w:eastAsia="en-AU"/>
        </w:rPr>
      </w:pPr>
      <w:r w:rsidRPr="003E1F05">
        <w:rPr>
          <w:lang w:eastAsia="en-AU"/>
        </w:rPr>
        <w:t xml:space="preserve">For children using injections, the recommended treatment for type 1 diabetes usually involves four insulin injections a day, and therefore requires blood glucose testing and insulin administration at school. This raises questions as to whether children, particularly in early primary school, have the developmental capacity to self-administer blood glucose testing or insulin. Whilst children </w:t>
      </w:r>
      <w:proofErr w:type="gramStart"/>
      <w:r w:rsidRPr="003E1F05">
        <w:rPr>
          <w:lang w:eastAsia="en-AU"/>
        </w:rPr>
        <w:t>can be managed</w:t>
      </w:r>
      <w:proofErr w:type="gramEnd"/>
      <w:r w:rsidRPr="003E1F05">
        <w:rPr>
          <w:lang w:eastAsia="en-AU"/>
        </w:rPr>
        <w:t xml:space="preserve"> with two insulin injections a day, which eliminates the need for insulin administration at school, this treatment regimen is not considered ideal (Marks </w:t>
      </w:r>
      <w:r w:rsidRPr="003E1F05">
        <w:rPr>
          <w:i/>
          <w:lang w:eastAsia="en-AU"/>
        </w:rPr>
        <w:t xml:space="preserve">et al. </w:t>
      </w:r>
      <w:r w:rsidRPr="003E1F05">
        <w:rPr>
          <w:lang w:eastAsia="en-AU"/>
        </w:rPr>
        <w:t>2013).</w:t>
      </w:r>
    </w:p>
    <w:p w:rsidR="008831AF" w:rsidRPr="003E1F05" w:rsidRDefault="008831AF" w:rsidP="008831AF">
      <w:pPr>
        <w:rPr>
          <w:lang w:eastAsia="en-AU"/>
        </w:rPr>
      </w:pPr>
      <w:r w:rsidRPr="003E1F05">
        <w:rPr>
          <w:lang w:eastAsia="en-AU"/>
        </w:rPr>
        <w:t xml:space="preserve">There is limited published literature regarding diabetes treatment in Australian schools. An unpublished study conducted in Australia in 2008, indicated that 87% of children with type </w:t>
      </w:r>
      <w:proofErr w:type="gramStart"/>
      <w:r w:rsidRPr="003E1F05">
        <w:rPr>
          <w:lang w:eastAsia="en-AU"/>
        </w:rPr>
        <w:t>1 diabetes</w:t>
      </w:r>
      <w:proofErr w:type="gramEnd"/>
      <w:r w:rsidRPr="003E1F05">
        <w:rPr>
          <w:lang w:eastAsia="en-AU"/>
        </w:rPr>
        <w:t xml:space="preserve"> under the age of 12 were receiving insulin at school. Teachers, school administration staff and nurses provided assistance in some cases. However, a parent attended the school to assist with insulin administration in 28% of cases, mostly for children using insulin injections and under the age of </w:t>
      </w:r>
      <w:proofErr w:type="gramStart"/>
      <w:r w:rsidRPr="003E1F05">
        <w:rPr>
          <w:lang w:eastAsia="en-AU"/>
        </w:rPr>
        <w:t>8</w:t>
      </w:r>
      <w:proofErr w:type="gramEnd"/>
      <w:r w:rsidRPr="003E1F05">
        <w:rPr>
          <w:lang w:eastAsia="en-AU"/>
        </w:rPr>
        <w:t xml:space="preserve">. After 8 years of age most </w:t>
      </w:r>
      <w:r w:rsidRPr="003E1F05">
        <w:rPr>
          <w:lang w:eastAsia="en-AU"/>
        </w:rPr>
        <w:lastRenderedPageBreak/>
        <w:t>children administered blood glucose testing and insulin themselves (</w:t>
      </w:r>
      <w:proofErr w:type="spellStart"/>
      <w:r w:rsidRPr="003E1F05">
        <w:rPr>
          <w:lang w:eastAsia="en-AU"/>
        </w:rPr>
        <w:t>Middlehurst</w:t>
      </w:r>
      <w:proofErr w:type="spellEnd"/>
      <w:r w:rsidRPr="003E1F05">
        <w:rPr>
          <w:lang w:eastAsia="en-AU"/>
        </w:rPr>
        <w:t xml:space="preserve"> &amp; Morrison 2008). </w:t>
      </w:r>
    </w:p>
    <w:p w:rsidR="008831AF" w:rsidRPr="003E1F05" w:rsidRDefault="008831AF" w:rsidP="008831AF">
      <w:pPr>
        <w:rPr>
          <w:lang w:eastAsia="en-AU"/>
        </w:rPr>
      </w:pPr>
      <w:r w:rsidRPr="003E1F05">
        <w:rPr>
          <w:lang w:eastAsia="en-AU"/>
        </w:rPr>
        <w:t xml:space="preserve">Attending school to assist with blood glucose testing and insulin administration can limit parents’ ability to work, leading to financial stress. An international survey showed that 46% of parents had to alter their work to manage their child’s diabetes at school (Lange </w:t>
      </w:r>
      <w:r w:rsidRPr="003E1F05">
        <w:rPr>
          <w:i/>
          <w:lang w:eastAsia="en-AU"/>
        </w:rPr>
        <w:t>et al.</w:t>
      </w:r>
      <w:r w:rsidRPr="003E1F05">
        <w:rPr>
          <w:lang w:eastAsia="en-AU"/>
        </w:rPr>
        <w:t xml:space="preserve"> 2009). As younger children may not have the ability to recognise the symptoms of hypoglycaemia or ask for assistance, this also poses a higher risk. One study indicated that 20% of parents </w:t>
      </w:r>
      <w:proofErr w:type="gramStart"/>
      <w:r w:rsidRPr="003E1F05">
        <w:rPr>
          <w:lang w:eastAsia="en-AU"/>
        </w:rPr>
        <w:t>were called</w:t>
      </w:r>
      <w:proofErr w:type="gramEnd"/>
      <w:r w:rsidRPr="003E1F05">
        <w:rPr>
          <w:lang w:eastAsia="en-AU"/>
        </w:rPr>
        <w:t xml:space="preserve"> to the school on a regular basis (Schwartz </w:t>
      </w:r>
      <w:r w:rsidRPr="003E1F05">
        <w:rPr>
          <w:i/>
          <w:lang w:eastAsia="en-AU"/>
        </w:rPr>
        <w:t>et al.</w:t>
      </w:r>
      <w:r w:rsidRPr="003E1F05">
        <w:rPr>
          <w:lang w:eastAsia="en-AU"/>
        </w:rPr>
        <w:t xml:space="preserve"> 2010).</w:t>
      </w:r>
    </w:p>
    <w:p w:rsidR="008831AF" w:rsidRPr="003E1F05" w:rsidRDefault="008831AF" w:rsidP="008831AF">
      <w:pPr>
        <w:rPr>
          <w:lang w:eastAsia="en-AU"/>
        </w:rPr>
      </w:pPr>
      <w:r w:rsidRPr="003E1F05">
        <w:rPr>
          <w:lang w:eastAsia="en-AU"/>
        </w:rPr>
        <w:t>The ability of a child to administer insulin at school may also affect their treatment. In an Australian study, whilst 60% of children with type 1 diabetes surveyed used insulin injections, only 47% received insulin injections at school. In contrast, of the 40% of children using insulin pump therapy, 98% received a bolus dose at school. Furthermore, children with insulin pumps were less likely to require a parent to attend the school to assist with treatment and teachers were more willing to assist with bolus administration through an insulin pump (</w:t>
      </w:r>
      <w:proofErr w:type="spellStart"/>
      <w:r w:rsidRPr="003E1F05">
        <w:rPr>
          <w:lang w:eastAsia="en-AU"/>
        </w:rPr>
        <w:t>Middlehurst</w:t>
      </w:r>
      <w:proofErr w:type="spellEnd"/>
      <w:r w:rsidRPr="003E1F05">
        <w:rPr>
          <w:lang w:eastAsia="en-AU"/>
        </w:rPr>
        <w:t xml:space="preserve"> &amp; Morrison 2008). Taken together, these data indicate that insulin pump therapy may improve diabetes treatment in young children at school and alleviate some of the pressure on carers.</w:t>
      </w:r>
    </w:p>
    <w:p w:rsidR="008831AF" w:rsidRPr="00787F54" w:rsidRDefault="008831AF" w:rsidP="008831AF">
      <w:pPr>
        <w:pStyle w:val="Heading3"/>
      </w:pPr>
      <w:bookmarkStart w:id="98" w:name="_Toc373130838"/>
      <w:r w:rsidRPr="00787F54">
        <w:t>2.6.5</w:t>
      </w:r>
      <w:r w:rsidRPr="00787F54">
        <w:tab/>
        <w:t>New technologies</w:t>
      </w:r>
      <w:bookmarkEnd w:id="98"/>
    </w:p>
    <w:p w:rsidR="008831AF" w:rsidRPr="003E1F05" w:rsidRDefault="008831AF" w:rsidP="008831AF">
      <w:pPr>
        <w:rPr>
          <w:rFonts w:eastAsia="Calibri"/>
          <w:lang w:eastAsia="en-AU"/>
        </w:rPr>
      </w:pPr>
      <w:r w:rsidRPr="003E1F05">
        <w:rPr>
          <w:rFonts w:eastAsia="Calibri"/>
          <w:lang w:eastAsia="en-AU"/>
        </w:rPr>
        <w:t xml:space="preserve">Continuous glucose monitoring devices consist of a glucose sensor that </w:t>
      </w:r>
      <w:proofErr w:type="gramStart"/>
      <w:r w:rsidRPr="003E1F05">
        <w:rPr>
          <w:rFonts w:eastAsia="Calibri"/>
          <w:lang w:eastAsia="en-AU"/>
        </w:rPr>
        <w:t>is inserted</w:t>
      </w:r>
      <w:proofErr w:type="gramEnd"/>
      <w:r w:rsidRPr="003E1F05">
        <w:rPr>
          <w:rFonts w:eastAsia="Calibri"/>
          <w:lang w:eastAsia="en-AU"/>
        </w:rPr>
        <w:t xml:space="preserve"> under the skin. They can be used in conjunction with an insulin pump, and provide real-time monitoring of blood glucose levels throughout the day. Generally, glucose levels </w:t>
      </w:r>
      <w:proofErr w:type="gramStart"/>
      <w:r w:rsidRPr="003E1F05">
        <w:rPr>
          <w:rFonts w:eastAsia="Calibri"/>
          <w:lang w:eastAsia="en-AU"/>
        </w:rPr>
        <w:t>are displayed</w:t>
      </w:r>
      <w:proofErr w:type="gramEnd"/>
      <w:r w:rsidRPr="003E1F05">
        <w:rPr>
          <w:rFonts w:eastAsia="Calibri"/>
          <w:lang w:eastAsia="en-AU"/>
        </w:rPr>
        <w:t xml:space="preserve"> at 1-5 minute intervals. The devices can sound alarms to warn patients of impending hypoglycaemia or hyperglycaemia. When used in conjunction with a compatible insulin pump, some pumps have the ability to suspend delivery of insulin once the sensor reaches a threshold of low blood glucose and sounds an alarm (Ly, </w:t>
      </w:r>
      <w:r w:rsidRPr="003E1F05">
        <w:rPr>
          <w:rFonts w:eastAsia="Calibri"/>
          <w:i/>
          <w:lang w:eastAsia="en-AU"/>
        </w:rPr>
        <w:t>et al. </w:t>
      </w:r>
      <w:r w:rsidRPr="003E1F05">
        <w:rPr>
          <w:rFonts w:eastAsia="Calibri"/>
          <w:lang w:eastAsia="en-AU"/>
        </w:rPr>
        <w:t xml:space="preserve">2013). </w:t>
      </w:r>
    </w:p>
    <w:p w:rsidR="008831AF" w:rsidRPr="003E1F05" w:rsidRDefault="008831AF" w:rsidP="008831AF">
      <w:pPr>
        <w:rPr>
          <w:rFonts w:eastAsia="Calibri"/>
          <w:lang w:eastAsia="en-AU"/>
        </w:rPr>
      </w:pPr>
      <w:r w:rsidRPr="003E1F05">
        <w:rPr>
          <w:rFonts w:eastAsia="Calibri"/>
          <w:lang w:eastAsia="en-AU"/>
        </w:rPr>
        <w:t xml:space="preserve">Tubeless closed loop system insulin pumps consist of two components: a waterproof patch that holds and delivers insulin, and a device that connects wirelessly that programs insulin delivery and calculates insulin doses. It also features an in-built glucose meter. </w:t>
      </w:r>
    </w:p>
    <w:p w:rsidR="008831AF" w:rsidRPr="003E1F05" w:rsidRDefault="008831AF" w:rsidP="008831AF">
      <w:pPr>
        <w:rPr>
          <w:lang w:val="en-US" w:eastAsia="en-AU"/>
        </w:rPr>
      </w:pPr>
      <w:r w:rsidRPr="003E1F05">
        <w:rPr>
          <w:rFonts w:eastAsia="Calibri"/>
          <w:lang w:eastAsia="en-AU"/>
        </w:rPr>
        <w:t xml:space="preserve">The above sensor technologies </w:t>
      </w:r>
      <w:proofErr w:type="gramStart"/>
      <w:r w:rsidRPr="003E1F05">
        <w:rPr>
          <w:rFonts w:eastAsia="Calibri"/>
          <w:lang w:eastAsia="en-AU"/>
        </w:rPr>
        <w:t>are not currently funded</w:t>
      </w:r>
      <w:proofErr w:type="gramEnd"/>
      <w:r w:rsidRPr="003E1F05">
        <w:rPr>
          <w:rFonts w:eastAsia="Calibri"/>
          <w:lang w:eastAsia="en-AU"/>
        </w:rPr>
        <w:t xml:space="preserve"> by any Australian Government subsidy programme or through private health insurance. The pathway for new insulin pump technologies to request listing on the Prostheses List and associated reimbursement through private health insurers is to use existing Prostheses List Advisory Committee (PLAC) processes. These technologies will be assessed by the PLAC as </w:t>
      </w:r>
      <w:proofErr w:type="gramStart"/>
      <w:r w:rsidRPr="003E1F05">
        <w:rPr>
          <w:rFonts w:eastAsia="Calibri"/>
          <w:lang w:eastAsia="en-AU"/>
        </w:rPr>
        <w:t>applications are submitted by sponsors</w:t>
      </w:r>
      <w:proofErr w:type="gramEnd"/>
      <w:r w:rsidRPr="003E1F05">
        <w:rPr>
          <w:rFonts w:eastAsia="Calibri"/>
          <w:lang w:eastAsia="en-AU"/>
        </w:rPr>
        <w:t xml:space="preserve">. Further information on PLAC and the Prostheses List is in </w:t>
      </w:r>
      <w:hyperlink w:anchor="_2.8_Access_to" w:history="1">
        <w:r w:rsidRPr="003E1F05">
          <w:rPr>
            <w:rStyle w:val="Hyperlink"/>
            <w:rFonts w:eastAsia="Calibri"/>
            <w:color w:val="auto"/>
            <w:lang w:eastAsia="en-AU"/>
          </w:rPr>
          <w:t>Part 2.8</w:t>
        </w:r>
      </w:hyperlink>
      <w:r w:rsidRPr="003E1F05">
        <w:rPr>
          <w:rFonts w:eastAsia="Calibri"/>
          <w:lang w:eastAsia="en-AU"/>
        </w:rPr>
        <w:t>.</w:t>
      </w:r>
    </w:p>
    <w:p w:rsidR="008831AF" w:rsidRPr="003E1F05" w:rsidRDefault="008831AF" w:rsidP="008831AF">
      <w:pPr>
        <w:spacing w:after="120"/>
      </w:pPr>
    </w:p>
    <w:p w:rsidR="008831AF" w:rsidRPr="00D52454" w:rsidRDefault="008831AF" w:rsidP="008831AF">
      <w:pPr>
        <w:pStyle w:val="Heading2"/>
        <w:keepNext/>
        <w:keepLines/>
      </w:pPr>
      <w:bookmarkStart w:id="99" w:name="_2.7_Type_1"/>
      <w:bookmarkStart w:id="100" w:name="_Toc373130839"/>
      <w:bookmarkStart w:id="101" w:name="_Toc381622786"/>
      <w:bookmarkStart w:id="102" w:name="_Toc387664321"/>
      <w:bookmarkEnd w:id="99"/>
      <w:r w:rsidRPr="00D52454">
        <w:lastRenderedPageBreak/>
        <w:t>2.7</w:t>
      </w:r>
      <w:r w:rsidRPr="00D52454">
        <w:tab/>
        <w:t xml:space="preserve">Access </w:t>
      </w:r>
      <w:bookmarkEnd w:id="100"/>
      <w:r w:rsidRPr="00D52454">
        <w:t xml:space="preserve">to insulin pumps via the Type 1 Diabetes Insulin Pump </w:t>
      </w:r>
      <w:proofErr w:type="spellStart"/>
      <w:r w:rsidRPr="00D52454">
        <w:t>Programme</w:t>
      </w:r>
      <w:bookmarkEnd w:id="101"/>
      <w:bookmarkEnd w:id="102"/>
      <w:proofErr w:type="spellEnd"/>
    </w:p>
    <w:p w:rsidR="008831AF" w:rsidRPr="00787F54" w:rsidRDefault="008831AF" w:rsidP="008831AF">
      <w:pPr>
        <w:pStyle w:val="Heading3"/>
      </w:pPr>
      <w:r w:rsidRPr="00787F54">
        <w:t>2.7.1</w:t>
      </w:r>
      <w:r w:rsidRPr="00787F54">
        <w:tab/>
        <w:t>Type 1 Diabetes Insulin Pump Programme</w:t>
      </w:r>
    </w:p>
    <w:p w:rsidR="008831AF" w:rsidRPr="003E1F05" w:rsidRDefault="008831AF" w:rsidP="008831AF">
      <w:pPr>
        <w:keepNext/>
        <w:keepLines/>
      </w:pPr>
      <w:r w:rsidRPr="003E1F05">
        <w:t xml:space="preserve">The Type 1 Diabetes Insulin Pump Programme (the Programme) </w:t>
      </w:r>
      <w:proofErr w:type="gramStart"/>
      <w:r w:rsidRPr="003E1F05">
        <w:t>is managed by the Department of Health and administered by the Juvenile Diabetes Research Foundation (JDRF)</w:t>
      </w:r>
      <w:proofErr w:type="gramEnd"/>
      <w:r w:rsidRPr="003E1F05">
        <w:t xml:space="preserve">. The Programme, introduced in 2008-09, </w:t>
      </w:r>
      <w:r w:rsidRPr="003E1F05">
        <w:rPr>
          <w:rFonts w:eastAsia="Calibri"/>
          <w:szCs w:val="24"/>
        </w:rPr>
        <w:t xml:space="preserve">aims to increase the affordability of insulin pump therapy for low-income families without private health insurance that have children under 18 years of age who would benefit from insulin pump therapy to control their type 1 diabetes. </w:t>
      </w:r>
      <w:r w:rsidRPr="003E1F05">
        <w:t xml:space="preserve">JDRF offered an insulin pump programme prior to 2008, which provided about 20 pumps per year, and submitted the proposal for the current Programme. The pumps available under the Programme are generally those on the Prostheses List, which </w:t>
      </w:r>
      <w:proofErr w:type="gramStart"/>
      <w:r w:rsidRPr="003E1F05">
        <w:t>is managed</w:t>
      </w:r>
      <w:proofErr w:type="gramEnd"/>
      <w:r w:rsidRPr="003E1F05">
        <w:t xml:space="preserve"> by the Department. </w:t>
      </w:r>
    </w:p>
    <w:p w:rsidR="008831AF" w:rsidRPr="003E1F05" w:rsidRDefault="008831AF" w:rsidP="008831AF">
      <w:pPr>
        <w:keepNext/>
        <w:keepLines/>
        <w:rPr>
          <w:rFonts w:eastAsia="Calibri"/>
          <w:szCs w:val="24"/>
        </w:rPr>
      </w:pPr>
      <w:r w:rsidRPr="003E1F05">
        <w:rPr>
          <w:rFonts w:eastAsia="Calibri"/>
          <w:szCs w:val="24"/>
        </w:rPr>
        <w:t xml:space="preserve">The Programme also funds part of the cost of insulin pump consumables for pumps provided under the Programme. These </w:t>
      </w:r>
      <w:proofErr w:type="gramStart"/>
      <w:r w:rsidRPr="003E1F05">
        <w:rPr>
          <w:rFonts w:eastAsia="Calibri"/>
          <w:szCs w:val="24"/>
        </w:rPr>
        <w:t>are supplied</w:t>
      </w:r>
      <w:proofErr w:type="gramEnd"/>
      <w:r w:rsidRPr="003E1F05">
        <w:rPr>
          <w:rFonts w:eastAsia="Calibri"/>
          <w:szCs w:val="24"/>
        </w:rPr>
        <w:t xml:space="preserve"> through the National Diabetes Services Scheme (NDSS), which is funded by the Australian Government and administered by Diabetes Australia. This enables patients under the Programme to access subsidised consumables at the same rate as all other NDSS registrants.</w:t>
      </w:r>
    </w:p>
    <w:p w:rsidR="008831AF" w:rsidRPr="00787F54" w:rsidRDefault="008831AF" w:rsidP="008831AF">
      <w:pPr>
        <w:pStyle w:val="Heading3"/>
        <w:rPr>
          <w:rFonts w:eastAsia="Calibri"/>
        </w:rPr>
      </w:pPr>
      <w:bookmarkStart w:id="103" w:name="_Toc373130840"/>
      <w:r w:rsidRPr="00787F54">
        <w:rPr>
          <w:rFonts w:eastAsia="Calibri"/>
        </w:rPr>
        <w:t>2.7.2</w:t>
      </w:r>
      <w:r w:rsidRPr="00787F54">
        <w:rPr>
          <w:rFonts w:eastAsia="Calibri"/>
        </w:rPr>
        <w:tab/>
      </w:r>
      <w:bookmarkEnd w:id="103"/>
      <w:r w:rsidRPr="00787F54">
        <w:rPr>
          <w:rFonts w:eastAsia="Calibri"/>
        </w:rPr>
        <w:t>Programme access arrangements</w:t>
      </w:r>
    </w:p>
    <w:p w:rsidR="008831AF" w:rsidRPr="003E1F05" w:rsidRDefault="008831AF" w:rsidP="008831AF">
      <w:r w:rsidRPr="003E1F05">
        <w:t xml:space="preserve">Families accessing a subsidised insulin pump under the Programme are able to choose any of the insulin pumps on the Prostheses List as recommended by an endocrinologist or specialist physician who </w:t>
      </w:r>
      <w:proofErr w:type="gramStart"/>
      <w:r w:rsidRPr="003E1F05">
        <w:t>has been approved</w:t>
      </w:r>
      <w:proofErr w:type="gramEnd"/>
      <w:r w:rsidRPr="003E1F05">
        <w:t xml:space="preserve"> by JDRF. As at February 2014, there were six</w:t>
      </w:r>
      <w:r w:rsidRPr="003E1F05">
        <w:rPr>
          <w:vertAlign w:val="superscript"/>
        </w:rPr>
        <w:footnoteReference w:id="1"/>
      </w:r>
      <w:r w:rsidRPr="003E1F05">
        <w:t xml:space="preserve"> insulin pumps on the Prostheses List available to access. If a clinically recommended insulin pump </w:t>
      </w:r>
      <w:proofErr w:type="gramStart"/>
      <w:r w:rsidRPr="003E1F05">
        <w:t>is not listed</w:t>
      </w:r>
      <w:proofErr w:type="gramEnd"/>
      <w:r w:rsidRPr="003E1F05">
        <w:t xml:space="preserve"> on the Prostheses List, the cost of the pump, and the subsequent subsidy amount, will take into account the recommended retail price of the pump, and the minimum benefit amount for comparable pump on the Prostheses List.</w:t>
      </w:r>
    </w:p>
    <w:p w:rsidR="008831AF" w:rsidRPr="003E1F05" w:rsidRDefault="008831AF" w:rsidP="008831AF">
      <w:pPr>
        <w:autoSpaceDE w:val="0"/>
        <w:autoSpaceDN w:val="0"/>
        <w:adjustRightInd w:val="0"/>
      </w:pPr>
      <w:r w:rsidRPr="003E1F05">
        <w:t xml:space="preserve">The Programme provides a subsidy between $500 and $6,400 for families that meet the means-tested income requirements. </w:t>
      </w:r>
      <w:r w:rsidRPr="003E1F05">
        <w:rPr>
          <w:rFonts w:eastAsia="Calibri"/>
          <w:szCs w:val="24"/>
        </w:rPr>
        <w:t>The applicant’s family income determines the level of subsidy for the insulin pump on a sliding scale up to a maximum of 80% of the listed minimum benefit amount on the Prostheses List or $6,400, whichever is less. Conversely, the minimum subsidy is 10% of the cost of the pump or $500, whichever is greater</w:t>
      </w:r>
      <w:r w:rsidR="00C35E84" w:rsidRPr="003E1F05">
        <w:rPr>
          <w:rFonts w:eastAsia="Calibri"/>
          <w:szCs w:val="24"/>
        </w:rPr>
        <w:t>.</w:t>
      </w:r>
      <w:r w:rsidRPr="003E1F05">
        <w:rPr>
          <w:rFonts w:eastAsia="Calibri"/>
          <w:szCs w:val="24"/>
        </w:rPr>
        <w:t xml:space="preserve"> For example, families with an income equal to or less than $71,230 (2013-14, indexed annually) will receive a subsidy amount between $3,200 and $6,400, depending on the insulin pump selected. Families with an income of $101,653 (2013-14, indexed annually) will receive a subsidy amount between $500 and $950, depending on the insulin pump selected. Families with a household income over $101,653 (2013-14) are not eligible for subsidy. </w:t>
      </w:r>
      <w:r w:rsidRPr="003E1F05">
        <w:rPr>
          <w:rFonts w:eastAsia="Calibri"/>
          <w:szCs w:val="24"/>
          <w:u w:val="single"/>
        </w:rPr>
        <w:t>Figure 1</w:t>
      </w:r>
      <w:r w:rsidRPr="003E1F05">
        <w:rPr>
          <w:rFonts w:eastAsia="Calibri"/>
          <w:szCs w:val="24"/>
        </w:rPr>
        <w:t xml:space="preserve"> describes the subsidy and co-payment relationship to the family income for the most commonly supplied insulin pump valued $9,500. Further detail on the Prostheses List </w:t>
      </w:r>
      <w:proofErr w:type="gramStart"/>
      <w:r w:rsidRPr="003E1F05">
        <w:rPr>
          <w:rFonts w:eastAsia="Calibri"/>
          <w:szCs w:val="24"/>
        </w:rPr>
        <w:t>is outlined</w:t>
      </w:r>
      <w:proofErr w:type="gramEnd"/>
      <w:r w:rsidRPr="003E1F05">
        <w:rPr>
          <w:rFonts w:eastAsia="Calibri"/>
          <w:szCs w:val="24"/>
        </w:rPr>
        <w:t xml:space="preserve"> in </w:t>
      </w:r>
      <w:hyperlink w:anchor="_2.7_Prostheses_list," w:history="1">
        <w:r w:rsidRPr="003E1F05">
          <w:rPr>
            <w:rFonts w:eastAsia="Calibri"/>
            <w:szCs w:val="24"/>
            <w:u w:val="single"/>
          </w:rPr>
          <w:t>Part 2.8</w:t>
        </w:r>
      </w:hyperlink>
      <w:r w:rsidRPr="003E1F05">
        <w:rPr>
          <w:rFonts w:eastAsia="Calibri"/>
          <w:szCs w:val="24"/>
        </w:rPr>
        <w:t xml:space="preserve">. Discussion on the limitations of the Programme link to the Prostheses List is detailed in </w:t>
      </w:r>
      <w:hyperlink w:anchor="_5.6.2_Dependency_on" w:history="1">
        <w:r w:rsidRPr="003E1F05">
          <w:rPr>
            <w:rStyle w:val="Hyperlink"/>
            <w:rFonts w:eastAsia="Calibri"/>
            <w:color w:val="auto"/>
            <w:szCs w:val="24"/>
          </w:rPr>
          <w:t xml:space="preserve">Part </w:t>
        </w:r>
        <w:r w:rsidRPr="003E1F05">
          <w:rPr>
            <w:rStyle w:val="Hyperlink"/>
            <w:color w:val="auto"/>
          </w:rPr>
          <w:t>5.6.2</w:t>
        </w:r>
      </w:hyperlink>
      <w:r w:rsidRPr="003E1F05">
        <w:t>.</w:t>
      </w:r>
    </w:p>
    <w:p w:rsidR="008831AF" w:rsidRPr="003E1F05" w:rsidRDefault="008831AF" w:rsidP="008831AF">
      <w:pPr>
        <w:autoSpaceDE w:val="0"/>
        <w:autoSpaceDN w:val="0"/>
        <w:adjustRightInd w:val="0"/>
        <w:rPr>
          <w:rFonts w:eastAsia="Calibri"/>
          <w:lang w:eastAsia="en-AU"/>
        </w:rPr>
      </w:pPr>
      <w:r w:rsidRPr="003E1F05">
        <w:lastRenderedPageBreak/>
        <w:t xml:space="preserve">Low-income </w:t>
      </w:r>
      <w:proofErr w:type="gramStart"/>
      <w:r w:rsidRPr="003E1F05">
        <w:t>is defined</w:t>
      </w:r>
      <w:proofErr w:type="gramEnd"/>
      <w:r w:rsidRPr="003E1F05">
        <w:t xml:space="preserve"> from the base rate of </w:t>
      </w:r>
      <w:r w:rsidRPr="003E1F05">
        <w:rPr>
          <w:i/>
        </w:rPr>
        <w:t xml:space="preserve">Family Tax Benefit Part A </w:t>
      </w:r>
      <w:r w:rsidRPr="003E1F05">
        <w:t xml:space="preserve">with one child between 13 and 15 years of age. This low-income figure is currently $71,230 (2013-14) household income per annum and does not vary with the number of children in the family. </w:t>
      </w:r>
      <w:r w:rsidRPr="003E1F05">
        <w:rPr>
          <w:rFonts w:eastAsia="Calibri"/>
          <w:szCs w:val="24"/>
        </w:rPr>
        <w:t xml:space="preserve">However, the Programme provides a concession for families with more than one child with type 1 diabetes by applying the calculated subsidy for the first child and the maximum subsidy for subsequent children. </w:t>
      </w:r>
      <w:r w:rsidRPr="003E1F05">
        <w:rPr>
          <w:rFonts w:eastAsia="Calibri"/>
          <w:lang w:eastAsia="en-AU"/>
        </w:rPr>
        <w:t xml:space="preserve">The low-income salary benchmark </w:t>
      </w:r>
      <w:proofErr w:type="gramStart"/>
      <w:r w:rsidRPr="003E1F05">
        <w:rPr>
          <w:rFonts w:eastAsia="Calibri"/>
          <w:lang w:eastAsia="en-AU"/>
        </w:rPr>
        <w:t>has been indexed</w:t>
      </w:r>
      <w:proofErr w:type="gramEnd"/>
      <w:r w:rsidRPr="003E1F05">
        <w:rPr>
          <w:rFonts w:eastAsia="Calibri"/>
          <w:lang w:eastAsia="en-AU"/>
        </w:rPr>
        <w:t xml:space="preserve"> in line with the changes to the </w:t>
      </w:r>
      <w:r w:rsidRPr="003E1F05">
        <w:rPr>
          <w:rFonts w:eastAsia="Calibri"/>
          <w:i/>
          <w:lang w:eastAsia="en-AU"/>
        </w:rPr>
        <w:t>Family Tax Benefit Part A</w:t>
      </w:r>
      <w:r w:rsidRPr="003E1F05">
        <w:rPr>
          <w:rFonts w:eastAsia="Calibri"/>
          <w:lang w:eastAsia="en-AU"/>
        </w:rPr>
        <w:t xml:space="preserve"> since the Programme commenced. </w:t>
      </w:r>
    </w:p>
    <w:p w:rsidR="008831AF" w:rsidRPr="003E1F05" w:rsidRDefault="008831AF" w:rsidP="008831AF">
      <w:pPr>
        <w:keepNext/>
        <w:keepLines/>
        <w:autoSpaceDE w:val="0"/>
        <w:autoSpaceDN w:val="0"/>
        <w:adjustRightInd w:val="0"/>
        <w:rPr>
          <w:rFonts w:eastAsia="Calibri"/>
          <w:b/>
          <w:lang w:eastAsia="en-AU"/>
        </w:rPr>
      </w:pPr>
      <w:bookmarkStart w:id="104" w:name="Figure1"/>
      <w:proofErr w:type="gramStart"/>
      <w:r w:rsidRPr="003E1F05">
        <w:rPr>
          <w:rFonts w:eastAsia="Calibri"/>
          <w:b/>
          <w:lang w:eastAsia="en-AU"/>
        </w:rPr>
        <w:t>Figure 1.</w:t>
      </w:r>
      <w:proofErr w:type="gramEnd"/>
      <w:r w:rsidRPr="003E1F05">
        <w:rPr>
          <w:rFonts w:eastAsia="Calibri"/>
          <w:b/>
          <w:lang w:eastAsia="en-AU"/>
        </w:rPr>
        <w:t xml:space="preserve"> </w:t>
      </w:r>
      <w:bookmarkEnd w:id="104"/>
      <w:r w:rsidRPr="003E1F05">
        <w:rPr>
          <w:rFonts w:eastAsia="Calibri"/>
          <w:b/>
          <w:lang w:eastAsia="en-AU"/>
        </w:rPr>
        <w:t xml:space="preserve">Relationship between the patient co-payment, subsidy amount, and family income </w:t>
      </w:r>
      <w:r w:rsidRPr="003E1F05">
        <w:rPr>
          <w:rFonts w:eastAsia="Calibri"/>
          <w:b/>
          <w:szCs w:val="24"/>
        </w:rPr>
        <w:t>for the most commonly supplied insulin pump under the Programme valued at $9,500</w:t>
      </w:r>
      <w:r w:rsidRPr="003E1F05">
        <w:rPr>
          <w:rFonts w:eastAsia="Calibri"/>
          <w:b/>
          <w:lang w:eastAsia="en-AU"/>
        </w:rPr>
        <w:t xml:space="preserve">. </w:t>
      </w:r>
    </w:p>
    <w:p w:rsidR="008831AF" w:rsidRPr="003E1F05" w:rsidRDefault="008831AF" w:rsidP="008831AF">
      <w:pPr>
        <w:keepNext/>
        <w:keepLines/>
        <w:autoSpaceDE w:val="0"/>
        <w:autoSpaceDN w:val="0"/>
        <w:adjustRightInd w:val="0"/>
        <w:rPr>
          <w:rFonts w:eastAsia="Calibri"/>
          <w:lang w:eastAsia="en-AU"/>
        </w:rPr>
      </w:pPr>
      <w:r w:rsidRPr="003E1F05">
        <w:rPr>
          <w:noProof/>
          <w:lang w:eastAsia="en-AU"/>
        </w:rPr>
        <w:drawing>
          <wp:inline distT="0" distB="0" distL="0" distR="0" wp14:anchorId="59F1ED37" wp14:editId="3126394A">
            <wp:extent cx="5746750" cy="4113279"/>
            <wp:effectExtent l="0" t="0" r="25400" b="209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31AF" w:rsidRPr="00787F54" w:rsidRDefault="008831AF" w:rsidP="008831AF">
      <w:pPr>
        <w:pStyle w:val="Heading3"/>
      </w:pPr>
      <w:r w:rsidRPr="00787F54">
        <w:t>2.7.3</w:t>
      </w:r>
      <w:r w:rsidRPr="00787F54">
        <w:tab/>
        <w:t>Patient co-payment</w:t>
      </w:r>
    </w:p>
    <w:p w:rsidR="008831AF" w:rsidRPr="003E1F05" w:rsidRDefault="008831AF" w:rsidP="008831AF">
      <w:pPr>
        <w:rPr>
          <w:rFonts w:eastAsia="Calibri"/>
          <w:szCs w:val="24"/>
        </w:rPr>
      </w:pPr>
      <w:r w:rsidRPr="003E1F05">
        <w:t xml:space="preserve">When the Programme began, the maximum subsidy provided under the Programme was $2,500 per pump. Due to low uptake, this </w:t>
      </w:r>
      <w:proofErr w:type="gramStart"/>
      <w:r w:rsidRPr="003E1F05">
        <w:t>was increased</w:t>
      </w:r>
      <w:proofErr w:type="gramEnd"/>
      <w:r w:rsidRPr="003E1F05">
        <w:t xml:space="preserve"> in February 2010 to $6,400, to meet consumer expectations, and to reach the Programme’s objectives.</w:t>
      </w:r>
    </w:p>
    <w:p w:rsidR="008831AF" w:rsidRPr="003E1F05" w:rsidRDefault="008831AF" w:rsidP="008831AF">
      <w:r w:rsidRPr="003E1F05">
        <w:t xml:space="preserve">The maximum-capped subsidy of $6,400 </w:t>
      </w:r>
      <w:proofErr w:type="gramStart"/>
      <w:r w:rsidRPr="003E1F05">
        <w:t>was based</w:t>
      </w:r>
      <w:proofErr w:type="gramEnd"/>
      <w:r w:rsidRPr="003E1F05">
        <w:t xml:space="preserve"> on 80% of the cost of the most expensive (and most clinically recommended) insulin pump available, prior to an increase in the minimum benefit cost of the insulin pumps on the Prostheses List on 1 August 2012. Subsequently, the cap of $6,400 no longer equals 80% of the most expensive pump, which currently costs $9,500. The patient co-</w:t>
      </w:r>
      <w:proofErr w:type="gramStart"/>
      <w:r w:rsidRPr="003E1F05">
        <w:t>payment,</w:t>
      </w:r>
      <w:proofErr w:type="gramEnd"/>
      <w:r w:rsidRPr="003E1F05">
        <w:rPr>
          <w:szCs w:val="24"/>
        </w:rPr>
        <w:t xml:space="preserve"> was designed to be equal to or greater than the cost of holding private health insurance for 13 months (just over the period necessary to qualify for an insulin pump under private health </w:t>
      </w:r>
      <w:r w:rsidRPr="003E1F05">
        <w:rPr>
          <w:szCs w:val="24"/>
        </w:rPr>
        <w:lastRenderedPageBreak/>
        <w:t xml:space="preserve">insurance). </w:t>
      </w:r>
      <w:r w:rsidRPr="003E1F05">
        <w:t>The median co-payment paid by recipients under the Programme is $1,600 (JDRF data).</w:t>
      </w:r>
    </w:p>
    <w:p w:rsidR="008831AF" w:rsidRPr="003E1F05" w:rsidRDefault="008831AF" w:rsidP="008831AF">
      <w:r w:rsidRPr="003E1F05">
        <w:rPr>
          <w:rFonts w:eastAsia="Calibri"/>
          <w:szCs w:val="24"/>
        </w:rPr>
        <w:t>To aid families in covering the patient co-payment, JDRF signed agreements with the Princess Margaret Hospital in Perth, the Canberra Hospital, Diabetes Queensland, and the Australian Diabetes Council in March 2011. They agreed to provide funding to cover the co-payment gap, the remaining 20% of the cost, for eligible families. In October 2011, two key insulin pump manufacturers commenced subsidising the co</w:t>
      </w:r>
      <w:r w:rsidRPr="003E1F05">
        <w:rPr>
          <w:rFonts w:eastAsia="Calibri"/>
          <w:szCs w:val="24"/>
        </w:rPr>
        <w:noBreakHyphen/>
        <w:t>payment gap amount for families in the lowest income bracket</w:t>
      </w:r>
      <w:r w:rsidRPr="003E1F05">
        <w:t>, which was an annual income below $67,398 in 2011-12, and is currently $71,230 (2013-14).</w:t>
      </w:r>
    </w:p>
    <w:p w:rsidR="008831AF" w:rsidRPr="00787F54" w:rsidRDefault="008831AF" w:rsidP="008831AF">
      <w:pPr>
        <w:pStyle w:val="Heading3"/>
      </w:pPr>
      <w:r w:rsidRPr="00787F54">
        <w:rPr>
          <w:rFonts w:eastAsia="Calibri"/>
        </w:rPr>
        <w:t>2.7.4</w:t>
      </w:r>
      <w:r w:rsidRPr="00787F54">
        <w:rPr>
          <w:rFonts w:eastAsia="Calibri"/>
        </w:rPr>
        <w:tab/>
      </w:r>
      <w:r w:rsidRPr="00787F54">
        <w:t>Programme funding status</w:t>
      </w:r>
    </w:p>
    <w:p w:rsidR="008831AF" w:rsidRPr="003E1F05" w:rsidRDefault="008831AF" w:rsidP="008831AF">
      <w:r w:rsidRPr="003E1F05">
        <w:rPr>
          <w:rFonts w:eastAsia="Calibri"/>
          <w:szCs w:val="24"/>
        </w:rPr>
        <w:t xml:space="preserve">The original Programme funding amount of $5.5 million </w:t>
      </w:r>
      <w:proofErr w:type="gramStart"/>
      <w:r w:rsidRPr="003E1F05">
        <w:rPr>
          <w:rFonts w:eastAsia="Calibri"/>
          <w:szCs w:val="24"/>
        </w:rPr>
        <w:t>was approved</w:t>
      </w:r>
      <w:proofErr w:type="gramEnd"/>
      <w:r w:rsidRPr="003E1F05">
        <w:rPr>
          <w:rFonts w:eastAsia="Calibri"/>
          <w:szCs w:val="24"/>
        </w:rPr>
        <w:t xml:space="preserve"> for pumps and consumables for the four-year period to 2011-12. This </w:t>
      </w:r>
      <w:proofErr w:type="gramStart"/>
      <w:r w:rsidRPr="003E1F05">
        <w:rPr>
          <w:rFonts w:eastAsia="Calibri"/>
          <w:szCs w:val="24"/>
        </w:rPr>
        <w:t>was continued</w:t>
      </w:r>
      <w:proofErr w:type="gramEnd"/>
      <w:r w:rsidRPr="003E1F05">
        <w:rPr>
          <w:rFonts w:eastAsia="Calibri"/>
          <w:szCs w:val="24"/>
        </w:rPr>
        <w:t xml:space="preserve"> with additional funding for the four-year period to 2015-16.</w:t>
      </w:r>
      <w:r w:rsidRPr="003E1F05">
        <w:t xml:space="preserve"> </w:t>
      </w:r>
    </w:p>
    <w:p w:rsidR="008831AF" w:rsidRPr="003E1F05" w:rsidRDefault="008831AF" w:rsidP="008831AF">
      <w:r w:rsidRPr="003E1F05">
        <w:t>The uptake for the Programme was greater than predicted in 2012-13. On 18 October 2013, the Australian Government provided an additional $870,400 in funding for 2013</w:t>
      </w:r>
      <w:r w:rsidRPr="003E1F05">
        <w:noBreakHyphen/>
        <w:t>14 for the Insulin Pump Programme, to clear the waiting list of up to 136 families waiting to have their application processed for financial support to purchase a pump. Programme funding now totals $6.97 million over four years from 2012-13 to 2015-16. As at February 2014, the delivery of insulin pumps has now recommenced with 466 insulin pumps now provided under the Programme since it began.</w:t>
      </w:r>
    </w:p>
    <w:p w:rsidR="008831AF" w:rsidRPr="003E1F05" w:rsidRDefault="008831AF" w:rsidP="008831AF">
      <w:r w:rsidRPr="003E1F05">
        <w:t xml:space="preserve">This Review aims to explore long-term measures to maintain the ongoing efficient and effective use of funds under the Programme. JDRF has campaigned since September 2012 to increase funds for insulin pumps and made a joint submission with Diabetes Australia to the Insulin Pump Review. </w:t>
      </w:r>
    </w:p>
    <w:p w:rsidR="008831AF" w:rsidRPr="003E1F05" w:rsidRDefault="008831AF" w:rsidP="008831AF">
      <w:pPr>
        <w:rPr>
          <w:rFonts w:eastAsia="Calibri"/>
          <w:szCs w:val="24"/>
        </w:rPr>
      </w:pPr>
      <w:proofErr w:type="gramStart"/>
      <w:r w:rsidRPr="003E1F05">
        <w:rPr>
          <w:rFonts w:eastAsia="Calibri"/>
          <w:szCs w:val="24"/>
        </w:rPr>
        <w:t xml:space="preserve">According to a survey included in the AIHW report, </w:t>
      </w:r>
      <w:r w:rsidRPr="003E1F05">
        <w:rPr>
          <w:rFonts w:eastAsia="Calibri"/>
          <w:i/>
          <w:szCs w:val="24"/>
        </w:rPr>
        <w:t>Insulin Pump Use in Australia</w:t>
      </w:r>
      <w:r w:rsidRPr="003E1F05">
        <w:rPr>
          <w:rFonts w:eastAsia="Calibri"/>
          <w:szCs w:val="24"/>
        </w:rPr>
        <w:t xml:space="preserve"> (2012b), 88% of respondents indicated that when purchasing their current or previous insulin pump, they received some sort of financial assistance; while the remaining 12% borrowed an insulin pump, paid for the entire cost of the pump themselves, or were unsure of the funding arrangements for their pump.</w:t>
      </w:r>
      <w:proofErr w:type="gramEnd"/>
      <w:r w:rsidRPr="003E1F05">
        <w:rPr>
          <w:rFonts w:eastAsia="Calibri"/>
          <w:szCs w:val="24"/>
        </w:rPr>
        <w:t xml:space="preserve"> Of those who received financial assistance, 97% indicated a private health insurance rebate and around 3% indicated funding through the Insulin Pump Programme or an Australian Government subsidy. </w:t>
      </w:r>
    </w:p>
    <w:p w:rsidR="008831AF" w:rsidRPr="003E1F05" w:rsidRDefault="008831AF" w:rsidP="008831AF">
      <w:pPr>
        <w:rPr>
          <w:szCs w:val="24"/>
        </w:rPr>
      </w:pPr>
      <w:r w:rsidRPr="003E1F05">
        <w:rPr>
          <w:rFonts w:eastAsia="Calibri"/>
          <w:szCs w:val="24"/>
        </w:rPr>
        <w:t xml:space="preserve">Specific aspects of the Programme </w:t>
      </w:r>
      <w:proofErr w:type="gramStart"/>
      <w:r w:rsidRPr="003E1F05">
        <w:rPr>
          <w:rFonts w:eastAsia="Calibri"/>
          <w:szCs w:val="24"/>
        </w:rPr>
        <w:t>are discussed</w:t>
      </w:r>
      <w:proofErr w:type="gramEnd"/>
      <w:r w:rsidRPr="003E1F05">
        <w:rPr>
          <w:rFonts w:eastAsia="Calibri"/>
          <w:szCs w:val="24"/>
        </w:rPr>
        <w:t xml:space="preserve"> further in </w:t>
      </w:r>
      <w:r w:rsidRPr="003E1F05">
        <w:rPr>
          <w:rFonts w:eastAsia="Calibri"/>
          <w:szCs w:val="24"/>
          <w:u w:val="single"/>
        </w:rPr>
        <w:t>Part 4</w:t>
      </w:r>
      <w:r w:rsidRPr="003E1F05">
        <w:rPr>
          <w:rFonts w:eastAsia="Calibri"/>
          <w:szCs w:val="24"/>
        </w:rPr>
        <w:t xml:space="preserve">, </w:t>
      </w:r>
      <w:r w:rsidRPr="003E1F05">
        <w:rPr>
          <w:rFonts w:eastAsia="Calibri"/>
          <w:szCs w:val="24"/>
          <w:u w:val="single"/>
        </w:rPr>
        <w:t>Part 5</w:t>
      </w:r>
      <w:r w:rsidRPr="003E1F05">
        <w:rPr>
          <w:rFonts w:eastAsia="Calibri"/>
          <w:szCs w:val="24"/>
        </w:rPr>
        <w:t xml:space="preserve"> and </w:t>
      </w:r>
      <w:r w:rsidRPr="003E1F05">
        <w:rPr>
          <w:rFonts w:eastAsia="Calibri"/>
          <w:szCs w:val="24"/>
          <w:u w:val="single"/>
        </w:rPr>
        <w:t>Part 6</w:t>
      </w:r>
      <w:r w:rsidRPr="003E1F05">
        <w:rPr>
          <w:rFonts w:eastAsia="Calibri"/>
          <w:szCs w:val="24"/>
        </w:rPr>
        <w:t>.</w:t>
      </w:r>
    </w:p>
    <w:p w:rsidR="008831AF" w:rsidRPr="00D52454" w:rsidRDefault="008831AF" w:rsidP="008831AF">
      <w:pPr>
        <w:pStyle w:val="Heading2"/>
      </w:pPr>
      <w:bookmarkStart w:id="105" w:name="_2.8_Prostheses_List"/>
      <w:bookmarkStart w:id="106" w:name="_2.8_Access_to"/>
      <w:bookmarkStart w:id="107" w:name="_Toc373130841"/>
      <w:bookmarkStart w:id="108" w:name="_Toc381622787"/>
      <w:bookmarkStart w:id="109" w:name="_Toc387664322"/>
      <w:bookmarkEnd w:id="105"/>
      <w:bookmarkEnd w:id="106"/>
      <w:r w:rsidRPr="00D52454">
        <w:t>2.8</w:t>
      </w:r>
      <w:r w:rsidRPr="00D52454">
        <w:tab/>
        <w:t>Access to insulin pumps via private health insurance</w:t>
      </w:r>
      <w:bookmarkEnd w:id="107"/>
      <w:bookmarkEnd w:id="108"/>
      <w:bookmarkEnd w:id="109"/>
    </w:p>
    <w:p w:rsidR="008831AF" w:rsidRPr="00787F54" w:rsidRDefault="008831AF" w:rsidP="008831AF">
      <w:pPr>
        <w:pStyle w:val="Heading3"/>
      </w:pPr>
      <w:bookmarkStart w:id="110" w:name="_Toc373130842"/>
      <w:r w:rsidRPr="00787F54">
        <w:t>2.8.1</w:t>
      </w:r>
      <w:r w:rsidRPr="00787F54">
        <w:tab/>
        <w:t>Prostheses List</w:t>
      </w:r>
      <w:bookmarkEnd w:id="110"/>
    </w:p>
    <w:p w:rsidR="008831AF" w:rsidRPr="003E1F05" w:rsidRDefault="008831AF" w:rsidP="008831AF">
      <w:r w:rsidRPr="003E1F05">
        <w:t xml:space="preserve">Under the </w:t>
      </w:r>
      <w:hyperlink r:id="rId17" w:history="1">
        <w:r w:rsidRPr="003E1F05">
          <w:rPr>
            <w:i/>
            <w:iCs/>
          </w:rPr>
          <w:t>Private Health Insurance Act 2007</w:t>
        </w:r>
      </w:hyperlink>
      <w:r w:rsidRPr="003E1F05">
        <w:t xml:space="preserve">, private health insurers are required to pay mandatory benefits for a range of products on the Prostheses List that are provided as part of an episode of hospital treatment (or hospital substitute treatment) where a Medicare benefit is payable for the associated professional service. There are more than 9,000 products on the Prostheses List including cardiac pacemakers, hip and knee </w:t>
      </w:r>
      <w:r w:rsidRPr="003E1F05">
        <w:lastRenderedPageBreak/>
        <w:t xml:space="preserve">replacements, and intraocular lenses; as well as human tissues, such as human heart valves and corneas. </w:t>
      </w:r>
    </w:p>
    <w:p w:rsidR="008831AF" w:rsidRPr="003E1F05" w:rsidRDefault="008831AF" w:rsidP="008831AF">
      <w:pPr>
        <w:rPr>
          <w:rFonts w:eastAsia="Calibri"/>
          <w:szCs w:val="24"/>
        </w:rPr>
      </w:pPr>
      <w:r w:rsidRPr="003E1F05">
        <w:t>In order to obtain an insulin pump through private health insurance, p</w:t>
      </w:r>
      <w:r w:rsidRPr="003E1F05">
        <w:rPr>
          <w:rFonts w:eastAsia="Calibri"/>
          <w:szCs w:val="24"/>
        </w:rPr>
        <w:t>atients usually have a 12</w:t>
      </w:r>
      <w:r w:rsidRPr="003E1F05">
        <w:rPr>
          <w:rFonts w:eastAsia="Calibri"/>
          <w:szCs w:val="24"/>
        </w:rPr>
        <w:noBreakHyphen/>
        <w:t xml:space="preserve">month waiting period before they are eligible to apply for a benefit from their health insurance provider. </w:t>
      </w:r>
      <w:r w:rsidRPr="003E1F05">
        <w:t xml:space="preserve">Insulin pumps </w:t>
      </w:r>
      <w:proofErr w:type="gramStart"/>
      <w:r w:rsidRPr="003E1F05">
        <w:t>are listed</w:t>
      </w:r>
      <w:proofErr w:type="gramEnd"/>
      <w:r w:rsidRPr="003E1F05">
        <w:t xml:space="preserve"> under Schedule C of the Prostheses List and have a minimum benefit amount listed. </w:t>
      </w:r>
      <w:r w:rsidRPr="003E1F05">
        <w:rPr>
          <w:rFonts w:eastAsia="Calibri"/>
          <w:szCs w:val="24"/>
        </w:rPr>
        <w:t xml:space="preserve">The minimum benefit amount listed on the Prostheses List dictates the minimum benefit insurers are required to pay for a specific insulin pump where the pump is provided as part of an episode of hospital or hospital-substitute treatment during a professional attendance by a consultant physician for which a Medicare benefit is payable (i.e. a certified Type C procedure). Insurers may not pay benefits less than this amount, such as a percentage of the minimum benefit. However, the hospital may charge more for the insulin pump than the minimum benefit and in this case, the remainder would need to </w:t>
      </w:r>
      <w:proofErr w:type="gramStart"/>
      <w:r w:rsidRPr="003E1F05">
        <w:rPr>
          <w:rFonts w:eastAsia="Calibri"/>
          <w:szCs w:val="24"/>
        </w:rPr>
        <w:t>be covered</w:t>
      </w:r>
      <w:proofErr w:type="gramEnd"/>
      <w:r w:rsidRPr="003E1F05">
        <w:rPr>
          <w:rFonts w:eastAsia="Calibri"/>
          <w:szCs w:val="24"/>
        </w:rPr>
        <w:t xml:space="preserve"> by either the insurer or the patient. </w:t>
      </w:r>
    </w:p>
    <w:p w:rsidR="008831AF" w:rsidRPr="003E1F05" w:rsidRDefault="008831AF" w:rsidP="008831AF">
      <w:pPr>
        <w:rPr>
          <w:rFonts w:eastAsia="Calibri"/>
          <w:szCs w:val="24"/>
        </w:rPr>
      </w:pPr>
      <w:r w:rsidRPr="003E1F05">
        <w:rPr>
          <w:rFonts w:eastAsia="Calibri"/>
          <w:szCs w:val="24"/>
        </w:rPr>
        <w:t xml:space="preserve">Insulin pumps fitted in a clinic </w:t>
      </w:r>
      <w:proofErr w:type="gramStart"/>
      <w:r w:rsidRPr="003E1F05">
        <w:rPr>
          <w:rFonts w:eastAsia="Calibri"/>
          <w:szCs w:val="24"/>
        </w:rPr>
        <w:t>are considered</w:t>
      </w:r>
      <w:proofErr w:type="gramEnd"/>
      <w:r w:rsidRPr="003E1F05">
        <w:rPr>
          <w:rFonts w:eastAsia="Calibri"/>
          <w:szCs w:val="24"/>
        </w:rPr>
        <w:t xml:space="preserve"> part of general rather than hospital treatment, and the insurer is not required to pay the minimum benefit for the pump. Some insurers provide cover for insulin pumps as part of general treatment, but the amount covered and level of cover required varies. Some insurers require patients to maintain their cover at a certain level in the intervening years between receiving one insulin pump and the next.</w:t>
      </w:r>
    </w:p>
    <w:p w:rsidR="008831AF" w:rsidRPr="003E1F05" w:rsidRDefault="008831AF" w:rsidP="008831AF">
      <w:r w:rsidRPr="003E1F05">
        <w:rPr>
          <w:rFonts w:eastAsia="Calibri"/>
          <w:szCs w:val="24"/>
        </w:rPr>
        <w:t xml:space="preserve">The benefit amount </w:t>
      </w:r>
      <w:proofErr w:type="gramStart"/>
      <w:r w:rsidRPr="003E1F05">
        <w:rPr>
          <w:rFonts w:eastAsia="Calibri"/>
          <w:szCs w:val="24"/>
        </w:rPr>
        <w:t>is negotiated</w:t>
      </w:r>
      <w:proofErr w:type="gramEnd"/>
      <w:r w:rsidRPr="003E1F05">
        <w:rPr>
          <w:rFonts w:eastAsia="Calibri"/>
          <w:szCs w:val="24"/>
        </w:rPr>
        <w:t xml:space="preserve"> between the insurer and manufacturer of the product, mediated by the Department. </w:t>
      </w:r>
      <w:r w:rsidRPr="003E1F05">
        <w:rPr>
          <w:rFonts w:eastAsia="Calibri"/>
          <w:szCs w:val="24"/>
          <w:u w:val="single"/>
        </w:rPr>
        <w:t>Appendix A</w:t>
      </w:r>
      <w:r w:rsidRPr="003E1F05">
        <w:rPr>
          <w:rFonts w:eastAsia="Calibri"/>
          <w:szCs w:val="24"/>
        </w:rPr>
        <w:t xml:space="preserve"> contains information on insulin pumps available under the Prostheses List as at February 2014 and </w:t>
      </w:r>
      <w:r w:rsidRPr="003E1F05">
        <w:rPr>
          <w:rFonts w:eastAsia="Calibri"/>
          <w:szCs w:val="24"/>
          <w:u w:val="single"/>
        </w:rPr>
        <w:t>Appendix B</w:t>
      </w:r>
      <w:r w:rsidRPr="003E1F05">
        <w:rPr>
          <w:rFonts w:eastAsia="Calibri"/>
          <w:szCs w:val="24"/>
        </w:rPr>
        <w:t xml:space="preserve"> provides information on insulin pumps</w:t>
      </w:r>
      <w:r w:rsidR="00C35E84" w:rsidRPr="003E1F05">
        <w:rPr>
          <w:rFonts w:eastAsia="Calibri"/>
          <w:szCs w:val="24"/>
        </w:rPr>
        <w:t xml:space="preserve"> that </w:t>
      </w:r>
      <w:proofErr w:type="gramStart"/>
      <w:r w:rsidR="00C35E84" w:rsidRPr="003E1F05">
        <w:rPr>
          <w:rFonts w:eastAsia="Calibri"/>
          <w:szCs w:val="24"/>
        </w:rPr>
        <w:t>have been discontinued</w:t>
      </w:r>
      <w:proofErr w:type="gramEnd"/>
      <w:r w:rsidR="00C35E84" w:rsidRPr="003E1F05">
        <w:rPr>
          <w:rFonts w:eastAsia="Calibri"/>
          <w:szCs w:val="24"/>
        </w:rPr>
        <w:t xml:space="preserve"> or are </w:t>
      </w:r>
      <w:r w:rsidRPr="003E1F05">
        <w:rPr>
          <w:rFonts w:eastAsia="Calibri"/>
          <w:szCs w:val="24"/>
        </w:rPr>
        <w:t>no longer available on the Prostheses List.</w:t>
      </w:r>
    </w:p>
    <w:p w:rsidR="008831AF" w:rsidRPr="00787F54" w:rsidRDefault="008831AF" w:rsidP="008831AF">
      <w:pPr>
        <w:pStyle w:val="Heading3"/>
      </w:pPr>
      <w:bookmarkStart w:id="111" w:name="_Toc373130843"/>
      <w:r w:rsidRPr="00787F54">
        <w:t>2.8.2</w:t>
      </w:r>
      <w:r w:rsidRPr="00787F54">
        <w:tab/>
        <w:t>Prostheses List Advisory Committee (PLAC)</w:t>
      </w:r>
      <w:bookmarkEnd w:id="111"/>
    </w:p>
    <w:p w:rsidR="008831AF" w:rsidRPr="003E1F05" w:rsidRDefault="008831AF" w:rsidP="008831AF">
      <w:r w:rsidRPr="003E1F05">
        <w:t xml:space="preserve">The Prostheses List Advisory Committee (PLAC) </w:t>
      </w:r>
      <w:proofErr w:type="gramStart"/>
      <w:r w:rsidRPr="003E1F05">
        <w:t>was established</w:t>
      </w:r>
      <w:proofErr w:type="gramEnd"/>
      <w:r w:rsidRPr="003E1F05">
        <w:t xml:space="preserve"> on 4 October 2010, replacing the Prostheses and Devices Committee. Its primary role is to advise the Minister for Health about the listing of prostheses and their appropriate benefits on the Prostheses List. In making recommendations, the PLAC considers advice from Clinical Advisory Groups, members of the Panel of Clinical Experts and the Negotiating Oversight Committee (Department of Health 2010).</w:t>
      </w:r>
    </w:p>
    <w:p w:rsidR="008831AF" w:rsidRPr="003E1F05" w:rsidRDefault="008831AF" w:rsidP="008831AF">
      <w:r w:rsidRPr="003E1F05">
        <w:t xml:space="preserve">In order to provide advice to the Minister, when considering a new prosthesis listing, the PLAC considers the cost, clinical function, effectiveness and safety of the prosthesis in comparison to other products included on the Prostheses List intended to treat similar clinical conditions. For the item to be listed it must also fit within the classification criteria of a prosthesis as defined in the Department’s </w:t>
      </w:r>
      <w:r w:rsidRPr="003E1F05">
        <w:rPr>
          <w:i/>
        </w:rPr>
        <w:t>Guide to listing and setting benefits for prostheses</w:t>
      </w:r>
      <w:r w:rsidRPr="003E1F05">
        <w:t xml:space="preserve"> (Department of Health 2010).</w:t>
      </w:r>
    </w:p>
    <w:p w:rsidR="008831AF" w:rsidRPr="003E1F05" w:rsidRDefault="008831AF" w:rsidP="008831AF">
      <w:r w:rsidRPr="003E1F05">
        <w:t xml:space="preserve">The Prostheses List arrangements and the PLAC </w:t>
      </w:r>
      <w:proofErr w:type="gramStart"/>
      <w:r w:rsidRPr="003E1F05">
        <w:t>were established</w:t>
      </w:r>
      <w:proofErr w:type="gramEnd"/>
      <w:r w:rsidRPr="003E1F05">
        <w:t xml:space="preserve"> to control inflation in private health insurance benefits paid for prostheses. The Prostheses List plays an important role in ensuring the sustainability of the Australian private health insurance </w:t>
      </w:r>
      <w:r w:rsidRPr="003E1F05">
        <w:lastRenderedPageBreak/>
        <w:t>system, and helps to achieve the Government’s policy objective of ensuring private health insurance remains affordable and accessible.</w:t>
      </w:r>
    </w:p>
    <w:p w:rsidR="008831AF" w:rsidRPr="003E1F05" w:rsidRDefault="008831AF" w:rsidP="008831AF">
      <w:r w:rsidRPr="003E1F05">
        <w:t>The PLAC is comprised of an independent Chair, with members having expertise in clinical practice, health insurance, consumer health, health economics, health policy, private hospitals, and the medical device industry (Department of Health 2010).</w:t>
      </w:r>
    </w:p>
    <w:p w:rsidR="008831AF" w:rsidRPr="003E1F05" w:rsidRDefault="008831AF" w:rsidP="008831AF">
      <w:r w:rsidRPr="003E1F05">
        <w:t>Since the establishment of PLAC in 2010, there has been an increasing focus on the comparative effectiveness for new listings on the Prostheses List, which includes the clinical advantages over the already listed comparators in the therapeutic group.</w:t>
      </w:r>
      <w:bookmarkEnd w:id="71"/>
      <w:r w:rsidRPr="003E1F05">
        <w:t xml:space="preserve"> </w:t>
      </w:r>
    </w:p>
    <w:p w:rsidR="008831AF" w:rsidRPr="00D52454" w:rsidRDefault="008831AF" w:rsidP="008831AF">
      <w:pPr>
        <w:pStyle w:val="Heading2"/>
        <w:keepNext/>
        <w:keepLines/>
      </w:pPr>
      <w:bookmarkStart w:id="112" w:name="_2.9_Regulation_of"/>
      <w:bookmarkStart w:id="113" w:name="_Toc372542365"/>
      <w:bookmarkStart w:id="114" w:name="_Toc381622788"/>
      <w:bookmarkStart w:id="115" w:name="_Toc387664323"/>
      <w:bookmarkEnd w:id="112"/>
      <w:r w:rsidRPr="00D52454">
        <w:t>2.9</w:t>
      </w:r>
      <w:r w:rsidRPr="00D52454">
        <w:tab/>
        <w:t>Regulation of insulin pumps in Australia</w:t>
      </w:r>
      <w:bookmarkEnd w:id="113"/>
      <w:bookmarkEnd w:id="114"/>
      <w:bookmarkEnd w:id="115"/>
    </w:p>
    <w:p w:rsidR="008831AF" w:rsidRPr="003E1F05" w:rsidRDefault="008831AF" w:rsidP="008831AF">
      <w:pPr>
        <w:keepNext/>
        <w:keepLines/>
      </w:pPr>
      <w:r w:rsidRPr="003E1F05">
        <w:t xml:space="preserve">The TGA is Australia's regulatory authority for therapeutic goods. Medical devices must be included on the Australian Register of Therapeutic Goods (ARTG) before they </w:t>
      </w:r>
      <w:proofErr w:type="gramStart"/>
      <w:r w:rsidRPr="003E1F05">
        <w:t>may be supplied</w:t>
      </w:r>
      <w:proofErr w:type="gramEnd"/>
      <w:r w:rsidRPr="003E1F05">
        <w:t xml:space="preserve"> in, or exported from, Australia.</w:t>
      </w:r>
    </w:p>
    <w:p w:rsidR="008831AF" w:rsidRPr="003E1F05" w:rsidRDefault="008831AF" w:rsidP="008831AF">
      <w:pPr>
        <w:rPr>
          <w:szCs w:val="24"/>
        </w:rPr>
      </w:pPr>
      <w:r w:rsidRPr="003E1F05">
        <w:rPr>
          <w:szCs w:val="24"/>
        </w:rPr>
        <w:t>There are currently six insulin pump listings included on the ARTG (</w:t>
      </w:r>
      <w:r w:rsidRPr="003E1F05">
        <w:rPr>
          <w:szCs w:val="24"/>
          <w:u w:val="single"/>
        </w:rPr>
        <w:t>Table 1</w:t>
      </w:r>
      <w:r w:rsidRPr="003E1F05">
        <w:rPr>
          <w:szCs w:val="24"/>
        </w:rPr>
        <w:t xml:space="preserve">). Each ARTG entry covers all models of ambulatory insulin infusion pumps made by that manufacturer and supplied by that sponsor. </w:t>
      </w:r>
    </w:p>
    <w:p w:rsidR="008831AF" w:rsidRPr="003E1F05" w:rsidRDefault="008831AF" w:rsidP="008831AF">
      <w:pPr>
        <w:keepNext/>
        <w:keepLines/>
        <w:rPr>
          <w:b/>
        </w:rPr>
      </w:pPr>
      <w:proofErr w:type="gramStart"/>
      <w:r w:rsidRPr="003E1F05">
        <w:rPr>
          <w:b/>
        </w:rPr>
        <w:t>Table 1.</w:t>
      </w:r>
      <w:proofErr w:type="gramEnd"/>
      <w:r w:rsidRPr="003E1F05">
        <w:rPr>
          <w:b/>
        </w:rPr>
        <w:t xml:space="preserve"> Insulin pumps on the ARTG as of 1 November 2013.</w:t>
      </w:r>
    </w:p>
    <w:tbl>
      <w:tblPr>
        <w:tblW w:w="9210" w:type="dxa"/>
        <w:tblLayout w:type="fixed"/>
        <w:tblLook w:val="00A0" w:firstRow="1" w:lastRow="0" w:firstColumn="1" w:lastColumn="0" w:noHBand="0" w:noVBand="0"/>
      </w:tblPr>
      <w:tblGrid>
        <w:gridCol w:w="1242"/>
        <w:gridCol w:w="2127"/>
        <w:gridCol w:w="2376"/>
        <w:gridCol w:w="1574"/>
        <w:gridCol w:w="1891"/>
      </w:tblGrid>
      <w:tr w:rsidR="008831AF" w:rsidRPr="00787F54" w:rsidTr="008831AF">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ARTG No.</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Sponsor</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Manufacturer</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Classification</w:t>
            </w:r>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b/>
                <w:bCs/>
                <w:sz w:val="20"/>
              </w:rPr>
            </w:pPr>
            <w:r w:rsidRPr="003E1F05">
              <w:rPr>
                <w:b/>
                <w:bCs/>
                <w:sz w:val="20"/>
              </w:rPr>
              <w:t>Global Medical Device Nomenclature Term</w:t>
            </w:r>
          </w:p>
        </w:tc>
      </w:tr>
      <w:tr w:rsidR="008831AF" w:rsidRPr="00787F54" w:rsidTr="008831AF">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98469</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Medical Specialties Australia Pty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proofErr w:type="spellStart"/>
            <w:r w:rsidRPr="003E1F05">
              <w:rPr>
                <w:sz w:val="20"/>
              </w:rPr>
              <w:t>Smiths</w:t>
            </w:r>
            <w:proofErr w:type="spellEnd"/>
            <w:r w:rsidRPr="003E1F05">
              <w:rPr>
                <w:sz w:val="20"/>
              </w:rPr>
              <w:t xml:space="preserve"> Medical ASD Incorporated</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676"/>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96120</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Australasian Medical &amp; Scientific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Animas Corporation</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643"/>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169095</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Closing the Loop Pty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proofErr w:type="spellStart"/>
            <w:r w:rsidRPr="003E1F05">
              <w:rPr>
                <w:sz w:val="20"/>
              </w:rPr>
              <w:t>Insulet</w:t>
            </w:r>
            <w:proofErr w:type="spellEnd"/>
            <w:r w:rsidRPr="003E1F05">
              <w:rPr>
                <w:sz w:val="20"/>
              </w:rPr>
              <w:t xml:space="preserve"> Corporation</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597"/>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95763</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Medtronic Australasia Pty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Medtronic </w:t>
            </w:r>
            <w:proofErr w:type="spellStart"/>
            <w:r w:rsidRPr="003E1F05">
              <w:rPr>
                <w:sz w:val="20"/>
              </w:rPr>
              <w:t>Minimed</w:t>
            </w:r>
            <w:proofErr w:type="spellEnd"/>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538"/>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212526</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Roche Diagnostics Australia Pty Limited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Roche Diagnostics GmbH Diabetes Care</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pump, insulin, ambulatory</w:t>
            </w:r>
          </w:p>
        </w:tc>
      </w:tr>
      <w:tr w:rsidR="008831AF" w:rsidRPr="00787F54" w:rsidTr="008831AF">
        <w:trPr>
          <w:trHeight w:val="538"/>
        </w:trPr>
        <w:tc>
          <w:tcPr>
            <w:tcW w:w="1242"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99868</w:t>
            </w:r>
          </w:p>
        </w:tc>
        <w:tc>
          <w:tcPr>
            <w:tcW w:w="2127"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Managing Diabetes Pty Ltd</w:t>
            </w:r>
          </w:p>
        </w:tc>
        <w:tc>
          <w:tcPr>
            <w:tcW w:w="2376"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SOOIL Development Co Ltd</w:t>
            </w:r>
          </w:p>
        </w:tc>
        <w:tc>
          <w:tcPr>
            <w:tcW w:w="1574"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 xml:space="preserve">Class </w:t>
            </w:r>
            <w:proofErr w:type="spellStart"/>
            <w:r w:rsidRPr="003E1F05">
              <w:rPr>
                <w:sz w:val="20"/>
              </w:rPr>
              <w:t>IIb</w:t>
            </w:r>
            <w:proofErr w:type="spellEnd"/>
          </w:p>
        </w:tc>
        <w:tc>
          <w:tcPr>
            <w:tcW w:w="1891" w:type="dxa"/>
            <w:tcBorders>
              <w:top w:val="single" w:sz="6" w:space="0" w:color="00323F"/>
              <w:left w:val="single" w:sz="6" w:space="0" w:color="00323F"/>
              <w:bottom w:val="single" w:sz="6" w:space="0" w:color="00323F"/>
              <w:right w:val="single" w:sz="6" w:space="0" w:color="00323F"/>
            </w:tcBorders>
            <w:vAlign w:val="center"/>
          </w:tcPr>
          <w:p w:rsidR="008831AF" w:rsidRPr="00787F54" w:rsidRDefault="008831AF" w:rsidP="008831AF">
            <w:pPr>
              <w:keepNext/>
              <w:keepLines/>
              <w:jc w:val="left"/>
              <w:rPr>
                <w:sz w:val="20"/>
              </w:rPr>
            </w:pPr>
            <w:r w:rsidRPr="003E1F05">
              <w:rPr>
                <w:sz w:val="20"/>
              </w:rPr>
              <w:t>Infusion administration set, insulin pump</w:t>
            </w:r>
          </w:p>
        </w:tc>
      </w:tr>
    </w:tbl>
    <w:p w:rsidR="008831AF" w:rsidRPr="003E1F05" w:rsidRDefault="008831AF" w:rsidP="008831AF">
      <w:pPr>
        <w:keepNext/>
        <w:keepLines/>
        <w:rPr>
          <w:szCs w:val="24"/>
        </w:rPr>
      </w:pPr>
    </w:p>
    <w:p w:rsidR="008831AF" w:rsidRPr="003E1F05" w:rsidRDefault="008831AF" w:rsidP="008831AF">
      <w:pPr>
        <w:rPr>
          <w:szCs w:val="24"/>
        </w:rPr>
      </w:pPr>
      <w:r w:rsidRPr="003E1F05">
        <w:rPr>
          <w:szCs w:val="24"/>
        </w:rPr>
        <w:t xml:space="preserve">Class </w:t>
      </w:r>
      <w:proofErr w:type="spellStart"/>
      <w:r w:rsidRPr="003E1F05">
        <w:rPr>
          <w:szCs w:val="24"/>
        </w:rPr>
        <w:t>IIb</w:t>
      </w:r>
      <w:proofErr w:type="spellEnd"/>
      <w:r w:rsidRPr="003E1F05">
        <w:rPr>
          <w:szCs w:val="24"/>
        </w:rPr>
        <w:t xml:space="preserve"> devices such as insulin pumps are required to meet certain criteria to be included on the ARTG. This requires the manufacturer to implement and have assessed a Quality Management System in accordance with the ISO 13485:2003 standard for the design, production, packaging, labelling, and final inspection of the devices. The </w:t>
      </w:r>
      <w:r w:rsidRPr="003E1F05">
        <w:rPr>
          <w:szCs w:val="24"/>
        </w:rPr>
        <w:lastRenderedPageBreak/>
        <w:t xml:space="preserve">manufacturer must make a </w:t>
      </w:r>
      <w:r w:rsidRPr="003E1F05">
        <w:rPr>
          <w:i/>
          <w:szCs w:val="24"/>
        </w:rPr>
        <w:t>declaration of conformity</w:t>
      </w:r>
      <w:r w:rsidRPr="003E1F05">
        <w:rPr>
          <w:szCs w:val="24"/>
        </w:rPr>
        <w:t>, which includes a statement that the insulin pump complies with the provisions of the Essential Principles. This includes the requirement that the device is fit for purpose, designed considering the current 'state-of-the-art', and that sufficient clinical evidence exists for the device. A full list of the Essential Principles</w:t>
      </w:r>
      <w:r w:rsidRPr="003E1F05" w:rsidDel="00C33AFC">
        <w:rPr>
          <w:szCs w:val="24"/>
        </w:rPr>
        <w:t xml:space="preserve"> </w:t>
      </w:r>
      <w:proofErr w:type="gramStart"/>
      <w:r w:rsidRPr="003E1F05">
        <w:rPr>
          <w:szCs w:val="24"/>
        </w:rPr>
        <w:t>can be found</w:t>
      </w:r>
      <w:proofErr w:type="gramEnd"/>
      <w:r w:rsidRPr="003E1F05">
        <w:rPr>
          <w:szCs w:val="24"/>
        </w:rPr>
        <w:t xml:space="preserve"> in </w:t>
      </w:r>
      <w:r w:rsidRPr="003E1F05">
        <w:rPr>
          <w:i/>
          <w:szCs w:val="24"/>
        </w:rPr>
        <w:t xml:space="preserve">Schedule 1 </w:t>
      </w:r>
      <w:r w:rsidRPr="003E1F05">
        <w:rPr>
          <w:szCs w:val="24"/>
        </w:rPr>
        <w:t>of the</w:t>
      </w:r>
      <w:r w:rsidRPr="003E1F05">
        <w:rPr>
          <w:i/>
          <w:szCs w:val="24"/>
        </w:rPr>
        <w:t xml:space="preserve"> Therapeutic Goods (Medical Devices) Regulations 2002</w:t>
      </w:r>
      <w:r w:rsidRPr="003E1F05">
        <w:rPr>
          <w:szCs w:val="24"/>
        </w:rPr>
        <w:t>.</w:t>
      </w:r>
    </w:p>
    <w:p w:rsidR="008831AF" w:rsidRPr="003E1F05" w:rsidRDefault="008831AF" w:rsidP="008831AF">
      <w:r w:rsidRPr="003E1F05">
        <w:t xml:space="preserve">Generally, the TGA would not conduct any specific reviews of an insulin pump prior to inclusion of the device on the ARTG. This type of device </w:t>
      </w:r>
      <w:proofErr w:type="gramStart"/>
      <w:r w:rsidRPr="003E1F05">
        <w:t>is not required</w:t>
      </w:r>
      <w:proofErr w:type="gramEnd"/>
      <w:r w:rsidRPr="003E1F05">
        <w:t xml:space="preserve"> to undergo a pre-market application audit of product or technical information by the TGA. </w:t>
      </w:r>
    </w:p>
    <w:p w:rsidR="008831AF" w:rsidRPr="003E1F05" w:rsidRDefault="008831AF" w:rsidP="008831AF">
      <w:pPr>
        <w:rPr>
          <w:szCs w:val="24"/>
        </w:rPr>
      </w:pPr>
      <w:r w:rsidRPr="003E1F05">
        <w:rPr>
          <w:szCs w:val="24"/>
        </w:rPr>
        <w:t xml:space="preserve">The TGA's website contains the Database of Adverse Event Notifications (DAEN) and the </w:t>
      </w:r>
      <w:r w:rsidRPr="003E1F05">
        <w:t>System for Australian Recall Actions (SARA)</w:t>
      </w:r>
      <w:r w:rsidRPr="003E1F05">
        <w:rPr>
          <w:szCs w:val="24"/>
        </w:rPr>
        <w:t>, which contains information on adverse events and</w:t>
      </w:r>
      <w:r w:rsidRPr="003E1F05">
        <w:t xml:space="preserve"> recall actions</w:t>
      </w:r>
      <w:r w:rsidRPr="003E1F05">
        <w:rPr>
          <w:szCs w:val="24"/>
        </w:rPr>
        <w:t>, respectively, for medical devices in Australia since 1 July 2012</w:t>
      </w:r>
      <w:r w:rsidRPr="003E1F05">
        <w:t xml:space="preserve">. </w:t>
      </w:r>
    </w:p>
    <w:p w:rsidR="008831AF" w:rsidRPr="003E1F05" w:rsidRDefault="008831AF" w:rsidP="008831AF">
      <w:r w:rsidRPr="003E1F05">
        <w:rPr>
          <w:szCs w:val="24"/>
        </w:rPr>
        <w:t xml:space="preserve">Information regarding adverse events or recalls of insulin pumps is included in </w:t>
      </w:r>
      <w:r w:rsidRPr="003E1F05">
        <w:rPr>
          <w:u w:val="single"/>
        </w:rPr>
        <w:t>Appendix A</w:t>
      </w:r>
      <w:r w:rsidRPr="003E1F05">
        <w:t>.</w:t>
      </w:r>
    </w:p>
    <w:p w:rsidR="008831AF" w:rsidRPr="003E1F05" w:rsidRDefault="008831AF" w:rsidP="008831AF">
      <w:r w:rsidRPr="003E1F05">
        <w:br w:type="page"/>
      </w:r>
    </w:p>
    <w:p w:rsidR="008831AF" w:rsidRPr="00854561" w:rsidRDefault="008831AF" w:rsidP="008831AF">
      <w:pPr>
        <w:pStyle w:val="Heading1"/>
      </w:pPr>
      <w:bookmarkStart w:id="116" w:name="_Part_4_–_1"/>
      <w:bookmarkStart w:id="117" w:name="_Toc373482044"/>
      <w:bookmarkStart w:id="118" w:name="_Toc381622789"/>
      <w:bookmarkStart w:id="119" w:name="_Toc387664324"/>
      <w:bookmarkEnd w:id="116"/>
      <w:r>
        <w:lastRenderedPageBreak/>
        <w:t>Part 3</w:t>
      </w:r>
      <w:r>
        <w:br/>
        <w:t>Stakeholder consultation</w:t>
      </w:r>
      <w:bookmarkEnd w:id="117"/>
      <w:r>
        <w:t xml:space="preserve"> outcomes</w:t>
      </w:r>
      <w:bookmarkEnd w:id="118"/>
      <w:bookmarkEnd w:id="119"/>
    </w:p>
    <w:p w:rsidR="008831AF" w:rsidRPr="00D52454" w:rsidRDefault="008831AF" w:rsidP="008831AF">
      <w:pPr>
        <w:pStyle w:val="Heading2"/>
      </w:pPr>
      <w:bookmarkStart w:id="120" w:name="_Toc373482045"/>
      <w:bookmarkStart w:id="121" w:name="_Toc381622790"/>
      <w:bookmarkStart w:id="122" w:name="_Toc387664325"/>
      <w:r w:rsidRPr="00D52454">
        <w:t>3.1</w:t>
      </w:r>
      <w:r w:rsidRPr="00D52454">
        <w:tab/>
        <w:t>Public consultation processes</w:t>
      </w:r>
      <w:bookmarkEnd w:id="120"/>
      <w:bookmarkEnd w:id="121"/>
      <w:bookmarkEnd w:id="122"/>
    </w:p>
    <w:p w:rsidR="008831AF" w:rsidRPr="003E1F05" w:rsidRDefault="008831AF" w:rsidP="008831AF">
      <w:r w:rsidRPr="003E1F05">
        <w:t xml:space="preserve">The public consultation processes involved three main milestones: </w:t>
      </w:r>
    </w:p>
    <w:p w:rsidR="008831AF" w:rsidRPr="003E1F05" w:rsidRDefault="008831AF" w:rsidP="008831AF">
      <w:pPr>
        <w:pStyle w:val="ListParagraph"/>
        <w:numPr>
          <w:ilvl w:val="0"/>
          <w:numId w:val="20"/>
        </w:numPr>
      </w:pPr>
      <w:r w:rsidRPr="003E1F05">
        <w:t>a written public submission process addressing the Terms of Reference;</w:t>
      </w:r>
    </w:p>
    <w:p w:rsidR="008831AF" w:rsidRPr="003E1F05" w:rsidRDefault="008831AF" w:rsidP="008831AF">
      <w:pPr>
        <w:pStyle w:val="ListParagraph"/>
        <w:numPr>
          <w:ilvl w:val="0"/>
          <w:numId w:val="20"/>
        </w:numPr>
      </w:pPr>
      <w:r w:rsidRPr="003E1F05">
        <w:t xml:space="preserve">a Stakeholder Forum; and </w:t>
      </w:r>
    </w:p>
    <w:p w:rsidR="008831AF" w:rsidRPr="003E1F05" w:rsidRDefault="008831AF" w:rsidP="008831AF">
      <w:pPr>
        <w:pStyle w:val="ListParagraph"/>
        <w:numPr>
          <w:ilvl w:val="0"/>
          <w:numId w:val="20"/>
        </w:numPr>
      </w:pPr>
      <w:proofErr w:type="gramStart"/>
      <w:r w:rsidRPr="003E1F05">
        <w:t>public</w:t>
      </w:r>
      <w:proofErr w:type="gramEnd"/>
      <w:r w:rsidRPr="003E1F05">
        <w:t xml:space="preserve"> consultation on the draft Insulin Pumps Report.</w:t>
      </w:r>
    </w:p>
    <w:p w:rsidR="008831AF" w:rsidRPr="003E1F05" w:rsidRDefault="008831AF" w:rsidP="008831AF">
      <w:pPr>
        <w:rPr>
          <w:rFonts w:asciiTheme="majorHAnsi" w:hAnsiTheme="majorHAnsi"/>
        </w:rPr>
      </w:pPr>
      <w:r w:rsidRPr="003E1F05">
        <w:t xml:space="preserve">An Internal Working Group and an expert Reference Group </w:t>
      </w:r>
      <w:proofErr w:type="gramStart"/>
      <w:r w:rsidRPr="003E1F05">
        <w:t>were established</w:t>
      </w:r>
      <w:proofErr w:type="gramEnd"/>
      <w:r w:rsidRPr="003E1F05">
        <w:t xml:space="preserve"> by the </w:t>
      </w:r>
      <w:r w:rsidRPr="003E1F05">
        <w:rPr>
          <w:rFonts w:asciiTheme="majorHAnsi" w:hAnsiTheme="majorHAnsi"/>
        </w:rPr>
        <w:t xml:space="preserve">Department to provide advice and information to the Diabetes Review. </w:t>
      </w:r>
    </w:p>
    <w:p w:rsidR="008831AF" w:rsidRPr="003E1F05" w:rsidRDefault="008831AF" w:rsidP="008831A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i/>
        </w:rPr>
      </w:pPr>
      <w:r w:rsidRPr="003E1F05">
        <w:rPr>
          <w:rFonts w:asciiTheme="majorHAnsi" w:hAnsiTheme="majorHAnsi"/>
          <w:b/>
          <w:i/>
        </w:rPr>
        <w:t>Disclaimer</w:t>
      </w:r>
      <w:r w:rsidRPr="003E1F05">
        <w:rPr>
          <w:rFonts w:asciiTheme="majorHAnsi" w:hAnsiTheme="majorHAnsi"/>
          <w:i/>
        </w:rPr>
        <w:t xml:space="preserve">: </w:t>
      </w:r>
      <w:r w:rsidRPr="003E1F05">
        <w:rPr>
          <w:rFonts w:asciiTheme="majorHAnsi" w:hAnsiTheme="majorHAnsi"/>
          <w:i/>
          <w:u w:val="single"/>
        </w:rPr>
        <w:t>Parts 3.2–3.4</w:t>
      </w:r>
      <w:r w:rsidRPr="003E1F05">
        <w:rPr>
          <w:rFonts w:asciiTheme="majorHAnsi" w:hAnsiTheme="majorHAnsi"/>
          <w:i/>
        </w:rPr>
        <w:t xml:space="preserve"> </w:t>
      </w:r>
      <w:proofErr w:type="gramStart"/>
      <w:r w:rsidRPr="003E1F05">
        <w:rPr>
          <w:rFonts w:asciiTheme="majorHAnsi" w:hAnsiTheme="majorHAnsi"/>
          <w:i/>
        </w:rPr>
        <w:t xml:space="preserve">are </w:t>
      </w:r>
      <w:r w:rsidRPr="003E1F05">
        <w:rPr>
          <w:rFonts w:asciiTheme="majorHAnsi" w:hAnsiTheme="majorHAnsi"/>
          <w:i/>
          <w:szCs w:val="24"/>
        </w:rPr>
        <w:t>intended</w:t>
      </w:r>
      <w:proofErr w:type="gramEnd"/>
      <w:r w:rsidRPr="003E1F05">
        <w:rPr>
          <w:rFonts w:asciiTheme="majorHAnsi" w:hAnsiTheme="majorHAnsi"/>
          <w:i/>
          <w:szCs w:val="24"/>
        </w:rPr>
        <w:t xml:space="preserve"> to provide a broad summary of the views expressed by stakeholders and only information provided in the submissions or at the Stakeholder Forum has been included. No attempt </w:t>
      </w:r>
      <w:proofErr w:type="gramStart"/>
      <w:r w:rsidRPr="003E1F05">
        <w:rPr>
          <w:rFonts w:asciiTheme="majorHAnsi" w:hAnsiTheme="majorHAnsi"/>
          <w:i/>
          <w:szCs w:val="24"/>
        </w:rPr>
        <w:t>was made</w:t>
      </w:r>
      <w:proofErr w:type="gramEnd"/>
      <w:r w:rsidRPr="003E1F05">
        <w:rPr>
          <w:rFonts w:asciiTheme="majorHAnsi" w:hAnsiTheme="majorHAnsi"/>
          <w:i/>
          <w:szCs w:val="24"/>
        </w:rPr>
        <w:t xml:space="preserve"> to reach consensus and the views and opinions should not be considered as medical advice or the views of the Department. This Summary, along with all other comments contributed, </w:t>
      </w:r>
      <w:proofErr w:type="gramStart"/>
      <w:r w:rsidRPr="003E1F05">
        <w:rPr>
          <w:rFonts w:asciiTheme="majorHAnsi" w:hAnsiTheme="majorHAnsi"/>
          <w:i/>
          <w:szCs w:val="24"/>
        </w:rPr>
        <w:t>will be provided</w:t>
      </w:r>
      <w:proofErr w:type="gramEnd"/>
      <w:r w:rsidRPr="003E1F05">
        <w:rPr>
          <w:rFonts w:asciiTheme="majorHAnsi" w:hAnsiTheme="majorHAnsi"/>
          <w:i/>
          <w:szCs w:val="24"/>
        </w:rPr>
        <w:t xml:space="preserve"> to the Diabetes Review Reference Group for consideration.</w:t>
      </w:r>
    </w:p>
    <w:p w:rsidR="008831AF" w:rsidRPr="00D52454" w:rsidRDefault="008831AF" w:rsidP="008831AF">
      <w:pPr>
        <w:pStyle w:val="Heading2"/>
      </w:pPr>
      <w:bookmarkStart w:id="123" w:name="_3.2.1_Key_issues"/>
      <w:bookmarkStart w:id="124" w:name="_3.2_Key_issues"/>
      <w:bookmarkStart w:id="125" w:name="_Toc373482047"/>
      <w:bookmarkStart w:id="126" w:name="_Toc381622791"/>
      <w:bookmarkStart w:id="127" w:name="_Toc387664326"/>
      <w:bookmarkEnd w:id="123"/>
      <w:bookmarkEnd w:id="124"/>
      <w:r w:rsidRPr="00D52454">
        <w:t>3.2</w:t>
      </w:r>
      <w:r w:rsidRPr="00D52454">
        <w:tab/>
        <w:t>Key issues raised in written submissions by stakeholders</w:t>
      </w:r>
      <w:bookmarkEnd w:id="125"/>
      <w:bookmarkEnd w:id="126"/>
      <w:bookmarkEnd w:id="127"/>
    </w:p>
    <w:p w:rsidR="008831AF" w:rsidRPr="003E1F05" w:rsidRDefault="008831AF" w:rsidP="008831AF">
      <w:pPr>
        <w:keepNext/>
        <w:keepLines/>
        <w:widowControl w:val="0"/>
        <w:numPr>
          <w:ilvl w:val="0"/>
          <w:numId w:val="4"/>
        </w:numPr>
        <w:spacing w:after="120"/>
        <w:ind w:left="567" w:hanging="567"/>
        <w:rPr>
          <w:szCs w:val="24"/>
        </w:rPr>
      </w:pPr>
      <w:r w:rsidRPr="003E1F05">
        <w:rPr>
          <w:szCs w:val="24"/>
        </w:rPr>
        <w:t xml:space="preserve">Stakeholders were unanimously supportive of the advantages of insulin pump therapy. Any restrictions to current access arrangements </w:t>
      </w:r>
      <w:proofErr w:type="gramStart"/>
      <w:r w:rsidRPr="003E1F05">
        <w:rPr>
          <w:szCs w:val="24"/>
        </w:rPr>
        <w:t>would be strongly opposed</w:t>
      </w:r>
      <w:proofErr w:type="gramEnd"/>
      <w:r w:rsidRPr="003E1F05">
        <w:rPr>
          <w:szCs w:val="24"/>
        </w:rPr>
        <w:t>.</w:t>
      </w:r>
    </w:p>
    <w:p w:rsidR="008831AF" w:rsidRPr="003E1F05" w:rsidRDefault="008831AF" w:rsidP="008831AF">
      <w:pPr>
        <w:numPr>
          <w:ilvl w:val="0"/>
          <w:numId w:val="4"/>
        </w:numPr>
        <w:ind w:left="567" w:hanging="567"/>
      </w:pPr>
      <w:r w:rsidRPr="003E1F05">
        <w:t xml:space="preserve">Consumers and consumer groups strongly expressed that transitioning from multiple daily injections to insulin pump therapy provides a significant improvement in the quality of life of paediatric type </w:t>
      </w:r>
      <w:proofErr w:type="gramStart"/>
      <w:r w:rsidRPr="003E1F05">
        <w:t>1</w:t>
      </w:r>
      <w:proofErr w:type="gramEnd"/>
      <w:r w:rsidRPr="003E1F05">
        <w:t xml:space="preserve"> diabetes patients, including a reduction in physical and mental stress, and greater independence and flexibility for the child and family. In terms of clinical outcomes, this includes lower HbA</w:t>
      </w:r>
      <w:r w:rsidRPr="003E1F05">
        <w:rPr>
          <w:vertAlign w:val="subscript"/>
        </w:rPr>
        <w:t>1c</w:t>
      </w:r>
      <w:r w:rsidRPr="003E1F05">
        <w:t xml:space="preserve"> levels, stable blood glucose levels, and reduced frequency of severe hypoglycaemic attacks. </w:t>
      </w:r>
    </w:p>
    <w:p w:rsidR="008831AF" w:rsidRPr="003E1F05" w:rsidRDefault="008831AF" w:rsidP="008831AF">
      <w:pPr>
        <w:numPr>
          <w:ilvl w:val="0"/>
          <w:numId w:val="4"/>
        </w:numPr>
        <w:ind w:left="567" w:hanging="567"/>
      </w:pPr>
      <w:r w:rsidRPr="003E1F05">
        <w:t xml:space="preserve">Consumers and consumer groups expressed strong support for the continuation of the Insulin Pump Programme, including funding to alleviate the waiting list (which has now been provided, see </w:t>
      </w:r>
      <w:r w:rsidRPr="003E1F05">
        <w:rPr>
          <w:u w:val="single"/>
        </w:rPr>
        <w:t xml:space="preserve">Part </w:t>
      </w:r>
      <w:r w:rsidRPr="003E1F05">
        <w:rPr>
          <w:rFonts w:eastAsia="Calibri"/>
          <w:u w:val="single"/>
        </w:rPr>
        <w:t>2.7.4</w:t>
      </w:r>
      <w:r w:rsidRPr="003E1F05">
        <w:t xml:space="preserve"> for further information). Consumers and consumer groups also supported extension of the Programme to include low</w:t>
      </w:r>
      <w:r w:rsidRPr="003E1F05">
        <w:noBreakHyphen/>
        <w:t xml:space="preserve">income adults, or at least to continue subsidies for current paediatric patients after transitioning into adulthood. </w:t>
      </w:r>
    </w:p>
    <w:p w:rsidR="008831AF" w:rsidRPr="003E1F05" w:rsidRDefault="008831AF" w:rsidP="008831AF">
      <w:pPr>
        <w:numPr>
          <w:ilvl w:val="0"/>
          <w:numId w:val="4"/>
        </w:numPr>
        <w:ind w:left="567" w:hanging="567"/>
      </w:pPr>
      <w:r w:rsidRPr="003E1F05">
        <w:t>Consumers, consumer groups, industry organisations and sponsors expressed that improvements in glycaemic control, including lower HbA</w:t>
      </w:r>
      <w:r w:rsidRPr="003E1F05">
        <w:rPr>
          <w:vertAlign w:val="subscript"/>
        </w:rPr>
        <w:t>1c</w:t>
      </w:r>
      <w:r w:rsidRPr="003E1F05">
        <w:t xml:space="preserve"> levels, from insulin pump therapy may reduce long-term diabetes-related complication rates. Lifetime use may improve the cost</w:t>
      </w:r>
      <w:r w:rsidRPr="003E1F05">
        <w:noBreakHyphen/>
        <w:t>effectiveness ratio of an insulin pump when the long</w:t>
      </w:r>
      <w:r w:rsidRPr="003E1F05">
        <w:noBreakHyphen/>
        <w:t>term health and quality of life improvements are considered.</w:t>
      </w:r>
    </w:p>
    <w:p w:rsidR="008831AF" w:rsidRPr="00787F54" w:rsidRDefault="008831AF" w:rsidP="008831AF">
      <w:pPr>
        <w:pStyle w:val="Heading5"/>
        <w:keepNext/>
        <w:keepLines/>
        <w:rPr>
          <w:rFonts w:eastAsia="Calibri"/>
        </w:rPr>
      </w:pPr>
      <w:bookmarkStart w:id="128" w:name="_Toc373482048"/>
      <w:r w:rsidRPr="00787F54">
        <w:rPr>
          <w:rFonts w:eastAsia="Calibri"/>
        </w:rPr>
        <w:lastRenderedPageBreak/>
        <w:t>Breakdown of submissions by stakeholder type:</w:t>
      </w:r>
      <w:bookmarkEnd w:id="128"/>
    </w:p>
    <w:tbl>
      <w:tblPr>
        <w:tblW w:w="5000" w:type="pct"/>
        <w:tblLook w:val="00A0" w:firstRow="1" w:lastRow="0" w:firstColumn="1" w:lastColumn="0" w:noHBand="0" w:noVBand="0"/>
      </w:tblPr>
      <w:tblGrid>
        <w:gridCol w:w="4655"/>
        <w:gridCol w:w="4611"/>
      </w:tblGrid>
      <w:tr w:rsidR="008831AF" w:rsidRPr="00787F54" w:rsidTr="008831AF">
        <w:trPr>
          <w:trHeight w:val="711"/>
        </w:trPr>
        <w:tc>
          <w:tcPr>
            <w:tcW w:w="2512" w:type="pct"/>
            <w:tcBorders>
              <w:top w:val="single" w:sz="6" w:space="0" w:color="000000"/>
              <w:left w:val="single" w:sz="6" w:space="0" w:color="000000"/>
              <w:bottom w:val="single" w:sz="6" w:space="0" w:color="000000"/>
              <w:right w:val="single" w:sz="6" w:space="0" w:color="000000"/>
            </w:tcBorders>
          </w:tcPr>
          <w:p w:rsidR="008831AF" w:rsidRPr="00787F54" w:rsidRDefault="008831AF" w:rsidP="008831AF">
            <w:pPr>
              <w:keepNext/>
              <w:keepLines/>
              <w:widowControl w:val="0"/>
              <w:autoSpaceDE w:val="0"/>
              <w:autoSpaceDN w:val="0"/>
              <w:adjustRightInd w:val="0"/>
              <w:spacing w:before="240" w:after="120" w:line="240" w:lineRule="auto"/>
              <w:rPr>
                <w:rFonts w:ascii="Times New Roman" w:eastAsia="Calibri" w:hAnsi="Times New Roman"/>
                <w:i/>
                <w:iCs/>
                <w:szCs w:val="24"/>
                <w:lang w:eastAsia="en-AU"/>
              </w:rPr>
            </w:pPr>
            <w:r w:rsidRPr="003E1F05">
              <w:rPr>
                <w:rFonts w:ascii="Times New Roman" w:eastAsia="Calibri" w:hAnsi="Times New Roman"/>
                <w:i/>
                <w:iCs/>
                <w:szCs w:val="24"/>
                <w:lang w:eastAsia="en-AU"/>
              </w:rPr>
              <w:t>Individual Professional = 1</w:t>
            </w:r>
          </w:p>
        </w:tc>
        <w:tc>
          <w:tcPr>
            <w:tcW w:w="2488" w:type="pct"/>
            <w:tcBorders>
              <w:top w:val="single" w:sz="6" w:space="0" w:color="000000"/>
              <w:left w:val="single" w:sz="6" w:space="0" w:color="000000"/>
              <w:bottom w:val="single" w:sz="6" w:space="0" w:color="000000"/>
              <w:right w:val="single" w:sz="6" w:space="0" w:color="000000"/>
            </w:tcBorders>
          </w:tcPr>
          <w:p w:rsidR="008831AF" w:rsidRPr="00787F54" w:rsidRDefault="008831AF" w:rsidP="008831AF">
            <w:pPr>
              <w:keepNext/>
              <w:keepLines/>
              <w:widowControl w:val="0"/>
              <w:autoSpaceDE w:val="0"/>
              <w:autoSpaceDN w:val="0"/>
              <w:adjustRightInd w:val="0"/>
              <w:spacing w:before="240" w:after="120" w:line="240" w:lineRule="auto"/>
              <w:rPr>
                <w:rFonts w:ascii="Times New Roman" w:eastAsia="Calibri" w:hAnsi="Times New Roman"/>
                <w:i/>
                <w:iCs/>
                <w:szCs w:val="24"/>
                <w:lang w:eastAsia="en-AU"/>
              </w:rPr>
            </w:pPr>
            <w:r w:rsidRPr="003E1F05">
              <w:rPr>
                <w:rFonts w:ascii="Times New Roman" w:eastAsia="Calibri" w:hAnsi="Times New Roman"/>
                <w:i/>
                <w:iCs/>
                <w:szCs w:val="24"/>
                <w:lang w:eastAsia="en-AU"/>
              </w:rPr>
              <w:t>Industry Organisation = 2</w:t>
            </w:r>
          </w:p>
        </w:tc>
      </w:tr>
      <w:tr w:rsidR="008831AF" w:rsidRPr="00787F54" w:rsidTr="008831AF">
        <w:trPr>
          <w:trHeight w:val="711"/>
        </w:trPr>
        <w:tc>
          <w:tcPr>
            <w:tcW w:w="2512" w:type="pct"/>
            <w:tcBorders>
              <w:top w:val="single" w:sz="6" w:space="0" w:color="000000"/>
              <w:left w:val="single" w:sz="6" w:space="0" w:color="000000"/>
              <w:bottom w:val="single" w:sz="6" w:space="0" w:color="000000"/>
              <w:right w:val="single" w:sz="6" w:space="0" w:color="000000"/>
            </w:tcBorders>
          </w:tcPr>
          <w:p w:rsidR="008831AF" w:rsidRPr="00787F54" w:rsidRDefault="008831AF" w:rsidP="008831AF">
            <w:pPr>
              <w:keepNext/>
              <w:keepLines/>
              <w:widowControl w:val="0"/>
              <w:autoSpaceDE w:val="0"/>
              <w:autoSpaceDN w:val="0"/>
              <w:adjustRightInd w:val="0"/>
              <w:spacing w:before="240" w:after="120" w:line="240" w:lineRule="auto"/>
              <w:rPr>
                <w:rFonts w:ascii="Times New Roman" w:eastAsia="Calibri" w:hAnsi="Times New Roman"/>
                <w:i/>
                <w:iCs/>
                <w:szCs w:val="24"/>
                <w:lang w:eastAsia="en-AU"/>
              </w:rPr>
            </w:pPr>
            <w:r w:rsidRPr="003E1F05">
              <w:rPr>
                <w:rFonts w:ascii="Times New Roman" w:eastAsia="Calibri" w:hAnsi="Times New Roman"/>
                <w:i/>
                <w:iCs/>
                <w:szCs w:val="24"/>
                <w:lang w:eastAsia="en-AU"/>
              </w:rPr>
              <w:t>Non-Government Organisation = 6</w:t>
            </w:r>
          </w:p>
        </w:tc>
        <w:tc>
          <w:tcPr>
            <w:tcW w:w="2488" w:type="pct"/>
            <w:tcBorders>
              <w:top w:val="single" w:sz="6" w:space="0" w:color="000000"/>
              <w:left w:val="single" w:sz="6" w:space="0" w:color="000000"/>
              <w:bottom w:val="single" w:sz="6" w:space="0" w:color="000000"/>
              <w:right w:val="single" w:sz="6" w:space="0" w:color="000000"/>
            </w:tcBorders>
          </w:tcPr>
          <w:p w:rsidR="008831AF" w:rsidRPr="00787F54" w:rsidRDefault="008831AF" w:rsidP="008831AF">
            <w:pPr>
              <w:keepNext/>
              <w:keepLines/>
              <w:widowControl w:val="0"/>
              <w:autoSpaceDE w:val="0"/>
              <w:autoSpaceDN w:val="0"/>
              <w:adjustRightInd w:val="0"/>
              <w:spacing w:before="240" w:after="120" w:line="240" w:lineRule="auto"/>
              <w:rPr>
                <w:rFonts w:ascii="Times New Roman" w:eastAsia="Calibri" w:hAnsi="Times New Roman"/>
                <w:i/>
                <w:iCs/>
                <w:szCs w:val="24"/>
                <w:lang w:eastAsia="en-AU"/>
              </w:rPr>
            </w:pPr>
            <w:r w:rsidRPr="003E1F05">
              <w:rPr>
                <w:rFonts w:ascii="Times New Roman" w:eastAsia="Calibri" w:hAnsi="Times New Roman"/>
                <w:i/>
                <w:iCs/>
                <w:szCs w:val="24"/>
                <w:lang w:eastAsia="en-AU"/>
              </w:rPr>
              <w:t>Other Government Organisation = 1</w:t>
            </w:r>
          </w:p>
        </w:tc>
      </w:tr>
      <w:tr w:rsidR="008831AF" w:rsidRPr="00787F54" w:rsidTr="008831AF">
        <w:trPr>
          <w:trHeight w:val="711"/>
        </w:trPr>
        <w:tc>
          <w:tcPr>
            <w:tcW w:w="2512" w:type="pct"/>
            <w:tcBorders>
              <w:top w:val="single" w:sz="6" w:space="0" w:color="000000"/>
              <w:left w:val="single" w:sz="6" w:space="0" w:color="000000"/>
              <w:bottom w:val="single" w:sz="6" w:space="0" w:color="000000"/>
              <w:right w:val="single" w:sz="6" w:space="0" w:color="000000"/>
            </w:tcBorders>
          </w:tcPr>
          <w:p w:rsidR="008831AF" w:rsidRPr="00787F54" w:rsidRDefault="008831AF" w:rsidP="008831AF">
            <w:pPr>
              <w:keepNext/>
              <w:keepLines/>
              <w:widowControl w:val="0"/>
              <w:autoSpaceDE w:val="0"/>
              <w:autoSpaceDN w:val="0"/>
              <w:adjustRightInd w:val="0"/>
              <w:spacing w:before="240" w:after="120" w:line="240" w:lineRule="auto"/>
              <w:rPr>
                <w:rFonts w:ascii="Times New Roman" w:eastAsia="Calibri" w:hAnsi="Times New Roman"/>
                <w:i/>
                <w:iCs/>
                <w:szCs w:val="24"/>
                <w:lang w:eastAsia="en-AU"/>
              </w:rPr>
            </w:pPr>
            <w:r w:rsidRPr="003E1F05">
              <w:rPr>
                <w:rFonts w:ascii="Times New Roman" w:eastAsia="Calibri" w:hAnsi="Times New Roman"/>
                <w:i/>
                <w:iCs/>
                <w:szCs w:val="24"/>
                <w:lang w:eastAsia="en-AU"/>
              </w:rPr>
              <w:t>Peak Professional Body = 4</w:t>
            </w:r>
          </w:p>
        </w:tc>
        <w:tc>
          <w:tcPr>
            <w:tcW w:w="2488" w:type="pct"/>
            <w:tcBorders>
              <w:top w:val="single" w:sz="6" w:space="0" w:color="000000"/>
              <w:left w:val="single" w:sz="6" w:space="0" w:color="000000"/>
              <w:bottom w:val="single" w:sz="6" w:space="0" w:color="000000"/>
              <w:right w:val="single" w:sz="6" w:space="0" w:color="000000"/>
            </w:tcBorders>
          </w:tcPr>
          <w:p w:rsidR="008831AF" w:rsidRPr="00787F54" w:rsidRDefault="008831AF" w:rsidP="008831AF">
            <w:pPr>
              <w:keepNext/>
              <w:keepLines/>
              <w:widowControl w:val="0"/>
              <w:autoSpaceDE w:val="0"/>
              <w:autoSpaceDN w:val="0"/>
              <w:adjustRightInd w:val="0"/>
              <w:spacing w:before="240" w:after="120" w:line="240" w:lineRule="auto"/>
              <w:rPr>
                <w:rFonts w:ascii="Times New Roman" w:eastAsia="Calibri" w:hAnsi="Times New Roman"/>
                <w:i/>
                <w:iCs/>
                <w:szCs w:val="24"/>
                <w:lang w:eastAsia="en-AU"/>
              </w:rPr>
            </w:pPr>
            <w:r w:rsidRPr="003E1F05">
              <w:rPr>
                <w:rFonts w:ascii="Times New Roman" w:eastAsia="Calibri" w:hAnsi="Times New Roman"/>
                <w:i/>
                <w:iCs/>
                <w:szCs w:val="24"/>
                <w:lang w:eastAsia="en-AU"/>
              </w:rPr>
              <w:t>Individual Consumer = 19</w:t>
            </w:r>
          </w:p>
        </w:tc>
      </w:tr>
    </w:tbl>
    <w:p w:rsidR="008831AF" w:rsidRPr="00D52454" w:rsidRDefault="008831AF" w:rsidP="008831AF">
      <w:pPr>
        <w:pStyle w:val="Heading2"/>
      </w:pPr>
      <w:bookmarkStart w:id="129" w:name="_3.3.1_Key_issues"/>
      <w:bookmarkStart w:id="130" w:name="_3.3_Key_issues"/>
      <w:bookmarkStart w:id="131" w:name="_Toc373482050"/>
      <w:bookmarkStart w:id="132" w:name="_Toc381622792"/>
      <w:bookmarkStart w:id="133" w:name="_Toc387664327"/>
      <w:bookmarkEnd w:id="129"/>
      <w:bookmarkEnd w:id="130"/>
      <w:r w:rsidRPr="00D52454">
        <w:t>3.3</w:t>
      </w:r>
      <w:r w:rsidRPr="00D52454">
        <w:tab/>
        <w:t>Key issues raised by stakeholders at the Stakeholder Forum</w:t>
      </w:r>
      <w:bookmarkEnd w:id="131"/>
      <w:bookmarkEnd w:id="132"/>
      <w:bookmarkEnd w:id="133"/>
    </w:p>
    <w:p w:rsidR="008831AF" w:rsidRPr="003E1F05" w:rsidRDefault="008831AF" w:rsidP="008831AF">
      <w:pPr>
        <w:keepNext/>
        <w:numPr>
          <w:ilvl w:val="0"/>
          <w:numId w:val="18"/>
        </w:numPr>
        <w:spacing w:before="120"/>
        <w:ind w:left="567" w:hanging="567"/>
        <w:rPr>
          <w:rFonts w:asciiTheme="majorHAnsi" w:eastAsia="Calibri" w:hAnsiTheme="majorHAnsi"/>
          <w:b/>
          <w:szCs w:val="24"/>
        </w:rPr>
      </w:pPr>
      <w:r w:rsidRPr="003E1F05">
        <w:rPr>
          <w:rFonts w:asciiTheme="majorHAnsi" w:eastAsia="Calibri" w:hAnsiTheme="majorHAnsi"/>
          <w:szCs w:val="24"/>
        </w:rPr>
        <w:t>Insulin pump use can lead to benefits in clinical outcomes, including glycaemic control, reducing the frequency and severity of hypoglycaemic events, and reducing the frequency of sick days.</w:t>
      </w:r>
    </w:p>
    <w:p w:rsidR="008831AF" w:rsidRPr="003E1F05" w:rsidRDefault="008831AF" w:rsidP="008831AF">
      <w:pPr>
        <w:numPr>
          <w:ilvl w:val="0"/>
          <w:numId w:val="18"/>
        </w:numPr>
        <w:spacing w:before="120"/>
        <w:ind w:left="567" w:hanging="567"/>
        <w:rPr>
          <w:rFonts w:asciiTheme="majorHAnsi" w:eastAsia="Calibri" w:hAnsiTheme="majorHAnsi"/>
          <w:b/>
          <w:szCs w:val="24"/>
        </w:rPr>
      </w:pPr>
      <w:r w:rsidRPr="003E1F05">
        <w:rPr>
          <w:rFonts w:asciiTheme="majorHAnsi" w:eastAsia="Calibri" w:hAnsiTheme="majorHAnsi"/>
          <w:szCs w:val="24"/>
        </w:rPr>
        <w:t>Insulin pumps can greatly improve quality of life, specifically, reducing patients’ and their families’ anxieties, and allowing greater flexibility, independence, and insight into managing their type 1 diabetes.</w:t>
      </w:r>
    </w:p>
    <w:p w:rsidR="008831AF" w:rsidRPr="003E1F05" w:rsidRDefault="008831AF" w:rsidP="008831AF">
      <w:pPr>
        <w:numPr>
          <w:ilvl w:val="0"/>
          <w:numId w:val="18"/>
        </w:numPr>
        <w:spacing w:before="120"/>
        <w:ind w:left="567" w:hanging="567"/>
        <w:rPr>
          <w:rFonts w:asciiTheme="majorHAnsi" w:eastAsia="Calibri" w:hAnsiTheme="majorHAnsi"/>
          <w:b/>
          <w:szCs w:val="24"/>
        </w:rPr>
      </w:pPr>
      <w:r w:rsidRPr="003E1F05">
        <w:rPr>
          <w:rFonts w:asciiTheme="majorHAnsi" w:eastAsia="Calibri" w:hAnsiTheme="majorHAnsi"/>
          <w:szCs w:val="24"/>
        </w:rPr>
        <w:t>Success with insulin pump therapy depends on the type of patient (e.g. risk level), the motivation of patients and their families, and the quality of education and support for patients, families and health professionals.</w:t>
      </w:r>
    </w:p>
    <w:p w:rsidR="008831AF" w:rsidRPr="003E1F05" w:rsidRDefault="008831AF" w:rsidP="008831AF">
      <w:pPr>
        <w:numPr>
          <w:ilvl w:val="0"/>
          <w:numId w:val="18"/>
        </w:numPr>
        <w:spacing w:before="120"/>
        <w:ind w:left="567" w:hanging="567"/>
        <w:rPr>
          <w:rFonts w:asciiTheme="majorHAnsi" w:eastAsia="Calibri" w:hAnsiTheme="majorHAnsi"/>
          <w:szCs w:val="24"/>
        </w:rPr>
      </w:pPr>
      <w:r w:rsidRPr="003E1F05">
        <w:rPr>
          <w:rFonts w:asciiTheme="majorHAnsi" w:eastAsia="Calibri" w:hAnsiTheme="majorHAnsi"/>
          <w:szCs w:val="24"/>
        </w:rPr>
        <w:t xml:space="preserve">The clinical data to date seem to compare datasets that are not comparable. By pooling data (i.e. in a systematic literature review), the context and nuance is generally lost. In the literature, there is limited evidence for the benefits of insulin pumps due to this cancellation effect, which is also apparent in the NHMRC </w:t>
      </w:r>
      <w:r w:rsidRPr="003E1F05">
        <w:rPr>
          <w:rFonts w:asciiTheme="majorHAnsi" w:eastAsia="Calibri" w:hAnsiTheme="majorHAnsi"/>
          <w:i/>
          <w:szCs w:val="24"/>
        </w:rPr>
        <w:t>National Evidence-Based Clinical Care Guidelines for Type 1 Diabetes in Children, Adolescents and Adults</w:t>
      </w:r>
      <w:r w:rsidRPr="003E1F05">
        <w:rPr>
          <w:rFonts w:asciiTheme="majorHAnsi" w:eastAsia="Calibri" w:hAnsiTheme="majorHAnsi"/>
          <w:szCs w:val="24"/>
        </w:rPr>
        <w:t xml:space="preserve">. There is some dissent between the literature review and on-the-ground experience. Randomised controlled trials (RCTs) are </w:t>
      </w:r>
      <w:proofErr w:type="gramStart"/>
      <w:r w:rsidRPr="003E1F05">
        <w:rPr>
          <w:rFonts w:asciiTheme="majorHAnsi" w:eastAsia="Calibri" w:hAnsiTheme="majorHAnsi"/>
          <w:szCs w:val="24"/>
        </w:rPr>
        <w:t>not  appropriate</w:t>
      </w:r>
      <w:proofErr w:type="gramEnd"/>
      <w:r w:rsidRPr="003E1F05">
        <w:rPr>
          <w:rFonts w:asciiTheme="majorHAnsi" w:eastAsia="Calibri" w:hAnsiTheme="majorHAnsi"/>
          <w:szCs w:val="24"/>
        </w:rPr>
        <w:t xml:space="preserve"> to measure insulin pump therapy outcomes. Observational and cohort studies may provide stronger and more beneficial evidence on the use, benefits and effectiveness of insulin pump therapy.</w:t>
      </w:r>
    </w:p>
    <w:p w:rsidR="008831AF" w:rsidRPr="003E1F05" w:rsidRDefault="008831AF" w:rsidP="008831AF">
      <w:pPr>
        <w:numPr>
          <w:ilvl w:val="0"/>
          <w:numId w:val="18"/>
        </w:numPr>
        <w:spacing w:before="120"/>
        <w:ind w:left="567" w:hanging="567"/>
        <w:rPr>
          <w:rFonts w:asciiTheme="majorHAnsi" w:eastAsia="Calibri" w:hAnsiTheme="majorHAnsi"/>
          <w:b/>
          <w:szCs w:val="24"/>
        </w:rPr>
      </w:pPr>
      <w:r w:rsidRPr="003E1F05">
        <w:rPr>
          <w:rFonts w:asciiTheme="majorHAnsi" w:eastAsia="Calibri" w:hAnsiTheme="majorHAnsi"/>
          <w:szCs w:val="24"/>
        </w:rPr>
        <w:t>There are high costs associated with insulin pump therapy, such as specialised training and ongoing support. Insulin pumps may have some cost-benefits associated with reduced hypoglycaemic events and hospital admissions.</w:t>
      </w:r>
      <w:r w:rsidRPr="003E1F05">
        <w:rPr>
          <w:rFonts w:asciiTheme="majorHAnsi" w:eastAsia="Calibri" w:hAnsiTheme="majorHAnsi"/>
          <w:i/>
          <w:szCs w:val="24"/>
        </w:rPr>
        <w:t xml:space="preserve"> </w:t>
      </w:r>
    </w:p>
    <w:p w:rsidR="008831AF" w:rsidRPr="003E1F05" w:rsidRDefault="008831AF" w:rsidP="008831AF">
      <w:pPr>
        <w:numPr>
          <w:ilvl w:val="0"/>
          <w:numId w:val="18"/>
        </w:numPr>
        <w:spacing w:before="120"/>
        <w:ind w:left="567" w:hanging="567"/>
        <w:rPr>
          <w:rFonts w:asciiTheme="majorHAnsi" w:eastAsia="Calibri" w:hAnsiTheme="majorHAnsi"/>
          <w:b/>
          <w:szCs w:val="24"/>
        </w:rPr>
      </w:pPr>
      <w:r w:rsidRPr="003E1F05">
        <w:rPr>
          <w:rFonts w:asciiTheme="majorHAnsi" w:eastAsia="Calibri" w:hAnsiTheme="majorHAnsi"/>
          <w:szCs w:val="24"/>
        </w:rPr>
        <w:t xml:space="preserve">It is necessary to support the rapidly changing technologies in this area, including avenues for government subsidy. Education and support needs to adapt to these rapid changes as well. </w:t>
      </w:r>
    </w:p>
    <w:p w:rsidR="008831AF" w:rsidRPr="003E1F05" w:rsidRDefault="008831AF" w:rsidP="008831AF">
      <w:pPr>
        <w:numPr>
          <w:ilvl w:val="0"/>
          <w:numId w:val="18"/>
        </w:numPr>
        <w:spacing w:before="120"/>
        <w:ind w:left="567" w:hanging="567"/>
        <w:rPr>
          <w:rFonts w:asciiTheme="majorHAnsi" w:eastAsia="Calibri" w:hAnsiTheme="majorHAnsi"/>
          <w:szCs w:val="24"/>
        </w:rPr>
      </w:pPr>
      <w:r w:rsidRPr="003E1F05">
        <w:rPr>
          <w:rFonts w:asciiTheme="majorHAnsi" w:eastAsia="Calibri" w:hAnsiTheme="majorHAnsi"/>
          <w:szCs w:val="24"/>
        </w:rPr>
        <w:t xml:space="preserve">All sub-groups of patients </w:t>
      </w:r>
      <w:proofErr w:type="gramStart"/>
      <w:r w:rsidRPr="003E1F05">
        <w:rPr>
          <w:rFonts w:asciiTheme="majorHAnsi" w:eastAsia="Calibri" w:hAnsiTheme="majorHAnsi"/>
          <w:szCs w:val="24"/>
        </w:rPr>
        <w:t>should be considered</w:t>
      </w:r>
      <w:proofErr w:type="gramEnd"/>
      <w:r w:rsidRPr="003E1F05">
        <w:rPr>
          <w:rFonts w:asciiTheme="majorHAnsi" w:eastAsia="Calibri" w:hAnsiTheme="majorHAnsi"/>
          <w:szCs w:val="24"/>
        </w:rPr>
        <w:t xml:space="preserve"> for eligibility for the Insulin Pump Programme.</w:t>
      </w:r>
    </w:p>
    <w:p w:rsidR="008831AF" w:rsidRPr="003E1F05" w:rsidRDefault="008831AF" w:rsidP="008831AF">
      <w:pPr>
        <w:numPr>
          <w:ilvl w:val="0"/>
          <w:numId w:val="18"/>
        </w:numPr>
        <w:spacing w:before="120"/>
        <w:ind w:left="567" w:hanging="567"/>
        <w:rPr>
          <w:rFonts w:asciiTheme="majorHAnsi" w:eastAsia="Calibri" w:hAnsiTheme="majorHAnsi"/>
          <w:b/>
          <w:szCs w:val="24"/>
        </w:rPr>
      </w:pPr>
      <w:r w:rsidRPr="003E1F05">
        <w:rPr>
          <w:rFonts w:asciiTheme="majorHAnsi" w:eastAsia="Calibri" w:hAnsiTheme="majorHAnsi"/>
          <w:szCs w:val="24"/>
        </w:rPr>
        <w:t xml:space="preserve">It </w:t>
      </w:r>
      <w:proofErr w:type="gramStart"/>
      <w:r w:rsidRPr="003E1F05">
        <w:rPr>
          <w:rFonts w:asciiTheme="majorHAnsi" w:eastAsia="Calibri" w:hAnsiTheme="majorHAnsi"/>
          <w:szCs w:val="24"/>
        </w:rPr>
        <w:t>was noted</w:t>
      </w:r>
      <w:proofErr w:type="gramEnd"/>
      <w:r w:rsidRPr="003E1F05">
        <w:rPr>
          <w:rFonts w:asciiTheme="majorHAnsi" w:eastAsia="Calibri" w:hAnsiTheme="majorHAnsi"/>
          <w:szCs w:val="24"/>
        </w:rPr>
        <w:t xml:space="preserve"> that there are numerous issues regarding access to insulin pumps through private health insurance, including those patients who are denied an insulin pump through their private health insurance provider. </w:t>
      </w:r>
      <w:r w:rsidRPr="003E1F05">
        <w:rPr>
          <w:rFonts w:asciiTheme="majorHAnsi" w:eastAsia="Calibri" w:hAnsiTheme="majorHAnsi"/>
          <w:i/>
          <w:szCs w:val="24"/>
        </w:rPr>
        <w:t>Note:</w:t>
      </w:r>
      <w:r w:rsidRPr="003E1F05">
        <w:rPr>
          <w:rFonts w:asciiTheme="majorHAnsi" w:eastAsia="Calibri" w:hAnsiTheme="majorHAnsi"/>
          <w:szCs w:val="24"/>
        </w:rPr>
        <w:t xml:space="preserve"> </w:t>
      </w:r>
      <w:r w:rsidRPr="003E1F05">
        <w:rPr>
          <w:rFonts w:asciiTheme="majorHAnsi" w:eastAsia="Calibri" w:hAnsiTheme="majorHAnsi"/>
          <w:i/>
          <w:szCs w:val="24"/>
        </w:rPr>
        <w:t xml:space="preserve">This issue is </w:t>
      </w:r>
      <w:r w:rsidRPr="003E1F05">
        <w:rPr>
          <w:rFonts w:asciiTheme="majorHAnsi" w:eastAsia="Calibri" w:hAnsiTheme="majorHAnsi"/>
          <w:i/>
          <w:szCs w:val="24"/>
        </w:rPr>
        <w:lastRenderedPageBreak/>
        <w:t xml:space="preserve">outside the scope of the Insulin Pumps Review and </w:t>
      </w:r>
      <w:proofErr w:type="gramStart"/>
      <w:r w:rsidRPr="003E1F05">
        <w:rPr>
          <w:rFonts w:asciiTheme="majorHAnsi" w:eastAsia="Calibri" w:hAnsiTheme="majorHAnsi"/>
          <w:i/>
          <w:szCs w:val="24"/>
        </w:rPr>
        <w:t>has been referred</w:t>
      </w:r>
      <w:proofErr w:type="gramEnd"/>
      <w:r w:rsidRPr="003E1F05">
        <w:rPr>
          <w:rFonts w:asciiTheme="majorHAnsi" w:eastAsia="Calibri" w:hAnsiTheme="majorHAnsi"/>
          <w:i/>
          <w:szCs w:val="24"/>
        </w:rPr>
        <w:t xml:space="preserve"> to the correct area of the Department</w:t>
      </w:r>
      <w:r w:rsidRPr="003E1F05">
        <w:rPr>
          <w:rFonts w:asciiTheme="majorHAnsi" w:eastAsia="Calibri" w:hAnsiTheme="majorHAnsi"/>
          <w:szCs w:val="24"/>
        </w:rPr>
        <w:t>.</w:t>
      </w:r>
    </w:p>
    <w:bookmarkEnd w:id="47"/>
    <w:bookmarkEnd w:id="48"/>
    <w:bookmarkEnd w:id="49"/>
    <w:p w:rsidR="005B7A4B" w:rsidRPr="003E1F05" w:rsidRDefault="005B7A4B" w:rsidP="005B7A4B">
      <w:pPr>
        <w:numPr>
          <w:ilvl w:val="0"/>
          <w:numId w:val="18"/>
        </w:numPr>
        <w:spacing w:before="120"/>
        <w:ind w:left="567" w:hanging="567"/>
        <w:rPr>
          <w:rFonts w:asciiTheme="majorHAnsi" w:eastAsia="Calibri" w:hAnsiTheme="majorHAnsi"/>
          <w:b/>
          <w:szCs w:val="24"/>
        </w:rPr>
      </w:pPr>
      <w:r w:rsidRPr="003E1F05">
        <w:rPr>
          <w:rFonts w:asciiTheme="majorHAnsi" w:eastAsia="Calibri" w:hAnsiTheme="majorHAnsi"/>
          <w:szCs w:val="24"/>
        </w:rPr>
        <w:t xml:space="preserve">Some patients may not receive an insulin pump subsidy, but they </w:t>
      </w:r>
      <w:proofErr w:type="gramStart"/>
      <w:r w:rsidRPr="003E1F05">
        <w:rPr>
          <w:rFonts w:asciiTheme="majorHAnsi" w:eastAsia="Calibri" w:hAnsiTheme="majorHAnsi"/>
          <w:szCs w:val="24"/>
        </w:rPr>
        <w:t>can be adequately managed</w:t>
      </w:r>
      <w:proofErr w:type="gramEnd"/>
      <w:r w:rsidRPr="003E1F05">
        <w:rPr>
          <w:rFonts w:asciiTheme="majorHAnsi" w:eastAsia="Calibri" w:hAnsiTheme="majorHAnsi"/>
          <w:szCs w:val="24"/>
        </w:rPr>
        <w:t xml:space="preserve"> on insulin injections.</w:t>
      </w:r>
    </w:p>
    <w:p w:rsidR="005B7A4B" w:rsidRPr="003E1F05" w:rsidRDefault="005B7A4B" w:rsidP="005B7A4B">
      <w:pPr>
        <w:numPr>
          <w:ilvl w:val="0"/>
          <w:numId w:val="18"/>
        </w:numPr>
        <w:spacing w:before="120"/>
        <w:ind w:left="567" w:hanging="567"/>
        <w:rPr>
          <w:rFonts w:asciiTheme="majorHAnsi" w:eastAsia="Calibri" w:hAnsiTheme="majorHAnsi"/>
          <w:b/>
          <w:szCs w:val="24"/>
        </w:rPr>
      </w:pPr>
      <w:r w:rsidRPr="003E1F05">
        <w:rPr>
          <w:rFonts w:asciiTheme="majorHAnsi" w:eastAsia="Calibri" w:hAnsiTheme="majorHAnsi"/>
          <w:szCs w:val="24"/>
        </w:rPr>
        <w:t xml:space="preserve">Specific insulin pump features are important, such as small dose increments for children or those requiring low amounts of insulin, waterproof casing, </w:t>
      </w:r>
      <w:proofErr w:type="gramStart"/>
      <w:r w:rsidRPr="003E1F05">
        <w:rPr>
          <w:rFonts w:asciiTheme="majorHAnsi" w:eastAsia="Calibri" w:hAnsiTheme="majorHAnsi"/>
          <w:szCs w:val="24"/>
        </w:rPr>
        <w:t>tubing</w:t>
      </w:r>
      <w:proofErr w:type="gramEnd"/>
      <w:r w:rsidRPr="003E1F05">
        <w:rPr>
          <w:rFonts w:asciiTheme="majorHAnsi" w:eastAsia="Calibri" w:hAnsiTheme="majorHAnsi"/>
          <w:szCs w:val="24"/>
        </w:rPr>
        <w:t xml:space="preserve"> or tubeless design, and the potential for a closed loop system.</w:t>
      </w:r>
    </w:p>
    <w:p w:rsidR="005B7A4B" w:rsidRPr="003E1F05" w:rsidRDefault="005B7A4B" w:rsidP="005B7A4B">
      <w:pPr>
        <w:numPr>
          <w:ilvl w:val="0"/>
          <w:numId w:val="18"/>
        </w:numPr>
        <w:spacing w:before="120"/>
        <w:ind w:left="567" w:hanging="567"/>
        <w:rPr>
          <w:rFonts w:asciiTheme="majorHAnsi" w:eastAsia="Calibri" w:hAnsiTheme="majorHAnsi"/>
          <w:b/>
          <w:szCs w:val="24"/>
        </w:rPr>
      </w:pPr>
      <w:r w:rsidRPr="003E1F05">
        <w:rPr>
          <w:rFonts w:asciiTheme="majorHAnsi" w:eastAsia="Calibri" w:hAnsiTheme="majorHAnsi"/>
          <w:szCs w:val="24"/>
        </w:rPr>
        <w:t>It is important to ensure a baseline quality control and to have a wide variety of insulin pumps available to allow adequate patient choice, and guaranteed supply and replacement of insulin pumps. Education for patients, families and health professionals with the variety of insulin pumps is critical.</w:t>
      </w:r>
    </w:p>
    <w:p w:rsidR="005B7A4B" w:rsidRPr="00D52454" w:rsidRDefault="005B7A4B" w:rsidP="005B7A4B">
      <w:pPr>
        <w:pStyle w:val="Heading2"/>
      </w:pPr>
      <w:bookmarkStart w:id="134" w:name="_Toc381090927"/>
      <w:bookmarkStart w:id="135" w:name="_Toc387664328"/>
      <w:r w:rsidRPr="00D52454">
        <w:t>3.4</w:t>
      </w:r>
      <w:r w:rsidRPr="00D52454">
        <w:tab/>
        <w:t>Public consultation on the draft Insulin Pumps Review Report</w:t>
      </w:r>
      <w:bookmarkEnd w:id="134"/>
      <w:bookmarkEnd w:id="135"/>
    </w:p>
    <w:p w:rsidR="005B7A4B" w:rsidRPr="003E1F05" w:rsidRDefault="005B7A4B" w:rsidP="005B7A4B">
      <w:pPr>
        <w:rPr>
          <w:rFonts w:eastAsia="Calibri"/>
          <w:b/>
          <w:bCs/>
          <w:i/>
        </w:rPr>
      </w:pPr>
      <w:r w:rsidRPr="003E1F05">
        <w:rPr>
          <w:i/>
        </w:rPr>
        <w:t xml:space="preserve">Note: This section </w:t>
      </w:r>
      <w:proofErr w:type="gramStart"/>
      <w:r w:rsidRPr="003E1F05">
        <w:rPr>
          <w:i/>
        </w:rPr>
        <w:t>will be completed</w:t>
      </w:r>
      <w:proofErr w:type="gramEnd"/>
      <w:r w:rsidRPr="003E1F05">
        <w:rPr>
          <w:i/>
        </w:rPr>
        <w:t xml:space="preserve"> following the public consultation process.</w:t>
      </w:r>
    </w:p>
    <w:p w:rsidR="005B7A4B" w:rsidRPr="00D52454" w:rsidRDefault="005B7A4B" w:rsidP="005B7A4B">
      <w:pPr>
        <w:pStyle w:val="Heading2"/>
      </w:pPr>
      <w:bookmarkStart w:id="136" w:name="_3.5_Internal_Working"/>
      <w:bookmarkStart w:id="137" w:name="_Toc373482052"/>
      <w:bookmarkStart w:id="138" w:name="_Toc381090928"/>
      <w:bookmarkStart w:id="139" w:name="_Toc387664329"/>
      <w:bookmarkEnd w:id="136"/>
      <w:r w:rsidRPr="00D52454">
        <w:t>3.5</w:t>
      </w:r>
      <w:r w:rsidRPr="00D52454">
        <w:tab/>
        <w:t>Internal Working Group</w:t>
      </w:r>
      <w:bookmarkEnd w:id="137"/>
      <w:bookmarkEnd w:id="138"/>
      <w:bookmarkEnd w:id="139"/>
    </w:p>
    <w:p w:rsidR="005B7A4B" w:rsidRPr="003E1F05" w:rsidRDefault="005B7A4B" w:rsidP="005B7A4B">
      <w:pPr>
        <w:rPr>
          <w:rFonts w:cs="Calibri"/>
          <w:szCs w:val="24"/>
        </w:rPr>
      </w:pPr>
      <w:r w:rsidRPr="003E1F05">
        <w:rPr>
          <w:rFonts w:cs="Calibri"/>
          <w:szCs w:val="24"/>
        </w:rPr>
        <w:t>Key issues discussed by the Internal Working Group include:</w:t>
      </w:r>
    </w:p>
    <w:p w:rsidR="005B7A4B" w:rsidRPr="003E1F05" w:rsidRDefault="005B7A4B" w:rsidP="005B7A4B">
      <w:pPr>
        <w:pStyle w:val="ListParagraph"/>
        <w:numPr>
          <w:ilvl w:val="0"/>
          <w:numId w:val="44"/>
        </w:numPr>
        <w:rPr>
          <w:lang w:val="en-US" w:eastAsia="en-AU"/>
        </w:rPr>
      </w:pPr>
      <w:r w:rsidRPr="003E1F05">
        <w:rPr>
          <w:lang w:val="en-US" w:eastAsia="en-AU"/>
        </w:rPr>
        <w:t>Members noted the need for consistency between guidelines and clinical practice in the management of diabetes.</w:t>
      </w:r>
    </w:p>
    <w:p w:rsidR="005B7A4B" w:rsidRPr="003E1F05" w:rsidRDefault="005B7A4B" w:rsidP="005B7A4B">
      <w:pPr>
        <w:pStyle w:val="ListParagraph"/>
        <w:numPr>
          <w:ilvl w:val="0"/>
          <w:numId w:val="44"/>
        </w:numPr>
        <w:rPr>
          <w:lang w:val="en-US" w:eastAsia="en-AU"/>
        </w:rPr>
      </w:pPr>
      <w:r w:rsidRPr="003E1F05">
        <w:rPr>
          <w:lang w:val="en-US" w:eastAsia="en-AU"/>
        </w:rPr>
        <w:t xml:space="preserve">Members considered the impacts that changes to the Insulin Pump </w:t>
      </w:r>
      <w:proofErr w:type="spellStart"/>
      <w:r w:rsidRPr="003E1F05">
        <w:rPr>
          <w:lang w:val="en-US" w:eastAsia="en-AU"/>
        </w:rPr>
        <w:t>Programme</w:t>
      </w:r>
      <w:proofErr w:type="spellEnd"/>
      <w:r w:rsidRPr="003E1F05">
        <w:rPr>
          <w:lang w:val="en-US" w:eastAsia="en-AU"/>
        </w:rPr>
        <w:t xml:space="preserve"> may have on private health insurance markets.</w:t>
      </w:r>
    </w:p>
    <w:p w:rsidR="005B7A4B" w:rsidRPr="003E1F05" w:rsidRDefault="005B7A4B" w:rsidP="005B7A4B">
      <w:pPr>
        <w:pStyle w:val="ListParagraph"/>
        <w:numPr>
          <w:ilvl w:val="0"/>
          <w:numId w:val="44"/>
        </w:numPr>
        <w:rPr>
          <w:lang w:val="en-US" w:eastAsia="en-AU"/>
        </w:rPr>
      </w:pPr>
      <w:r w:rsidRPr="003E1F05">
        <w:rPr>
          <w:rFonts w:eastAsia="Calibri"/>
          <w:lang w:eastAsia="en-AU"/>
        </w:rPr>
        <w:t xml:space="preserve">Members discussed the pathway for new insulin pump technologies to request listing on the Prostheses List through existing PLAC processes. </w:t>
      </w:r>
    </w:p>
    <w:p w:rsidR="005B7A4B" w:rsidRPr="003E1F05" w:rsidRDefault="005B7A4B" w:rsidP="005B7A4B">
      <w:pPr>
        <w:pStyle w:val="ListParagraph"/>
        <w:numPr>
          <w:ilvl w:val="0"/>
          <w:numId w:val="22"/>
        </w:numPr>
        <w:rPr>
          <w:szCs w:val="24"/>
        </w:rPr>
      </w:pPr>
      <w:r w:rsidRPr="003E1F05">
        <w:rPr>
          <w:szCs w:val="24"/>
        </w:rPr>
        <w:t>Members recommended the inclusion of Aboriginal and Torres Strait Islander, and rural and remote, identifiers in the data collection for the Insulin Pump Programme.</w:t>
      </w:r>
    </w:p>
    <w:p w:rsidR="005B7A4B" w:rsidRPr="003E1F05" w:rsidRDefault="005B7A4B" w:rsidP="005B7A4B">
      <w:pPr>
        <w:pStyle w:val="ListParagraph"/>
        <w:numPr>
          <w:ilvl w:val="0"/>
          <w:numId w:val="22"/>
        </w:numPr>
        <w:rPr>
          <w:szCs w:val="24"/>
        </w:rPr>
      </w:pPr>
      <w:r w:rsidRPr="003E1F05">
        <w:rPr>
          <w:szCs w:val="24"/>
        </w:rPr>
        <w:t>At the request of the Reference Group, the TGA representative provided information on the safety and regulation of insulin pumps and the listing of insulin pumps on the ARTG for inclusion in this Report.</w:t>
      </w:r>
    </w:p>
    <w:p w:rsidR="005B7A4B" w:rsidRPr="00D52454" w:rsidRDefault="005B7A4B" w:rsidP="005B7A4B">
      <w:pPr>
        <w:pStyle w:val="Heading2"/>
      </w:pPr>
      <w:bookmarkStart w:id="140" w:name="_Toc373482053"/>
      <w:bookmarkStart w:id="141" w:name="_Toc381090929"/>
      <w:bookmarkStart w:id="142" w:name="_Toc387664330"/>
      <w:r w:rsidRPr="00D52454">
        <w:t>3.6</w:t>
      </w:r>
      <w:r w:rsidRPr="00D52454">
        <w:tab/>
        <w:t>Reference Group</w:t>
      </w:r>
      <w:bookmarkEnd w:id="140"/>
      <w:bookmarkEnd w:id="141"/>
      <w:bookmarkEnd w:id="142"/>
      <w:r w:rsidRPr="00D52454">
        <w:t xml:space="preserve"> </w:t>
      </w:r>
    </w:p>
    <w:p w:rsidR="005B7A4B" w:rsidRPr="003E1F05" w:rsidRDefault="005B7A4B" w:rsidP="005B7A4B">
      <w:pPr>
        <w:spacing w:after="120"/>
        <w:rPr>
          <w:rFonts w:cs="Calibri"/>
          <w:szCs w:val="24"/>
        </w:rPr>
      </w:pPr>
      <w:proofErr w:type="gramStart"/>
      <w:r w:rsidRPr="003E1F05">
        <w:rPr>
          <w:rFonts w:cs="Calibri"/>
          <w:szCs w:val="24"/>
        </w:rPr>
        <w:t>As a result</w:t>
      </w:r>
      <w:proofErr w:type="gramEnd"/>
      <w:r w:rsidRPr="003E1F05">
        <w:rPr>
          <w:rFonts w:cs="Calibri"/>
          <w:szCs w:val="24"/>
        </w:rPr>
        <w:t xml:space="preserve"> of Reference Group input, the following actions were taken:</w:t>
      </w:r>
    </w:p>
    <w:p w:rsidR="005B7A4B" w:rsidRPr="003E1F05" w:rsidRDefault="005B7A4B" w:rsidP="005B7A4B">
      <w:pPr>
        <w:pStyle w:val="ListParagraph"/>
        <w:numPr>
          <w:ilvl w:val="0"/>
          <w:numId w:val="22"/>
        </w:numPr>
        <w:spacing w:after="120"/>
        <w:rPr>
          <w:rFonts w:cs="Calibri"/>
          <w:szCs w:val="24"/>
        </w:rPr>
      </w:pPr>
      <w:r w:rsidRPr="003E1F05">
        <w:rPr>
          <w:rFonts w:cs="Calibri"/>
          <w:szCs w:val="24"/>
        </w:rPr>
        <w:t>An extension to the literature review to include observational evidence, which may be more suitable than trial evidence to identify any patient relevant outcomes from insulin pump therapy.</w:t>
      </w:r>
    </w:p>
    <w:p w:rsidR="005B7A4B" w:rsidRPr="003E1F05" w:rsidRDefault="005B7A4B" w:rsidP="005B7A4B">
      <w:pPr>
        <w:pStyle w:val="ListParagraph"/>
        <w:numPr>
          <w:ilvl w:val="0"/>
          <w:numId w:val="22"/>
        </w:numPr>
        <w:spacing w:after="120"/>
        <w:rPr>
          <w:rFonts w:cs="Calibri"/>
          <w:szCs w:val="24"/>
        </w:rPr>
      </w:pPr>
      <w:r w:rsidRPr="003E1F05">
        <w:t>The Department consulted the TGA</w:t>
      </w:r>
      <w:r w:rsidRPr="003E1F05">
        <w:rPr>
          <w:rFonts w:cs="Calibri"/>
          <w:szCs w:val="24"/>
        </w:rPr>
        <w:t xml:space="preserve"> regarding the ARTG listing of insulin pumps. </w:t>
      </w:r>
      <w:r w:rsidRPr="003E1F05">
        <w:t xml:space="preserve">Advice received is included in </w:t>
      </w:r>
      <w:hyperlink w:anchor="_4.1.8_The_Therapeutic" w:history="1">
        <w:r w:rsidRPr="003E1F05">
          <w:rPr>
            <w:rStyle w:val="Hyperlink"/>
            <w:color w:val="auto"/>
          </w:rPr>
          <w:t>Part 2.9.</w:t>
        </w:r>
      </w:hyperlink>
    </w:p>
    <w:p w:rsidR="005B7A4B" w:rsidRPr="003E1F05" w:rsidRDefault="005B7A4B" w:rsidP="005B7A4B">
      <w:pPr>
        <w:pStyle w:val="ListParagraph"/>
        <w:numPr>
          <w:ilvl w:val="0"/>
          <w:numId w:val="22"/>
        </w:numPr>
        <w:spacing w:after="120"/>
        <w:rPr>
          <w:rFonts w:cs="Calibri"/>
          <w:szCs w:val="24"/>
        </w:rPr>
      </w:pPr>
      <w:r w:rsidRPr="003E1F05">
        <w:t>The Department wrote to APEG to seek additional specialist clinician advice on:</w:t>
      </w:r>
    </w:p>
    <w:p w:rsidR="005B7A4B" w:rsidRPr="003E1F05" w:rsidRDefault="005B7A4B" w:rsidP="005B7A4B">
      <w:pPr>
        <w:pStyle w:val="ListParagraph"/>
        <w:numPr>
          <w:ilvl w:val="1"/>
          <w:numId w:val="22"/>
        </w:numPr>
        <w:spacing w:after="120"/>
        <w:rPr>
          <w:rFonts w:cs="Calibri"/>
          <w:szCs w:val="24"/>
        </w:rPr>
      </w:pPr>
      <w:r w:rsidRPr="003E1F05">
        <w:t>what features of an insulin pump are vital in achieving the best clinical outcomes for paediatric patients and their families;</w:t>
      </w:r>
    </w:p>
    <w:p w:rsidR="005B7A4B" w:rsidRPr="003E1F05" w:rsidRDefault="005B7A4B" w:rsidP="005B7A4B">
      <w:pPr>
        <w:pStyle w:val="ListParagraph"/>
        <w:numPr>
          <w:ilvl w:val="1"/>
          <w:numId w:val="22"/>
        </w:numPr>
        <w:spacing w:after="120"/>
        <w:rPr>
          <w:rFonts w:cs="Calibri"/>
          <w:szCs w:val="24"/>
        </w:rPr>
      </w:pPr>
      <w:r w:rsidRPr="003E1F05">
        <w:lastRenderedPageBreak/>
        <w:t>which patient sub-groups, from a clinical outcomes perspective, might benefit the most from insulin pump therapy in order to help to prioritise patients under the Programme; and</w:t>
      </w:r>
    </w:p>
    <w:p w:rsidR="005B7A4B" w:rsidRPr="003E1F05" w:rsidRDefault="005B7A4B" w:rsidP="005B7A4B">
      <w:pPr>
        <w:pStyle w:val="ListParagraph"/>
        <w:numPr>
          <w:ilvl w:val="1"/>
          <w:numId w:val="22"/>
        </w:numPr>
        <w:spacing w:after="120"/>
        <w:rPr>
          <w:rFonts w:cs="Calibri"/>
          <w:szCs w:val="24"/>
        </w:rPr>
      </w:pPr>
      <w:proofErr w:type="gramStart"/>
      <w:r w:rsidRPr="003E1F05">
        <w:t>what</w:t>
      </w:r>
      <w:proofErr w:type="gramEnd"/>
      <w:r w:rsidRPr="003E1F05">
        <w:t xml:space="preserve"> eligibility criteria for the Insulin Pump Programme are necessary to ensure the best possible patient outcomes.</w:t>
      </w:r>
    </w:p>
    <w:p w:rsidR="005B7A4B" w:rsidRPr="003E1F05" w:rsidRDefault="005B7A4B" w:rsidP="005B7A4B">
      <w:pPr>
        <w:pStyle w:val="ListParagraph"/>
        <w:numPr>
          <w:ilvl w:val="0"/>
          <w:numId w:val="22"/>
        </w:numPr>
        <w:spacing w:after="120"/>
        <w:rPr>
          <w:rFonts w:cs="Calibri"/>
          <w:szCs w:val="24"/>
        </w:rPr>
      </w:pPr>
      <w:r w:rsidRPr="003E1F05">
        <w:rPr>
          <w:rFonts w:asciiTheme="majorHAnsi" w:hAnsiTheme="majorHAnsi"/>
          <w:szCs w:val="24"/>
        </w:rPr>
        <w:t xml:space="preserve">Inclusion of an option for insulin pump discontinuation rates and reasons to </w:t>
      </w:r>
      <w:proofErr w:type="gramStart"/>
      <w:r w:rsidRPr="003E1F05">
        <w:rPr>
          <w:rFonts w:asciiTheme="majorHAnsi" w:hAnsiTheme="majorHAnsi"/>
          <w:szCs w:val="24"/>
        </w:rPr>
        <w:t>be gathered</w:t>
      </w:r>
      <w:proofErr w:type="gramEnd"/>
      <w:r w:rsidRPr="003E1F05">
        <w:rPr>
          <w:rFonts w:asciiTheme="majorHAnsi" w:hAnsiTheme="majorHAnsi"/>
          <w:szCs w:val="24"/>
        </w:rPr>
        <w:t xml:space="preserve"> in the data collection for the Insulin Pump Programme.</w:t>
      </w:r>
    </w:p>
    <w:p w:rsidR="005B7A4B" w:rsidRPr="003E1F05" w:rsidRDefault="005B7A4B" w:rsidP="005B7A4B">
      <w:pPr>
        <w:pStyle w:val="ListParagraph"/>
        <w:numPr>
          <w:ilvl w:val="0"/>
          <w:numId w:val="22"/>
        </w:numPr>
        <w:spacing w:after="120"/>
        <w:rPr>
          <w:rFonts w:cs="Calibri"/>
          <w:szCs w:val="24"/>
        </w:rPr>
      </w:pPr>
      <w:proofErr w:type="gramStart"/>
      <w:r w:rsidRPr="003E1F05">
        <w:rPr>
          <w:rFonts w:asciiTheme="majorHAnsi" w:hAnsiTheme="majorHAnsi"/>
          <w:szCs w:val="24"/>
        </w:rPr>
        <w:t>Inclusion of observational studies on the use of insulin pump therapy in pregnant women with type 1 diabetes.</w:t>
      </w:r>
      <w:proofErr w:type="gramEnd"/>
    </w:p>
    <w:p w:rsidR="005B7A4B" w:rsidRPr="003E1F05" w:rsidRDefault="005B7A4B" w:rsidP="005B7A4B">
      <w:pPr>
        <w:pStyle w:val="ListParagraph"/>
        <w:numPr>
          <w:ilvl w:val="0"/>
          <w:numId w:val="22"/>
        </w:numPr>
        <w:spacing w:after="120"/>
        <w:rPr>
          <w:rFonts w:cs="Calibri"/>
          <w:szCs w:val="24"/>
        </w:rPr>
      </w:pPr>
      <w:proofErr w:type="gramStart"/>
      <w:r w:rsidRPr="003E1F05">
        <w:rPr>
          <w:rFonts w:asciiTheme="majorHAnsi" w:hAnsiTheme="majorHAnsi"/>
          <w:szCs w:val="24"/>
        </w:rPr>
        <w:t>Inclusion of research on the importance of glycaemic variability as an independent factor in the development of diabetes complications.</w:t>
      </w:r>
      <w:proofErr w:type="gramEnd"/>
    </w:p>
    <w:p w:rsidR="005B7A4B" w:rsidRPr="003E1F05" w:rsidRDefault="005B7A4B" w:rsidP="005B7A4B">
      <w:pPr>
        <w:pStyle w:val="ListParagraph"/>
        <w:numPr>
          <w:ilvl w:val="0"/>
          <w:numId w:val="22"/>
        </w:numPr>
        <w:spacing w:after="120"/>
        <w:rPr>
          <w:rFonts w:cs="Calibri"/>
          <w:szCs w:val="24"/>
        </w:rPr>
      </w:pPr>
      <w:proofErr w:type="gramStart"/>
      <w:r w:rsidRPr="003E1F05">
        <w:rPr>
          <w:rFonts w:asciiTheme="majorHAnsi" w:hAnsiTheme="majorHAnsi"/>
          <w:szCs w:val="24"/>
        </w:rPr>
        <w:t>Inclusion of research on bolus type delivered by an insulin pump and the effect on postprandial glycaemia.</w:t>
      </w:r>
      <w:proofErr w:type="gramEnd"/>
    </w:p>
    <w:p w:rsidR="005B7A4B" w:rsidRPr="00D52454" w:rsidRDefault="005B7A4B" w:rsidP="005B7A4B">
      <w:pPr>
        <w:pStyle w:val="Heading2"/>
        <w:keepNext/>
        <w:keepLines/>
      </w:pPr>
      <w:bookmarkStart w:id="143" w:name="_Part_4_–"/>
      <w:bookmarkStart w:id="144" w:name="_Toc373482054"/>
      <w:bookmarkStart w:id="145" w:name="_Toc381090930"/>
      <w:bookmarkStart w:id="146" w:name="_Toc387664331"/>
      <w:bookmarkEnd w:id="143"/>
      <w:r w:rsidRPr="00D52454">
        <w:t>3.7</w:t>
      </w:r>
      <w:r w:rsidRPr="00D52454">
        <w:tab/>
        <w:t xml:space="preserve">Advice from the Australasian </w:t>
      </w:r>
      <w:r w:rsidRPr="00D52454">
        <w:rPr>
          <w:lang w:val="en-AU"/>
        </w:rPr>
        <w:t>Paediatric</w:t>
      </w:r>
      <w:r w:rsidRPr="00D52454">
        <w:t xml:space="preserve"> Endocrine Group (APEG</w:t>
      </w:r>
      <w:bookmarkEnd w:id="144"/>
      <w:r w:rsidRPr="00D52454">
        <w:t>)</w:t>
      </w:r>
      <w:bookmarkEnd w:id="145"/>
      <w:bookmarkEnd w:id="146"/>
    </w:p>
    <w:p w:rsidR="005B7A4B" w:rsidRPr="003E1F05" w:rsidRDefault="005B7A4B" w:rsidP="005B7A4B">
      <w:pPr>
        <w:rPr>
          <w:rFonts w:eastAsia="Calibri"/>
          <w:lang w:eastAsia="en-AU"/>
        </w:rPr>
      </w:pPr>
      <w:r w:rsidRPr="003E1F05">
        <w:rPr>
          <w:rFonts w:eastAsia="Calibri"/>
          <w:lang w:eastAsia="en-AU"/>
        </w:rPr>
        <w:t>The APEG advised that the most important features of a pump will vary based on patient needs, and therefore the treating team should be able to determine the most appropriate pump for the patient. However, features such as bolus calculators, dose increments suitable for children, and the ability to download data may have additional advantages for the paediatric population. They stated that features such as continuous glucose monitoring and algorithms to detect hypoglycaemia and suspend insulin delivery provide additional safety and efficacy advantages.</w:t>
      </w:r>
    </w:p>
    <w:p w:rsidR="005B7A4B" w:rsidRPr="003E1F05" w:rsidRDefault="005B7A4B" w:rsidP="005B7A4B">
      <w:pPr>
        <w:rPr>
          <w:rFonts w:eastAsia="Calibri"/>
          <w:lang w:eastAsia="en-AU"/>
        </w:rPr>
      </w:pPr>
      <w:r w:rsidRPr="003E1F05">
        <w:rPr>
          <w:rFonts w:eastAsia="Calibri"/>
          <w:lang w:eastAsia="en-AU"/>
        </w:rPr>
        <w:t xml:space="preserve">The APEG indicated that the current eligibility criteria are appropriate for children, that there is insufficient evidence on which to base any additional criteria or prioritisation rules, and ideally, there should not be an age cut-off for the Programme. There are risks to creating eligibility criteria without strong clinical evidence to support the restrictions. Without evidence, such prioritisation is likely to result in inequitable distribution of pump use. </w:t>
      </w:r>
    </w:p>
    <w:p w:rsidR="005B7A4B" w:rsidRPr="003E1F05" w:rsidRDefault="005B7A4B" w:rsidP="005B7A4B">
      <w:pPr>
        <w:rPr>
          <w:rFonts w:eastAsia="Calibri"/>
          <w:lang w:eastAsia="en-AU"/>
        </w:rPr>
      </w:pPr>
      <w:proofErr w:type="gramStart"/>
      <w:r w:rsidRPr="003E1F05">
        <w:rPr>
          <w:rFonts w:eastAsia="Calibri"/>
          <w:lang w:eastAsia="en-AU"/>
        </w:rPr>
        <w:t>Commenting on the system in the United Kingdom, where adolescents are required to undertake a trial of multiple daily injections sometime between the ages of 12 and 18, APEG indicated that this may restrict insulin pump use to those who fail multiple daily injections, and undervalues the potential benefits of pump therapy for those who can also successfully use multiple daily injections.</w:t>
      </w:r>
      <w:proofErr w:type="gramEnd"/>
      <w:r w:rsidRPr="003E1F05">
        <w:rPr>
          <w:rFonts w:eastAsia="Calibri"/>
          <w:lang w:eastAsia="en-AU"/>
        </w:rPr>
        <w:t xml:space="preserve"> </w:t>
      </w:r>
    </w:p>
    <w:p w:rsidR="005B7A4B" w:rsidRPr="003E1F05" w:rsidRDefault="005B7A4B" w:rsidP="005B7A4B">
      <w:pPr>
        <w:rPr>
          <w:rFonts w:eastAsia="Calibri"/>
          <w:lang w:eastAsia="en-AU"/>
        </w:rPr>
      </w:pPr>
      <w:r w:rsidRPr="003E1F05">
        <w:rPr>
          <w:rFonts w:eastAsia="Calibri"/>
          <w:lang w:eastAsia="en-AU"/>
        </w:rPr>
        <w:t xml:space="preserve">A recent study by Johnson </w:t>
      </w:r>
      <w:r w:rsidRPr="003E1F05">
        <w:rPr>
          <w:rFonts w:eastAsia="Calibri"/>
          <w:i/>
          <w:iCs/>
          <w:lang w:eastAsia="en-AU"/>
        </w:rPr>
        <w:t>et al.</w:t>
      </w:r>
      <w:r w:rsidRPr="003E1F05">
        <w:rPr>
          <w:rFonts w:eastAsia="Calibri"/>
          <w:lang w:eastAsia="en-AU"/>
        </w:rPr>
        <w:t xml:space="preserve"> (2013), an Australian case-control analysis of children and adolescents using pump therapy, demonstrated the benefits of pump therapy, particularly for those with poor control of their diabetes prior to initiating pump treatment. Although this is an observational study, RCTs are generally of shorter duration with fewer subjects, and therefore the case-control study represents some of the best evidence available relating to pump therapy. Further analysis of this study is explored in </w:t>
      </w:r>
      <w:hyperlink w:anchor="_4.5_Additional_recent" w:history="1">
        <w:r w:rsidRPr="003E1F05">
          <w:rPr>
            <w:rStyle w:val="Hyperlink"/>
            <w:rFonts w:eastAsia="Calibri"/>
            <w:color w:val="auto"/>
            <w:lang w:eastAsia="en-AU"/>
          </w:rPr>
          <w:t>Part 4.5</w:t>
        </w:r>
      </w:hyperlink>
      <w:r w:rsidRPr="003E1F05">
        <w:rPr>
          <w:rStyle w:val="Hyperlink"/>
          <w:rFonts w:eastAsia="Calibri"/>
          <w:color w:val="auto"/>
          <w:lang w:eastAsia="en-AU"/>
        </w:rPr>
        <w:t>.1</w:t>
      </w:r>
      <w:r w:rsidRPr="003E1F05">
        <w:rPr>
          <w:rFonts w:eastAsia="Calibri"/>
          <w:lang w:eastAsia="en-AU"/>
        </w:rPr>
        <w:t>.</w:t>
      </w:r>
    </w:p>
    <w:p w:rsidR="005B7A4B" w:rsidRPr="003E1F05" w:rsidRDefault="005B7A4B" w:rsidP="005B7A4B">
      <w:pPr>
        <w:sectPr w:rsidR="005B7A4B" w:rsidRPr="003E1F05" w:rsidSect="00E75393">
          <w:headerReference w:type="even" r:id="rId18"/>
          <w:headerReference w:type="default" r:id="rId19"/>
          <w:footerReference w:type="even" r:id="rId20"/>
          <w:footerReference w:type="default" r:id="rId21"/>
          <w:headerReference w:type="first" r:id="rId22"/>
          <w:footerReference w:type="first" r:id="rId23"/>
          <w:pgSz w:w="11906" w:h="16838"/>
          <w:pgMar w:top="993" w:right="1416" w:bottom="993" w:left="1440" w:header="708" w:footer="149" w:gutter="0"/>
          <w:cols w:space="708"/>
          <w:titlePg/>
          <w:docGrid w:linePitch="360"/>
        </w:sectPr>
      </w:pPr>
    </w:p>
    <w:p w:rsidR="005B7A4B" w:rsidRPr="0012243C" w:rsidRDefault="005B7A4B" w:rsidP="005B7A4B">
      <w:pPr>
        <w:pStyle w:val="Heading1"/>
        <w:rPr>
          <w:rFonts w:eastAsia="Calibri"/>
        </w:rPr>
      </w:pPr>
      <w:bookmarkStart w:id="147" w:name="_Part_4_–_2"/>
      <w:bookmarkStart w:id="148" w:name="_Toc381090931"/>
      <w:bookmarkStart w:id="149" w:name="_Toc387664332"/>
      <w:bookmarkEnd w:id="147"/>
      <w:r w:rsidRPr="006F5CDE">
        <w:lastRenderedPageBreak/>
        <w:t xml:space="preserve">Part 4 – </w:t>
      </w:r>
      <w:proofErr w:type="spellStart"/>
      <w:r w:rsidRPr="006F5CDE">
        <w:t>T</w:t>
      </w:r>
      <w:r>
        <w:t>oR</w:t>
      </w:r>
      <w:proofErr w:type="spellEnd"/>
      <w:r>
        <w:t xml:space="preserve"> 8</w:t>
      </w:r>
      <w:r>
        <w:br/>
        <w:t>Benefits and safety of insulin pump therapy</w:t>
      </w:r>
      <w:bookmarkEnd w:id="148"/>
      <w:bookmarkEnd w:id="149"/>
      <w:r>
        <w:t xml:space="preserve"> </w:t>
      </w:r>
    </w:p>
    <w:p w:rsidR="005B7A4B" w:rsidRPr="003E1F05" w:rsidRDefault="005B7A4B" w:rsidP="005B7A4B">
      <w:pPr>
        <w:pBdr>
          <w:top w:val="single" w:sz="4" w:space="1" w:color="auto"/>
          <w:left w:val="single" w:sz="4" w:space="4" w:color="auto"/>
          <w:bottom w:val="single" w:sz="4" w:space="1" w:color="auto"/>
          <w:right w:val="single" w:sz="4" w:space="4" w:color="auto"/>
        </w:pBdr>
        <w:shd w:val="clear" w:color="auto" w:fill="F2F2F2"/>
        <w:rPr>
          <w:b/>
          <w:szCs w:val="24"/>
        </w:rPr>
      </w:pPr>
      <w:r w:rsidRPr="003E1F05">
        <w:rPr>
          <w:szCs w:val="24"/>
        </w:rPr>
        <w:t>Determine the clinical outcomes (e.g. HbA</w:t>
      </w:r>
      <w:r w:rsidRPr="003E1F05">
        <w:rPr>
          <w:szCs w:val="24"/>
          <w:vertAlign w:val="subscript"/>
        </w:rPr>
        <w:t>1c</w:t>
      </w:r>
      <w:r w:rsidRPr="003E1F05">
        <w:rPr>
          <w:szCs w:val="24"/>
        </w:rPr>
        <w:t xml:space="preserve">, health-related quality of life, and other potential benefits) and harms for people with type 1 diabetes of insulin pump therapy. In this, consideration </w:t>
      </w:r>
      <w:proofErr w:type="gramStart"/>
      <w:r w:rsidRPr="003E1F05">
        <w:rPr>
          <w:szCs w:val="24"/>
        </w:rPr>
        <w:t>should be given</w:t>
      </w:r>
      <w:proofErr w:type="gramEnd"/>
      <w:r w:rsidRPr="003E1F05">
        <w:rPr>
          <w:szCs w:val="24"/>
        </w:rPr>
        <w:t xml:space="preserve"> to different age groups, with a particular reference to those under 18 who may be eligible for the Insulin Pump Programme, which is funded by the Australian Government.</w:t>
      </w:r>
      <w:bookmarkStart w:id="150" w:name="_Toc372542357"/>
    </w:p>
    <w:p w:rsidR="005B7A4B" w:rsidRPr="00D52454" w:rsidRDefault="005B7A4B" w:rsidP="005B7A4B">
      <w:pPr>
        <w:pStyle w:val="Heading2"/>
      </w:pPr>
      <w:bookmarkStart w:id="151" w:name="_Toc372542358"/>
      <w:bookmarkStart w:id="152" w:name="_Toc381090932"/>
      <w:bookmarkStart w:id="153" w:name="_Toc387664333"/>
      <w:bookmarkEnd w:id="150"/>
      <w:r w:rsidRPr="00D52454">
        <w:t>4.1</w:t>
      </w:r>
      <w:r w:rsidRPr="00D52454">
        <w:tab/>
        <w:t xml:space="preserve">Key findings for </w:t>
      </w:r>
      <w:proofErr w:type="spellStart"/>
      <w:r w:rsidRPr="00D52454">
        <w:t>ToR</w:t>
      </w:r>
      <w:proofErr w:type="spellEnd"/>
      <w:r w:rsidRPr="00D52454">
        <w:t xml:space="preserve"> 8</w:t>
      </w:r>
      <w:bookmarkEnd w:id="151"/>
      <w:bookmarkEnd w:id="152"/>
      <w:bookmarkEnd w:id="153"/>
    </w:p>
    <w:p w:rsidR="005B7A4B" w:rsidRPr="003E1F05" w:rsidRDefault="005B7A4B" w:rsidP="005B7A4B">
      <w:pPr>
        <w:shd w:val="clear" w:color="auto" w:fill="F2F2F2" w:themeFill="background1" w:themeFillShade="F2"/>
        <w:tabs>
          <w:tab w:val="left" w:pos="426"/>
        </w:tabs>
        <w:rPr>
          <w:rFonts w:cs="Calibri"/>
          <w:b/>
          <w:i/>
        </w:rPr>
      </w:pPr>
      <w:r w:rsidRPr="003E1F05">
        <w:rPr>
          <w:rFonts w:cs="Calibri"/>
          <w:b/>
          <w:i/>
        </w:rPr>
        <w:t>First literature review: Randomised controlled trials</w:t>
      </w:r>
    </w:p>
    <w:p w:rsidR="005B7A4B" w:rsidRPr="003E1F05" w:rsidRDefault="005B7A4B" w:rsidP="005B7A4B">
      <w:pPr>
        <w:pStyle w:val="ListParagraph"/>
        <w:numPr>
          <w:ilvl w:val="0"/>
          <w:numId w:val="23"/>
        </w:numPr>
        <w:shd w:val="clear" w:color="auto" w:fill="F2F2F2" w:themeFill="background1" w:themeFillShade="F2"/>
        <w:spacing w:after="160"/>
        <w:ind w:left="425" w:hanging="425"/>
        <w:contextualSpacing w:val="0"/>
      </w:pPr>
      <w:r w:rsidRPr="003E1F05">
        <w:t>The outcomes of the systematic literature review of RCTs showed that the trial evidence could not conclusively support superior efficacy (HbA</w:t>
      </w:r>
      <w:r w:rsidRPr="003E1F05">
        <w:rPr>
          <w:vertAlign w:val="subscript"/>
        </w:rPr>
        <w:t>1c</w:t>
      </w:r>
      <w:r w:rsidRPr="003E1F05">
        <w:t xml:space="preserve"> levels) or safety (hypoglycaemic events) of insulin pump therapy over multiple daily injections in any age group. </w:t>
      </w:r>
      <w:r w:rsidRPr="003E1F05">
        <w:rPr>
          <w:bCs/>
          <w:szCs w:val="24"/>
        </w:rPr>
        <w:t xml:space="preserve">None of the trials assessed long-term health outcomes. </w:t>
      </w:r>
    </w:p>
    <w:p w:rsidR="005B7A4B" w:rsidRPr="003E1F05" w:rsidRDefault="005B7A4B" w:rsidP="005B7A4B">
      <w:pPr>
        <w:pStyle w:val="ListParagraph"/>
        <w:numPr>
          <w:ilvl w:val="0"/>
          <w:numId w:val="23"/>
        </w:numPr>
        <w:shd w:val="clear" w:color="auto" w:fill="F2F2F2" w:themeFill="background1" w:themeFillShade="F2"/>
        <w:spacing w:after="160"/>
        <w:ind w:left="425" w:hanging="425"/>
        <w:contextualSpacing w:val="0"/>
      </w:pPr>
      <w:r w:rsidRPr="003E1F05">
        <w:t>The observed benefit of insulin pump therapy compared to multiple daily injections for adults, adolescents and children, showed a modest improvement in HbA</w:t>
      </w:r>
      <w:r w:rsidRPr="003E1F05">
        <w:rPr>
          <w:vertAlign w:val="subscript"/>
        </w:rPr>
        <w:t>1c</w:t>
      </w:r>
      <w:r w:rsidRPr="003E1F05">
        <w:t xml:space="preserve"> levels. In children and adolescents the improvement in HbA</w:t>
      </w:r>
      <w:r w:rsidRPr="003E1F05">
        <w:rPr>
          <w:vertAlign w:val="subscript"/>
        </w:rPr>
        <w:t>1c</w:t>
      </w:r>
      <w:r w:rsidRPr="003E1F05">
        <w:t xml:space="preserve"> ranged from -0.22% to -0.1%, however only one of the four meta</w:t>
      </w:r>
      <w:r w:rsidRPr="003E1F05">
        <w:noBreakHyphen/>
        <w:t>analyses demonstrated a statistically significant significance. In adults, HbA</w:t>
      </w:r>
      <w:r w:rsidRPr="003E1F05">
        <w:rPr>
          <w:vertAlign w:val="subscript"/>
        </w:rPr>
        <w:t>1c</w:t>
      </w:r>
      <w:r w:rsidRPr="003E1F05">
        <w:t xml:space="preserve"> improved by -0.30% to -0.19% and all three meta-analyses showed statistical significance. The difference did not reach the 0.5% reduction generally accepted to be of clinical significance (</w:t>
      </w:r>
      <w:proofErr w:type="spellStart"/>
      <w:r w:rsidRPr="003E1F05">
        <w:t>Clar</w:t>
      </w:r>
      <w:proofErr w:type="spellEnd"/>
      <w:r w:rsidRPr="003E1F05">
        <w:t xml:space="preserve"> </w:t>
      </w:r>
      <w:r w:rsidRPr="003E1F05">
        <w:rPr>
          <w:i/>
        </w:rPr>
        <w:t>et al.</w:t>
      </w:r>
      <w:r w:rsidRPr="003E1F05">
        <w:t xml:space="preserve"> 2010; Cummins </w:t>
      </w:r>
      <w:r w:rsidRPr="003E1F05">
        <w:rPr>
          <w:i/>
        </w:rPr>
        <w:t>et al.</w:t>
      </w:r>
      <w:r w:rsidRPr="003E1F05">
        <w:t xml:space="preserve"> 2010). However, there is no consensus on this issue and a smaller reduction </w:t>
      </w:r>
      <w:proofErr w:type="gramStart"/>
      <w:r w:rsidRPr="003E1F05">
        <w:t xml:space="preserve">may </w:t>
      </w:r>
      <w:r w:rsidRPr="003E1F05">
        <w:rPr>
          <w:szCs w:val="24"/>
        </w:rPr>
        <w:t>be considered</w:t>
      </w:r>
      <w:proofErr w:type="gramEnd"/>
      <w:r w:rsidRPr="003E1F05">
        <w:rPr>
          <w:szCs w:val="24"/>
        </w:rPr>
        <w:t xml:space="preserve"> important from a public health perspective if achieved on a wide scale (Farmer </w:t>
      </w:r>
      <w:r w:rsidRPr="003E1F05">
        <w:rPr>
          <w:i/>
          <w:szCs w:val="24"/>
        </w:rPr>
        <w:t>et al.</w:t>
      </w:r>
      <w:r w:rsidRPr="003E1F05">
        <w:rPr>
          <w:szCs w:val="24"/>
        </w:rPr>
        <w:t xml:space="preserve"> 2012).</w:t>
      </w:r>
    </w:p>
    <w:p w:rsidR="005B7A4B" w:rsidRPr="003E1F05" w:rsidRDefault="005B7A4B" w:rsidP="005B7A4B">
      <w:pPr>
        <w:pStyle w:val="ListParagraph"/>
        <w:numPr>
          <w:ilvl w:val="0"/>
          <w:numId w:val="23"/>
        </w:numPr>
        <w:shd w:val="clear" w:color="auto" w:fill="F2F2F2" w:themeFill="background1" w:themeFillShade="F2"/>
        <w:spacing w:after="160"/>
        <w:ind w:left="425" w:hanging="425"/>
        <w:contextualSpacing w:val="0"/>
      </w:pPr>
      <w:r w:rsidRPr="003E1F05">
        <w:t>There is inconclusive evidence for HbA</w:t>
      </w:r>
      <w:r w:rsidRPr="003E1F05">
        <w:rPr>
          <w:vertAlign w:val="subscript"/>
        </w:rPr>
        <w:t>1c</w:t>
      </w:r>
      <w:r w:rsidRPr="003E1F05">
        <w:t xml:space="preserve"> improvements in adults, and the RCTs for children had small sample sizes, low evidence strength, and </w:t>
      </w:r>
      <w:proofErr w:type="gramStart"/>
      <w:r w:rsidRPr="003E1F05">
        <w:t>were mostly funded</w:t>
      </w:r>
      <w:proofErr w:type="gramEnd"/>
      <w:r w:rsidRPr="003E1F05">
        <w:t xml:space="preserve"> by insulin pump manufacturers.</w:t>
      </w:r>
    </w:p>
    <w:p w:rsidR="005B7A4B" w:rsidRPr="003E1F05" w:rsidRDefault="005B7A4B" w:rsidP="005B7A4B">
      <w:pPr>
        <w:pStyle w:val="ListParagraph"/>
        <w:numPr>
          <w:ilvl w:val="0"/>
          <w:numId w:val="23"/>
        </w:numPr>
        <w:shd w:val="clear" w:color="auto" w:fill="F2F2F2" w:themeFill="background1" w:themeFillShade="F2"/>
        <w:spacing w:after="160"/>
        <w:ind w:left="425" w:hanging="425"/>
        <w:contextualSpacing w:val="0"/>
      </w:pPr>
      <w:r w:rsidRPr="003E1F05">
        <w:t>In children and adolescents, the literature review found that the reported quality of life outcomes were better with insulin pump therapy compared to multiple daily injections. However, only two of the five RCTs showed a statistically significant increase favouring insulin pump therapy.</w:t>
      </w:r>
    </w:p>
    <w:p w:rsidR="005B7A4B" w:rsidRPr="003E1F05" w:rsidRDefault="005B7A4B" w:rsidP="005B7A4B">
      <w:pPr>
        <w:pStyle w:val="ListParagraph"/>
        <w:numPr>
          <w:ilvl w:val="0"/>
          <w:numId w:val="23"/>
        </w:numPr>
        <w:shd w:val="clear" w:color="auto" w:fill="F2F2F2" w:themeFill="background1" w:themeFillShade="F2"/>
        <w:spacing w:after="160"/>
        <w:ind w:left="425" w:hanging="425"/>
        <w:contextualSpacing w:val="0"/>
      </w:pPr>
      <w:r w:rsidRPr="003E1F05">
        <w:t xml:space="preserve">In adults, the literature review found that the reported quality of life outcomes scored, on average, higher with insulin pump therapy compared to multiple daily injections. A number of assessment tools </w:t>
      </w:r>
      <w:proofErr w:type="gramStart"/>
      <w:r w:rsidRPr="003E1F05">
        <w:t>were used</w:t>
      </w:r>
      <w:proofErr w:type="gramEnd"/>
      <w:r w:rsidRPr="003E1F05">
        <w:t xml:space="preserve"> with five of the eight outcome measures reporting statistically significant differences.</w:t>
      </w:r>
    </w:p>
    <w:p w:rsidR="005B7A4B" w:rsidRPr="003E1F05" w:rsidRDefault="005B7A4B" w:rsidP="005B7A4B">
      <w:pPr>
        <w:pStyle w:val="ListParagraph"/>
        <w:numPr>
          <w:ilvl w:val="0"/>
          <w:numId w:val="23"/>
        </w:numPr>
        <w:shd w:val="clear" w:color="auto" w:fill="F2F2F2" w:themeFill="background1" w:themeFillShade="F2"/>
        <w:spacing w:after="160"/>
        <w:ind w:left="425" w:hanging="425"/>
        <w:contextualSpacing w:val="0"/>
      </w:pPr>
      <w:r w:rsidRPr="003E1F05">
        <w:t>No sub-group analyses in the systematic reviews considered characteristics of children other than age.</w:t>
      </w:r>
    </w:p>
    <w:p w:rsidR="005B7A4B" w:rsidRPr="003E1F05" w:rsidRDefault="005B7A4B" w:rsidP="005B7A4B">
      <w:pPr>
        <w:keepNext/>
        <w:keepLines/>
        <w:shd w:val="clear" w:color="auto" w:fill="F2F2F2" w:themeFill="background1" w:themeFillShade="F2"/>
        <w:rPr>
          <w:b/>
          <w:i/>
        </w:rPr>
      </w:pPr>
      <w:r w:rsidRPr="003E1F05">
        <w:rPr>
          <w:b/>
          <w:i/>
        </w:rPr>
        <w:lastRenderedPageBreak/>
        <w:t>Second literature review: Observational studies</w:t>
      </w:r>
    </w:p>
    <w:p w:rsidR="005B7A4B" w:rsidRPr="003E1F05" w:rsidRDefault="005B7A4B" w:rsidP="005B7A4B">
      <w:pPr>
        <w:pStyle w:val="ListParagraph"/>
        <w:keepNext/>
        <w:keepLines/>
        <w:numPr>
          <w:ilvl w:val="0"/>
          <w:numId w:val="24"/>
        </w:numPr>
        <w:shd w:val="clear" w:color="auto" w:fill="F2F2F2" w:themeFill="background1" w:themeFillShade="F2"/>
        <w:spacing w:after="160"/>
        <w:ind w:left="425" w:hanging="425"/>
        <w:contextualSpacing w:val="0"/>
      </w:pPr>
      <w:r w:rsidRPr="003E1F05">
        <w:rPr>
          <w:rFonts w:cs="Cambria"/>
          <w:lang w:eastAsia="en-AU"/>
        </w:rPr>
        <w:t xml:space="preserve">There are a number of important limitations to observational studies including a lack of randomisation and blinding, and high risk of selection and publication bias, which mean that the results </w:t>
      </w:r>
      <w:proofErr w:type="gramStart"/>
      <w:r w:rsidRPr="003E1F05">
        <w:rPr>
          <w:rFonts w:cs="Cambria"/>
          <w:lang w:eastAsia="en-AU"/>
        </w:rPr>
        <w:t>should be interpreted</w:t>
      </w:r>
      <w:proofErr w:type="gramEnd"/>
      <w:r w:rsidRPr="003E1F05">
        <w:rPr>
          <w:rFonts w:cs="Cambria"/>
          <w:lang w:eastAsia="en-AU"/>
        </w:rPr>
        <w:t xml:space="preserve"> cautiously.</w:t>
      </w:r>
      <w:r w:rsidRPr="003E1F05">
        <w:t xml:space="preserve"> However, due to study inclusion and exclusion criteria, patients included in these studies may be more representative of use in Australian clinical practice than those in RCTs.</w:t>
      </w:r>
    </w:p>
    <w:p w:rsidR="005B7A4B" w:rsidRPr="003E1F05" w:rsidRDefault="005B7A4B" w:rsidP="005B7A4B">
      <w:pPr>
        <w:pStyle w:val="ListParagraph"/>
        <w:numPr>
          <w:ilvl w:val="0"/>
          <w:numId w:val="24"/>
        </w:numPr>
        <w:shd w:val="clear" w:color="auto" w:fill="F2F2F2" w:themeFill="background1" w:themeFillShade="F2"/>
        <w:spacing w:after="160"/>
        <w:ind w:left="425" w:hanging="425"/>
        <w:contextualSpacing w:val="0"/>
      </w:pPr>
      <w:r w:rsidRPr="003E1F05">
        <w:t>The systematic literature review of observational evidence indicates that children, adolescents, and adults appear to achieve greater reductions in HbA</w:t>
      </w:r>
      <w:r w:rsidRPr="003E1F05">
        <w:rPr>
          <w:vertAlign w:val="subscript"/>
        </w:rPr>
        <w:t>1c</w:t>
      </w:r>
      <w:r w:rsidRPr="003E1F05">
        <w:t xml:space="preserve"> with insulin pump therapy than with multiple daily injections. In the majority of studies, statistically significant reductions in </w:t>
      </w:r>
      <w:r w:rsidRPr="003E1F05">
        <w:rPr>
          <w:rFonts w:cs="Cambria"/>
          <w:lang w:eastAsia="en-AU"/>
        </w:rPr>
        <w:t>HbA</w:t>
      </w:r>
      <w:r w:rsidRPr="003E1F05">
        <w:rPr>
          <w:rFonts w:cs="Cambria"/>
          <w:vertAlign w:val="subscript"/>
          <w:lang w:eastAsia="en-AU"/>
        </w:rPr>
        <w:t>1c</w:t>
      </w:r>
      <w:r w:rsidRPr="003E1F05">
        <w:rPr>
          <w:rFonts w:cs="Cambria"/>
          <w:lang w:eastAsia="en-AU"/>
        </w:rPr>
        <w:t xml:space="preserve"> </w:t>
      </w:r>
      <w:proofErr w:type="gramStart"/>
      <w:r w:rsidRPr="003E1F05">
        <w:rPr>
          <w:rFonts w:cs="Cambria"/>
          <w:lang w:eastAsia="en-AU"/>
        </w:rPr>
        <w:t>were found to be maintained</w:t>
      </w:r>
      <w:proofErr w:type="gramEnd"/>
      <w:r w:rsidRPr="003E1F05">
        <w:rPr>
          <w:rFonts w:cs="Cambria"/>
          <w:lang w:eastAsia="en-AU"/>
        </w:rPr>
        <w:t xml:space="preserve"> over several years. </w:t>
      </w:r>
      <w:r w:rsidRPr="003E1F05">
        <w:t>Of the 20 observational studies in children and adolescents, fourteen showed statistically significant reductions or end of study differences in HbA</w:t>
      </w:r>
      <w:r w:rsidRPr="003E1F05">
        <w:rPr>
          <w:vertAlign w:val="subscript"/>
        </w:rPr>
        <w:t xml:space="preserve">1c </w:t>
      </w:r>
      <w:r w:rsidRPr="003E1F05">
        <w:rPr>
          <w:rFonts w:cs="Cambria"/>
          <w:lang w:eastAsia="en-AU"/>
        </w:rPr>
        <w:t xml:space="preserve">favouring insulin pump therapy. </w:t>
      </w:r>
    </w:p>
    <w:p w:rsidR="005B7A4B" w:rsidRPr="003E1F05" w:rsidRDefault="005B7A4B" w:rsidP="005B7A4B">
      <w:pPr>
        <w:pStyle w:val="ListParagraph"/>
        <w:numPr>
          <w:ilvl w:val="0"/>
          <w:numId w:val="24"/>
        </w:numPr>
        <w:shd w:val="clear" w:color="auto" w:fill="F2F2F2" w:themeFill="background1" w:themeFillShade="F2"/>
        <w:spacing w:after="160"/>
        <w:ind w:left="425" w:hanging="425"/>
        <w:contextualSpacing w:val="0"/>
      </w:pPr>
      <w:r w:rsidRPr="003E1F05">
        <w:rPr>
          <w:rFonts w:cs="Cambria"/>
          <w:lang w:eastAsia="en-AU"/>
        </w:rPr>
        <w:t xml:space="preserve">The reductions in </w:t>
      </w:r>
      <w:r w:rsidRPr="003E1F05">
        <w:t>HbA</w:t>
      </w:r>
      <w:r w:rsidRPr="003E1F05">
        <w:rPr>
          <w:vertAlign w:val="subscript"/>
        </w:rPr>
        <w:t>1c</w:t>
      </w:r>
      <w:r w:rsidRPr="003E1F05">
        <w:rPr>
          <w:rFonts w:cs="Cambria"/>
          <w:lang w:eastAsia="en-AU"/>
        </w:rPr>
        <w:t xml:space="preserve"> </w:t>
      </w:r>
      <w:proofErr w:type="gramStart"/>
      <w:r w:rsidRPr="003E1F05">
        <w:rPr>
          <w:rFonts w:cs="Cambria"/>
          <w:lang w:eastAsia="en-AU"/>
        </w:rPr>
        <w:t>were shown</w:t>
      </w:r>
      <w:proofErr w:type="gramEnd"/>
      <w:r w:rsidRPr="003E1F05">
        <w:rPr>
          <w:rFonts w:cs="Cambria"/>
          <w:lang w:eastAsia="en-AU"/>
        </w:rPr>
        <w:t xml:space="preserve"> to be greater in patients with high initial HbA</w:t>
      </w:r>
      <w:r w:rsidRPr="003E1F05">
        <w:rPr>
          <w:rFonts w:cs="Cambria"/>
          <w:vertAlign w:val="subscript"/>
          <w:lang w:eastAsia="en-AU"/>
        </w:rPr>
        <w:t>1c</w:t>
      </w:r>
      <w:r w:rsidRPr="003E1F05">
        <w:rPr>
          <w:rFonts w:cs="Cambria"/>
          <w:lang w:eastAsia="en-AU"/>
        </w:rPr>
        <w:t xml:space="preserve"> levels, and two studies reported that </w:t>
      </w:r>
      <w:r w:rsidRPr="003E1F05">
        <w:rPr>
          <w:lang w:eastAsia="en-AU"/>
        </w:rPr>
        <w:t>insulin pump therapy</w:t>
      </w:r>
      <w:r w:rsidRPr="003E1F05">
        <w:rPr>
          <w:rFonts w:cs="Cambria"/>
          <w:lang w:eastAsia="en-AU"/>
        </w:rPr>
        <w:t xml:space="preserve"> seems more beneficial when initiated in children under six years old.</w:t>
      </w:r>
    </w:p>
    <w:p w:rsidR="005B7A4B" w:rsidRPr="003E1F05" w:rsidRDefault="005B7A4B" w:rsidP="005B7A4B">
      <w:pPr>
        <w:pStyle w:val="ListParagraph"/>
        <w:numPr>
          <w:ilvl w:val="0"/>
          <w:numId w:val="24"/>
        </w:numPr>
        <w:shd w:val="clear" w:color="auto" w:fill="F2F2F2" w:themeFill="background1" w:themeFillShade="F2"/>
        <w:spacing w:after="160"/>
        <w:ind w:left="425" w:hanging="425"/>
        <w:contextualSpacing w:val="0"/>
      </w:pPr>
      <w:r w:rsidRPr="003E1F05">
        <w:rPr>
          <w:rFonts w:cs="Cambria"/>
          <w:lang w:eastAsia="en-AU"/>
        </w:rPr>
        <w:t>Where reported, most observational studies showed lower risks of severe hypoglycaemia with insulin pump therapy in children, adolescents and adults</w:t>
      </w:r>
      <w:r w:rsidR="00B308E5" w:rsidRPr="003E1F05">
        <w:rPr>
          <w:rFonts w:cs="Cambria"/>
          <w:lang w:eastAsia="en-AU"/>
        </w:rPr>
        <w:t>, with most evidence found in children</w:t>
      </w:r>
      <w:r w:rsidRPr="003E1F05">
        <w:rPr>
          <w:rFonts w:cs="Cambria"/>
          <w:lang w:eastAsia="en-AU"/>
        </w:rPr>
        <w:t xml:space="preserve">. </w:t>
      </w:r>
    </w:p>
    <w:p w:rsidR="005B7A4B" w:rsidRPr="003E1F05" w:rsidRDefault="005B7A4B" w:rsidP="005B7A4B">
      <w:pPr>
        <w:pStyle w:val="ListParagraph"/>
        <w:numPr>
          <w:ilvl w:val="0"/>
          <w:numId w:val="24"/>
        </w:numPr>
        <w:shd w:val="clear" w:color="auto" w:fill="F2F2F2" w:themeFill="background1" w:themeFillShade="F2"/>
        <w:spacing w:after="160"/>
        <w:ind w:left="425" w:hanging="425"/>
        <w:contextualSpacing w:val="0"/>
      </w:pPr>
      <w:r w:rsidRPr="003E1F05">
        <w:rPr>
          <w:rFonts w:cs="Cambria"/>
          <w:lang w:eastAsia="en-AU"/>
        </w:rPr>
        <w:t>Of four observational studies of glycaemic variability, all demonstrated statistically significant results favouring insulin pump therapy.</w:t>
      </w:r>
    </w:p>
    <w:p w:rsidR="005B7A4B" w:rsidRPr="003E1F05" w:rsidRDefault="005B7A4B" w:rsidP="005B7A4B">
      <w:pPr>
        <w:pStyle w:val="ListParagraph"/>
        <w:numPr>
          <w:ilvl w:val="0"/>
          <w:numId w:val="24"/>
        </w:numPr>
        <w:shd w:val="clear" w:color="auto" w:fill="F2F2F2" w:themeFill="background1" w:themeFillShade="F2"/>
        <w:spacing w:after="160"/>
        <w:ind w:left="425" w:hanging="425"/>
        <w:contextualSpacing w:val="0"/>
      </w:pPr>
      <w:r w:rsidRPr="003E1F05">
        <w:rPr>
          <w:rFonts w:cs="Cambria"/>
          <w:lang w:eastAsia="en-AU"/>
        </w:rPr>
        <w:t xml:space="preserve">A recently published case-control study undertaken in children and adolescents in Australia showed a significant reduction in HbA1c of 0.6% with insulin pump therapy and reduced rates of severe hypoglycaemia and hospitalisation for DKA (Johnson </w:t>
      </w:r>
      <w:r w:rsidRPr="003E1F05">
        <w:rPr>
          <w:rFonts w:cs="Cambria"/>
          <w:i/>
          <w:lang w:eastAsia="en-AU"/>
        </w:rPr>
        <w:t>et al.</w:t>
      </w:r>
      <w:r w:rsidRPr="003E1F05">
        <w:rPr>
          <w:rFonts w:cs="Cambria"/>
          <w:lang w:eastAsia="en-AU"/>
        </w:rPr>
        <w:t xml:space="preserve"> 2013). </w:t>
      </w:r>
    </w:p>
    <w:p w:rsidR="005B7A4B" w:rsidRPr="003E1F05" w:rsidRDefault="005B7A4B" w:rsidP="005B7A4B">
      <w:pPr>
        <w:shd w:val="clear" w:color="auto" w:fill="F2F2F2" w:themeFill="background1" w:themeFillShade="F2"/>
        <w:spacing w:after="160"/>
        <w:rPr>
          <w:b/>
          <w:i/>
        </w:rPr>
      </w:pPr>
      <w:r w:rsidRPr="003E1F05">
        <w:rPr>
          <w:b/>
          <w:i/>
        </w:rPr>
        <w:t>Stakeholder input</w:t>
      </w:r>
    </w:p>
    <w:p w:rsidR="005B7A4B" w:rsidRPr="003E1F05" w:rsidRDefault="005B7A4B" w:rsidP="005B7A4B">
      <w:pPr>
        <w:pStyle w:val="ListParagraph"/>
        <w:numPr>
          <w:ilvl w:val="0"/>
          <w:numId w:val="23"/>
        </w:numPr>
        <w:shd w:val="clear" w:color="auto" w:fill="F2F2F2" w:themeFill="background1" w:themeFillShade="F2"/>
        <w:spacing w:after="160"/>
        <w:ind w:left="425" w:hanging="425"/>
        <w:contextualSpacing w:val="0"/>
      </w:pPr>
      <w:r w:rsidRPr="003E1F05">
        <w:rPr>
          <w:szCs w:val="24"/>
        </w:rPr>
        <w:t xml:space="preserve">Drawing on information from the written submissions and the Stakeholder Forum, the overall sentiment from consumers, consumer groups and manufacturers is that there are clinical benefits to insulin pump therapy. </w:t>
      </w:r>
      <w:r w:rsidRPr="003E1F05">
        <w:rPr>
          <w:bCs/>
          <w:szCs w:val="24"/>
        </w:rPr>
        <w:t xml:space="preserve">Improvements in effectiveness, safety and quality of life </w:t>
      </w:r>
      <w:proofErr w:type="gramStart"/>
      <w:r w:rsidRPr="003E1F05">
        <w:t>were reported</w:t>
      </w:r>
      <w:proofErr w:type="gramEnd"/>
      <w:r w:rsidRPr="003E1F05">
        <w:t xml:space="preserve"> in the public submissions. </w:t>
      </w:r>
    </w:p>
    <w:p w:rsidR="005B7A4B" w:rsidRPr="003E1F05" w:rsidRDefault="005B7A4B" w:rsidP="005B7A4B">
      <w:pPr>
        <w:pStyle w:val="ListParagraph"/>
        <w:widowControl w:val="0"/>
        <w:numPr>
          <w:ilvl w:val="0"/>
          <w:numId w:val="25"/>
        </w:numPr>
        <w:shd w:val="clear" w:color="auto" w:fill="F2F2F2" w:themeFill="background1" w:themeFillShade="F2"/>
        <w:ind w:left="425" w:hanging="425"/>
        <w:contextualSpacing w:val="0"/>
        <w:rPr>
          <w:szCs w:val="24"/>
        </w:rPr>
      </w:pPr>
      <w:r w:rsidRPr="003E1F05">
        <w:rPr>
          <w:szCs w:val="24"/>
        </w:rPr>
        <w:t>Clinical groups expressed that while the evidence does not conclusively support the superior outcomes of insulin pump therapy, there is some benefit in particular patient sub-groups, including high-risk patients.</w:t>
      </w:r>
    </w:p>
    <w:p w:rsidR="005B7A4B" w:rsidRPr="003E1F05" w:rsidRDefault="005B7A4B" w:rsidP="005B7A4B">
      <w:pPr>
        <w:pStyle w:val="ListParagraph"/>
        <w:widowControl w:val="0"/>
        <w:numPr>
          <w:ilvl w:val="0"/>
          <w:numId w:val="25"/>
        </w:numPr>
        <w:shd w:val="clear" w:color="auto" w:fill="F2F2F2" w:themeFill="background1" w:themeFillShade="F2"/>
        <w:ind w:left="425" w:hanging="425"/>
        <w:contextualSpacing w:val="0"/>
        <w:rPr>
          <w:szCs w:val="24"/>
        </w:rPr>
      </w:pPr>
      <w:r w:rsidRPr="003E1F05">
        <w:rPr>
          <w:szCs w:val="24"/>
        </w:rPr>
        <w:t>It was explicit that the success of either insulin pump or multiple daily injection therapy was dependent on the level of motivation and subsequent compliance of the patient and/or carer.</w:t>
      </w:r>
    </w:p>
    <w:p w:rsidR="005B7A4B" w:rsidRPr="00D52454" w:rsidRDefault="005B7A4B" w:rsidP="005B7A4B">
      <w:pPr>
        <w:pStyle w:val="Heading2"/>
        <w:keepNext/>
        <w:keepLines/>
      </w:pPr>
      <w:bookmarkStart w:id="154" w:name="_Toc381090933"/>
      <w:bookmarkStart w:id="155" w:name="_Toc387664334"/>
      <w:r w:rsidRPr="00D52454">
        <w:lastRenderedPageBreak/>
        <w:t>4.2</w:t>
      </w:r>
      <w:r w:rsidRPr="00D52454">
        <w:tab/>
        <w:t>Introduction</w:t>
      </w:r>
      <w:bookmarkEnd w:id="154"/>
      <w:bookmarkEnd w:id="155"/>
    </w:p>
    <w:p w:rsidR="005B7A4B" w:rsidRPr="003E1F05" w:rsidRDefault="005B7A4B" w:rsidP="005B7A4B">
      <w:pPr>
        <w:keepNext/>
        <w:keepLines/>
        <w:spacing w:before="120" w:after="120"/>
        <w:rPr>
          <w:bCs/>
          <w:szCs w:val="24"/>
        </w:rPr>
      </w:pPr>
      <w:r w:rsidRPr="003E1F05">
        <w:rPr>
          <w:bCs/>
          <w:szCs w:val="24"/>
        </w:rPr>
        <w:t>In this section, the aim is to address the differences in clinical outcomes between insulin pump therapy, also known as continuous subcutaneous insulin infusion, and multiple daily injections. Different age groups were analysed to determine if there are sub-groups that would benefit more from insulin pump therapy.</w:t>
      </w:r>
    </w:p>
    <w:p w:rsidR="005B7A4B" w:rsidRPr="003E1F05" w:rsidRDefault="005B7A4B" w:rsidP="005B7A4B">
      <w:pPr>
        <w:autoSpaceDE w:val="0"/>
        <w:autoSpaceDN w:val="0"/>
        <w:adjustRightInd w:val="0"/>
        <w:spacing w:before="120" w:after="0"/>
        <w:rPr>
          <w:bCs/>
          <w:szCs w:val="24"/>
        </w:rPr>
      </w:pPr>
      <w:r w:rsidRPr="003E1F05">
        <w:rPr>
          <w:bCs/>
          <w:szCs w:val="24"/>
        </w:rPr>
        <w:t xml:space="preserve">In the 2010 Cochrane Collaboration Report, </w:t>
      </w:r>
      <w:proofErr w:type="spellStart"/>
      <w:r w:rsidRPr="003E1F05">
        <w:rPr>
          <w:bCs/>
          <w:szCs w:val="24"/>
        </w:rPr>
        <w:t>Misso</w:t>
      </w:r>
      <w:proofErr w:type="spellEnd"/>
      <w:r w:rsidRPr="003E1F05">
        <w:rPr>
          <w:bCs/>
          <w:szCs w:val="24"/>
        </w:rPr>
        <w:t xml:space="preserve"> </w:t>
      </w:r>
      <w:r w:rsidRPr="003E1F05">
        <w:rPr>
          <w:bCs/>
          <w:i/>
          <w:szCs w:val="24"/>
        </w:rPr>
        <w:t>et al</w:t>
      </w:r>
      <w:r w:rsidRPr="003E1F05">
        <w:rPr>
          <w:bCs/>
          <w:szCs w:val="24"/>
        </w:rPr>
        <w:t xml:space="preserve">. concluded that there </w:t>
      </w:r>
      <w:proofErr w:type="gramStart"/>
      <w:r w:rsidRPr="003E1F05">
        <w:rPr>
          <w:bCs/>
          <w:szCs w:val="24"/>
        </w:rPr>
        <w:t>may</w:t>
      </w:r>
      <w:proofErr w:type="gramEnd"/>
      <w:r w:rsidRPr="003E1F05">
        <w:rPr>
          <w:bCs/>
          <w:szCs w:val="24"/>
        </w:rPr>
        <w:t xml:space="preserve"> be benefits to using insulin pumps over multiple daily injections for improving glycaemic control and quality of life for people with type 1 diabetes. However, there was insufficient evidence around diabetes late complications, adverse events, mortality and costs, to make clinical recommendations regarding which form of therapy was superior. The systematic review that informed the NHMRC-approved </w:t>
      </w:r>
      <w:r w:rsidRPr="003E1F05">
        <w:rPr>
          <w:bCs/>
          <w:i/>
          <w:szCs w:val="24"/>
        </w:rPr>
        <w:t xml:space="preserve">National Evidence-Based Clinical Care Guidelines for Type 1 Diabetes in Children, Adolescents and Adults </w:t>
      </w:r>
      <w:r w:rsidRPr="003E1F05">
        <w:rPr>
          <w:bCs/>
          <w:szCs w:val="24"/>
        </w:rPr>
        <w:t xml:space="preserve">(Craig </w:t>
      </w:r>
      <w:r w:rsidRPr="003E1F05">
        <w:rPr>
          <w:bCs/>
          <w:i/>
          <w:szCs w:val="24"/>
        </w:rPr>
        <w:t>et al</w:t>
      </w:r>
      <w:r w:rsidRPr="003E1F05">
        <w:rPr>
          <w:bCs/>
          <w:szCs w:val="24"/>
        </w:rPr>
        <w:t xml:space="preserve">. 2011), indicated that the slight, but statistically significant, improvement in observed benefits with insulin pump therapy may have been due to the intensive diabetes management plan, as opposed to pump therapy alone. </w:t>
      </w:r>
    </w:p>
    <w:p w:rsidR="005B7A4B" w:rsidRPr="003E1F05" w:rsidRDefault="005B7A4B" w:rsidP="005B7A4B">
      <w:pPr>
        <w:autoSpaceDE w:val="0"/>
        <w:autoSpaceDN w:val="0"/>
        <w:adjustRightInd w:val="0"/>
        <w:spacing w:before="120" w:after="0"/>
        <w:rPr>
          <w:rFonts w:eastAsia="Calibri"/>
        </w:rPr>
      </w:pPr>
      <w:r w:rsidRPr="003E1F05">
        <w:rPr>
          <w:rFonts w:eastAsia="Calibri"/>
        </w:rPr>
        <w:t>To clarify some of this uncertainty, the Department engaged the Quality Use of Medicines and Pharmacy Research Centre (QUMPRC) of the University of South Australia to conduct a literature review to evaluate systematically randomised controlled trial (RCT) evidence on the efficacy and safety of insulin pump therapy versus multiple daily insulin injections, the traditional method of administering insulin. Noting the discrepancy between the trial evidence, from the first literature review, which showed only a small benefit of insulin pump therapy in terms of HbA</w:t>
      </w:r>
      <w:r w:rsidRPr="003E1F05">
        <w:rPr>
          <w:rFonts w:eastAsia="Calibri"/>
          <w:vertAlign w:val="subscript"/>
        </w:rPr>
        <w:t>1c</w:t>
      </w:r>
      <w:r w:rsidRPr="003E1F05">
        <w:rPr>
          <w:rFonts w:eastAsia="Calibri"/>
        </w:rPr>
        <w:t xml:space="preserve"> and no effect on hypoglycaemia, and the stakeholder submissions, which indicated benefits to HbA</w:t>
      </w:r>
      <w:r w:rsidRPr="003E1F05">
        <w:rPr>
          <w:rFonts w:eastAsia="Calibri"/>
          <w:vertAlign w:val="subscript"/>
        </w:rPr>
        <w:t>1c</w:t>
      </w:r>
      <w:r w:rsidRPr="003E1F05">
        <w:rPr>
          <w:rFonts w:eastAsia="Calibri"/>
        </w:rPr>
        <w:t xml:space="preserve"> and quality of life, the Reference Group requested an additional literature review of observational studies.</w:t>
      </w:r>
    </w:p>
    <w:p w:rsidR="005B7A4B" w:rsidRPr="003E1F05" w:rsidRDefault="005B7A4B" w:rsidP="005B7A4B">
      <w:pPr>
        <w:spacing w:before="120"/>
        <w:rPr>
          <w:rFonts w:eastAsia="Calibri"/>
        </w:rPr>
      </w:pPr>
      <w:r w:rsidRPr="003E1F05">
        <w:rPr>
          <w:rFonts w:eastAsia="Calibri"/>
        </w:rPr>
        <w:t>Most RCTs excluded patients with diabetes complications, other chronic illnesses, pregnancy or hypoglycaemia unawareness. Baseline HbA</w:t>
      </w:r>
      <w:r w:rsidRPr="003E1F05">
        <w:rPr>
          <w:rFonts w:eastAsia="Calibri"/>
          <w:vertAlign w:val="subscript"/>
        </w:rPr>
        <w:t>1c</w:t>
      </w:r>
      <w:r w:rsidRPr="003E1F05">
        <w:rPr>
          <w:rFonts w:eastAsia="Calibri"/>
        </w:rPr>
        <w:t xml:space="preserve"> in the RCTs was frequently ≥ 8.0% </w:t>
      </w:r>
      <w:proofErr w:type="gramStart"/>
      <w:r w:rsidRPr="003E1F05">
        <w:rPr>
          <w:rFonts w:eastAsia="Calibri"/>
        </w:rPr>
        <w:t xml:space="preserve">(64 </w:t>
      </w:r>
      <w:proofErr w:type="spellStart"/>
      <w:r w:rsidRPr="003E1F05">
        <w:rPr>
          <w:rFonts w:eastAsia="Calibri"/>
        </w:rPr>
        <w:t>mmol</w:t>
      </w:r>
      <w:proofErr w:type="spellEnd"/>
      <w:r w:rsidRPr="003E1F05">
        <w:rPr>
          <w:rFonts w:eastAsia="Calibri"/>
        </w:rPr>
        <w:t>/</w:t>
      </w:r>
      <w:proofErr w:type="spellStart"/>
      <w:r w:rsidRPr="003E1F05">
        <w:rPr>
          <w:rFonts w:eastAsia="Calibri"/>
        </w:rPr>
        <w:t>mol</w:t>
      </w:r>
      <w:proofErr w:type="spellEnd"/>
      <w:r w:rsidRPr="003E1F05">
        <w:rPr>
          <w:rFonts w:eastAsia="Calibri"/>
        </w:rPr>
        <w:t>)</w:t>
      </w:r>
      <w:proofErr w:type="gramEnd"/>
      <w:r w:rsidRPr="003E1F05">
        <w:rPr>
          <w:rFonts w:eastAsia="Calibri"/>
        </w:rPr>
        <w:t xml:space="preserve"> in studies of children. With some exceptions (e.g. Thomas </w:t>
      </w:r>
      <w:r w:rsidRPr="003E1F05">
        <w:rPr>
          <w:rFonts w:eastAsia="Calibri"/>
          <w:i/>
        </w:rPr>
        <w:t>et al.</w:t>
      </w:r>
      <w:r w:rsidRPr="003E1F05">
        <w:rPr>
          <w:rFonts w:eastAsia="Calibri"/>
        </w:rPr>
        <w:t xml:space="preserve"> 2007, </w:t>
      </w:r>
      <w:proofErr w:type="spellStart"/>
      <w:r w:rsidRPr="003E1F05">
        <w:rPr>
          <w:rFonts w:eastAsia="Calibri"/>
        </w:rPr>
        <w:t>DeVries</w:t>
      </w:r>
      <w:proofErr w:type="spellEnd"/>
      <w:r w:rsidRPr="003E1F05">
        <w:rPr>
          <w:rFonts w:eastAsia="Calibri"/>
        </w:rPr>
        <w:t xml:space="preserve"> </w:t>
      </w:r>
      <w:r w:rsidRPr="003E1F05">
        <w:rPr>
          <w:rFonts w:eastAsia="Calibri"/>
          <w:i/>
        </w:rPr>
        <w:t>et al.</w:t>
      </w:r>
      <w:r w:rsidRPr="003E1F05">
        <w:rPr>
          <w:rFonts w:eastAsia="Calibri"/>
        </w:rPr>
        <w:t xml:space="preserve"> 2002), most RCTs were not restricted to patients with severe hypoglycaemia, hypoglycaemia unawareness or persistent poor control on multiple daily injections. The paucity of data from RCTs regarding outcomes in these subgroups has made it difficult to determine if such patients receive greater benefit from insulin pump therapy than people who </w:t>
      </w:r>
      <w:proofErr w:type="gramStart"/>
      <w:r w:rsidRPr="003E1F05">
        <w:rPr>
          <w:rFonts w:eastAsia="Calibri"/>
        </w:rPr>
        <w:t>were previously well controlled</w:t>
      </w:r>
      <w:proofErr w:type="gramEnd"/>
      <w:r w:rsidRPr="003E1F05">
        <w:rPr>
          <w:rFonts w:eastAsia="Calibri"/>
        </w:rPr>
        <w:t xml:space="preserve"> on multiple daily injections. </w:t>
      </w:r>
    </w:p>
    <w:p w:rsidR="005B7A4B" w:rsidRPr="003E1F05" w:rsidRDefault="005B7A4B" w:rsidP="005B7A4B">
      <w:pPr>
        <w:spacing w:before="120"/>
        <w:rPr>
          <w:rFonts w:eastAsia="Calibri"/>
        </w:rPr>
      </w:pPr>
      <w:r w:rsidRPr="003E1F05">
        <w:rPr>
          <w:rFonts w:eastAsia="Calibri"/>
        </w:rPr>
        <w:t>In contrast, observational studies often involved a wider range of patients with indications for insulin pump therapy including high HbA</w:t>
      </w:r>
      <w:r w:rsidRPr="003E1F05">
        <w:rPr>
          <w:rFonts w:eastAsia="Calibri"/>
          <w:vertAlign w:val="subscript"/>
        </w:rPr>
        <w:t>1c</w:t>
      </w:r>
      <w:r w:rsidRPr="003E1F05">
        <w:rPr>
          <w:rFonts w:eastAsia="Calibri"/>
        </w:rPr>
        <w:t xml:space="preserve">, wide blood glucose variability, frequent or severe hypoglycaemia, dawn phenomenon (see </w:t>
      </w:r>
      <w:hyperlink w:anchor="_Glossary" w:history="1">
        <w:r w:rsidRPr="003E1F05">
          <w:rPr>
            <w:rStyle w:val="Hyperlink"/>
            <w:rFonts w:eastAsia="Calibri"/>
            <w:color w:val="auto"/>
          </w:rPr>
          <w:t>Glossary</w:t>
        </w:r>
      </w:hyperlink>
      <w:r w:rsidRPr="003E1F05">
        <w:rPr>
          <w:rFonts w:eastAsia="Calibri"/>
        </w:rPr>
        <w:t xml:space="preserve">), development of complications, pregnant or planning a pregnancy, concurrent chronic illness, needle phobia, and irregular lifestyle or need for lifestyle flexibility. </w:t>
      </w:r>
    </w:p>
    <w:p w:rsidR="005B7A4B" w:rsidRPr="003E1F05" w:rsidRDefault="005B7A4B" w:rsidP="005B7A4B">
      <w:pPr>
        <w:spacing w:before="120"/>
        <w:rPr>
          <w:rFonts w:eastAsia="Calibri"/>
        </w:rPr>
      </w:pPr>
      <w:r w:rsidRPr="003E1F05">
        <w:rPr>
          <w:rFonts w:eastAsia="Calibri"/>
        </w:rPr>
        <w:lastRenderedPageBreak/>
        <w:t xml:space="preserve">In current Australian clinical practice, initiation to insulin pump therapy often involves consideration of factors such as the capacity to pay for the pump, technological and cognitive competence to manage the pump, and a high level of patient/carer motivation to intensively monitor and manage diabetes (Victorian CSII Working Party 2009, O’Connell </w:t>
      </w:r>
      <w:r w:rsidRPr="003E1F05">
        <w:rPr>
          <w:rFonts w:eastAsia="Calibri"/>
          <w:i/>
        </w:rPr>
        <w:t>et al.</w:t>
      </w:r>
      <w:r w:rsidRPr="003E1F05">
        <w:rPr>
          <w:rFonts w:eastAsia="Calibri"/>
        </w:rPr>
        <w:t xml:space="preserve"> 2008). However, the Australian clinical guidelines for type 1 diabetes indicate that patients likely to benefit from insulin pump therapy include pregnant women (ideally preconception), some children and adolescents, and those with hypoglycaemia unawareness or microvascular complications (Craig </w:t>
      </w:r>
      <w:r w:rsidRPr="003E1F05">
        <w:rPr>
          <w:rFonts w:eastAsia="Calibri"/>
          <w:i/>
        </w:rPr>
        <w:t>et al.</w:t>
      </w:r>
      <w:r w:rsidRPr="003E1F05">
        <w:rPr>
          <w:rFonts w:eastAsia="Calibri"/>
        </w:rPr>
        <w:t xml:space="preserve"> 2011).  </w:t>
      </w:r>
    </w:p>
    <w:p w:rsidR="005B7A4B" w:rsidRPr="003E1F05" w:rsidRDefault="005B7A4B" w:rsidP="005B7A4B">
      <w:pPr>
        <w:spacing w:before="120"/>
        <w:rPr>
          <w:rFonts w:eastAsia="Calibri"/>
        </w:rPr>
      </w:pPr>
      <w:r w:rsidRPr="003E1F05">
        <w:rPr>
          <w:rFonts w:eastAsia="Calibri"/>
        </w:rPr>
        <w:t xml:space="preserve">In general, evidence from RCTs </w:t>
      </w:r>
      <w:proofErr w:type="gramStart"/>
      <w:r w:rsidRPr="003E1F05">
        <w:rPr>
          <w:rFonts w:eastAsia="Calibri"/>
        </w:rPr>
        <w:t>should be given</w:t>
      </w:r>
      <w:proofErr w:type="gramEnd"/>
      <w:r w:rsidRPr="003E1F05">
        <w:rPr>
          <w:rFonts w:eastAsia="Calibri"/>
        </w:rPr>
        <w:t xml:space="preserve"> greater weight than observational studies. However, it seems likely that the populations included in observational studies may be more reflective of patients using insulin pump therapy in Australia, than patients involved in RCTs, e.g. those with complications, hypoglycaemia unawareness or who </w:t>
      </w:r>
      <w:proofErr w:type="gramStart"/>
      <w:r w:rsidRPr="003E1F05">
        <w:rPr>
          <w:rFonts w:eastAsia="Calibri"/>
        </w:rPr>
        <w:t>are poorly managed</w:t>
      </w:r>
      <w:proofErr w:type="gramEnd"/>
      <w:r w:rsidRPr="003E1F05">
        <w:rPr>
          <w:rFonts w:eastAsia="Calibri"/>
        </w:rPr>
        <w:t xml:space="preserve"> on multiple daily injections. An insulin pump user survey in Australia indicated that 88% of patients initiated pump therapy to better control their diabetes (to reduce hypoglycaemic or hyperglycaemic events), and around 60% were recommended to use a pump by a doctor or diabetes educator (AIHW 2012b).</w:t>
      </w:r>
    </w:p>
    <w:p w:rsidR="005B7A4B" w:rsidRPr="00D52454" w:rsidRDefault="005B7A4B" w:rsidP="005B7A4B">
      <w:pPr>
        <w:pStyle w:val="Heading2"/>
      </w:pPr>
      <w:bookmarkStart w:id="156" w:name="_Toc372542359"/>
      <w:bookmarkStart w:id="157" w:name="_Toc381090934"/>
      <w:bookmarkStart w:id="158" w:name="_Toc387664335"/>
      <w:r w:rsidRPr="00D52454">
        <w:t>4.3</w:t>
      </w:r>
      <w:r w:rsidRPr="00D52454">
        <w:tab/>
        <w:t xml:space="preserve">First literature review: </w:t>
      </w:r>
      <w:r w:rsidRPr="00D52454">
        <w:rPr>
          <w:lang w:val="en-AU"/>
        </w:rPr>
        <w:t>Randomised</w:t>
      </w:r>
      <w:r w:rsidRPr="00D52454">
        <w:t xml:space="preserve"> controlled trials</w:t>
      </w:r>
      <w:bookmarkEnd w:id="156"/>
      <w:r w:rsidRPr="00D52454">
        <w:t xml:space="preserve"> (RCTs)</w:t>
      </w:r>
      <w:bookmarkEnd w:id="157"/>
      <w:bookmarkEnd w:id="158"/>
    </w:p>
    <w:p w:rsidR="005B7A4B" w:rsidRPr="00787F54" w:rsidRDefault="005B7A4B" w:rsidP="005B7A4B">
      <w:pPr>
        <w:pStyle w:val="Heading3"/>
        <w:rPr>
          <w:rFonts w:eastAsia="Calibri"/>
        </w:rPr>
      </w:pPr>
      <w:r w:rsidRPr="00787F54">
        <w:rPr>
          <w:rFonts w:eastAsia="Calibri"/>
        </w:rPr>
        <w:t>4.3.1</w:t>
      </w:r>
      <w:r w:rsidRPr="00787F54">
        <w:rPr>
          <w:rFonts w:eastAsia="Calibri"/>
        </w:rPr>
        <w:tab/>
        <w:t>Methodology</w:t>
      </w:r>
    </w:p>
    <w:p w:rsidR="005B7A4B" w:rsidRPr="003E1F05" w:rsidRDefault="005B7A4B" w:rsidP="005B7A4B">
      <w:pPr>
        <w:spacing w:before="120"/>
        <w:rPr>
          <w:rFonts w:eastAsia="Calibri"/>
        </w:rPr>
      </w:pPr>
      <w:r w:rsidRPr="003E1F05">
        <w:rPr>
          <w:rFonts w:eastAsia="Calibri"/>
        </w:rPr>
        <w:t>The literature review included all systematic reviews and meta-analyses focussing on insulin pump therapy versus multiple daily injections published between 2000 and July 2012, as well as additional RCTs that had not been included in the systematic reviews.</w:t>
      </w:r>
    </w:p>
    <w:p w:rsidR="005B7A4B" w:rsidRPr="003E1F05" w:rsidRDefault="005B7A4B" w:rsidP="005B7A4B">
      <w:pPr>
        <w:spacing w:before="120"/>
        <w:rPr>
          <w:rFonts w:eastAsia="Calibri"/>
        </w:rPr>
      </w:pPr>
      <w:r w:rsidRPr="003E1F05">
        <w:rPr>
          <w:rFonts w:eastAsia="Calibri"/>
        </w:rPr>
        <w:t xml:space="preserve">Position statements and guidelines by professional organisations that made recommendations on the use of insulin pump therapy between 2009 and July 2012, were included in the literature review. This </w:t>
      </w:r>
      <w:proofErr w:type="gramStart"/>
      <w:r w:rsidRPr="003E1F05">
        <w:rPr>
          <w:rFonts w:eastAsia="Calibri"/>
        </w:rPr>
        <w:t>will be discussed</w:t>
      </w:r>
      <w:proofErr w:type="gramEnd"/>
      <w:r w:rsidRPr="003E1F05">
        <w:rPr>
          <w:rFonts w:eastAsia="Calibri"/>
        </w:rPr>
        <w:t xml:space="preserve"> further in </w:t>
      </w:r>
      <w:r w:rsidRPr="003E1F05">
        <w:rPr>
          <w:rFonts w:eastAsia="Calibri"/>
          <w:u w:val="single"/>
        </w:rPr>
        <w:t>Part 6</w:t>
      </w:r>
      <w:r w:rsidRPr="003E1F05">
        <w:rPr>
          <w:rFonts w:eastAsia="Calibri"/>
        </w:rPr>
        <w:t xml:space="preserve"> of the report addressing </w:t>
      </w:r>
      <w:proofErr w:type="spellStart"/>
      <w:r w:rsidRPr="003E1F05">
        <w:rPr>
          <w:rFonts w:eastAsia="Calibri"/>
        </w:rPr>
        <w:t>ToR</w:t>
      </w:r>
      <w:proofErr w:type="spellEnd"/>
      <w:r w:rsidRPr="003E1F05">
        <w:rPr>
          <w:rFonts w:eastAsia="Calibri"/>
        </w:rPr>
        <w:t xml:space="preserve"> 10.</w:t>
      </w:r>
    </w:p>
    <w:p w:rsidR="005B7A4B" w:rsidRPr="003E1F05" w:rsidRDefault="005B7A4B" w:rsidP="005B7A4B">
      <w:pPr>
        <w:spacing w:before="120"/>
        <w:rPr>
          <w:rFonts w:eastAsia="Calibri"/>
        </w:rPr>
      </w:pPr>
      <w:r w:rsidRPr="003E1F05">
        <w:rPr>
          <w:rFonts w:eastAsia="Calibri"/>
        </w:rPr>
        <w:t xml:space="preserve">The literature review did not specifically compare different types of insulin used in the insulin pumps. </w:t>
      </w:r>
    </w:p>
    <w:p w:rsidR="005B7A4B" w:rsidRPr="003E1F05" w:rsidRDefault="005B7A4B" w:rsidP="005B7A4B">
      <w:pPr>
        <w:spacing w:before="120"/>
        <w:rPr>
          <w:rFonts w:eastAsia="Calibri"/>
        </w:rPr>
      </w:pPr>
      <w:r w:rsidRPr="003E1F05">
        <w:rPr>
          <w:rFonts w:eastAsia="Calibri"/>
        </w:rPr>
        <w:t xml:space="preserve">The literature review aimed to answer three research questions that are relevant to </w:t>
      </w:r>
      <w:proofErr w:type="spellStart"/>
      <w:r w:rsidRPr="003E1F05">
        <w:rPr>
          <w:rFonts w:eastAsia="Calibri"/>
        </w:rPr>
        <w:t>ToR</w:t>
      </w:r>
      <w:proofErr w:type="spellEnd"/>
      <w:r w:rsidRPr="003E1F05">
        <w:rPr>
          <w:rFonts w:eastAsia="Calibri"/>
        </w:rPr>
        <w:t> 8:</w:t>
      </w:r>
    </w:p>
    <w:p w:rsidR="005B7A4B" w:rsidRPr="003E1F05" w:rsidRDefault="005B7A4B" w:rsidP="005B7A4B">
      <w:pPr>
        <w:pStyle w:val="ListParagraph"/>
        <w:numPr>
          <w:ilvl w:val="0"/>
          <w:numId w:val="32"/>
        </w:numPr>
        <w:spacing w:before="120"/>
        <w:rPr>
          <w:rFonts w:eastAsia="Calibri"/>
        </w:rPr>
      </w:pPr>
      <w:r w:rsidRPr="003E1F05">
        <w:rPr>
          <w:rFonts w:eastAsiaTheme="minorHAnsi"/>
        </w:rPr>
        <w:t>What is the evidence that continuous subcutaneous insulin infusion therapy is more effective than multiple insulin injections in children and adolescents under 18 years old?</w:t>
      </w:r>
    </w:p>
    <w:p w:rsidR="005B7A4B" w:rsidRPr="003E1F05" w:rsidRDefault="005B7A4B" w:rsidP="005B7A4B">
      <w:pPr>
        <w:pStyle w:val="ListParagraph"/>
        <w:numPr>
          <w:ilvl w:val="0"/>
          <w:numId w:val="32"/>
        </w:numPr>
        <w:spacing w:before="120"/>
        <w:rPr>
          <w:rFonts w:eastAsia="Calibri"/>
        </w:rPr>
      </w:pPr>
      <w:r w:rsidRPr="003E1F05">
        <w:rPr>
          <w:rFonts w:eastAsiaTheme="minorHAnsi"/>
        </w:rPr>
        <w:t xml:space="preserve">What is the evidence that continuous subcutaneous insulin infusion therapy is more effective than multiple insulin injections in adults? </w:t>
      </w:r>
    </w:p>
    <w:p w:rsidR="005B7A4B" w:rsidRPr="003E1F05" w:rsidRDefault="005B7A4B" w:rsidP="005B7A4B">
      <w:pPr>
        <w:pStyle w:val="ListParagraph"/>
        <w:numPr>
          <w:ilvl w:val="0"/>
          <w:numId w:val="32"/>
        </w:numPr>
        <w:spacing w:before="120"/>
        <w:rPr>
          <w:rFonts w:eastAsia="Calibri"/>
        </w:rPr>
      </w:pPr>
      <w:r w:rsidRPr="003E1F05">
        <w:rPr>
          <w:rFonts w:eastAsiaTheme="minorHAnsi"/>
        </w:rPr>
        <w:t>What is the evidence that continuous subcutaneous insulin infusion therapy is safer than multiple insulin injections?</w:t>
      </w:r>
    </w:p>
    <w:p w:rsidR="005B7A4B" w:rsidRPr="00787F54" w:rsidRDefault="005B7A4B" w:rsidP="005B7A4B">
      <w:pPr>
        <w:pStyle w:val="Heading3"/>
      </w:pPr>
      <w:r w:rsidRPr="00787F54">
        <w:lastRenderedPageBreak/>
        <w:t>4.3.2</w:t>
      </w:r>
      <w:r w:rsidRPr="00787F54">
        <w:tab/>
        <w:t>Results</w:t>
      </w:r>
    </w:p>
    <w:p w:rsidR="005B7A4B" w:rsidRPr="003E1F05" w:rsidRDefault="005B7A4B" w:rsidP="005B7A4B">
      <w:pPr>
        <w:spacing w:before="120"/>
        <w:rPr>
          <w:rFonts w:eastAsia="Calibri"/>
        </w:rPr>
      </w:pPr>
      <w:r w:rsidRPr="003E1F05">
        <w:rPr>
          <w:rFonts w:eastAsia="Calibri"/>
        </w:rPr>
        <w:t>Five systematic reviews were included in the literature review, all of which examined the efficacy and safety of insulin pump therapy compared to multiple daily injections. One systematic review restricted the analysis to RCTs that had used short-acting insulin analogues in both insulin pump therapy and multiple daily injections groups (</w:t>
      </w:r>
      <w:proofErr w:type="spellStart"/>
      <w:r w:rsidRPr="003E1F05">
        <w:rPr>
          <w:rFonts w:eastAsia="Calibri"/>
        </w:rPr>
        <w:t>Monami</w:t>
      </w:r>
      <w:proofErr w:type="spellEnd"/>
      <w:r w:rsidRPr="003E1F05">
        <w:rPr>
          <w:rFonts w:eastAsia="Calibri"/>
        </w:rPr>
        <w:t xml:space="preserve"> </w:t>
      </w:r>
      <w:r w:rsidRPr="003E1F05">
        <w:rPr>
          <w:rFonts w:eastAsia="Calibri"/>
          <w:i/>
        </w:rPr>
        <w:t>et al</w:t>
      </w:r>
      <w:r w:rsidRPr="003E1F05">
        <w:rPr>
          <w:rFonts w:eastAsia="Calibri"/>
        </w:rPr>
        <w:t>. 2010), and one review restricted the analysis to RCTs that had used short-acting insulin analogues in the insulin pump therapy groups (</w:t>
      </w:r>
      <w:proofErr w:type="spellStart"/>
      <w:r w:rsidRPr="003E1F05">
        <w:rPr>
          <w:rFonts w:eastAsia="Calibri"/>
        </w:rPr>
        <w:t>Yeh</w:t>
      </w:r>
      <w:proofErr w:type="spellEnd"/>
      <w:r w:rsidRPr="003E1F05">
        <w:rPr>
          <w:rFonts w:eastAsia="Calibri"/>
        </w:rPr>
        <w:t xml:space="preserve"> </w:t>
      </w:r>
      <w:r w:rsidRPr="003E1F05">
        <w:rPr>
          <w:rFonts w:eastAsia="Calibri"/>
          <w:i/>
        </w:rPr>
        <w:t>et al</w:t>
      </w:r>
      <w:r w:rsidRPr="003E1F05">
        <w:rPr>
          <w:rFonts w:eastAsia="Calibri"/>
        </w:rPr>
        <w:t>. 2012).</w:t>
      </w:r>
    </w:p>
    <w:p w:rsidR="005B7A4B" w:rsidRPr="003E1F05" w:rsidRDefault="005B7A4B" w:rsidP="005B7A4B">
      <w:pPr>
        <w:spacing w:before="120"/>
        <w:rPr>
          <w:rFonts w:eastAsia="Calibri"/>
        </w:rPr>
      </w:pPr>
      <w:r w:rsidRPr="003E1F05">
        <w:rPr>
          <w:rFonts w:eastAsia="Calibri"/>
        </w:rPr>
        <w:t xml:space="preserve">Overall, 31 RCTs were evaluated as part of the literature review, including 30 RCTs published between 1982 and 2009, which were included in the five systematic reviews, and one trial published afterwards. Nineteen RCTs included </w:t>
      </w:r>
      <w:proofErr w:type="gramStart"/>
      <w:r w:rsidRPr="003E1F05">
        <w:rPr>
          <w:rFonts w:eastAsia="Calibri"/>
        </w:rPr>
        <w:t>a total of 846</w:t>
      </w:r>
      <w:proofErr w:type="gramEnd"/>
      <w:r w:rsidRPr="003E1F05">
        <w:rPr>
          <w:rFonts w:eastAsia="Calibri"/>
        </w:rPr>
        <w:t xml:space="preserve"> adults, 11 RCTs included a total of 361 children, and one RCT included a total of 23 adults and children. Most trials had a small sample size. There were 15 trials with 1-25 participants, 11 trials with 25-50 participants, four trials with 50-100 participants, and one trial with &gt;100 participants.</w:t>
      </w:r>
    </w:p>
    <w:p w:rsidR="005B7A4B" w:rsidRPr="003E1F05" w:rsidRDefault="005B7A4B" w:rsidP="005B7A4B">
      <w:pPr>
        <w:spacing w:before="120"/>
        <w:rPr>
          <w:rFonts w:eastAsia="Calibri"/>
        </w:rPr>
      </w:pPr>
      <w:r w:rsidRPr="003E1F05">
        <w:rPr>
          <w:rFonts w:eastAsia="Calibri"/>
        </w:rPr>
        <w:t xml:space="preserve">Of the 24 RCTs for which the source of funding was reported, </w:t>
      </w:r>
      <w:proofErr w:type="gramStart"/>
      <w:r w:rsidRPr="003E1F05">
        <w:rPr>
          <w:rFonts w:eastAsia="Calibri"/>
        </w:rPr>
        <w:t>19 were funded at least partly by insulin pump manufacturers who provided material or financial support to patients</w:t>
      </w:r>
      <w:proofErr w:type="gramEnd"/>
      <w:r w:rsidRPr="003E1F05">
        <w:rPr>
          <w:rFonts w:eastAsia="Calibri"/>
        </w:rPr>
        <w:t xml:space="preserve">. The studies </w:t>
      </w:r>
      <w:proofErr w:type="gramStart"/>
      <w:r w:rsidRPr="003E1F05">
        <w:rPr>
          <w:rFonts w:eastAsia="Calibri"/>
        </w:rPr>
        <w:t>were generally assessed</w:t>
      </w:r>
      <w:proofErr w:type="gramEnd"/>
      <w:r w:rsidRPr="003E1F05">
        <w:rPr>
          <w:rFonts w:eastAsia="Calibri"/>
        </w:rPr>
        <w:t xml:space="preserve"> as unclear or low risk of bias, except for participant and personnel blinding, which was not possible because of the nature of the intervention.</w:t>
      </w:r>
    </w:p>
    <w:p w:rsidR="005B7A4B" w:rsidRPr="00787F54" w:rsidRDefault="005B7A4B" w:rsidP="005B7A4B">
      <w:pPr>
        <w:pStyle w:val="Heading4"/>
        <w:tabs>
          <w:tab w:val="left" w:pos="1134"/>
        </w:tabs>
      </w:pPr>
      <w:r w:rsidRPr="00787F54">
        <w:t>4.3.2.1</w:t>
      </w:r>
      <w:r w:rsidRPr="00787F54">
        <w:tab/>
        <w:t xml:space="preserve">What is the evidence that continuous subcutaneous insulin infusion therapy is more effective than multiple insulin injections in children and adolescents </w:t>
      </w:r>
      <w:r w:rsidRPr="00787F54">
        <w:rPr>
          <w:szCs w:val="26"/>
        </w:rPr>
        <w:t>under 18 years old</w:t>
      </w:r>
      <w:r w:rsidRPr="00787F54">
        <w:t>?</w:t>
      </w:r>
    </w:p>
    <w:p w:rsidR="005B7A4B" w:rsidRPr="00787F54" w:rsidRDefault="005B7A4B" w:rsidP="005B7A4B">
      <w:pPr>
        <w:pStyle w:val="Heading5"/>
      </w:pPr>
      <w:r w:rsidRPr="00787F54">
        <w:t>HbA</w:t>
      </w:r>
      <w:r w:rsidRPr="00787F54">
        <w:rPr>
          <w:vertAlign w:val="subscript"/>
        </w:rPr>
        <w:t>1c</w:t>
      </w:r>
    </w:p>
    <w:p w:rsidR="005B7A4B" w:rsidRPr="003E1F05" w:rsidRDefault="005B7A4B" w:rsidP="005B7A4B">
      <w:pPr>
        <w:rPr>
          <w:bCs/>
          <w:szCs w:val="24"/>
        </w:rPr>
      </w:pPr>
      <w:r w:rsidRPr="003E1F05">
        <w:rPr>
          <w:bCs/>
          <w:szCs w:val="24"/>
        </w:rPr>
        <w:t>Four meta-analyses assessed HbA</w:t>
      </w:r>
      <w:r w:rsidRPr="003E1F05">
        <w:rPr>
          <w:bCs/>
          <w:szCs w:val="24"/>
          <w:vertAlign w:val="subscript"/>
        </w:rPr>
        <w:t>1c</w:t>
      </w:r>
      <w:r w:rsidRPr="003E1F05">
        <w:rPr>
          <w:bCs/>
          <w:szCs w:val="24"/>
        </w:rPr>
        <w:t xml:space="preserve"> in children and adolescents less than 18 years of age.</w:t>
      </w:r>
      <w:r w:rsidRPr="003E1F05">
        <w:t xml:space="preserve"> Overall, the observed benefit showed that there was modest improvement in HbA</w:t>
      </w:r>
      <w:r w:rsidRPr="003E1F05">
        <w:rPr>
          <w:vertAlign w:val="subscript"/>
        </w:rPr>
        <w:t>1c</w:t>
      </w:r>
      <w:r w:rsidRPr="003E1F05">
        <w:t xml:space="preserve"> levels for those on insulin pump therapy, but the difference did not reach the 0.5% reduction that </w:t>
      </w:r>
      <w:proofErr w:type="gramStart"/>
      <w:r w:rsidRPr="003E1F05">
        <w:t>is usually considered</w:t>
      </w:r>
      <w:proofErr w:type="gramEnd"/>
      <w:r w:rsidRPr="003E1F05">
        <w:t xml:space="preserve"> a clinically significant change in HbA</w:t>
      </w:r>
      <w:r w:rsidRPr="003E1F05">
        <w:rPr>
          <w:vertAlign w:val="subscript"/>
        </w:rPr>
        <w:t>1c</w:t>
      </w:r>
      <w:r w:rsidRPr="003E1F05">
        <w:t xml:space="preserve">. </w:t>
      </w:r>
      <w:r w:rsidRPr="003E1F05">
        <w:rPr>
          <w:szCs w:val="24"/>
        </w:rPr>
        <w:t xml:space="preserve">However, it </w:t>
      </w:r>
      <w:proofErr w:type="gramStart"/>
      <w:r w:rsidRPr="003E1F05">
        <w:rPr>
          <w:szCs w:val="24"/>
        </w:rPr>
        <w:t>may be considered</w:t>
      </w:r>
      <w:proofErr w:type="gramEnd"/>
      <w:r w:rsidRPr="003E1F05">
        <w:rPr>
          <w:szCs w:val="24"/>
        </w:rPr>
        <w:t xml:space="preserve"> important from a public health perspective (</w:t>
      </w:r>
      <w:proofErr w:type="spellStart"/>
      <w:r w:rsidRPr="003E1F05">
        <w:rPr>
          <w:szCs w:val="24"/>
        </w:rPr>
        <w:t>Clar</w:t>
      </w:r>
      <w:proofErr w:type="spellEnd"/>
      <w:r w:rsidRPr="003E1F05">
        <w:rPr>
          <w:szCs w:val="24"/>
        </w:rPr>
        <w:t xml:space="preserve"> </w:t>
      </w:r>
      <w:r w:rsidRPr="003E1F05">
        <w:rPr>
          <w:i/>
          <w:szCs w:val="24"/>
        </w:rPr>
        <w:t>et al</w:t>
      </w:r>
      <w:r w:rsidRPr="003E1F05">
        <w:rPr>
          <w:szCs w:val="24"/>
        </w:rPr>
        <w:t xml:space="preserve">. 2010). </w:t>
      </w:r>
      <w:r w:rsidRPr="003E1F05">
        <w:rPr>
          <w:bCs/>
          <w:szCs w:val="24"/>
        </w:rPr>
        <w:t>One meta-analysis of seven RCTs published between 1982 and 2008, found a statistically significant decrease in HbA</w:t>
      </w:r>
      <w:r w:rsidRPr="003E1F05">
        <w:rPr>
          <w:bCs/>
          <w:szCs w:val="24"/>
          <w:vertAlign w:val="subscript"/>
        </w:rPr>
        <w:t>1c</w:t>
      </w:r>
      <w:r w:rsidRPr="003E1F05">
        <w:rPr>
          <w:bCs/>
          <w:szCs w:val="24"/>
        </w:rPr>
        <w:t xml:space="preserve"> favouring insulin pump therapy of -0.22% (95% CI </w:t>
      </w:r>
      <w:r w:rsidRPr="003E1F05">
        <w:rPr>
          <w:bCs/>
          <w:szCs w:val="24"/>
        </w:rPr>
        <w:noBreakHyphen/>
        <w:t>0.41% to –0.03%, P = 0.021) (</w:t>
      </w:r>
      <w:proofErr w:type="spellStart"/>
      <w:r w:rsidRPr="003E1F05">
        <w:rPr>
          <w:bCs/>
          <w:szCs w:val="24"/>
        </w:rPr>
        <w:t>Misso</w:t>
      </w:r>
      <w:proofErr w:type="spellEnd"/>
      <w:r w:rsidRPr="003E1F05">
        <w:rPr>
          <w:bCs/>
          <w:szCs w:val="24"/>
        </w:rPr>
        <w:t xml:space="preserve"> </w:t>
      </w:r>
      <w:r w:rsidRPr="003E1F05">
        <w:rPr>
          <w:bCs/>
          <w:i/>
          <w:szCs w:val="24"/>
        </w:rPr>
        <w:t>et al</w:t>
      </w:r>
      <w:r w:rsidRPr="003E1F05">
        <w:rPr>
          <w:bCs/>
          <w:szCs w:val="24"/>
        </w:rPr>
        <w:t>. 2010).</w:t>
      </w:r>
    </w:p>
    <w:p w:rsidR="005B7A4B" w:rsidRPr="003E1F05" w:rsidRDefault="005B7A4B" w:rsidP="005B7A4B">
      <w:pPr>
        <w:rPr>
          <w:bCs/>
          <w:szCs w:val="24"/>
        </w:rPr>
      </w:pPr>
      <w:r w:rsidRPr="003E1F05">
        <w:rPr>
          <w:bCs/>
          <w:szCs w:val="24"/>
        </w:rPr>
        <w:t>Two meta-analyses found a non-significant decrease in HbA</w:t>
      </w:r>
      <w:r w:rsidRPr="003E1F05">
        <w:rPr>
          <w:bCs/>
          <w:szCs w:val="24"/>
          <w:vertAlign w:val="subscript"/>
        </w:rPr>
        <w:t>1c</w:t>
      </w:r>
      <w:r w:rsidRPr="003E1F05">
        <w:rPr>
          <w:bCs/>
          <w:szCs w:val="24"/>
        </w:rPr>
        <w:t xml:space="preserve"> favouring insulin pump therapy of -0.20% (95% CI -0.43% to 0.03%) based on eight RCTs published between 2003 and 2007 (</w:t>
      </w:r>
      <w:proofErr w:type="spellStart"/>
      <w:r w:rsidRPr="003E1F05">
        <w:rPr>
          <w:bCs/>
          <w:szCs w:val="24"/>
        </w:rPr>
        <w:t>Fatourechi</w:t>
      </w:r>
      <w:proofErr w:type="spellEnd"/>
      <w:r w:rsidRPr="003E1F05">
        <w:rPr>
          <w:bCs/>
          <w:szCs w:val="24"/>
        </w:rPr>
        <w:t xml:space="preserve"> </w:t>
      </w:r>
      <w:r w:rsidRPr="003E1F05">
        <w:rPr>
          <w:bCs/>
          <w:i/>
          <w:szCs w:val="24"/>
        </w:rPr>
        <w:t>et al</w:t>
      </w:r>
      <w:r w:rsidRPr="003E1F05">
        <w:rPr>
          <w:bCs/>
          <w:szCs w:val="24"/>
        </w:rPr>
        <w:t>. 2009), and of -0.17% (95% CI -0.47% to 0.14%) based on seven RCTs published between 2003 and 2008 examining insulin analogues in insulin pump therapy (</w:t>
      </w:r>
      <w:proofErr w:type="spellStart"/>
      <w:r w:rsidRPr="003E1F05">
        <w:rPr>
          <w:bCs/>
          <w:szCs w:val="24"/>
        </w:rPr>
        <w:t>Yeh</w:t>
      </w:r>
      <w:proofErr w:type="spellEnd"/>
      <w:r w:rsidRPr="003E1F05">
        <w:rPr>
          <w:bCs/>
          <w:szCs w:val="24"/>
        </w:rPr>
        <w:t xml:space="preserve"> </w:t>
      </w:r>
      <w:r w:rsidRPr="003E1F05">
        <w:rPr>
          <w:bCs/>
          <w:i/>
          <w:szCs w:val="24"/>
        </w:rPr>
        <w:t>et al</w:t>
      </w:r>
      <w:r w:rsidRPr="003E1F05">
        <w:rPr>
          <w:bCs/>
          <w:szCs w:val="24"/>
        </w:rPr>
        <w:t>. 2012).</w:t>
      </w:r>
    </w:p>
    <w:p w:rsidR="005B7A4B" w:rsidRPr="003E1F05" w:rsidRDefault="005B7A4B" w:rsidP="005B7A4B">
      <w:pPr>
        <w:rPr>
          <w:bCs/>
          <w:szCs w:val="24"/>
        </w:rPr>
      </w:pPr>
      <w:r w:rsidRPr="003E1F05">
        <w:rPr>
          <w:bCs/>
          <w:szCs w:val="24"/>
        </w:rPr>
        <w:t>A fourth meta-analysis found a non-significant decrease in HbA</w:t>
      </w:r>
      <w:r w:rsidRPr="003E1F05">
        <w:rPr>
          <w:bCs/>
          <w:szCs w:val="24"/>
          <w:vertAlign w:val="subscript"/>
        </w:rPr>
        <w:t>1c</w:t>
      </w:r>
      <w:r w:rsidRPr="003E1F05">
        <w:rPr>
          <w:bCs/>
          <w:szCs w:val="24"/>
        </w:rPr>
        <w:t xml:space="preserve"> favouring insulin pump therapy in children with an average age of ≤10 years of -0.1% (95% CI -0.5% to </w:t>
      </w:r>
      <w:r w:rsidRPr="003E1F05">
        <w:rPr>
          <w:bCs/>
          <w:szCs w:val="24"/>
        </w:rPr>
        <w:lastRenderedPageBreak/>
        <w:t>0.3%, P = 0.48) based on 4 RCTs published between 2003 and 2007 (</w:t>
      </w:r>
      <w:proofErr w:type="spellStart"/>
      <w:r w:rsidRPr="003E1F05">
        <w:rPr>
          <w:bCs/>
          <w:szCs w:val="24"/>
        </w:rPr>
        <w:t>Monami</w:t>
      </w:r>
      <w:proofErr w:type="spellEnd"/>
      <w:r w:rsidRPr="003E1F05">
        <w:rPr>
          <w:bCs/>
          <w:szCs w:val="24"/>
        </w:rPr>
        <w:t xml:space="preserve"> </w:t>
      </w:r>
      <w:r w:rsidRPr="003E1F05">
        <w:rPr>
          <w:bCs/>
          <w:i/>
          <w:szCs w:val="24"/>
        </w:rPr>
        <w:t>et al</w:t>
      </w:r>
      <w:r w:rsidRPr="003E1F05">
        <w:rPr>
          <w:bCs/>
          <w:szCs w:val="24"/>
        </w:rPr>
        <w:t>. 2010).</w:t>
      </w:r>
    </w:p>
    <w:p w:rsidR="005B7A4B" w:rsidRPr="00787F54" w:rsidRDefault="005B7A4B" w:rsidP="005B7A4B">
      <w:pPr>
        <w:pStyle w:val="Heading5"/>
        <w:keepNext/>
        <w:keepLines/>
      </w:pPr>
      <w:r w:rsidRPr="00787F54">
        <w:t>Quality of life and treatment satisfaction</w:t>
      </w:r>
    </w:p>
    <w:p w:rsidR="005B7A4B" w:rsidRPr="003E1F05" w:rsidRDefault="005B7A4B" w:rsidP="005B7A4B">
      <w:pPr>
        <w:keepNext/>
        <w:keepLines/>
      </w:pPr>
      <w:r w:rsidRPr="003E1F05">
        <w:t xml:space="preserve">Overall, reported quality of life was better with insulin pump therapy compared to multiple daily injections. </w:t>
      </w:r>
      <w:r w:rsidRPr="003E1F05">
        <w:rPr>
          <w:bCs/>
          <w:szCs w:val="24"/>
        </w:rPr>
        <w:t>Five trials assessed quality of life using four different questionnaires. Reported superior quality of life in insulin pump therapy over multiple daily injections was consistent; however, the difference only reached statistical significance in two of the five trials. All trials had small sample sizes of fewer than 40 participants.</w:t>
      </w:r>
    </w:p>
    <w:p w:rsidR="005B7A4B" w:rsidRPr="003E1F05" w:rsidRDefault="005B7A4B" w:rsidP="005B7A4B">
      <w:pPr>
        <w:rPr>
          <w:bCs/>
          <w:szCs w:val="24"/>
        </w:rPr>
      </w:pPr>
      <w:r w:rsidRPr="003E1F05">
        <w:rPr>
          <w:bCs/>
          <w:szCs w:val="24"/>
        </w:rPr>
        <w:t>Three RCTs assessed treatment satisfaction using the Diabetes Treatment Satisfaction Questionnaire. All found a statistically significant and clinically relevant improvement with insulin pump therapy compared to multiple daily injections, defined as a ≥ five</w:t>
      </w:r>
      <w:r w:rsidRPr="003E1F05">
        <w:rPr>
          <w:bCs/>
          <w:szCs w:val="24"/>
        </w:rPr>
        <w:noBreakHyphen/>
        <w:t>point difference in score. In another RCT, participants assigned to insulin pump therapy reported significantly greater convenience, ease and flexibility of treatment, leading to increased treatment satisfaction with insulin pump therapy compared to multiple daily injections.</w:t>
      </w:r>
    </w:p>
    <w:p w:rsidR="005B7A4B" w:rsidRPr="00787F54" w:rsidRDefault="005B7A4B" w:rsidP="005B7A4B">
      <w:pPr>
        <w:pStyle w:val="Heading5"/>
      </w:pPr>
      <w:r w:rsidRPr="00787F54">
        <w:t>Patients’ preferences</w:t>
      </w:r>
    </w:p>
    <w:p w:rsidR="005B7A4B" w:rsidRPr="003E1F05" w:rsidRDefault="005B7A4B" w:rsidP="005B7A4B">
      <w:pPr>
        <w:rPr>
          <w:bCs/>
          <w:szCs w:val="24"/>
        </w:rPr>
      </w:pPr>
      <w:r w:rsidRPr="003E1F05">
        <w:rPr>
          <w:bCs/>
          <w:szCs w:val="24"/>
        </w:rPr>
        <w:t>Of the assessed patients’ preferences in three trials published between 2003 and 2008, the majority of patients and their families preferred insulin pump therapy to multiple daily injections.</w:t>
      </w:r>
    </w:p>
    <w:p w:rsidR="005B7A4B" w:rsidRPr="00787F54" w:rsidRDefault="005B7A4B" w:rsidP="005B7A4B">
      <w:pPr>
        <w:pStyle w:val="Heading5"/>
      </w:pPr>
      <w:r w:rsidRPr="00787F54">
        <w:t>Long-term health outcomes</w:t>
      </w:r>
    </w:p>
    <w:p w:rsidR="005B7A4B" w:rsidRPr="003E1F05" w:rsidRDefault="005B7A4B" w:rsidP="005B7A4B">
      <w:pPr>
        <w:rPr>
          <w:bCs/>
          <w:szCs w:val="24"/>
        </w:rPr>
      </w:pPr>
      <w:r w:rsidRPr="003E1F05">
        <w:rPr>
          <w:bCs/>
          <w:szCs w:val="24"/>
        </w:rPr>
        <w:t>None of the RCTs assessed long-term health outcomes.</w:t>
      </w:r>
    </w:p>
    <w:p w:rsidR="005B7A4B" w:rsidRPr="00787F54" w:rsidRDefault="005B7A4B" w:rsidP="005B7A4B">
      <w:pPr>
        <w:pStyle w:val="Heading4"/>
      </w:pPr>
      <w:r w:rsidRPr="00787F54">
        <w:t>4.3.2.2 What is the evidence that continuous subcutaneous insulin infusion therapy is more effective than multiple insulin injections in adults?</w:t>
      </w:r>
    </w:p>
    <w:p w:rsidR="005B7A4B" w:rsidRPr="00787F54" w:rsidRDefault="005B7A4B" w:rsidP="005B7A4B">
      <w:pPr>
        <w:pStyle w:val="Heading5"/>
      </w:pPr>
      <w:r w:rsidRPr="00787F54">
        <w:t>HbA</w:t>
      </w:r>
      <w:r w:rsidRPr="00787F54">
        <w:rPr>
          <w:vertAlign w:val="subscript"/>
        </w:rPr>
        <w:t>1c</w:t>
      </w:r>
    </w:p>
    <w:p w:rsidR="005B7A4B" w:rsidRPr="003E1F05" w:rsidRDefault="005B7A4B" w:rsidP="005B7A4B">
      <w:r w:rsidRPr="003E1F05">
        <w:t>Overall, similar to the results for children and adolescents, there was a modest observed improvement in HbA</w:t>
      </w:r>
      <w:r w:rsidRPr="003E1F05">
        <w:rPr>
          <w:vertAlign w:val="subscript"/>
        </w:rPr>
        <w:t>1c</w:t>
      </w:r>
      <w:r w:rsidRPr="003E1F05">
        <w:t xml:space="preserve"> levels with insulin pump therapy compared to multiple daily injections. The difference did not reach the 0.5% reduction usually considered a clinically significant change in HbA</w:t>
      </w:r>
      <w:r w:rsidRPr="003E1F05">
        <w:rPr>
          <w:vertAlign w:val="subscript"/>
        </w:rPr>
        <w:t>1c</w:t>
      </w:r>
      <w:r w:rsidRPr="003E1F05">
        <w:t xml:space="preserve"> levels, but may still </w:t>
      </w:r>
      <w:r w:rsidRPr="003E1F05">
        <w:rPr>
          <w:szCs w:val="24"/>
        </w:rPr>
        <w:t>be considered important from a public health perspective (</w:t>
      </w:r>
      <w:proofErr w:type="spellStart"/>
      <w:r w:rsidRPr="003E1F05">
        <w:rPr>
          <w:szCs w:val="24"/>
        </w:rPr>
        <w:t>Clar</w:t>
      </w:r>
      <w:proofErr w:type="spellEnd"/>
      <w:r w:rsidRPr="003E1F05">
        <w:rPr>
          <w:szCs w:val="24"/>
        </w:rPr>
        <w:t xml:space="preserve"> </w:t>
      </w:r>
      <w:r w:rsidRPr="003E1F05">
        <w:rPr>
          <w:i/>
          <w:szCs w:val="24"/>
        </w:rPr>
        <w:t>et al</w:t>
      </w:r>
      <w:r w:rsidRPr="003E1F05">
        <w:rPr>
          <w:szCs w:val="24"/>
        </w:rPr>
        <w:t>. 2010).</w:t>
      </w:r>
    </w:p>
    <w:p w:rsidR="005B7A4B" w:rsidRPr="003E1F05" w:rsidRDefault="005B7A4B" w:rsidP="005B7A4B">
      <w:r w:rsidRPr="003E1F05">
        <w:t>Three meta-analyses reported a statistically significant difference in HbA</w:t>
      </w:r>
      <w:r w:rsidRPr="003E1F05">
        <w:rPr>
          <w:vertAlign w:val="subscript"/>
        </w:rPr>
        <w:t>1c</w:t>
      </w:r>
      <w:r w:rsidRPr="003E1F05">
        <w:t xml:space="preserve"> favouring insulin pump therapy. The Cochrane Review considered the results of 12 RCTs published between 1982 and 2005 and reported a statistically significant difference in HbA</w:t>
      </w:r>
      <w:r w:rsidRPr="003E1F05">
        <w:rPr>
          <w:vertAlign w:val="subscript"/>
        </w:rPr>
        <w:t>1c</w:t>
      </w:r>
      <w:r w:rsidRPr="003E1F05">
        <w:t xml:space="preserve"> of -0.29% (95% CI -0.52% to –0.06%, P=0.0013) (</w:t>
      </w:r>
      <w:proofErr w:type="spellStart"/>
      <w:r w:rsidRPr="003E1F05">
        <w:t>Misso</w:t>
      </w:r>
      <w:proofErr w:type="spellEnd"/>
      <w:r w:rsidRPr="003E1F05">
        <w:t xml:space="preserve"> </w:t>
      </w:r>
      <w:r w:rsidRPr="003E1F05">
        <w:rPr>
          <w:i/>
        </w:rPr>
        <w:t>et al</w:t>
      </w:r>
      <w:r w:rsidRPr="003E1F05">
        <w:t>. 2010). The results of a meta-analysis based on five RCTs published between 2003 and 2007 also reported a statistically significant difference in HbA</w:t>
      </w:r>
      <w:r w:rsidRPr="003E1F05">
        <w:rPr>
          <w:vertAlign w:val="subscript"/>
        </w:rPr>
        <w:t>1c</w:t>
      </w:r>
      <w:r w:rsidRPr="003E1F05">
        <w:t xml:space="preserve"> of -0.19% (95% CI -0.27% to -0.11%) </w:t>
      </w:r>
      <w:proofErr w:type="gramStart"/>
      <w:r w:rsidRPr="003E1F05">
        <w:t>(</w:t>
      </w:r>
      <w:proofErr w:type="spellStart"/>
      <w:r w:rsidRPr="003E1F05">
        <w:t>Fatourechi</w:t>
      </w:r>
      <w:proofErr w:type="spellEnd"/>
      <w:r w:rsidRPr="003E1F05">
        <w:t xml:space="preserve"> </w:t>
      </w:r>
      <w:r w:rsidRPr="003E1F05">
        <w:rPr>
          <w:i/>
        </w:rPr>
        <w:t>et al</w:t>
      </w:r>
      <w:r w:rsidRPr="003E1F05">
        <w:t>. 2009).</w:t>
      </w:r>
      <w:proofErr w:type="gramEnd"/>
    </w:p>
    <w:p w:rsidR="005B7A4B" w:rsidRPr="003E1F05" w:rsidRDefault="005B7A4B" w:rsidP="005B7A4B">
      <w:r w:rsidRPr="003E1F05">
        <w:lastRenderedPageBreak/>
        <w:t>A meta-analysis of four RCTs involving insulin analogues in the insulin pump therapy group published between 2003 and 2012, reported a statistically significant difference in HbA</w:t>
      </w:r>
      <w:r w:rsidRPr="003E1F05">
        <w:rPr>
          <w:vertAlign w:val="subscript"/>
        </w:rPr>
        <w:t>1c</w:t>
      </w:r>
      <w:r w:rsidRPr="003E1F05">
        <w:t xml:space="preserve"> change from baseline levels favouring insulin pump therapy of -0.30% (95% CI -0.58% to -0.02%, P = 0.038) (</w:t>
      </w:r>
      <w:proofErr w:type="spellStart"/>
      <w:r w:rsidRPr="003E1F05">
        <w:t>Yeh</w:t>
      </w:r>
      <w:proofErr w:type="spellEnd"/>
      <w:r w:rsidRPr="003E1F05">
        <w:t xml:space="preserve"> </w:t>
      </w:r>
      <w:r w:rsidRPr="003E1F05">
        <w:rPr>
          <w:i/>
        </w:rPr>
        <w:t>et al</w:t>
      </w:r>
      <w:r w:rsidRPr="003E1F05">
        <w:t xml:space="preserve">. 2012). However, this result </w:t>
      </w:r>
      <w:proofErr w:type="gramStart"/>
      <w:r w:rsidRPr="003E1F05">
        <w:t>was heavily influenced</w:t>
      </w:r>
      <w:proofErr w:type="gramEnd"/>
      <w:r w:rsidRPr="003E1F05">
        <w:t xml:space="preserve"> by the results of a single RCT that found a large decrease in HbA</w:t>
      </w:r>
      <w:r w:rsidRPr="003E1F05">
        <w:rPr>
          <w:vertAlign w:val="subscript"/>
        </w:rPr>
        <w:t>1c</w:t>
      </w:r>
      <w:r w:rsidRPr="003E1F05">
        <w:t>, which may be explained by the high baseline HbA</w:t>
      </w:r>
      <w:r w:rsidRPr="003E1F05">
        <w:rPr>
          <w:vertAlign w:val="subscript"/>
        </w:rPr>
        <w:t>1c</w:t>
      </w:r>
      <w:r w:rsidRPr="003E1F05">
        <w:t xml:space="preserve"> level in the cohort of 9.3% (</w:t>
      </w:r>
      <w:proofErr w:type="spellStart"/>
      <w:r w:rsidRPr="003E1F05">
        <w:t>DeVries</w:t>
      </w:r>
      <w:proofErr w:type="spellEnd"/>
      <w:r w:rsidRPr="003E1F05">
        <w:t xml:space="preserve"> </w:t>
      </w:r>
      <w:r w:rsidRPr="003E1F05">
        <w:rPr>
          <w:i/>
        </w:rPr>
        <w:t>et al</w:t>
      </w:r>
      <w:r w:rsidRPr="003E1F05">
        <w:t>. 2002). High baseline HbA</w:t>
      </w:r>
      <w:r w:rsidRPr="003E1F05">
        <w:rPr>
          <w:vertAlign w:val="subscript"/>
        </w:rPr>
        <w:t>1c</w:t>
      </w:r>
      <w:r w:rsidRPr="003E1F05">
        <w:t xml:space="preserve"> levels may result in a greater reduction with intervention than lower initial HbA</w:t>
      </w:r>
      <w:r w:rsidRPr="003E1F05">
        <w:rPr>
          <w:vertAlign w:val="subscript"/>
        </w:rPr>
        <w:t>1c</w:t>
      </w:r>
      <w:r w:rsidRPr="003E1F05">
        <w:t xml:space="preserve"> levels (</w:t>
      </w:r>
      <w:proofErr w:type="spellStart"/>
      <w:r w:rsidRPr="003E1F05">
        <w:t>Retnakaran</w:t>
      </w:r>
      <w:proofErr w:type="spellEnd"/>
      <w:r w:rsidRPr="003E1F05">
        <w:t xml:space="preserve"> </w:t>
      </w:r>
      <w:r w:rsidRPr="003E1F05">
        <w:rPr>
          <w:i/>
        </w:rPr>
        <w:t>et al.</w:t>
      </w:r>
      <w:r w:rsidRPr="003E1F05">
        <w:t xml:space="preserve"> 2005).</w:t>
      </w:r>
    </w:p>
    <w:p w:rsidR="005B7A4B" w:rsidRPr="00787F54" w:rsidRDefault="005B7A4B" w:rsidP="005B7A4B">
      <w:pPr>
        <w:pStyle w:val="Heading5"/>
        <w:keepNext/>
        <w:keepLines/>
      </w:pPr>
      <w:r w:rsidRPr="00787F54">
        <w:t>Quality of life and treatment satisfaction</w:t>
      </w:r>
    </w:p>
    <w:p w:rsidR="005B7A4B" w:rsidRPr="003E1F05" w:rsidRDefault="005B7A4B" w:rsidP="005B7A4B">
      <w:pPr>
        <w:keepNext/>
        <w:keepLines/>
      </w:pPr>
      <w:r w:rsidRPr="003E1F05">
        <w:t xml:space="preserve">Six RCTs compared quality of life between insulin pump therapy and multiple daily injections in adults. Overall, quality of life reported was better with insulin pump therapy. </w:t>
      </w:r>
    </w:p>
    <w:p w:rsidR="005B7A4B" w:rsidRPr="003E1F05" w:rsidRDefault="005B7A4B" w:rsidP="005B7A4B">
      <w:r w:rsidRPr="003E1F05">
        <w:t>Two RCTs assessed quality of life with the Medical Outcomes Study 12-Item Short-Form Survey (SF-12) and the Medical Outcomes Study 36-Item Short-Form Survey (SF-36). They both found significant improvements on the mental health and general health subscales with insulin pump therapy compared to multiple daily injections. One RCT did not provide detailed data. In the second RCT, there were clinically relevant improvements (defined as ≥ a five-point difference) in both the SF-36 general health and mental health subscales with insulin pump therapy compared to multiple daily injections (</w:t>
      </w:r>
      <w:proofErr w:type="spellStart"/>
      <w:r w:rsidRPr="003E1F05">
        <w:t>DeVries</w:t>
      </w:r>
      <w:proofErr w:type="spellEnd"/>
      <w:r w:rsidRPr="003E1F05">
        <w:t xml:space="preserve"> </w:t>
      </w:r>
      <w:r w:rsidRPr="003E1F05">
        <w:rPr>
          <w:i/>
        </w:rPr>
        <w:t>et al</w:t>
      </w:r>
      <w:r w:rsidRPr="003E1F05">
        <w:t>. 2002).</w:t>
      </w:r>
    </w:p>
    <w:p w:rsidR="005B7A4B" w:rsidRPr="003E1F05" w:rsidRDefault="005B7A4B" w:rsidP="005B7A4B">
      <w:r w:rsidRPr="003E1F05">
        <w:t>Three RCTs assessed quality of life with the Diabetes Quality-of-Life questionnaire. A significant difference was evident only in the largest trial involving 272 participants (</w:t>
      </w:r>
      <w:proofErr w:type="spellStart"/>
      <w:r w:rsidRPr="003E1F05">
        <w:t>Hoogma</w:t>
      </w:r>
      <w:proofErr w:type="spellEnd"/>
      <w:r w:rsidRPr="003E1F05">
        <w:t xml:space="preserve"> </w:t>
      </w:r>
      <w:r w:rsidRPr="003E1F05">
        <w:rPr>
          <w:i/>
        </w:rPr>
        <w:t>et al</w:t>
      </w:r>
      <w:r w:rsidRPr="003E1F05">
        <w:t xml:space="preserve">. 2006). In the two other RCTs, quality of life </w:t>
      </w:r>
      <w:proofErr w:type="gramStart"/>
      <w:r w:rsidRPr="003E1F05">
        <w:t>was often found</w:t>
      </w:r>
      <w:proofErr w:type="gramEnd"/>
      <w:r w:rsidRPr="003E1F05">
        <w:t xml:space="preserve"> to be better with insulin pump therapy compared to multiple daily injections, but the differences were not statistically significant.</w:t>
      </w:r>
    </w:p>
    <w:p w:rsidR="005B7A4B" w:rsidRPr="003E1F05" w:rsidRDefault="005B7A4B" w:rsidP="005B7A4B">
      <w:r w:rsidRPr="003E1F05">
        <w:t>Three RCTs assessed treatment satisfaction with the Diabetes Treatment Satisfaction Questionnaire. Reported treatment satisfaction was significantly greater with insulin pump therapy compared to multiple daily injections in two RCTs and the difference was clinically relevant in at least one RCT (</w:t>
      </w:r>
      <w:proofErr w:type="spellStart"/>
      <w:r w:rsidRPr="003E1F05">
        <w:t>Bruttomesso</w:t>
      </w:r>
      <w:proofErr w:type="spellEnd"/>
      <w:r w:rsidRPr="003E1F05">
        <w:t xml:space="preserve"> </w:t>
      </w:r>
      <w:r w:rsidRPr="003E1F05">
        <w:rPr>
          <w:i/>
        </w:rPr>
        <w:t xml:space="preserve">et al. </w:t>
      </w:r>
      <w:r w:rsidRPr="003E1F05">
        <w:t>2008).</w:t>
      </w:r>
    </w:p>
    <w:p w:rsidR="005B7A4B" w:rsidRPr="00787F54" w:rsidRDefault="005B7A4B" w:rsidP="005B7A4B">
      <w:pPr>
        <w:pStyle w:val="Heading5"/>
      </w:pPr>
      <w:r w:rsidRPr="00787F54">
        <w:t>Long-term health outcomes</w:t>
      </w:r>
    </w:p>
    <w:p w:rsidR="005B7A4B" w:rsidRPr="003E1F05" w:rsidRDefault="005B7A4B" w:rsidP="005B7A4B">
      <w:r w:rsidRPr="003E1F05">
        <w:t>None of the RCTs assessed long-term health outcomes.</w:t>
      </w:r>
    </w:p>
    <w:p w:rsidR="005B7A4B" w:rsidRPr="00787F54" w:rsidRDefault="005B7A4B" w:rsidP="005B7A4B">
      <w:pPr>
        <w:pStyle w:val="Heading4"/>
        <w:tabs>
          <w:tab w:val="left" w:pos="1134"/>
        </w:tabs>
      </w:pPr>
      <w:r w:rsidRPr="00787F54">
        <w:t>4.3.2.3</w:t>
      </w:r>
      <w:r w:rsidRPr="00787F54">
        <w:tab/>
        <w:t xml:space="preserve"> What is the evidence that continuous subcutaneous insulin infusion therapy is safer than multiple insulin injections?</w:t>
      </w:r>
    </w:p>
    <w:p w:rsidR="005B7A4B" w:rsidRPr="003E1F05" w:rsidRDefault="005B7A4B" w:rsidP="005B7A4B">
      <w:pPr>
        <w:spacing w:after="120"/>
        <w:rPr>
          <w:bCs/>
          <w:szCs w:val="24"/>
        </w:rPr>
      </w:pPr>
      <w:r w:rsidRPr="003E1F05">
        <w:rPr>
          <w:bCs/>
          <w:szCs w:val="24"/>
        </w:rPr>
        <w:t xml:space="preserve">The main outcome considered for this question was the occurrence of hypoglycaemia. Four systematic reviews examined the occurrence of hypoglycaemia in insulin pump therapy compared with multiple daily injections. Overall, there was no statistically significant difference in the occurrence of mild, nocturnal and symptomatic </w:t>
      </w:r>
      <w:r w:rsidRPr="003E1F05">
        <w:rPr>
          <w:bCs/>
          <w:szCs w:val="24"/>
        </w:rPr>
        <w:lastRenderedPageBreak/>
        <w:t xml:space="preserve">hypoglycaemia, or severe hypoglycaemia, between the insulin pump therapy and multiple daily injections groups. </w:t>
      </w:r>
    </w:p>
    <w:p w:rsidR="005B7A4B" w:rsidRPr="003E1F05" w:rsidRDefault="005B7A4B" w:rsidP="005B7A4B">
      <w:pPr>
        <w:keepNext/>
        <w:keepLines/>
        <w:spacing w:after="120"/>
        <w:rPr>
          <w:bCs/>
          <w:szCs w:val="24"/>
        </w:rPr>
      </w:pPr>
      <w:r w:rsidRPr="003E1F05">
        <w:rPr>
          <w:bCs/>
          <w:szCs w:val="24"/>
        </w:rPr>
        <w:t xml:space="preserve">In RCTs, mild hypoglycaemia </w:t>
      </w:r>
      <w:proofErr w:type="gramStart"/>
      <w:r w:rsidRPr="003E1F05">
        <w:rPr>
          <w:bCs/>
          <w:szCs w:val="24"/>
        </w:rPr>
        <w:t>was often defined</w:t>
      </w:r>
      <w:proofErr w:type="gramEnd"/>
      <w:r w:rsidRPr="003E1F05">
        <w:rPr>
          <w:bCs/>
          <w:szCs w:val="24"/>
        </w:rPr>
        <w:t xml:space="preserve"> as a blood glucose level lower than 60 or 70 mg/dl. Severe hypoglycaemia </w:t>
      </w:r>
      <w:proofErr w:type="gramStart"/>
      <w:r w:rsidRPr="003E1F05">
        <w:rPr>
          <w:bCs/>
          <w:szCs w:val="24"/>
        </w:rPr>
        <w:t>was most often defined</w:t>
      </w:r>
      <w:proofErr w:type="gramEnd"/>
      <w:r w:rsidRPr="003E1F05">
        <w:rPr>
          <w:bCs/>
          <w:szCs w:val="24"/>
        </w:rPr>
        <w:t xml:space="preserve"> as requiring assistance from another person for recovery or resulting in coma or seizure.</w:t>
      </w:r>
    </w:p>
    <w:p w:rsidR="005B7A4B" w:rsidRPr="00787F54" w:rsidRDefault="005B7A4B" w:rsidP="005B7A4B">
      <w:pPr>
        <w:pStyle w:val="Heading5"/>
      </w:pPr>
      <w:r w:rsidRPr="00787F54">
        <w:t>Mild, symptomatic, and nocturnal hypoglycaemia</w:t>
      </w:r>
    </w:p>
    <w:p w:rsidR="005B7A4B" w:rsidRPr="003E1F05" w:rsidRDefault="005B7A4B" w:rsidP="005B7A4B">
      <w:pPr>
        <w:spacing w:after="120"/>
        <w:rPr>
          <w:bCs/>
          <w:szCs w:val="24"/>
        </w:rPr>
      </w:pPr>
      <w:r w:rsidRPr="003E1F05">
        <w:rPr>
          <w:bCs/>
          <w:szCs w:val="24"/>
        </w:rPr>
        <w:t xml:space="preserve">Three reviews examined mild hypoglycaemia. </w:t>
      </w:r>
    </w:p>
    <w:p w:rsidR="005B7A4B" w:rsidRPr="003E1F05" w:rsidRDefault="005B7A4B" w:rsidP="005B7A4B">
      <w:pPr>
        <w:spacing w:after="120"/>
        <w:rPr>
          <w:bCs/>
          <w:szCs w:val="24"/>
        </w:rPr>
      </w:pPr>
      <w:r w:rsidRPr="003E1F05">
        <w:rPr>
          <w:bCs/>
          <w:szCs w:val="24"/>
        </w:rPr>
        <w:t>One meta-analysis did not find a difference between insulin pump therapy and multiple daily injections in the mean numbers of mild hypoglycaemic episodes in five crossover RCTs published between 2003 and 2008 (</w:t>
      </w:r>
      <w:proofErr w:type="spellStart"/>
      <w:r w:rsidRPr="003E1F05">
        <w:rPr>
          <w:bCs/>
          <w:szCs w:val="24"/>
        </w:rPr>
        <w:t>Fatourechi</w:t>
      </w:r>
      <w:proofErr w:type="spellEnd"/>
      <w:r w:rsidRPr="003E1F05">
        <w:rPr>
          <w:bCs/>
          <w:szCs w:val="24"/>
        </w:rPr>
        <w:t xml:space="preserve"> </w:t>
      </w:r>
      <w:r w:rsidRPr="003E1F05">
        <w:rPr>
          <w:bCs/>
          <w:i/>
          <w:szCs w:val="24"/>
        </w:rPr>
        <w:t>et al</w:t>
      </w:r>
      <w:r w:rsidRPr="003E1F05">
        <w:rPr>
          <w:bCs/>
          <w:szCs w:val="24"/>
        </w:rPr>
        <w:t xml:space="preserve">. 2009). A small significant difference favouring multiple daily injections </w:t>
      </w:r>
      <w:proofErr w:type="gramStart"/>
      <w:r w:rsidRPr="003E1F05">
        <w:rPr>
          <w:bCs/>
          <w:szCs w:val="24"/>
        </w:rPr>
        <w:t>was found</w:t>
      </w:r>
      <w:proofErr w:type="gramEnd"/>
      <w:r w:rsidRPr="003E1F05">
        <w:rPr>
          <w:bCs/>
          <w:szCs w:val="24"/>
        </w:rPr>
        <w:t xml:space="preserve"> in three parallel RCTs published between 2004 and 2007. This difference </w:t>
      </w:r>
      <w:proofErr w:type="gramStart"/>
      <w:r w:rsidRPr="003E1F05">
        <w:rPr>
          <w:bCs/>
          <w:szCs w:val="24"/>
        </w:rPr>
        <w:t>may be explained</w:t>
      </w:r>
      <w:proofErr w:type="gramEnd"/>
      <w:r w:rsidRPr="003E1F05">
        <w:rPr>
          <w:bCs/>
          <w:szCs w:val="24"/>
        </w:rPr>
        <w:t xml:space="preserve"> by the differences in study populations and hypoglycaemia data recording between trials. </w:t>
      </w:r>
    </w:p>
    <w:p w:rsidR="005B7A4B" w:rsidRPr="003E1F05" w:rsidRDefault="005B7A4B" w:rsidP="005B7A4B">
      <w:pPr>
        <w:spacing w:after="120"/>
        <w:rPr>
          <w:bCs/>
          <w:szCs w:val="24"/>
        </w:rPr>
      </w:pPr>
      <w:r w:rsidRPr="003E1F05">
        <w:rPr>
          <w:bCs/>
          <w:szCs w:val="24"/>
        </w:rPr>
        <w:t>One systematic review did not perform a meta-analysis because studies used different scales to report hypoglycaemia (</w:t>
      </w:r>
      <w:proofErr w:type="spellStart"/>
      <w:r w:rsidRPr="003E1F05">
        <w:rPr>
          <w:bCs/>
          <w:szCs w:val="24"/>
        </w:rPr>
        <w:t>Misso</w:t>
      </w:r>
      <w:proofErr w:type="spellEnd"/>
      <w:r w:rsidRPr="003E1F05">
        <w:rPr>
          <w:bCs/>
          <w:szCs w:val="24"/>
        </w:rPr>
        <w:t xml:space="preserve"> </w:t>
      </w:r>
      <w:r w:rsidRPr="003E1F05">
        <w:rPr>
          <w:bCs/>
          <w:i/>
          <w:szCs w:val="24"/>
        </w:rPr>
        <w:t>et al</w:t>
      </w:r>
      <w:r w:rsidRPr="003E1F05">
        <w:rPr>
          <w:bCs/>
          <w:szCs w:val="24"/>
        </w:rPr>
        <w:t>. 2010). For mild hypoglycaemia, the authors concluded that the data of 17 RCTs published between 1982 and 2008 suggested there was “no relevant benefit” of one intervention over the other.</w:t>
      </w:r>
    </w:p>
    <w:p w:rsidR="005B7A4B" w:rsidRPr="003E1F05" w:rsidRDefault="005B7A4B" w:rsidP="005B7A4B">
      <w:pPr>
        <w:spacing w:after="120"/>
        <w:rPr>
          <w:bCs/>
          <w:szCs w:val="24"/>
        </w:rPr>
      </w:pPr>
      <w:r w:rsidRPr="003E1F05">
        <w:rPr>
          <w:bCs/>
          <w:szCs w:val="24"/>
        </w:rPr>
        <w:t xml:space="preserve">Another meta-analysis of three RCTs using insulin analogues in the insulin pump therapy groups found a higher risk of symptomatic hypoglycaemia with insulin pump therapy in adults. However, this result </w:t>
      </w:r>
      <w:proofErr w:type="gramStart"/>
      <w:r w:rsidRPr="003E1F05">
        <w:rPr>
          <w:bCs/>
          <w:szCs w:val="24"/>
        </w:rPr>
        <w:t>was influenced</w:t>
      </w:r>
      <w:proofErr w:type="gramEnd"/>
      <w:r w:rsidRPr="003E1F05">
        <w:rPr>
          <w:bCs/>
          <w:szCs w:val="24"/>
        </w:rPr>
        <w:t xml:space="preserve"> by the results of a single RCT that may not be </w:t>
      </w:r>
      <w:proofErr w:type="spellStart"/>
      <w:r w:rsidRPr="003E1F05">
        <w:rPr>
          <w:bCs/>
          <w:szCs w:val="24"/>
        </w:rPr>
        <w:t>generalisable</w:t>
      </w:r>
      <w:proofErr w:type="spellEnd"/>
      <w:r w:rsidRPr="003E1F05">
        <w:rPr>
          <w:bCs/>
          <w:szCs w:val="24"/>
        </w:rPr>
        <w:t xml:space="preserve"> to a broader population because it only included participants with at least one episode of severe hypoglycaemia in the past six months (</w:t>
      </w:r>
      <w:proofErr w:type="spellStart"/>
      <w:r w:rsidRPr="003E1F05">
        <w:rPr>
          <w:bCs/>
          <w:szCs w:val="24"/>
        </w:rPr>
        <w:t>Yeh</w:t>
      </w:r>
      <w:proofErr w:type="spellEnd"/>
      <w:r w:rsidRPr="003E1F05">
        <w:rPr>
          <w:bCs/>
          <w:szCs w:val="24"/>
        </w:rPr>
        <w:t xml:space="preserve"> </w:t>
      </w:r>
      <w:r w:rsidRPr="003E1F05">
        <w:rPr>
          <w:bCs/>
          <w:i/>
          <w:szCs w:val="24"/>
        </w:rPr>
        <w:t>et al</w:t>
      </w:r>
      <w:r w:rsidRPr="003E1F05">
        <w:rPr>
          <w:bCs/>
          <w:szCs w:val="24"/>
        </w:rPr>
        <w:t>. 2012).</w:t>
      </w:r>
    </w:p>
    <w:p w:rsidR="005B7A4B" w:rsidRPr="003E1F05" w:rsidRDefault="005B7A4B" w:rsidP="005B7A4B">
      <w:pPr>
        <w:spacing w:after="120"/>
        <w:rPr>
          <w:bCs/>
          <w:szCs w:val="24"/>
        </w:rPr>
      </w:pPr>
      <w:r w:rsidRPr="003E1F05">
        <w:rPr>
          <w:bCs/>
          <w:szCs w:val="24"/>
        </w:rPr>
        <w:t>One meta-analysis did not find a difference between insulin pump therapy and multiple daily injections in nocturnal hypoglycaemia (</w:t>
      </w:r>
      <w:proofErr w:type="spellStart"/>
      <w:r w:rsidRPr="003E1F05">
        <w:rPr>
          <w:bCs/>
          <w:szCs w:val="24"/>
        </w:rPr>
        <w:t>Fatourechi</w:t>
      </w:r>
      <w:proofErr w:type="spellEnd"/>
      <w:r w:rsidRPr="003E1F05">
        <w:rPr>
          <w:bCs/>
          <w:szCs w:val="24"/>
        </w:rPr>
        <w:t xml:space="preserve"> </w:t>
      </w:r>
      <w:r w:rsidRPr="003E1F05">
        <w:rPr>
          <w:bCs/>
          <w:i/>
          <w:szCs w:val="24"/>
        </w:rPr>
        <w:t>et al</w:t>
      </w:r>
      <w:r w:rsidRPr="003E1F05">
        <w:rPr>
          <w:bCs/>
          <w:szCs w:val="24"/>
        </w:rPr>
        <w:t>. 2009).</w:t>
      </w:r>
    </w:p>
    <w:p w:rsidR="005B7A4B" w:rsidRPr="00787F54" w:rsidRDefault="005B7A4B" w:rsidP="005B7A4B">
      <w:pPr>
        <w:pStyle w:val="Heading5"/>
      </w:pPr>
      <w:r w:rsidRPr="00787F54">
        <w:t>Severe hypoglycaemia</w:t>
      </w:r>
    </w:p>
    <w:p w:rsidR="005B7A4B" w:rsidRPr="003E1F05" w:rsidRDefault="005B7A4B" w:rsidP="005B7A4B">
      <w:pPr>
        <w:spacing w:after="120"/>
        <w:rPr>
          <w:bCs/>
          <w:szCs w:val="24"/>
        </w:rPr>
      </w:pPr>
      <w:r w:rsidRPr="003E1F05">
        <w:rPr>
          <w:bCs/>
          <w:szCs w:val="24"/>
        </w:rPr>
        <w:t>Four review</w:t>
      </w:r>
      <w:r w:rsidR="007A1DCC" w:rsidRPr="003E1F05">
        <w:rPr>
          <w:bCs/>
          <w:szCs w:val="24"/>
        </w:rPr>
        <w:t>s examined severe hypoglycaemia;</w:t>
      </w:r>
      <w:r w:rsidRPr="003E1F05">
        <w:rPr>
          <w:bCs/>
          <w:szCs w:val="24"/>
        </w:rPr>
        <w:t xml:space="preserve"> however, it </w:t>
      </w:r>
      <w:proofErr w:type="gramStart"/>
      <w:r w:rsidRPr="003E1F05">
        <w:rPr>
          <w:bCs/>
          <w:szCs w:val="24"/>
        </w:rPr>
        <w:t>should be noted</w:t>
      </w:r>
      <w:proofErr w:type="gramEnd"/>
      <w:r w:rsidRPr="003E1F05">
        <w:rPr>
          <w:bCs/>
          <w:szCs w:val="24"/>
        </w:rPr>
        <w:t xml:space="preserve"> that the event rates for severe hypoglycaemia were low in all RCTs and the RCTs were not powered for this outcome.</w:t>
      </w:r>
    </w:p>
    <w:p w:rsidR="005B7A4B" w:rsidRPr="003E1F05" w:rsidRDefault="005B7A4B" w:rsidP="005B7A4B">
      <w:pPr>
        <w:spacing w:after="120"/>
        <w:rPr>
          <w:bCs/>
          <w:szCs w:val="24"/>
        </w:rPr>
      </w:pPr>
      <w:r w:rsidRPr="003E1F05">
        <w:rPr>
          <w:bCs/>
          <w:szCs w:val="24"/>
        </w:rPr>
        <w:t>One meta-analysis did not find a difference between insulin pump therapy and multiple daily injections in the number of people who experienced at least one severe hypoglycaemic episode, based on 12 RCTs between 2003 and 2008 (</w:t>
      </w:r>
      <w:proofErr w:type="spellStart"/>
      <w:r w:rsidRPr="003E1F05">
        <w:rPr>
          <w:bCs/>
          <w:szCs w:val="24"/>
        </w:rPr>
        <w:t>Fatourechi</w:t>
      </w:r>
      <w:proofErr w:type="spellEnd"/>
      <w:r w:rsidRPr="003E1F05">
        <w:rPr>
          <w:bCs/>
          <w:szCs w:val="24"/>
        </w:rPr>
        <w:t xml:space="preserve"> </w:t>
      </w:r>
      <w:r w:rsidRPr="003E1F05">
        <w:rPr>
          <w:bCs/>
          <w:i/>
          <w:szCs w:val="24"/>
        </w:rPr>
        <w:t>et al</w:t>
      </w:r>
      <w:r w:rsidRPr="003E1F05">
        <w:rPr>
          <w:bCs/>
          <w:szCs w:val="24"/>
        </w:rPr>
        <w:t>. 2009). The number of people who experienced at least one severe hypoglycaemic episode in each group was low, 5% and 9.4% in the insulin pump therapy and multiple daily injections groups, respectively, which affected the ability to determine group differences.</w:t>
      </w:r>
    </w:p>
    <w:p w:rsidR="005B7A4B" w:rsidRPr="003E1F05" w:rsidRDefault="005B7A4B" w:rsidP="005B7A4B">
      <w:pPr>
        <w:spacing w:after="120"/>
        <w:rPr>
          <w:bCs/>
          <w:szCs w:val="24"/>
        </w:rPr>
      </w:pPr>
      <w:r w:rsidRPr="003E1F05">
        <w:rPr>
          <w:bCs/>
          <w:szCs w:val="24"/>
        </w:rPr>
        <w:lastRenderedPageBreak/>
        <w:t>Another meta-analysis of 11 RCTs published between 2000 and 2008, did not find a significant difference in severe hypoglycaemia between insulin pump therapy and multiple daily injections (</w:t>
      </w:r>
      <w:proofErr w:type="spellStart"/>
      <w:r w:rsidRPr="003E1F05">
        <w:rPr>
          <w:bCs/>
          <w:szCs w:val="24"/>
        </w:rPr>
        <w:t>Monami</w:t>
      </w:r>
      <w:proofErr w:type="spellEnd"/>
      <w:r w:rsidRPr="003E1F05">
        <w:rPr>
          <w:bCs/>
          <w:szCs w:val="24"/>
        </w:rPr>
        <w:t xml:space="preserve"> </w:t>
      </w:r>
      <w:r w:rsidRPr="003E1F05">
        <w:rPr>
          <w:bCs/>
          <w:i/>
          <w:szCs w:val="24"/>
        </w:rPr>
        <w:t>et al</w:t>
      </w:r>
      <w:r w:rsidRPr="003E1F05">
        <w:rPr>
          <w:bCs/>
          <w:szCs w:val="24"/>
        </w:rPr>
        <w:t>. 2010).</w:t>
      </w:r>
    </w:p>
    <w:p w:rsidR="005B7A4B" w:rsidRPr="003E1F05" w:rsidRDefault="005B7A4B" w:rsidP="005B7A4B">
      <w:pPr>
        <w:spacing w:after="120"/>
        <w:rPr>
          <w:bCs/>
          <w:szCs w:val="24"/>
        </w:rPr>
      </w:pPr>
      <w:r w:rsidRPr="003E1F05">
        <w:rPr>
          <w:bCs/>
          <w:szCs w:val="24"/>
        </w:rPr>
        <w:t>The third meta-analysis of RCTs published between 2000 and 2009 with insulin analogues in the insulin pump therapy groups, found no significant difference in the rate of severe hypoglycaemia among adults (three RCTs), children less than 18 years of age (five RCTs), and above and below 12 years of age (three RCTs and two RCTs, respectively) (</w:t>
      </w:r>
      <w:proofErr w:type="spellStart"/>
      <w:r w:rsidRPr="003E1F05">
        <w:rPr>
          <w:bCs/>
          <w:szCs w:val="24"/>
        </w:rPr>
        <w:t>Yeh</w:t>
      </w:r>
      <w:proofErr w:type="spellEnd"/>
      <w:r w:rsidRPr="003E1F05">
        <w:rPr>
          <w:bCs/>
          <w:szCs w:val="24"/>
        </w:rPr>
        <w:t xml:space="preserve"> </w:t>
      </w:r>
      <w:r w:rsidRPr="003E1F05">
        <w:rPr>
          <w:bCs/>
          <w:i/>
          <w:szCs w:val="24"/>
        </w:rPr>
        <w:t>et al</w:t>
      </w:r>
      <w:r w:rsidRPr="003E1F05">
        <w:rPr>
          <w:bCs/>
          <w:szCs w:val="24"/>
        </w:rPr>
        <w:t>. 2012).</w:t>
      </w:r>
    </w:p>
    <w:p w:rsidR="005B7A4B" w:rsidRPr="003E1F05" w:rsidRDefault="005B7A4B" w:rsidP="005B7A4B">
      <w:pPr>
        <w:spacing w:after="120"/>
        <w:rPr>
          <w:bCs/>
          <w:szCs w:val="24"/>
        </w:rPr>
      </w:pPr>
      <w:r w:rsidRPr="003E1F05">
        <w:rPr>
          <w:bCs/>
          <w:szCs w:val="24"/>
        </w:rPr>
        <w:t>One systematic review did not perform a meta-analysis because studies used different scales to report hypoglycaemia (</w:t>
      </w:r>
      <w:proofErr w:type="spellStart"/>
      <w:r w:rsidRPr="003E1F05">
        <w:rPr>
          <w:bCs/>
          <w:szCs w:val="24"/>
        </w:rPr>
        <w:t>Misso</w:t>
      </w:r>
      <w:proofErr w:type="spellEnd"/>
      <w:r w:rsidRPr="003E1F05">
        <w:rPr>
          <w:bCs/>
          <w:szCs w:val="24"/>
        </w:rPr>
        <w:t xml:space="preserve"> </w:t>
      </w:r>
      <w:r w:rsidRPr="003E1F05">
        <w:rPr>
          <w:bCs/>
          <w:i/>
          <w:szCs w:val="24"/>
        </w:rPr>
        <w:t>et al</w:t>
      </w:r>
      <w:r w:rsidRPr="003E1F05">
        <w:rPr>
          <w:bCs/>
          <w:szCs w:val="24"/>
        </w:rPr>
        <w:t>. 2010). For severe hypoglycaemia, the authors concluded that, based on a summary of 15 RCTs, “…insulin pump therapy may be better than multiple daily injections”.</w:t>
      </w:r>
    </w:p>
    <w:p w:rsidR="005B7A4B" w:rsidRPr="00D52454" w:rsidRDefault="005B7A4B" w:rsidP="005B7A4B">
      <w:pPr>
        <w:pStyle w:val="Heading2"/>
        <w:keepNext/>
        <w:keepLines/>
      </w:pPr>
      <w:bookmarkStart w:id="159" w:name="_Toc381090935"/>
      <w:bookmarkStart w:id="160" w:name="_Toc387664336"/>
      <w:bookmarkStart w:id="161" w:name="_Toc372542360"/>
      <w:r w:rsidRPr="00D52454">
        <w:t>4.4</w:t>
      </w:r>
      <w:r w:rsidRPr="00D52454">
        <w:tab/>
        <w:t>Second literature review: Observational studies</w:t>
      </w:r>
      <w:bookmarkEnd w:id="159"/>
      <w:bookmarkEnd w:id="160"/>
      <w:r w:rsidRPr="00D52454">
        <w:t xml:space="preserve"> </w:t>
      </w:r>
      <w:bookmarkEnd w:id="161"/>
    </w:p>
    <w:p w:rsidR="005B7A4B" w:rsidRPr="00787F54" w:rsidRDefault="005B7A4B" w:rsidP="005B7A4B">
      <w:pPr>
        <w:pStyle w:val="Heading3"/>
        <w:keepLines/>
      </w:pPr>
      <w:r w:rsidRPr="00787F54">
        <w:t>4.4.1</w:t>
      </w:r>
      <w:r w:rsidRPr="00787F54">
        <w:tab/>
        <w:t>Methodology and limitations</w:t>
      </w:r>
    </w:p>
    <w:p w:rsidR="005B7A4B" w:rsidRPr="003E1F05" w:rsidRDefault="005B7A4B" w:rsidP="005B7A4B">
      <w:pPr>
        <w:rPr>
          <w:rFonts w:asciiTheme="majorHAnsi" w:hAnsiTheme="majorHAnsi"/>
          <w:bCs/>
        </w:rPr>
      </w:pPr>
      <w:r w:rsidRPr="003E1F05">
        <w:rPr>
          <w:rFonts w:asciiTheme="majorHAnsi" w:hAnsiTheme="majorHAnsi"/>
        </w:rPr>
        <w:t xml:space="preserve">A systematic review </w:t>
      </w:r>
      <w:proofErr w:type="gramStart"/>
      <w:r w:rsidRPr="003E1F05">
        <w:rPr>
          <w:rFonts w:asciiTheme="majorHAnsi" w:hAnsiTheme="majorHAnsi"/>
        </w:rPr>
        <w:t>was undertaken</w:t>
      </w:r>
      <w:proofErr w:type="gramEnd"/>
      <w:r w:rsidRPr="003E1F05">
        <w:rPr>
          <w:rFonts w:asciiTheme="majorHAnsi" w:hAnsiTheme="majorHAnsi"/>
        </w:rPr>
        <w:t xml:space="preserve"> to </w:t>
      </w:r>
      <w:r w:rsidRPr="003E1F05">
        <w:rPr>
          <w:rFonts w:asciiTheme="majorHAnsi" w:hAnsiTheme="majorHAnsi"/>
          <w:bCs/>
        </w:rPr>
        <w:t xml:space="preserve">assess the efficacy and safety of subcutaneous insulin infusion therapy versus multiple daily insulin injections in </w:t>
      </w:r>
      <w:r w:rsidRPr="003E1F05">
        <w:rPr>
          <w:rFonts w:asciiTheme="majorHAnsi" w:hAnsiTheme="majorHAnsi"/>
        </w:rPr>
        <w:t xml:space="preserve">observational studies of </w:t>
      </w:r>
      <w:r w:rsidRPr="003E1F05">
        <w:rPr>
          <w:rFonts w:asciiTheme="majorHAnsi" w:hAnsiTheme="majorHAnsi"/>
          <w:bCs/>
        </w:rPr>
        <w:t>adults and children with type 1 diabetes published between January 2008 and May 2013. Outcomes considered were blood glucose control (HbA</w:t>
      </w:r>
      <w:r w:rsidRPr="003E1F05">
        <w:rPr>
          <w:rFonts w:asciiTheme="majorHAnsi" w:hAnsiTheme="majorHAnsi"/>
          <w:bCs/>
          <w:vertAlign w:val="subscript"/>
        </w:rPr>
        <w:t>1c</w:t>
      </w:r>
      <w:r w:rsidRPr="003E1F05">
        <w:rPr>
          <w:rFonts w:asciiTheme="majorHAnsi" w:hAnsiTheme="majorHAnsi"/>
          <w:bCs/>
        </w:rPr>
        <w:t xml:space="preserve"> and glycaemic variability) and hypoglycaemia. Studies with a follow-up of less than three months, cross-sectional studies, and studies focussing on specific sub-groups (pregnant women, peri-operative period, </w:t>
      </w:r>
      <w:proofErr w:type="gramStart"/>
      <w:r w:rsidRPr="003E1F05">
        <w:rPr>
          <w:rFonts w:asciiTheme="majorHAnsi" w:hAnsiTheme="majorHAnsi"/>
          <w:bCs/>
        </w:rPr>
        <w:t>cystic</w:t>
      </w:r>
      <w:proofErr w:type="gramEnd"/>
      <w:r w:rsidRPr="003E1F05">
        <w:rPr>
          <w:rFonts w:asciiTheme="majorHAnsi" w:hAnsiTheme="majorHAnsi"/>
          <w:bCs/>
        </w:rPr>
        <w:t xml:space="preserve"> fibrosis) were excluded. </w:t>
      </w:r>
      <w:r w:rsidRPr="003E1F05">
        <w:rPr>
          <w:rFonts w:asciiTheme="majorHAnsi" w:hAnsiTheme="majorHAnsi"/>
          <w:bCs/>
          <w:szCs w:val="24"/>
        </w:rPr>
        <w:t xml:space="preserve">Evidence synthesis </w:t>
      </w:r>
      <w:proofErr w:type="gramStart"/>
      <w:r w:rsidRPr="003E1F05">
        <w:rPr>
          <w:rFonts w:asciiTheme="majorHAnsi" w:hAnsiTheme="majorHAnsi"/>
          <w:bCs/>
          <w:szCs w:val="24"/>
        </w:rPr>
        <w:t>was carried</w:t>
      </w:r>
      <w:proofErr w:type="gramEnd"/>
      <w:r w:rsidRPr="003E1F05">
        <w:rPr>
          <w:rFonts w:asciiTheme="majorHAnsi" w:hAnsiTheme="majorHAnsi"/>
          <w:bCs/>
          <w:szCs w:val="24"/>
        </w:rPr>
        <w:t xml:space="preserve"> out using a narrative review for each research question. </w:t>
      </w:r>
    </w:p>
    <w:p w:rsidR="005B7A4B" w:rsidRPr="003E1F05" w:rsidRDefault="005B7A4B" w:rsidP="005B7A4B">
      <w:pPr>
        <w:rPr>
          <w:rFonts w:asciiTheme="majorHAnsi" w:hAnsiTheme="majorHAnsi"/>
          <w:bCs/>
        </w:rPr>
      </w:pPr>
      <w:r w:rsidRPr="003E1F05">
        <w:rPr>
          <w:rFonts w:asciiTheme="majorHAnsi" w:hAnsiTheme="majorHAnsi"/>
          <w:bCs/>
          <w:szCs w:val="24"/>
        </w:rPr>
        <w:t xml:space="preserve">The literature review focussed on four research questions that are relevant to </w:t>
      </w:r>
      <w:proofErr w:type="spellStart"/>
      <w:r w:rsidRPr="003E1F05">
        <w:rPr>
          <w:rFonts w:asciiTheme="majorHAnsi" w:hAnsiTheme="majorHAnsi"/>
          <w:bCs/>
          <w:szCs w:val="24"/>
        </w:rPr>
        <w:t>ToR</w:t>
      </w:r>
      <w:proofErr w:type="spellEnd"/>
      <w:r w:rsidRPr="003E1F05">
        <w:rPr>
          <w:rFonts w:asciiTheme="majorHAnsi" w:hAnsiTheme="majorHAnsi"/>
          <w:bCs/>
          <w:szCs w:val="24"/>
        </w:rPr>
        <w:t xml:space="preserve"> 8:</w:t>
      </w:r>
    </w:p>
    <w:p w:rsidR="005B7A4B" w:rsidRPr="003E1F05" w:rsidRDefault="005B7A4B" w:rsidP="005B7A4B">
      <w:pPr>
        <w:pStyle w:val="ListParagraph"/>
        <w:numPr>
          <w:ilvl w:val="0"/>
          <w:numId w:val="33"/>
        </w:numPr>
        <w:ind w:hanging="436"/>
        <w:rPr>
          <w:rFonts w:asciiTheme="majorHAnsi" w:hAnsiTheme="majorHAnsi"/>
        </w:rPr>
      </w:pPr>
      <w:bookmarkStart w:id="162" w:name="_Toc360196222"/>
      <w:r w:rsidRPr="003E1F05">
        <w:rPr>
          <w:rFonts w:asciiTheme="majorHAnsi" w:hAnsiTheme="majorHAnsi"/>
        </w:rPr>
        <w:t>What is the evidence that continuous subcutaneous insulin infusion therapy is more effective than multiple daily injections for blood glucose control (HbA</w:t>
      </w:r>
      <w:r w:rsidRPr="003E1F05">
        <w:rPr>
          <w:rFonts w:asciiTheme="majorHAnsi" w:hAnsiTheme="majorHAnsi"/>
          <w:vertAlign w:val="subscript"/>
        </w:rPr>
        <w:t>1c</w:t>
      </w:r>
      <w:r w:rsidRPr="003E1F05">
        <w:rPr>
          <w:rFonts w:asciiTheme="majorHAnsi" w:hAnsiTheme="majorHAnsi"/>
        </w:rPr>
        <w:t>) in children and adolescents under 18 years of age with type 1 diabetes?</w:t>
      </w:r>
      <w:bookmarkStart w:id="163" w:name="_Toc360196223"/>
      <w:bookmarkEnd w:id="162"/>
    </w:p>
    <w:p w:rsidR="005B7A4B" w:rsidRPr="003E1F05" w:rsidRDefault="005B7A4B" w:rsidP="005B7A4B">
      <w:pPr>
        <w:pStyle w:val="ListParagraph"/>
        <w:numPr>
          <w:ilvl w:val="0"/>
          <w:numId w:val="33"/>
        </w:numPr>
        <w:ind w:hanging="436"/>
        <w:rPr>
          <w:rFonts w:asciiTheme="majorHAnsi" w:hAnsiTheme="majorHAnsi"/>
        </w:rPr>
      </w:pPr>
      <w:r w:rsidRPr="003E1F05">
        <w:rPr>
          <w:rFonts w:asciiTheme="majorHAnsi" w:hAnsiTheme="majorHAnsi"/>
        </w:rPr>
        <w:t xml:space="preserve">What is the evidence that continuous subcutaneous insulin infusion therapy is safer than multiple daily injections </w:t>
      </w:r>
      <w:proofErr w:type="gramStart"/>
      <w:r w:rsidRPr="003E1F05">
        <w:rPr>
          <w:rFonts w:asciiTheme="majorHAnsi" w:hAnsiTheme="majorHAnsi"/>
        </w:rPr>
        <w:t>with regards to</w:t>
      </w:r>
      <w:proofErr w:type="gramEnd"/>
      <w:r w:rsidRPr="003E1F05">
        <w:rPr>
          <w:rFonts w:asciiTheme="majorHAnsi" w:hAnsiTheme="majorHAnsi"/>
        </w:rPr>
        <w:t xml:space="preserve"> the risk of severe hypoglycaemia in children and adolescents under 18 years of age with type 1 diabetes?</w:t>
      </w:r>
      <w:bookmarkEnd w:id="163"/>
    </w:p>
    <w:p w:rsidR="005B7A4B" w:rsidRPr="003E1F05" w:rsidRDefault="005B7A4B" w:rsidP="005B7A4B">
      <w:pPr>
        <w:pStyle w:val="ListParagraph"/>
        <w:numPr>
          <w:ilvl w:val="0"/>
          <w:numId w:val="33"/>
        </w:numPr>
        <w:ind w:hanging="436"/>
        <w:rPr>
          <w:rFonts w:asciiTheme="majorHAnsi" w:hAnsiTheme="majorHAnsi"/>
        </w:rPr>
      </w:pPr>
      <w:r w:rsidRPr="003E1F05">
        <w:rPr>
          <w:rFonts w:asciiTheme="majorHAnsi" w:hAnsiTheme="majorHAnsi"/>
        </w:rPr>
        <w:t>What is the evidence that continuous subcutaneous insulin infusion therapy is more effective than multiple daily injections for blood glucose control (HbA</w:t>
      </w:r>
      <w:r w:rsidRPr="003E1F05">
        <w:rPr>
          <w:rFonts w:asciiTheme="majorHAnsi" w:hAnsiTheme="majorHAnsi"/>
          <w:vertAlign w:val="subscript"/>
        </w:rPr>
        <w:t>1c</w:t>
      </w:r>
      <w:r w:rsidRPr="003E1F05">
        <w:rPr>
          <w:rFonts w:asciiTheme="majorHAnsi" w:hAnsiTheme="majorHAnsi"/>
        </w:rPr>
        <w:t>) in adults with type 1 diabetes?</w:t>
      </w:r>
    </w:p>
    <w:p w:rsidR="005B7A4B" w:rsidRPr="003E1F05" w:rsidRDefault="005B7A4B" w:rsidP="005B7A4B">
      <w:pPr>
        <w:pStyle w:val="ListParagraph"/>
        <w:numPr>
          <w:ilvl w:val="0"/>
          <w:numId w:val="33"/>
        </w:numPr>
        <w:ind w:hanging="436"/>
        <w:rPr>
          <w:rFonts w:asciiTheme="majorHAnsi" w:hAnsiTheme="majorHAnsi"/>
        </w:rPr>
      </w:pPr>
      <w:r w:rsidRPr="003E1F05">
        <w:rPr>
          <w:rFonts w:asciiTheme="majorHAnsi" w:hAnsiTheme="majorHAnsi"/>
        </w:rPr>
        <w:t xml:space="preserve">What is the evidence that continuous subcutaneous insulin infusion therapy is safer than multiple daily injections </w:t>
      </w:r>
      <w:proofErr w:type="gramStart"/>
      <w:r w:rsidRPr="003E1F05">
        <w:rPr>
          <w:rFonts w:asciiTheme="majorHAnsi" w:hAnsiTheme="majorHAnsi"/>
        </w:rPr>
        <w:t>with regards to</w:t>
      </w:r>
      <w:proofErr w:type="gramEnd"/>
      <w:r w:rsidRPr="003E1F05">
        <w:rPr>
          <w:rFonts w:asciiTheme="majorHAnsi" w:hAnsiTheme="majorHAnsi"/>
        </w:rPr>
        <w:t xml:space="preserve"> the risk of severe hypoglycaemia in adults with type 1 diabetes?</w:t>
      </w:r>
    </w:p>
    <w:p w:rsidR="005B7A4B" w:rsidRPr="003E1F05" w:rsidRDefault="005B7A4B" w:rsidP="005B7A4B">
      <w:pPr>
        <w:rPr>
          <w:rFonts w:asciiTheme="majorHAnsi" w:hAnsiTheme="majorHAnsi"/>
          <w:szCs w:val="24"/>
        </w:rPr>
      </w:pPr>
      <w:r w:rsidRPr="003E1F05">
        <w:rPr>
          <w:rFonts w:asciiTheme="majorHAnsi" w:hAnsiTheme="majorHAnsi"/>
          <w:szCs w:val="24"/>
        </w:rPr>
        <w:t xml:space="preserve">The results of observational studies need to </w:t>
      </w:r>
      <w:proofErr w:type="gramStart"/>
      <w:r w:rsidRPr="003E1F05">
        <w:rPr>
          <w:rFonts w:asciiTheme="majorHAnsi" w:hAnsiTheme="majorHAnsi"/>
          <w:szCs w:val="24"/>
        </w:rPr>
        <w:t>be interpreted</w:t>
      </w:r>
      <w:proofErr w:type="gramEnd"/>
      <w:r w:rsidRPr="003E1F05">
        <w:rPr>
          <w:rFonts w:asciiTheme="majorHAnsi" w:hAnsiTheme="majorHAnsi"/>
          <w:szCs w:val="24"/>
        </w:rPr>
        <w:t xml:space="preserve"> with caution because of the higher risk of bias, including publication bias, selection bias and lack of randomisation. In b</w:t>
      </w:r>
      <w:r w:rsidRPr="003E1F05">
        <w:rPr>
          <w:rFonts w:asciiTheme="majorHAnsi" w:hAnsiTheme="majorHAnsi"/>
          <w:bCs/>
          <w:szCs w:val="24"/>
        </w:rPr>
        <w:t xml:space="preserve">efore-and-after studies, there is no comparison group so it is impossible to assess </w:t>
      </w:r>
      <w:r w:rsidRPr="003E1F05">
        <w:rPr>
          <w:rFonts w:asciiTheme="majorHAnsi" w:hAnsiTheme="majorHAnsi"/>
          <w:bCs/>
          <w:szCs w:val="24"/>
        </w:rPr>
        <w:lastRenderedPageBreak/>
        <w:t>whether the effect observed is due to the intervention alone (i.e. use of an insulin pump) or other factors, such as intensity of blood glucose testing or education. Conversely, the increase in HbA</w:t>
      </w:r>
      <w:r w:rsidRPr="003E1F05">
        <w:rPr>
          <w:rFonts w:asciiTheme="majorHAnsi" w:hAnsiTheme="majorHAnsi"/>
          <w:bCs/>
          <w:szCs w:val="24"/>
          <w:vertAlign w:val="subscript"/>
        </w:rPr>
        <w:t>1c</w:t>
      </w:r>
      <w:r w:rsidRPr="003E1F05">
        <w:rPr>
          <w:rFonts w:asciiTheme="majorHAnsi" w:hAnsiTheme="majorHAnsi"/>
          <w:bCs/>
          <w:szCs w:val="24"/>
        </w:rPr>
        <w:t xml:space="preserve"> levels that </w:t>
      </w:r>
      <w:proofErr w:type="gramStart"/>
      <w:r w:rsidRPr="003E1F05">
        <w:rPr>
          <w:rFonts w:asciiTheme="majorHAnsi" w:hAnsiTheme="majorHAnsi"/>
          <w:bCs/>
          <w:szCs w:val="24"/>
        </w:rPr>
        <w:t>has been observed</w:t>
      </w:r>
      <w:proofErr w:type="gramEnd"/>
      <w:r w:rsidRPr="003E1F05">
        <w:rPr>
          <w:rFonts w:asciiTheme="majorHAnsi" w:hAnsiTheme="majorHAnsi"/>
          <w:bCs/>
          <w:szCs w:val="24"/>
        </w:rPr>
        <w:t xml:space="preserve"> in patients with diabetes over time may have partially masked the potential benefit provided by insulin pumps.</w:t>
      </w:r>
    </w:p>
    <w:p w:rsidR="005B7A4B" w:rsidRPr="003E1F05" w:rsidRDefault="005B7A4B" w:rsidP="005B7A4B">
      <w:pPr>
        <w:rPr>
          <w:rFonts w:asciiTheme="majorHAnsi" w:hAnsiTheme="majorHAnsi"/>
          <w:szCs w:val="24"/>
        </w:rPr>
      </w:pPr>
      <w:r w:rsidRPr="003E1F05">
        <w:rPr>
          <w:rFonts w:asciiTheme="majorHAnsi" w:hAnsiTheme="majorHAnsi"/>
          <w:szCs w:val="24"/>
        </w:rPr>
        <w:t>In many of the cohort studies identified, the statistical tests compared the end-of-study HbA</w:t>
      </w:r>
      <w:r w:rsidRPr="003E1F05">
        <w:rPr>
          <w:rFonts w:asciiTheme="majorHAnsi" w:hAnsiTheme="majorHAnsi"/>
          <w:szCs w:val="24"/>
          <w:vertAlign w:val="subscript"/>
        </w:rPr>
        <w:t>1c</w:t>
      </w:r>
      <w:r w:rsidRPr="003E1F05">
        <w:rPr>
          <w:rFonts w:asciiTheme="majorHAnsi" w:hAnsiTheme="majorHAnsi"/>
          <w:szCs w:val="24"/>
        </w:rPr>
        <w:t xml:space="preserve"> levels between the two treatments without explicit adjustment for baseline HbA</w:t>
      </w:r>
      <w:r w:rsidRPr="003E1F05">
        <w:rPr>
          <w:rFonts w:asciiTheme="majorHAnsi" w:hAnsiTheme="majorHAnsi"/>
          <w:szCs w:val="24"/>
          <w:vertAlign w:val="subscript"/>
        </w:rPr>
        <w:t>1c</w:t>
      </w:r>
      <w:r w:rsidRPr="003E1F05">
        <w:rPr>
          <w:rFonts w:asciiTheme="majorHAnsi" w:hAnsiTheme="majorHAnsi"/>
          <w:szCs w:val="24"/>
        </w:rPr>
        <w:t>. Given that with both therapies, reduction in HbA</w:t>
      </w:r>
      <w:r w:rsidRPr="003E1F05">
        <w:rPr>
          <w:rFonts w:asciiTheme="majorHAnsi" w:hAnsiTheme="majorHAnsi"/>
          <w:szCs w:val="24"/>
          <w:vertAlign w:val="subscript"/>
        </w:rPr>
        <w:t>1c</w:t>
      </w:r>
      <w:r w:rsidRPr="003E1F05">
        <w:rPr>
          <w:rFonts w:asciiTheme="majorHAnsi" w:hAnsiTheme="majorHAnsi"/>
          <w:szCs w:val="24"/>
        </w:rPr>
        <w:t xml:space="preserve"> may progressively increase as baseline HbA</w:t>
      </w:r>
      <w:r w:rsidRPr="003E1F05">
        <w:rPr>
          <w:rFonts w:asciiTheme="majorHAnsi" w:hAnsiTheme="majorHAnsi"/>
          <w:szCs w:val="24"/>
          <w:vertAlign w:val="subscript"/>
        </w:rPr>
        <w:t>1c</w:t>
      </w:r>
      <w:r w:rsidRPr="003E1F05">
        <w:rPr>
          <w:rFonts w:asciiTheme="majorHAnsi" w:hAnsiTheme="majorHAnsi"/>
          <w:szCs w:val="24"/>
        </w:rPr>
        <w:t xml:space="preserve"> rises (</w:t>
      </w:r>
      <w:proofErr w:type="spellStart"/>
      <w:r w:rsidRPr="003E1F05">
        <w:rPr>
          <w:rFonts w:asciiTheme="majorHAnsi" w:hAnsiTheme="majorHAnsi"/>
          <w:szCs w:val="24"/>
        </w:rPr>
        <w:t>Retnakaran</w:t>
      </w:r>
      <w:proofErr w:type="spellEnd"/>
      <w:r w:rsidRPr="003E1F05">
        <w:rPr>
          <w:rFonts w:asciiTheme="majorHAnsi" w:hAnsiTheme="majorHAnsi"/>
          <w:szCs w:val="24"/>
        </w:rPr>
        <w:t xml:space="preserve"> </w:t>
      </w:r>
      <w:r w:rsidRPr="003E1F05">
        <w:rPr>
          <w:rFonts w:asciiTheme="majorHAnsi" w:hAnsiTheme="majorHAnsi"/>
          <w:i/>
          <w:szCs w:val="24"/>
        </w:rPr>
        <w:t>et al.</w:t>
      </w:r>
      <w:r w:rsidRPr="003E1F05">
        <w:rPr>
          <w:rFonts w:asciiTheme="majorHAnsi" w:hAnsiTheme="majorHAnsi"/>
          <w:szCs w:val="24"/>
        </w:rPr>
        <w:t xml:space="preserve"> 2005), and that poor glycaemic control is often a selection criterion for initiation of insulin pump therapy, the improvements in glycaemic control seen with insulin pump therapy may result from higher initial HbA</w:t>
      </w:r>
      <w:r w:rsidRPr="003E1F05">
        <w:rPr>
          <w:rFonts w:asciiTheme="majorHAnsi" w:hAnsiTheme="majorHAnsi"/>
          <w:szCs w:val="24"/>
          <w:vertAlign w:val="subscript"/>
        </w:rPr>
        <w:t>1c</w:t>
      </w:r>
      <w:r w:rsidRPr="003E1F05">
        <w:rPr>
          <w:rFonts w:asciiTheme="majorHAnsi" w:hAnsiTheme="majorHAnsi"/>
          <w:szCs w:val="24"/>
        </w:rPr>
        <w:t>. The variation in definition of severe hypoglycaemia outcome across studies may also add difficulty to the interpretation of the synthesised results. Nevertheless, observational studies do provide useful data on effects observed in clinical practice.</w:t>
      </w:r>
    </w:p>
    <w:p w:rsidR="005B7A4B" w:rsidRPr="003E1F05" w:rsidRDefault="005B7A4B" w:rsidP="005B7A4B">
      <w:pPr>
        <w:rPr>
          <w:rFonts w:asciiTheme="majorHAnsi" w:hAnsiTheme="majorHAnsi"/>
          <w:szCs w:val="24"/>
        </w:rPr>
      </w:pPr>
      <w:r w:rsidRPr="003E1F05">
        <w:rPr>
          <w:rFonts w:asciiTheme="majorHAnsi" w:eastAsia="FreeSerif" w:hAnsiTheme="majorHAnsi"/>
          <w:szCs w:val="24"/>
        </w:rPr>
        <w:t>A 0.5% reduction or more in HbA</w:t>
      </w:r>
      <w:r w:rsidRPr="003E1F05">
        <w:rPr>
          <w:rFonts w:asciiTheme="majorHAnsi" w:eastAsia="FreeSerif" w:hAnsiTheme="majorHAnsi"/>
          <w:szCs w:val="24"/>
          <w:vertAlign w:val="subscript"/>
        </w:rPr>
        <w:t>1c</w:t>
      </w:r>
      <w:r w:rsidRPr="003E1F05">
        <w:rPr>
          <w:rFonts w:asciiTheme="majorHAnsi" w:eastAsia="FreeSerif" w:hAnsiTheme="majorHAnsi"/>
          <w:szCs w:val="24"/>
        </w:rPr>
        <w:t xml:space="preserve"> </w:t>
      </w:r>
      <w:proofErr w:type="gramStart"/>
      <w:r w:rsidRPr="003E1F05">
        <w:rPr>
          <w:rFonts w:asciiTheme="majorHAnsi" w:eastAsia="FreeSerif" w:hAnsiTheme="majorHAnsi"/>
          <w:szCs w:val="24"/>
        </w:rPr>
        <w:t>is generally accepted</w:t>
      </w:r>
      <w:proofErr w:type="gramEnd"/>
      <w:r w:rsidRPr="003E1F05">
        <w:rPr>
          <w:rFonts w:asciiTheme="majorHAnsi" w:eastAsia="FreeSerif" w:hAnsiTheme="majorHAnsi"/>
          <w:szCs w:val="24"/>
        </w:rPr>
        <w:t xml:space="preserve"> to be of clinical </w:t>
      </w:r>
      <w:r w:rsidRPr="003E1F05">
        <w:rPr>
          <w:rFonts w:asciiTheme="majorHAnsi" w:hAnsiTheme="majorHAnsi"/>
          <w:bCs/>
          <w:szCs w:val="24"/>
        </w:rPr>
        <w:t xml:space="preserve">significance </w:t>
      </w:r>
      <w:r w:rsidRPr="003E1F05">
        <w:rPr>
          <w:rFonts w:asciiTheme="majorHAnsi" w:hAnsiTheme="majorHAnsi"/>
          <w:bCs/>
          <w:szCs w:val="24"/>
        </w:rPr>
        <w:fldChar w:fldCharType="begin">
          <w:fldData xml:space="preserve">PEVuZE5vdGU+PENpdGU+PEF1dGhvcj5DbGFyPC9BdXRob3I+PFllYXI+MjAxMDwvWWVhcj48UmVj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</w:fldData>
        </w:fldChar>
      </w:r>
      <w:r w:rsidRPr="003E1F05">
        <w:rPr>
          <w:rFonts w:asciiTheme="majorHAnsi" w:hAnsiTheme="majorHAnsi"/>
          <w:bCs/>
          <w:szCs w:val="24"/>
        </w:rPr>
        <w:instrText xml:space="preserve"> ADDIN EN.CITE </w:instrText>
      </w:r>
      <w:r w:rsidRPr="003E1F05">
        <w:rPr>
          <w:rFonts w:asciiTheme="majorHAnsi" w:hAnsiTheme="majorHAnsi"/>
          <w:bCs/>
          <w:szCs w:val="24"/>
        </w:rPr>
        <w:fldChar w:fldCharType="begin">
          <w:fldData xml:space="preserve">PEVuZE5vdGU+PENpdGU+PEF1dGhvcj5DbGFyPC9BdXRob3I+PFllYXI+MjAxMDwvWWVhcj48UmVj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</w:fldData>
        </w:fldChar>
      </w:r>
      <w:r w:rsidRPr="003E1F05">
        <w:rPr>
          <w:rFonts w:asciiTheme="majorHAnsi" w:hAnsiTheme="majorHAnsi"/>
          <w:bCs/>
          <w:szCs w:val="24"/>
        </w:rPr>
        <w:instrText xml:space="preserve"> ADDIN EN.CITE.DATA </w:instrText>
      </w:r>
      <w:r w:rsidRPr="003E1F05">
        <w:rPr>
          <w:rFonts w:asciiTheme="majorHAnsi" w:hAnsiTheme="majorHAnsi"/>
          <w:bCs/>
          <w:szCs w:val="24"/>
        </w:rPr>
      </w:r>
      <w:r w:rsidRPr="003E1F05">
        <w:rPr>
          <w:rFonts w:asciiTheme="majorHAnsi" w:hAnsiTheme="majorHAnsi"/>
          <w:bCs/>
          <w:szCs w:val="24"/>
        </w:rPr>
        <w:fldChar w:fldCharType="end"/>
      </w:r>
      <w:r w:rsidRPr="003E1F05">
        <w:rPr>
          <w:rFonts w:asciiTheme="majorHAnsi" w:hAnsiTheme="majorHAnsi"/>
          <w:bCs/>
          <w:szCs w:val="24"/>
        </w:rPr>
      </w:r>
      <w:r w:rsidRPr="003E1F05">
        <w:rPr>
          <w:rFonts w:asciiTheme="majorHAnsi" w:hAnsiTheme="majorHAnsi"/>
          <w:bCs/>
          <w:szCs w:val="24"/>
        </w:rPr>
        <w:fldChar w:fldCharType="separate"/>
      </w:r>
      <w:r w:rsidRPr="003E1F05">
        <w:rPr>
          <w:rFonts w:asciiTheme="majorHAnsi" w:hAnsiTheme="majorHAnsi"/>
          <w:bCs/>
          <w:noProof/>
          <w:szCs w:val="24"/>
        </w:rPr>
        <w:t>(</w:t>
      </w:r>
      <w:hyperlink w:anchor="_ENREF_9" w:tooltip="Clar, 2010 #12" w:history="1">
        <w:r w:rsidRPr="003E1F05">
          <w:rPr>
            <w:rFonts w:asciiTheme="majorHAnsi" w:hAnsiTheme="majorHAnsi"/>
            <w:bCs/>
            <w:noProof/>
            <w:szCs w:val="24"/>
          </w:rPr>
          <w:t xml:space="preserve">Clar </w:t>
        </w:r>
        <w:r w:rsidRPr="003E1F05">
          <w:rPr>
            <w:rFonts w:asciiTheme="majorHAnsi" w:hAnsiTheme="majorHAnsi"/>
            <w:bCs/>
            <w:i/>
            <w:noProof/>
            <w:szCs w:val="24"/>
          </w:rPr>
          <w:t xml:space="preserve">et al. </w:t>
        </w:r>
        <w:r w:rsidRPr="003E1F05">
          <w:rPr>
            <w:rFonts w:asciiTheme="majorHAnsi" w:hAnsiTheme="majorHAnsi"/>
            <w:bCs/>
            <w:noProof/>
            <w:szCs w:val="24"/>
          </w:rPr>
          <w:t>2010</w:t>
        </w:r>
      </w:hyperlink>
      <w:r w:rsidRPr="003E1F05">
        <w:rPr>
          <w:rFonts w:asciiTheme="majorHAnsi" w:hAnsiTheme="majorHAnsi"/>
          <w:bCs/>
          <w:noProof/>
          <w:szCs w:val="24"/>
        </w:rPr>
        <w:t xml:space="preserve">; </w:t>
      </w:r>
      <w:hyperlink w:anchor="_ENREF_10" w:tooltip="Cummins, 2010 #53" w:history="1">
        <w:r w:rsidRPr="003E1F05">
          <w:rPr>
            <w:rFonts w:asciiTheme="majorHAnsi" w:hAnsiTheme="majorHAnsi"/>
            <w:bCs/>
            <w:noProof/>
            <w:szCs w:val="24"/>
          </w:rPr>
          <w:t xml:space="preserve">Cummins </w:t>
        </w:r>
        <w:r w:rsidRPr="003E1F05">
          <w:rPr>
            <w:rFonts w:asciiTheme="majorHAnsi" w:hAnsiTheme="majorHAnsi"/>
            <w:bCs/>
            <w:i/>
            <w:noProof/>
            <w:szCs w:val="24"/>
          </w:rPr>
          <w:t>et al.</w:t>
        </w:r>
        <w:r w:rsidRPr="003E1F05">
          <w:rPr>
            <w:rFonts w:asciiTheme="majorHAnsi" w:hAnsiTheme="majorHAnsi"/>
            <w:bCs/>
            <w:noProof/>
            <w:szCs w:val="24"/>
          </w:rPr>
          <w:t xml:space="preserve"> 2010</w:t>
        </w:r>
      </w:hyperlink>
      <w:r w:rsidRPr="003E1F05">
        <w:rPr>
          <w:rFonts w:asciiTheme="majorHAnsi" w:hAnsiTheme="majorHAnsi"/>
          <w:bCs/>
          <w:noProof/>
          <w:szCs w:val="24"/>
        </w:rPr>
        <w:t>)</w:t>
      </w:r>
      <w:r w:rsidRPr="003E1F05">
        <w:rPr>
          <w:rFonts w:asciiTheme="majorHAnsi" w:hAnsiTheme="majorHAnsi"/>
          <w:bCs/>
          <w:szCs w:val="24"/>
        </w:rPr>
        <w:fldChar w:fldCharType="end"/>
      </w:r>
      <w:r w:rsidRPr="003E1F05">
        <w:rPr>
          <w:rFonts w:asciiTheme="majorHAnsi" w:hAnsiTheme="majorHAnsi"/>
          <w:bCs/>
          <w:szCs w:val="24"/>
        </w:rPr>
        <w:t xml:space="preserve">. However, there is no consensus on this issue and a smaller reduction might be considered important from a public health perspective if achieved on a wide scale </w:t>
      </w:r>
      <w:r w:rsidRPr="003E1F05">
        <w:rPr>
          <w:rFonts w:asciiTheme="majorHAnsi" w:hAnsiTheme="majorHAnsi"/>
          <w:bCs/>
          <w:szCs w:val="24"/>
        </w:rPr>
        <w:fldChar w:fldCharType="begin">
          <w:fldData xml:space="preserve">PEVuZE5vdGU+PENpdGU+PEF1dGhvcj5GYXJtZXI8L0F1dGhvcj48WWVhcj4yMDEyPC9ZZWFyPjxS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</w:fldData>
        </w:fldChar>
      </w:r>
      <w:r w:rsidRPr="003E1F05">
        <w:rPr>
          <w:rFonts w:asciiTheme="majorHAnsi" w:hAnsiTheme="majorHAnsi"/>
          <w:bCs/>
          <w:szCs w:val="24"/>
        </w:rPr>
        <w:instrText xml:space="preserve"> ADDIN EN.CITE </w:instrText>
      </w:r>
      <w:r w:rsidRPr="003E1F05">
        <w:rPr>
          <w:rFonts w:asciiTheme="majorHAnsi" w:hAnsiTheme="majorHAnsi"/>
          <w:bCs/>
          <w:szCs w:val="24"/>
        </w:rPr>
        <w:fldChar w:fldCharType="begin">
          <w:fldData xml:space="preserve">PEVuZE5vdGU+PENpdGU+PEF1dGhvcj5GYXJtZXI8L0F1dGhvcj48WWVhcj4yMDEyPC9ZZWFyPjxS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</w:fldData>
        </w:fldChar>
      </w:r>
      <w:r w:rsidRPr="003E1F05">
        <w:rPr>
          <w:rFonts w:asciiTheme="majorHAnsi" w:hAnsiTheme="majorHAnsi"/>
          <w:bCs/>
          <w:szCs w:val="24"/>
        </w:rPr>
        <w:instrText xml:space="preserve"> ADDIN EN.CITE.DATA </w:instrText>
      </w:r>
      <w:r w:rsidRPr="003E1F05">
        <w:rPr>
          <w:rFonts w:asciiTheme="majorHAnsi" w:hAnsiTheme="majorHAnsi"/>
          <w:bCs/>
          <w:szCs w:val="24"/>
        </w:rPr>
      </w:r>
      <w:r w:rsidRPr="003E1F05">
        <w:rPr>
          <w:rFonts w:asciiTheme="majorHAnsi" w:hAnsiTheme="majorHAnsi"/>
          <w:bCs/>
          <w:szCs w:val="24"/>
        </w:rPr>
        <w:fldChar w:fldCharType="end"/>
      </w:r>
      <w:r w:rsidRPr="003E1F05">
        <w:rPr>
          <w:rFonts w:asciiTheme="majorHAnsi" w:hAnsiTheme="majorHAnsi"/>
          <w:bCs/>
          <w:szCs w:val="24"/>
        </w:rPr>
      </w:r>
      <w:r w:rsidRPr="003E1F05">
        <w:rPr>
          <w:rFonts w:asciiTheme="majorHAnsi" w:hAnsiTheme="majorHAnsi"/>
          <w:bCs/>
          <w:szCs w:val="24"/>
        </w:rPr>
        <w:fldChar w:fldCharType="separate"/>
      </w:r>
      <w:r w:rsidRPr="003E1F05">
        <w:rPr>
          <w:rFonts w:asciiTheme="majorHAnsi" w:hAnsiTheme="majorHAnsi"/>
          <w:bCs/>
          <w:noProof/>
          <w:szCs w:val="24"/>
        </w:rPr>
        <w:t>(</w:t>
      </w:r>
      <w:hyperlink w:anchor="_ENREF_12" w:tooltip="Farmer, 2012 #2" w:history="1">
        <w:r w:rsidRPr="003E1F05">
          <w:rPr>
            <w:rFonts w:asciiTheme="majorHAnsi" w:hAnsiTheme="majorHAnsi"/>
            <w:bCs/>
            <w:noProof/>
            <w:szCs w:val="24"/>
          </w:rPr>
          <w:t xml:space="preserve">Farmer </w:t>
        </w:r>
        <w:r w:rsidRPr="003E1F05">
          <w:rPr>
            <w:rFonts w:asciiTheme="majorHAnsi" w:hAnsiTheme="majorHAnsi"/>
            <w:bCs/>
            <w:i/>
            <w:noProof/>
            <w:szCs w:val="24"/>
          </w:rPr>
          <w:t>et al.</w:t>
        </w:r>
        <w:r w:rsidRPr="003E1F05">
          <w:rPr>
            <w:rFonts w:asciiTheme="majorHAnsi" w:hAnsiTheme="majorHAnsi"/>
            <w:bCs/>
            <w:noProof/>
            <w:szCs w:val="24"/>
          </w:rPr>
          <w:t xml:space="preserve"> 2012</w:t>
        </w:r>
      </w:hyperlink>
      <w:r w:rsidRPr="003E1F05">
        <w:rPr>
          <w:rFonts w:asciiTheme="majorHAnsi" w:hAnsiTheme="majorHAnsi"/>
          <w:bCs/>
          <w:noProof/>
          <w:szCs w:val="24"/>
        </w:rPr>
        <w:t>)</w:t>
      </w:r>
      <w:r w:rsidRPr="003E1F05">
        <w:rPr>
          <w:rFonts w:asciiTheme="majorHAnsi" w:hAnsiTheme="majorHAnsi"/>
          <w:bCs/>
          <w:szCs w:val="24"/>
        </w:rPr>
        <w:fldChar w:fldCharType="end"/>
      </w:r>
      <w:r w:rsidRPr="003E1F05">
        <w:rPr>
          <w:rFonts w:asciiTheme="majorHAnsi" w:hAnsiTheme="majorHAnsi"/>
          <w:bCs/>
          <w:szCs w:val="24"/>
        </w:rPr>
        <w:t>.</w:t>
      </w:r>
    </w:p>
    <w:p w:rsidR="005B7A4B" w:rsidRPr="00787F54" w:rsidRDefault="005B7A4B" w:rsidP="005B7A4B">
      <w:pPr>
        <w:pStyle w:val="Heading3"/>
      </w:pPr>
      <w:r w:rsidRPr="00787F54">
        <w:t>4.4.2</w:t>
      </w:r>
      <w:r w:rsidRPr="00787F54">
        <w:tab/>
        <w:t>Results</w:t>
      </w:r>
    </w:p>
    <w:p w:rsidR="005B7A4B" w:rsidRPr="003E1F05" w:rsidRDefault="005B7A4B" w:rsidP="005B7A4B">
      <w:pPr>
        <w:rPr>
          <w:rFonts w:asciiTheme="majorHAnsi" w:hAnsiTheme="majorHAnsi"/>
          <w:bCs/>
          <w:szCs w:val="24"/>
        </w:rPr>
      </w:pPr>
      <w:proofErr w:type="gramStart"/>
      <w:r w:rsidRPr="003E1F05">
        <w:rPr>
          <w:rFonts w:asciiTheme="majorHAnsi" w:hAnsiTheme="majorHAnsi"/>
          <w:bCs/>
          <w:szCs w:val="24"/>
        </w:rPr>
        <w:t>A total of 33</w:t>
      </w:r>
      <w:proofErr w:type="gramEnd"/>
      <w:r w:rsidRPr="003E1F05">
        <w:rPr>
          <w:rFonts w:asciiTheme="majorHAnsi" w:hAnsiTheme="majorHAnsi"/>
          <w:bCs/>
          <w:szCs w:val="24"/>
        </w:rPr>
        <w:t xml:space="preserve"> observational studies were identified, including 22 before-and-after studies, seven retrospective cohort studies and four prospective cohort study. The studies </w:t>
      </w:r>
      <w:proofErr w:type="gramStart"/>
      <w:r w:rsidRPr="003E1F05">
        <w:rPr>
          <w:rFonts w:asciiTheme="majorHAnsi" w:hAnsiTheme="majorHAnsi"/>
          <w:bCs/>
          <w:szCs w:val="24"/>
        </w:rPr>
        <w:t>were conducted</w:t>
      </w:r>
      <w:proofErr w:type="gramEnd"/>
      <w:r w:rsidRPr="003E1F05">
        <w:rPr>
          <w:rFonts w:asciiTheme="majorHAnsi" w:hAnsiTheme="majorHAnsi"/>
          <w:bCs/>
          <w:szCs w:val="24"/>
        </w:rPr>
        <w:t xml:space="preserve"> in 24 different countries and the majority (64%) had a follow</w:t>
      </w:r>
      <w:r w:rsidRPr="003E1F05">
        <w:rPr>
          <w:rFonts w:asciiTheme="majorHAnsi" w:hAnsiTheme="majorHAnsi"/>
          <w:bCs/>
          <w:szCs w:val="24"/>
        </w:rPr>
        <w:noBreakHyphen/>
        <w:t>up period of two or more years (range of three months to nine years).</w:t>
      </w:r>
    </w:p>
    <w:p w:rsidR="005B7A4B" w:rsidRPr="003E1F05" w:rsidRDefault="005B7A4B" w:rsidP="005B7A4B">
      <w:pPr>
        <w:rPr>
          <w:rFonts w:asciiTheme="majorHAnsi" w:hAnsiTheme="majorHAnsi"/>
          <w:bCs/>
          <w:szCs w:val="24"/>
        </w:rPr>
      </w:pPr>
      <w:r w:rsidRPr="003E1F05">
        <w:rPr>
          <w:rFonts w:asciiTheme="majorHAnsi" w:hAnsiTheme="majorHAnsi"/>
          <w:bCs/>
          <w:szCs w:val="24"/>
        </w:rPr>
        <w:t xml:space="preserve">There were 19 studies in children and adolescents under 18 years old, one study in adolescents and adults, 12 studies in adults, and one study including all age groups. The number of patients included in the studies varied between 10 and 2709, with six studies including over 200 patients. </w:t>
      </w:r>
    </w:p>
    <w:p w:rsidR="005B7A4B" w:rsidRPr="003E1F05" w:rsidRDefault="005B7A4B" w:rsidP="005B7A4B">
      <w:pPr>
        <w:rPr>
          <w:rFonts w:asciiTheme="majorHAnsi" w:hAnsiTheme="majorHAnsi"/>
          <w:szCs w:val="24"/>
        </w:rPr>
      </w:pPr>
      <w:proofErr w:type="gramStart"/>
      <w:r w:rsidRPr="003E1F05">
        <w:rPr>
          <w:rFonts w:asciiTheme="majorHAnsi" w:hAnsiTheme="majorHAnsi"/>
          <w:szCs w:val="24"/>
        </w:rPr>
        <w:t>A variety of pumps were</w:t>
      </w:r>
      <w:proofErr w:type="gramEnd"/>
      <w:r w:rsidRPr="003E1F05">
        <w:rPr>
          <w:rFonts w:asciiTheme="majorHAnsi" w:hAnsiTheme="majorHAnsi"/>
          <w:szCs w:val="24"/>
        </w:rPr>
        <w:t xml:space="preserve"> used in the studies; most studies (17) did not report the type of insulin pumps used. Twenty studies did not report the source of funding, seven received public funding, three </w:t>
      </w:r>
      <w:proofErr w:type="gramStart"/>
      <w:r w:rsidRPr="003E1F05">
        <w:rPr>
          <w:rFonts w:asciiTheme="majorHAnsi" w:hAnsiTheme="majorHAnsi"/>
          <w:szCs w:val="24"/>
        </w:rPr>
        <w:t>industry</w:t>
      </w:r>
      <w:proofErr w:type="gramEnd"/>
      <w:r w:rsidRPr="003E1F05">
        <w:rPr>
          <w:rFonts w:asciiTheme="majorHAnsi" w:hAnsiTheme="majorHAnsi"/>
          <w:szCs w:val="24"/>
        </w:rPr>
        <w:t xml:space="preserve"> funding, and three both public and industry funding. </w:t>
      </w:r>
    </w:p>
    <w:p w:rsidR="005B7A4B" w:rsidRPr="003E1F05" w:rsidRDefault="005B7A4B" w:rsidP="005B7A4B">
      <w:pPr>
        <w:rPr>
          <w:rFonts w:asciiTheme="majorHAnsi" w:hAnsiTheme="majorHAnsi"/>
          <w:bCs/>
          <w:szCs w:val="24"/>
        </w:rPr>
      </w:pPr>
      <w:r w:rsidRPr="003E1F05">
        <w:rPr>
          <w:rFonts w:asciiTheme="majorHAnsi" w:hAnsiTheme="majorHAnsi"/>
          <w:bCs/>
          <w:szCs w:val="24"/>
        </w:rPr>
        <w:t xml:space="preserve">Indications for insulin pump therapy were broadly similar between studies: poor glycaemic control, frequent hypoglycaemia, dawn phenomenon, need for lifestyle flexibility, and needle phobia. Limited information </w:t>
      </w:r>
      <w:proofErr w:type="gramStart"/>
      <w:r w:rsidRPr="003E1F05">
        <w:rPr>
          <w:rFonts w:asciiTheme="majorHAnsi" w:hAnsiTheme="majorHAnsi"/>
          <w:bCs/>
          <w:szCs w:val="24"/>
        </w:rPr>
        <w:t>was reported</w:t>
      </w:r>
      <w:proofErr w:type="gramEnd"/>
      <w:r w:rsidRPr="003E1F05">
        <w:rPr>
          <w:rFonts w:asciiTheme="majorHAnsi" w:hAnsiTheme="majorHAnsi"/>
          <w:bCs/>
          <w:szCs w:val="24"/>
        </w:rPr>
        <w:t xml:space="preserve"> on the education provided to patients at either the time of initiating insulin pump therapy or subsequently.</w:t>
      </w:r>
    </w:p>
    <w:p w:rsidR="005B7A4B" w:rsidRPr="00787F54" w:rsidRDefault="005B7A4B" w:rsidP="005B7A4B">
      <w:pPr>
        <w:pStyle w:val="Heading4"/>
      </w:pPr>
      <w:r w:rsidRPr="00787F54">
        <w:lastRenderedPageBreak/>
        <w:t>4.4.2.1 What is the evidence that continuous subcutaneous insulin infusion therapy is more effective than multiple daily injections for blood glucose control in children and adolescents under 18 years of age with type 1 diabetes?</w:t>
      </w:r>
    </w:p>
    <w:p w:rsidR="005B7A4B" w:rsidRPr="00787F54" w:rsidRDefault="005B7A4B" w:rsidP="005B7A4B">
      <w:pPr>
        <w:pStyle w:val="Heading5"/>
      </w:pPr>
      <w:r w:rsidRPr="00787F54">
        <w:t>HbA</w:t>
      </w:r>
      <w:r w:rsidRPr="00787F54">
        <w:rPr>
          <w:vertAlign w:val="subscript"/>
        </w:rPr>
        <w:t>1c</w:t>
      </w:r>
      <w:r w:rsidRPr="00787F54">
        <w:t xml:space="preserve"> and glycaemic variability</w:t>
      </w:r>
    </w:p>
    <w:p w:rsidR="005B7A4B" w:rsidRPr="003E1F05" w:rsidRDefault="005B7A4B" w:rsidP="005B7A4B">
      <w:pPr>
        <w:rPr>
          <w:rFonts w:asciiTheme="majorHAnsi" w:hAnsiTheme="majorHAnsi"/>
        </w:rPr>
      </w:pPr>
      <w:r w:rsidRPr="003E1F05">
        <w:rPr>
          <w:rFonts w:asciiTheme="majorHAnsi" w:hAnsiTheme="majorHAnsi"/>
        </w:rPr>
        <w:t>Of 12 before-and-after studies, 11 showed a decrease in HbA</w:t>
      </w:r>
      <w:r w:rsidRPr="003E1F05">
        <w:rPr>
          <w:rFonts w:asciiTheme="majorHAnsi" w:hAnsiTheme="majorHAnsi"/>
          <w:vertAlign w:val="subscript"/>
        </w:rPr>
        <w:t>1c</w:t>
      </w:r>
      <w:r w:rsidRPr="003E1F05">
        <w:rPr>
          <w:rFonts w:asciiTheme="majorHAnsi" w:hAnsiTheme="majorHAnsi"/>
        </w:rPr>
        <w:t xml:space="preserve"> (0.1-1.04%) with insulin pump therapy that was statistically significant in eight studies. Long term studies generally showed positive results for insulin pump therapy, with statistically significant HbA</w:t>
      </w:r>
      <w:r w:rsidRPr="003E1F05">
        <w:rPr>
          <w:rFonts w:asciiTheme="majorHAnsi" w:hAnsiTheme="majorHAnsi"/>
          <w:vertAlign w:val="subscript"/>
        </w:rPr>
        <w:t>1c</w:t>
      </w:r>
      <w:r w:rsidRPr="003E1F05">
        <w:rPr>
          <w:rFonts w:asciiTheme="majorHAnsi" w:hAnsiTheme="majorHAnsi"/>
        </w:rPr>
        <w:t xml:space="preserve"> reductions of 0.3-0.5% at two to five years follow-up in four studies, a non</w:t>
      </w:r>
      <w:r w:rsidRPr="003E1F05">
        <w:rPr>
          <w:rFonts w:asciiTheme="majorHAnsi" w:hAnsiTheme="majorHAnsi"/>
        </w:rPr>
        <w:noBreakHyphen/>
        <w:t xml:space="preserve">significant reduction in one study (Abaci </w:t>
      </w:r>
      <w:r w:rsidRPr="003E1F05">
        <w:rPr>
          <w:rFonts w:asciiTheme="majorHAnsi" w:hAnsiTheme="majorHAnsi"/>
          <w:i/>
        </w:rPr>
        <w:t>et al.</w:t>
      </w:r>
      <w:r w:rsidRPr="003E1F05">
        <w:rPr>
          <w:rFonts w:asciiTheme="majorHAnsi" w:hAnsiTheme="majorHAnsi"/>
        </w:rPr>
        <w:t xml:space="preserve"> 2009), and no reduction in a sixth study (Knight </w:t>
      </w:r>
      <w:r w:rsidRPr="003E1F05">
        <w:rPr>
          <w:rFonts w:asciiTheme="majorHAnsi" w:hAnsiTheme="majorHAnsi"/>
          <w:i/>
        </w:rPr>
        <w:t>et al.</w:t>
      </w:r>
      <w:r w:rsidRPr="003E1F05">
        <w:rPr>
          <w:rFonts w:asciiTheme="majorHAnsi" w:hAnsiTheme="majorHAnsi"/>
        </w:rPr>
        <w:t xml:space="preserve"> 2011). </w:t>
      </w:r>
    </w:p>
    <w:p w:rsidR="005B7A4B" w:rsidRPr="003E1F05" w:rsidRDefault="005B7A4B" w:rsidP="005B7A4B">
      <w:pPr>
        <w:rPr>
          <w:rFonts w:asciiTheme="majorHAnsi" w:hAnsiTheme="majorHAnsi"/>
        </w:rPr>
      </w:pPr>
      <w:r w:rsidRPr="003E1F05">
        <w:rPr>
          <w:rFonts w:asciiTheme="majorHAnsi" w:hAnsiTheme="majorHAnsi"/>
        </w:rPr>
        <w:t>Of eight cohort studies, six showed statistically significant decreases in HbA</w:t>
      </w:r>
      <w:r w:rsidRPr="003E1F05">
        <w:rPr>
          <w:rFonts w:asciiTheme="majorHAnsi" w:hAnsiTheme="majorHAnsi"/>
          <w:vertAlign w:val="subscript"/>
        </w:rPr>
        <w:t>1c</w:t>
      </w:r>
      <w:r w:rsidRPr="003E1F05">
        <w:rPr>
          <w:rFonts w:asciiTheme="majorHAnsi" w:hAnsiTheme="majorHAnsi"/>
        </w:rPr>
        <w:t xml:space="preserve"> with insulin pump therapy; however, the changes were less than the 0.5% decrease that </w:t>
      </w:r>
      <w:proofErr w:type="gramStart"/>
      <w:r w:rsidRPr="003E1F05">
        <w:rPr>
          <w:rFonts w:asciiTheme="majorHAnsi" w:hAnsiTheme="majorHAnsi"/>
        </w:rPr>
        <w:t>is usually considered</w:t>
      </w:r>
      <w:proofErr w:type="gramEnd"/>
      <w:r w:rsidRPr="003E1F05">
        <w:rPr>
          <w:rFonts w:asciiTheme="majorHAnsi" w:hAnsiTheme="majorHAnsi"/>
        </w:rPr>
        <w:t xml:space="preserve"> clinically significant (Cummins </w:t>
      </w:r>
      <w:r w:rsidRPr="003E1F05">
        <w:rPr>
          <w:rFonts w:asciiTheme="majorHAnsi" w:hAnsiTheme="majorHAnsi"/>
          <w:i/>
        </w:rPr>
        <w:t>et al.</w:t>
      </w:r>
      <w:r w:rsidRPr="003E1F05">
        <w:rPr>
          <w:rFonts w:asciiTheme="majorHAnsi" w:hAnsiTheme="majorHAnsi"/>
        </w:rPr>
        <w:t xml:space="preserve"> 2010). Most studies did not explicitly adjust for pre-study HbA</w:t>
      </w:r>
      <w:r w:rsidRPr="003E1F05">
        <w:rPr>
          <w:rFonts w:asciiTheme="majorHAnsi" w:hAnsiTheme="majorHAnsi"/>
          <w:vertAlign w:val="subscript"/>
        </w:rPr>
        <w:t>1c</w:t>
      </w:r>
      <w:r w:rsidRPr="003E1F05">
        <w:rPr>
          <w:rFonts w:asciiTheme="majorHAnsi" w:hAnsiTheme="majorHAnsi"/>
        </w:rPr>
        <w:t>. One study of around 100 children found a significant mean difference in HbA1c of 0.6% (95% CI 0.1-1.2) between the multiple daily injection group and the insulin pump group after adjusting for baseline differences in HbA1c (</w:t>
      </w:r>
      <w:proofErr w:type="spellStart"/>
      <w:r w:rsidRPr="003E1F05">
        <w:rPr>
          <w:rFonts w:asciiTheme="majorHAnsi" w:hAnsiTheme="majorHAnsi"/>
        </w:rPr>
        <w:t>Senniapan</w:t>
      </w:r>
      <w:proofErr w:type="spellEnd"/>
      <w:r w:rsidRPr="003E1F05">
        <w:rPr>
          <w:rFonts w:asciiTheme="majorHAnsi" w:hAnsiTheme="majorHAnsi"/>
        </w:rPr>
        <w:t xml:space="preserve"> 2012).</w:t>
      </w:r>
    </w:p>
    <w:p w:rsidR="005B7A4B" w:rsidRPr="003E1F05" w:rsidRDefault="005B7A4B" w:rsidP="005B7A4B">
      <w:pPr>
        <w:rPr>
          <w:rFonts w:asciiTheme="majorHAnsi" w:hAnsiTheme="majorHAnsi"/>
        </w:rPr>
      </w:pPr>
      <w:r w:rsidRPr="003E1F05">
        <w:rPr>
          <w:rFonts w:asciiTheme="majorHAnsi" w:hAnsiTheme="majorHAnsi"/>
        </w:rPr>
        <w:t>One prospective cohort study showed lower glycaemic variability in HbA</w:t>
      </w:r>
      <w:r w:rsidRPr="003E1F05">
        <w:rPr>
          <w:rFonts w:asciiTheme="majorHAnsi" w:hAnsiTheme="majorHAnsi"/>
          <w:vertAlign w:val="subscript"/>
        </w:rPr>
        <w:t>1c</w:t>
      </w:r>
      <w:r w:rsidRPr="003E1F05">
        <w:rPr>
          <w:rFonts w:asciiTheme="majorHAnsi" w:hAnsiTheme="majorHAnsi"/>
        </w:rPr>
        <w:t xml:space="preserve"> with insulin pump therapy (0.73, SD 0.45) compared to multiple daily injections (0.84, SD 0.54), which was of borderline statistical significance (p=0.049) </w:t>
      </w:r>
      <w:r w:rsidRPr="003E1F05">
        <w:rPr>
          <w:rFonts w:asciiTheme="majorHAnsi" w:hAnsiTheme="majorHAnsi"/>
        </w:rPr>
        <w:fldChar w:fldCharType="begin">
          <w:fldData xml:space="preserve">PEVuZE5vdGU+PENpdGU+PEF1dGhvcj5GZW5kbGVyPC9BdXRob3I+PFllYXI+MjAxMjwvWWVhcj48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</w:fldData>
        </w:fldChar>
      </w:r>
      <w:r w:rsidRPr="003E1F05">
        <w:rPr>
          <w:rFonts w:asciiTheme="majorHAnsi" w:hAnsiTheme="majorHAnsi"/>
        </w:rPr>
        <w:instrText xml:space="preserve"> ADDIN EN.CITE </w:instrText>
      </w:r>
      <w:r w:rsidRPr="003E1F05">
        <w:rPr>
          <w:rFonts w:asciiTheme="majorHAnsi" w:hAnsiTheme="majorHAnsi"/>
        </w:rPr>
        <w:fldChar w:fldCharType="begin">
          <w:fldData xml:space="preserve">PEVuZE5vdGU+PENpdGU+PEF1dGhvcj5GZW5kbGVyPC9BdXRob3I+PFllYXI+MjAxMjwvWWVhcj48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</w:fldData>
        </w:fldChar>
      </w:r>
      <w:r w:rsidRPr="003E1F05">
        <w:rPr>
          <w:rFonts w:asciiTheme="majorHAnsi" w:hAnsiTheme="majorHAnsi"/>
        </w:rPr>
        <w:instrText xml:space="preserve"> ADDIN EN.CITE.DATA </w:instrText>
      </w:r>
      <w:r w:rsidRPr="003E1F05">
        <w:rPr>
          <w:rFonts w:asciiTheme="majorHAnsi" w:hAnsiTheme="majorHAnsi"/>
        </w:rPr>
      </w:r>
      <w:r w:rsidRPr="003E1F05">
        <w:rPr>
          <w:rFonts w:asciiTheme="majorHAnsi" w:hAnsiTheme="majorHAnsi"/>
        </w:rPr>
        <w:fldChar w:fldCharType="end"/>
      </w:r>
      <w:r w:rsidRPr="003E1F05">
        <w:rPr>
          <w:rFonts w:asciiTheme="majorHAnsi" w:hAnsiTheme="majorHAnsi"/>
        </w:rPr>
      </w:r>
      <w:r w:rsidRPr="003E1F05">
        <w:rPr>
          <w:rFonts w:asciiTheme="majorHAnsi" w:hAnsiTheme="majorHAnsi"/>
        </w:rPr>
        <w:fldChar w:fldCharType="separate"/>
      </w:r>
      <w:r w:rsidRPr="003E1F05">
        <w:rPr>
          <w:rFonts w:asciiTheme="majorHAnsi" w:hAnsiTheme="majorHAnsi"/>
        </w:rPr>
        <w:t>(</w:t>
      </w:r>
      <w:hyperlink w:anchor="_ENREF_11" w:tooltip="Fendler, 2012 #13" w:history="1">
        <w:r w:rsidRPr="003E1F05">
          <w:rPr>
            <w:rFonts w:asciiTheme="majorHAnsi" w:hAnsiTheme="majorHAnsi"/>
          </w:rPr>
          <w:t xml:space="preserve">Fendler </w:t>
        </w:r>
        <w:r w:rsidRPr="003E1F05">
          <w:rPr>
            <w:rFonts w:asciiTheme="majorHAnsi" w:hAnsiTheme="majorHAnsi"/>
            <w:i/>
          </w:rPr>
          <w:t>et al.</w:t>
        </w:r>
        <w:r w:rsidRPr="003E1F05">
          <w:rPr>
            <w:rFonts w:asciiTheme="majorHAnsi" w:hAnsiTheme="majorHAnsi"/>
          </w:rPr>
          <w:t xml:space="preserve"> 2012</w:t>
        </w:r>
      </w:hyperlink>
      <w:r w:rsidRPr="003E1F05">
        <w:rPr>
          <w:rFonts w:asciiTheme="majorHAnsi" w:hAnsiTheme="majorHAnsi"/>
        </w:rPr>
        <w:t>)</w:t>
      </w:r>
      <w:r w:rsidRPr="003E1F05">
        <w:rPr>
          <w:rFonts w:asciiTheme="majorHAnsi" w:hAnsiTheme="majorHAnsi"/>
        </w:rPr>
        <w:fldChar w:fldCharType="end"/>
      </w:r>
      <w:r w:rsidRPr="003E1F05">
        <w:rPr>
          <w:rFonts w:asciiTheme="majorHAnsi" w:hAnsiTheme="majorHAnsi"/>
        </w:rPr>
        <w:t xml:space="preserve">. </w:t>
      </w:r>
    </w:p>
    <w:p w:rsidR="005B7A4B" w:rsidRPr="00787F54" w:rsidRDefault="005B7A4B" w:rsidP="005B7A4B">
      <w:pPr>
        <w:pStyle w:val="Heading5"/>
      </w:pPr>
      <w:r w:rsidRPr="00787F54">
        <w:t>Age</w:t>
      </w:r>
    </w:p>
    <w:p w:rsidR="005B7A4B" w:rsidRPr="003E1F05" w:rsidRDefault="005B7A4B" w:rsidP="005B7A4B">
      <w:pPr>
        <w:keepNext/>
        <w:keepLines/>
        <w:rPr>
          <w:rFonts w:asciiTheme="majorHAnsi" w:hAnsiTheme="majorHAnsi"/>
          <w:szCs w:val="24"/>
        </w:rPr>
      </w:pPr>
      <w:r w:rsidRPr="003E1F05">
        <w:rPr>
          <w:rFonts w:asciiTheme="majorHAnsi" w:hAnsiTheme="majorHAnsi"/>
          <w:szCs w:val="24"/>
        </w:rPr>
        <w:t>Hughes (2012) observed that the highest HbA</w:t>
      </w:r>
      <w:r w:rsidRPr="003E1F05">
        <w:rPr>
          <w:rFonts w:asciiTheme="majorHAnsi" w:hAnsiTheme="majorHAnsi"/>
          <w:szCs w:val="24"/>
          <w:vertAlign w:val="subscript"/>
        </w:rPr>
        <w:t>1c</w:t>
      </w:r>
      <w:r w:rsidRPr="003E1F05">
        <w:rPr>
          <w:rFonts w:asciiTheme="majorHAnsi" w:hAnsiTheme="majorHAnsi"/>
          <w:szCs w:val="24"/>
        </w:rPr>
        <w:t xml:space="preserve"> reductions occurred in children under 6 years (-0.9% at six months follow-up, p &lt; 0.01). In another study, the mean HbA</w:t>
      </w:r>
      <w:r w:rsidRPr="003E1F05">
        <w:rPr>
          <w:rFonts w:asciiTheme="majorHAnsi" w:hAnsiTheme="majorHAnsi"/>
          <w:szCs w:val="24"/>
          <w:vertAlign w:val="subscript"/>
        </w:rPr>
        <w:t>1c</w:t>
      </w:r>
      <w:r w:rsidRPr="003E1F05">
        <w:rPr>
          <w:rFonts w:asciiTheme="majorHAnsi" w:hAnsiTheme="majorHAnsi"/>
          <w:szCs w:val="24"/>
        </w:rPr>
        <w:t xml:space="preserve"> levels were significantly lower for those who initiated insulin pump therapy before age </w:t>
      </w:r>
      <w:proofErr w:type="gramStart"/>
      <w:r w:rsidRPr="003E1F05">
        <w:rPr>
          <w:rFonts w:asciiTheme="majorHAnsi" w:hAnsiTheme="majorHAnsi"/>
          <w:szCs w:val="24"/>
        </w:rPr>
        <w:t>6</w:t>
      </w:r>
      <w:proofErr w:type="gramEnd"/>
      <w:r w:rsidRPr="003E1F05">
        <w:rPr>
          <w:rFonts w:asciiTheme="majorHAnsi" w:hAnsiTheme="majorHAnsi"/>
          <w:szCs w:val="24"/>
        </w:rPr>
        <w:t xml:space="preserve"> throughout the entire follow-up period (p = 0.02) (Levy-</w:t>
      </w:r>
      <w:proofErr w:type="spellStart"/>
      <w:r w:rsidRPr="003E1F05">
        <w:rPr>
          <w:rFonts w:asciiTheme="majorHAnsi" w:hAnsiTheme="majorHAnsi"/>
          <w:szCs w:val="24"/>
        </w:rPr>
        <w:t>Shraga</w:t>
      </w:r>
      <w:proofErr w:type="spellEnd"/>
      <w:r w:rsidRPr="003E1F05">
        <w:rPr>
          <w:rFonts w:asciiTheme="majorHAnsi" w:hAnsiTheme="majorHAnsi"/>
          <w:szCs w:val="24"/>
        </w:rPr>
        <w:t xml:space="preserve"> </w:t>
      </w:r>
      <w:r w:rsidRPr="003E1F05">
        <w:rPr>
          <w:rFonts w:asciiTheme="majorHAnsi" w:hAnsiTheme="majorHAnsi"/>
          <w:i/>
          <w:szCs w:val="24"/>
        </w:rPr>
        <w:t xml:space="preserve">et al. </w:t>
      </w:r>
      <w:r w:rsidRPr="003E1F05">
        <w:rPr>
          <w:rFonts w:asciiTheme="majorHAnsi" w:hAnsiTheme="majorHAnsi"/>
          <w:szCs w:val="24"/>
        </w:rPr>
        <w:t xml:space="preserve">2013). These findings suggest that insulin pump therapy may be more beneficial for children </w:t>
      </w:r>
      <w:proofErr w:type="gramStart"/>
      <w:r w:rsidRPr="003E1F05">
        <w:rPr>
          <w:rFonts w:asciiTheme="majorHAnsi" w:hAnsiTheme="majorHAnsi"/>
          <w:szCs w:val="24"/>
        </w:rPr>
        <w:t>under</w:t>
      </w:r>
      <w:proofErr w:type="gramEnd"/>
      <w:r w:rsidRPr="003E1F05">
        <w:rPr>
          <w:rFonts w:asciiTheme="majorHAnsi" w:hAnsiTheme="majorHAnsi"/>
          <w:szCs w:val="24"/>
        </w:rPr>
        <w:t xml:space="preserve"> 6 years. However, these two studies included low numbers of children.</w:t>
      </w:r>
    </w:p>
    <w:p w:rsidR="005B7A4B" w:rsidRPr="00787F54" w:rsidRDefault="005B7A4B" w:rsidP="005B7A4B">
      <w:pPr>
        <w:pStyle w:val="Heading4"/>
      </w:pPr>
      <w:r w:rsidRPr="00787F54">
        <w:t xml:space="preserve">4.4.2.2 What is the evidence that continuous subcutaneous insulin infusion therapy is safer than multiple daily injections </w:t>
      </w:r>
      <w:proofErr w:type="gramStart"/>
      <w:r w:rsidRPr="00787F54">
        <w:t>with regards to</w:t>
      </w:r>
      <w:proofErr w:type="gramEnd"/>
      <w:r w:rsidRPr="00787F54">
        <w:t xml:space="preserve"> the risk of severe hypoglycaemia in children and adolescents under 18 years of age with type 1 diabetes?</w:t>
      </w:r>
    </w:p>
    <w:p w:rsidR="005B7A4B" w:rsidRPr="003E1F05" w:rsidRDefault="005B7A4B" w:rsidP="005B7A4B">
      <w:pPr>
        <w:rPr>
          <w:rFonts w:asciiTheme="majorHAnsi" w:hAnsiTheme="majorHAnsi"/>
          <w:szCs w:val="24"/>
        </w:rPr>
      </w:pPr>
      <w:r w:rsidRPr="003E1F05">
        <w:rPr>
          <w:rFonts w:asciiTheme="majorHAnsi" w:hAnsiTheme="majorHAnsi"/>
          <w:szCs w:val="24"/>
        </w:rPr>
        <w:t>Children and adolescents under 18 years of age with type 1 diabetes appear to have a lower risk of severe hypoglycaemia when using an insulin pump than with multiple daily injections.</w:t>
      </w:r>
    </w:p>
    <w:p w:rsidR="005B7A4B" w:rsidRPr="003E1F05" w:rsidRDefault="005B7A4B" w:rsidP="005B7A4B">
      <w:pPr>
        <w:rPr>
          <w:rFonts w:asciiTheme="majorHAnsi" w:hAnsiTheme="majorHAnsi"/>
        </w:rPr>
      </w:pPr>
      <w:r w:rsidRPr="003E1F05">
        <w:rPr>
          <w:rFonts w:asciiTheme="majorHAnsi" w:hAnsiTheme="majorHAnsi"/>
        </w:rPr>
        <w:t xml:space="preserve">Of five before-and-after studies identified, four reported decreases in severe hypoglycaemia, which were statistically significant in three studies </w:t>
      </w:r>
      <w:r w:rsidRPr="003E1F05">
        <w:rPr>
          <w:rFonts w:asciiTheme="majorHAnsi" w:hAnsiTheme="majorHAnsi"/>
        </w:rPr>
        <w:fldChar w:fldCharType="begin">
          <w:fldData xml:space="preserve">PEVuZE5vdGU+PENpdGU+PEF1dGhvcj5DYW1wYmVsbDwvQXV0aG9yPjxZZWFyPjIwMDk8L1llYXI+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</w:fldData>
        </w:fldChar>
      </w:r>
      <w:r w:rsidRPr="003E1F05">
        <w:rPr>
          <w:rFonts w:asciiTheme="majorHAnsi" w:hAnsiTheme="majorHAnsi"/>
        </w:rPr>
        <w:instrText xml:space="preserve"> ADDIN EN.CITE </w:instrText>
      </w:r>
      <w:r w:rsidRPr="003E1F05">
        <w:rPr>
          <w:rFonts w:asciiTheme="majorHAnsi" w:hAnsiTheme="majorHAnsi"/>
        </w:rPr>
        <w:fldChar w:fldCharType="begin">
          <w:fldData xml:space="preserve">PEVuZE5vdGU+PENpdGU+PEF1dGhvcj5DYW1wYmVsbDwvQXV0aG9yPjxZZWFyPjIwMDk8L1llYXI+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</w:fldData>
        </w:fldChar>
      </w:r>
      <w:r w:rsidRPr="003E1F05">
        <w:rPr>
          <w:rFonts w:asciiTheme="majorHAnsi" w:hAnsiTheme="majorHAnsi"/>
        </w:rPr>
        <w:instrText xml:space="preserve"> ADDIN EN.CITE.DATA </w:instrText>
      </w:r>
      <w:r w:rsidRPr="003E1F05">
        <w:rPr>
          <w:rFonts w:asciiTheme="majorHAnsi" w:hAnsiTheme="majorHAnsi"/>
        </w:rPr>
      </w:r>
      <w:r w:rsidRPr="003E1F05">
        <w:rPr>
          <w:rFonts w:asciiTheme="majorHAnsi" w:hAnsiTheme="majorHAnsi"/>
        </w:rPr>
        <w:fldChar w:fldCharType="end"/>
      </w:r>
      <w:r w:rsidRPr="003E1F05">
        <w:rPr>
          <w:rFonts w:asciiTheme="majorHAnsi" w:hAnsiTheme="majorHAnsi"/>
        </w:rPr>
      </w:r>
      <w:r w:rsidRPr="003E1F05">
        <w:rPr>
          <w:rFonts w:asciiTheme="majorHAnsi" w:hAnsiTheme="majorHAnsi"/>
        </w:rPr>
        <w:fldChar w:fldCharType="separate"/>
      </w:r>
      <w:r w:rsidRPr="003E1F05">
        <w:rPr>
          <w:rFonts w:asciiTheme="majorHAnsi" w:hAnsiTheme="majorHAnsi"/>
        </w:rPr>
        <w:t xml:space="preserve">(Campbell </w:t>
      </w:r>
      <w:r w:rsidRPr="003E1F05">
        <w:rPr>
          <w:rFonts w:asciiTheme="majorHAnsi" w:hAnsiTheme="majorHAnsi"/>
          <w:i/>
        </w:rPr>
        <w:t>et al.</w:t>
      </w:r>
      <w:r w:rsidRPr="003E1F05">
        <w:rPr>
          <w:rFonts w:asciiTheme="majorHAnsi" w:hAnsiTheme="majorHAnsi"/>
        </w:rPr>
        <w:t xml:space="preserve"> 2009; Hasanbegovic &amp; Hasanbegovic 2009; Rabbone </w:t>
      </w:r>
      <w:r w:rsidRPr="003E1F05">
        <w:rPr>
          <w:rFonts w:asciiTheme="majorHAnsi" w:hAnsiTheme="majorHAnsi"/>
          <w:i/>
        </w:rPr>
        <w:t>et al.</w:t>
      </w:r>
      <w:r w:rsidRPr="003E1F05">
        <w:rPr>
          <w:rFonts w:asciiTheme="majorHAnsi" w:hAnsiTheme="majorHAnsi"/>
        </w:rPr>
        <w:t xml:space="preserve"> 2009)</w:t>
      </w:r>
      <w:r w:rsidRPr="003E1F05">
        <w:rPr>
          <w:rFonts w:asciiTheme="majorHAnsi" w:hAnsiTheme="majorHAnsi"/>
        </w:rPr>
        <w:fldChar w:fldCharType="end"/>
      </w:r>
      <w:r w:rsidRPr="003E1F05">
        <w:rPr>
          <w:rFonts w:asciiTheme="majorHAnsi" w:hAnsiTheme="majorHAnsi"/>
        </w:rPr>
        <w:t xml:space="preserve">. </w:t>
      </w:r>
      <w:r w:rsidRPr="003E1F05">
        <w:rPr>
          <w:rFonts w:asciiTheme="majorHAnsi" w:hAnsiTheme="majorHAnsi"/>
          <w:szCs w:val="24"/>
        </w:rPr>
        <w:t xml:space="preserve">Only one study of 17 adolescents reported an increase in the rate of severe hypoglycaemia with insulin pump </w:t>
      </w:r>
      <w:r w:rsidRPr="003E1F05">
        <w:rPr>
          <w:rFonts w:asciiTheme="majorHAnsi" w:hAnsiTheme="majorHAnsi"/>
          <w:szCs w:val="24"/>
        </w:rPr>
        <w:lastRenderedPageBreak/>
        <w:t xml:space="preserve">therapy </w:t>
      </w:r>
      <w:r w:rsidRPr="003E1F05">
        <w:rPr>
          <w:rFonts w:asciiTheme="majorHAnsi" w:hAnsiTheme="majorHAnsi"/>
          <w:szCs w:val="24"/>
        </w:rPr>
        <w:fldChar w:fldCharType="begin">
          <w:fldData xml:space="preserve">PEVuZE5vdGU+PENpdGU+PEF1dGhvcj5BYmFjaTwvQXV0aG9yPjxZZWFyPjIwMDk8L1llYXI+PFJl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=
</w:fldData>
        </w:fldChar>
      </w:r>
      <w:r w:rsidRPr="003E1F05">
        <w:rPr>
          <w:rFonts w:asciiTheme="majorHAnsi" w:hAnsiTheme="majorHAnsi"/>
          <w:szCs w:val="24"/>
        </w:rPr>
        <w:instrText xml:space="preserve"> ADDIN EN.CITE </w:instrText>
      </w:r>
      <w:r w:rsidRPr="003E1F05">
        <w:rPr>
          <w:rFonts w:asciiTheme="majorHAnsi" w:hAnsiTheme="majorHAnsi"/>
          <w:szCs w:val="24"/>
        </w:rPr>
        <w:fldChar w:fldCharType="begin">
          <w:fldData xml:space="preserve">PEVuZE5vdGU+PENpdGU+PEF1dGhvcj5BYmFjaTwvQXV0aG9yPjxZZWFyPjIwMDk8L1llYXI+PFJl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=
</w:fldData>
        </w:fldChar>
      </w:r>
      <w:r w:rsidRPr="003E1F05">
        <w:rPr>
          <w:rFonts w:asciiTheme="majorHAnsi" w:hAnsiTheme="majorHAnsi"/>
          <w:szCs w:val="24"/>
        </w:rPr>
        <w:instrText xml:space="preserve"> ADDIN EN.CITE.DATA </w:instrText>
      </w:r>
      <w:r w:rsidRPr="003E1F05">
        <w:rPr>
          <w:rFonts w:asciiTheme="majorHAnsi" w:hAnsiTheme="majorHAnsi"/>
          <w:szCs w:val="24"/>
        </w:rPr>
      </w:r>
      <w:r w:rsidRPr="003E1F05">
        <w:rPr>
          <w:rFonts w:asciiTheme="majorHAnsi" w:hAnsiTheme="majorHAnsi"/>
          <w:szCs w:val="24"/>
        </w:rPr>
        <w:fldChar w:fldCharType="end"/>
      </w:r>
      <w:r w:rsidRPr="003E1F05">
        <w:rPr>
          <w:rFonts w:asciiTheme="majorHAnsi" w:hAnsiTheme="majorHAnsi"/>
          <w:szCs w:val="24"/>
        </w:rPr>
      </w:r>
      <w:r w:rsidRPr="003E1F05">
        <w:rPr>
          <w:rFonts w:asciiTheme="majorHAnsi" w:hAnsiTheme="majorHAnsi"/>
          <w:szCs w:val="24"/>
        </w:rPr>
        <w:fldChar w:fldCharType="separate"/>
      </w:r>
      <w:r w:rsidRPr="003E1F05">
        <w:rPr>
          <w:rFonts w:asciiTheme="majorHAnsi" w:hAnsiTheme="majorHAnsi"/>
          <w:noProof/>
          <w:szCs w:val="24"/>
        </w:rPr>
        <w:t>(</w:t>
      </w:r>
      <w:hyperlink w:anchor="_ENREF_1" w:tooltip="Abaci, 2009 #34" w:history="1">
        <w:r w:rsidRPr="003E1F05">
          <w:rPr>
            <w:rFonts w:asciiTheme="majorHAnsi" w:hAnsiTheme="majorHAnsi"/>
            <w:noProof/>
            <w:szCs w:val="24"/>
          </w:rPr>
          <w:t xml:space="preserve">Abaci </w:t>
        </w:r>
        <w:r w:rsidRPr="003E1F05">
          <w:rPr>
            <w:rFonts w:asciiTheme="majorHAnsi" w:hAnsiTheme="majorHAnsi"/>
            <w:i/>
            <w:noProof/>
            <w:szCs w:val="24"/>
          </w:rPr>
          <w:t xml:space="preserve">et al. </w:t>
        </w:r>
        <w:r w:rsidRPr="003E1F05">
          <w:rPr>
            <w:rFonts w:asciiTheme="majorHAnsi" w:hAnsiTheme="majorHAnsi"/>
            <w:noProof/>
            <w:szCs w:val="24"/>
          </w:rPr>
          <w:t>2009</w:t>
        </w:r>
      </w:hyperlink>
      <w:r w:rsidRPr="003E1F05">
        <w:rPr>
          <w:rFonts w:asciiTheme="majorHAnsi" w:hAnsiTheme="majorHAnsi"/>
          <w:noProof/>
          <w:szCs w:val="24"/>
        </w:rPr>
        <w:t>)</w:t>
      </w:r>
      <w:r w:rsidRPr="003E1F05">
        <w:rPr>
          <w:rFonts w:asciiTheme="majorHAnsi" w:hAnsiTheme="majorHAnsi"/>
          <w:szCs w:val="24"/>
        </w:rPr>
        <w:fldChar w:fldCharType="end"/>
      </w:r>
      <w:r w:rsidRPr="003E1F05">
        <w:rPr>
          <w:rFonts w:asciiTheme="majorHAnsi" w:hAnsiTheme="majorHAnsi"/>
          <w:szCs w:val="24"/>
        </w:rPr>
        <w:t xml:space="preserve">. </w:t>
      </w:r>
      <w:r w:rsidRPr="003E1F05">
        <w:rPr>
          <w:rFonts w:asciiTheme="majorHAnsi" w:hAnsiTheme="majorHAnsi"/>
        </w:rPr>
        <w:t xml:space="preserve">Six cohort studies found a decrease in the rates of severe hypoglycaemic events with the use of insulin pump therapy, which was statistically significant in two studies </w:t>
      </w:r>
      <w:r w:rsidRPr="003E1F05">
        <w:rPr>
          <w:rFonts w:asciiTheme="majorHAnsi" w:hAnsiTheme="majorHAnsi"/>
        </w:rPr>
        <w:fldChar w:fldCharType="begin">
          <w:fldData xml:space="preserve">PEVuZE5vdGU+PENpdGU+PEF1dGhvcj5KYWtpc2NoPC9BdXRob3I+PFllYXI+MjAwODwvWWVhcj48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==
</w:fldData>
        </w:fldChar>
      </w:r>
      <w:r w:rsidRPr="003E1F05">
        <w:rPr>
          <w:rFonts w:asciiTheme="majorHAnsi" w:hAnsiTheme="majorHAnsi"/>
        </w:rPr>
        <w:instrText xml:space="preserve"> ADDIN EN.CITE </w:instrText>
      </w:r>
      <w:r w:rsidRPr="003E1F05">
        <w:rPr>
          <w:rFonts w:asciiTheme="majorHAnsi" w:hAnsiTheme="majorHAnsi"/>
        </w:rPr>
        <w:fldChar w:fldCharType="begin">
          <w:fldData xml:space="preserve">PEVuZE5vdGU+PENpdGU+PEF1dGhvcj5KYWtpc2NoPC9BdXRob3I+PFllYXI+MjAwODwvWWVhcj48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==
</w:fldData>
        </w:fldChar>
      </w:r>
      <w:r w:rsidRPr="003E1F05">
        <w:rPr>
          <w:rFonts w:asciiTheme="majorHAnsi" w:hAnsiTheme="majorHAnsi"/>
        </w:rPr>
        <w:instrText xml:space="preserve"> ADDIN EN.CITE.DATA </w:instrText>
      </w:r>
      <w:r w:rsidRPr="003E1F05">
        <w:rPr>
          <w:rFonts w:asciiTheme="majorHAnsi" w:hAnsiTheme="majorHAnsi"/>
        </w:rPr>
      </w:r>
      <w:r w:rsidRPr="003E1F05">
        <w:rPr>
          <w:rFonts w:asciiTheme="majorHAnsi" w:hAnsiTheme="majorHAnsi"/>
        </w:rPr>
        <w:fldChar w:fldCharType="end"/>
      </w:r>
      <w:r w:rsidRPr="003E1F05">
        <w:rPr>
          <w:rFonts w:asciiTheme="majorHAnsi" w:hAnsiTheme="majorHAnsi"/>
        </w:rPr>
      </w:r>
      <w:r w:rsidRPr="003E1F05">
        <w:rPr>
          <w:rFonts w:asciiTheme="majorHAnsi" w:hAnsiTheme="majorHAnsi"/>
        </w:rPr>
        <w:fldChar w:fldCharType="separate"/>
      </w:r>
      <w:r w:rsidRPr="003E1F05">
        <w:rPr>
          <w:rFonts w:asciiTheme="majorHAnsi" w:hAnsiTheme="majorHAnsi"/>
          <w:noProof/>
        </w:rPr>
        <w:t xml:space="preserve">(Berghaeuser </w:t>
      </w:r>
      <w:r w:rsidRPr="003E1F05">
        <w:rPr>
          <w:rFonts w:asciiTheme="majorHAnsi" w:hAnsiTheme="majorHAnsi"/>
          <w:i/>
          <w:noProof/>
        </w:rPr>
        <w:t xml:space="preserve">et al. </w:t>
      </w:r>
      <w:r w:rsidRPr="003E1F05">
        <w:rPr>
          <w:rFonts w:asciiTheme="majorHAnsi" w:hAnsiTheme="majorHAnsi"/>
          <w:noProof/>
        </w:rPr>
        <w:t xml:space="preserve">2008; Jakisch </w:t>
      </w:r>
      <w:r w:rsidRPr="003E1F05">
        <w:rPr>
          <w:rFonts w:asciiTheme="majorHAnsi" w:hAnsiTheme="majorHAnsi"/>
          <w:i/>
          <w:noProof/>
        </w:rPr>
        <w:t>et al.</w:t>
      </w:r>
      <w:r w:rsidRPr="003E1F05">
        <w:rPr>
          <w:rFonts w:asciiTheme="majorHAnsi" w:hAnsiTheme="majorHAnsi"/>
          <w:noProof/>
        </w:rPr>
        <w:t xml:space="preserve"> 2008)</w:t>
      </w:r>
      <w:r w:rsidRPr="003E1F05">
        <w:rPr>
          <w:rFonts w:asciiTheme="majorHAnsi" w:hAnsiTheme="majorHAnsi"/>
        </w:rPr>
        <w:fldChar w:fldCharType="end"/>
      </w:r>
      <w:r w:rsidRPr="003E1F05">
        <w:rPr>
          <w:rFonts w:asciiTheme="majorHAnsi" w:hAnsiTheme="majorHAnsi"/>
        </w:rPr>
        <w:t>.</w:t>
      </w:r>
    </w:p>
    <w:p w:rsidR="005B7A4B" w:rsidRPr="003E1F05" w:rsidRDefault="005B7A4B" w:rsidP="005B7A4B">
      <w:pPr>
        <w:rPr>
          <w:rFonts w:asciiTheme="majorHAnsi" w:hAnsiTheme="majorHAnsi"/>
          <w:szCs w:val="24"/>
        </w:rPr>
      </w:pPr>
      <w:r w:rsidRPr="003E1F05">
        <w:rPr>
          <w:rFonts w:asciiTheme="majorHAnsi" w:hAnsiTheme="majorHAnsi"/>
          <w:szCs w:val="24"/>
        </w:rPr>
        <w:t xml:space="preserve">One study reported significant decreases in the rates of symptomatic and nocturnal hypoglycaemic events with insulin pump therapy </w:t>
      </w:r>
      <w:r w:rsidRPr="003E1F05">
        <w:rPr>
          <w:rFonts w:asciiTheme="majorHAnsi" w:hAnsiTheme="majorHAnsi"/>
          <w:szCs w:val="24"/>
        </w:rPr>
        <w:fldChar w:fldCharType="begin"/>
      </w:r>
      <w:r w:rsidRPr="003E1F05">
        <w:rPr>
          <w:rFonts w:asciiTheme="majorHAnsi" w:hAnsiTheme="majorHAnsi"/>
          <w:szCs w:val="24"/>
        </w:rPr>
        <w:instrText xml:space="preserve"> ADDIN EN.CITE &lt;EndNote&gt;&lt;Cite&gt;&lt;Author&gt;Çamurdan&lt;/Author&gt;&lt;Year&gt;2008&lt;/Year&gt;&lt;RecNum&gt;43&lt;/RecNum&gt;&lt;DisplayText&gt;(Çamurdan et al. 2008)&lt;/DisplayText&gt;&lt;record&gt;&lt;rec-number&gt;43&lt;/rec-number&gt;&lt;foreign-keys&gt;&lt;key app="EN" db-id="dzd5tztvcwtfene0xfkv5fvk9d00w9x555ss"&gt;43&lt;/key&gt;&lt;/foreign-keys&gt;&lt;ref-type name="Journal Article"&gt;17&lt;/ref-type&gt;&lt;contributors&gt;&lt;authors&gt;&lt;author&gt;Çamurdan, M.O.&lt;/author&gt;&lt;author&gt;Bideci, A.&lt;/author&gt;&lt;author&gt;Demirel, F.&lt;/author&gt;&lt;author&gt;Cinaz, P.&lt;/author&gt;&lt;/authors&gt;&lt;/contributors&gt;&lt;titles&gt;&lt;title&gt;The follow-up results of insulin pump use in Turkisch children with type 1 diabetes mellitus&lt;/title&gt;&lt;secondary-title&gt;Gazi Medical Journal&lt;/secondary-title&gt;&lt;/titles&gt;&lt;periodical&gt;&lt;full-title&gt;Gazi Medical Journal&lt;/full-title&gt;&lt;/periodical&gt;&lt;pages&gt;10-14&lt;/pages&gt;&lt;volume&gt;19&lt;/volume&gt;&lt;number&gt;1&lt;/number&gt;&lt;dates&gt;&lt;year&gt;2008&lt;/year&gt;&lt;/dates&gt;&lt;urls&gt;&lt;/urls&gt;&lt;/record&gt;&lt;/Cite&gt;&lt;/EndNote&gt;</w:instrText>
      </w:r>
      <w:r w:rsidRPr="003E1F05">
        <w:rPr>
          <w:rFonts w:asciiTheme="majorHAnsi" w:hAnsiTheme="majorHAnsi"/>
          <w:szCs w:val="24"/>
        </w:rPr>
        <w:fldChar w:fldCharType="separate"/>
      </w:r>
      <w:r w:rsidRPr="003E1F05">
        <w:rPr>
          <w:rFonts w:asciiTheme="majorHAnsi" w:hAnsiTheme="majorHAnsi"/>
          <w:noProof/>
          <w:szCs w:val="24"/>
        </w:rPr>
        <w:t xml:space="preserve">(Çamurdan </w:t>
      </w:r>
      <w:r w:rsidRPr="003E1F05">
        <w:rPr>
          <w:rFonts w:asciiTheme="majorHAnsi" w:hAnsiTheme="majorHAnsi"/>
          <w:i/>
          <w:noProof/>
          <w:szCs w:val="24"/>
        </w:rPr>
        <w:t>et al.</w:t>
      </w:r>
      <w:r w:rsidRPr="003E1F05">
        <w:rPr>
          <w:rFonts w:asciiTheme="majorHAnsi" w:hAnsiTheme="majorHAnsi"/>
          <w:noProof/>
          <w:szCs w:val="24"/>
        </w:rPr>
        <w:t xml:space="preserve"> 2008)</w:t>
      </w:r>
      <w:r w:rsidRPr="003E1F05">
        <w:rPr>
          <w:rFonts w:asciiTheme="majorHAnsi" w:hAnsiTheme="majorHAnsi"/>
          <w:szCs w:val="24"/>
        </w:rPr>
        <w:fldChar w:fldCharType="end"/>
      </w:r>
      <w:r w:rsidRPr="003E1F05">
        <w:rPr>
          <w:rFonts w:asciiTheme="majorHAnsi" w:hAnsiTheme="majorHAnsi"/>
          <w:szCs w:val="24"/>
        </w:rPr>
        <w:t>.</w:t>
      </w:r>
    </w:p>
    <w:p w:rsidR="005B7A4B" w:rsidRPr="00787F54" w:rsidRDefault="005B7A4B" w:rsidP="005B7A4B">
      <w:pPr>
        <w:pStyle w:val="Heading4"/>
      </w:pPr>
      <w:r w:rsidRPr="00787F54">
        <w:t>4.3.2.3 What is the evidence that continuous subcutaneous insulin infusion therapy is more effective than multiple daily injections for blood glucose control in adults with type 1 diabetes?</w:t>
      </w:r>
    </w:p>
    <w:p w:rsidR="005B7A4B" w:rsidRPr="00787F54" w:rsidRDefault="005B7A4B" w:rsidP="005B7A4B">
      <w:pPr>
        <w:pStyle w:val="Heading5"/>
      </w:pPr>
      <w:r w:rsidRPr="00787F54">
        <w:t>HbA</w:t>
      </w:r>
      <w:r w:rsidRPr="00787F54">
        <w:rPr>
          <w:vertAlign w:val="subscript"/>
        </w:rPr>
        <w:t>1c</w:t>
      </w:r>
      <w:r w:rsidRPr="00787F54">
        <w:t xml:space="preserve"> and glycaemic variability</w:t>
      </w:r>
    </w:p>
    <w:p w:rsidR="005B7A4B" w:rsidRPr="003E1F05" w:rsidRDefault="005B7A4B" w:rsidP="005B7A4B">
      <w:pPr>
        <w:rPr>
          <w:rFonts w:asciiTheme="majorHAnsi" w:hAnsiTheme="majorHAnsi"/>
          <w:b/>
          <w:i/>
          <w:szCs w:val="24"/>
        </w:rPr>
      </w:pPr>
      <w:r w:rsidRPr="003E1F05">
        <w:rPr>
          <w:rFonts w:asciiTheme="majorHAnsi" w:hAnsiTheme="majorHAnsi"/>
          <w:szCs w:val="24"/>
        </w:rPr>
        <w:t>Adults with type 1 diabetes appear to achieve a greater reduction of HbA</w:t>
      </w:r>
      <w:r w:rsidRPr="003E1F05">
        <w:rPr>
          <w:rFonts w:asciiTheme="majorHAnsi" w:hAnsiTheme="majorHAnsi"/>
          <w:szCs w:val="24"/>
          <w:vertAlign w:val="subscript"/>
        </w:rPr>
        <w:t>1c</w:t>
      </w:r>
      <w:r w:rsidRPr="003E1F05">
        <w:rPr>
          <w:rFonts w:asciiTheme="majorHAnsi" w:hAnsiTheme="majorHAnsi"/>
          <w:szCs w:val="24"/>
        </w:rPr>
        <w:t xml:space="preserve"> when using an insulin pump than with multiple daily injections.</w:t>
      </w:r>
      <w:r w:rsidRPr="003E1F05">
        <w:rPr>
          <w:rFonts w:asciiTheme="majorHAnsi" w:hAnsiTheme="majorHAnsi"/>
          <w:b/>
          <w:i/>
          <w:szCs w:val="24"/>
        </w:rPr>
        <w:t xml:space="preserve"> </w:t>
      </w:r>
    </w:p>
    <w:p w:rsidR="005B7A4B" w:rsidRPr="003E1F05" w:rsidRDefault="005B7A4B" w:rsidP="005B7A4B">
      <w:pPr>
        <w:rPr>
          <w:rFonts w:asciiTheme="majorHAnsi" w:hAnsiTheme="majorHAnsi"/>
        </w:rPr>
      </w:pPr>
      <w:r w:rsidRPr="003E1F05">
        <w:rPr>
          <w:rFonts w:asciiTheme="majorHAnsi" w:hAnsiTheme="majorHAnsi"/>
        </w:rPr>
        <w:t>Ten before-and-after studies assessed HbA</w:t>
      </w:r>
      <w:r w:rsidRPr="003E1F05">
        <w:rPr>
          <w:rFonts w:asciiTheme="majorHAnsi" w:hAnsiTheme="majorHAnsi"/>
          <w:vertAlign w:val="subscript"/>
        </w:rPr>
        <w:t>1c</w:t>
      </w:r>
      <w:r w:rsidRPr="003E1F05">
        <w:rPr>
          <w:rFonts w:asciiTheme="majorHAnsi" w:hAnsiTheme="majorHAnsi"/>
        </w:rPr>
        <w:t>. With the exception of one study, all showed a statistically significant decrease in HbA</w:t>
      </w:r>
      <w:r w:rsidRPr="003E1F05">
        <w:rPr>
          <w:rFonts w:asciiTheme="majorHAnsi" w:hAnsiTheme="majorHAnsi"/>
          <w:vertAlign w:val="subscript"/>
        </w:rPr>
        <w:t>1c</w:t>
      </w:r>
      <w:r w:rsidRPr="003E1F05">
        <w:rPr>
          <w:rFonts w:asciiTheme="majorHAnsi" w:hAnsiTheme="majorHAnsi"/>
        </w:rPr>
        <w:t xml:space="preserve"> with insulin pump therapy at all follow-up periods with mean decreases ranging from 0.17-1.9%. </w:t>
      </w:r>
      <w:proofErr w:type="spellStart"/>
      <w:r w:rsidRPr="003E1F05">
        <w:rPr>
          <w:rFonts w:asciiTheme="majorHAnsi" w:hAnsiTheme="majorHAnsi"/>
        </w:rPr>
        <w:t>Aberle</w:t>
      </w:r>
      <w:proofErr w:type="spellEnd"/>
      <w:r w:rsidRPr="003E1F05">
        <w:rPr>
          <w:rFonts w:asciiTheme="majorHAnsi" w:hAnsiTheme="majorHAnsi"/>
        </w:rPr>
        <w:t xml:space="preserve"> (2008) and </w:t>
      </w:r>
      <w:proofErr w:type="spellStart"/>
      <w:r w:rsidRPr="003E1F05">
        <w:rPr>
          <w:rFonts w:asciiTheme="majorHAnsi" w:hAnsiTheme="majorHAnsi"/>
        </w:rPr>
        <w:t>Shalitin</w:t>
      </w:r>
      <w:proofErr w:type="spellEnd"/>
      <w:r w:rsidRPr="003E1F05">
        <w:rPr>
          <w:rFonts w:asciiTheme="majorHAnsi" w:hAnsiTheme="majorHAnsi"/>
        </w:rPr>
        <w:t xml:space="preserve"> (2010) showed that patients with a higher initial HbA</w:t>
      </w:r>
      <w:r w:rsidRPr="003E1F05">
        <w:rPr>
          <w:rFonts w:asciiTheme="majorHAnsi" w:hAnsiTheme="majorHAnsi"/>
          <w:vertAlign w:val="subscript"/>
        </w:rPr>
        <w:t>1c</w:t>
      </w:r>
      <w:r w:rsidRPr="003E1F05">
        <w:rPr>
          <w:rFonts w:asciiTheme="majorHAnsi" w:hAnsiTheme="majorHAnsi"/>
        </w:rPr>
        <w:t xml:space="preserve"> at the start of insulin pump therapy showed greater decreases in HbA</w:t>
      </w:r>
      <w:r w:rsidRPr="003E1F05">
        <w:rPr>
          <w:rFonts w:asciiTheme="majorHAnsi" w:hAnsiTheme="majorHAnsi"/>
          <w:vertAlign w:val="subscript"/>
        </w:rPr>
        <w:t>1c</w:t>
      </w:r>
      <w:r w:rsidRPr="003E1F05">
        <w:rPr>
          <w:rFonts w:asciiTheme="majorHAnsi" w:hAnsiTheme="majorHAnsi"/>
        </w:rPr>
        <w:t>, compared to those with lower baseline HbA</w:t>
      </w:r>
      <w:r w:rsidRPr="003E1F05">
        <w:rPr>
          <w:rFonts w:asciiTheme="majorHAnsi" w:hAnsiTheme="majorHAnsi"/>
          <w:vertAlign w:val="subscript"/>
        </w:rPr>
        <w:t>1c</w:t>
      </w:r>
      <w:r w:rsidRPr="003E1F05">
        <w:rPr>
          <w:rFonts w:asciiTheme="majorHAnsi" w:hAnsiTheme="majorHAnsi"/>
        </w:rPr>
        <w:t xml:space="preserve">. </w:t>
      </w:r>
    </w:p>
    <w:p w:rsidR="005B7A4B" w:rsidRPr="003E1F05" w:rsidRDefault="005B7A4B" w:rsidP="005B7A4B">
      <w:pPr>
        <w:rPr>
          <w:rFonts w:asciiTheme="majorHAnsi" w:hAnsiTheme="majorHAnsi"/>
        </w:rPr>
      </w:pPr>
      <w:r w:rsidRPr="003E1F05">
        <w:rPr>
          <w:rFonts w:asciiTheme="majorHAnsi" w:hAnsiTheme="majorHAnsi"/>
        </w:rPr>
        <w:t>T</w:t>
      </w:r>
      <w:r w:rsidR="003C3ADE" w:rsidRPr="003E1F05">
        <w:rPr>
          <w:rFonts w:asciiTheme="majorHAnsi" w:hAnsiTheme="majorHAnsi"/>
        </w:rPr>
        <w:t>wo cohort studies, involving 220</w:t>
      </w:r>
      <w:r w:rsidRPr="003E1F05">
        <w:rPr>
          <w:rFonts w:asciiTheme="majorHAnsi" w:hAnsiTheme="majorHAnsi"/>
        </w:rPr>
        <w:t xml:space="preserve"> an</w:t>
      </w:r>
      <w:r w:rsidR="003C3ADE" w:rsidRPr="003E1F05">
        <w:rPr>
          <w:rFonts w:asciiTheme="majorHAnsi" w:hAnsiTheme="majorHAnsi"/>
        </w:rPr>
        <w:t>d 2</w:t>
      </w:r>
      <w:r w:rsidRPr="003E1F05">
        <w:rPr>
          <w:rFonts w:asciiTheme="majorHAnsi" w:hAnsiTheme="majorHAnsi"/>
        </w:rPr>
        <w:t>709 patients respectively, showed statistically significant decreases in HbA</w:t>
      </w:r>
      <w:r w:rsidRPr="003E1F05">
        <w:rPr>
          <w:rFonts w:asciiTheme="majorHAnsi" w:hAnsiTheme="majorHAnsi"/>
          <w:vertAlign w:val="subscript"/>
        </w:rPr>
        <w:t>1c</w:t>
      </w:r>
      <w:r w:rsidRPr="003E1F05">
        <w:rPr>
          <w:rFonts w:asciiTheme="majorHAnsi" w:hAnsiTheme="majorHAnsi"/>
        </w:rPr>
        <w:t xml:space="preserve"> levels with insulin pump therapy at one, two, three and five years of follow-up </w:t>
      </w:r>
      <w:r w:rsidRPr="003E1F05">
        <w:rPr>
          <w:rFonts w:asciiTheme="majorHAnsi" w:hAnsiTheme="majorHAnsi"/>
        </w:rPr>
        <w:fldChar w:fldCharType="begin">
          <w:fldData xml:space="preserve">PEVuZE5vdGU+PENpdGU+PEF1dGhvcj5MZXBvcmU8L0F1dGhvcj48WWVhcj4yMDA5PC9ZZWFyPjxS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==
</w:fldData>
        </w:fldChar>
      </w:r>
      <w:r w:rsidRPr="003E1F05">
        <w:rPr>
          <w:rFonts w:asciiTheme="majorHAnsi" w:hAnsiTheme="majorHAnsi"/>
        </w:rPr>
        <w:instrText xml:space="preserve"> ADDIN EN.CITE </w:instrText>
      </w:r>
      <w:r w:rsidRPr="003E1F05">
        <w:rPr>
          <w:rFonts w:asciiTheme="majorHAnsi" w:hAnsiTheme="majorHAnsi"/>
        </w:rPr>
        <w:fldChar w:fldCharType="begin">
          <w:fldData xml:space="preserve">PEVuZE5vdGU+PENpdGU+PEF1dGhvcj5MZXBvcmU8L0F1dGhvcj48WWVhcj4yMDA5PC9ZZWFyPjxS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==
</w:fldData>
        </w:fldChar>
      </w:r>
      <w:r w:rsidRPr="003E1F05">
        <w:rPr>
          <w:rFonts w:asciiTheme="majorHAnsi" w:hAnsiTheme="majorHAnsi"/>
        </w:rPr>
        <w:instrText xml:space="preserve"> ADDIN EN.CITE.DATA </w:instrText>
      </w:r>
      <w:r w:rsidRPr="003E1F05">
        <w:rPr>
          <w:rFonts w:asciiTheme="majorHAnsi" w:hAnsiTheme="majorHAnsi"/>
        </w:rPr>
      </w:r>
      <w:r w:rsidRPr="003E1F05">
        <w:rPr>
          <w:rFonts w:asciiTheme="majorHAnsi" w:hAnsiTheme="majorHAnsi"/>
        </w:rPr>
        <w:fldChar w:fldCharType="end"/>
      </w:r>
      <w:r w:rsidRPr="003E1F05">
        <w:rPr>
          <w:rFonts w:asciiTheme="majorHAnsi" w:hAnsiTheme="majorHAnsi"/>
        </w:rPr>
      </w:r>
      <w:r w:rsidRPr="003E1F05">
        <w:rPr>
          <w:rFonts w:asciiTheme="majorHAnsi" w:hAnsiTheme="majorHAnsi"/>
        </w:rPr>
        <w:fldChar w:fldCharType="separate"/>
      </w:r>
      <w:r w:rsidRPr="003E1F05">
        <w:rPr>
          <w:rFonts w:asciiTheme="majorHAnsi" w:hAnsiTheme="majorHAnsi"/>
          <w:noProof/>
        </w:rPr>
        <w:t xml:space="preserve">(Lepore </w:t>
      </w:r>
      <w:r w:rsidRPr="003E1F05">
        <w:rPr>
          <w:rFonts w:asciiTheme="majorHAnsi" w:hAnsiTheme="majorHAnsi"/>
          <w:i/>
          <w:noProof/>
        </w:rPr>
        <w:t>et al.</w:t>
      </w:r>
      <w:r w:rsidRPr="003E1F05">
        <w:rPr>
          <w:rFonts w:asciiTheme="majorHAnsi" w:hAnsiTheme="majorHAnsi"/>
          <w:noProof/>
        </w:rPr>
        <w:t xml:space="preserve"> 2009; Carlsson </w:t>
      </w:r>
      <w:r w:rsidRPr="003E1F05">
        <w:rPr>
          <w:rFonts w:asciiTheme="majorHAnsi" w:hAnsiTheme="majorHAnsi"/>
          <w:i/>
          <w:noProof/>
        </w:rPr>
        <w:t>et al.</w:t>
      </w:r>
      <w:r w:rsidRPr="003E1F05">
        <w:rPr>
          <w:rFonts w:asciiTheme="majorHAnsi" w:hAnsiTheme="majorHAnsi"/>
          <w:noProof/>
        </w:rPr>
        <w:t xml:space="preserve"> 2013)</w:t>
      </w:r>
      <w:r w:rsidRPr="003E1F05">
        <w:rPr>
          <w:rFonts w:asciiTheme="majorHAnsi" w:hAnsiTheme="majorHAnsi"/>
        </w:rPr>
        <w:fldChar w:fldCharType="end"/>
      </w:r>
      <w:r w:rsidRPr="003E1F05">
        <w:rPr>
          <w:rFonts w:asciiTheme="majorHAnsi" w:hAnsiTheme="majorHAnsi"/>
        </w:rPr>
        <w:t xml:space="preserve">. </w:t>
      </w:r>
      <w:proofErr w:type="spellStart"/>
      <w:r w:rsidRPr="003E1F05">
        <w:rPr>
          <w:rFonts w:asciiTheme="majorHAnsi" w:hAnsiTheme="majorHAnsi"/>
        </w:rPr>
        <w:t>Carlsson</w:t>
      </w:r>
      <w:proofErr w:type="spellEnd"/>
      <w:r w:rsidRPr="003E1F05">
        <w:rPr>
          <w:rFonts w:asciiTheme="majorHAnsi" w:hAnsiTheme="majorHAnsi"/>
        </w:rPr>
        <w:t xml:space="preserve"> (2013) found that the reduction in HbA</w:t>
      </w:r>
      <w:r w:rsidRPr="003E1F05">
        <w:rPr>
          <w:rFonts w:asciiTheme="majorHAnsi" w:hAnsiTheme="majorHAnsi"/>
          <w:vertAlign w:val="subscript"/>
        </w:rPr>
        <w:t>1c</w:t>
      </w:r>
      <w:r w:rsidRPr="003E1F05">
        <w:rPr>
          <w:rFonts w:asciiTheme="majorHAnsi" w:hAnsiTheme="majorHAnsi"/>
        </w:rPr>
        <w:t xml:space="preserve"> observed with insulin pump therapy compared to multiple daily injections was greatest in the first two years, and was estimated to be 0.20% at five years (95% CI 0.07% to 0.32%), which is less than the 0.5% reduction usually considered clinically significant.</w:t>
      </w:r>
    </w:p>
    <w:p w:rsidR="005B7A4B" w:rsidRPr="003E1F05" w:rsidRDefault="005B7A4B" w:rsidP="005B7A4B">
      <w:pPr>
        <w:rPr>
          <w:rFonts w:asciiTheme="majorHAnsi" w:hAnsiTheme="majorHAnsi"/>
        </w:rPr>
      </w:pPr>
      <w:proofErr w:type="spellStart"/>
      <w:r w:rsidRPr="003E1F05">
        <w:rPr>
          <w:rFonts w:asciiTheme="majorHAnsi" w:hAnsiTheme="majorHAnsi"/>
        </w:rPr>
        <w:t>Aberle</w:t>
      </w:r>
      <w:proofErr w:type="spellEnd"/>
      <w:r w:rsidRPr="003E1F05">
        <w:rPr>
          <w:rFonts w:asciiTheme="majorHAnsi" w:hAnsiTheme="majorHAnsi"/>
        </w:rPr>
        <w:t xml:space="preserve"> (2008) examined variability in blood glucose levels and found a significant decrease in variance from before insulin pump therapy to after insulin pump therapy. Lin (2011) and </w:t>
      </w:r>
      <w:proofErr w:type="spellStart"/>
      <w:r w:rsidRPr="003E1F05">
        <w:rPr>
          <w:rFonts w:asciiTheme="majorHAnsi" w:hAnsiTheme="majorHAnsi"/>
        </w:rPr>
        <w:t>Gimenez</w:t>
      </w:r>
      <w:proofErr w:type="spellEnd"/>
      <w:r w:rsidRPr="003E1F05">
        <w:rPr>
          <w:rFonts w:asciiTheme="majorHAnsi" w:hAnsiTheme="majorHAnsi"/>
        </w:rPr>
        <w:t xml:space="preserve"> (2010) used three-day long continuous glucose monitoring at the start and end of a three-month and two-year study of insulin pump therapy, respectively. The glucose variability, determined by standard deviation of plasma glucose, and the mean amplitude of glycaemic excursions, decreased significantly in both studies.</w:t>
      </w:r>
    </w:p>
    <w:p w:rsidR="005B7A4B" w:rsidRPr="00787F54" w:rsidRDefault="005B7A4B" w:rsidP="005B7A4B">
      <w:pPr>
        <w:pStyle w:val="Heading4"/>
      </w:pPr>
      <w:r w:rsidRPr="00787F54">
        <w:t xml:space="preserve">4.4.2.4 What is the evidence that continuous subcutaneous insulin infusion therapy is safer than multiple daily injections </w:t>
      </w:r>
      <w:proofErr w:type="gramStart"/>
      <w:r w:rsidRPr="00787F54">
        <w:t>with regards to</w:t>
      </w:r>
      <w:proofErr w:type="gramEnd"/>
      <w:r w:rsidRPr="00787F54">
        <w:t xml:space="preserve"> the risk of severe hypoglycaemia in adults with type 1 diabetes?</w:t>
      </w:r>
    </w:p>
    <w:p w:rsidR="005B7A4B" w:rsidRPr="003E1F05" w:rsidRDefault="005B7A4B" w:rsidP="005B7A4B">
      <w:pPr>
        <w:rPr>
          <w:rFonts w:asciiTheme="majorHAnsi" w:hAnsiTheme="majorHAnsi"/>
        </w:rPr>
      </w:pPr>
      <w:r w:rsidRPr="003E1F05">
        <w:rPr>
          <w:rFonts w:asciiTheme="majorHAnsi" w:hAnsiTheme="majorHAnsi"/>
          <w:szCs w:val="24"/>
        </w:rPr>
        <w:t>Adults with type 1 diabetes appear to have a lower risk of severe hypoglycaemia with insulin pump therapy than with multiple daily injections.</w:t>
      </w:r>
      <w:r w:rsidRPr="003E1F05">
        <w:rPr>
          <w:rFonts w:ascii="Times New Roman" w:hAnsi="Times New Roman"/>
          <w:szCs w:val="24"/>
        </w:rPr>
        <w:t xml:space="preserve"> </w:t>
      </w:r>
      <w:r w:rsidRPr="003E1F05">
        <w:rPr>
          <w:rFonts w:asciiTheme="majorHAnsi" w:hAnsiTheme="majorHAnsi"/>
        </w:rPr>
        <w:t>Four before-and-after studies reported decreased rates of severe hypoglycaemic events with insulin pump therapy in adults; two with significant results (</w:t>
      </w:r>
      <w:proofErr w:type="spellStart"/>
      <w:r w:rsidRPr="003E1F05">
        <w:rPr>
          <w:rFonts w:asciiTheme="majorHAnsi" w:hAnsiTheme="majorHAnsi"/>
        </w:rPr>
        <w:t>Marmolin</w:t>
      </w:r>
      <w:proofErr w:type="spellEnd"/>
      <w:r w:rsidRPr="003E1F05">
        <w:rPr>
          <w:rFonts w:asciiTheme="majorHAnsi" w:hAnsiTheme="majorHAnsi"/>
        </w:rPr>
        <w:t xml:space="preserve"> </w:t>
      </w:r>
      <w:r w:rsidRPr="003E1F05">
        <w:rPr>
          <w:rFonts w:asciiTheme="majorHAnsi" w:hAnsiTheme="majorHAnsi"/>
          <w:i/>
        </w:rPr>
        <w:t>et al.</w:t>
      </w:r>
      <w:r w:rsidRPr="003E1F05">
        <w:rPr>
          <w:rFonts w:asciiTheme="majorHAnsi" w:hAnsiTheme="majorHAnsi"/>
        </w:rPr>
        <w:t xml:space="preserve"> 2012; </w:t>
      </w:r>
      <w:proofErr w:type="spellStart"/>
      <w:r w:rsidRPr="003E1F05">
        <w:rPr>
          <w:rFonts w:asciiTheme="majorHAnsi" w:hAnsiTheme="majorHAnsi"/>
        </w:rPr>
        <w:t>Shalitin</w:t>
      </w:r>
      <w:proofErr w:type="spellEnd"/>
      <w:r w:rsidRPr="003E1F05">
        <w:rPr>
          <w:rFonts w:asciiTheme="majorHAnsi" w:hAnsiTheme="majorHAnsi"/>
        </w:rPr>
        <w:t xml:space="preserve"> </w:t>
      </w:r>
      <w:r w:rsidRPr="003E1F05">
        <w:rPr>
          <w:rFonts w:asciiTheme="majorHAnsi" w:hAnsiTheme="majorHAnsi"/>
          <w:i/>
        </w:rPr>
        <w:t>et al.</w:t>
      </w:r>
      <w:r w:rsidRPr="003E1F05">
        <w:rPr>
          <w:rFonts w:asciiTheme="majorHAnsi" w:hAnsiTheme="majorHAnsi"/>
        </w:rPr>
        <w:t xml:space="preserve"> 2010).</w:t>
      </w:r>
    </w:p>
    <w:p w:rsidR="005B7A4B" w:rsidRPr="00D52454" w:rsidRDefault="005B7A4B" w:rsidP="005B7A4B">
      <w:pPr>
        <w:pStyle w:val="Heading2"/>
        <w:keepNext/>
        <w:keepLines/>
      </w:pPr>
      <w:bookmarkStart w:id="164" w:name="_Toc381090936"/>
      <w:bookmarkStart w:id="165" w:name="_Toc387664337"/>
      <w:r w:rsidRPr="00D52454">
        <w:lastRenderedPageBreak/>
        <w:t>4.5</w:t>
      </w:r>
      <w:r w:rsidRPr="00D52454">
        <w:tab/>
        <w:t>Recent additional evidence</w:t>
      </w:r>
      <w:bookmarkEnd w:id="164"/>
      <w:bookmarkEnd w:id="165"/>
    </w:p>
    <w:p w:rsidR="005B7A4B" w:rsidRPr="00787F54" w:rsidRDefault="005B7A4B" w:rsidP="005B7A4B">
      <w:pPr>
        <w:pStyle w:val="Heading3"/>
        <w:keepLines/>
        <w:rPr>
          <w:lang w:val="en-US" w:eastAsia="en-AU"/>
        </w:rPr>
      </w:pPr>
      <w:r w:rsidRPr="00787F54">
        <w:rPr>
          <w:lang w:val="en-US" w:eastAsia="en-AU"/>
        </w:rPr>
        <w:t>4.5.1</w:t>
      </w:r>
      <w:r w:rsidRPr="00787F54">
        <w:rPr>
          <w:lang w:val="en-US" w:eastAsia="en-AU"/>
        </w:rPr>
        <w:tab/>
        <w:t>Results of a large Australian case-control study</w:t>
      </w:r>
    </w:p>
    <w:p w:rsidR="005B7A4B" w:rsidRPr="003E1F05" w:rsidRDefault="005B7A4B" w:rsidP="005B7A4B">
      <w:pPr>
        <w:tabs>
          <w:tab w:val="left" w:pos="993"/>
        </w:tabs>
        <w:rPr>
          <w:rFonts w:asciiTheme="majorHAnsi" w:hAnsiTheme="majorHAnsi"/>
        </w:rPr>
      </w:pPr>
      <w:r w:rsidRPr="003E1F05">
        <w:rPr>
          <w:rFonts w:asciiTheme="majorHAnsi" w:hAnsiTheme="majorHAnsi"/>
        </w:rPr>
        <w:t xml:space="preserve">In 2013, Johnson </w:t>
      </w:r>
      <w:r w:rsidRPr="003E1F05">
        <w:rPr>
          <w:rFonts w:asciiTheme="majorHAnsi" w:hAnsiTheme="majorHAnsi"/>
          <w:i/>
        </w:rPr>
        <w:t>et al</w:t>
      </w:r>
      <w:r w:rsidRPr="003E1F05">
        <w:rPr>
          <w:rFonts w:asciiTheme="majorHAnsi" w:hAnsiTheme="majorHAnsi"/>
        </w:rPr>
        <w:t xml:space="preserve">. published </w:t>
      </w:r>
      <w:r w:rsidRPr="003E1F05">
        <w:rPr>
          <w:rFonts w:asciiTheme="majorHAnsi" w:hAnsiTheme="majorHAnsi"/>
          <w:i/>
        </w:rPr>
        <w:t xml:space="preserve">‘Long-term outcome of insulin pump therapy in children with type </w:t>
      </w:r>
      <w:proofErr w:type="gramStart"/>
      <w:r w:rsidRPr="003E1F05">
        <w:rPr>
          <w:rFonts w:asciiTheme="majorHAnsi" w:hAnsiTheme="majorHAnsi"/>
          <w:i/>
        </w:rPr>
        <w:t>1 diabetes</w:t>
      </w:r>
      <w:proofErr w:type="gramEnd"/>
      <w:r w:rsidRPr="003E1F05">
        <w:rPr>
          <w:rFonts w:asciiTheme="majorHAnsi" w:hAnsiTheme="majorHAnsi"/>
          <w:i/>
        </w:rPr>
        <w:t xml:space="preserve"> assessed in a large population-based case</w:t>
      </w:r>
      <w:r w:rsidRPr="003E1F05">
        <w:rPr>
          <w:rFonts w:asciiTheme="majorHAnsi" w:hAnsiTheme="majorHAnsi"/>
          <w:i/>
        </w:rPr>
        <w:noBreakHyphen/>
        <w:t xml:space="preserve">control study’. </w:t>
      </w:r>
      <w:r w:rsidRPr="003E1F05">
        <w:rPr>
          <w:rFonts w:asciiTheme="majorHAnsi" w:hAnsiTheme="majorHAnsi"/>
        </w:rPr>
        <w:t xml:space="preserve">This study </w:t>
      </w:r>
      <w:proofErr w:type="gramStart"/>
      <w:r w:rsidRPr="003E1F05">
        <w:rPr>
          <w:rFonts w:asciiTheme="majorHAnsi" w:hAnsiTheme="majorHAnsi"/>
        </w:rPr>
        <w:t>is considered</w:t>
      </w:r>
      <w:proofErr w:type="gramEnd"/>
      <w:r w:rsidRPr="003E1F05">
        <w:rPr>
          <w:rFonts w:asciiTheme="majorHAnsi" w:hAnsiTheme="majorHAnsi"/>
        </w:rPr>
        <w:t xml:space="preserve"> valuable as it reports outcomes from long-term use of insulin pumps in Australian clinical practice. It is one of the largest studies of insulin pump use in children, has the longest follow-up period of any study to date, and may be one of the best sources of evidence on the effectiveness of insulin pump therapy in the real patient setting (</w:t>
      </w:r>
      <w:proofErr w:type="spellStart"/>
      <w:r w:rsidRPr="003E1F05">
        <w:rPr>
          <w:rFonts w:asciiTheme="majorHAnsi" w:hAnsiTheme="majorHAnsi"/>
        </w:rPr>
        <w:t>Tamborlane</w:t>
      </w:r>
      <w:proofErr w:type="spellEnd"/>
      <w:r w:rsidRPr="003E1F05">
        <w:rPr>
          <w:rFonts w:asciiTheme="majorHAnsi" w:hAnsiTheme="majorHAnsi"/>
        </w:rPr>
        <w:t xml:space="preserve"> &amp; </w:t>
      </w:r>
      <w:proofErr w:type="spellStart"/>
      <w:r w:rsidRPr="003E1F05">
        <w:rPr>
          <w:rFonts w:asciiTheme="majorHAnsi" w:hAnsiTheme="majorHAnsi"/>
        </w:rPr>
        <w:t>Sherr</w:t>
      </w:r>
      <w:proofErr w:type="spellEnd"/>
      <w:r w:rsidRPr="003E1F05">
        <w:rPr>
          <w:rFonts w:asciiTheme="majorHAnsi" w:hAnsiTheme="majorHAnsi"/>
        </w:rPr>
        <w:t xml:space="preserve"> 2013). </w:t>
      </w:r>
    </w:p>
    <w:p w:rsidR="005B7A4B" w:rsidRPr="003E1F05" w:rsidRDefault="005B7A4B" w:rsidP="005B7A4B">
      <w:pPr>
        <w:tabs>
          <w:tab w:val="left" w:pos="993"/>
        </w:tabs>
        <w:rPr>
          <w:rFonts w:asciiTheme="majorHAnsi" w:hAnsiTheme="majorHAnsi"/>
        </w:rPr>
      </w:pPr>
      <w:r w:rsidRPr="003E1F05">
        <w:rPr>
          <w:rFonts w:asciiTheme="majorHAnsi" w:hAnsiTheme="majorHAnsi"/>
        </w:rPr>
        <w:t>The study showed an average reduction in HbA</w:t>
      </w:r>
      <w:r w:rsidRPr="003E1F05">
        <w:rPr>
          <w:rFonts w:asciiTheme="majorHAnsi" w:hAnsiTheme="majorHAnsi"/>
          <w:vertAlign w:val="subscript"/>
        </w:rPr>
        <w:t>1c</w:t>
      </w:r>
      <w:r w:rsidRPr="003E1F05">
        <w:rPr>
          <w:rFonts w:asciiTheme="majorHAnsi" w:hAnsiTheme="majorHAnsi"/>
        </w:rPr>
        <w:t xml:space="preserve"> in those using insulin pumps of 0.6% (6.6 </w:t>
      </w:r>
      <w:proofErr w:type="spellStart"/>
      <w:r w:rsidRPr="003E1F05">
        <w:rPr>
          <w:rFonts w:asciiTheme="majorHAnsi" w:hAnsiTheme="majorHAnsi"/>
        </w:rPr>
        <w:t>mmol</w:t>
      </w:r>
      <w:proofErr w:type="spellEnd"/>
      <w:r w:rsidRPr="003E1F05">
        <w:rPr>
          <w:rFonts w:asciiTheme="majorHAnsi" w:hAnsiTheme="majorHAnsi"/>
        </w:rPr>
        <w:t>/</w:t>
      </w:r>
      <w:proofErr w:type="spellStart"/>
      <w:r w:rsidRPr="003E1F05">
        <w:rPr>
          <w:rFonts w:asciiTheme="majorHAnsi" w:hAnsiTheme="majorHAnsi"/>
        </w:rPr>
        <w:t>mol</w:t>
      </w:r>
      <w:proofErr w:type="spellEnd"/>
      <w:r w:rsidRPr="003E1F05">
        <w:rPr>
          <w:rFonts w:asciiTheme="majorHAnsi" w:hAnsiTheme="majorHAnsi"/>
        </w:rPr>
        <w:t xml:space="preserve">), which remained significant through seven years follow-up. There was a significant reduction in severe hypoglycaemic events from 14.7 to 7.2 events per 100 patient-years in the insulin pump group, while in the injection group, severe hypoglycaemic events increased from 6.8 to 10.2 events per 100 patient-years. The rate of hospitalisation for DKA was also significantly lower in the insulin pump group compared to the injection group at 2.3 versus 4.7 hospitalisations per 100 patient-years (p=0.003) (Johnson </w:t>
      </w:r>
      <w:r w:rsidRPr="003E1F05">
        <w:rPr>
          <w:rFonts w:asciiTheme="majorHAnsi" w:hAnsiTheme="majorHAnsi"/>
          <w:i/>
        </w:rPr>
        <w:t>et al.</w:t>
      </w:r>
      <w:r w:rsidRPr="003E1F05">
        <w:rPr>
          <w:rFonts w:asciiTheme="majorHAnsi" w:hAnsiTheme="majorHAnsi"/>
        </w:rPr>
        <w:t xml:space="preserve"> 2013). </w:t>
      </w:r>
    </w:p>
    <w:p w:rsidR="005B7A4B" w:rsidRPr="003E1F05" w:rsidRDefault="005B7A4B" w:rsidP="005B7A4B">
      <w:pPr>
        <w:tabs>
          <w:tab w:val="left" w:pos="993"/>
        </w:tabs>
        <w:rPr>
          <w:rFonts w:asciiTheme="majorHAnsi" w:hAnsiTheme="majorHAnsi"/>
        </w:rPr>
      </w:pPr>
      <w:r w:rsidRPr="003E1F05">
        <w:rPr>
          <w:rFonts w:asciiTheme="majorHAnsi" w:hAnsiTheme="majorHAnsi"/>
        </w:rPr>
        <w:t>This study has a number of limitations including the:</w:t>
      </w:r>
    </w:p>
    <w:p w:rsidR="005B7A4B" w:rsidRPr="003E1F05" w:rsidRDefault="005B7A4B" w:rsidP="005B7A4B">
      <w:pPr>
        <w:pStyle w:val="ListParagraph"/>
        <w:numPr>
          <w:ilvl w:val="0"/>
          <w:numId w:val="19"/>
        </w:numPr>
        <w:tabs>
          <w:tab w:val="left" w:pos="993"/>
        </w:tabs>
        <w:rPr>
          <w:rFonts w:asciiTheme="majorHAnsi" w:hAnsiTheme="majorHAnsi"/>
        </w:rPr>
      </w:pPr>
      <w:r w:rsidRPr="003E1F05">
        <w:rPr>
          <w:rFonts w:asciiTheme="majorHAnsi" w:hAnsiTheme="majorHAnsi"/>
        </w:rPr>
        <w:t xml:space="preserve">Potential for bias due to substantial loss to follow-up over time (i.e. n=324 at the start of the study and n=25 at seven years follow-up). </w:t>
      </w:r>
    </w:p>
    <w:p w:rsidR="005B7A4B" w:rsidRPr="003E1F05" w:rsidRDefault="005B7A4B" w:rsidP="005B7A4B">
      <w:pPr>
        <w:pStyle w:val="ListParagraph"/>
        <w:numPr>
          <w:ilvl w:val="0"/>
          <w:numId w:val="19"/>
        </w:numPr>
        <w:tabs>
          <w:tab w:val="left" w:pos="993"/>
        </w:tabs>
        <w:rPr>
          <w:rFonts w:asciiTheme="majorHAnsi" w:hAnsiTheme="majorHAnsi"/>
        </w:rPr>
      </w:pPr>
      <w:r w:rsidRPr="003E1F05">
        <w:rPr>
          <w:rFonts w:asciiTheme="majorHAnsi" w:hAnsiTheme="majorHAnsi"/>
        </w:rPr>
        <w:t xml:space="preserve">Potential for selection bias as little information </w:t>
      </w:r>
      <w:proofErr w:type="gramStart"/>
      <w:r w:rsidRPr="003E1F05">
        <w:rPr>
          <w:rFonts w:asciiTheme="majorHAnsi" w:hAnsiTheme="majorHAnsi"/>
        </w:rPr>
        <w:t>is provided</w:t>
      </w:r>
      <w:proofErr w:type="gramEnd"/>
      <w:r w:rsidRPr="003E1F05">
        <w:rPr>
          <w:rFonts w:asciiTheme="majorHAnsi" w:hAnsiTheme="majorHAnsi"/>
        </w:rPr>
        <w:t xml:space="preserve"> about selection criteria for initiating pump therapy and those using insulin pumps had significantly higher rates of severe hypoglycaemia prior to initiation. The Department of Health has requested the selection criteria for this study and is awaiting a response.</w:t>
      </w:r>
    </w:p>
    <w:p w:rsidR="005B7A4B" w:rsidRPr="003E1F05" w:rsidRDefault="005B7A4B" w:rsidP="005B7A4B">
      <w:pPr>
        <w:pStyle w:val="ListParagraph"/>
        <w:numPr>
          <w:ilvl w:val="0"/>
          <w:numId w:val="19"/>
        </w:numPr>
        <w:tabs>
          <w:tab w:val="left" w:pos="993"/>
        </w:tabs>
        <w:rPr>
          <w:rFonts w:asciiTheme="majorHAnsi" w:hAnsiTheme="majorHAnsi"/>
        </w:rPr>
      </w:pPr>
      <w:proofErr w:type="gramStart"/>
      <w:r w:rsidRPr="003E1F05">
        <w:rPr>
          <w:rFonts w:asciiTheme="majorHAnsi" w:hAnsiTheme="majorHAnsi"/>
        </w:rPr>
        <w:t>Differences in education and support, which was more intensive for those on insulin pump therapy than injections and is likely to bias the results in favour of insulin pump therapy (</w:t>
      </w:r>
      <w:proofErr w:type="spellStart"/>
      <w:r w:rsidRPr="003E1F05">
        <w:rPr>
          <w:rFonts w:asciiTheme="majorHAnsi" w:hAnsiTheme="majorHAnsi"/>
        </w:rPr>
        <w:t>Tamborlane</w:t>
      </w:r>
      <w:proofErr w:type="spellEnd"/>
      <w:r w:rsidRPr="003E1F05">
        <w:rPr>
          <w:rFonts w:asciiTheme="majorHAnsi" w:hAnsiTheme="majorHAnsi"/>
        </w:rPr>
        <w:t xml:space="preserve"> &amp; </w:t>
      </w:r>
      <w:proofErr w:type="spellStart"/>
      <w:r w:rsidRPr="003E1F05">
        <w:rPr>
          <w:rFonts w:asciiTheme="majorHAnsi" w:hAnsiTheme="majorHAnsi"/>
        </w:rPr>
        <w:t>Sherr</w:t>
      </w:r>
      <w:proofErr w:type="spellEnd"/>
      <w:r w:rsidRPr="003E1F05">
        <w:rPr>
          <w:rFonts w:asciiTheme="majorHAnsi" w:hAnsiTheme="majorHAnsi"/>
        </w:rPr>
        <w:t xml:space="preserve"> 2013).</w:t>
      </w:r>
      <w:proofErr w:type="gramEnd"/>
      <w:r w:rsidRPr="003E1F05">
        <w:rPr>
          <w:rFonts w:asciiTheme="majorHAnsi" w:hAnsiTheme="majorHAnsi"/>
        </w:rPr>
        <w:t xml:space="preserve"> For example, a pooled analysis of ten studies identified a 0.5% reduction in HbA</w:t>
      </w:r>
      <w:r w:rsidRPr="003E1F05">
        <w:rPr>
          <w:rFonts w:asciiTheme="majorHAnsi" w:hAnsiTheme="majorHAnsi"/>
          <w:vertAlign w:val="subscript"/>
        </w:rPr>
        <w:t>1c</w:t>
      </w:r>
      <w:r w:rsidRPr="003E1F05">
        <w:rPr>
          <w:rFonts w:asciiTheme="majorHAnsi" w:hAnsiTheme="majorHAnsi"/>
        </w:rPr>
        <w:t xml:space="preserve"> in children and adolescents following psychological interventions, although there was significant heterogeneity in the study results (Craig </w:t>
      </w:r>
      <w:r w:rsidRPr="003E1F05">
        <w:rPr>
          <w:rFonts w:asciiTheme="majorHAnsi" w:hAnsiTheme="majorHAnsi"/>
          <w:i/>
        </w:rPr>
        <w:t>et al.</w:t>
      </w:r>
      <w:r w:rsidRPr="003E1F05">
        <w:rPr>
          <w:rFonts w:asciiTheme="majorHAnsi" w:hAnsiTheme="majorHAnsi"/>
        </w:rPr>
        <w:t xml:space="preserve"> 2011). In adults, self-management education delivered in conjunction with intensive diabetes management is associated with significant reductions in HbA</w:t>
      </w:r>
      <w:r w:rsidRPr="003E1F05">
        <w:rPr>
          <w:rFonts w:asciiTheme="majorHAnsi" w:hAnsiTheme="majorHAnsi"/>
          <w:vertAlign w:val="subscript"/>
        </w:rPr>
        <w:t>1c</w:t>
      </w:r>
      <w:r w:rsidRPr="003E1F05">
        <w:rPr>
          <w:rFonts w:asciiTheme="majorHAnsi" w:hAnsiTheme="majorHAnsi"/>
        </w:rPr>
        <w:t xml:space="preserve"> of 0.5–1.0%, although again with significant heterogeneity in study results (Craig </w:t>
      </w:r>
      <w:r w:rsidRPr="003E1F05">
        <w:rPr>
          <w:rFonts w:asciiTheme="majorHAnsi" w:hAnsiTheme="majorHAnsi"/>
          <w:i/>
        </w:rPr>
        <w:t>et al.</w:t>
      </w:r>
      <w:r w:rsidRPr="003E1F05">
        <w:rPr>
          <w:rFonts w:asciiTheme="majorHAnsi" w:hAnsiTheme="majorHAnsi"/>
        </w:rPr>
        <w:t xml:space="preserve"> 2011).</w:t>
      </w:r>
    </w:p>
    <w:p w:rsidR="005B7A4B" w:rsidRPr="003E1F05" w:rsidRDefault="005B7A4B" w:rsidP="005B7A4B">
      <w:pPr>
        <w:rPr>
          <w:rFonts w:asciiTheme="majorHAnsi" w:hAnsiTheme="majorHAnsi"/>
          <w:szCs w:val="24"/>
        </w:rPr>
      </w:pPr>
      <w:r w:rsidRPr="003E1F05">
        <w:rPr>
          <w:rFonts w:asciiTheme="majorHAnsi" w:hAnsiTheme="majorHAnsi"/>
        </w:rPr>
        <w:t>The Department and Reference Group considered this study as a part of the evidence for the potential benefits of insulin pump use in children and adolescents.</w:t>
      </w:r>
    </w:p>
    <w:p w:rsidR="005B7A4B" w:rsidRPr="00787F54" w:rsidRDefault="005B7A4B" w:rsidP="005B7A4B">
      <w:pPr>
        <w:pStyle w:val="Heading3"/>
      </w:pPr>
      <w:bookmarkStart w:id="166" w:name="_Toc372542362"/>
      <w:r w:rsidRPr="00787F54">
        <w:lastRenderedPageBreak/>
        <w:t>4.5.2</w:t>
      </w:r>
      <w:r w:rsidRPr="00787F54">
        <w:tab/>
        <w:t>Insulin Pump User Survey</w:t>
      </w:r>
      <w:bookmarkEnd w:id="166"/>
    </w:p>
    <w:p w:rsidR="005B7A4B" w:rsidRPr="003E1F05" w:rsidRDefault="005B7A4B" w:rsidP="005B7A4B">
      <w:pPr>
        <w:rPr>
          <w:szCs w:val="24"/>
        </w:rPr>
      </w:pPr>
      <w:r w:rsidRPr="003E1F05">
        <w:rPr>
          <w:szCs w:val="24"/>
        </w:rPr>
        <w:t xml:space="preserve">The AIHW’s </w:t>
      </w:r>
      <w:r w:rsidRPr="003E1F05">
        <w:rPr>
          <w:rFonts w:eastAsia="Calibri" w:cs="Book Antiqua"/>
          <w:i/>
          <w:szCs w:val="24"/>
          <w:lang w:eastAsia="en-AU"/>
        </w:rPr>
        <w:t>Report on Insulin Pump Use in Australia</w:t>
      </w:r>
      <w:r w:rsidRPr="003E1F05">
        <w:rPr>
          <w:rFonts w:eastAsia="Calibri" w:cs="Book Antiqua"/>
          <w:szCs w:val="24"/>
          <w:lang w:eastAsia="en-AU"/>
        </w:rPr>
        <w:t xml:space="preserve"> (2012) details the </w:t>
      </w:r>
      <w:r w:rsidRPr="003E1F05">
        <w:rPr>
          <w:szCs w:val="24"/>
        </w:rPr>
        <w:t xml:space="preserve">experiences of 5,680 insulin pump users in Australia. </w:t>
      </w:r>
      <w:r w:rsidRPr="003E1F05">
        <w:rPr>
          <w:rFonts w:eastAsia="Calibri"/>
          <w:lang w:eastAsia="en-AU"/>
        </w:rPr>
        <w:t xml:space="preserve">The survey indicates strong device satisfaction among insulin pump users </w:t>
      </w:r>
      <w:r w:rsidRPr="003E1F05">
        <w:rPr>
          <w:szCs w:val="24"/>
        </w:rPr>
        <w:t xml:space="preserve">with the popular benefits being good integration with the user’s lifestyle (86%), better diabetes control (83%) and convenience (71%). </w:t>
      </w:r>
    </w:p>
    <w:p w:rsidR="005B7A4B" w:rsidRPr="003E1F05" w:rsidRDefault="005B7A4B" w:rsidP="005B7A4B">
      <w:pPr>
        <w:rPr>
          <w:rFonts w:eastAsia="Calibri"/>
          <w:lang w:eastAsia="en-AU"/>
        </w:rPr>
      </w:pPr>
      <w:r w:rsidRPr="003E1F05">
        <w:rPr>
          <w:rFonts w:eastAsia="Calibri"/>
          <w:lang w:eastAsia="en-AU"/>
        </w:rPr>
        <w:t xml:space="preserve">The survey results also highlighted the common problems experienced by insulin pump users as well as the reasons why some users decided to discontinue using the device. The biggest issue among the insulin pump users surveyed was the cost of insulin pump consumables, with 32% of respondents indicating that they were too expensive. Other common problems included issues with relocating the cannula/tubing of the pump (16%) and others disliking wearing a pump (15%). </w:t>
      </w:r>
    </w:p>
    <w:p w:rsidR="005B7A4B" w:rsidRPr="003E1F05" w:rsidRDefault="005B7A4B" w:rsidP="005B7A4B">
      <w:pPr>
        <w:rPr>
          <w:rFonts w:eastAsia="Calibri"/>
          <w:lang w:eastAsia="en-AU"/>
        </w:rPr>
      </w:pPr>
      <w:r w:rsidRPr="003E1F05">
        <w:rPr>
          <w:rFonts w:eastAsia="Calibri"/>
          <w:lang w:eastAsia="en-AU"/>
        </w:rPr>
        <w:t>The most common reasons for survey respondents to have discontinued insulin pump therapy were that they did not like wearing the pump (50%)</w:t>
      </w:r>
      <w:proofErr w:type="gramStart"/>
      <w:r w:rsidRPr="003E1F05">
        <w:rPr>
          <w:rFonts w:eastAsia="Calibri"/>
          <w:lang w:eastAsia="en-AU"/>
        </w:rPr>
        <w:t>,</w:t>
      </w:r>
      <w:proofErr w:type="gramEnd"/>
      <w:r w:rsidRPr="003E1F05">
        <w:rPr>
          <w:rFonts w:eastAsia="Calibri"/>
          <w:lang w:eastAsia="en-AU"/>
        </w:rPr>
        <w:t xml:space="preserve"> they experienced little or no improvement in diabetes control (30%), problems relocating the cannula/tubing (29%), and wanting a break (29%).</w:t>
      </w:r>
    </w:p>
    <w:p w:rsidR="005B7A4B" w:rsidRPr="003E1F05" w:rsidRDefault="005B7A4B" w:rsidP="005B7A4B">
      <w:pPr>
        <w:rPr>
          <w:rFonts w:eastAsia="Calibri"/>
          <w:lang w:eastAsia="en-AU"/>
        </w:rPr>
      </w:pPr>
      <w:r w:rsidRPr="003E1F05">
        <w:rPr>
          <w:rFonts w:eastAsia="Calibri"/>
          <w:lang w:eastAsia="en-AU"/>
        </w:rPr>
        <w:t>The survey found that people with type 1 diabetes living in remote and very remote areas were less likely to use an insulin pump (around 8%) than those living in major cities, inner regional and outer regional areas, which all had similar proportions of use (around 10%). This result was based on small numbers of users from remote and very remote areas (70 users or 1% of survey respondents), so it is difficult to draw firm conclusions regarding reduced access to insulin pumps for people living in these areas. The survey also indicated that insulin pump users living in remote and very remote areas had less contact with specialist diabetes doctors or diabetes educators. Around 15% of people living in rural and remote areas had last seen a diabetes specialist or educator more than six months ago, compared to 9% for those living in major cities.</w:t>
      </w:r>
    </w:p>
    <w:p w:rsidR="005B7A4B" w:rsidRPr="00D52454" w:rsidRDefault="005B7A4B" w:rsidP="005B7A4B">
      <w:pPr>
        <w:pStyle w:val="Heading2"/>
      </w:pPr>
      <w:bookmarkStart w:id="167" w:name="_Toc372542363"/>
      <w:bookmarkStart w:id="168" w:name="_Toc381090937"/>
      <w:bookmarkStart w:id="169" w:name="_Toc387664338"/>
      <w:r w:rsidRPr="00D52454">
        <w:t>4.6</w:t>
      </w:r>
      <w:r w:rsidRPr="00D52454">
        <w:tab/>
        <w:t>Potential safety risks associated with insulin pump therapy</w:t>
      </w:r>
      <w:bookmarkEnd w:id="167"/>
      <w:bookmarkEnd w:id="168"/>
      <w:bookmarkEnd w:id="169"/>
    </w:p>
    <w:p w:rsidR="005B7A4B" w:rsidRPr="003E1F05" w:rsidRDefault="005B7A4B" w:rsidP="005B7A4B">
      <w:pPr>
        <w:rPr>
          <w:szCs w:val="24"/>
        </w:rPr>
      </w:pPr>
      <w:r w:rsidRPr="003E1F05">
        <w:rPr>
          <w:szCs w:val="24"/>
        </w:rPr>
        <w:t xml:space="preserve">Aside from the reported benefits of insulin pump therapy, there </w:t>
      </w:r>
      <w:proofErr w:type="gramStart"/>
      <w:r w:rsidRPr="003E1F05">
        <w:rPr>
          <w:szCs w:val="24"/>
        </w:rPr>
        <w:t>are</w:t>
      </w:r>
      <w:proofErr w:type="gramEnd"/>
      <w:r w:rsidRPr="003E1F05">
        <w:rPr>
          <w:szCs w:val="24"/>
        </w:rPr>
        <w:t xml:space="preserve"> some potential safety risks associated with its use. Potential adverse events include DKA from pump malfunction, and catheter-site infection or irritation (Guinn 1988). The risk of DKA from insulin pump failure </w:t>
      </w:r>
      <w:proofErr w:type="gramStart"/>
      <w:r w:rsidRPr="003E1F05">
        <w:rPr>
          <w:szCs w:val="24"/>
        </w:rPr>
        <w:t>can be caused</w:t>
      </w:r>
      <w:proofErr w:type="gramEnd"/>
      <w:r w:rsidRPr="003E1F05">
        <w:rPr>
          <w:szCs w:val="24"/>
        </w:rPr>
        <w:t xml:space="preserve"> by the cannula bending, air bubbles affecting insulin delivery, unintentional misuse, or mechanical problems (</w:t>
      </w:r>
      <w:proofErr w:type="spellStart"/>
      <w:r w:rsidRPr="003E1F05">
        <w:rPr>
          <w:szCs w:val="24"/>
        </w:rPr>
        <w:t>Shalitin</w:t>
      </w:r>
      <w:proofErr w:type="spellEnd"/>
      <w:r w:rsidRPr="003E1F05">
        <w:rPr>
          <w:szCs w:val="24"/>
        </w:rPr>
        <w:t xml:space="preserve"> &amp; Phillip 2008). </w:t>
      </w:r>
      <w:r w:rsidRPr="003E1F05">
        <w:t>Multiple daily injection therapy provides a reservoir of long-acting insulin, whereas insulin pump therapy provides frequent doses of short-acting insulin, and therefore, may increase the risk of rapidly developing DKA if there is an interruption to insulin supply (Pickup 2008).</w:t>
      </w:r>
    </w:p>
    <w:p w:rsidR="005B7A4B" w:rsidRPr="003E1F05" w:rsidRDefault="005B7A4B" w:rsidP="005B7A4B">
      <w:pPr>
        <w:rPr>
          <w:szCs w:val="24"/>
        </w:rPr>
      </w:pPr>
      <w:r w:rsidRPr="003E1F05">
        <w:rPr>
          <w:szCs w:val="24"/>
        </w:rPr>
        <w:t xml:space="preserve">Barnard </w:t>
      </w:r>
      <w:r w:rsidRPr="003E1F05">
        <w:rPr>
          <w:i/>
          <w:szCs w:val="24"/>
        </w:rPr>
        <w:t>et al</w:t>
      </w:r>
      <w:r w:rsidRPr="003E1F05">
        <w:rPr>
          <w:szCs w:val="24"/>
        </w:rPr>
        <w:t>. (2007) found that the continual reliance on an external device, with the need to programme the pump and change over consumables, makes insulin pumps challenging for a significant number of users.</w:t>
      </w:r>
    </w:p>
    <w:p w:rsidR="005B7A4B" w:rsidRPr="003E1F05" w:rsidRDefault="005B7A4B" w:rsidP="005B7A4B">
      <w:pPr>
        <w:rPr>
          <w:szCs w:val="24"/>
        </w:rPr>
      </w:pPr>
      <w:proofErr w:type="gramStart"/>
      <w:r w:rsidRPr="003E1F05">
        <w:rPr>
          <w:szCs w:val="24"/>
        </w:rPr>
        <w:lastRenderedPageBreak/>
        <w:t>Product safety regulation of insulin pumps in Australia is managed by the Therapeutic Goods Administration</w:t>
      </w:r>
      <w:proofErr w:type="gramEnd"/>
      <w:r w:rsidRPr="003E1F05">
        <w:rPr>
          <w:szCs w:val="24"/>
        </w:rPr>
        <w:t xml:space="preserve">. For further information, see </w:t>
      </w:r>
      <w:hyperlink w:anchor="_2.9_Regulation_of" w:history="1">
        <w:r w:rsidRPr="003E1F05">
          <w:rPr>
            <w:rStyle w:val="Hyperlink"/>
            <w:color w:val="auto"/>
            <w:szCs w:val="24"/>
          </w:rPr>
          <w:t>Part 2.9</w:t>
        </w:r>
      </w:hyperlink>
      <w:r w:rsidRPr="003E1F05">
        <w:rPr>
          <w:szCs w:val="24"/>
        </w:rPr>
        <w:t xml:space="preserve">.  </w:t>
      </w:r>
    </w:p>
    <w:p w:rsidR="005B7A4B" w:rsidRPr="00D52454" w:rsidRDefault="005B7A4B" w:rsidP="005B7A4B">
      <w:pPr>
        <w:pStyle w:val="Heading2"/>
        <w:keepNext/>
        <w:keepLines/>
      </w:pPr>
      <w:bookmarkStart w:id="170" w:name="_Toc372542364"/>
      <w:bookmarkStart w:id="171" w:name="_Toc381090938"/>
      <w:bookmarkStart w:id="172" w:name="_Toc387664339"/>
      <w:r w:rsidRPr="00D52454">
        <w:t>4.7</w:t>
      </w:r>
      <w:r w:rsidRPr="00D52454">
        <w:tab/>
        <w:t>Potential safety risks associated with multiple daily injections</w:t>
      </w:r>
      <w:bookmarkEnd w:id="170"/>
      <w:bookmarkEnd w:id="171"/>
      <w:bookmarkEnd w:id="172"/>
    </w:p>
    <w:p w:rsidR="005B7A4B" w:rsidRPr="003E1F05" w:rsidRDefault="005B7A4B" w:rsidP="005B7A4B">
      <w:pPr>
        <w:keepNext/>
        <w:keepLines/>
      </w:pPr>
      <w:r w:rsidRPr="003E1F05">
        <w:t>Long-acting insulin analogues cannot be modulated after injection and may produce a peak of insulin dosing in the middle of the night with a consequent risk of hypoglycaemia, and a waning of insulin dosing before breakfast, resulting in fasting hyperglycaemia (also known as the “dawn phenomenon”) (Pickup 2008).</w:t>
      </w:r>
    </w:p>
    <w:p w:rsidR="005B7A4B" w:rsidRPr="003E1F05" w:rsidRDefault="005B7A4B" w:rsidP="005B7A4B">
      <w:r w:rsidRPr="003E1F05">
        <w:t>There is also variability in the subcutaneous absorption of delayed-action insulin suspensions, contributing to fluctuations and unpredictability in within-day and between-day glycaemic control. However, the differences in fluctuations between therapies may be more apparent in relative terms than in absolute terms (Pickup 2008).</w:t>
      </w:r>
      <w:bookmarkStart w:id="173" w:name="_4.1.8_The_Therapeutic"/>
      <w:bookmarkStart w:id="174" w:name="_Part_5_–"/>
      <w:bookmarkStart w:id="175" w:name="_Toc373482073"/>
      <w:bookmarkEnd w:id="173"/>
      <w:bookmarkEnd w:id="174"/>
      <w:r w:rsidRPr="003E1F05">
        <w:br w:type="page"/>
      </w:r>
    </w:p>
    <w:p w:rsidR="005B7A4B" w:rsidRPr="004148D7" w:rsidRDefault="005B7A4B" w:rsidP="005B7A4B">
      <w:pPr>
        <w:pStyle w:val="Heading1"/>
        <w:rPr>
          <w:szCs w:val="24"/>
          <w:lang w:val="en-US"/>
        </w:rPr>
      </w:pPr>
      <w:bookmarkStart w:id="176" w:name="_Part_6_–"/>
      <w:bookmarkStart w:id="177" w:name="_Toc375212111"/>
      <w:bookmarkStart w:id="178" w:name="_Toc381090939"/>
      <w:bookmarkStart w:id="179" w:name="_Toc387664340"/>
      <w:bookmarkStart w:id="180" w:name="_Toc373829626"/>
      <w:bookmarkEnd w:id="175"/>
      <w:bookmarkEnd w:id="176"/>
      <w:r>
        <w:lastRenderedPageBreak/>
        <w:t xml:space="preserve">Part 5 – </w:t>
      </w:r>
      <w:proofErr w:type="spellStart"/>
      <w:r>
        <w:t>ToR</w:t>
      </w:r>
      <w:proofErr w:type="spellEnd"/>
      <w:r>
        <w:t xml:space="preserve"> 9</w:t>
      </w:r>
      <w:r w:rsidRPr="004148D7">
        <w:br/>
        <w:t xml:space="preserve">Costs </w:t>
      </w:r>
      <w:r>
        <w:t xml:space="preserve">and comparative effectiveness </w:t>
      </w:r>
      <w:r w:rsidRPr="004148D7">
        <w:t xml:space="preserve">of </w:t>
      </w:r>
      <w:r>
        <w:t>i</w:t>
      </w:r>
      <w:r w:rsidRPr="004148D7">
        <w:t xml:space="preserve">nsulin </w:t>
      </w:r>
      <w:r>
        <w:t>p</w:t>
      </w:r>
      <w:r w:rsidRPr="004148D7">
        <w:t>umps</w:t>
      </w:r>
      <w:bookmarkEnd w:id="177"/>
      <w:bookmarkEnd w:id="178"/>
      <w:bookmarkEnd w:id="179"/>
    </w:p>
    <w:p w:rsidR="005B7A4B" w:rsidRPr="003E1F05" w:rsidRDefault="005B7A4B" w:rsidP="005B7A4B">
      <w:pPr>
        <w:pBdr>
          <w:top w:val="single" w:sz="4" w:space="1" w:color="auto"/>
          <w:left w:val="single" w:sz="4" w:space="4" w:color="auto"/>
          <w:bottom w:val="single" w:sz="4" w:space="1" w:color="auto"/>
          <w:right w:val="single" w:sz="4" w:space="4" w:color="auto"/>
        </w:pBdr>
        <w:shd w:val="clear" w:color="auto" w:fill="F2F2F2"/>
      </w:pPr>
      <w:r w:rsidRPr="003E1F05">
        <w:t>Investigate the cost-effective use of different insulin pumps available under the Insulin Pump Programme.</w:t>
      </w:r>
    </w:p>
    <w:p w:rsidR="005B7A4B" w:rsidRPr="00D52454" w:rsidRDefault="005B7A4B" w:rsidP="005B7A4B">
      <w:pPr>
        <w:pStyle w:val="Heading2"/>
      </w:pPr>
      <w:bookmarkStart w:id="181" w:name="_Toc373482075"/>
      <w:bookmarkStart w:id="182" w:name="_Toc375212112"/>
      <w:bookmarkStart w:id="183" w:name="_Toc381090940"/>
      <w:bookmarkStart w:id="184" w:name="_Toc387664341"/>
      <w:r w:rsidRPr="00D52454">
        <w:t>5.1</w:t>
      </w:r>
      <w:r w:rsidRPr="00D52454">
        <w:tab/>
        <w:t xml:space="preserve">Key findings for </w:t>
      </w:r>
      <w:proofErr w:type="spellStart"/>
      <w:r w:rsidRPr="00D52454">
        <w:t>ToR</w:t>
      </w:r>
      <w:proofErr w:type="spellEnd"/>
      <w:r w:rsidRPr="00D52454">
        <w:t xml:space="preserve"> 9</w:t>
      </w:r>
      <w:bookmarkEnd w:id="181"/>
      <w:bookmarkEnd w:id="182"/>
      <w:bookmarkEnd w:id="183"/>
      <w:bookmarkEnd w:id="184"/>
    </w:p>
    <w:p w:rsidR="005B7A4B" w:rsidRPr="003E1F05" w:rsidRDefault="005B7A4B" w:rsidP="005B7A4B">
      <w:pPr>
        <w:shd w:val="clear" w:color="auto" w:fill="F2F2F2" w:themeFill="background1" w:themeFillShade="F2"/>
        <w:autoSpaceDE w:val="0"/>
        <w:autoSpaceDN w:val="0"/>
        <w:adjustRightInd w:val="0"/>
        <w:rPr>
          <w:b/>
          <w:i/>
          <w:szCs w:val="24"/>
        </w:rPr>
      </w:pPr>
      <w:r w:rsidRPr="003E1F05">
        <w:rPr>
          <w:b/>
          <w:i/>
          <w:szCs w:val="24"/>
        </w:rPr>
        <w:t>Literature review</w:t>
      </w:r>
    </w:p>
    <w:p w:rsidR="005B7A4B" w:rsidRPr="003E1F05" w:rsidRDefault="005B7A4B" w:rsidP="005B7A4B">
      <w:pPr>
        <w:numPr>
          <w:ilvl w:val="0"/>
          <w:numId w:val="35"/>
        </w:numPr>
        <w:shd w:val="clear" w:color="auto" w:fill="F2F2F2" w:themeFill="background1" w:themeFillShade="F2"/>
        <w:autoSpaceDE w:val="0"/>
        <w:autoSpaceDN w:val="0"/>
        <w:adjustRightInd w:val="0"/>
        <w:ind w:left="425" w:hanging="425"/>
        <w:rPr>
          <w:szCs w:val="24"/>
        </w:rPr>
      </w:pPr>
      <w:r w:rsidRPr="003E1F05">
        <w:rPr>
          <w:szCs w:val="24"/>
        </w:rPr>
        <w:t xml:space="preserve">The systematic literature search commissioned by the Department showed that there is currently no literature available on the comparative effectiveness of different brands of insulin pumps. The Department has compiled an information table to compare the insulin pumps available under the Prostheses List at </w:t>
      </w:r>
      <w:hyperlink w:anchor="_Appendix_A_-" w:history="1">
        <w:r w:rsidRPr="003E1F05">
          <w:rPr>
            <w:rStyle w:val="Hyperlink"/>
            <w:color w:val="auto"/>
            <w:szCs w:val="24"/>
          </w:rPr>
          <w:t>Appendix A</w:t>
        </w:r>
      </w:hyperlink>
      <w:r w:rsidRPr="003E1F05">
        <w:rPr>
          <w:szCs w:val="24"/>
        </w:rPr>
        <w:t>.</w:t>
      </w:r>
    </w:p>
    <w:p w:rsidR="005B7A4B" w:rsidRPr="003E1F05" w:rsidRDefault="005B7A4B" w:rsidP="005B7A4B">
      <w:pPr>
        <w:numPr>
          <w:ilvl w:val="0"/>
          <w:numId w:val="35"/>
        </w:numPr>
        <w:shd w:val="clear" w:color="auto" w:fill="F2F2F2" w:themeFill="background1" w:themeFillShade="F2"/>
        <w:autoSpaceDE w:val="0"/>
        <w:autoSpaceDN w:val="0"/>
        <w:adjustRightInd w:val="0"/>
        <w:ind w:left="425" w:hanging="425"/>
        <w:rPr>
          <w:szCs w:val="24"/>
        </w:rPr>
      </w:pPr>
      <w:r w:rsidRPr="003E1F05">
        <w:t>The technology used in insulin pump therapy and multiple daily injections, including the types of insulin, have all improved over time. It is therefore difficult to determine the specific impact of different types of insulin pumps on outcomes over time.</w:t>
      </w:r>
    </w:p>
    <w:p w:rsidR="005B7A4B" w:rsidRPr="003E1F05" w:rsidRDefault="005B7A4B" w:rsidP="005B7A4B">
      <w:pPr>
        <w:shd w:val="clear" w:color="auto" w:fill="F2F2F2" w:themeFill="background1" w:themeFillShade="F2"/>
        <w:autoSpaceDE w:val="0"/>
        <w:autoSpaceDN w:val="0"/>
        <w:adjustRightInd w:val="0"/>
        <w:rPr>
          <w:b/>
          <w:i/>
          <w:szCs w:val="24"/>
        </w:rPr>
      </w:pPr>
      <w:r w:rsidRPr="003E1F05">
        <w:rPr>
          <w:b/>
          <w:i/>
          <w:szCs w:val="24"/>
        </w:rPr>
        <w:t>Costs of insulin pumps and consumables</w:t>
      </w:r>
    </w:p>
    <w:p w:rsidR="005B7A4B" w:rsidRPr="003E1F05" w:rsidRDefault="005B7A4B" w:rsidP="005B7A4B">
      <w:pPr>
        <w:numPr>
          <w:ilvl w:val="0"/>
          <w:numId w:val="35"/>
        </w:numPr>
        <w:shd w:val="clear" w:color="auto" w:fill="F2F2F2" w:themeFill="background1" w:themeFillShade="F2"/>
        <w:autoSpaceDE w:val="0"/>
        <w:autoSpaceDN w:val="0"/>
        <w:adjustRightInd w:val="0"/>
        <w:ind w:left="425" w:hanging="425"/>
        <w:rPr>
          <w:szCs w:val="24"/>
        </w:rPr>
      </w:pPr>
      <w:r w:rsidRPr="003E1F05">
        <w:rPr>
          <w:szCs w:val="24"/>
        </w:rPr>
        <w:t xml:space="preserve">The Insulin Pump Programme provides funding for the costs of both insulin pumps, administered by JDRF, and consumables, administered by Diabetes Australia through the NDSS. </w:t>
      </w:r>
      <w:r w:rsidRPr="003E1F05">
        <w:t>Programme funding totals $6.97 million over four years from 2012-13 to 2015-16.</w:t>
      </w:r>
    </w:p>
    <w:p w:rsidR="005B7A4B" w:rsidRPr="003E1F05" w:rsidRDefault="005B7A4B" w:rsidP="005B7A4B">
      <w:pPr>
        <w:numPr>
          <w:ilvl w:val="0"/>
          <w:numId w:val="35"/>
        </w:numPr>
        <w:shd w:val="clear" w:color="auto" w:fill="F2F2F2" w:themeFill="background1" w:themeFillShade="F2"/>
        <w:autoSpaceDE w:val="0"/>
        <w:autoSpaceDN w:val="0"/>
        <w:adjustRightInd w:val="0"/>
        <w:ind w:left="425" w:hanging="425"/>
        <w:rPr>
          <w:szCs w:val="24"/>
        </w:rPr>
      </w:pPr>
      <w:r w:rsidRPr="003E1F05">
        <w:rPr>
          <w:szCs w:val="24"/>
        </w:rPr>
        <w:t>Insulin pumps available under the Programme are those on the Prostheses List, with the benefit prices ranging from $4,000 to $9,500. There are currently six</w:t>
      </w:r>
      <w:r w:rsidRPr="003E1F05">
        <w:rPr>
          <w:rFonts w:eastAsia="Calibri"/>
          <w:vertAlign w:val="superscript"/>
        </w:rPr>
        <w:footnoteReference w:id="2"/>
      </w:r>
      <w:r w:rsidRPr="003E1F05">
        <w:rPr>
          <w:szCs w:val="24"/>
        </w:rPr>
        <w:t xml:space="preserve"> insulin pumps available. </w:t>
      </w:r>
    </w:p>
    <w:p w:rsidR="005B7A4B" w:rsidRPr="003E1F05" w:rsidRDefault="005B7A4B" w:rsidP="005B7A4B">
      <w:pPr>
        <w:numPr>
          <w:ilvl w:val="0"/>
          <w:numId w:val="35"/>
        </w:numPr>
        <w:shd w:val="clear" w:color="auto" w:fill="F2F2F2" w:themeFill="background1" w:themeFillShade="F2"/>
        <w:autoSpaceDE w:val="0"/>
        <w:autoSpaceDN w:val="0"/>
        <w:adjustRightInd w:val="0"/>
        <w:ind w:left="425" w:hanging="425"/>
        <w:rPr>
          <w:szCs w:val="24"/>
        </w:rPr>
      </w:pPr>
      <w:r w:rsidRPr="003E1F05">
        <w:rPr>
          <w:szCs w:val="24"/>
        </w:rPr>
        <w:t xml:space="preserve">On average, consumables available through the NDSS cost </w:t>
      </w:r>
      <w:r w:rsidRPr="003E1F05">
        <w:rPr>
          <w:rFonts w:eastAsia="Calibri" w:cs="Cambria"/>
          <w:szCs w:val="24"/>
        </w:rPr>
        <w:t>$316 per annum to the consumer, and $2,098 per annum to the Australian Government. The prices are benchmarked and do not vary between brands.</w:t>
      </w:r>
    </w:p>
    <w:p w:rsidR="005B7A4B" w:rsidRPr="003E1F05" w:rsidRDefault="005B7A4B" w:rsidP="005B7A4B">
      <w:pPr>
        <w:numPr>
          <w:ilvl w:val="0"/>
          <w:numId w:val="35"/>
        </w:numPr>
        <w:shd w:val="clear" w:color="auto" w:fill="F2F2F2" w:themeFill="background1" w:themeFillShade="F2"/>
        <w:autoSpaceDE w:val="0"/>
        <w:autoSpaceDN w:val="0"/>
        <w:adjustRightInd w:val="0"/>
        <w:ind w:left="425" w:hanging="425"/>
        <w:rPr>
          <w:szCs w:val="24"/>
        </w:rPr>
      </w:pPr>
      <w:r w:rsidRPr="003E1F05">
        <w:rPr>
          <w:szCs w:val="24"/>
        </w:rPr>
        <w:t>The cost to Government for each insulin pump supplied through the Programme is $</w:t>
      </w:r>
      <w:r w:rsidRPr="003E1F05">
        <w:rPr>
          <w:rFonts w:cs="Calibri"/>
          <w:szCs w:val="24"/>
          <w:lang w:eastAsia="en-AU"/>
        </w:rPr>
        <w:t xml:space="preserve">14,779 over </w:t>
      </w:r>
      <w:r w:rsidRPr="003E1F05">
        <w:rPr>
          <w:szCs w:val="24"/>
        </w:rPr>
        <w:t xml:space="preserve">four years (the warranty period of most insulin pumps), or $3,695 per annum. This estimate </w:t>
      </w:r>
      <w:proofErr w:type="gramStart"/>
      <w:r w:rsidRPr="003E1F05">
        <w:rPr>
          <w:szCs w:val="24"/>
        </w:rPr>
        <w:t>is based</w:t>
      </w:r>
      <w:proofErr w:type="gramEnd"/>
      <w:r w:rsidRPr="003E1F05">
        <w:rPr>
          <w:szCs w:val="24"/>
        </w:rPr>
        <w:t xml:space="preserve"> on the median pump subsidy amount and the associated cost of consumables.</w:t>
      </w:r>
    </w:p>
    <w:p w:rsidR="005B7A4B" w:rsidRPr="003E1F05" w:rsidRDefault="005B7A4B" w:rsidP="005B7A4B">
      <w:pPr>
        <w:numPr>
          <w:ilvl w:val="0"/>
          <w:numId w:val="35"/>
        </w:numPr>
        <w:shd w:val="clear" w:color="auto" w:fill="F2F2F2" w:themeFill="background1" w:themeFillShade="F2"/>
        <w:autoSpaceDE w:val="0"/>
        <w:autoSpaceDN w:val="0"/>
        <w:adjustRightInd w:val="0"/>
        <w:ind w:left="425" w:hanging="425"/>
        <w:rPr>
          <w:szCs w:val="24"/>
        </w:rPr>
      </w:pPr>
      <w:r w:rsidRPr="003E1F05">
        <w:rPr>
          <w:szCs w:val="24"/>
        </w:rPr>
        <w:lastRenderedPageBreak/>
        <w:t xml:space="preserve">Of the 466 pumps supplied under the Programme since it began in 2008-09, the most common pump supplied is the Medtronic Paradigm </w:t>
      </w:r>
      <w:proofErr w:type="spellStart"/>
      <w:r w:rsidRPr="003E1F05">
        <w:rPr>
          <w:szCs w:val="24"/>
        </w:rPr>
        <w:t>Veo</w:t>
      </w:r>
      <w:proofErr w:type="spellEnd"/>
      <w:r w:rsidRPr="003E1F05">
        <w:rPr>
          <w:szCs w:val="24"/>
        </w:rPr>
        <w:t xml:space="preserve"> 754, supplied to 47% of recipients and currently valued at $9,500.</w:t>
      </w:r>
    </w:p>
    <w:p w:rsidR="005B7A4B" w:rsidRPr="003E1F05" w:rsidRDefault="005B7A4B" w:rsidP="005B7A4B">
      <w:pPr>
        <w:keepNext/>
        <w:keepLines/>
        <w:shd w:val="clear" w:color="auto" w:fill="F2F2F2" w:themeFill="background1" w:themeFillShade="F2"/>
        <w:rPr>
          <w:b/>
          <w:i/>
          <w:szCs w:val="24"/>
        </w:rPr>
      </w:pPr>
      <w:r w:rsidRPr="003E1F05">
        <w:rPr>
          <w:b/>
          <w:i/>
          <w:szCs w:val="24"/>
        </w:rPr>
        <w:t>Cost-effectiveness of insulin pump therapy</w:t>
      </w:r>
    </w:p>
    <w:p w:rsidR="00AF098B" w:rsidRPr="003E1F05" w:rsidRDefault="005B7A4B" w:rsidP="007A567E">
      <w:pPr>
        <w:pStyle w:val="ListParagraph"/>
        <w:numPr>
          <w:ilvl w:val="0"/>
          <w:numId w:val="55"/>
        </w:numPr>
        <w:shd w:val="clear" w:color="auto" w:fill="F2F2F2" w:themeFill="background1" w:themeFillShade="F2"/>
        <w:ind w:left="425" w:hanging="425"/>
        <w:contextualSpacing w:val="0"/>
        <w:rPr>
          <w:szCs w:val="24"/>
        </w:rPr>
      </w:pPr>
      <w:r w:rsidRPr="003E1F05">
        <w:rPr>
          <w:szCs w:val="24"/>
        </w:rPr>
        <w:t>Based on available analyses, the cost-effectiveness of insulin pump therapy relative to multiple daily injections is likely to be around $A110</w:t>
      </w:r>
      <w:proofErr w:type="gramStart"/>
      <w:r w:rsidRPr="003E1F05">
        <w:rPr>
          <w:szCs w:val="24"/>
        </w:rPr>
        <w:t>,000</w:t>
      </w:r>
      <w:proofErr w:type="gramEnd"/>
      <w:r w:rsidRPr="003E1F05">
        <w:rPr>
          <w:szCs w:val="24"/>
        </w:rPr>
        <w:t>–$150,000 per quality-adjusted life year assuming a reduction in HbA</w:t>
      </w:r>
      <w:r w:rsidRPr="003E1F05">
        <w:rPr>
          <w:szCs w:val="24"/>
          <w:vertAlign w:val="subscript"/>
        </w:rPr>
        <w:t>1c</w:t>
      </w:r>
      <w:r w:rsidRPr="003E1F05">
        <w:rPr>
          <w:szCs w:val="24"/>
        </w:rPr>
        <w:t xml:space="preserve"> of 0.5–0.6% (Cummins </w:t>
      </w:r>
      <w:r w:rsidRPr="003E1F05">
        <w:rPr>
          <w:i/>
          <w:szCs w:val="24"/>
        </w:rPr>
        <w:t xml:space="preserve">et al. </w:t>
      </w:r>
      <w:r w:rsidRPr="003E1F05">
        <w:rPr>
          <w:szCs w:val="24"/>
        </w:rPr>
        <w:t xml:space="preserve">2010, Cohen </w:t>
      </w:r>
      <w:r w:rsidRPr="003E1F05">
        <w:rPr>
          <w:i/>
          <w:szCs w:val="24"/>
        </w:rPr>
        <w:t>et al.</w:t>
      </w:r>
      <w:r w:rsidRPr="003E1F05">
        <w:rPr>
          <w:szCs w:val="24"/>
        </w:rPr>
        <w:t xml:space="preserve"> 2007). Models did not generally consider productivity costs and some quality of life factors, and were highly sensitive to assumed HbA</w:t>
      </w:r>
      <w:r w:rsidRPr="003E1F05">
        <w:rPr>
          <w:szCs w:val="24"/>
          <w:vertAlign w:val="subscript"/>
        </w:rPr>
        <w:t>1c</w:t>
      </w:r>
      <w:r w:rsidRPr="003E1F05">
        <w:rPr>
          <w:szCs w:val="24"/>
        </w:rPr>
        <w:t xml:space="preserve"> reductions.</w:t>
      </w:r>
    </w:p>
    <w:p w:rsidR="005B7A4B" w:rsidRPr="003E1F05" w:rsidRDefault="005B7A4B" w:rsidP="007A567E">
      <w:pPr>
        <w:pStyle w:val="ListParagraph"/>
        <w:numPr>
          <w:ilvl w:val="0"/>
          <w:numId w:val="55"/>
        </w:numPr>
        <w:shd w:val="clear" w:color="auto" w:fill="F2F2F2" w:themeFill="background1" w:themeFillShade="F2"/>
        <w:spacing w:before="160" w:after="160"/>
        <w:ind w:left="425" w:hanging="425"/>
        <w:contextualSpacing w:val="0"/>
        <w:rPr>
          <w:szCs w:val="24"/>
        </w:rPr>
      </w:pPr>
      <w:r w:rsidRPr="003E1F05">
        <w:rPr>
          <w:szCs w:val="24"/>
        </w:rPr>
        <w:t>Patient selection is important to ensure cost-effective use of insulin pumps. Use</w:t>
      </w:r>
      <w:r w:rsidR="00AF098B" w:rsidRPr="003E1F05">
        <w:t xml:space="preserve"> </w:t>
      </w:r>
      <w:r w:rsidR="00AF098B" w:rsidRPr="003E1F05">
        <w:rPr>
          <w:szCs w:val="24"/>
        </w:rPr>
        <w:t>is likely to be cost-effective</w:t>
      </w:r>
      <w:r w:rsidRPr="003E1F05">
        <w:rPr>
          <w:szCs w:val="24"/>
        </w:rPr>
        <w:t xml:space="preserve"> in patients with high initial HbA</w:t>
      </w:r>
      <w:r w:rsidRPr="003E1F05">
        <w:rPr>
          <w:szCs w:val="24"/>
          <w:vertAlign w:val="subscript"/>
        </w:rPr>
        <w:t>1c</w:t>
      </w:r>
      <w:r w:rsidRPr="003E1F05">
        <w:rPr>
          <w:szCs w:val="24"/>
        </w:rPr>
        <w:t xml:space="preserve"> or, </w:t>
      </w:r>
      <w:r w:rsidRPr="003E1F05">
        <w:t>severe and/or unpredictable hypoglycaemia leading to hospitalisation at least once per year (</w:t>
      </w:r>
      <w:proofErr w:type="spellStart"/>
      <w:r w:rsidRPr="003E1F05">
        <w:t>Scuffham</w:t>
      </w:r>
      <w:proofErr w:type="spellEnd"/>
      <w:r w:rsidRPr="003E1F05">
        <w:t xml:space="preserve"> &amp; Carr 2003), who are highly motivated </w:t>
      </w:r>
      <w:proofErr w:type="gramStart"/>
      <w:r w:rsidRPr="003E1F05">
        <w:t>to intensively manage</w:t>
      </w:r>
      <w:proofErr w:type="gramEnd"/>
      <w:r w:rsidRPr="003E1F05">
        <w:t xml:space="preserve"> their diabetes</w:t>
      </w:r>
      <w:r w:rsidRPr="003E1F05">
        <w:rPr>
          <w:szCs w:val="24"/>
        </w:rPr>
        <w:t xml:space="preserve">. </w:t>
      </w:r>
    </w:p>
    <w:p w:rsidR="005B7A4B" w:rsidRPr="003E1F05" w:rsidRDefault="005B7A4B" w:rsidP="005B7A4B">
      <w:pPr>
        <w:keepNext/>
        <w:keepLines/>
        <w:shd w:val="clear" w:color="auto" w:fill="F2F2F2" w:themeFill="background1" w:themeFillShade="F2"/>
        <w:rPr>
          <w:b/>
          <w:i/>
          <w:szCs w:val="24"/>
        </w:rPr>
      </w:pPr>
      <w:r w:rsidRPr="003E1F05">
        <w:rPr>
          <w:b/>
          <w:i/>
          <w:szCs w:val="24"/>
        </w:rPr>
        <w:t>Use of insulin pumps in Australia</w:t>
      </w:r>
    </w:p>
    <w:p w:rsidR="005B7A4B" w:rsidRPr="003E1F05" w:rsidRDefault="005B7A4B" w:rsidP="005B7A4B">
      <w:pPr>
        <w:keepNext/>
        <w:keepLines/>
        <w:numPr>
          <w:ilvl w:val="0"/>
          <w:numId w:val="35"/>
        </w:numPr>
        <w:shd w:val="clear" w:color="auto" w:fill="F2F2F2" w:themeFill="background1" w:themeFillShade="F2"/>
        <w:autoSpaceDE w:val="0"/>
        <w:autoSpaceDN w:val="0"/>
        <w:adjustRightInd w:val="0"/>
        <w:ind w:left="425" w:hanging="425"/>
        <w:rPr>
          <w:szCs w:val="24"/>
        </w:rPr>
      </w:pPr>
      <w:r w:rsidRPr="003E1F05">
        <w:rPr>
          <w:szCs w:val="24"/>
        </w:rPr>
        <w:t xml:space="preserve">Uptake for the Insulin Pump Programme increased following the announcement that some key manufacturers would cover the co-payment gap for low-income families. This has led to a waiting list. </w:t>
      </w:r>
      <w:r w:rsidRPr="003E1F05">
        <w:t xml:space="preserve">The Government announced additional Programme funding on 18 October 2013, to help clear the waiting list. As at February 2014, the delivery of insulin pumps through the Programme has now recommenced. </w:t>
      </w:r>
    </w:p>
    <w:p w:rsidR="005B7A4B" w:rsidRPr="003E1F05" w:rsidRDefault="005B7A4B" w:rsidP="005B7A4B">
      <w:pPr>
        <w:numPr>
          <w:ilvl w:val="0"/>
          <w:numId w:val="35"/>
        </w:numPr>
        <w:shd w:val="clear" w:color="auto" w:fill="F2F2F2" w:themeFill="background1" w:themeFillShade="F2"/>
        <w:ind w:left="425" w:hanging="425"/>
        <w:rPr>
          <w:rFonts w:eastAsia="Calibri"/>
          <w:lang w:eastAsia="en-AU"/>
        </w:rPr>
      </w:pPr>
      <w:r w:rsidRPr="003E1F05">
        <w:rPr>
          <w:rFonts w:eastAsia="Calibri"/>
          <w:lang w:eastAsia="en-AU"/>
        </w:rPr>
        <w:t xml:space="preserve">Data from the NDSS used in the AIHW </w:t>
      </w:r>
      <w:r w:rsidRPr="003E1F05">
        <w:rPr>
          <w:rFonts w:eastAsia="Calibri"/>
          <w:i/>
          <w:lang w:eastAsia="en-AU"/>
        </w:rPr>
        <w:t>Insulin Pump Use in Australia</w:t>
      </w:r>
      <w:r w:rsidRPr="003E1F05">
        <w:rPr>
          <w:rFonts w:eastAsia="Calibri"/>
          <w:lang w:eastAsia="en-AU"/>
        </w:rPr>
        <w:t xml:space="preserve"> (2012) report indicates that there are 9,971 children aged between 0-18 years with type 1 diabetes in Australia. Of these, 3,402 </w:t>
      </w:r>
      <w:proofErr w:type="gramStart"/>
      <w:r w:rsidRPr="003E1F05">
        <w:rPr>
          <w:rFonts w:eastAsia="Calibri"/>
          <w:lang w:eastAsia="en-AU"/>
        </w:rPr>
        <w:t>have been recorded</w:t>
      </w:r>
      <w:proofErr w:type="gramEnd"/>
      <w:r w:rsidRPr="003E1F05">
        <w:rPr>
          <w:rFonts w:eastAsia="Calibri"/>
          <w:lang w:eastAsia="en-AU"/>
        </w:rPr>
        <w:t xml:space="preserve"> as using insulin pump therapy for their form of treatment, which represents 34% uptake.</w:t>
      </w:r>
    </w:p>
    <w:p w:rsidR="005B7A4B" w:rsidRPr="003E1F05" w:rsidRDefault="005B7A4B" w:rsidP="005B7A4B">
      <w:pPr>
        <w:numPr>
          <w:ilvl w:val="0"/>
          <w:numId w:val="35"/>
        </w:numPr>
        <w:shd w:val="clear" w:color="auto" w:fill="F2F2F2" w:themeFill="background1" w:themeFillShade="F2"/>
        <w:ind w:left="425" w:hanging="425"/>
        <w:rPr>
          <w:rFonts w:eastAsia="Calibri"/>
          <w:lang w:eastAsia="en-AU"/>
        </w:rPr>
      </w:pPr>
      <w:r w:rsidRPr="003E1F05">
        <w:rPr>
          <w:rFonts w:eastAsia="Calibri"/>
          <w:lang w:eastAsia="en-AU"/>
        </w:rPr>
        <w:t xml:space="preserve">The </w:t>
      </w:r>
      <w:r w:rsidRPr="003E1F05">
        <w:rPr>
          <w:rFonts w:eastAsia="Calibri"/>
          <w:i/>
          <w:lang w:eastAsia="en-AU"/>
        </w:rPr>
        <w:t>Insulin Pump Use in Australia</w:t>
      </w:r>
      <w:r w:rsidRPr="003E1F05">
        <w:rPr>
          <w:rFonts w:eastAsia="Calibri"/>
          <w:lang w:eastAsia="en-AU"/>
        </w:rPr>
        <w:t xml:space="preserve"> survey indicates that of the 88% of insulin pump users in Australia who received financial assistance to purchase a pump, 3% received funding through the Insulin Pump Programme and 97% received funding through private health insurance (AIHW 2012b).</w:t>
      </w:r>
    </w:p>
    <w:p w:rsidR="005B7A4B" w:rsidRPr="003E1F05" w:rsidRDefault="005B7A4B" w:rsidP="005B7A4B">
      <w:pPr>
        <w:shd w:val="clear" w:color="auto" w:fill="F2F2F2" w:themeFill="background1" w:themeFillShade="F2"/>
        <w:spacing w:after="160"/>
        <w:rPr>
          <w:b/>
          <w:i/>
        </w:rPr>
      </w:pPr>
      <w:r w:rsidRPr="003E1F05">
        <w:rPr>
          <w:b/>
          <w:i/>
        </w:rPr>
        <w:t>Stakeholder input</w:t>
      </w:r>
    </w:p>
    <w:p w:rsidR="005B7A4B" w:rsidRPr="003E1F05" w:rsidRDefault="005B7A4B" w:rsidP="005B7A4B">
      <w:pPr>
        <w:numPr>
          <w:ilvl w:val="0"/>
          <w:numId w:val="23"/>
        </w:numPr>
        <w:shd w:val="clear" w:color="auto" w:fill="F2F2F2" w:themeFill="background1" w:themeFillShade="F2"/>
        <w:spacing w:after="160"/>
        <w:ind w:left="426" w:hanging="426"/>
      </w:pPr>
      <w:r w:rsidRPr="003E1F05">
        <w:rPr>
          <w:rFonts w:asciiTheme="majorHAnsi" w:hAnsiTheme="majorHAnsi"/>
          <w:szCs w:val="24"/>
        </w:rPr>
        <w:t xml:space="preserve">Noting that the </w:t>
      </w:r>
      <w:r w:rsidRPr="003E1F05">
        <w:rPr>
          <w:rFonts w:eastAsia="Calibri"/>
          <w:lang w:eastAsia="en-AU"/>
        </w:rPr>
        <w:t>most important features of an insulin pump may be different for each patient, stakeholders indicated that features such as bolus calculators, dose increments suitable for children, and the ability to download data might have additional advantages for the paediatric population. Stakeholders stated that it is important to have a range of insulin pumps available to suit a range of patients.</w:t>
      </w:r>
    </w:p>
    <w:p w:rsidR="005B7A4B" w:rsidRPr="003E1F05" w:rsidRDefault="005B7A4B" w:rsidP="005B7A4B">
      <w:pPr>
        <w:numPr>
          <w:ilvl w:val="0"/>
          <w:numId w:val="23"/>
        </w:numPr>
        <w:shd w:val="clear" w:color="auto" w:fill="F2F2F2" w:themeFill="background1" w:themeFillShade="F2"/>
        <w:spacing w:after="160"/>
        <w:ind w:left="426" w:hanging="426"/>
      </w:pPr>
      <w:r w:rsidRPr="003E1F05">
        <w:rPr>
          <w:rFonts w:eastAsia="Calibri"/>
          <w:lang w:eastAsia="en-AU"/>
        </w:rPr>
        <w:t xml:space="preserve">New features such as continuous glucose monitoring, including algorithms to detect hypoglycaemia and suspend insulin delivery, may provide additional safety and </w:t>
      </w:r>
      <w:r w:rsidRPr="003E1F05">
        <w:rPr>
          <w:rFonts w:eastAsia="Calibri"/>
          <w:lang w:eastAsia="en-AU"/>
        </w:rPr>
        <w:lastRenderedPageBreak/>
        <w:t xml:space="preserve">efficacy advantages. These technologies </w:t>
      </w:r>
      <w:proofErr w:type="gramStart"/>
      <w:r w:rsidRPr="003E1F05">
        <w:rPr>
          <w:rFonts w:eastAsia="Calibri"/>
          <w:lang w:eastAsia="en-AU"/>
        </w:rPr>
        <w:t>are not currently funded</w:t>
      </w:r>
      <w:proofErr w:type="gramEnd"/>
      <w:r w:rsidRPr="003E1F05">
        <w:rPr>
          <w:rFonts w:eastAsia="Calibri"/>
          <w:lang w:eastAsia="en-AU"/>
        </w:rPr>
        <w:t xml:space="preserve"> through any Australian Government programme and stakeholders advocated for a pathway for the evaluation and funding of new technologies.</w:t>
      </w:r>
    </w:p>
    <w:p w:rsidR="005B7A4B" w:rsidRPr="003E1F05" w:rsidRDefault="005B7A4B" w:rsidP="005B7A4B">
      <w:pPr>
        <w:numPr>
          <w:ilvl w:val="0"/>
          <w:numId w:val="23"/>
        </w:numPr>
        <w:shd w:val="clear" w:color="auto" w:fill="F2F2F2" w:themeFill="background1" w:themeFillShade="F2"/>
        <w:spacing w:after="160"/>
        <w:ind w:left="426" w:hanging="426"/>
      </w:pPr>
      <w:r w:rsidRPr="003E1F05">
        <w:rPr>
          <w:rFonts w:eastAsia="Calibri"/>
          <w:lang w:eastAsia="en-AU"/>
        </w:rPr>
        <w:t>Other factors such as</w:t>
      </w:r>
      <w:r w:rsidRPr="003E1F05">
        <w:t xml:space="preserve"> e</w:t>
      </w:r>
      <w:r w:rsidRPr="003E1F05">
        <w:rPr>
          <w:rFonts w:eastAsia="Calibri"/>
          <w:lang w:eastAsia="en-AU"/>
        </w:rPr>
        <w:t>ase of use, waterproof casing, and calculators for carbohydrate content of common foods, also featured as important to improve the lifestyle benefits of insulin pumps.</w:t>
      </w:r>
    </w:p>
    <w:p w:rsidR="005B7A4B" w:rsidRPr="003E1F05" w:rsidRDefault="005B7A4B" w:rsidP="005B7A4B">
      <w:pPr>
        <w:widowControl w:val="0"/>
        <w:shd w:val="clear" w:color="auto" w:fill="F2F2F2" w:themeFill="background1" w:themeFillShade="F2"/>
        <w:rPr>
          <w:b/>
          <w:i/>
          <w:szCs w:val="24"/>
        </w:rPr>
      </w:pPr>
      <w:r w:rsidRPr="003E1F05">
        <w:rPr>
          <w:b/>
          <w:i/>
          <w:szCs w:val="24"/>
        </w:rPr>
        <w:t>Reference Group input</w:t>
      </w:r>
    </w:p>
    <w:p w:rsidR="005B7A4B" w:rsidRPr="003E1F05" w:rsidRDefault="005B7A4B" w:rsidP="005B7A4B">
      <w:pPr>
        <w:numPr>
          <w:ilvl w:val="0"/>
          <w:numId w:val="52"/>
        </w:numPr>
        <w:shd w:val="clear" w:color="auto" w:fill="F2F2F2" w:themeFill="background1" w:themeFillShade="F2"/>
        <w:spacing w:after="160"/>
        <w:ind w:left="426" w:hanging="426"/>
        <w:rPr>
          <w:szCs w:val="24"/>
        </w:rPr>
      </w:pPr>
      <w:r w:rsidRPr="003E1F05">
        <w:rPr>
          <w:szCs w:val="24"/>
        </w:rPr>
        <w:t xml:space="preserve">Members noted a number of factors that may influence the choice between insulin pump brands, including: colour, size, waterproof casing, ease of use, low dose increments for basal and bolus insulin, continuous glucose monitoring technology, and software algorithms. </w:t>
      </w:r>
    </w:p>
    <w:p w:rsidR="005B7A4B" w:rsidRPr="003E1F05" w:rsidRDefault="005B7A4B" w:rsidP="005B7A4B">
      <w:pPr>
        <w:numPr>
          <w:ilvl w:val="0"/>
          <w:numId w:val="52"/>
        </w:numPr>
        <w:shd w:val="clear" w:color="auto" w:fill="F2F2F2" w:themeFill="background1" w:themeFillShade="F2"/>
        <w:spacing w:after="160"/>
        <w:ind w:left="426" w:hanging="426"/>
        <w:rPr>
          <w:szCs w:val="24"/>
        </w:rPr>
      </w:pPr>
      <w:r w:rsidRPr="003E1F05">
        <w:rPr>
          <w:szCs w:val="24"/>
        </w:rPr>
        <w:t xml:space="preserve">Customer support services offered by the manufacturer were considered </w:t>
      </w:r>
      <w:proofErr w:type="gramStart"/>
      <w:r w:rsidRPr="003E1F05">
        <w:rPr>
          <w:szCs w:val="24"/>
        </w:rPr>
        <w:t>to be essential</w:t>
      </w:r>
      <w:proofErr w:type="gramEnd"/>
      <w:r w:rsidRPr="003E1F05">
        <w:rPr>
          <w:szCs w:val="24"/>
        </w:rPr>
        <w:t xml:space="preserve"> when choosing between insulin pump brands. When insulin pumps fail, some manufacturers will immediately send a replacement pump free of charge or arrange access to another insulin pump whilst waiting for the replacement to arrive. </w:t>
      </w:r>
    </w:p>
    <w:p w:rsidR="005B7A4B" w:rsidRPr="003E1F05" w:rsidRDefault="005B7A4B" w:rsidP="005B7A4B">
      <w:pPr>
        <w:numPr>
          <w:ilvl w:val="0"/>
          <w:numId w:val="52"/>
        </w:numPr>
        <w:shd w:val="clear" w:color="auto" w:fill="F2F2F2" w:themeFill="background1" w:themeFillShade="F2"/>
        <w:spacing w:after="160"/>
        <w:ind w:left="426" w:hanging="426"/>
        <w:rPr>
          <w:szCs w:val="24"/>
        </w:rPr>
      </w:pPr>
      <w:r w:rsidRPr="003E1F05">
        <w:rPr>
          <w:szCs w:val="24"/>
        </w:rPr>
        <w:t xml:space="preserve">Marketing to people with diabetes, diabetes educators and health care professionals, has considerable influence on brand preference and in guiding patient choice. </w:t>
      </w:r>
    </w:p>
    <w:p w:rsidR="005B7A4B" w:rsidRPr="003E1F05" w:rsidRDefault="005B7A4B" w:rsidP="005B7A4B">
      <w:pPr>
        <w:numPr>
          <w:ilvl w:val="0"/>
          <w:numId w:val="52"/>
        </w:numPr>
        <w:shd w:val="clear" w:color="auto" w:fill="F2F2F2" w:themeFill="background1" w:themeFillShade="F2"/>
        <w:spacing w:after="160"/>
        <w:ind w:left="426" w:hanging="426"/>
        <w:rPr>
          <w:szCs w:val="24"/>
        </w:rPr>
      </w:pPr>
      <w:r w:rsidRPr="003E1F05">
        <w:rPr>
          <w:szCs w:val="24"/>
        </w:rPr>
        <w:t xml:space="preserve">Patient factors were noted, such as adolescents being </w:t>
      </w:r>
      <w:proofErr w:type="gramStart"/>
      <w:r w:rsidRPr="003E1F05">
        <w:rPr>
          <w:szCs w:val="24"/>
        </w:rPr>
        <w:t>technologically-savvy</w:t>
      </w:r>
      <w:proofErr w:type="gramEnd"/>
      <w:r w:rsidRPr="003E1F05">
        <w:rPr>
          <w:szCs w:val="24"/>
        </w:rPr>
        <w:t xml:space="preserve">, but not as compliant as adults with following advice. Conversely, adult patients were considered more compliant than adolescents with following </w:t>
      </w:r>
      <w:proofErr w:type="gramStart"/>
      <w:r w:rsidRPr="003E1F05">
        <w:rPr>
          <w:szCs w:val="24"/>
        </w:rPr>
        <w:t>advice</w:t>
      </w:r>
      <w:proofErr w:type="gramEnd"/>
      <w:r w:rsidRPr="003E1F05">
        <w:rPr>
          <w:szCs w:val="24"/>
        </w:rPr>
        <w:t xml:space="preserve">, but found the insulin pump to be more technologically challenging. </w:t>
      </w:r>
    </w:p>
    <w:p w:rsidR="005B7A4B" w:rsidRPr="003E1F05" w:rsidRDefault="005B7A4B" w:rsidP="005B7A4B">
      <w:pPr>
        <w:widowControl w:val="0"/>
        <w:shd w:val="clear" w:color="auto" w:fill="F2F2F2" w:themeFill="background1" w:themeFillShade="F2"/>
        <w:spacing w:after="160"/>
        <w:rPr>
          <w:b/>
          <w:i/>
          <w:szCs w:val="24"/>
        </w:rPr>
      </w:pPr>
      <w:r w:rsidRPr="003E1F05">
        <w:rPr>
          <w:b/>
          <w:i/>
          <w:szCs w:val="24"/>
        </w:rPr>
        <w:t>Issues identified</w:t>
      </w:r>
    </w:p>
    <w:p w:rsidR="005B7A4B" w:rsidRPr="003E1F05" w:rsidRDefault="005B7A4B" w:rsidP="005B7A4B">
      <w:pPr>
        <w:widowControl w:val="0"/>
        <w:numPr>
          <w:ilvl w:val="0"/>
          <w:numId w:val="25"/>
        </w:numPr>
        <w:shd w:val="clear" w:color="auto" w:fill="F2F2F2" w:themeFill="background1" w:themeFillShade="F2"/>
        <w:spacing w:after="160"/>
        <w:ind w:left="425" w:hanging="425"/>
        <w:rPr>
          <w:szCs w:val="24"/>
        </w:rPr>
      </w:pPr>
      <w:r w:rsidRPr="003E1F05">
        <w:rPr>
          <w:szCs w:val="24"/>
        </w:rPr>
        <w:t xml:space="preserve">The current co-payment may be too expensive for many families receiving </w:t>
      </w:r>
      <w:r w:rsidRPr="003E1F05">
        <w:rPr>
          <w:i/>
          <w:szCs w:val="24"/>
        </w:rPr>
        <w:t>Family Tax Benefit Part A</w:t>
      </w:r>
      <w:r w:rsidRPr="003E1F05">
        <w:rPr>
          <w:szCs w:val="24"/>
        </w:rPr>
        <w:t xml:space="preserve"> to afford and it may be less expensive to access an insulin pump through private health insurance.</w:t>
      </w:r>
    </w:p>
    <w:p w:rsidR="005B7A4B" w:rsidRPr="003E1F05" w:rsidRDefault="00AF098B" w:rsidP="005B7A4B">
      <w:pPr>
        <w:widowControl w:val="0"/>
        <w:numPr>
          <w:ilvl w:val="0"/>
          <w:numId w:val="25"/>
        </w:numPr>
        <w:shd w:val="clear" w:color="auto" w:fill="F2F2F2" w:themeFill="background1" w:themeFillShade="F2"/>
        <w:spacing w:after="160"/>
        <w:ind w:left="425" w:hanging="425"/>
        <w:rPr>
          <w:szCs w:val="24"/>
        </w:rPr>
      </w:pPr>
      <w:r w:rsidRPr="003E1F05">
        <w:t xml:space="preserve">The Programme </w:t>
      </w:r>
      <w:r w:rsidR="005B7A4B" w:rsidRPr="003E1F05">
        <w:t xml:space="preserve">supplies insulin pumps that are available on the Prostheses List. This List </w:t>
      </w:r>
      <w:proofErr w:type="gramStart"/>
      <w:r w:rsidR="005B7A4B" w:rsidRPr="003E1F05">
        <w:t>is primarily used</w:t>
      </w:r>
      <w:proofErr w:type="gramEnd"/>
      <w:r w:rsidR="005B7A4B" w:rsidRPr="003E1F05">
        <w:t xml:space="preserve"> for private health insurance purposes and does not consider the requirements of the Programme. Benefit amounts </w:t>
      </w:r>
      <w:proofErr w:type="gramStart"/>
      <w:r w:rsidR="005B7A4B" w:rsidRPr="003E1F05">
        <w:t>are not determined</w:t>
      </w:r>
      <w:proofErr w:type="gramEnd"/>
      <w:r w:rsidR="005B7A4B" w:rsidRPr="003E1F05">
        <w:t xml:space="preserve"> by cost-effectiveness and may not be appropriate for a Government-subsidised scheme.</w:t>
      </w:r>
    </w:p>
    <w:p w:rsidR="005B7A4B" w:rsidRPr="00D52454" w:rsidRDefault="005B7A4B" w:rsidP="005B7A4B">
      <w:pPr>
        <w:pStyle w:val="Heading2"/>
      </w:pPr>
      <w:bookmarkStart w:id="185" w:name="_Toc373482074"/>
      <w:bookmarkStart w:id="186" w:name="_Toc375212113"/>
      <w:bookmarkStart w:id="187" w:name="_Toc381090941"/>
      <w:bookmarkStart w:id="188" w:name="_Toc387664342"/>
      <w:r w:rsidRPr="00D52454">
        <w:t>5.2</w:t>
      </w:r>
      <w:r w:rsidRPr="00D52454">
        <w:tab/>
        <w:t>Introduction</w:t>
      </w:r>
      <w:bookmarkEnd w:id="185"/>
      <w:bookmarkEnd w:id="186"/>
      <w:bookmarkEnd w:id="187"/>
      <w:bookmarkEnd w:id="188"/>
    </w:p>
    <w:p w:rsidR="005B7A4B" w:rsidRPr="003E1F05" w:rsidRDefault="005B7A4B" w:rsidP="005B7A4B">
      <w:pPr>
        <w:rPr>
          <w:rFonts w:eastAsia="Calibri"/>
        </w:rPr>
      </w:pPr>
      <w:r w:rsidRPr="003E1F05">
        <w:rPr>
          <w:rFonts w:eastAsia="Calibri"/>
        </w:rPr>
        <w:t>In this section, the aim is to assess the costs of insulin pump therapy for pumps available through the Insulin Pump Programme, and investigate the difference, if any, in their effectiveness. This section also looks at the utilisation of insulin pumps supplied under the Programme and the demographics of the recipients.</w:t>
      </w:r>
    </w:p>
    <w:p w:rsidR="005B7A4B" w:rsidRPr="003E1F05" w:rsidRDefault="005B7A4B" w:rsidP="005B7A4B">
      <w:pPr>
        <w:rPr>
          <w:rFonts w:eastAsia="Calibri"/>
        </w:rPr>
      </w:pPr>
      <w:r w:rsidRPr="003E1F05">
        <w:rPr>
          <w:rFonts w:eastAsia="Calibri"/>
        </w:rPr>
        <w:lastRenderedPageBreak/>
        <w:t xml:space="preserve">Further background about the Insulin Pump Programme </w:t>
      </w:r>
      <w:proofErr w:type="gramStart"/>
      <w:r w:rsidRPr="003E1F05">
        <w:rPr>
          <w:rFonts w:eastAsia="Calibri"/>
        </w:rPr>
        <w:t>is detailed</w:t>
      </w:r>
      <w:proofErr w:type="gramEnd"/>
      <w:r w:rsidRPr="003E1F05">
        <w:rPr>
          <w:rFonts w:eastAsia="Calibri"/>
        </w:rPr>
        <w:t xml:space="preserve"> in </w:t>
      </w:r>
      <w:hyperlink w:anchor="_2.7_Type_1" w:history="1">
        <w:r w:rsidRPr="003E1F05">
          <w:rPr>
            <w:rFonts w:eastAsia="Calibri"/>
            <w:u w:val="single"/>
          </w:rPr>
          <w:t>Part 2.7</w:t>
        </w:r>
      </w:hyperlink>
      <w:r w:rsidRPr="003E1F05">
        <w:rPr>
          <w:rFonts w:eastAsia="Calibri"/>
        </w:rPr>
        <w:t>.</w:t>
      </w:r>
    </w:p>
    <w:p w:rsidR="005B7A4B" w:rsidRPr="00D52454" w:rsidRDefault="005B7A4B" w:rsidP="00AF098B">
      <w:pPr>
        <w:pStyle w:val="Heading2"/>
        <w:keepNext/>
        <w:keepLines/>
      </w:pPr>
      <w:bookmarkStart w:id="189" w:name="_Table_1._Insulin"/>
      <w:bookmarkStart w:id="190" w:name="_Toc373482083"/>
      <w:bookmarkStart w:id="191" w:name="_Toc375212114"/>
      <w:bookmarkStart w:id="192" w:name="_Toc381090942"/>
      <w:bookmarkStart w:id="193" w:name="_Toc387664343"/>
      <w:bookmarkEnd w:id="189"/>
      <w:r w:rsidRPr="00D52454">
        <w:t>5.3</w:t>
      </w:r>
      <w:r w:rsidRPr="00D52454">
        <w:tab/>
        <w:t xml:space="preserve">Effectiveness of insulin pumps available under the Insulin Pump </w:t>
      </w:r>
      <w:proofErr w:type="spellStart"/>
      <w:r w:rsidRPr="00D52454">
        <w:t>Programme</w:t>
      </w:r>
      <w:bookmarkEnd w:id="190"/>
      <w:bookmarkEnd w:id="191"/>
      <w:bookmarkEnd w:id="192"/>
      <w:bookmarkEnd w:id="193"/>
      <w:proofErr w:type="spellEnd"/>
    </w:p>
    <w:p w:rsidR="005B7A4B" w:rsidRPr="00787F54" w:rsidRDefault="005B7A4B" w:rsidP="00AF098B">
      <w:pPr>
        <w:pStyle w:val="Heading3"/>
        <w:keepLines/>
      </w:pPr>
      <w:bookmarkStart w:id="194" w:name="_Toc373482084"/>
      <w:r w:rsidRPr="00787F54">
        <w:t>5.3.1</w:t>
      </w:r>
      <w:r w:rsidRPr="00787F54">
        <w:tab/>
        <w:t>First literature review: RCTs of insulin pump comparisons</w:t>
      </w:r>
      <w:bookmarkEnd w:id="194"/>
    </w:p>
    <w:p w:rsidR="005B7A4B" w:rsidRPr="00787F54" w:rsidRDefault="005B7A4B" w:rsidP="00AF098B">
      <w:pPr>
        <w:pStyle w:val="Heading5"/>
        <w:keepNext/>
        <w:keepLines/>
      </w:pPr>
      <w:r w:rsidRPr="00787F54">
        <w:t>What is the evidence for the impact of different types of continuous subcutaneous insulin infusion systems on outcomes?</w:t>
      </w:r>
    </w:p>
    <w:p w:rsidR="005B7A4B" w:rsidRPr="003E1F05" w:rsidRDefault="005B7A4B" w:rsidP="00AF098B">
      <w:pPr>
        <w:keepNext/>
        <w:keepLines/>
      </w:pPr>
      <w:r w:rsidRPr="003E1F05">
        <w:t xml:space="preserve">None of the RCTs directly compared different insulin pumps. The type of insulin pump </w:t>
      </w:r>
      <w:proofErr w:type="gramStart"/>
      <w:r w:rsidRPr="003E1F05">
        <w:t>has not been considered</w:t>
      </w:r>
      <w:proofErr w:type="gramEnd"/>
      <w:r w:rsidRPr="003E1F05">
        <w:t xml:space="preserve"> as a factor for sub-group or sensitivity analysis in systematic reviews. </w:t>
      </w:r>
      <w:proofErr w:type="gramStart"/>
      <w:r w:rsidRPr="003E1F05">
        <w:t>A range of insulin pumps have</w:t>
      </w:r>
      <w:proofErr w:type="gramEnd"/>
      <w:r w:rsidRPr="003E1F05">
        <w:t xml:space="preserve"> been used in RCTs. In the 21 RCTs performed between 2000 and 2011, the most frequently used insulin pumps were the </w:t>
      </w:r>
      <w:proofErr w:type="spellStart"/>
      <w:r w:rsidRPr="003E1F05">
        <w:t>MiniMed</w:t>
      </w:r>
      <w:proofErr w:type="spellEnd"/>
      <w:r w:rsidRPr="003E1F05">
        <w:t xml:space="preserve"> 508 and </w:t>
      </w:r>
      <w:proofErr w:type="spellStart"/>
      <w:r w:rsidRPr="003E1F05">
        <w:t>Disetronic</w:t>
      </w:r>
      <w:proofErr w:type="spellEnd"/>
      <w:r w:rsidRPr="003E1F05">
        <w:t xml:space="preserve"> H-TRON, neither of which </w:t>
      </w:r>
      <w:proofErr w:type="gramStart"/>
      <w:r w:rsidRPr="003E1F05">
        <w:t>are</w:t>
      </w:r>
      <w:proofErr w:type="gramEnd"/>
      <w:r w:rsidRPr="003E1F05">
        <w:t xml:space="preserve"> currently available under the Programme. The effectiveness of the newest insulin pumps that involve real-time continuous glucose monitoring in sensor-augmented insulin pumps </w:t>
      </w:r>
      <w:proofErr w:type="gramStart"/>
      <w:r w:rsidRPr="003E1F05">
        <w:t>has not been reviewed</w:t>
      </w:r>
      <w:proofErr w:type="gramEnd"/>
      <w:r w:rsidRPr="003E1F05">
        <w:t xml:space="preserve"> in this report as it is beyond the scope of the Review and is not currently funded under private hospital cover.</w:t>
      </w:r>
    </w:p>
    <w:p w:rsidR="005B7A4B" w:rsidRPr="003E1F05" w:rsidRDefault="005B7A4B" w:rsidP="005B7A4B">
      <w:pPr>
        <w:rPr>
          <w:rFonts w:eastAsia="Calibri"/>
        </w:rPr>
      </w:pPr>
      <w:r w:rsidRPr="003E1F05">
        <w:rPr>
          <w:rFonts w:eastAsia="Calibri"/>
        </w:rPr>
        <w:t xml:space="preserve">The difference in effectiveness between insulin pumps </w:t>
      </w:r>
      <w:proofErr w:type="gramStart"/>
      <w:r w:rsidRPr="003E1F05">
        <w:rPr>
          <w:rFonts w:eastAsia="Calibri"/>
        </w:rPr>
        <w:t>has not been assessed</w:t>
      </w:r>
      <w:proofErr w:type="gramEnd"/>
      <w:r w:rsidRPr="003E1F05">
        <w:rPr>
          <w:rFonts w:eastAsia="Calibri"/>
        </w:rPr>
        <w:t xml:space="preserve">, as there is no literature analysing the differences between the insulin pumps available. There is no evidence available to suggest that one brand of insulin pump is superior to another listed on the Prostheses List or the ARTG, and subsequently those pumps available through the Programme. No trial or observational evidence </w:t>
      </w:r>
      <w:proofErr w:type="gramStart"/>
      <w:r w:rsidRPr="003E1F05">
        <w:rPr>
          <w:rFonts w:eastAsia="Calibri"/>
        </w:rPr>
        <w:t>was brought</w:t>
      </w:r>
      <w:proofErr w:type="gramEnd"/>
      <w:r w:rsidRPr="003E1F05">
        <w:rPr>
          <w:rFonts w:eastAsia="Calibri"/>
        </w:rPr>
        <w:t xml:space="preserve"> forward through the public consultation process by stakeholders to demonstrate any difference in effectiveness between insulin pump brands.</w:t>
      </w:r>
    </w:p>
    <w:p w:rsidR="005B7A4B" w:rsidRPr="003E1F05" w:rsidRDefault="005B7A4B" w:rsidP="005B7A4B">
      <w:pPr>
        <w:spacing w:after="120"/>
        <w:rPr>
          <w:rFonts w:eastAsia="Calibri"/>
        </w:rPr>
      </w:pPr>
      <w:r w:rsidRPr="003E1F05">
        <w:rPr>
          <w:rFonts w:eastAsia="Calibri"/>
        </w:rPr>
        <w:t xml:space="preserve">The evidence examining the use of different bolus types to reduce postprandial hyperglycaemia (e.g. single short bolus, two boluses, delayed or square bolus, and combination or dual wave bolus) is limited to a small number of studies, most of which have shortcomings in study design. These studies indicate that postprandial glycaemia </w:t>
      </w:r>
      <w:proofErr w:type="gramStart"/>
      <w:r w:rsidRPr="003E1F05">
        <w:rPr>
          <w:rFonts w:eastAsia="Calibri"/>
        </w:rPr>
        <w:t>is controlled</w:t>
      </w:r>
      <w:proofErr w:type="gramEnd"/>
      <w:r w:rsidRPr="003E1F05">
        <w:rPr>
          <w:rFonts w:eastAsia="Calibri"/>
        </w:rPr>
        <w:t xml:space="preserve"> best by use of a combination bolus for high fat meals that may delay glucose absorption in the gastrointestinal tract</w:t>
      </w:r>
      <w:r w:rsidR="00A515D3" w:rsidRPr="003E1F05">
        <w:rPr>
          <w:rFonts w:eastAsia="Calibri"/>
        </w:rPr>
        <w:t>,</w:t>
      </w:r>
      <w:r w:rsidRPr="003E1F05">
        <w:rPr>
          <w:rFonts w:eastAsia="Calibri"/>
        </w:rPr>
        <w:t xml:space="preserve"> and low glycaemic index meals. High glycaemic index meals </w:t>
      </w:r>
      <w:proofErr w:type="gramStart"/>
      <w:r w:rsidRPr="003E1F05">
        <w:rPr>
          <w:rFonts w:eastAsia="Calibri"/>
        </w:rPr>
        <w:t>were shown</w:t>
      </w:r>
      <w:proofErr w:type="gramEnd"/>
      <w:r w:rsidRPr="003E1F05">
        <w:rPr>
          <w:rFonts w:eastAsia="Calibri"/>
        </w:rPr>
        <w:t xml:space="preserve"> in one study to cause significant postprandial glycaemic excursions irrespective of bolus type (Heinemann 2009). The results of these studies </w:t>
      </w:r>
      <w:proofErr w:type="gramStart"/>
      <w:r w:rsidRPr="003E1F05">
        <w:rPr>
          <w:rFonts w:eastAsia="Calibri"/>
        </w:rPr>
        <w:t>should be interpreted</w:t>
      </w:r>
      <w:proofErr w:type="gramEnd"/>
      <w:r w:rsidRPr="003E1F05">
        <w:rPr>
          <w:rFonts w:eastAsia="Calibri"/>
        </w:rPr>
        <w:t xml:space="preserve"> cautiously; however, the ability to provide a combination bolus may be a useful feature of insulin pumps.</w:t>
      </w:r>
    </w:p>
    <w:p w:rsidR="005B7A4B" w:rsidRPr="003E1F05" w:rsidRDefault="005B7A4B" w:rsidP="005B7A4B">
      <w:pPr>
        <w:spacing w:after="120"/>
        <w:rPr>
          <w:rFonts w:eastAsia="Calibri"/>
        </w:rPr>
      </w:pPr>
      <w:r w:rsidRPr="003E1F05">
        <w:rPr>
          <w:rFonts w:eastAsia="Calibri"/>
        </w:rPr>
        <w:t xml:space="preserve">It is traditionally the role of the patient or guardian and a diabetes health professional to make the decision on which brand or type of insulin pump to choose based on information provided by the manufacturer (Diabetes Queensland 2009). </w:t>
      </w:r>
      <w:hyperlink w:anchor="_Appendix_A_-" w:history="1">
        <w:r w:rsidRPr="003E1F05">
          <w:rPr>
            <w:rStyle w:val="Hyperlink"/>
            <w:rFonts w:eastAsia="Calibri"/>
            <w:color w:val="auto"/>
          </w:rPr>
          <w:t>Appendix A</w:t>
        </w:r>
      </w:hyperlink>
      <w:r w:rsidRPr="003E1F05">
        <w:rPr>
          <w:rFonts w:eastAsia="Calibri"/>
        </w:rPr>
        <w:t xml:space="preserve"> compares the different features of insulin pumps available on the Prostheses List. The </w:t>
      </w:r>
      <w:proofErr w:type="spellStart"/>
      <w:r w:rsidRPr="003E1F05">
        <w:rPr>
          <w:rFonts w:eastAsia="Calibri"/>
        </w:rPr>
        <w:t>Insulet</w:t>
      </w:r>
      <w:proofErr w:type="spellEnd"/>
      <w:r w:rsidRPr="003E1F05">
        <w:rPr>
          <w:rFonts w:eastAsia="Calibri"/>
        </w:rPr>
        <w:t xml:space="preserve"> </w:t>
      </w:r>
      <w:proofErr w:type="spellStart"/>
      <w:r w:rsidRPr="003E1F05">
        <w:rPr>
          <w:rFonts w:eastAsia="Calibri"/>
        </w:rPr>
        <w:t>OmniPod</w:t>
      </w:r>
      <w:proofErr w:type="spellEnd"/>
      <w:r w:rsidRPr="003E1F05">
        <w:rPr>
          <w:rFonts w:eastAsia="Calibri"/>
        </w:rPr>
        <w:t xml:space="preserve"> is </w:t>
      </w:r>
      <w:proofErr w:type="gramStart"/>
      <w:r w:rsidRPr="003E1F05">
        <w:rPr>
          <w:rFonts w:eastAsia="Calibri"/>
        </w:rPr>
        <w:t>excluded</w:t>
      </w:r>
      <w:proofErr w:type="gramEnd"/>
      <w:r w:rsidRPr="003E1F05">
        <w:rPr>
          <w:rFonts w:eastAsia="Calibri"/>
        </w:rPr>
        <w:t xml:space="preserve"> as it is not on the Prostheses List and is not funded under the Programme. The appendix does not include information on efficacy of the pumps for improving glycaemic control or quality of life. </w:t>
      </w:r>
    </w:p>
    <w:p w:rsidR="005B7A4B" w:rsidRPr="00D52454" w:rsidRDefault="005B7A4B" w:rsidP="00A515D3">
      <w:pPr>
        <w:pStyle w:val="Heading2"/>
        <w:keepNext/>
        <w:keepLines/>
      </w:pPr>
      <w:bookmarkStart w:id="195" w:name="_Toc373482086"/>
      <w:bookmarkStart w:id="196" w:name="_Toc375212115"/>
      <w:bookmarkStart w:id="197" w:name="_Toc381090943"/>
      <w:bookmarkStart w:id="198" w:name="_Toc387664344"/>
      <w:r w:rsidRPr="00D52454">
        <w:lastRenderedPageBreak/>
        <w:t>5.4</w:t>
      </w:r>
      <w:r w:rsidRPr="00D52454">
        <w:tab/>
        <w:t>Cost of insulin pump therapy</w:t>
      </w:r>
      <w:bookmarkEnd w:id="195"/>
      <w:bookmarkEnd w:id="196"/>
      <w:bookmarkEnd w:id="197"/>
      <w:bookmarkEnd w:id="198"/>
    </w:p>
    <w:p w:rsidR="005B7A4B" w:rsidRPr="003E1F05" w:rsidRDefault="005B7A4B" w:rsidP="00A515D3">
      <w:pPr>
        <w:keepNext/>
        <w:keepLines/>
        <w:autoSpaceDE w:val="0"/>
        <w:autoSpaceDN w:val="0"/>
        <w:adjustRightInd w:val="0"/>
        <w:rPr>
          <w:rFonts w:eastAsia="Calibri"/>
          <w:szCs w:val="24"/>
          <w:u w:val="single"/>
        </w:rPr>
      </w:pPr>
      <w:r w:rsidRPr="003E1F05">
        <w:rPr>
          <w:rFonts w:eastAsia="Calibri"/>
          <w:szCs w:val="24"/>
        </w:rPr>
        <w:t xml:space="preserve">In Australia, there are different pathways for obtaining funding for an insulin pump. Low-income families with children under 18 years of age are eligible for subsidy under the Insulin Pump Programme, while those with an appropriate level of health insurance can claim a benefit for the cost of an insulin pump. Further information about the costs of the Programme, including co-payment arrangements </w:t>
      </w:r>
      <w:proofErr w:type="gramStart"/>
      <w:r w:rsidRPr="003E1F05">
        <w:rPr>
          <w:rFonts w:eastAsia="Calibri"/>
          <w:szCs w:val="24"/>
        </w:rPr>
        <w:t>are detailed</w:t>
      </w:r>
      <w:proofErr w:type="gramEnd"/>
      <w:r w:rsidRPr="003E1F05">
        <w:rPr>
          <w:rFonts w:eastAsia="Calibri"/>
          <w:szCs w:val="24"/>
        </w:rPr>
        <w:t xml:space="preserve"> in </w:t>
      </w:r>
      <w:hyperlink w:anchor="_2.7_Type_1" w:history="1">
        <w:r w:rsidRPr="003E1F05">
          <w:rPr>
            <w:rFonts w:eastAsia="Calibri"/>
            <w:szCs w:val="24"/>
            <w:u w:val="single"/>
          </w:rPr>
          <w:t>Part 2.7</w:t>
        </w:r>
      </w:hyperlink>
      <w:r w:rsidRPr="003E1F05">
        <w:rPr>
          <w:rFonts w:eastAsia="Calibri"/>
          <w:szCs w:val="24"/>
          <w:u w:val="single"/>
        </w:rPr>
        <w:t>.</w:t>
      </w:r>
    </w:p>
    <w:p w:rsidR="005B7A4B" w:rsidRPr="003E1F05" w:rsidRDefault="005B7A4B" w:rsidP="005B7A4B">
      <w:pPr>
        <w:keepNext/>
        <w:keepLines/>
        <w:autoSpaceDE w:val="0"/>
        <w:autoSpaceDN w:val="0"/>
        <w:adjustRightInd w:val="0"/>
        <w:rPr>
          <w:rFonts w:eastAsia="Calibri"/>
          <w:szCs w:val="24"/>
        </w:rPr>
      </w:pPr>
      <w:r w:rsidRPr="003E1F05">
        <w:rPr>
          <w:szCs w:val="24"/>
        </w:rPr>
        <w:t xml:space="preserve">The benefit prices of the insulin pumps available under the Prostheses List range from $4,000 to $9,500. These benefit amounts are approximately market value, and </w:t>
      </w:r>
      <w:proofErr w:type="gramStart"/>
      <w:r w:rsidRPr="003E1F05">
        <w:rPr>
          <w:szCs w:val="24"/>
        </w:rPr>
        <w:t>have been negotiated</w:t>
      </w:r>
      <w:proofErr w:type="gramEnd"/>
      <w:r w:rsidRPr="003E1F05">
        <w:rPr>
          <w:szCs w:val="24"/>
        </w:rPr>
        <w:t xml:space="preserve"> between the manufacturer and the insurer, mediated by the Department.</w:t>
      </w:r>
    </w:p>
    <w:p w:rsidR="005B7A4B" w:rsidRPr="003E1F05" w:rsidRDefault="005B7A4B" w:rsidP="005B7A4B">
      <w:pPr>
        <w:autoSpaceDE w:val="0"/>
        <w:autoSpaceDN w:val="0"/>
        <w:adjustRightInd w:val="0"/>
        <w:rPr>
          <w:szCs w:val="24"/>
        </w:rPr>
      </w:pPr>
      <w:r w:rsidRPr="003E1F05">
        <w:t>On 18 October 2013, the Australian Government provided an additional $870,400 in Programme funding for 2013</w:t>
      </w:r>
      <w:r w:rsidRPr="003E1F05">
        <w:noBreakHyphen/>
        <w:t>14, to clear the waiting list of up to 136 families waiting to have their application processed. Programme funding now totals $6.97 million over four years from 2012-13 to 2015-16.</w:t>
      </w:r>
    </w:p>
    <w:p w:rsidR="005B7A4B" w:rsidRPr="00787F54" w:rsidRDefault="005B7A4B" w:rsidP="005B7A4B">
      <w:pPr>
        <w:pStyle w:val="Heading3"/>
      </w:pPr>
      <w:bookmarkStart w:id="199" w:name="_Toc373482088"/>
      <w:r w:rsidRPr="00787F54">
        <w:t>5.4.1</w:t>
      </w:r>
      <w:r w:rsidRPr="00787F54">
        <w:tab/>
        <w:t>Costs of consumables supplied under the NDSS</w:t>
      </w:r>
      <w:bookmarkEnd w:id="199"/>
    </w:p>
    <w:p w:rsidR="005B7A4B" w:rsidRPr="003E1F05" w:rsidRDefault="005B7A4B" w:rsidP="005B7A4B">
      <w:pPr>
        <w:rPr>
          <w:rFonts w:eastAsia="Calibri" w:cs="Cambria"/>
          <w:szCs w:val="24"/>
        </w:rPr>
      </w:pPr>
      <w:r w:rsidRPr="003E1F05">
        <w:rPr>
          <w:rFonts w:eastAsia="Calibri"/>
        </w:rPr>
        <w:t>The Australian Government subsidises diabetes products, including insulin pump consumables, for people with diabetes through the NDSS</w:t>
      </w:r>
      <w:r w:rsidRPr="003E1F05">
        <w:rPr>
          <w:rFonts w:eastAsia="Calibri" w:cs="Cambria"/>
          <w:szCs w:val="24"/>
        </w:rPr>
        <w:t xml:space="preserve">. Consumables include reservoirs, cartridges, cannulas, and tubing lines. </w:t>
      </w:r>
    </w:p>
    <w:p w:rsidR="005B7A4B" w:rsidRPr="003E1F05" w:rsidRDefault="005B7A4B" w:rsidP="005B7A4B">
      <w:pPr>
        <w:rPr>
          <w:rFonts w:eastAsia="Calibri" w:cs="Cambria"/>
          <w:szCs w:val="24"/>
        </w:rPr>
      </w:pPr>
      <w:r w:rsidRPr="003E1F05">
        <w:rPr>
          <w:rFonts w:eastAsia="Calibri" w:cs="Cambria"/>
          <w:szCs w:val="24"/>
        </w:rPr>
        <w:t xml:space="preserve">Diabetes Australia administers the NDSS on behalf of the Australian Government. The Department manages the product listings process, including the NDSS current product schedules, which </w:t>
      </w:r>
      <w:proofErr w:type="gramStart"/>
      <w:r w:rsidRPr="003E1F05">
        <w:rPr>
          <w:rFonts w:eastAsia="Calibri" w:cs="Cambria"/>
          <w:szCs w:val="24"/>
        </w:rPr>
        <w:t>are provided</w:t>
      </w:r>
      <w:proofErr w:type="gramEnd"/>
      <w:r w:rsidRPr="003E1F05">
        <w:rPr>
          <w:rFonts w:eastAsia="Calibri" w:cs="Cambria"/>
          <w:szCs w:val="24"/>
        </w:rPr>
        <w:t xml:space="preserve"> to Diabetes Australia on a monthly basis. </w:t>
      </w:r>
    </w:p>
    <w:p w:rsidR="005B7A4B" w:rsidRPr="003E1F05" w:rsidRDefault="005B7A4B" w:rsidP="005B7A4B">
      <w:pPr>
        <w:keepNext/>
        <w:keepLines/>
        <w:rPr>
          <w:rFonts w:eastAsia="Calibri"/>
        </w:rPr>
      </w:pPr>
      <w:r w:rsidRPr="003E1F05">
        <w:rPr>
          <w:rFonts w:eastAsia="Calibri"/>
        </w:rPr>
        <w:t xml:space="preserve">It </w:t>
      </w:r>
      <w:proofErr w:type="gramStart"/>
      <w:r w:rsidRPr="003E1F05">
        <w:rPr>
          <w:rFonts w:eastAsia="Calibri"/>
        </w:rPr>
        <w:t>should be noted</w:t>
      </w:r>
      <w:proofErr w:type="gramEnd"/>
      <w:r w:rsidRPr="003E1F05">
        <w:rPr>
          <w:rFonts w:eastAsia="Calibri"/>
        </w:rPr>
        <w:t xml:space="preserve"> that insulin pump therapy is more costly than multiple daily injections, including the ongoing costs of consumables (Cohen </w:t>
      </w:r>
      <w:r w:rsidRPr="003E1F05">
        <w:rPr>
          <w:rFonts w:eastAsia="Calibri"/>
          <w:i/>
        </w:rPr>
        <w:t>et al</w:t>
      </w:r>
      <w:r w:rsidRPr="003E1F05">
        <w:rPr>
          <w:rFonts w:eastAsia="Calibri"/>
        </w:rPr>
        <w:t xml:space="preserve">. 2007). This is the case for both Government and patients. </w:t>
      </w:r>
      <w:r w:rsidRPr="003E1F05">
        <w:rPr>
          <w:rFonts w:eastAsia="Calibri"/>
          <w:lang w:eastAsia="en-AU"/>
        </w:rPr>
        <w:t xml:space="preserve">According to the AIHW </w:t>
      </w:r>
      <w:r w:rsidRPr="003E1F05">
        <w:rPr>
          <w:rFonts w:eastAsia="Calibri"/>
          <w:i/>
          <w:lang w:eastAsia="en-AU"/>
        </w:rPr>
        <w:t xml:space="preserve">Insulin pump use in Australia </w:t>
      </w:r>
      <w:r w:rsidRPr="003E1F05">
        <w:rPr>
          <w:rFonts w:eastAsia="Calibri"/>
          <w:lang w:eastAsia="en-AU"/>
        </w:rPr>
        <w:t xml:space="preserve">(2012b) report, on average, patient expenditure on consumables was $29 per month in 2010–11 for those using insulin pump therapy, compared with $6 per month for injection </w:t>
      </w:r>
      <w:proofErr w:type="gramStart"/>
      <w:r w:rsidRPr="003E1F05">
        <w:rPr>
          <w:rFonts w:eastAsia="Calibri"/>
          <w:lang w:eastAsia="en-AU"/>
        </w:rPr>
        <w:t>therapy.</w:t>
      </w:r>
      <w:proofErr w:type="gramEnd"/>
    </w:p>
    <w:p w:rsidR="005B7A4B" w:rsidRPr="003E1F05" w:rsidRDefault="005B7A4B" w:rsidP="005B7A4B">
      <w:r w:rsidRPr="003E1F05">
        <w:t xml:space="preserve">With regard to the Insulin Pump Programme, the funding required for consumables increases each year as the Programme continues to provide funding for consumables for people who have received a pump under the Programme for the life of the insulin pump. In the first year of the Programme (2008-09), $989,000 (GST exclusive) </w:t>
      </w:r>
      <w:proofErr w:type="gramStart"/>
      <w:r w:rsidRPr="003E1F05">
        <w:t>was allocated</w:t>
      </w:r>
      <w:proofErr w:type="gramEnd"/>
      <w:r w:rsidRPr="003E1F05">
        <w:t xml:space="preserve"> for consumables, while in year four (2011-12), $1,569,000 (GST exclusive) was allocated for consumables.</w:t>
      </w:r>
    </w:p>
    <w:p w:rsidR="005B7A4B" w:rsidRPr="003E1F05" w:rsidRDefault="005B7A4B" w:rsidP="005B7A4B">
      <w:pPr>
        <w:rPr>
          <w:rFonts w:eastAsia="Calibri" w:cs="Cambria"/>
          <w:szCs w:val="24"/>
          <w:u w:val="single"/>
        </w:rPr>
      </w:pPr>
      <w:r w:rsidRPr="003E1F05">
        <w:rPr>
          <w:rFonts w:eastAsia="Calibri" w:cs="Cambria"/>
          <w:szCs w:val="24"/>
        </w:rPr>
        <w:t xml:space="preserve">Suppliers and manufacturers supply products to the NDSS at benchmarked prices. The prices </w:t>
      </w:r>
      <w:proofErr w:type="gramStart"/>
      <w:r w:rsidRPr="003E1F05">
        <w:rPr>
          <w:rFonts w:eastAsia="Calibri" w:cs="Cambria"/>
          <w:szCs w:val="24"/>
        </w:rPr>
        <w:t>are based</w:t>
      </w:r>
      <w:proofErr w:type="gramEnd"/>
      <w:r w:rsidRPr="003E1F05">
        <w:rPr>
          <w:rFonts w:eastAsia="Calibri" w:cs="Cambria"/>
          <w:szCs w:val="24"/>
        </w:rPr>
        <w:t xml:space="preserve"> on standard supply quantities. NDSS registrants pay a co-payment amount and the Government pays the remainder. </w:t>
      </w:r>
      <w:r w:rsidRPr="003E1F05">
        <w:rPr>
          <w:rFonts w:eastAsia="Calibri" w:cs="Cambria"/>
          <w:szCs w:val="24"/>
          <w:u w:val="single"/>
        </w:rPr>
        <w:t>Table 2</w:t>
      </w:r>
      <w:r w:rsidRPr="003E1F05">
        <w:rPr>
          <w:rFonts w:eastAsia="Calibri" w:cs="Cambria"/>
          <w:szCs w:val="24"/>
        </w:rPr>
        <w:t xml:space="preserve"> details the NDSS benchmarked prices and co-payment amounts for insulin pump consumables. The Government also pays a Product Supply and Delivery fee for each dispensing of a </w:t>
      </w:r>
      <w:r w:rsidRPr="003E1F05">
        <w:rPr>
          <w:rFonts w:eastAsia="Calibri" w:cs="Cambria"/>
          <w:szCs w:val="24"/>
        </w:rPr>
        <w:lastRenderedPageBreak/>
        <w:t xml:space="preserve">consumable of $5.10 (value for 2014). The co-payment and Product Supply and Delivery fee </w:t>
      </w:r>
      <w:proofErr w:type="gramStart"/>
      <w:r w:rsidRPr="003E1F05">
        <w:rPr>
          <w:rFonts w:eastAsia="Calibri" w:cs="Cambria"/>
          <w:szCs w:val="24"/>
        </w:rPr>
        <w:t>are indexed</w:t>
      </w:r>
      <w:proofErr w:type="gramEnd"/>
      <w:r w:rsidRPr="003E1F05">
        <w:rPr>
          <w:rFonts w:eastAsia="Calibri" w:cs="Cambria"/>
          <w:szCs w:val="24"/>
        </w:rPr>
        <w:t xml:space="preserve"> each year on 1 January.</w:t>
      </w:r>
    </w:p>
    <w:p w:rsidR="005B7A4B" w:rsidRPr="003E1F05" w:rsidRDefault="005B7A4B" w:rsidP="005B7A4B">
      <w:pPr>
        <w:rPr>
          <w:rFonts w:eastAsia="Calibri" w:cs="Cambria"/>
          <w:szCs w:val="24"/>
        </w:rPr>
      </w:pPr>
      <w:r w:rsidRPr="003E1F05">
        <w:rPr>
          <w:rFonts w:eastAsia="Calibri" w:cs="Cambria"/>
          <w:szCs w:val="24"/>
        </w:rPr>
        <w:t xml:space="preserve">Infusion sets and reservoirs/cartridges are replaced approximately every three days and come in packs of 10, i.e. around a 30 day supply. On average, consumers use 12.17 packs per annum of infusion sets and reservoirs/cartridges (NDSS data). </w:t>
      </w:r>
    </w:p>
    <w:p w:rsidR="005B7A4B" w:rsidRPr="003E1F05" w:rsidRDefault="005B7A4B" w:rsidP="005B7A4B">
      <w:pPr>
        <w:rPr>
          <w:rFonts w:eastAsia="Calibri" w:cs="Cambria"/>
          <w:szCs w:val="24"/>
        </w:rPr>
      </w:pPr>
      <w:r w:rsidRPr="003E1F05">
        <w:rPr>
          <w:rFonts w:eastAsia="Calibri" w:cs="Cambria"/>
          <w:szCs w:val="24"/>
          <w:u w:val="single"/>
        </w:rPr>
        <w:t>Table 3</w:t>
      </w:r>
      <w:r w:rsidRPr="003E1F05">
        <w:rPr>
          <w:rFonts w:eastAsia="Calibri" w:cs="Cambria"/>
          <w:szCs w:val="24"/>
        </w:rPr>
        <w:t xml:space="preserve"> examines the estimated costs of insulin pump consumables to consumers and Government, annually, over a four-year period from 2012-13 to 2015-16. On average, consumers currently pay around $316 per annum for insulin pump consumables and the Government pays $2094 per annum. Insulin </w:t>
      </w:r>
      <w:proofErr w:type="gramStart"/>
      <w:r w:rsidRPr="003E1F05">
        <w:rPr>
          <w:rFonts w:eastAsia="Calibri" w:cs="Cambria"/>
          <w:szCs w:val="24"/>
        </w:rPr>
        <w:t>was not considered</w:t>
      </w:r>
      <w:proofErr w:type="gramEnd"/>
      <w:r w:rsidRPr="003E1F05">
        <w:rPr>
          <w:rFonts w:eastAsia="Calibri" w:cs="Cambria"/>
          <w:szCs w:val="24"/>
        </w:rPr>
        <w:t xml:space="preserve"> in this cost model. </w:t>
      </w:r>
    </w:p>
    <w:p w:rsidR="005B7A4B" w:rsidRPr="003E1F05" w:rsidRDefault="005B7A4B" w:rsidP="005B7A4B">
      <w:pPr>
        <w:rPr>
          <w:b/>
        </w:rPr>
      </w:pPr>
      <w:bookmarkStart w:id="200" w:name="_Toc373482089"/>
      <w:proofErr w:type="gramStart"/>
      <w:r w:rsidRPr="003E1F05">
        <w:rPr>
          <w:b/>
        </w:rPr>
        <w:t>Table 2.</w:t>
      </w:r>
      <w:proofErr w:type="gramEnd"/>
      <w:r w:rsidRPr="003E1F05">
        <w:rPr>
          <w:b/>
        </w:rPr>
        <w:t xml:space="preserve"> NDSS benchmarked consumable costs and patient co-payments</w:t>
      </w:r>
    </w:p>
    <w:tbl>
      <w:tblPr>
        <w:tblStyle w:val="TableGrid"/>
        <w:tblW w:w="9322" w:type="dxa"/>
        <w:tblLayout w:type="fixed"/>
        <w:tblLook w:val="04A0" w:firstRow="1" w:lastRow="0" w:firstColumn="1" w:lastColumn="0" w:noHBand="0" w:noVBand="1"/>
      </w:tblPr>
      <w:tblGrid>
        <w:gridCol w:w="4503"/>
        <w:gridCol w:w="2409"/>
        <w:gridCol w:w="2410"/>
      </w:tblGrid>
      <w:tr w:rsidR="005B7A4B" w:rsidRPr="00787F54" w:rsidTr="00E75393">
        <w:trPr>
          <w:trHeight w:val="684"/>
        </w:trPr>
        <w:tc>
          <w:tcPr>
            <w:tcW w:w="4503" w:type="dxa"/>
          </w:tcPr>
          <w:p w:rsidR="005B7A4B" w:rsidRPr="00787F54" w:rsidRDefault="005B7A4B" w:rsidP="00E75393">
            <w:pPr>
              <w:rPr>
                <w:b/>
                <w:sz w:val="22"/>
              </w:rPr>
            </w:pPr>
            <w:r w:rsidRPr="003E1F05">
              <w:rPr>
                <w:b/>
                <w:sz w:val="22"/>
              </w:rPr>
              <w:t>Product</w:t>
            </w:r>
          </w:p>
        </w:tc>
        <w:tc>
          <w:tcPr>
            <w:tcW w:w="2409" w:type="dxa"/>
          </w:tcPr>
          <w:p w:rsidR="005B7A4B" w:rsidRPr="00787F54" w:rsidRDefault="005B7A4B" w:rsidP="00E75393">
            <w:pPr>
              <w:rPr>
                <w:b/>
                <w:sz w:val="22"/>
              </w:rPr>
            </w:pPr>
            <w:r w:rsidRPr="003E1F05">
              <w:rPr>
                <w:b/>
                <w:sz w:val="22"/>
              </w:rPr>
              <w:t>Benchmarked price</w:t>
            </w:r>
          </w:p>
        </w:tc>
        <w:tc>
          <w:tcPr>
            <w:tcW w:w="2410" w:type="dxa"/>
          </w:tcPr>
          <w:p w:rsidR="005B7A4B" w:rsidRPr="00787F54" w:rsidRDefault="005B7A4B" w:rsidP="00E75393">
            <w:pPr>
              <w:rPr>
                <w:b/>
                <w:sz w:val="22"/>
              </w:rPr>
            </w:pPr>
            <w:r w:rsidRPr="003E1F05">
              <w:rPr>
                <w:b/>
                <w:sz w:val="22"/>
              </w:rPr>
              <w:t>Patient co-payment (2014)</w:t>
            </w:r>
          </w:p>
        </w:tc>
      </w:tr>
      <w:tr w:rsidR="005B7A4B" w:rsidRPr="00787F54" w:rsidTr="00E75393">
        <w:tc>
          <w:tcPr>
            <w:tcW w:w="4503" w:type="dxa"/>
          </w:tcPr>
          <w:p w:rsidR="005B7A4B" w:rsidRPr="00787F54" w:rsidRDefault="005B7A4B" w:rsidP="00E75393">
            <w:pPr>
              <w:rPr>
                <w:sz w:val="22"/>
              </w:rPr>
            </w:pPr>
            <w:r w:rsidRPr="003E1F05">
              <w:rPr>
                <w:sz w:val="22"/>
              </w:rPr>
              <w:t>Infusion Sets (10 cannula + 10 tubing lines)</w:t>
            </w:r>
          </w:p>
        </w:tc>
        <w:tc>
          <w:tcPr>
            <w:tcW w:w="2409" w:type="dxa"/>
            <w:vAlign w:val="center"/>
          </w:tcPr>
          <w:p w:rsidR="005B7A4B" w:rsidRPr="00787F54" w:rsidRDefault="005B7A4B" w:rsidP="00E75393">
            <w:pPr>
              <w:rPr>
                <w:sz w:val="22"/>
              </w:rPr>
            </w:pPr>
            <w:r w:rsidRPr="003E1F05">
              <w:rPr>
                <w:sz w:val="22"/>
              </w:rPr>
              <w:t>$145.83</w:t>
            </w:r>
          </w:p>
        </w:tc>
        <w:tc>
          <w:tcPr>
            <w:tcW w:w="2410" w:type="dxa"/>
            <w:vAlign w:val="center"/>
          </w:tcPr>
          <w:p w:rsidR="005B7A4B" w:rsidRPr="00787F54" w:rsidRDefault="005B7A4B" w:rsidP="00E75393">
            <w:pPr>
              <w:rPr>
                <w:sz w:val="22"/>
              </w:rPr>
            </w:pPr>
            <w:r w:rsidRPr="003E1F05">
              <w:rPr>
                <w:sz w:val="22"/>
              </w:rPr>
              <w:t>$15.60</w:t>
            </w:r>
          </w:p>
        </w:tc>
      </w:tr>
      <w:tr w:rsidR="005B7A4B" w:rsidRPr="00787F54" w:rsidTr="00E75393">
        <w:tc>
          <w:tcPr>
            <w:tcW w:w="4503" w:type="dxa"/>
          </w:tcPr>
          <w:p w:rsidR="005B7A4B" w:rsidRPr="00787F54" w:rsidRDefault="005B7A4B" w:rsidP="00E75393">
            <w:pPr>
              <w:rPr>
                <w:sz w:val="22"/>
              </w:rPr>
            </w:pPr>
            <w:r w:rsidRPr="003E1F05">
              <w:rPr>
                <w:sz w:val="22"/>
              </w:rPr>
              <w:t>Reservoirs/cartridges (10)</w:t>
            </w:r>
          </w:p>
        </w:tc>
        <w:tc>
          <w:tcPr>
            <w:tcW w:w="2409" w:type="dxa"/>
            <w:vAlign w:val="center"/>
          </w:tcPr>
          <w:p w:rsidR="005B7A4B" w:rsidRPr="00787F54" w:rsidRDefault="005B7A4B" w:rsidP="00E75393">
            <w:pPr>
              <w:rPr>
                <w:sz w:val="22"/>
              </w:rPr>
            </w:pPr>
            <w:r w:rsidRPr="003E1F05">
              <w:rPr>
                <w:sz w:val="22"/>
              </w:rPr>
              <w:t>$42.00</w:t>
            </w:r>
          </w:p>
        </w:tc>
        <w:tc>
          <w:tcPr>
            <w:tcW w:w="2410" w:type="dxa"/>
            <w:vAlign w:val="center"/>
          </w:tcPr>
          <w:p w:rsidR="005B7A4B" w:rsidRPr="00787F54" w:rsidRDefault="005B7A4B" w:rsidP="00E75393">
            <w:pPr>
              <w:rPr>
                <w:sz w:val="22"/>
              </w:rPr>
            </w:pPr>
            <w:r w:rsidRPr="003E1F05">
              <w:rPr>
                <w:rFonts w:cs="Calibri"/>
                <w:sz w:val="22"/>
              </w:rPr>
              <w:t>$</w:t>
            </w:r>
            <w:r w:rsidRPr="003E1F05">
              <w:rPr>
                <w:sz w:val="22"/>
              </w:rPr>
              <w:t>10.40</w:t>
            </w:r>
            <w:r w:rsidRPr="003E1F05">
              <w:rPr>
                <w:rFonts w:cs="Calibri"/>
                <w:sz w:val="22"/>
              </w:rPr>
              <w:t xml:space="preserve"> </w:t>
            </w:r>
          </w:p>
        </w:tc>
      </w:tr>
    </w:tbl>
    <w:p w:rsidR="005B7A4B" w:rsidRPr="003E1F05" w:rsidRDefault="005B7A4B" w:rsidP="005B7A4B">
      <w:pPr>
        <w:rPr>
          <w:b/>
        </w:rPr>
      </w:pPr>
      <w:bookmarkStart w:id="201" w:name="_Toc373482090"/>
      <w:bookmarkEnd w:id="200"/>
    </w:p>
    <w:p w:rsidR="005B7A4B" w:rsidRPr="003E1F05" w:rsidRDefault="005B7A4B" w:rsidP="005B7A4B">
      <w:pPr>
        <w:keepNext/>
        <w:keepLines/>
        <w:rPr>
          <w:b/>
        </w:rPr>
      </w:pPr>
      <w:proofErr w:type="gramStart"/>
      <w:r w:rsidRPr="003E1F05">
        <w:rPr>
          <w:b/>
        </w:rPr>
        <w:t>Table 3.</w:t>
      </w:r>
      <w:proofErr w:type="gramEnd"/>
      <w:r w:rsidRPr="003E1F05">
        <w:rPr>
          <w:b/>
        </w:rPr>
        <w:t xml:space="preserve"> Costs to consumers and Government for insulin pump consumables through the NDSS for 2012-16</w:t>
      </w:r>
      <w:bookmarkEnd w:id="201"/>
    </w:p>
    <w:p w:rsidR="005B7A4B" w:rsidRPr="003E1F05" w:rsidRDefault="005B7A4B" w:rsidP="005B7A4B">
      <w:pPr>
        <w:keepNext/>
        <w:keepLines/>
        <w:rPr>
          <w:b/>
        </w:rPr>
      </w:pPr>
      <w:r w:rsidRPr="003E1F05">
        <w:rPr>
          <w:b/>
          <w:lang w:val="en-US" w:eastAsia="en-AU"/>
        </w:rPr>
        <w:t>a. Annual costs to consumers.</w:t>
      </w:r>
    </w:p>
    <w:tbl>
      <w:tblPr>
        <w:tblW w:w="921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75"/>
        <w:gridCol w:w="1413"/>
        <w:gridCol w:w="1413"/>
        <w:gridCol w:w="1384"/>
        <w:gridCol w:w="1413"/>
        <w:gridCol w:w="1418"/>
      </w:tblGrid>
      <w:tr w:rsidR="005B7A4B" w:rsidRPr="00787F54" w:rsidTr="00E75393">
        <w:trPr>
          <w:trHeight w:val="454"/>
        </w:trPr>
        <w:tc>
          <w:tcPr>
            <w:tcW w:w="2175"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Product</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2012-13</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2013-14</w:t>
            </w:r>
          </w:p>
        </w:tc>
        <w:tc>
          <w:tcPr>
            <w:tcW w:w="1384" w:type="dxa"/>
            <w:vAlign w:val="center"/>
          </w:tcPr>
          <w:p w:rsidR="005B7A4B" w:rsidRPr="00787F54" w:rsidRDefault="005B7A4B" w:rsidP="00E75393">
            <w:pPr>
              <w:keepNext/>
              <w:keepLines/>
              <w:autoSpaceDE w:val="0"/>
              <w:autoSpaceDN w:val="0"/>
              <w:adjustRightInd w:val="0"/>
              <w:spacing w:after="0" w:line="240" w:lineRule="auto"/>
              <w:rPr>
                <w:rFonts w:eastAsia="Calibri" w:cs="Cambria"/>
                <w:b/>
                <w:sz w:val="22"/>
              </w:rPr>
            </w:pPr>
            <w:r w:rsidRPr="003E1F05">
              <w:rPr>
                <w:rFonts w:eastAsia="Calibri" w:cs="Cambria"/>
                <w:b/>
                <w:sz w:val="22"/>
              </w:rPr>
              <w:t>2014-15*</w:t>
            </w:r>
          </w:p>
        </w:tc>
        <w:tc>
          <w:tcPr>
            <w:tcW w:w="1413" w:type="dxa"/>
            <w:vAlign w:val="center"/>
          </w:tcPr>
          <w:p w:rsidR="005B7A4B" w:rsidRPr="00787F54" w:rsidRDefault="005B7A4B" w:rsidP="00E75393">
            <w:pPr>
              <w:keepNext/>
              <w:keepLines/>
              <w:autoSpaceDE w:val="0"/>
              <w:autoSpaceDN w:val="0"/>
              <w:adjustRightInd w:val="0"/>
              <w:spacing w:after="0" w:line="240" w:lineRule="auto"/>
              <w:rPr>
                <w:rFonts w:eastAsia="Calibri" w:cs="Cambria"/>
                <w:b/>
                <w:sz w:val="22"/>
              </w:rPr>
            </w:pPr>
            <w:r w:rsidRPr="003E1F05">
              <w:rPr>
                <w:rFonts w:eastAsia="Calibri" w:cs="Cambria"/>
                <w:b/>
                <w:sz w:val="22"/>
              </w:rPr>
              <w:t>2015-16*</w:t>
            </w:r>
          </w:p>
        </w:tc>
        <w:tc>
          <w:tcPr>
            <w:tcW w:w="1418"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Total</w:t>
            </w:r>
          </w:p>
        </w:tc>
      </w:tr>
      <w:tr w:rsidR="005B7A4B" w:rsidRPr="00787F54" w:rsidTr="00E75393">
        <w:trPr>
          <w:trHeight w:val="454"/>
        </w:trPr>
        <w:tc>
          <w:tcPr>
            <w:tcW w:w="2175"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Infusion Set</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$186.20</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$189.85</w:t>
            </w:r>
          </w:p>
        </w:tc>
        <w:tc>
          <w:tcPr>
            <w:tcW w:w="1384"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$189.85</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$189.85</w:t>
            </w:r>
          </w:p>
        </w:tc>
        <w:tc>
          <w:tcPr>
            <w:tcW w:w="1418"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$755.75</w:t>
            </w:r>
          </w:p>
        </w:tc>
      </w:tr>
      <w:tr w:rsidR="005B7A4B" w:rsidRPr="00787F54" w:rsidTr="00E75393">
        <w:trPr>
          <w:trHeight w:val="454"/>
        </w:trPr>
        <w:tc>
          <w:tcPr>
            <w:tcW w:w="2175"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Reservoir/ cartridges</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$124.13</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$126.57</w:t>
            </w:r>
          </w:p>
        </w:tc>
        <w:tc>
          <w:tcPr>
            <w:tcW w:w="1384"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$126.57</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$126.57</w:t>
            </w:r>
          </w:p>
        </w:tc>
        <w:tc>
          <w:tcPr>
            <w:tcW w:w="1418"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sz w:val="22"/>
              </w:rPr>
            </w:pPr>
            <w:r w:rsidRPr="003E1F05">
              <w:rPr>
                <w:rFonts w:eastAsia="Calibri" w:cs="Cambria"/>
                <w:sz w:val="22"/>
              </w:rPr>
              <w:t>$503.84</w:t>
            </w:r>
          </w:p>
        </w:tc>
      </w:tr>
      <w:tr w:rsidR="005B7A4B" w:rsidRPr="00787F54" w:rsidTr="00E75393">
        <w:trPr>
          <w:trHeight w:val="454"/>
        </w:trPr>
        <w:tc>
          <w:tcPr>
            <w:tcW w:w="2175"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Total</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$310.33</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$316.42</w:t>
            </w:r>
          </w:p>
        </w:tc>
        <w:tc>
          <w:tcPr>
            <w:tcW w:w="1384"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$316.42</w:t>
            </w:r>
          </w:p>
        </w:tc>
        <w:tc>
          <w:tcPr>
            <w:tcW w:w="1413"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$316.42</w:t>
            </w:r>
          </w:p>
        </w:tc>
        <w:tc>
          <w:tcPr>
            <w:tcW w:w="1418" w:type="dxa"/>
            <w:vAlign w:val="center"/>
          </w:tcPr>
          <w:p w:rsidR="005B7A4B" w:rsidRPr="00787F54" w:rsidRDefault="005B7A4B" w:rsidP="00E75393">
            <w:pPr>
              <w:keepNext/>
              <w:keepLines/>
              <w:autoSpaceDE w:val="0"/>
              <w:autoSpaceDN w:val="0"/>
              <w:adjustRightInd w:val="0"/>
              <w:spacing w:after="0" w:line="240" w:lineRule="auto"/>
              <w:ind w:left="15"/>
              <w:rPr>
                <w:rFonts w:eastAsia="Calibri" w:cs="Cambria"/>
                <w:b/>
                <w:sz w:val="22"/>
              </w:rPr>
            </w:pPr>
            <w:r w:rsidRPr="003E1F05">
              <w:rPr>
                <w:rFonts w:eastAsia="Calibri" w:cs="Cambria"/>
                <w:b/>
                <w:sz w:val="22"/>
              </w:rPr>
              <w:t>$1,259.59</w:t>
            </w:r>
          </w:p>
        </w:tc>
      </w:tr>
    </w:tbl>
    <w:p w:rsidR="005B7A4B" w:rsidRPr="003E1F05" w:rsidRDefault="005B7A4B" w:rsidP="005B7A4B">
      <w:pPr>
        <w:autoSpaceDE w:val="0"/>
        <w:autoSpaceDN w:val="0"/>
        <w:adjustRightInd w:val="0"/>
        <w:spacing w:before="240" w:after="240" w:line="240" w:lineRule="auto"/>
        <w:rPr>
          <w:rFonts w:eastAsia="Calibri" w:cs="Cambria"/>
          <w:b/>
          <w:bCs/>
          <w:szCs w:val="24"/>
        </w:rPr>
      </w:pPr>
      <w:r w:rsidRPr="003E1F05">
        <w:rPr>
          <w:rFonts w:eastAsia="Calibri" w:cs="Cambria"/>
          <w:b/>
          <w:bCs/>
          <w:szCs w:val="24"/>
        </w:rPr>
        <w:t>b. Annual costs to Government per patient</w:t>
      </w:r>
    </w:p>
    <w:tbl>
      <w:tblPr>
        <w:tblW w:w="921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75"/>
        <w:gridCol w:w="1413"/>
        <w:gridCol w:w="1413"/>
        <w:gridCol w:w="1384"/>
        <w:gridCol w:w="1413"/>
        <w:gridCol w:w="1418"/>
      </w:tblGrid>
      <w:tr w:rsidR="005B7A4B" w:rsidRPr="00787F54" w:rsidTr="00E75393">
        <w:trPr>
          <w:trHeight w:val="454"/>
        </w:trPr>
        <w:tc>
          <w:tcPr>
            <w:tcW w:w="2175"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Product</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2012-13</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2013-14</w:t>
            </w:r>
          </w:p>
        </w:tc>
        <w:tc>
          <w:tcPr>
            <w:tcW w:w="1384" w:type="dxa"/>
            <w:vAlign w:val="center"/>
          </w:tcPr>
          <w:p w:rsidR="005B7A4B" w:rsidRPr="00787F54" w:rsidRDefault="005B7A4B" w:rsidP="00E75393">
            <w:pPr>
              <w:autoSpaceDE w:val="0"/>
              <w:autoSpaceDN w:val="0"/>
              <w:adjustRightInd w:val="0"/>
              <w:spacing w:after="0" w:line="240" w:lineRule="auto"/>
              <w:rPr>
                <w:rFonts w:eastAsia="Calibri" w:cs="Cambria"/>
                <w:b/>
                <w:sz w:val="22"/>
              </w:rPr>
            </w:pPr>
            <w:r w:rsidRPr="003E1F05">
              <w:rPr>
                <w:rFonts w:eastAsia="Calibri" w:cs="Cambria"/>
                <w:b/>
                <w:sz w:val="22"/>
              </w:rPr>
              <w:t>2014-15*</w:t>
            </w:r>
          </w:p>
        </w:tc>
        <w:tc>
          <w:tcPr>
            <w:tcW w:w="1413" w:type="dxa"/>
            <w:vAlign w:val="center"/>
          </w:tcPr>
          <w:p w:rsidR="005B7A4B" w:rsidRPr="00787F54" w:rsidRDefault="005B7A4B" w:rsidP="00E75393">
            <w:pPr>
              <w:autoSpaceDE w:val="0"/>
              <w:autoSpaceDN w:val="0"/>
              <w:adjustRightInd w:val="0"/>
              <w:spacing w:after="0" w:line="240" w:lineRule="auto"/>
              <w:rPr>
                <w:rFonts w:eastAsia="Calibri" w:cs="Cambria"/>
                <w:b/>
                <w:sz w:val="22"/>
              </w:rPr>
            </w:pPr>
            <w:r w:rsidRPr="003E1F05">
              <w:rPr>
                <w:rFonts w:eastAsia="Calibri" w:cs="Cambria"/>
                <w:b/>
                <w:sz w:val="22"/>
              </w:rPr>
              <w:t>2015-16*</w:t>
            </w:r>
          </w:p>
        </w:tc>
        <w:tc>
          <w:tcPr>
            <w:tcW w:w="1418"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Total</w:t>
            </w:r>
          </w:p>
        </w:tc>
      </w:tr>
      <w:tr w:rsidR="005B7A4B" w:rsidRPr="00787F54" w:rsidTr="00E75393">
        <w:trPr>
          <w:trHeight w:val="454"/>
        </w:trPr>
        <w:tc>
          <w:tcPr>
            <w:tcW w:w="2175"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Infusion Set</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$1,649.64</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$1,647.09</w:t>
            </w:r>
          </w:p>
        </w:tc>
        <w:tc>
          <w:tcPr>
            <w:tcW w:w="1384"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$1,647.09</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$1,647.609</w:t>
            </w:r>
          </w:p>
        </w:tc>
        <w:tc>
          <w:tcPr>
            <w:tcW w:w="1418"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$6,590.91</w:t>
            </w:r>
          </w:p>
        </w:tc>
      </w:tr>
      <w:tr w:rsidR="005B7A4B" w:rsidRPr="00787F54" w:rsidTr="00E75393">
        <w:trPr>
          <w:trHeight w:val="454"/>
        </w:trPr>
        <w:tc>
          <w:tcPr>
            <w:tcW w:w="2175"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Reservoir/ cartridges</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$448.10</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$446.76</w:t>
            </w:r>
          </w:p>
        </w:tc>
        <w:tc>
          <w:tcPr>
            <w:tcW w:w="1384"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$446.76</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$446.76</w:t>
            </w:r>
          </w:p>
        </w:tc>
        <w:tc>
          <w:tcPr>
            <w:tcW w:w="1418" w:type="dxa"/>
            <w:vAlign w:val="center"/>
          </w:tcPr>
          <w:p w:rsidR="005B7A4B" w:rsidRPr="00787F54" w:rsidRDefault="005B7A4B" w:rsidP="00E75393">
            <w:pPr>
              <w:autoSpaceDE w:val="0"/>
              <w:autoSpaceDN w:val="0"/>
              <w:adjustRightInd w:val="0"/>
              <w:spacing w:after="0" w:line="240" w:lineRule="auto"/>
              <w:ind w:left="15"/>
              <w:rPr>
                <w:rFonts w:eastAsia="Calibri" w:cs="Cambria"/>
                <w:sz w:val="22"/>
              </w:rPr>
            </w:pPr>
            <w:r w:rsidRPr="003E1F05">
              <w:rPr>
                <w:rFonts w:eastAsia="Calibri" w:cs="Cambria"/>
                <w:sz w:val="22"/>
              </w:rPr>
              <w:t>$1,788.38</w:t>
            </w:r>
          </w:p>
        </w:tc>
      </w:tr>
      <w:tr w:rsidR="005B7A4B" w:rsidRPr="00787F54" w:rsidTr="00E75393">
        <w:trPr>
          <w:trHeight w:val="454"/>
        </w:trPr>
        <w:tc>
          <w:tcPr>
            <w:tcW w:w="2175"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Total</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$2,097.74</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$2,093.85</w:t>
            </w:r>
          </w:p>
        </w:tc>
        <w:tc>
          <w:tcPr>
            <w:tcW w:w="1384"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$2,093.85</w:t>
            </w:r>
          </w:p>
        </w:tc>
        <w:tc>
          <w:tcPr>
            <w:tcW w:w="1413"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$2,093.85</w:t>
            </w:r>
          </w:p>
        </w:tc>
        <w:tc>
          <w:tcPr>
            <w:tcW w:w="1418" w:type="dxa"/>
            <w:vAlign w:val="center"/>
          </w:tcPr>
          <w:p w:rsidR="005B7A4B" w:rsidRPr="00787F54" w:rsidRDefault="005B7A4B" w:rsidP="00E75393">
            <w:pPr>
              <w:autoSpaceDE w:val="0"/>
              <w:autoSpaceDN w:val="0"/>
              <w:adjustRightInd w:val="0"/>
              <w:spacing w:after="0" w:line="240" w:lineRule="auto"/>
              <w:ind w:left="15"/>
              <w:rPr>
                <w:rFonts w:eastAsia="Calibri" w:cs="Cambria"/>
                <w:b/>
                <w:sz w:val="22"/>
              </w:rPr>
            </w:pPr>
            <w:r w:rsidRPr="003E1F05">
              <w:rPr>
                <w:rFonts w:eastAsia="Calibri" w:cs="Cambria"/>
                <w:b/>
                <w:sz w:val="22"/>
              </w:rPr>
              <w:t>$8,379.29</w:t>
            </w:r>
          </w:p>
        </w:tc>
      </w:tr>
    </w:tbl>
    <w:p w:rsidR="005B7A4B" w:rsidRPr="003E1F05" w:rsidRDefault="005B7A4B" w:rsidP="005B7A4B">
      <w:pPr>
        <w:autoSpaceDE w:val="0"/>
        <w:autoSpaceDN w:val="0"/>
        <w:adjustRightInd w:val="0"/>
        <w:spacing w:before="240" w:after="240" w:line="240" w:lineRule="auto"/>
        <w:rPr>
          <w:rFonts w:eastAsia="Calibri" w:cs="Cambria"/>
          <w:b/>
          <w:bCs/>
          <w:sz w:val="22"/>
        </w:rPr>
      </w:pPr>
      <w:r w:rsidRPr="003E1F05">
        <w:rPr>
          <w:rFonts w:eastAsia="Calibri" w:cs="Cambria"/>
          <w:b/>
          <w:bCs/>
          <w:i/>
          <w:szCs w:val="24"/>
        </w:rPr>
        <w:t>*</w:t>
      </w:r>
      <w:r w:rsidRPr="003E1F05">
        <w:rPr>
          <w:rFonts w:eastAsia="Calibri" w:cs="Cambria"/>
          <w:i/>
          <w:szCs w:val="24"/>
        </w:rPr>
        <w:t xml:space="preserve"> NDSS registrant co-payments and Product Supply and Delivery fees </w:t>
      </w:r>
      <w:proofErr w:type="gramStart"/>
      <w:r w:rsidRPr="003E1F05">
        <w:rPr>
          <w:rFonts w:eastAsia="Calibri" w:cs="Cambria"/>
          <w:i/>
          <w:szCs w:val="24"/>
        </w:rPr>
        <w:t>are indexed</w:t>
      </w:r>
      <w:proofErr w:type="gramEnd"/>
      <w:r w:rsidRPr="003E1F05">
        <w:rPr>
          <w:rFonts w:eastAsia="Calibri" w:cs="Cambria"/>
          <w:i/>
          <w:szCs w:val="24"/>
        </w:rPr>
        <w:t xml:space="preserve"> annually on 1 January. Indexation beyond 2014 </w:t>
      </w:r>
      <w:r w:rsidRPr="003E1F05">
        <w:rPr>
          <w:rFonts w:eastAsia="Calibri" w:cs="Cambria"/>
          <w:bCs/>
          <w:i/>
          <w:szCs w:val="24"/>
        </w:rPr>
        <w:t xml:space="preserve">has not been </w:t>
      </w:r>
      <w:proofErr w:type="gramStart"/>
      <w:r w:rsidRPr="003E1F05">
        <w:rPr>
          <w:rFonts w:eastAsia="Calibri" w:cs="Cambria"/>
          <w:bCs/>
          <w:i/>
          <w:szCs w:val="24"/>
        </w:rPr>
        <w:t>considered</w:t>
      </w:r>
      <w:proofErr w:type="gramEnd"/>
      <w:r w:rsidRPr="003E1F05">
        <w:rPr>
          <w:rFonts w:eastAsia="Calibri" w:cs="Cambria"/>
          <w:bCs/>
          <w:i/>
          <w:szCs w:val="24"/>
        </w:rPr>
        <w:t xml:space="preserve"> as the expected rates of indexation are not known</w:t>
      </w:r>
      <w:r w:rsidRPr="003E1F05">
        <w:rPr>
          <w:rFonts w:eastAsia="Calibri" w:cs="Cambria"/>
          <w:i/>
          <w:szCs w:val="24"/>
        </w:rPr>
        <w:t>.</w:t>
      </w:r>
      <w:r w:rsidRPr="003E1F05">
        <w:rPr>
          <w:rFonts w:eastAsia="Calibri" w:cs="Cambria"/>
          <w:b/>
          <w:bCs/>
          <w:sz w:val="22"/>
        </w:rPr>
        <w:t xml:space="preserve"> </w:t>
      </w:r>
    </w:p>
    <w:p w:rsidR="005B7A4B" w:rsidRPr="00787F54" w:rsidRDefault="005B7A4B" w:rsidP="005B7A4B">
      <w:pPr>
        <w:pStyle w:val="Heading3"/>
      </w:pPr>
      <w:bookmarkStart w:id="202" w:name="_Toc373482091"/>
      <w:r w:rsidRPr="00787F54">
        <w:lastRenderedPageBreak/>
        <w:t>5.4.2</w:t>
      </w:r>
      <w:r w:rsidRPr="00787F54">
        <w:tab/>
        <w:t xml:space="preserve">Associated costs with </w:t>
      </w:r>
      <w:bookmarkEnd w:id="202"/>
      <w:r w:rsidRPr="00787F54">
        <w:t>the Insulin Pump Programme</w:t>
      </w:r>
    </w:p>
    <w:tbl>
      <w:tblPr>
        <w:tblpPr w:leftFromText="180" w:rightFromText="180" w:vertAnchor="text" w:horzAnchor="margin" w:tblpY="7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80"/>
      </w:tblGrid>
      <w:tr w:rsidR="005B7A4B" w:rsidRPr="00787F54" w:rsidTr="00E75393">
        <w:trPr>
          <w:trHeight w:val="451"/>
        </w:trPr>
        <w:tc>
          <w:tcPr>
            <w:tcW w:w="7196" w:type="dxa"/>
            <w:shd w:val="clear" w:color="auto" w:fill="auto"/>
            <w:vAlign w:val="center"/>
            <w:hideMark/>
          </w:tcPr>
          <w:p w:rsidR="005B7A4B" w:rsidRPr="00787F54" w:rsidRDefault="005B7A4B" w:rsidP="00E75393">
            <w:pPr>
              <w:spacing w:after="0"/>
              <w:rPr>
                <w:rFonts w:cs="Calibri"/>
                <w:szCs w:val="24"/>
                <w:lang w:eastAsia="en-AU"/>
              </w:rPr>
            </w:pPr>
            <w:r w:rsidRPr="003E1F05">
              <w:rPr>
                <w:rFonts w:cs="Calibri"/>
                <w:szCs w:val="24"/>
                <w:lang w:eastAsia="en-AU"/>
              </w:rPr>
              <w:t>Cost of consumables over four years per patient</w:t>
            </w:r>
          </w:p>
        </w:tc>
        <w:tc>
          <w:tcPr>
            <w:tcW w:w="2380" w:type="dxa"/>
            <w:shd w:val="clear" w:color="auto" w:fill="auto"/>
            <w:noWrap/>
            <w:vAlign w:val="bottom"/>
            <w:hideMark/>
          </w:tcPr>
          <w:p w:rsidR="005B7A4B" w:rsidRPr="00787F54" w:rsidRDefault="005B7A4B" w:rsidP="00E75393">
            <w:pPr>
              <w:spacing w:after="0"/>
              <w:jc w:val="right"/>
              <w:rPr>
                <w:rFonts w:cs="Calibri"/>
                <w:szCs w:val="24"/>
                <w:lang w:eastAsia="en-AU"/>
              </w:rPr>
            </w:pPr>
            <w:r w:rsidRPr="003E1F05">
              <w:rPr>
                <w:rFonts w:cs="Calibri"/>
                <w:szCs w:val="24"/>
                <w:lang w:eastAsia="en-AU"/>
              </w:rPr>
              <w:t>$</w:t>
            </w:r>
            <w:r w:rsidRPr="003E1F05">
              <w:rPr>
                <w:rFonts w:eastAsia="Calibri" w:cs="Cambria"/>
                <w:szCs w:val="24"/>
              </w:rPr>
              <w:t>8,379.29</w:t>
            </w:r>
          </w:p>
        </w:tc>
      </w:tr>
      <w:tr w:rsidR="005B7A4B" w:rsidRPr="00787F54" w:rsidTr="00E75393">
        <w:trPr>
          <w:trHeight w:val="255"/>
        </w:trPr>
        <w:tc>
          <w:tcPr>
            <w:tcW w:w="7196" w:type="dxa"/>
            <w:shd w:val="clear" w:color="auto" w:fill="auto"/>
            <w:noWrap/>
            <w:vAlign w:val="bottom"/>
            <w:hideMark/>
          </w:tcPr>
          <w:p w:rsidR="005B7A4B" w:rsidRPr="00787F54" w:rsidRDefault="005B7A4B" w:rsidP="00E75393">
            <w:pPr>
              <w:spacing w:after="0"/>
              <w:rPr>
                <w:rFonts w:cs="Calibri"/>
                <w:szCs w:val="24"/>
                <w:lang w:eastAsia="en-AU"/>
              </w:rPr>
            </w:pPr>
            <w:r w:rsidRPr="003E1F05">
              <w:rPr>
                <w:rFonts w:cs="Calibri"/>
                <w:szCs w:val="24"/>
                <w:lang w:eastAsia="en-AU"/>
              </w:rPr>
              <w:t>Median subsidy amount per patient</w:t>
            </w:r>
          </w:p>
        </w:tc>
        <w:tc>
          <w:tcPr>
            <w:tcW w:w="2380" w:type="dxa"/>
            <w:shd w:val="clear" w:color="auto" w:fill="auto"/>
            <w:noWrap/>
            <w:vAlign w:val="bottom"/>
            <w:hideMark/>
          </w:tcPr>
          <w:p w:rsidR="005B7A4B" w:rsidRPr="00787F54" w:rsidRDefault="005B7A4B" w:rsidP="00E75393">
            <w:pPr>
              <w:spacing w:after="0"/>
              <w:jc w:val="right"/>
              <w:rPr>
                <w:rFonts w:cs="Calibri"/>
                <w:szCs w:val="24"/>
                <w:lang w:eastAsia="en-AU"/>
              </w:rPr>
            </w:pPr>
            <w:r w:rsidRPr="003E1F05">
              <w:rPr>
                <w:rFonts w:cs="Calibri"/>
                <w:szCs w:val="24"/>
                <w:lang w:eastAsia="en-AU"/>
              </w:rPr>
              <w:t>$6,400.00</w:t>
            </w:r>
          </w:p>
        </w:tc>
      </w:tr>
      <w:tr w:rsidR="005B7A4B" w:rsidRPr="00787F54" w:rsidTr="00E75393">
        <w:trPr>
          <w:trHeight w:val="255"/>
        </w:trPr>
        <w:tc>
          <w:tcPr>
            <w:tcW w:w="7196" w:type="dxa"/>
            <w:shd w:val="clear" w:color="auto" w:fill="auto"/>
            <w:noWrap/>
            <w:vAlign w:val="bottom"/>
            <w:hideMark/>
          </w:tcPr>
          <w:p w:rsidR="005B7A4B" w:rsidRPr="00787F54" w:rsidRDefault="005B7A4B" w:rsidP="00E75393">
            <w:pPr>
              <w:spacing w:after="0"/>
              <w:rPr>
                <w:rFonts w:cs="Calibri"/>
                <w:szCs w:val="24"/>
                <w:lang w:eastAsia="en-AU"/>
              </w:rPr>
            </w:pPr>
            <w:r w:rsidRPr="003E1F05">
              <w:rPr>
                <w:rFonts w:cs="Calibri"/>
                <w:szCs w:val="24"/>
                <w:lang w:eastAsia="en-AU"/>
              </w:rPr>
              <w:t>Cost of consumables and median subsidy over 4 years per patient</w:t>
            </w:r>
          </w:p>
        </w:tc>
        <w:tc>
          <w:tcPr>
            <w:tcW w:w="2380" w:type="dxa"/>
            <w:shd w:val="clear" w:color="auto" w:fill="auto"/>
            <w:noWrap/>
            <w:vAlign w:val="bottom"/>
            <w:hideMark/>
          </w:tcPr>
          <w:p w:rsidR="005B7A4B" w:rsidRPr="00787F54" w:rsidRDefault="005B7A4B" w:rsidP="00E75393">
            <w:pPr>
              <w:spacing w:after="0"/>
              <w:jc w:val="right"/>
              <w:rPr>
                <w:rFonts w:cs="Calibri"/>
                <w:szCs w:val="24"/>
                <w:lang w:eastAsia="en-AU"/>
              </w:rPr>
            </w:pPr>
            <w:r w:rsidRPr="003E1F05">
              <w:rPr>
                <w:rFonts w:cs="Calibri"/>
                <w:szCs w:val="24"/>
                <w:lang w:eastAsia="en-AU"/>
              </w:rPr>
              <w:t>$14,779.29</w:t>
            </w:r>
          </w:p>
        </w:tc>
      </w:tr>
      <w:tr w:rsidR="005B7A4B" w:rsidRPr="00787F54" w:rsidTr="00E75393">
        <w:trPr>
          <w:trHeight w:val="255"/>
        </w:trPr>
        <w:tc>
          <w:tcPr>
            <w:tcW w:w="7196" w:type="dxa"/>
            <w:shd w:val="clear" w:color="auto" w:fill="auto"/>
            <w:noWrap/>
            <w:vAlign w:val="bottom"/>
          </w:tcPr>
          <w:p w:rsidR="005B7A4B" w:rsidRPr="00787F54" w:rsidRDefault="005B7A4B" w:rsidP="00E75393">
            <w:pPr>
              <w:spacing w:after="0"/>
              <w:rPr>
                <w:rFonts w:cs="Calibri"/>
                <w:szCs w:val="24"/>
                <w:lang w:eastAsia="en-AU"/>
              </w:rPr>
            </w:pPr>
            <w:r w:rsidRPr="003E1F05">
              <w:rPr>
                <w:rFonts w:cs="Calibri"/>
                <w:szCs w:val="24"/>
                <w:lang w:eastAsia="en-AU"/>
              </w:rPr>
              <w:t>Cost of consumables and median subsidy per year per patient</w:t>
            </w:r>
          </w:p>
        </w:tc>
        <w:tc>
          <w:tcPr>
            <w:tcW w:w="2380" w:type="dxa"/>
            <w:shd w:val="clear" w:color="auto" w:fill="auto"/>
            <w:noWrap/>
            <w:vAlign w:val="bottom"/>
          </w:tcPr>
          <w:p w:rsidR="005B7A4B" w:rsidRPr="00787F54" w:rsidRDefault="005B7A4B" w:rsidP="00E75393">
            <w:pPr>
              <w:spacing w:after="0"/>
              <w:jc w:val="right"/>
              <w:rPr>
                <w:rFonts w:cs="Calibri"/>
                <w:szCs w:val="24"/>
                <w:lang w:eastAsia="en-AU"/>
              </w:rPr>
            </w:pPr>
            <w:r w:rsidRPr="003E1F05">
              <w:rPr>
                <w:rFonts w:cs="Calibri"/>
                <w:szCs w:val="24"/>
                <w:lang w:eastAsia="en-AU"/>
              </w:rPr>
              <w:t>$3,694.82</w:t>
            </w:r>
          </w:p>
        </w:tc>
      </w:tr>
    </w:tbl>
    <w:p w:rsidR="005B7A4B" w:rsidRPr="003E1F05" w:rsidRDefault="005B7A4B" w:rsidP="005B7A4B">
      <w:pPr>
        <w:spacing w:after="0"/>
        <w:rPr>
          <w:szCs w:val="24"/>
          <w:lang w:val="en-US"/>
        </w:rPr>
      </w:pPr>
    </w:p>
    <w:p w:rsidR="005B7A4B" w:rsidRPr="003E1F05" w:rsidRDefault="005B7A4B" w:rsidP="005B7A4B">
      <w:pPr>
        <w:spacing w:after="0"/>
        <w:rPr>
          <w:szCs w:val="24"/>
          <w:lang w:val="en-US"/>
        </w:rPr>
      </w:pPr>
      <w:r w:rsidRPr="003E1F05">
        <w:rPr>
          <w:szCs w:val="24"/>
          <w:lang w:val="en-US"/>
        </w:rPr>
        <w:t xml:space="preserve">The estimated cost to Government associated with insulin pump use for each patient on the Insulin Pump </w:t>
      </w:r>
      <w:proofErr w:type="spellStart"/>
      <w:r w:rsidRPr="003E1F05">
        <w:rPr>
          <w:szCs w:val="24"/>
          <w:lang w:val="en-US"/>
        </w:rPr>
        <w:t>Programme</w:t>
      </w:r>
      <w:proofErr w:type="spellEnd"/>
      <w:r w:rsidRPr="003E1F05">
        <w:rPr>
          <w:szCs w:val="24"/>
          <w:lang w:val="en-US"/>
        </w:rPr>
        <w:t xml:space="preserve"> is $14,779 over four years, or $3,695 per annum. This estimate is based on the following assumptions:</w:t>
      </w:r>
    </w:p>
    <w:p w:rsidR="005B7A4B" w:rsidRPr="003E1F05" w:rsidRDefault="005B7A4B" w:rsidP="005B7A4B">
      <w:pPr>
        <w:numPr>
          <w:ilvl w:val="0"/>
          <w:numId w:val="7"/>
        </w:numPr>
        <w:spacing w:after="0"/>
        <w:rPr>
          <w:szCs w:val="24"/>
          <w:lang w:val="en-US"/>
        </w:rPr>
      </w:pPr>
      <w:r w:rsidRPr="003E1F05">
        <w:rPr>
          <w:szCs w:val="24"/>
          <w:lang w:val="en-US"/>
        </w:rPr>
        <w:t>The average life of a pump is four years (the average warranty period).</w:t>
      </w:r>
    </w:p>
    <w:p w:rsidR="005B7A4B" w:rsidRPr="003E1F05" w:rsidRDefault="005B7A4B" w:rsidP="005B7A4B">
      <w:pPr>
        <w:numPr>
          <w:ilvl w:val="0"/>
          <w:numId w:val="7"/>
        </w:numPr>
        <w:spacing w:after="0"/>
        <w:rPr>
          <w:szCs w:val="24"/>
          <w:lang w:val="en-US"/>
        </w:rPr>
      </w:pPr>
      <w:r w:rsidRPr="003E1F05">
        <w:rPr>
          <w:szCs w:val="24"/>
          <w:lang w:val="en-US"/>
        </w:rPr>
        <w:t>The price listed as a minimum benefit on the Prostheses List, is approximately the commercial cost of the insulin pump as the actual commercial price could not be determined.</w:t>
      </w:r>
    </w:p>
    <w:p w:rsidR="005B7A4B" w:rsidRPr="003E1F05" w:rsidRDefault="005B7A4B" w:rsidP="005B7A4B">
      <w:pPr>
        <w:numPr>
          <w:ilvl w:val="0"/>
          <w:numId w:val="7"/>
        </w:numPr>
        <w:spacing w:after="0"/>
        <w:rPr>
          <w:szCs w:val="24"/>
          <w:lang w:val="en-US"/>
        </w:rPr>
      </w:pPr>
      <w:r w:rsidRPr="003E1F05">
        <w:rPr>
          <w:szCs w:val="24"/>
          <w:lang w:val="en-US"/>
        </w:rPr>
        <w:t>The price for consumables between insulin pump brands is the same, as it could not be determined from the NDSS data.</w:t>
      </w:r>
    </w:p>
    <w:p w:rsidR="005B7A4B" w:rsidRPr="003E1F05" w:rsidRDefault="005B7A4B" w:rsidP="005B7A4B">
      <w:pPr>
        <w:numPr>
          <w:ilvl w:val="0"/>
          <w:numId w:val="7"/>
        </w:numPr>
        <w:spacing w:after="0"/>
        <w:rPr>
          <w:szCs w:val="24"/>
          <w:lang w:val="en-US"/>
        </w:rPr>
      </w:pPr>
      <w:r w:rsidRPr="003E1F05">
        <w:rPr>
          <w:szCs w:val="24"/>
          <w:lang w:val="en-US"/>
        </w:rPr>
        <w:t>The cost of insulin pump consumables is $</w:t>
      </w:r>
      <w:r w:rsidRPr="003E1F05">
        <w:rPr>
          <w:rFonts w:eastAsia="Calibri" w:cs="Cambria"/>
          <w:szCs w:val="24"/>
        </w:rPr>
        <w:t>2,093.85</w:t>
      </w:r>
      <w:r w:rsidRPr="003E1F05">
        <w:rPr>
          <w:rFonts w:eastAsia="Calibri" w:cs="Cambria"/>
          <w:b/>
          <w:szCs w:val="24"/>
        </w:rPr>
        <w:t xml:space="preserve"> </w:t>
      </w:r>
      <w:r w:rsidRPr="003E1F05">
        <w:rPr>
          <w:szCs w:val="24"/>
          <w:lang w:val="en-US"/>
        </w:rPr>
        <w:t>annually and $</w:t>
      </w:r>
      <w:r w:rsidRPr="003E1F05">
        <w:rPr>
          <w:rFonts w:eastAsia="Calibri" w:cs="Cambria"/>
          <w:szCs w:val="24"/>
        </w:rPr>
        <w:t>8,379.29</w:t>
      </w:r>
      <w:r w:rsidRPr="003E1F05">
        <w:rPr>
          <w:rFonts w:eastAsia="Calibri" w:cs="Cambria"/>
          <w:b/>
          <w:szCs w:val="24"/>
        </w:rPr>
        <w:t xml:space="preserve"> </w:t>
      </w:r>
      <w:r w:rsidRPr="003E1F05">
        <w:rPr>
          <w:szCs w:val="24"/>
          <w:lang w:val="en-US"/>
        </w:rPr>
        <w:t>across four years, according to NDSS data (</w:t>
      </w:r>
      <w:r w:rsidRPr="003E1F05">
        <w:rPr>
          <w:szCs w:val="24"/>
          <w:u w:val="single"/>
          <w:lang w:val="en-US"/>
        </w:rPr>
        <w:t>Table 3</w:t>
      </w:r>
      <w:r w:rsidRPr="003E1F05">
        <w:rPr>
          <w:szCs w:val="24"/>
          <w:lang w:val="en-US"/>
        </w:rPr>
        <w:t>).</w:t>
      </w:r>
    </w:p>
    <w:p w:rsidR="005B7A4B" w:rsidRPr="003E1F05" w:rsidRDefault="005B7A4B" w:rsidP="005B7A4B">
      <w:pPr>
        <w:numPr>
          <w:ilvl w:val="0"/>
          <w:numId w:val="7"/>
        </w:numPr>
        <w:spacing w:after="0"/>
        <w:rPr>
          <w:lang w:val="en-US"/>
        </w:rPr>
      </w:pPr>
      <w:r w:rsidRPr="003E1F05">
        <w:rPr>
          <w:szCs w:val="24"/>
          <w:lang w:eastAsia="en-AU"/>
        </w:rPr>
        <w:t xml:space="preserve">The median subsidy income of $42,000 per annum </w:t>
      </w:r>
      <w:proofErr w:type="gramStart"/>
      <w:r w:rsidRPr="003E1F05">
        <w:rPr>
          <w:szCs w:val="24"/>
          <w:lang w:eastAsia="en-AU"/>
        </w:rPr>
        <w:t>was used</w:t>
      </w:r>
      <w:proofErr w:type="gramEnd"/>
      <w:r w:rsidRPr="003E1F05">
        <w:rPr>
          <w:szCs w:val="24"/>
          <w:lang w:eastAsia="en-AU"/>
        </w:rPr>
        <w:t xml:space="preserve"> rather than the average, due to the skewed distribution. This is based on subsidy cohort incomes ranging from $0 to $120,000 using the subsidy data to date (supplied by JDRF). </w:t>
      </w:r>
      <w:r w:rsidRPr="003E1F05">
        <w:rPr>
          <w:lang w:val="en-US"/>
        </w:rPr>
        <w:t>The median subsidy amount is $6,400 as most families receiving a benefit were under the low-income threshold of $69,496 (2011-12) and eligible for the full</w:t>
      </w:r>
      <w:r w:rsidRPr="003E1F05">
        <w:rPr>
          <w:lang w:val="en-US"/>
        </w:rPr>
        <w:noBreakHyphen/>
        <w:t xml:space="preserve">capped subsidy amount. </w:t>
      </w:r>
    </w:p>
    <w:p w:rsidR="005B7A4B" w:rsidRPr="00787F54" w:rsidRDefault="005B7A4B" w:rsidP="005B7A4B">
      <w:pPr>
        <w:pStyle w:val="Heading3"/>
      </w:pPr>
      <w:bookmarkStart w:id="203" w:name="_4.2.2_Type_1"/>
      <w:bookmarkStart w:id="204" w:name="_Toc373482092"/>
      <w:bookmarkEnd w:id="203"/>
      <w:r w:rsidRPr="00787F54">
        <w:t>5.4.3</w:t>
      </w:r>
      <w:r w:rsidRPr="00787F54">
        <w:tab/>
        <w:t>Potential costs other than insulin pumps and consumables</w:t>
      </w:r>
    </w:p>
    <w:p w:rsidR="005B7A4B" w:rsidRPr="003E1F05" w:rsidRDefault="005B7A4B" w:rsidP="005B7A4B">
      <w:r w:rsidRPr="003E1F05">
        <w:t>The potential costs of the Programme are not limited to the insulin pump and the consumables. There may also be additional costs associated with the following:</w:t>
      </w:r>
    </w:p>
    <w:p w:rsidR="005B7A4B" w:rsidRPr="003E1F05" w:rsidRDefault="005B7A4B" w:rsidP="005B7A4B">
      <w:pPr>
        <w:numPr>
          <w:ilvl w:val="0"/>
          <w:numId w:val="43"/>
        </w:numPr>
        <w:ind w:left="709"/>
        <w:contextualSpacing/>
      </w:pPr>
      <w:r w:rsidRPr="003E1F05">
        <w:t>pump commencement education;</w:t>
      </w:r>
    </w:p>
    <w:p w:rsidR="005B7A4B" w:rsidRPr="003E1F05" w:rsidRDefault="005B7A4B" w:rsidP="005B7A4B">
      <w:pPr>
        <w:numPr>
          <w:ilvl w:val="0"/>
          <w:numId w:val="43"/>
        </w:numPr>
        <w:ind w:left="709"/>
        <w:contextualSpacing/>
      </w:pPr>
      <w:r w:rsidRPr="003E1F05">
        <w:t>diabetes educator;</w:t>
      </w:r>
    </w:p>
    <w:p w:rsidR="005B7A4B" w:rsidRPr="003E1F05" w:rsidRDefault="005B7A4B" w:rsidP="005B7A4B">
      <w:pPr>
        <w:numPr>
          <w:ilvl w:val="0"/>
          <w:numId w:val="43"/>
        </w:numPr>
        <w:ind w:left="709"/>
        <w:contextualSpacing/>
      </w:pPr>
      <w:r w:rsidRPr="003E1F05">
        <w:t>dietician;</w:t>
      </w:r>
    </w:p>
    <w:p w:rsidR="005B7A4B" w:rsidRPr="003E1F05" w:rsidRDefault="005B7A4B" w:rsidP="005B7A4B">
      <w:pPr>
        <w:numPr>
          <w:ilvl w:val="0"/>
          <w:numId w:val="43"/>
        </w:numPr>
        <w:ind w:left="709"/>
        <w:contextualSpacing/>
      </w:pPr>
      <w:r w:rsidRPr="003E1F05">
        <w:t>hospitalisation to install the pump (2-3 nights) or out-patient services;</w:t>
      </w:r>
    </w:p>
    <w:p w:rsidR="005B7A4B" w:rsidRPr="003E1F05" w:rsidRDefault="005B7A4B" w:rsidP="005B7A4B">
      <w:pPr>
        <w:numPr>
          <w:ilvl w:val="0"/>
          <w:numId w:val="43"/>
        </w:numPr>
        <w:ind w:left="709"/>
        <w:contextualSpacing/>
      </w:pPr>
      <w:r w:rsidRPr="003E1F05">
        <w:t>post-discharge follow-up;</w:t>
      </w:r>
    </w:p>
    <w:p w:rsidR="005B7A4B" w:rsidRPr="003E1F05" w:rsidRDefault="005B7A4B" w:rsidP="005B7A4B">
      <w:pPr>
        <w:numPr>
          <w:ilvl w:val="0"/>
          <w:numId w:val="43"/>
        </w:numPr>
        <w:ind w:left="709"/>
        <w:contextualSpacing/>
      </w:pPr>
      <w:r w:rsidRPr="003E1F05">
        <w:t>additional yearly follow-up;</w:t>
      </w:r>
    </w:p>
    <w:p w:rsidR="005B7A4B" w:rsidRPr="003E1F05" w:rsidRDefault="005B7A4B" w:rsidP="005B7A4B">
      <w:pPr>
        <w:numPr>
          <w:ilvl w:val="0"/>
          <w:numId w:val="43"/>
        </w:numPr>
        <w:ind w:left="709"/>
        <w:contextualSpacing/>
      </w:pPr>
      <w:r w:rsidRPr="003E1F05">
        <w:t>hospitalisation for complications arising from the pump;</w:t>
      </w:r>
    </w:p>
    <w:p w:rsidR="005B7A4B" w:rsidRPr="003E1F05" w:rsidRDefault="005B7A4B" w:rsidP="005B7A4B">
      <w:pPr>
        <w:numPr>
          <w:ilvl w:val="0"/>
          <w:numId w:val="43"/>
        </w:numPr>
        <w:ind w:left="709"/>
        <w:contextualSpacing/>
      </w:pPr>
      <w:r w:rsidRPr="003E1F05">
        <w:t>hypoglycaemic events (although many studies show a reduction in number of severe hypoglycaemic episodes);</w:t>
      </w:r>
    </w:p>
    <w:p w:rsidR="005B7A4B" w:rsidRPr="003E1F05" w:rsidRDefault="005B7A4B" w:rsidP="005B7A4B">
      <w:pPr>
        <w:numPr>
          <w:ilvl w:val="0"/>
          <w:numId w:val="43"/>
        </w:numPr>
        <w:ind w:left="709"/>
        <w:contextualSpacing/>
      </w:pPr>
      <w:r w:rsidRPr="003E1F05">
        <w:t>DKA;</w:t>
      </w:r>
    </w:p>
    <w:p w:rsidR="005B7A4B" w:rsidRPr="003E1F05" w:rsidRDefault="005B7A4B" w:rsidP="005B7A4B">
      <w:pPr>
        <w:numPr>
          <w:ilvl w:val="0"/>
          <w:numId w:val="43"/>
        </w:numPr>
        <w:ind w:left="709"/>
        <w:contextualSpacing/>
      </w:pPr>
      <w:r w:rsidRPr="003E1F05">
        <w:t>cannula site infection;</w:t>
      </w:r>
    </w:p>
    <w:p w:rsidR="005B7A4B" w:rsidRPr="003E1F05" w:rsidRDefault="005B7A4B" w:rsidP="005B7A4B">
      <w:pPr>
        <w:numPr>
          <w:ilvl w:val="0"/>
          <w:numId w:val="43"/>
        </w:numPr>
        <w:ind w:left="709"/>
        <w:contextualSpacing/>
      </w:pPr>
      <w:r w:rsidRPr="003E1F05">
        <w:t>group meetings/support; and</w:t>
      </w:r>
    </w:p>
    <w:p w:rsidR="005B7A4B" w:rsidRPr="003E1F05" w:rsidRDefault="005B7A4B" w:rsidP="005B7A4B">
      <w:pPr>
        <w:numPr>
          <w:ilvl w:val="0"/>
          <w:numId w:val="43"/>
        </w:numPr>
        <w:spacing w:after="0"/>
        <w:ind w:left="709"/>
        <w:contextualSpacing/>
      </w:pPr>
      <w:proofErr w:type="gramStart"/>
      <w:r w:rsidRPr="003E1F05">
        <w:t>additional</w:t>
      </w:r>
      <w:proofErr w:type="gramEnd"/>
      <w:r w:rsidRPr="003E1F05">
        <w:t xml:space="preserve"> assistance with weight management (Diabetes Control and Complications Trial Group 1995).</w:t>
      </w:r>
    </w:p>
    <w:p w:rsidR="005B7A4B" w:rsidRPr="003E1F05" w:rsidRDefault="005B7A4B" w:rsidP="005B7A4B">
      <w:pPr>
        <w:keepNext/>
        <w:keepLines/>
        <w:spacing w:before="240"/>
      </w:pPr>
      <w:r w:rsidRPr="003E1F05">
        <w:lastRenderedPageBreak/>
        <w:t xml:space="preserve">However, there may also be a reduction in costs associated with fewer severe hypoglycaemic episodes, and reduction in the incidence of the following complications: </w:t>
      </w:r>
    </w:p>
    <w:p w:rsidR="005B7A4B" w:rsidRPr="003E1F05" w:rsidRDefault="005B7A4B" w:rsidP="005B7A4B">
      <w:pPr>
        <w:keepNext/>
        <w:keepLines/>
        <w:numPr>
          <w:ilvl w:val="0"/>
          <w:numId w:val="42"/>
        </w:numPr>
        <w:contextualSpacing/>
      </w:pPr>
      <w:r w:rsidRPr="003E1F05">
        <w:t>diabetic retinopathy;</w:t>
      </w:r>
    </w:p>
    <w:p w:rsidR="005B7A4B" w:rsidRPr="003E1F05" w:rsidRDefault="005B7A4B" w:rsidP="005B7A4B">
      <w:pPr>
        <w:keepNext/>
        <w:keepLines/>
        <w:numPr>
          <w:ilvl w:val="0"/>
          <w:numId w:val="42"/>
        </w:numPr>
        <w:contextualSpacing/>
      </w:pPr>
      <w:r w:rsidRPr="003E1F05">
        <w:t>end-stage renal disease;</w:t>
      </w:r>
    </w:p>
    <w:p w:rsidR="005B7A4B" w:rsidRPr="003E1F05" w:rsidRDefault="005B7A4B" w:rsidP="005B7A4B">
      <w:pPr>
        <w:keepNext/>
        <w:keepLines/>
        <w:numPr>
          <w:ilvl w:val="0"/>
          <w:numId w:val="42"/>
        </w:numPr>
        <w:contextualSpacing/>
      </w:pPr>
      <w:r w:rsidRPr="003E1F05">
        <w:t>nephropathy death;</w:t>
      </w:r>
    </w:p>
    <w:p w:rsidR="005B7A4B" w:rsidRPr="003E1F05" w:rsidRDefault="005B7A4B" w:rsidP="005B7A4B">
      <w:pPr>
        <w:keepNext/>
        <w:keepLines/>
        <w:numPr>
          <w:ilvl w:val="0"/>
          <w:numId w:val="42"/>
        </w:numPr>
        <w:contextualSpacing/>
      </w:pPr>
      <w:r w:rsidRPr="003E1F05">
        <w:t>cardiovascular complications;</w:t>
      </w:r>
    </w:p>
    <w:p w:rsidR="005B7A4B" w:rsidRPr="003E1F05" w:rsidRDefault="005B7A4B" w:rsidP="005B7A4B">
      <w:pPr>
        <w:keepNext/>
        <w:keepLines/>
        <w:numPr>
          <w:ilvl w:val="0"/>
          <w:numId w:val="42"/>
        </w:numPr>
        <w:contextualSpacing/>
      </w:pPr>
      <w:r w:rsidRPr="003E1F05">
        <w:t>peripheral vascular death;</w:t>
      </w:r>
    </w:p>
    <w:p w:rsidR="005B7A4B" w:rsidRPr="003E1F05" w:rsidRDefault="005B7A4B" w:rsidP="005B7A4B">
      <w:pPr>
        <w:keepNext/>
        <w:keepLines/>
        <w:numPr>
          <w:ilvl w:val="0"/>
          <w:numId w:val="42"/>
        </w:numPr>
        <w:contextualSpacing/>
      </w:pPr>
      <w:r w:rsidRPr="003E1F05">
        <w:t>peripheral neuropathy; and</w:t>
      </w:r>
    </w:p>
    <w:p w:rsidR="005B7A4B" w:rsidRPr="003E1F05" w:rsidRDefault="005B7A4B" w:rsidP="005B7A4B">
      <w:pPr>
        <w:keepNext/>
        <w:keepLines/>
        <w:numPr>
          <w:ilvl w:val="0"/>
          <w:numId w:val="42"/>
        </w:numPr>
        <w:spacing w:after="0"/>
        <w:contextualSpacing/>
      </w:pPr>
      <w:proofErr w:type="gramStart"/>
      <w:r w:rsidRPr="003E1F05">
        <w:t>amputation</w:t>
      </w:r>
      <w:proofErr w:type="gramEnd"/>
      <w:r w:rsidRPr="003E1F05">
        <w:t xml:space="preserve"> (St Charles 2009).</w:t>
      </w:r>
    </w:p>
    <w:p w:rsidR="005B7A4B" w:rsidRDefault="005B7A4B" w:rsidP="005B7A4B">
      <w:pPr>
        <w:pStyle w:val="Heading3"/>
      </w:pPr>
      <w:r>
        <w:t>5.4.4</w:t>
      </w:r>
      <w:r>
        <w:tab/>
        <w:t>Cost-effectiveness studies of insulin pumps</w:t>
      </w:r>
    </w:p>
    <w:p w:rsidR="005B7A4B" w:rsidRPr="003E1F05" w:rsidRDefault="005B7A4B" w:rsidP="005B7A4B">
      <w:r w:rsidRPr="003E1F05">
        <w:t xml:space="preserve">A recent Australian study estimated that the mean discounted lifetime direct medical costs associated with insulin pump therapy were $34,642 higher in adults and $41,779 higher in adolescents compared to multiple daily injections (Cohen </w:t>
      </w:r>
      <w:r w:rsidRPr="003E1F05">
        <w:rPr>
          <w:i/>
        </w:rPr>
        <w:t>et al.</w:t>
      </w:r>
      <w:r w:rsidRPr="003E1F05">
        <w:t xml:space="preserve"> 2007). This translates into a cost per life-year gained of $88,220 for adults and $77,851 in adolescents. This study </w:t>
      </w:r>
      <w:proofErr w:type="gramStart"/>
      <w:r w:rsidRPr="003E1F05">
        <w:t>was based</w:t>
      </w:r>
      <w:proofErr w:type="gramEnd"/>
      <w:r w:rsidRPr="003E1F05">
        <w:t xml:space="preserve"> on modelling the reduction in complications from an assumed 1.2% reduction in HbA</w:t>
      </w:r>
      <w:r w:rsidRPr="003E1F05">
        <w:rPr>
          <w:vertAlign w:val="subscript"/>
        </w:rPr>
        <w:t>1c</w:t>
      </w:r>
      <w:r w:rsidRPr="003E1F05">
        <w:t xml:space="preserve"> with the use of insulin pump therapy. The study did not consider non-medical costs such as lost productivity, and assumed an eight-year lifespan for each insulin pump (twice the standard warranty length). A sensitivity analysis based on an HbA</w:t>
      </w:r>
      <w:r w:rsidRPr="003E1F05">
        <w:rPr>
          <w:vertAlign w:val="subscript"/>
        </w:rPr>
        <w:t>1c</w:t>
      </w:r>
      <w:r w:rsidRPr="003E1F05">
        <w:t xml:space="preserve"> reduction of 0.51%, closer to the evidence seen in the RCTs and observational studies, gave an incremental cost-effectiveness ratio of $124,201 per quality-adjusted life-year (or </w:t>
      </w:r>
      <w:r w:rsidR="002F006C" w:rsidRPr="003E1F05">
        <w:t>around $146,000</w:t>
      </w:r>
      <w:r w:rsidRPr="003E1F05">
        <w:t xml:space="preserve"> in 2013 dollars). Cohen </w:t>
      </w:r>
      <w:r w:rsidRPr="003E1F05">
        <w:rPr>
          <w:i/>
        </w:rPr>
        <w:t>et al.</w:t>
      </w:r>
      <w:r w:rsidRPr="003E1F05">
        <w:t xml:space="preserve"> concluded that patient selection is critical for cost-effective use of insulin pumps and that it was unlikely that the use of insulin pumps in those already well controlled on multiple daily injections would be cost-effective (2007). The literature review of observational studies indicated that greater HbA</w:t>
      </w:r>
      <w:r w:rsidRPr="003E1F05">
        <w:rPr>
          <w:vertAlign w:val="subscript"/>
        </w:rPr>
        <w:t>1c</w:t>
      </w:r>
      <w:r w:rsidRPr="003E1F05">
        <w:t xml:space="preserve"> reductions </w:t>
      </w:r>
      <w:proofErr w:type="gramStart"/>
      <w:r w:rsidRPr="003E1F05">
        <w:t>were generally achieved</w:t>
      </w:r>
      <w:proofErr w:type="gramEnd"/>
      <w:r w:rsidRPr="003E1F05">
        <w:t xml:space="preserve"> with insulin pump therapy in those with higher baseline HbA</w:t>
      </w:r>
      <w:r w:rsidRPr="003E1F05">
        <w:rPr>
          <w:vertAlign w:val="subscript"/>
        </w:rPr>
        <w:t>1c</w:t>
      </w:r>
      <w:r w:rsidRPr="003E1F05">
        <w:t xml:space="preserve"> levels.</w:t>
      </w:r>
    </w:p>
    <w:p w:rsidR="002F006C" w:rsidRPr="003E1F05" w:rsidRDefault="005B7A4B" w:rsidP="005B7A4B">
      <w:pPr>
        <w:spacing w:before="240"/>
      </w:pPr>
      <w:r w:rsidRPr="003E1F05">
        <w:t xml:space="preserve">Cummins </w:t>
      </w:r>
      <w:r w:rsidRPr="003E1F05">
        <w:rPr>
          <w:i/>
        </w:rPr>
        <w:t>et al.</w:t>
      </w:r>
      <w:r w:rsidRPr="003E1F05">
        <w:t xml:space="preserve"> undertook a review of the cost-effectiveness of insulin pump therapy and found that most studies assumed an HbA</w:t>
      </w:r>
      <w:r w:rsidRPr="003E1F05">
        <w:rPr>
          <w:vertAlign w:val="subscript"/>
        </w:rPr>
        <w:t>1c</w:t>
      </w:r>
      <w:r w:rsidRPr="003E1F05">
        <w:t xml:space="preserve"> reduction of 1.2% as the base case, and concluded that insulin pump therapy was cost-effective with an anticipated survival gain of 0.8–0.9 years. However, the models were highly sensitive to assumed HbA</w:t>
      </w:r>
      <w:r w:rsidRPr="003E1F05">
        <w:rPr>
          <w:vertAlign w:val="subscript"/>
        </w:rPr>
        <w:t>1c</w:t>
      </w:r>
      <w:r w:rsidRPr="003E1F05">
        <w:t xml:space="preserve"> reductions </w:t>
      </w:r>
      <w:r w:rsidRPr="003E1F05">
        <w:rPr>
          <w:szCs w:val="24"/>
        </w:rPr>
        <w:t>and did not generally consider productivity costs and some quality of life factors</w:t>
      </w:r>
      <w:r w:rsidRPr="003E1F05">
        <w:t xml:space="preserve"> (2010). In their model, Cummins </w:t>
      </w:r>
      <w:r w:rsidRPr="003E1F05">
        <w:rPr>
          <w:i/>
        </w:rPr>
        <w:t>et al.</w:t>
      </w:r>
      <w:r w:rsidRPr="003E1F05">
        <w:t xml:space="preserve"> estimated the incremental cost-effectiveness ratio at £53,788 per quality-adjusted life year for insulin pump therapy assuming an HbA</w:t>
      </w:r>
      <w:r w:rsidRPr="003E1F05">
        <w:rPr>
          <w:vertAlign w:val="subscript"/>
        </w:rPr>
        <w:t>1c</w:t>
      </w:r>
      <w:r w:rsidRPr="003E1F05">
        <w:t xml:space="preserve"> reduction of 0.6%. This is equivalent to &gt;$A110</w:t>
      </w:r>
      <w:proofErr w:type="gramStart"/>
      <w:r w:rsidRPr="003E1F05">
        <w:t>,000</w:t>
      </w:r>
      <w:proofErr w:type="gramEnd"/>
      <w:r w:rsidRPr="003E1F05">
        <w:t xml:space="preserve"> in 2013. </w:t>
      </w:r>
    </w:p>
    <w:p w:rsidR="005B7A4B" w:rsidRPr="003E1F05" w:rsidRDefault="005B7A4B" w:rsidP="005B7A4B">
      <w:pPr>
        <w:spacing w:before="240"/>
      </w:pPr>
      <w:r w:rsidRPr="003E1F05">
        <w:t>A UK study looking at hypoglycaemia and DKA only, over a period of eight years, concluded that insulin pumps were most cost-effective in patients with severe and/or unpredictable hypoglycaemia requiring hospitalisation at least once a year (</w:t>
      </w:r>
      <w:proofErr w:type="spellStart"/>
      <w:r w:rsidRPr="003E1F05">
        <w:t>Scuffham</w:t>
      </w:r>
      <w:proofErr w:type="spellEnd"/>
      <w:r w:rsidRPr="003E1F05">
        <w:t xml:space="preserve"> &amp; Carr 2003). </w:t>
      </w:r>
    </w:p>
    <w:p w:rsidR="005B7A4B" w:rsidRPr="00D52454" w:rsidRDefault="005B7A4B" w:rsidP="002F006C">
      <w:pPr>
        <w:pStyle w:val="Heading2"/>
        <w:keepNext/>
        <w:keepLines/>
        <w:rPr>
          <w:highlight w:val="yellow"/>
        </w:rPr>
      </w:pPr>
      <w:bookmarkStart w:id="205" w:name="_Toc375212116"/>
      <w:bookmarkStart w:id="206" w:name="_Toc381090944"/>
      <w:bookmarkStart w:id="207" w:name="_Toc387664345"/>
      <w:r w:rsidRPr="00D52454">
        <w:lastRenderedPageBreak/>
        <w:t>5.5</w:t>
      </w:r>
      <w:r w:rsidRPr="00D52454">
        <w:tab/>
        <w:t xml:space="preserve">Insulin pump use </w:t>
      </w:r>
      <w:bookmarkStart w:id="208" w:name="_Toc373482093"/>
      <w:bookmarkEnd w:id="204"/>
      <w:bookmarkEnd w:id="205"/>
      <w:r w:rsidRPr="00D52454">
        <w:rPr>
          <w:szCs w:val="26"/>
        </w:rPr>
        <w:t xml:space="preserve">under the </w:t>
      </w:r>
      <w:proofErr w:type="spellStart"/>
      <w:r w:rsidRPr="00D52454">
        <w:rPr>
          <w:szCs w:val="26"/>
        </w:rPr>
        <w:t>Programme</w:t>
      </w:r>
      <w:bookmarkEnd w:id="206"/>
      <w:bookmarkEnd w:id="207"/>
      <w:bookmarkEnd w:id="208"/>
      <w:proofErr w:type="spellEnd"/>
    </w:p>
    <w:p w:rsidR="005B7A4B" w:rsidRPr="003E1F05" w:rsidRDefault="005B7A4B" w:rsidP="002F006C">
      <w:pPr>
        <w:keepNext/>
        <w:keepLines/>
        <w:spacing w:after="0"/>
      </w:pPr>
      <w:r w:rsidRPr="003E1F05">
        <w:t xml:space="preserve">The following figures </w:t>
      </w:r>
      <w:proofErr w:type="gramStart"/>
      <w:r w:rsidRPr="003E1F05">
        <w:t>are derived</w:t>
      </w:r>
      <w:proofErr w:type="gramEnd"/>
      <w:r w:rsidRPr="003E1F05">
        <w:t xml:space="preserve"> from the data collected and supplied by JDRF on the Insulin Pump Programme. The data collected includes:</w:t>
      </w:r>
    </w:p>
    <w:p w:rsidR="005B7A4B" w:rsidRPr="003E1F05" w:rsidRDefault="005B7A4B" w:rsidP="005B7A4B">
      <w:pPr>
        <w:numPr>
          <w:ilvl w:val="0"/>
          <w:numId w:val="15"/>
        </w:numPr>
        <w:spacing w:after="0"/>
        <w:contextualSpacing/>
      </w:pPr>
      <w:r w:rsidRPr="003E1F05">
        <w:t>age/sex of the recipient;</w:t>
      </w:r>
    </w:p>
    <w:p w:rsidR="005B7A4B" w:rsidRPr="003E1F05" w:rsidRDefault="005B7A4B" w:rsidP="005B7A4B">
      <w:pPr>
        <w:numPr>
          <w:ilvl w:val="0"/>
          <w:numId w:val="15"/>
        </w:numPr>
        <w:spacing w:after="0"/>
        <w:contextualSpacing/>
      </w:pPr>
      <w:r w:rsidRPr="003E1F05">
        <w:t>date of receipt;</w:t>
      </w:r>
    </w:p>
    <w:p w:rsidR="005B7A4B" w:rsidRPr="003E1F05" w:rsidRDefault="005B7A4B" w:rsidP="005B7A4B">
      <w:pPr>
        <w:numPr>
          <w:ilvl w:val="0"/>
          <w:numId w:val="15"/>
        </w:numPr>
        <w:spacing w:after="0"/>
        <w:contextualSpacing/>
      </w:pPr>
      <w:r w:rsidRPr="003E1F05">
        <w:t>pump brand;</w:t>
      </w:r>
    </w:p>
    <w:p w:rsidR="005B7A4B" w:rsidRPr="003E1F05" w:rsidRDefault="005B7A4B" w:rsidP="005B7A4B">
      <w:pPr>
        <w:numPr>
          <w:ilvl w:val="0"/>
          <w:numId w:val="15"/>
        </w:numPr>
        <w:spacing w:after="0"/>
        <w:contextualSpacing/>
      </w:pPr>
      <w:r w:rsidRPr="003E1F05">
        <w:t>household income;</w:t>
      </w:r>
    </w:p>
    <w:p w:rsidR="005B7A4B" w:rsidRPr="003E1F05" w:rsidRDefault="005B7A4B" w:rsidP="005B7A4B">
      <w:pPr>
        <w:numPr>
          <w:ilvl w:val="0"/>
          <w:numId w:val="15"/>
        </w:numPr>
        <w:spacing w:after="0"/>
        <w:contextualSpacing/>
      </w:pPr>
      <w:r w:rsidRPr="003E1F05">
        <w:t xml:space="preserve">co-payment amount; and </w:t>
      </w:r>
    </w:p>
    <w:p w:rsidR="005B7A4B" w:rsidRPr="003E1F05" w:rsidRDefault="005B7A4B" w:rsidP="005B7A4B">
      <w:pPr>
        <w:numPr>
          <w:ilvl w:val="0"/>
          <w:numId w:val="15"/>
        </w:numPr>
        <w:contextualSpacing/>
      </w:pPr>
      <w:proofErr w:type="gramStart"/>
      <w:r w:rsidRPr="003E1F05">
        <w:t>co-payment</w:t>
      </w:r>
      <w:proofErr w:type="gramEnd"/>
      <w:r w:rsidRPr="003E1F05">
        <w:t xml:space="preserve"> assistance indicator.</w:t>
      </w:r>
    </w:p>
    <w:p w:rsidR="005B7A4B" w:rsidRPr="003E1F05" w:rsidRDefault="005B7A4B" w:rsidP="005B7A4B">
      <w:pPr>
        <w:spacing w:before="360"/>
      </w:pPr>
      <w:r w:rsidRPr="003E1F05">
        <w:t xml:space="preserve">Up to 31 December 2012, 439 insulin pumps </w:t>
      </w:r>
      <w:proofErr w:type="gramStart"/>
      <w:r w:rsidRPr="003E1F05">
        <w:t>had been provided</w:t>
      </w:r>
      <w:proofErr w:type="gramEnd"/>
      <w:r w:rsidRPr="003E1F05">
        <w:t xml:space="preserve"> to eligible patients under the Programme (JDRF 2013). </w:t>
      </w:r>
      <w:r w:rsidRPr="003E1F05">
        <w:rPr>
          <w:u w:val="single"/>
        </w:rPr>
        <w:t>Figure 2</w:t>
      </w:r>
      <w:r w:rsidRPr="003E1F05">
        <w:t xml:space="preserve"> shows the number of insulin pumps provided by brand each year under the Programme. The Medtronic Paradigm </w:t>
      </w:r>
      <w:proofErr w:type="spellStart"/>
      <w:r w:rsidRPr="003E1F05">
        <w:t>Veo</w:t>
      </w:r>
      <w:proofErr w:type="spellEnd"/>
      <w:r w:rsidRPr="003E1F05">
        <w:t xml:space="preserve"> 754 is the most commonly supplied pump at 47%.</w:t>
      </w:r>
    </w:p>
    <w:p w:rsidR="005B7A4B" w:rsidRPr="003E1F05" w:rsidRDefault="005B7A4B" w:rsidP="005B7A4B">
      <w:pPr>
        <w:rPr>
          <w:rFonts w:eastAsia="Calibri"/>
          <w:lang w:val="en-US"/>
        </w:rPr>
      </w:pPr>
      <w:r w:rsidRPr="003E1F05">
        <w:rPr>
          <w:u w:val="single"/>
        </w:rPr>
        <w:t>Figure 3</w:t>
      </w:r>
      <w:r w:rsidRPr="003E1F05">
        <w:t xml:space="preserve"> shows the total number of pumps supplied each year under the Programme. </w:t>
      </w:r>
      <w:r w:rsidRPr="003E1F05">
        <w:rPr>
          <w:rFonts w:eastAsia="Calibri"/>
          <w:lang w:val="en-US"/>
        </w:rPr>
        <w:t xml:space="preserve">The uptake of the </w:t>
      </w:r>
      <w:proofErr w:type="spellStart"/>
      <w:r w:rsidRPr="003E1F05">
        <w:rPr>
          <w:rFonts w:eastAsia="Calibri"/>
          <w:lang w:val="en-US"/>
        </w:rPr>
        <w:t>Programme</w:t>
      </w:r>
      <w:proofErr w:type="spellEnd"/>
      <w:r w:rsidRPr="003E1F05">
        <w:rPr>
          <w:rFonts w:eastAsia="Calibri"/>
          <w:lang w:val="en-US"/>
        </w:rPr>
        <w:t xml:space="preserve"> increased significantly due to an agreement in October 2011 between the manufacturers and JDRF to pay the co-payment amount for families in the lowest income threshold of </w:t>
      </w:r>
      <w:r w:rsidRPr="003E1F05">
        <w:rPr>
          <w:rFonts w:eastAsia="Calibri"/>
          <w:i/>
          <w:lang w:val="en-US"/>
        </w:rPr>
        <w:t>Family Tax Benefit Part A</w:t>
      </w:r>
      <w:r w:rsidRPr="003E1F05">
        <w:rPr>
          <w:rFonts w:eastAsia="Calibri"/>
          <w:lang w:val="en-US"/>
        </w:rPr>
        <w:t xml:space="preserve">. This resulted in the lowest income families receiving a pump at no cost. Subsequently, in the 2012-13 financial </w:t>
      </w:r>
      <w:proofErr w:type="gramStart"/>
      <w:r w:rsidRPr="003E1F05">
        <w:rPr>
          <w:rFonts w:eastAsia="Calibri"/>
          <w:lang w:val="en-US"/>
        </w:rPr>
        <w:t>year</w:t>
      </w:r>
      <w:proofErr w:type="gramEnd"/>
      <w:r w:rsidRPr="003E1F05">
        <w:rPr>
          <w:rFonts w:eastAsia="Calibri"/>
          <w:lang w:val="en-US"/>
        </w:rPr>
        <w:t xml:space="preserve">, </w:t>
      </w:r>
      <w:proofErr w:type="spellStart"/>
      <w:r w:rsidRPr="003E1F05">
        <w:rPr>
          <w:rFonts w:eastAsia="Calibri"/>
          <w:lang w:val="en-US"/>
        </w:rPr>
        <w:t>Programme</w:t>
      </w:r>
      <w:proofErr w:type="spellEnd"/>
      <w:r w:rsidRPr="003E1F05">
        <w:rPr>
          <w:rFonts w:eastAsia="Calibri"/>
          <w:lang w:val="en-US"/>
        </w:rPr>
        <w:t xml:space="preserve"> funding was exhausted by September 2012, and no more pumps were provided under the </w:t>
      </w:r>
      <w:proofErr w:type="spellStart"/>
      <w:r w:rsidRPr="003E1F05">
        <w:rPr>
          <w:rFonts w:eastAsia="Calibri"/>
          <w:lang w:val="en-US"/>
        </w:rPr>
        <w:t>Programme</w:t>
      </w:r>
      <w:proofErr w:type="spellEnd"/>
      <w:r w:rsidRPr="003E1F05">
        <w:rPr>
          <w:rFonts w:eastAsia="Calibri"/>
          <w:lang w:val="en-US"/>
        </w:rPr>
        <w:t xml:space="preserve"> beyond 31 December 2012. This explains the drop in the number of pumps supplied in 2012-13 seen in </w:t>
      </w:r>
      <w:r w:rsidRPr="003E1F05">
        <w:rPr>
          <w:rFonts w:eastAsia="Calibri"/>
          <w:u w:val="single"/>
          <w:lang w:val="en-US"/>
        </w:rPr>
        <w:t>Figure 3</w:t>
      </w:r>
      <w:r w:rsidRPr="003E1F05">
        <w:rPr>
          <w:rFonts w:eastAsia="Calibri"/>
          <w:lang w:val="en-US"/>
        </w:rPr>
        <w:t xml:space="preserve">. </w:t>
      </w:r>
    </w:p>
    <w:p w:rsidR="005B7A4B" w:rsidRPr="003E1F05" w:rsidRDefault="005B7A4B" w:rsidP="005B7A4B">
      <w:pPr>
        <w:rPr>
          <w:rFonts w:eastAsia="Calibri"/>
        </w:rPr>
      </w:pPr>
      <w:r w:rsidRPr="003E1F05">
        <w:rPr>
          <w:rFonts w:eastAsia="Calibri"/>
          <w:u w:val="single"/>
        </w:rPr>
        <w:t>Figure 4</w:t>
      </w:r>
      <w:r w:rsidRPr="003E1F05">
        <w:rPr>
          <w:rFonts w:eastAsia="Calibri"/>
        </w:rPr>
        <w:t xml:space="preserve"> shows the age distribution of insulin pump recipients under the Programme. Further information on the breakdown of insulin pump brand utilisation </w:t>
      </w:r>
      <w:proofErr w:type="gramStart"/>
      <w:r w:rsidRPr="003E1F05">
        <w:rPr>
          <w:rFonts w:eastAsia="Calibri"/>
        </w:rPr>
        <w:t>is detailed</w:t>
      </w:r>
      <w:proofErr w:type="gramEnd"/>
      <w:r w:rsidRPr="003E1F05">
        <w:rPr>
          <w:rFonts w:eastAsia="Calibri"/>
        </w:rPr>
        <w:t xml:space="preserve"> in </w:t>
      </w:r>
      <w:r w:rsidRPr="003E1F05">
        <w:rPr>
          <w:rFonts w:eastAsia="Calibri"/>
          <w:u w:val="single"/>
        </w:rPr>
        <w:t>Appendix C</w:t>
      </w:r>
      <w:r w:rsidRPr="003E1F05">
        <w:rPr>
          <w:b/>
        </w:rPr>
        <w:t>.</w:t>
      </w:r>
    </w:p>
    <w:p w:rsidR="005B7A4B" w:rsidRPr="003E1F05" w:rsidRDefault="005B7A4B" w:rsidP="005B7A4B">
      <w:pPr>
        <w:rPr>
          <w:rFonts w:eastAsia="Calibri"/>
          <w:sz w:val="28"/>
          <w:lang w:val="en-US"/>
        </w:rPr>
      </w:pPr>
      <w:r w:rsidRPr="003E1F05">
        <w:rPr>
          <w:noProof/>
          <w:lang w:eastAsia="en-AU"/>
        </w:rPr>
        <w:lastRenderedPageBreak/>
        <w:drawing>
          <wp:inline distT="0" distB="0" distL="0" distR="0" wp14:anchorId="22708B59" wp14:editId="529EA967">
            <wp:extent cx="5964555" cy="362585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roofErr w:type="gramStart"/>
      <w:r w:rsidRPr="003E1F05">
        <w:rPr>
          <w:b/>
          <w:bCs/>
          <w:szCs w:val="24"/>
          <w:lang w:val="en-US"/>
        </w:rPr>
        <w:t>Figure 2.</w:t>
      </w:r>
      <w:proofErr w:type="gramEnd"/>
      <w:r w:rsidRPr="003E1F05">
        <w:rPr>
          <w:b/>
          <w:bCs/>
          <w:szCs w:val="24"/>
          <w:lang w:val="en-US"/>
        </w:rPr>
        <w:t xml:space="preserve"> Number of insulin pumps administered under the </w:t>
      </w:r>
      <w:proofErr w:type="spellStart"/>
      <w:r w:rsidRPr="003E1F05">
        <w:rPr>
          <w:b/>
          <w:bCs/>
          <w:szCs w:val="24"/>
          <w:lang w:val="en-US"/>
        </w:rPr>
        <w:t>Programme</w:t>
      </w:r>
      <w:proofErr w:type="spellEnd"/>
      <w:r w:rsidRPr="003E1F05">
        <w:rPr>
          <w:b/>
          <w:bCs/>
          <w:szCs w:val="24"/>
          <w:lang w:val="en-US"/>
        </w:rPr>
        <w:t xml:space="preserve"> by brand and financial year.</w:t>
      </w:r>
      <w:r w:rsidRPr="003E1F05">
        <w:rPr>
          <w:rFonts w:eastAsia="Calibri"/>
          <w:sz w:val="28"/>
          <w:lang w:val="en-US"/>
        </w:rPr>
        <w:t xml:space="preserve"> </w:t>
      </w:r>
    </w:p>
    <w:p w:rsidR="005B7A4B" w:rsidRPr="003E1F05" w:rsidRDefault="005B7A4B" w:rsidP="005B7A4B">
      <w:pPr>
        <w:rPr>
          <w:rFonts w:eastAsia="Calibri"/>
          <w:lang w:val="en-US"/>
        </w:rPr>
      </w:pPr>
    </w:p>
    <w:p w:rsidR="005B7A4B" w:rsidRPr="003E1F05" w:rsidRDefault="005B7A4B" w:rsidP="005B7A4B">
      <w:pPr>
        <w:keepNext/>
        <w:keepLines/>
      </w:pPr>
      <w:r w:rsidRPr="003E1F05">
        <w:rPr>
          <w:noProof/>
          <w:lang w:eastAsia="en-AU"/>
        </w:rPr>
        <w:drawing>
          <wp:inline distT="0" distB="0" distL="0" distR="0" wp14:anchorId="2BD5A69E" wp14:editId="3E65B8D7">
            <wp:extent cx="5327015" cy="288163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B7A4B" w:rsidRPr="003E1F05" w:rsidRDefault="005B7A4B" w:rsidP="005B7A4B">
      <w:pPr>
        <w:rPr>
          <w:b/>
        </w:rPr>
      </w:pPr>
      <w:bookmarkStart w:id="209" w:name="_Toc373482094"/>
      <w:proofErr w:type="gramStart"/>
      <w:r w:rsidRPr="003E1F05">
        <w:rPr>
          <w:b/>
        </w:rPr>
        <w:t>Figure 3.</w:t>
      </w:r>
      <w:proofErr w:type="gramEnd"/>
      <w:r w:rsidRPr="003E1F05">
        <w:rPr>
          <w:b/>
        </w:rPr>
        <w:t xml:space="preserve"> Total number of insulin pumps administered under the Programme by financial year.</w:t>
      </w:r>
      <w:bookmarkEnd w:id="209"/>
    </w:p>
    <w:p w:rsidR="005B7A4B" w:rsidRPr="003E1F05" w:rsidRDefault="005B7A4B" w:rsidP="005B7A4B">
      <w:pPr>
        <w:rPr>
          <w:rFonts w:eastAsia="Calibri"/>
          <w:lang w:val="en-US" w:eastAsia="en-AU"/>
        </w:rPr>
      </w:pPr>
    </w:p>
    <w:p w:rsidR="005B7A4B" w:rsidRPr="003E1F05" w:rsidRDefault="005B7A4B" w:rsidP="005B7A4B"/>
    <w:p w:rsidR="005B7A4B" w:rsidRPr="003E1F05" w:rsidRDefault="005B7A4B" w:rsidP="005B7A4B">
      <w:r w:rsidRPr="003E1F05">
        <w:rPr>
          <w:noProof/>
          <w:lang w:eastAsia="en-AU"/>
        </w:rPr>
        <w:lastRenderedPageBreak/>
        <w:drawing>
          <wp:inline distT="0" distB="0" distL="0" distR="0" wp14:anchorId="5F70E7D8" wp14:editId="097B3E36">
            <wp:extent cx="4582795" cy="304101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B7A4B" w:rsidRPr="003E1F05" w:rsidRDefault="005B7A4B" w:rsidP="005B7A4B">
      <w:pPr>
        <w:rPr>
          <w:b/>
        </w:rPr>
      </w:pPr>
      <w:bookmarkStart w:id="210" w:name="_Toc373482096"/>
      <w:proofErr w:type="gramStart"/>
      <w:r w:rsidRPr="003E1F05">
        <w:rPr>
          <w:b/>
        </w:rPr>
        <w:t>Figure 4.</w:t>
      </w:r>
      <w:proofErr w:type="gramEnd"/>
      <w:r w:rsidRPr="003E1F05">
        <w:rPr>
          <w:b/>
        </w:rPr>
        <w:t xml:space="preserve"> Number of insulin pumps administered under the Programme by age group</w:t>
      </w:r>
      <w:bookmarkEnd w:id="210"/>
      <w:r w:rsidRPr="003E1F05">
        <w:rPr>
          <w:b/>
        </w:rPr>
        <w:t>.</w:t>
      </w:r>
    </w:p>
    <w:p w:rsidR="005B7A4B" w:rsidRPr="003E1F05" w:rsidRDefault="005B7A4B" w:rsidP="005B7A4B">
      <w:pPr>
        <w:rPr>
          <w:rFonts w:eastAsia="Calibri"/>
          <w:lang w:val="en-US" w:eastAsia="en-AU"/>
        </w:rPr>
      </w:pPr>
      <w:bookmarkStart w:id="211" w:name="_Toc373482098"/>
      <w:bookmarkStart w:id="212" w:name="_Toc375212117"/>
      <w:r w:rsidRPr="003E1F05">
        <w:rPr>
          <w:noProof/>
          <w:lang w:eastAsia="en-AU"/>
        </w:rPr>
        <w:drawing>
          <wp:inline distT="0" distB="0" distL="0" distR="0" wp14:anchorId="580E50F1" wp14:editId="384417A6">
            <wp:extent cx="5734050" cy="4019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B7A4B" w:rsidRPr="003E1F05" w:rsidRDefault="005B7A4B" w:rsidP="005B7A4B">
      <w:pPr>
        <w:rPr>
          <w:b/>
        </w:rPr>
      </w:pPr>
      <w:proofErr w:type="gramStart"/>
      <w:r w:rsidRPr="003E1F05">
        <w:rPr>
          <w:b/>
        </w:rPr>
        <w:t>Figure 5.</w:t>
      </w:r>
      <w:proofErr w:type="gramEnd"/>
      <w:r w:rsidRPr="003E1F05">
        <w:rPr>
          <w:b/>
        </w:rPr>
        <w:t xml:space="preserve"> Programme recipient income ranges for 2008-09 to 2012-13.</w:t>
      </w:r>
    </w:p>
    <w:p w:rsidR="005B7A4B" w:rsidRPr="003E1F05" w:rsidRDefault="005B7A4B" w:rsidP="005B7A4B">
      <w:pPr>
        <w:rPr>
          <w:rFonts w:eastAsia="Calibri"/>
          <w:lang w:val="en-US" w:eastAsia="en-AU"/>
        </w:rPr>
      </w:pPr>
    </w:p>
    <w:p w:rsidR="005B7A4B" w:rsidRPr="00D52454" w:rsidRDefault="005B7A4B" w:rsidP="005B7A4B">
      <w:pPr>
        <w:pStyle w:val="Heading2"/>
        <w:keepNext/>
        <w:keepLines/>
      </w:pPr>
      <w:bookmarkStart w:id="213" w:name="_Toc381090945"/>
      <w:bookmarkStart w:id="214" w:name="_Toc387664346"/>
      <w:r w:rsidRPr="00D52454">
        <w:lastRenderedPageBreak/>
        <w:t>5.6</w:t>
      </w:r>
      <w:r w:rsidRPr="00D52454">
        <w:tab/>
      </w:r>
      <w:bookmarkEnd w:id="211"/>
      <w:r w:rsidRPr="00D52454">
        <w:t>Issues identified</w:t>
      </w:r>
      <w:bookmarkEnd w:id="212"/>
      <w:bookmarkEnd w:id="213"/>
      <w:bookmarkEnd w:id="214"/>
    </w:p>
    <w:p w:rsidR="005B7A4B" w:rsidRPr="00787F54" w:rsidRDefault="005B7A4B" w:rsidP="005B7A4B">
      <w:pPr>
        <w:pStyle w:val="Heading3"/>
        <w:keepLines/>
        <w:rPr>
          <w:rFonts w:eastAsia="Calibri"/>
          <w:lang w:eastAsia="en-AU"/>
        </w:rPr>
      </w:pPr>
      <w:bookmarkStart w:id="215" w:name="_Toc373482076"/>
      <w:r w:rsidRPr="00787F54">
        <w:rPr>
          <w:rFonts w:eastAsia="Calibri"/>
          <w:lang w:eastAsia="en-AU"/>
        </w:rPr>
        <w:t>5.6.1</w:t>
      </w:r>
      <w:r w:rsidRPr="00787F54">
        <w:rPr>
          <w:rFonts w:eastAsia="Calibri"/>
          <w:lang w:eastAsia="en-AU"/>
        </w:rPr>
        <w:tab/>
        <w:t>Patient affordability</w:t>
      </w:r>
      <w:bookmarkEnd w:id="215"/>
    </w:p>
    <w:p w:rsidR="005B7A4B" w:rsidRPr="003E1F05" w:rsidRDefault="005B7A4B" w:rsidP="005B7A4B">
      <w:pPr>
        <w:keepNext/>
        <w:keepLines/>
        <w:autoSpaceDE w:val="0"/>
        <w:autoSpaceDN w:val="0"/>
        <w:adjustRightInd w:val="0"/>
        <w:rPr>
          <w:rFonts w:cs="Calibri"/>
        </w:rPr>
      </w:pPr>
      <w:r w:rsidRPr="003E1F05">
        <w:rPr>
          <w:rFonts w:cs="Calibri"/>
        </w:rPr>
        <w:t xml:space="preserve">Due to the Health Technology Assessment Review </w:t>
      </w:r>
      <w:r w:rsidRPr="003E1F05">
        <w:t>finalised in February 2010 by the Medical Benefits Division, Department of Health</w:t>
      </w:r>
      <w:r w:rsidRPr="003E1F05">
        <w:rPr>
          <w:rFonts w:cs="Calibri"/>
        </w:rPr>
        <w:t xml:space="preserve">, the minimum benefit amounts for insulin pumps on the Prostheses List increased from 1 August 2012. The Programme’s capped subsidy is now less than 80% of the most expensive and most used pump available under the Programme, which has a minimum benefit cost of $9,500. </w:t>
      </w:r>
      <w:r w:rsidRPr="003E1F05">
        <w:t>For this pump, the patient co-payment ranges from $3,100 to $8,550, dependent on family income. Families on the lowest eligible incomes</w:t>
      </w:r>
      <w:r w:rsidRPr="003E1F05">
        <w:rPr>
          <w:rFonts w:cs="Calibri"/>
        </w:rPr>
        <w:t xml:space="preserve"> of under $71,230 (2013-14) per annum are unlikely to be able to afford the co-payment gap, which has increased from $1,600 to $3,100 for the most used pump, without further subsidy or the assistance of manufacturers. </w:t>
      </w:r>
    </w:p>
    <w:p w:rsidR="005B7A4B" w:rsidRPr="003E1F05" w:rsidRDefault="005B7A4B" w:rsidP="005B7A4B">
      <w:pPr>
        <w:autoSpaceDE w:val="0"/>
        <w:autoSpaceDN w:val="0"/>
        <w:adjustRightInd w:val="0"/>
      </w:pPr>
      <w:r w:rsidRPr="003E1F05">
        <w:rPr>
          <w:rFonts w:cs="Calibri"/>
        </w:rPr>
        <w:t>In October 2011, some manufacturers agreed to cover the co-payment gap for the lowest income families, which increased use of the Programme. Most manufacturers have not confirmed their position to continue co-payment support following the increases to the minimum benefit prices on the Prostheses List. The current availability of assistance with the cost of the co-payment makes it difficult to determine whether the subsidy available is the most effective amount.</w:t>
      </w:r>
    </w:p>
    <w:p w:rsidR="005B7A4B" w:rsidRPr="003E1F05" w:rsidRDefault="005B7A4B" w:rsidP="005B7A4B">
      <w:pPr>
        <w:autoSpaceDE w:val="0"/>
        <w:autoSpaceDN w:val="0"/>
        <w:adjustRightInd w:val="0"/>
      </w:pPr>
      <w:r w:rsidRPr="003E1F05">
        <w:rPr>
          <w:rFonts w:cs="Calibri"/>
        </w:rPr>
        <w:t xml:space="preserve">For </w:t>
      </w:r>
      <w:r w:rsidRPr="003E1F05">
        <w:t xml:space="preserve">eligible families on incomes between </w:t>
      </w:r>
      <w:r w:rsidRPr="003E1F05">
        <w:rPr>
          <w:rFonts w:cs="Calibri"/>
        </w:rPr>
        <w:t>$71,230 and $101,653 (2013-14) per annum</w:t>
      </w:r>
      <w:r w:rsidRPr="003E1F05">
        <w:t>, it is likely to be less expensive to have private hospital insurance than to access an insulin pump under the Programme, particularly for the first pump.  The cost of private health insurance varies between insurers</w:t>
      </w:r>
      <w:r w:rsidR="002F006C" w:rsidRPr="003E1F05">
        <w:t>,</w:t>
      </w:r>
      <w:r w:rsidRPr="003E1F05">
        <w:t xml:space="preserve"> and states and territories in Australia. </w:t>
      </w:r>
      <w:r w:rsidR="002F006C" w:rsidRPr="003E1F05">
        <w:t>I</w:t>
      </w:r>
      <w:r w:rsidRPr="003E1F05">
        <w:t>n general, a single parent with children up to 18 years of age can get top hospital cover for around $1300–$2100 per annum inclusive of the 30% Government rebate (Private Health Insurance Ombudsman, 2014).</w:t>
      </w:r>
      <w:r w:rsidRPr="003E1F05">
        <w:rPr>
          <w:rStyle w:val="FootnoteReference"/>
          <w:rFonts w:eastAsia="Calibri"/>
        </w:rPr>
        <w:footnoteReference w:id="3"/>
      </w:r>
      <w:r w:rsidRPr="003E1F05">
        <w:t xml:space="preserve"> Some insurers will allow a single child to </w:t>
      </w:r>
      <w:proofErr w:type="gramStart"/>
      <w:r w:rsidRPr="003E1F05">
        <w:t>be insured</w:t>
      </w:r>
      <w:proofErr w:type="gramEnd"/>
      <w:r w:rsidRPr="003E1F05">
        <w:t xml:space="preserve">, which may further reduce costs. There is usually a 12-month waiting period for the first insulin pump. For subsequent pumps, where the pump </w:t>
      </w:r>
      <w:proofErr w:type="gramStart"/>
      <w:r w:rsidRPr="003E1F05">
        <w:t>is not fitted</w:t>
      </w:r>
      <w:proofErr w:type="gramEnd"/>
      <w:r w:rsidRPr="003E1F05">
        <w:t xml:space="preserve"> in a hospital or as part of hospital substitute treatment, insurers may require patients to maintain their insurance at a certain level in the intervening years.</w:t>
      </w:r>
    </w:p>
    <w:p w:rsidR="005B7A4B" w:rsidRPr="003E1F05" w:rsidRDefault="005B7A4B" w:rsidP="005B7A4B">
      <w:pPr>
        <w:autoSpaceDE w:val="0"/>
        <w:autoSpaceDN w:val="0"/>
        <w:adjustRightInd w:val="0"/>
      </w:pPr>
      <w:r w:rsidRPr="003E1F05">
        <w:t xml:space="preserve">The median family income data shown in Figure 5 indicates that families on incomes ranging from </w:t>
      </w:r>
      <w:r w:rsidRPr="003E1F05">
        <w:rPr>
          <w:rFonts w:cs="Calibri"/>
        </w:rPr>
        <w:t>$71,230-$101,653(2013-14) per annum</w:t>
      </w:r>
      <w:r w:rsidRPr="003E1F05">
        <w:t xml:space="preserve"> rarely access the Programme and make up less than 7% of Programme recipients (JDRF data). In addition, the AIHW’s insulin pump user survey identified that for 12-17 year olds the highest proportion of insulin pump users were those in the highest socioeconomic group (46%) followed by those in the lowest socioeconomic group (39%),  while for those over 17 years, the proportion of insulin pump use increased with socioeconomic status. This </w:t>
      </w:r>
      <w:r w:rsidR="002F006C" w:rsidRPr="003E1F05">
        <w:t xml:space="preserve">difference </w:t>
      </w:r>
      <w:proofErr w:type="gramStart"/>
      <w:r w:rsidRPr="003E1F05">
        <w:t>was attributed</w:t>
      </w:r>
      <w:proofErr w:type="gramEnd"/>
      <w:r w:rsidRPr="003E1F05">
        <w:t xml:space="preserve"> to the effect of subsidy and pump loan schemes (AIHW 2012b). </w:t>
      </w:r>
    </w:p>
    <w:p w:rsidR="005B7A4B" w:rsidRPr="003E1F05" w:rsidRDefault="005B7A4B" w:rsidP="005B7A4B">
      <w:pPr>
        <w:autoSpaceDE w:val="0"/>
        <w:autoSpaceDN w:val="0"/>
        <w:adjustRightInd w:val="0"/>
      </w:pPr>
      <w:r w:rsidRPr="003E1F05">
        <w:lastRenderedPageBreak/>
        <w:t xml:space="preserve">The co-payment gap </w:t>
      </w:r>
      <w:proofErr w:type="gramStart"/>
      <w:r w:rsidRPr="003E1F05">
        <w:t>was designed</w:t>
      </w:r>
      <w:proofErr w:type="gramEnd"/>
      <w:r w:rsidRPr="003E1F05">
        <w:t xml:space="preserve"> to equal the cost of private health insurance for a period of 12 months, the waiting period before a person is eligible for a rebate for an insulin pump under private health insurance. The patient co-payment for the most used pump under the Programme is now significantly more than the cost of private health insurance, even for families on the lowest eligible incomes.</w:t>
      </w:r>
      <w:r w:rsidR="002F006C" w:rsidRPr="003E1F05">
        <w:t xml:space="preserve"> However, f</w:t>
      </w:r>
      <w:r w:rsidRPr="003E1F05">
        <w:t xml:space="preserve">or subsequent insulin pumps, the Programme </w:t>
      </w:r>
      <w:r w:rsidR="002F006C" w:rsidRPr="003E1F05">
        <w:t xml:space="preserve">may </w:t>
      </w:r>
      <w:r w:rsidRPr="003E1F05">
        <w:t>be a less expensive option than private health insura</w:t>
      </w:r>
      <w:r w:rsidR="002F006C" w:rsidRPr="003E1F05">
        <w:t>nce, depending on family income</w:t>
      </w:r>
      <w:r w:rsidRPr="003E1F05">
        <w:t xml:space="preserve"> </w:t>
      </w:r>
      <w:r w:rsidR="002F006C" w:rsidRPr="003E1F05">
        <w:t xml:space="preserve">and insurance requirements regarding the </w:t>
      </w:r>
      <w:r w:rsidRPr="003E1F05">
        <w:t xml:space="preserve">level of cover </w:t>
      </w:r>
      <w:r w:rsidR="002F006C" w:rsidRPr="003E1F05">
        <w:t xml:space="preserve">and maintenance </w:t>
      </w:r>
      <w:r w:rsidRPr="003E1F05">
        <w:t>of cover in the intervening years.</w:t>
      </w:r>
    </w:p>
    <w:p w:rsidR="005B7A4B" w:rsidRPr="00787F54" w:rsidRDefault="005B7A4B" w:rsidP="005B7A4B">
      <w:pPr>
        <w:pStyle w:val="Heading3"/>
      </w:pPr>
      <w:bookmarkStart w:id="216" w:name="_5.6.2_Dependency_on"/>
      <w:bookmarkStart w:id="217" w:name="_Toc373482078"/>
      <w:bookmarkEnd w:id="216"/>
      <w:r w:rsidRPr="00787F54">
        <w:t>5.6.2</w:t>
      </w:r>
      <w:r w:rsidRPr="00787F54">
        <w:tab/>
        <w:t>Dependency on the Prostheses List</w:t>
      </w:r>
      <w:bookmarkEnd w:id="217"/>
    </w:p>
    <w:p w:rsidR="009E27CD" w:rsidRPr="003E1F05" w:rsidRDefault="005B7A4B" w:rsidP="005B7A4B">
      <w:r w:rsidRPr="003E1F05">
        <w:t xml:space="preserve">The Programme supplies insulin pumps that are available on the Prostheses List. The benefit amounts on this List </w:t>
      </w:r>
      <w:proofErr w:type="gramStart"/>
      <w:r w:rsidRPr="003E1F05">
        <w:t>are negotiated</w:t>
      </w:r>
      <w:proofErr w:type="gramEnd"/>
      <w:r w:rsidRPr="003E1F05">
        <w:t xml:space="preserve"> between private health insurers and pump manufacturers, mediated by the Department. Although PLAC’s increased focus is on assessing new listing for devices based on comparative- and cost-effectiveness, for existing products there has previously been limited information provided by manufacturers to support cost-effectiveness for insulin pump products on the Prostheses List. Maintaining the link between the Programme and the Prostheses List may not be sustainable or appropriate, although there will remain a need for evidence to be provided to inform funding decisions in relation to pumps available under the Programme. </w:t>
      </w:r>
    </w:p>
    <w:p w:rsidR="005B7A4B" w:rsidRPr="003E1F05" w:rsidRDefault="005B7A4B" w:rsidP="005B7A4B">
      <w:r w:rsidRPr="003E1F05">
        <w:t xml:space="preserve">Pumps not on the Prostheses list can be recommended and </w:t>
      </w:r>
      <w:r w:rsidR="009E27CD" w:rsidRPr="003E1F05">
        <w:t xml:space="preserve">in such </w:t>
      </w:r>
      <w:proofErr w:type="gramStart"/>
      <w:r w:rsidR="009E27CD" w:rsidRPr="003E1F05">
        <w:t>cases</w:t>
      </w:r>
      <w:proofErr w:type="gramEnd"/>
      <w:r w:rsidR="009E27CD" w:rsidRPr="003E1F05">
        <w:t xml:space="preserve"> </w:t>
      </w:r>
      <w:r w:rsidRPr="003E1F05">
        <w:t xml:space="preserve">the applicable cost </w:t>
      </w:r>
      <w:r w:rsidR="009E27CD" w:rsidRPr="003E1F05">
        <w:t xml:space="preserve">is </w:t>
      </w:r>
      <w:r w:rsidRPr="003E1F05">
        <w:t xml:space="preserve">determined by JDRF and the Department of Health. Several factors </w:t>
      </w:r>
      <w:r w:rsidR="009E27CD" w:rsidRPr="003E1F05">
        <w:t xml:space="preserve">are </w:t>
      </w:r>
      <w:r w:rsidRPr="003E1F05">
        <w:t xml:space="preserve">considered including the insulin pump </w:t>
      </w:r>
      <w:proofErr w:type="gramStart"/>
      <w:r w:rsidRPr="003E1F05">
        <w:t>manufacturer’s</w:t>
      </w:r>
      <w:proofErr w:type="gramEnd"/>
      <w:r w:rsidRPr="003E1F05">
        <w:t xml:space="preserve"> recommended retail price, the prescribed minimum benefit payable for comparable insulin pumps listed on the Prostheses List and other information determined to be relevant at the time. </w:t>
      </w:r>
    </w:p>
    <w:p w:rsidR="005B7A4B" w:rsidRPr="003E1F05" w:rsidRDefault="005B7A4B" w:rsidP="005B7A4B">
      <w:r w:rsidRPr="003E1F05">
        <w:br w:type="page"/>
      </w:r>
    </w:p>
    <w:p w:rsidR="005B7A4B" w:rsidRPr="00D52454" w:rsidRDefault="005B7A4B" w:rsidP="005B7A4B">
      <w:pPr>
        <w:pStyle w:val="Heading1"/>
        <w:rPr>
          <w:rStyle w:val="Heading2Char"/>
          <w:b/>
          <w:color w:val="auto"/>
        </w:rPr>
      </w:pPr>
      <w:bookmarkStart w:id="218" w:name="_Toc381090946"/>
      <w:bookmarkStart w:id="219" w:name="_Toc387664347"/>
      <w:r>
        <w:lastRenderedPageBreak/>
        <w:t xml:space="preserve">Part 6 – </w:t>
      </w:r>
      <w:proofErr w:type="spellStart"/>
      <w:r>
        <w:t>ToR</w:t>
      </w:r>
      <w:proofErr w:type="spellEnd"/>
      <w:r>
        <w:t xml:space="preserve"> 10</w:t>
      </w:r>
      <w:r>
        <w:br/>
        <w:t>Programme eligibility</w:t>
      </w:r>
      <w:bookmarkEnd w:id="180"/>
      <w:r>
        <w:t xml:space="preserve"> criteria</w:t>
      </w:r>
      <w:bookmarkEnd w:id="218"/>
      <w:bookmarkEnd w:id="219"/>
    </w:p>
    <w:p w:rsidR="005B7A4B" w:rsidRPr="003E1F05" w:rsidRDefault="005B7A4B" w:rsidP="005B7A4B">
      <w:pPr>
        <w:pBdr>
          <w:top w:val="single" w:sz="4" w:space="1" w:color="auto"/>
          <w:left w:val="single" w:sz="4" w:space="4" w:color="auto"/>
          <w:bottom w:val="single" w:sz="4" w:space="1" w:color="auto"/>
          <w:right w:val="single" w:sz="4" w:space="4" w:color="auto"/>
        </w:pBdr>
        <w:shd w:val="clear" w:color="auto" w:fill="F2F2F2"/>
      </w:pPr>
      <w:bookmarkStart w:id="220" w:name="_Consider_the_clinical"/>
      <w:bookmarkEnd w:id="220"/>
      <w:r w:rsidRPr="003E1F05">
        <w:t>Consider the clinical criteria and eligibility under the Insulin Pump Programme, to ensure those who would most benefit from insulin pump therapy receive support to assist in their care.</w:t>
      </w:r>
    </w:p>
    <w:p w:rsidR="005B7A4B" w:rsidRPr="00D52454" w:rsidRDefault="005B7A4B" w:rsidP="005B7A4B">
      <w:pPr>
        <w:pStyle w:val="Heading2"/>
      </w:pPr>
      <w:bookmarkStart w:id="221" w:name="_Toc381090947"/>
      <w:bookmarkStart w:id="222" w:name="_Toc387664348"/>
      <w:bookmarkStart w:id="223" w:name="_Toc373829627"/>
      <w:r w:rsidRPr="00D52454">
        <w:t>6.1</w:t>
      </w:r>
      <w:r w:rsidRPr="00D52454">
        <w:tab/>
        <w:t xml:space="preserve">Key findings for </w:t>
      </w:r>
      <w:proofErr w:type="spellStart"/>
      <w:r w:rsidRPr="00D52454">
        <w:t>ToR</w:t>
      </w:r>
      <w:proofErr w:type="spellEnd"/>
      <w:r w:rsidRPr="00D52454">
        <w:t xml:space="preserve"> 10</w:t>
      </w:r>
      <w:bookmarkEnd w:id="221"/>
      <w:bookmarkEnd w:id="222"/>
    </w:p>
    <w:p w:rsidR="005B7A4B" w:rsidRPr="003E1F05" w:rsidRDefault="005B7A4B" w:rsidP="005B7A4B">
      <w:pPr>
        <w:shd w:val="clear" w:color="auto" w:fill="F2F2F2" w:themeFill="background1" w:themeFillShade="F2"/>
        <w:spacing w:after="160"/>
        <w:rPr>
          <w:b/>
          <w:i/>
        </w:rPr>
      </w:pPr>
      <w:r w:rsidRPr="003E1F05">
        <w:rPr>
          <w:b/>
          <w:i/>
        </w:rPr>
        <w:t>Literature review: RCTs and observational studies</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eastAsia="Calibri" w:hAnsi="Cambria"/>
          <w:sz w:val="24"/>
          <w:szCs w:val="24"/>
        </w:rPr>
        <w:t>T</w:t>
      </w:r>
      <w:r w:rsidRPr="003E1F05">
        <w:rPr>
          <w:rFonts w:ascii="Cambria" w:hAnsi="Cambria"/>
          <w:sz w:val="24"/>
          <w:szCs w:val="24"/>
        </w:rPr>
        <w:t>he evidence does not specifically define a particular sub-group in the type 1 diabetes population that receives greater benefit from insulin pump therapy.</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eastAsia="Calibri" w:hAnsi="Cambria"/>
          <w:sz w:val="24"/>
          <w:szCs w:val="24"/>
        </w:rPr>
        <w:t xml:space="preserve">Systematic reviews of RCTs comparing insulin pump therapy and multiple daily injections have not undertaken sub-group analyses of children on characteristics other than age. </w:t>
      </w:r>
      <w:r w:rsidRPr="003E1F05">
        <w:rPr>
          <w:rFonts w:ascii="Cambria" w:hAnsi="Cambria"/>
          <w:sz w:val="24"/>
          <w:szCs w:val="24"/>
        </w:rPr>
        <w:t xml:space="preserve">Two small observational studies suggest that insulin pump therapy may be more beneficial in children under 6 years </w:t>
      </w:r>
      <w:proofErr w:type="gramStart"/>
      <w:r w:rsidRPr="003E1F05">
        <w:rPr>
          <w:rFonts w:ascii="Cambria" w:hAnsi="Cambria"/>
          <w:sz w:val="24"/>
          <w:szCs w:val="24"/>
        </w:rPr>
        <w:t>old,</w:t>
      </w:r>
      <w:proofErr w:type="gramEnd"/>
      <w:r w:rsidRPr="003E1F05">
        <w:rPr>
          <w:rFonts w:ascii="Cambria" w:hAnsi="Cambria"/>
          <w:sz w:val="24"/>
          <w:szCs w:val="24"/>
        </w:rPr>
        <w:t xml:space="preserve"> or when initiated in children under 6 years old. There is also some evidence from observational studies that patients with higher initial HbA</w:t>
      </w:r>
      <w:r w:rsidRPr="003E1F05">
        <w:rPr>
          <w:rFonts w:ascii="Cambria" w:hAnsi="Cambria"/>
          <w:sz w:val="24"/>
          <w:szCs w:val="24"/>
          <w:vertAlign w:val="subscript"/>
        </w:rPr>
        <w:t>1c</w:t>
      </w:r>
      <w:r w:rsidRPr="003E1F05">
        <w:rPr>
          <w:rFonts w:ascii="Cambria" w:hAnsi="Cambria"/>
          <w:sz w:val="24"/>
          <w:szCs w:val="24"/>
        </w:rPr>
        <w:t xml:space="preserve"> may achieve greater reductions in HbA</w:t>
      </w:r>
      <w:r w:rsidRPr="003E1F05">
        <w:rPr>
          <w:rFonts w:ascii="Cambria" w:hAnsi="Cambria"/>
          <w:sz w:val="24"/>
          <w:szCs w:val="24"/>
          <w:vertAlign w:val="subscript"/>
        </w:rPr>
        <w:t>1c</w:t>
      </w:r>
      <w:r w:rsidRPr="003E1F05">
        <w:rPr>
          <w:rFonts w:ascii="Cambria" w:hAnsi="Cambria"/>
          <w:sz w:val="24"/>
          <w:szCs w:val="24"/>
        </w:rPr>
        <w:t xml:space="preserve"> with insulin pump therapy.</w:t>
      </w:r>
    </w:p>
    <w:p w:rsidR="005B7A4B" w:rsidRPr="003E1F05" w:rsidRDefault="005B7A4B" w:rsidP="005B7A4B">
      <w:pPr>
        <w:shd w:val="clear" w:color="auto" w:fill="F2F2F2" w:themeFill="background1" w:themeFillShade="F2"/>
        <w:spacing w:after="160"/>
        <w:rPr>
          <w:b/>
          <w:i/>
        </w:rPr>
      </w:pPr>
      <w:r w:rsidRPr="003E1F05">
        <w:rPr>
          <w:b/>
          <w:i/>
        </w:rPr>
        <w:t>Literature review: Australian and international clinical guidelines</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With regard to children and adolescents, the Programme’s eligibility criteria and the practice points for initiation of insulin pump therapy under the Australian clinical guidelines for type </w:t>
      </w:r>
      <w:proofErr w:type="gramStart"/>
      <w:r w:rsidRPr="003E1F05">
        <w:rPr>
          <w:rFonts w:ascii="Cambria" w:hAnsi="Cambria"/>
          <w:sz w:val="24"/>
          <w:szCs w:val="24"/>
        </w:rPr>
        <w:t>1 di</w:t>
      </w:r>
      <w:r w:rsidR="009E27CD" w:rsidRPr="003E1F05">
        <w:rPr>
          <w:rFonts w:ascii="Cambria" w:hAnsi="Cambria"/>
          <w:sz w:val="24"/>
          <w:szCs w:val="24"/>
        </w:rPr>
        <w:t>abetes</w:t>
      </w:r>
      <w:proofErr w:type="gramEnd"/>
      <w:r w:rsidR="009E27CD" w:rsidRPr="003E1F05">
        <w:rPr>
          <w:rFonts w:ascii="Cambria" w:hAnsi="Cambria"/>
          <w:sz w:val="24"/>
          <w:szCs w:val="24"/>
        </w:rPr>
        <w:t xml:space="preserve"> (Craig </w:t>
      </w:r>
      <w:r w:rsidR="009E27CD" w:rsidRPr="003E1F05">
        <w:rPr>
          <w:rFonts w:ascii="Cambria" w:hAnsi="Cambria"/>
          <w:i/>
          <w:sz w:val="24"/>
          <w:szCs w:val="24"/>
        </w:rPr>
        <w:t>et al.</w:t>
      </w:r>
      <w:r w:rsidRPr="003E1F05">
        <w:rPr>
          <w:rFonts w:ascii="Cambria" w:hAnsi="Cambria"/>
          <w:sz w:val="24"/>
          <w:szCs w:val="24"/>
        </w:rPr>
        <w:t xml:space="preserve"> 2011) are similar and include technological and cognitive capacity to manage use of the pump, and high levels of patient/carer motivation to intensively manage diabetes. </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Most guidelines indicate that the decision to initiate insulin pump therapy is ultimately at the discretion of a healthcare professional in consultation with the patient or carer.</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Guidelines often recommend insulin pump therapy </w:t>
      </w:r>
      <w:proofErr w:type="gramStart"/>
      <w:r w:rsidRPr="003E1F05">
        <w:rPr>
          <w:rFonts w:ascii="Cambria" w:hAnsi="Cambria"/>
          <w:sz w:val="24"/>
          <w:szCs w:val="24"/>
        </w:rPr>
        <w:t>for:</w:t>
      </w:r>
      <w:proofErr w:type="gramEnd"/>
      <w:r w:rsidRPr="003E1F05">
        <w:rPr>
          <w:rFonts w:ascii="Cambria" w:hAnsi="Cambria"/>
          <w:sz w:val="24"/>
          <w:szCs w:val="24"/>
        </w:rPr>
        <w:t xml:space="preserve"> children under 12 years where multiple daily injections are impractical; women who are pregnant or trying to conceive; and anyone with poor glycaemic control as indicated by frequent severe hypoglycaemia, hypoglycaemia unawareness, dawn phenomenon, or development of microvascular complications.</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It </w:t>
      </w:r>
      <w:proofErr w:type="gramStart"/>
      <w:r w:rsidRPr="003E1F05">
        <w:rPr>
          <w:rFonts w:ascii="Cambria" w:hAnsi="Cambria"/>
          <w:sz w:val="24"/>
          <w:szCs w:val="24"/>
        </w:rPr>
        <w:t>is also generally recommended</w:t>
      </w:r>
      <w:proofErr w:type="gramEnd"/>
      <w:r w:rsidRPr="003E1F05">
        <w:rPr>
          <w:rFonts w:ascii="Cambria" w:hAnsi="Cambria"/>
          <w:sz w:val="24"/>
          <w:szCs w:val="24"/>
        </w:rPr>
        <w:t xml:space="preserve"> that patients/carers are supported by a team of health professionals, and have the technical and physical skills, and motivation, to use insulin pump therapy effectively.</w:t>
      </w:r>
    </w:p>
    <w:p w:rsidR="005B7A4B" w:rsidRPr="003E1F05" w:rsidRDefault="005B7A4B" w:rsidP="005B7A4B">
      <w:pPr>
        <w:shd w:val="clear" w:color="auto" w:fill="F2F2F2" w:themeFill="background1" w:themeFillShade="F2"/>
        <w:spacing w:after="160"/>
        <w:rPr>
          <w:b/>
          <w:i/>
        </w:rPr>
      </w:pPr>
      <w:r w:rsidRPr="003E1F05">
        <w:rPr>
          <w:b/>
          <w:i/>
        </w:rPr>
        <w:t>Stakeholder input</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eastAsia="Calibri" w:hAnsi="Cambria"/>
          <w:sz w:val="24"/>
          <w:szCs w:val="24"/>
        </w:rPr>
        <w:lastRenderedPageBreak/>
        <w:t xml:space="preserve">Advice from APEG indicates that the current Programme eligibility criteria are appropriate for children. APEG considered that there is a risk of inequitable distribution of insulin pump use from creating eligibility criteria without strong clinical evidence and that there is insufficient evidence on which to base any additional criteria. </w:t>
      </w:r>
      <w:r w:rsidRPr="003E1F05">
        <w:rPr>
          <w:rFonts w:ascii="Cambria" w:hAnsi="Cambria"/>
          <w:sz w:val="24"/>
          <w:szCs w:val="24"/>
        </w:rPr>
        <w:t>APEG advised that, ideally, there would not be age-limits for the Programme.</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Stakeholders were unanimously supportive of the benefits of insulin pump therapy </w:t>
      </w:r>
      <w:proofErr w:type="gramStart"/>
      <w:r w:rsidRPr="003E1F05">
        <w:rPr>
          <w:rFonts w:ascii="Cambria" w:hAnsi="Cambria"/>
          <w:sz w:val="24"/>
          <w:szCs w:val="24"/>
        </w:rPr>
        <w:t>and also</w:t>
      </w:r>
      <w:proofErr w:type="gramEnd"/>
      <w:r w:rsidRPr="003E1F05">
        <w:rPr>
          <w:rFonts w:ascii="Cambria" w:hAnsi="Cambria"/>
          <w:sz w:val="24"/>
          <w:szCs w:val="24"/>
        </w:rPr>
        <w:t xml:space="preserve"> recommended expanding the Programme to all ages.</w:t>
      </w:r>
    </w:p>
    <w:p w:rsidR="005B7A4B" w:rsidRPr="003E1F05" w:rsidRDefault="005B7A4B" w:rsidP="005B7A4B">
      <w:pPr>
        <w:shd w:val="clear" w:color="auto" w:fill="F2F2F2" w:themeFill="background1" w:themeFillShade="F2"/>
        <w:spacing w:after="160"/>
        <w:rPr>
          <w:b/>
          <w:i/>
        </w:rPr>
      </w:pPr>
      <w:r w:rsidRPr="003E1F05">
        <w:rPr>
          <w:b/>
          <w:i/>
        </w:rPr>
        <w:t>Reference Group input</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proofErr w:type="gramStart"/>
      <w:r w:rsidRPr="003E1F05">
        <w:rPr>
          <w:rFonts w:ascii="Cambria" w:hAnsi="Cambria"/>
          <w:sz w:val="24"/>
          <w:szCs w:val="24"/>
        </w:rPr>
        <w:t>Members considered that prioritisation of patients is</w:t>
      </w:r>
      <w:proofErr w:type="gramEnd"/>
      <w:r w:rsidRPr="003E1F05">
        <w:rPr>
          <w:rFonts w:ascii="Cambria" w:hAnsi="Cambria"/>
          <w:sz w:val="24"/>
          <w:szCs w:val="24"/>
        </w:rPr>
        <w:t xml:space="preserve"> a difficult issue. Patients with heightened risk of hypoglycaemia, those with a significant impairment to quality of life with multiple daily injections, young children who are not yet able perform multiple daily injections, and patients who have tried other methods but </w:t>
      </w:r>
      <w:proofErr w:type="gramStart"/>
      <w:r w:rsidRPr="003E1F05">
        <w:rPr>
          <w:rFonts w:ascii="Cambria" w:hAnsi="Cambria"/>
          <w:sz w:val="24"/>
          <w:szCs w:val="24"/>
        </w:rPr>
        <w:t>are still shown</w:t>
      </w:r>
      <w:proofErr w:type="gramEnd"/>
      <w:r w:rsidRPr="003E1F05">
        <w:rPr>
          <w:rFonts w:ascii="Cambria" w:hAnsi="Cambria"/>
          <w:sz w:val="24"/>
          <w:szCs w:val="24"/>
        </w:rPr>
        <w:t xml:space="preserve"> to have poor glycaemic control, may be groups to target for insulin pump therapy. This latter group could be problematic because potential behavioural issues </w:t>
      </w:r>
      <w:proofErr w:type="gramStart"/>
      <w:r w:rsidRPr="003E1F05">
        <w:rPr>
          <w:rFonts w:ascii="Cambria" w:hAnsi="Cambria"/>
          <w:sz w:val="24"/>
          <w:szCs w:val="24"/>
        </w:rPr>
        <w:t>may not have been addressed</w:t>
      </w:r>
      <w:proofErr w:type="gramEnd"/>
      <w:r w:rsidRPr="003E1F05">
        <w:rPr>
          <w:rFonts w:ascii="Cambria" w:hAnsi="Cambria"/>
          <w:sz w:val="24"/>
          <w:szCs w:val="24"/>
        </w:rPr>
        <w:t>.</w:t>
      </w:r>
    </w:p>
    <w:p w:rsidR="005B7A4B" w:rsidRPr="003E1F05" w:rsidRDefault="005B7A4B" w:rsidP="005B7A4B">
      <w:pPr>
        <w:shd w:val="clear" w:color="auto" w:fill="F2F2F2" w:themeFill="background1" w:themeFillShade="F2"/>
        <w:spacing w:after="160"/>
        <w:rPr>
          <w:rFonts w:asciiTheme="majorHAnsi" w:hAnsiTheme="majorHAnsi"/>
          <w:b/>
          <w:i/>
          <w:szCs w:val="24"/>
        </w:rPr>
      </w:pPr>
      <w:r w:rsidRPr="003E1F05">
        <w:rPr>
          <w:rFonts w:asciiTheme="majorHAnsi" w:hAnsiTheme="majorHAnsi"/>
          <w:b/>
          <w:i/>
          <w:szCs w:val="24"/>
        </w:rPr>
        <w:t>Issues identified</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Reference Group members considered that continuity of care for patients who are turning 18 years old and are no longer eligible under the Programme was an important issue. These people are unlikely to be able to afford a new insulin pump or private health insurance.</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With the Programme in its fifth year of operation, many recipients may now be re</w:t>
      </w:r>
      <w:r w:rsidRPr="003E1F05">
        <w:rPr>
          <w:rFonts w:ascii="Cambria" w:hAnsi="Cambria"/>
          <w:sz w:val="24"/>
          <w:szCs w:val="24"/>
        </w:rPr>
        <w:noBreakHyphen/>
        <w:t>applying for another subsidy. This presents the issue of whom to give priority to in the waiting list: those who have received a pump previously, or those who have never received a subsidy through the Programme or have never used an insulin pump before.</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 xml:space="preserve">The Diabetes Review Internal Working Group suggested that Programme data </w:t>
      </w:r>
      <w:proofErr w:type="gramStart"/>
      <w:r w:rsidRPr="003E1F05">
        <w:rPr>
          <w:rFonts w:ascii="Cambria" w:hAnsi="Cambria"/>
          <w:sz w:val="24"/>
          <w:szCs w:val="24"/>
        </w:rPr>
        <w:t>be collected</w:t>
      </w:r>
      <w:proofErr w:type="gramEnd"/>
      <w:r w:rsidRPr="003E1F05">
        <w:rPr>
          <w:rFonts w:ascii="Cambria" w:hAnsi="Cambria"/>
          <w:sz w:val="24"/>
          <w:szCs w:val="24"/>
        </w:rPr>
        <w:t xml:space="preserve"> on Aboriginal and Torres Strait Islander status and rural and remote identifiers, to ensure that these people can access the Programme.</w:t>
      </w:r>
    </w:p>
    <w:p w:rsidR="005B7A4B" w:rsidRPr="003E1F05" w:rsidRDefault="005B7A4B" w:rsidP="005B7A4B">
      <w:pPr>
        <w:pStyle w:val="NoSpacing"/>
        <w:numPr>
          <w:ilvl w:val="0"/>
          <w:numId w:val="53"/>
        </w:numPr>
        <w:shd w:val="clear" w:color="auto" w:fill="F2F2F2" w:themeFill="background1" w:themeFillShade="F2"/>
        <w:spacing w:after="160" w:line="276" w:lineRule="auto"/>
        <w:ind w:left="426" w:hanging="426"/>
        <w:jc w:val="both"/>
        <w:rPr>
          <w:rFonts w:ascii="Cambria" w:hAnsi="Cambria"/>
          <w:sz w:val="24"/>
          <w:szCs w:val="24"/>
        </w:rPr>
      </w:pPr>
      <w:r w:rsidRPr="003E1F05">
        <w:rPr>
          <w:rFonts w:ascii="Cambria" w:hAnsi="Cambria"/>
          <w:sz w:val="24"/>
          <w:szCs w:val="24"/>
        </w:rPr>
        <w:t>A number of guidelines recommend access to insulin pumps for women with type 1 diabetes who are pregnant or trying to conceive. Stakeholders also highlighted the importance of access for this group. However, there is insufficient evidence available from randomised trials to determine which method of insulin delivery is superior for pregnant women.</w:t>
      </w:r>
    </w:p>
    <w:p w:rsidR="005B7A4B" w:rsidRPr="00D52454" w:rsidRDefault="005B7A4B" w:rsidP="005B7A4B">
      <w:pPr>
        <w:pStyle w:val="Heading2"/>
      </w:pPr>
      <w:bookmarkStart w:id="224" w:name="_Toc381090948"/>
      <w:bookmarkStart w:id="225" w:name="_Toc387664349"/>
      <w:r w:rsidRPr="00D52454">
        <w:t>6.2</w:t>
      </w:r>
      <w:r w:rsidRPr="00D52454">
        <w:tab/>
        <w:t>Introduction</w:t>
      </w:r>
      <w:bookmarkEnd w:id="223"/>
      <w:bookmarkEnd w:id="224"/>
      <w:bookmarkEnd w:id="225"/>
    </w:p>
    <w:p w:rsidR="005B7A4B" w:rsidRPr="003E1F05" w:rsidRDefault="005B7A4B" w:rsidP="005B7A4B">
      <w:pPr>
        <w:rPr>
          <w:rFonts w:eastAsia="Calibri"/>
        </w:rPr>
      </w:pPr>
      <w:r w:rsidRPr="003E1F05">
        <w:rPr>
          <w:rFonts w:eastAsia="Calibri"/>
        </w:rPr>
        <w:t xml:space="preserve">This section of the report aims to consider clinical criteria and eligibility under the Programme to ensure these remain clinically appropriate and supported by current </w:t>
      </w:r>
      <w:r w:rsidRPr="003E1F05">
        <w:rPr>
          <w:rFonts w:eastAsia="Calibri"/>
        </w:rPr>
        <w:lastRenderedPageBreak/>
        <w:t xml:space="preserve">evidence. The aim is to provide the best possible access to insulin pump therapy under the Programme, within the funding limits, for those who would benefit most. </w:t>
      </w:r>
    </w:p>
    <w:p w:rsidR="005B7A4B" w:rsidRPr="003E1F05" w:rsidRDefault="005B7A4B" w:rsidP="005B7A4B">
      <w:pPr>
        <w:rPr>
          <w:rFonts w:eastAsia="Calibri"/>
        </w:rPr>
      </w:pPr>
      <w:r w:rsidRPr="003E1F05">
        <w:rPr>
          <w:rFonts w:eastAsia="Calibri"/>
        </w:rPr>
        <w:t>The literature reviews of RCTs and observational studies undertaken by the QUMPRC aimed to identify sub-groups who may benefit more from insulin pump therapy. The Department also sought advice on appropriate clinical eligibility criteria for the Programme through stakeholder input, and expert advice from the Reference Group and APEG.</w:t>
      </w:r>
    </w:p>
    <w:p w:rsidR="005B7A4B" w:rsidRPr="003E1F05" w:rsidRDefault="005B7A4B" w:rsidP="005B7A4B">
      <w:pPr>
        <w:rPr>
          <w:bCs/>
          <w:szCs w:val="24"/>
        </w:rPr>
      </w:pPr>
      <w:r w:rsidRPr="003E1F05">
        <w:rPr>
          <w:bCs/>
          <w:szCs w:val="24"/>
        </w:rPr>
        <w:t xml:space="preserve">A number of national and international guidelines </w:t>
      </w:r>
      <w:proofErr w:type="gramStart"/>
      <w:r w:rsidRPr="003E1F05">
        <w:rPr>
          <w:bCs/>
          <w:szCs w:val="24"/>
        </w:rPr>
        <w:t>have been published</w:t>
      </w:r>
      <w:proofErr w:type="gramEnd"/>
      <w:r w:rsidRPr="003E1F05">
        <w:rPr>
          <w:bCs/>
          <w:szCs w:val="24"/>
        </w:rPr>
        <w:t xml:space="preserve"> on the management of type 1 diabetes and the use of insulin pumps in both paediatric and adult populations. This section summarises and compares a number of Australian and key international guidelines concerning the treatment of type 1 diabetes, with particular focus on recommendations on initiation of insulin pump therapy versus multiple daily injections. This section also </w:t>
      </w:r>
      <w:r w:rsidRPr="003E1F05">
        <w:rPr>
          <w:rFonts w:eastAsia="Calibri"/>
        </w:rPr>
        <w:t>compares access to, and eligibility criteria for, insulin pump subsidy programmes in other countries.</w:t>
      </w:r>
    </w:p>
    <w:p w:rsidR="005B7A4B" w:rsidRPr="00787F54" w:rsidRDefault="005B7A4B" w:rsidP="005B7A4B">
      <w:pPr>
        <w:pStyle w:val="Heading3"/>
      </w:pPr>
      <w:bookmarkStart w:id="226" w:name="_Toc373829629"/>
      <w:r w:rsidRPr="00787F54">
        <w:t>6.2.1</w:t>
      </w:r>
      <w:r w:rsidRPr="00787F54">
        <w:tab/>
        <w:t xml:space="preserve">Current clinical eligibility criteria for the Insulin Pump Programme </w:t>
      </w:r>
    </w:p>
    <w:p w:rsidR="005B7A4B" w:rsidRPr="003E1F05" w:rsidRDefault="005B7A4B" w:rsidP="005B7A4B">
      <w:pPr>
        <w:keepNext/>
        <w:keepLines/>
        <w:rPr>
          <w:rFonts w:eastAsia="Calibri"/>
          <w:szCs w:val="24"/>
        </w:rPr>
      </w:pPr>
      <w:r w:rsidRPr="003E1F05">
        <w:rPr>
          <w:rFonts w:eastAsia="Calibri"/>
          <w:szCs w:val="24"/>
        </w:rPr>
        <w:t>To be eligible for a subsidy under the Insulin Pump Programme, the patient must be under the age of 18 at the date of application, and meet the following clinical eligibility criteria:</w:t>
      </w:r>
    </w:p>
    <w:p w:rsidR="005B7A4B" w:rsidRPr="003E1F05" w:rsidRDefault="005B7A4B" w:rsidP="005B7A4B">
      <w:pPr>
        <w:keepNext/>
        <w:keepLines/>
        <w:numPr>
          <w:ilvl w:val="0"/>
          <w:numId w:val="5"/>
        </w:numPr>
        <w:contextualSpacing/>
        <w:rPr>
          <w:rFonts w:eastAsia="Calibri"/>
          <w:szCs w:val="24"/>
        </w:rPr>
      </w:pPr>
      <w:r w:rsidRPr="003E1F05">
        <w:rPr>
          <w:rFonts w:eastAsia="Calibri"/>
          <w:szCs w:val="24"/>
        </w:rPr>
        <w:t>the child has type 1 diabetes;</w:t>
      </w:r>
    </w:p>
    <w:p w:rsidR="005B7A4B" w:rsidRPr="003E1F05" w:rsidRDefault="005B7A4B" w:rsidP="005B7A4B">
      <w:pPr>
        <w:keepNext/>
        <w:keepLines/>
        <w:numPr>
          <w:ilvl w:val="0"/>
          <w:numId w:val="5"/>
        </w:numPr>
        <w:contextualSpacing/>
        <w:rPr>
          <w:rFonts w:eastAsia="Calibri"/>
          <w:szCs w:val="24"/>
        </w:rPr>
      </w:pPr>
      <w:r w:rsidRPr="003E1F05">
        <w:rPr>
          <w:rFonts w:eastAsia="Calibri"/>
          <w:szCs w:val="24"/>
        </w:rPr>
        <w:t>the child will benefit from a transition to insulin pump therapy;</w:t>
      </w:r>
    </w:p>
    <w:p w:rsidR="005B7A4B" w:rsidRPr="003E1F05" w:rsidRDefault="005B7A4B" w:rsidP="005B7A4B">
      <w:pPr>
        <w:keepNext/>
        <w:keepLines/>
        <w:numPr>
          <w:ilvl w:val="0"/>
          <w:numId w:val="5"/>
        </w:numPr>
        <w:contextualSpacing/>
        <w:rPr>
          <w:rFonts w:eastAsia="Calibri"/>
          <w:szCs w:val="24"/>
        </w:rPr>
      </w:pPr>
      <w:r w:rsidRPr="003E1F05">
        <w:rPr>
          <w:rFonts w:eastAsia="Calibri"/>
          <w:szCs w:val="24"/>
        </w:rPr>
        <w:t>the child/carer has demonstrated willingness to check blood glucose levels four or more times per day;</w:t>
      </w:r>
    </w:p>
    <w:p w:rsidR="005B7A4B" w:rsidRPr="003E1F05" w:rsidRDefault="005B7A4B" w:rsidP="005B7A4B">
      <w:pPr>
        <w:keepNext/>
        <w:keepLines/>
        <w:numPr>
          <w:ilvl w:val="0"/>
          <w:numId w:val="5"/>
        </w:numPr>
        <w:contextualSpacing/>
        <w:rPr>
          <w:rFonts w:eastAsia="Calibri"/>
          <w:szCs w:val="24"/>
        </w:rPr>
      </w:pPr>
      <w:r w:rsidRPr="003E1F05">
        <w:rPr>
          <w:rFonts w:eastAsia="Calibri"/>
          <w:szCs w:val="24"/>
        </w:rPr>
        <w:t>the child/carer has demonstrated competence at injecting insulin using pens/syringes;</w:t>
      </w:r>
    </w:p>
    <w:p w:rsidR="005B7A4B" w:rsidRPr="003E1F05" w:rsidRDefault="005B7A4B" w:rsidP="005B7A4B">
      <w:pPr>
        <w:keepNext/>
        <w:keepLines/>
        <w:numPr>
          <w:ilvl w:val="0"/>
          <w:numId w:val="5"/>
        </w:numPr>
        <w:contextualSpacing/>
        <w:rPr>
          <w:rFonts w:eastAsia="Calibri"/>
          <w:szCs w:val="24"/>
        </w:rPr>
      </w:pPr>
      <w:r w:rsidRPr="003E1F05">
        <w:rPr>
          <w:rFonts w:eastAsia="Calibri"/>
          <w:szCs w:val="24"/>
        </w:rPr>
        <w:t xml:space="preserve">the insulin pump initiation will be conducted by a multidisciplinary team; and </w:t>
      </w:r>
    </w:p>
    <w:p w:rsidR="005B7A4B" w:rsidRPr="003E1F05" w:rsidRDefault="005B7A4B" w:rsidP="005B7A4B">
      <w:pPr>
        <w:keepNext/>
        <w:keepLines/>
        <w:numPr>
          <w:ilvl w:val="0"/>
          <w:numId w:val="5"/>
        </w:numPr>
        <w:spacing w:before="240"/>
        <w:contextualSpacing/>
        <w:rPr>
          <w:rFonts w:eastAsia="Calibri"/>
          <w:szCs w:val="24"/>
        </w:rPr>
      </w:pPr>
      <w:proofErr w:type="gramStart"/>
      <w:r w:rsidRPr="003E1F05">
        <w:rPr>
          <w:rFonts w:eastAsia="Calibri"/>
          <w:szCs w:val="24"/>
        </w:rPr>
        <w:t>the</w:t>
      </w:r>
      <w:proofErr w:type="gramEnd"/>
      <w:r w:rsidRPr="003E1F05">
        <w:rPr>
          <w:rFonts w:eastAsia="Calibri"/>
          <w:szCs w:val="24"/>
        </w:rPr>
        <w:t xml:space="preserve"> initiating team makes a commitment to a transition and a system to ensure follow-up and ongoing support. </w:t>
      </w:r>
    </w:p>
    <w:p w:rsidR="005B7A4B" w:rsidRPr="00D52454" w:rsidRDefault="005B7A4B" w:rsidP="005B7A4B">
      <w:pPr>
        <w:pStyle w:val="Heading2"/>
      </w:pPr>
      <w:bookmarkStart w:id="227" w:name="_Toc381090949"/>
      <w:bookmarkStart w:id="228" w:name="_Toc387664350"/>
      <w:r w:rsidRPr="00D52454">
        <w:t>6.3</w:t>
      </w:r>
      <w:r w:rsidRPr="00D52454">
        <w:tab/>
        <w:t>Literature review: RCTs and observational studies</w:t>
      </w:r>
      <w:bookmarkEnd w:id="227"/>
      <w:bookmarkEnd w:id="228"/>
    </w:p>
    <w:p w:rsidR="005B7A4B" w:rsidRPr="003E1F05" w:rsidRDefault="005B7A4B" w:rsidP="005B7A4B">
      <w:r w:rsidRPr="003E1F05">
        <w:t xml:space="preserve">The literature reviews of RCTs and observational studies aimed to determine if there are any sub-groups of patients who may benefit more from insulin pump therapy and </w:t>
      </w:r>
      <w:proofErr w:type="gramStart"/>
      <w:r w:rsidRPr="003E1F05">
        <w:t>should be prioritised</w:t>
      </w:r>
      <w:proofErr w:type="gramEnd"/>
      <w:r w:rsidRPr="003E1F05">
        <w:t xml:space="preserve"> to receive a pump under the Programme. The studies generally showed significant decreases in HbA</w:t>
      </w:r>
      <w:r w:rsidRPr="003E1F05">
        <w:rPr>
          <w:vertAlign w:val="subscript"/>
        </w:rPr>
        <w:t>1c</w:t>
      </w:r>
      <w:r w:rsidRPr="003E1F05">
        <w:t xml:space="preserve">, though often not of a level considered clinically </w:t>
      </w:r>
      <w:proofErr w:type="gramStart"/>
      <w:r w:rsidRPr="003E1F05">
        <w:t>significant,</w:t>
      </w:r>
      <w:proofErr w:type="gramEnd"/>
      <w:r w:rsidRPr="003E1F05">
        <w:t xml:space="preserve"> and lower rates of severe hypoglycaemic events, with insulin pump therapy compared to multiple daily injections in children, adolescents and adults. There was more evidence for reduced rates of severe hypoglycaemia in children and adolescents </w:t>
      </w:r>
      <w:proofErr w:type="gramStart"/>
      <w:r w:rsidRPr="003E1F05">
        <w:t>than adults, due to a larger number of observational studies</w:t>
      </w:r>
      <w:proofErr w:type="gramEnd"/>
      <w:r w:rsidRPr="003E1F05">
        <w:t>.</w:t>
      </w:r>
    </w:p>
    <w:p w:rsidR="005B7A4B" w:rsidRPr="003E1F05" w:rsidRDefault="005B7A4B" w:rsidP="005B7A4B">
      <w:r w:rsidRPr="003E1F05">
        <w:rPr>
          <w:rFonts w:eastAsia="Calibri"/>
          <w:szCs w:val="24"/>
          <w:lang w:eastAsia="en-AU"/>
        </w:rPr>
        <w:t xml:space="preserve">There were no sub-group or sensitivity analyses in the systematic reviews that considered children’s characteristics other than age. The search included low health </w:t>
      </w:r>
      <w:r w:rsidRPr="003E1F05">
        <w:rPr>
          <w:rFonts w:eastAsia="Calibri"/>
          <w:szCs w:val="24"/>
          <w:lang w:eastAsia="en-AU"/>
        </w:rPr>
        <w:lastRenderedPageBreak/>
        <w:t xml:space="preserve">literacy and low socio-economic status. </w:t>
      </w:r>
      <w:r w:rsidRPr="003E1F05">
        <w:t xml:space="preserve">Two small observational studies suggest that insulin pump therapy may be more beneficial in children under 6 years old (Hughes </w:t>
      </w:r>
      <w:r w:rsidRPr="003E1F05">
        <w:rPr>
          <w:i/>
        </w:rPr>
        <w:t>et al.</w:t>
      </w:r>
      <w:r w:rsidRPr="003E1F05">
        <w:t xml:space="preserve"> 2012), or when initiated in children under 6 years old (Levy-</w:t>
      </w:r>
      <w:proofErr w:type="spellStart"/>
      <w:r w:rsidRPr="003E1F05">
        <w:t>Shagra</w:t>
      </w:r>
      <w:proofErr w:type="spellEnd"/>
      <w:r w:rsidRPr="003E1F05">
        <w:t xml:space="preserve"> </w:t>
      </w:r>
      <w:r w:rsidRPr="003E1F05">
        <w:rPr>
          <w:i/>
        </w:rPr>
        <w:t>et al.</w:t>
      </w:r>
      <w:r w:rsidRPr="003E1F05">
        <w:t xml:space="preserve"> 2013).</w:t>
      </w:r>
    </w:p>
    <w:p w:rsidR="005B7A4B" w:rsidRPr="003E1F05" w:rsidRDefault="005B7A4B" w:rsidP="005B7A4B">
      <w:pPr>
        <w:rPr>
          <w:rFonts w:asciiTheme="majorHAnsi" w:hAnsiTheme="majorHAnsi"/>
        </w:rPr>
      </w:pPr>
      <w:r w:rsidRPr="003E1F05">
        <w:rPr>
          <w:rFonts w:asciiTheme="majorHAnsi" w:hAnsiTheme="majorHAnsi"/>
        </w:rPr>
        <w:t xml:space="preserve">There is little evidence in the literature reviews to suggest there is a sub-group in the type 1 diabetes population that would receive significantly greater benefits from insulin pump therapy than other groups. Observational studies often used clinical criteria when selecting patients for insulin pump therapy, </w:t>
      </w:r>
      <w:proofErr w:type="gramStart"/>
      <w:r w:rsidRPr="003E1F05">
        <w:rPr>
          <w:rFonts w:asciiTheme="majorHAnsi" w:hAnsiTheme="majorHAnsi"/>
        </w:rPr>
        <w:t>including:</w:t>
      </w:r>
      <w:proofErr w:type="gramEnd"/>
      <w:r w:rsidRPr="003E1F05">
        <w:rPr>
          <w:rFonts w:asciiTheme="majorHAnsi" w:hAnsiTheme="majorHAnsi"/>
        </w:rPr>
        <w:t xml:space="preserve"> </w:t>
      </w:r>
      <w:r w:rsidRPr="003E1F05">
        <w:rPr>
          <w:rFonts w:asciiTheme="majorHAnsi" w:hAnsiTheme="majorHAnsi"/>
          <w:bCs/>
          <w:szCs w:val="24"/>
        </w:rPr>
        <w:t>poor glycaemic control, frequent hypoglycaemia, dawn phenomenon, need for lifestyle flexibility and needle phobia.</w:t>
      </w:r>
    </w:p>
    <w:p w:rsidR="005B7A4B" w:rsidRPr="00D52454" w:rsidRDefault="005B7A4B" w:rsidP="005B7A4B">
      <w:pPr>
        <w:pStyle w:val="Heading2"/>
        <w:keepNext/>
        <w:keepLines/>
      </w:pPr>
      <w:bookmarkStart w:id="229" w:name="_Toc381090950"/>
      <w:bookmarkStart w:id="230" w:name="_Toc387664351"/>
      <w:r w:rsidRPr="00D52454">
        <w:t>6.4</w:t>
      </w:r>
      <w:r w:rsidRPr="00D52454">
        <w:tab/>
        <w:t>Literature review: Australian and international clinical guidelines</w:t>
      </w:r>
      <w:bookmarkEnd w:id="229"/>
      <w:bookmarkEnd w:id="230"/>
    </w:p>
    <w:p w:rsidR="005B7A4B" w:rsidRPr="003E1F05" w:rsidRDefault="005B7A4B" w:rsidP="005B7A4B">
      <w:pPr>
        <w:keepNext/>
        <w:keepLines/>
        <w:rPr>
          <w:rFonts w:eastAsia="Calibri"/>
          <w:szCs w:val="24"/>
          <w:lang w:eastAsia="en-AU"/>
        </w:rPr>
      </w:pPr>
      <w:r w:rsidRPr="003E1F05">
        <w:t xml:space="preserve">The first literature review identified and compared recommendations for the use of insulin pump therapy from health professional and </w:t>
      </w:r>
      <w:proofErr w:type="gramStart"/>
      <w:r w:rsidRPr="003E1F05">
        <w:t>health technology assessment organisations</w:t>
      </w:r>
      <w:proofErr w:type="gramEnd"/>
      <w:r w:rsidRPr="003E1F05">
        <w:t xml:space="preserve"> in Australia and in countries with similar healthcare systems. </w:t>
      </w:r>
      <w:r w:rsidRPr="003E1F05">
        <w:rPr>
          <w:rFonts w:eastAsia="Calibri"/>
          <w:szCs w:val="24"/>
          <w:lang w:eastAsia="en-AU"/>
        </w:rPr>
        <w:t xml:space="preserve">Five guidelines on the use of insulin pump therapy </w:t>
      </w:r>
      <w:proofErr w:type="gramStart"/>
      <w:r w:rsidRPr="003E1F05">
        <w:rPr>
          <w:rFonts w:eastAsia="Calibri"/>
          <w:szCs w:val="24"/>
          <w:lang w:eastAsia="en-AU"/>
        </w:rPr>
        <w:t>were identified</w:t>
      </w:r>
      <w:proofErr w:type="gramEnd"/>
      <w:r w:rsidRPr="003E1F05">
        <w:rPr>
          <w:rFonts w:eastAsia="Calibri"/>
          <w:szCs w:val="24"/>
          <w:lang w:eastAsia="en-AU"/>
        </w:rPr>
        <w:t xml:space="preserve"> in Australia, Scotland, England, and the United States. New Zealand also has a position statement on insulin pump therapy. </w:t>
      </w:r>
      <w:r w:rsidRPr="003E1F05">
        <w:rPr>
          <w:rFonts w:asciiTheme="majorHAnsi" w:hAnsiTheme="majorHAnsi"/>
          <w:bCs/>
          <w:szCs w:val="24"/>
        </w:rPr>
        <w:t xml:space="preserve">A summary of the guidelines is at </w:t>
      </w:r>
      <w:r w:rsidRPr="003E1F05">
        <w:rPr>
          <w:rFonts w:asciiTheme="majorHAnsi" w:hAnsiTheme="majorHAnsi"/>
          <w:bCs/>
          <w:szCs w:val="24"/>
          <w:u w:val="single"/>
        </w:rPr>
        <w:t>Appendix D</w:t>
      </w:r>
      <w:r w:rsidRPr="003E1F05">
        <w:rPr>
          <w:rFonts w:asciiTheme="majorHAnsi" w:hAnsiTheme="majorHAnsi"/>
          <w:bCs/>
          <w:szCs w:val="24"/>
        </w:rPr>
        <w:t xml:space="preserve">. </w:t>
      </w:r>
      <w:r w:rsidRPr="003E1F05">
        <w:rPr>
          <w:rFonts w:eastAsia="Calibri"/>
          <w:szCs w:val="24"/>
          <w:lang w:eastAsia="en-AU"/>
        </w:rPr>
        <w:t xml:space="preserve">In </w:t>
      </w:r>
      <w:r w:rsidRPr="003E1F05">
        <w:rPr>
          <w:rFonts w:asciiTheme="majorHAnsi" w:hAnsiTheme="majorHAnsi"/>
          <w:bCs/>
          <w:szCs w:val="24"/>
        </w:rPr>
        <w:t xml:space="preserve">additional to the Australian guidelines identified in the literature review, other notable guidelines, including those listed on the NHMRC guideline portal </w:t>
      </w:r>
      <w:r w:rsidRPr="003E1F05">
        <w:t>for the diagnosis and management of type 1 diabetes,</w:t>
      </w:r>
      <w:r w:rsidRPr="003E1F05">
        <w:rPr>
          <w:rFonts w:asciiTheme="majorHAnsi" w:hAnsiTheme="majorHAnsi"/>
          <w:bCs/>
          <w:szCs w:val="24"/>
        </w:rPr>
        <w:t xml:space="preserve"> were also considered. Information on the guidelines currently hosted by the NHMRC guideline portal is at </w:t>
      </w:r>
      <w:r w:rsidRPr="003E1F05">
        <w:rPr>
          <w:rFonts w:asciiTheme="majorHAnsi" w:hAnsiTheme="majorHAnsi"/>
          <w:bCs/>
          <w:szCs w:val="24"/>
          <w:u w:val="single"/>
        </w:rPr>
        <w:t>Appendix E</w:t>
      </w:r>
      <w:r w:rsidRPr="003E1F05">
        <w:rPr>
          <w:rFonts w:asciiTheme="majorHAnsi" w:hAnsiTheme="majorHAnsi"/>
          <w:bCs/>
          <w:szCs w:val="24"/>
        </w:rPr>
        <w:t xml:space="preserve">. </w:t>
      </w:r>
    </w:p>
    <w:p w:rsidR="005B7A4B" w:rsidRPr="003E1F05" w:rsidRDefault="005B7A4B" w:rsidP="005B7A4B">
      <w:pPr>
        <w:rPr>
          <w:rFonts w:eastAsia="Calibri"/>
          <w:szCs w:val="24"/>
          <w:lang w:eastAsia="en-AU"/>
        </w:rPr>
      </w:pPr>
      <w:r w:rsidRPr="003E1F05">
        <w:rPr>
          <w:rFonts w:eastAsia="Calibri"/>
          <w:szCs w:val="24"/>
          <w:lang w:eastAsia="en-AU"/>
        </w:rPr>
        <w:t xml:space="preserve">The guidelines </w:t>
      </w:r>
      <w:proofErr w:type="gramStart"/>
      <w:r w:rsidRPr="003E1F05">
        <w:rPr>
          <w:rFonts w:eastAsia="Calibri"/>
          <w:szCs w:val="24"/>
          <w:lang w:eastAsia="en-AU"/>
        </w:rPr>
        <w:t>were in agreement</w:t>
      </w:r>
      <w:proofErr w:type="gramEnd"/>
      <w:r w:rsidRPr="003E1F05">
        <w:rPr>
          <w:rFonts w:eastAsia="Calibri"/>
          <w:szCs w:val="24"/>
          <w:lang w:eastAsia="en-AU"/>
        </w:rPr>
        <w:t xml:space="preserve"> that insulin pump therapy could be considered for improving glycaemic control, based on the results of meta-analyses and RCTs. Evidence for improving hypoglycaemia was based on the results of observational studies, primarily before-and-after studies. Evidence of this level </w:t>
      </w:r>
      <w:proofErr w:type="gramStart"/>
      <w:r w:rsidRPr="003E1F05">
        <w:rPr>
          <w:rFonts w:eastAsia="Calibri"/>
          <w:szCs w:val="24"/>
          <w:lang w:eastAsia="en-AU"/>
        </w:rPr>
        <w:t>is generally considered</w:t>
      </w:r>
      <w:proofErr w:type="gramEnd"/>
      <w:r w:rsidRPr="003E1F05">
        <w:rPr>
          <w:rFonts w:eastAsia="Calibri"/>
          <w:szCs w:val="24"/>
          <w:lang w:eastAsia="en-AU"/>
        </w:rPr>
        <w:t xml:space="preserve"> of low or very low quality with a high risk of bias. The guidelines provide criteria for selecting patients who may be likely to benefit from insulin pump therapy based on guideline committee members’ consensus opinion. </w:t>
      </w:r>
    </w:p>
    <w:p w:rsidR="005B7A4B" w:rsidRPr="00787F54" w:rsidRDefault="005B7A4B" w:rsidP="005B7A4B">
      <w:pPr>
        <w:pStyle w:val="Heading3"/>
      </w:pPr>
      <w:r w:rsidRPr="00787F54">
        <w:t>6.4.1</w:t>
      </w:r>
      <w:r w:rsidRPr="00787F54">
        <w:tab/>
        <w:t>Australia</w:t>
      </w:r>
      <w:bookmarkEnd w:id="226"/>
      <w:r w:rsidRPr="00787F54">
        <w:t>n clinical guidelines summary</w:t>
      </w:r>
    </w:p>
    <w:p w:rsidR="005B7A4B" w:rsidRPr="003E1F05" w:rsidRDefault="005B7A4B" w:rsidP="005B7A4B">
      <w:pPr>
        <w:rPr>
          <w:rFonts w:eastAsia="Calibri"/>
          <w:lang w:eastAsia="en-AU"/>
        </w:rPr>
      </w:pPr>
      <w:r w:rsidRPr="003E1F05">
        <w:rPr>
          <w:rFonts w:eastAsia="Calibri"/>
          <w:lang w:eastAsia="en-AU"/>
        </w:rPr>
        <w:t xml:space="preserve">The decision to commence insulin pump therapy </w:t>
      </w:r>
      <w:proofErr w:type="gramStart"/>
      <w:r w:rsidRPr="003E1F05">
        <w:rPr>
          <w:rFonts w:eastAsia="Calibri"/>
          <w:lang w:eastAsia="en-AU"/>
        </w:rPr>
        <w:t>is made</w:t>
      </w:r>
      <w:proofErr w:type="gramEnd"/>
      <w:r w:rsidRPr="003E1F05">
        <w:rPr>
          <w:rFonts w:eastAsia="Calibri"/>
          <w:lang w:eastAsia="en-AU"/>
        </w:rPr>
        <w:t xml:space="preserve"> in consultation with a multidisciplinary team of health professionals. People with type 1 diabetes, or their families, who wish to benefit from lifestyle improvements, may also request an insulin pump. Once accepted, patients must be fitted with their pump by a health professional and must undertake training to use the insulin pump properly. Patients must keep regular contact with a health professional to ensure the pump </w:t>
      </w:r>
      <w:proofErr w:type="gramStart"/>
      <w:r w:rsidRPr="003E1F05">
        <w:rPr>
          <w:rFonts w:eastAsia="Calibri"/>
          <w:lang w:eastAsia="en-AU"/>
        </w:rPr>
        <w:t>is being used</w:t>
      </w:r>
      <w:proofErr w:type="gramEnd"/>
      <w:r w:rsidRPr="003E1F05">
        <w:rPr>
          <w:rFonts w:eastAsia="Calibri"/>
          <w:lang w:eastAsia="en-AU"/>
        </w:rPr>
        <w:t xml:space="preserve"> appropriately (AIHW 2012b). </w:t>
      </w:r>
    </w:p>
    <w:p w:rsidR="005B7A4B" w:rsidRPr="003E1F05" w:rsidRDefault="005B7A4B" w:rsidP="005B7A4B">
      <w:pPr>
        <w:spacing w:after="120"/>
        <w:rPr>
          <w:bCs/>
          <w:szCs w:val="24"/>
        </w:rPr>
      </w:pPr>
      <w:r w:rsidRPr="003E1F05">
        <w:rPr>
          <w:bCs/>
          <w:szCs w:val="24"/>
        </w:rPr>
        <w:t xml:space="preserve">The </w:t>
      </w:r>
      <w:r w:rsidRPr="003E1F05">
        <w:rPr>
          <w:bCs/>
          <w:i/>
          <w:szCs w:val="24"/>
        </w:rPr>
        <w:t xml:space="preserve">National Evidence-Based Clinical Care Guidelines for Type 1 Diabetes in Children, Adolescents and Adults </w:t>
      </w:r>
      <w:r w:rsidRPr="003E1F05">
        <w:rPr>
          <w:bCs/>
          <w:szCs w:val="24"/>
        </w:rPr>
        <w:t>(</w:t>
      </w:r>
      <w:r w:rsidRPr="003E1F05">
        <w:rPr>
          <w:rFonts w:eastAsia="Calibri"/>
          <w:lang w:eastAsia="en-AU"/>
        </w:rPr>
        <w:t>Craig </w:t>
      </w:r>
      <w:r w:rsidRPr="003E1F05">
        <w:rPr>
          <w:rFonts w:eastAsia="Calibri"/>
          <w:i/>
          <w:lang w:eastAsia="en-AU"/>
        </w:rPr>
        <w:t>et al</w:t>
      </w:r>
      <w:r w:rsidRPr="003E1F05">
        <w:rPr>
          <w:rFonts w:eastAsia="Calibri"/>
          <w:lang w:eastAsia="en-AU"/>
        </w:rPr>
        <w:t xml:space="preserve">. </w:t>
      </w:r>
      <w:r w:rsidRPr="003E1F05">
        <w:rPr>
          <w:bCs/>
          <w:szCs w:val="24"/>
        </w:rPr>
        <w:t xml:space="preserve">2011), endorsed by APEG and the Australian Diabetes Society (ADS), addresses clinical care across the lifespan for people with type 1 diabetes. Developed by medical experts and researchers for practising health professionals, the guideline </w:t>
      </w:r>
      <w:proofErr w:type="gramStart"/>
      <w:r w:rsidRPr="003E1F05">
        <w:rPr>
          <w:bCs/>
          <w:szCs w:val="24"/>
        </w:rPr>
        <w:t>was endorsed</w:t>
      </w:r>
      <w:proofErr w:type="gramEnd"/>
      <w:r w:rsidRPr="003E1F05">
        <w:rPr>
          <w:bCs/>
          <w:szCs w:val="24"/>
        </w:rPr>
        <w:t xml:space="preserve"> by the NHMRC in 2011. </w:t>
      </w:r>
    </w:p>
    <w:p w:rsidR="005B7A4B" w:rsidRPr="003E1F05" w:rsidRDefault="005B7A4B" w:rsidP="005B7A4B">
      <w:pPr>
        <w:rPr>
          <w:rFonts w:eastAsia="Calibri"/>
          <w:szCs w:val="24"/>
          <w:lang w:eastAsia="en-AU"/>
        </w:rPr>
      </w:pPr>
      <w:r w:rsidRPr="003E1F05">
        <w:rPr>
          <w:bCs/>
          <w:szCs w:val="24"/>
        </w:rPr>
        <w:lastRenderedPageBreak/>
        <w:t>The guideline recommends that insulin pump therapy be “…considered for use in individuals in whom the expected magnitude of benefit is clinically significant in terms of reducing HbA</w:t>
      </w:r>
      <w:r w:rsidRPr="003E1F05">
        <w:rPr>
          <w:bCs/>
          <w:szCs w:val="24"/>
          <w:vertAlign w:val="subscript"/>
        </w:rPr>
        <w:t>1c</w:t>
      </w:r>
      <w:r w:rsidRPr="003E1F05">
        <w:rPr>
          <w:bCs/>
          <w:szCs w:val="24"/>
        </w:rPr>
        <w:t xml:space="preserve">, reducing hypoglycaemia or improving </w:t>
      </w:r>
      <w:proofErr w:type="spellStart"/>
      <w:r w:rsidRPr="003E1F05">
        <w:rPr>
          <w:bCs/>
          <w:szCs w:val="24"/>
        </w:rPr>
        <w:t>QoL</w:t>
      </w:r>
      <w:proofErr w:type="spellEnd"/>
      <w:r w:rsidRPr="003E1F05">
        <w:rPr>
          <w:bCs/>
          <w:szCs w:val="24"/>
        </w:rPr>
        <w:t xml:space="preserve"> [quality of life] (Grade C)”. </w:t>
      </w:r>
      <w:r w:rsidRPr="003E1F05">
        <w:t xml:space="preserve">Grade C indicates that the evidence provides some support for the recommendation(s), but care </w:t>
      </w:r>
      <w:proofErr w:type="gramStart"/>
      <w:r w:rsidRPr="003E1F05">
        <w:t>should be taken</w:t>
      </w:r>
      <w:proofErr w:type="gramEnd"/>
      <w:r w:rsidRPr="003E1F05">
        <w:t xml:space="preserve"> in their application</w:t>
      </w:r>
      <w:r w:rsidRPr="003E1F05">
        <w:rPr>
          <w:rFonts w:eastAsia="Calibri"/>
          <w:szCs w:val="24"/>
          <w:lang w:eastAsia="en-AU"/>
        </w:rPr>
        <w:t xml:space="preserve"> (Craig </w:t>
      </w:r>
      <w:r w:rsidRPr="003E1F05">
        <w:rPr>
          <w:rFonts w:eastAsia="Calibri"/>
          <w:i/>
          <w:szCs w:val="24"/>
          <w:lang w:eastAsia="en-AU"/>
        </w:rPr>
        <w:t>et al</w:t>
      </w:r>
      <w:r w:rsidRPr="003E1F05">
        <w:rPr>
          <w:rFonts w:eastAsia="Calibri"/>
          <w:szCs w:val="24"/>
          <w:lang w:eastAsia="en-AU"/>
        </w:rPr>
        <w:t>. 2011).</w:t>
      </w:r>
    </w:p>
    <w:p w:rsidR="005B7A4B" w:rsidRPr="003E1F05" w:rsidRDefault="005B7A4B" w:rsidP="005B7A4B">
      <w:r w:rsidRPr="003E1F05">
        <w:t>This guideline recommends that “individuals who may be likely to benefit from… insulin pump therapy, as part of intensive diabetes management are:</w:t>
      </w:r>
    </w:p>
    <w:p w:rsidR="005B7A4B" w:rsidRPr="003E1F05" w:rsidRDefault="005B7A4B" w:rsidP="005B7A4B">
      <w:pPr>
        <w:pStyle w:val="ListParagraph"/>
        <w:numPr>
          <w:ilvl w:val="0"/>
          <w:numId w:val="45"/>
        </w:numPr>
      </w:pPr>
      <w:r w:rsidRPr="003E1F05">
        <w:t>some children and adolescents, including infants and young children, and pregnant women (ideally preconception);</w:t>
      </w:r>
    </w:p>
    <w:p w:rsidR="005B7A4B" w:rsidRPr="003E1F05" w:rsidRDefault="005B7A4B" w:rsidP="005B7A4B">
      <w:pPr>
        <w:pStyle w:val="ListParagraph"/>
        <w:numPr>
          <w:ilvl w:val="0"/>
          <w:numId w:val="45"/>
        </w:numPr>
      </w:pPr>
      <w:r w:rsidRPr="003E1F05">
        <w:t>individuals with microvascular complications of diabetes;</w:t>
      </w:r>
    </w:p>
    <w:p w:rsidR="005B7A4B" w:rsidRPr="003E1F05" w:rsidRDefault="005B7A4B" w:rsidP="005B7A4B">
      <w:pPr>
        <w:pStyle w:val="ListParagraph"/>
        <w:numPr>
          <w:ilvl w:val="0"/>
          <w:numId w:val="45"/>
        </w:numPr>
      </w:pPr>
      <w:r w:rsidRPr="003E1F05">
        <w:t>individuals with reduced hypoglycaemia awareness;</w:t>
      </w:r>
    </w:p>
    <w:p w:rsidR="005B7A4B" w:rsidRPr="003E1F05" w:rsidRDefault="005B7A4B" w:rsidP="005B7A4B">
      <w:pPr>
        <w:pStyle w:val="ListParagraph"/>
        <w:numPr>
          <w:ilvl w:val="0"/>
          <w:numId w:val="45"/>
        </w:numPr>
      </w:pPr>
      <w:r w:rsidRPr="003E1F05">
        <w:t xml:space="preserve">individuals (or their supervising adults) with desirable motivational factors, for example, those seeking to improve blood glucose and having realistic expectations; and </w:t>
      </w:r>
    </w:p>
    <w:p w:rsidR="005B7A4B" w:rsidRPr="003E1F05" w:rsidRDefault="005B7A4B" w:rsidP="005B7A4B">
      <w:pPr>
        <w:pStyle w:val="ListParagraph"/>
        <w:numPr>
          <w:ilvl w:val="0"/>
          <w:numId w:val="45"/>
        </w:numPr>
        <w:spacing w:after="0"/>
      </w:pPr>
      <w:r w:rsidRPr="003E1F05">
        <w:t>individuals exhibiting desirable CSII [insulin pump therapy] treatment-related behavioural factors, including those who:</w:t>
      </w:r>
    </w:p>
    <w:p w:rsidR="005B7A4B" w:rsidRPr="003E1F05" w:rsidRDefault="005B7A4B" w:rsidP="005B7A4B">
      <w:pPr>
        <w:pStyle w:val="ListParagraph"/>
        <w:numPr>
          <w:ilvl w:val="1"/>
          <w:numId w:val="45"/>
        </w:numPr>
      </w:pPr>
      <w:r w:rsidRPr="003E1F05">
        <w:t>are able to perform carbohydrate counting;</w:t>
      </w:r>
    </w:p>
    <w:p w:rsidR="005B7A4B" w:rsidRPr="003E1F05" w:rsidRDefault="005B7A4B" w:rsidP="005B7A4B">
      <w:pPr>
        <w:pStyle w:val="ListParagraph"/>
        <w:numPr>
          <w:ilvl w:val="1"/>
          <w:numId w:val="45"/>
        </w:numPr>
      </w:pPr>
      <w:r w:rsidRPr="003E1F05">
        <w:t>are currently undertaking four or more blood glucose tests per day;</w:t>
      </w:r>
    </w:p>
    <w:p w:rsidR="005B7A4B" w:rsidRPr="003E1F05" w:rsidRDefault="005B7A4B" w:rsidP="005B7A4B">
      <w:pPr>
        <w:pStyle w:val="ListParagraph"/>
        <w:numPr>
          <w:ilvl w:val="1"/>
          <w:numId w:val="45"/>
        </w:numPr>
      </w:pPr>
      <w:r w:rsidRPr="003E1F05">
        <w:t>have reliable adult supervision (in paediatrics), and a history of good self</w:t>
      </w:r>
      <w:r w:rsidRPr="003E1F05">
        <w:noBreakHyphen/>
        <w:t>management skills (in adults);</w:t>
      </w:r>
    </w:p>
    <w:p w:rsidR="005B7A4B" w:rsidRPr="003E1F05" w:rsidRDefault="005B7A4B" w:rsidP="005B7A4B">
      <w:pPr>
        <w:pStyle w:val="ListParagraph"/>
        <w:numPr>
          <w:ilvl w:val="1"/>
          <w:numId w:val="45"/>
        </w:numPr>
      </w:pPr>
      <w:r w:rsidRPr="003E1F05">
        <w:t>are able to master the technical skills of CSII [insulin pump therapy]; and</w:t>
      </w:r>
    </w:p>
    <w:p w:rsidR="005B7A4B" w:rsidRPr="003E1F05" w:rsidRDefault="005B7A4B" w:rsidP="005B7A4B">
      <w:pPr>
        <w:pStyle w:val="ListParagraph"/>
        <w:numPr>
          <w:ilvl w:val="1"/>
          <w:numId w:val="45"/>
        </w:numPr>
      </w:pPr>
      <w:proofErr w:type="gramStart"/>
      <w:r w:rsidRPr="003E1F05">
        <w:t>are</w:t>
      </w:r>
      <w:proofErr w:type="gramEnd"/>
      <w:r w:rsidRPr="003E1F05">
        <w:t xml:space="preserve"> reliable in follow-up health care” </w:t>
      </w:r>
      <w:r w:rsidRPr="003E1F05">
        <w:rPr>
          <w:rFonts w:eastAsia="Calibri"/>
          <w:szCs w:val="24"/>
          <w:lang w:eastAsia="en-AU"/>
        </w:rPr>
        <w:t xml:space="preserve"> (Craig </w:t>
      </w:r>
      <w:r w:rsidRPr="003E1F05">
        <w:rPr>
          <w:rFonts w:eastAsia="Calibri"/>
          <w:i/>
          <w:szCs w:val="24"/>
          <w:lang w:eastAsia="en-AU"/>
        </w:rPr>
        <w:t>et al</w:t>
      </w:r>
      <w:r w:rsidRPr="003E1F05">
        <w:rPr>
          <w:rFonts w:eastAsia="Calibri"/>
          <w:szCs w:val="24"/>
          <w:lang w:eastAsia="en-AU"/>
        </w:rPr>
        <w:t>. 2011).</w:t>
      </w:r>
    </w:p>
    <w:p w:rsidR="005B7A4B" w:rsidRPr="003E1F05" w:rsidRDefault="005B7A4B" w:rsidP="005B7A4B">
      <w:pPr>
        <w:spacing w:after="0"/>
        <w:rPr>
          <w:rFonts w:eastAsia="Calibri"/>
          <w:szCs w:val="24"/>
          <w:lang w:eastAsia="en-AU"/>
        </w:rPr>
      </w:pPr>
      <w:r w:rsidRPr="003E1F05">
        <w:rPr>
          <w:rFonts w:eastAsia="Calibri"/>
          <w:szCs w:val="24"/>
          <w:lang w:eastAsia="en-AU"/>
        </w:rPr>
        <w:t xml:space="preserve">The Victorian CSII Working Party </w:t>
      </w:r>
      <w:r w:rsidRPr="003E1F05">
        <w:rPr>
          <w:rFonts w:eastAsia="Calibri"/>
          <w:i/>
          <w:szCs w:val="24"/>
          <w:lang w:eastAsia="en-AU"/>
        </w:rPr>
        <w:t>Guidelines</w:t>
      </w:r>
      <w:r w:rsidRPr="003E1F05">
        <w:rPr>
          <w:rFonts w:eastAsia="Calibri"/>
          <w:szCs w:val="24"/>
          <w:lang w:eastAsia="en-AU"/>
        </w:rPr>
        <w:t xml:space="preserve"> </w:t>
      </w:r>
      <w:r w:rsidRPr="003E1F05">
        <w:rPr>
          <w:rFonts w:eastAsia="Calibri"/>
          <w:i/>
          <w:szCs w:val="24"/>
          <w:lang w:eastAsia="en-AU"/>
        </w:rPr>
        <w:t>for Continuous Subcutaneous Insulin Infusion (CSII) Pump Therapy</w:t>
      </w:r>
      <w:r w:rsidRPr="003E1F05">
        <w:rPr>
          <w:rFonts w:eastAsia="Calibri"/>
          <w:szCs w:val="24"/>
          <w:lang w:eastAsia="en-AU"/>
        </w:rPr>
        <w:t xml:space="preserve"> (2009) are centralised around insulin pump therapy rather than type 1 diabetes management as a whole. </w:t>
      </w:r>
      <w:r w:rsidRPr="003E1F05">
        <w:rPr>
          <w:rFonts w:eastAsia="Calibri"/>
          <w:lang w:eastAsia="en-AU"/>
        </w:rPr>
        <w:t xml:space="preserve">Generally, glycaemic control, complication status, quality of management, and other co-morbidities and lifestyle factors </w:t>
      </w:r>
      <w:proofErr w:type="gramStart"/>
      <w:r w:rsidRPr="003E1F05">
        <w:rPr>
          <w:rFonts w:eastAsia="Calibri"/>
          <w:lang w:eastAsia="en-AU"/>
        </w:rPr>
        <w:t>are considered</w:t>
      </w:r>
      <w:proofErr w:type="gramEnd"/>
      <w:r w:rsidRPr="003E1F05">
        <w:rPr>
          <w:rFonts w:eastAsia="Calibri"/>
          <w:lang w:eastAsia="en-AU"/>
        </w:rPr>
        <w:t xml:space="preserve"> before commencement of insulin pump therapy. </w:t>
      </w:r>
      <w:r w:rsidRPr="003E1F05">
        <w:rPr>
          <w:rFonts w:eastAsia="Calibri"/>
          <w:szCs w:val="24"/>
          <w:lang w:eastAsia="en-AU"/>
        </w:rPr>
        <w:t xml:space="preserve">Patients </w:t>
      </w:r>
      <w:proofErr w:type="gramStart"/>
      <w:r w:rsidRPr="003E1F05">
        <w:rPr>
          <w:rFonts w:eastAsia="Calibri"/>
          <w:szCs w:val="24"/>
          <w:lang w:eastAsia="en-AU"/>
        </w:rPr>
        <w:t>are expected</w:t>
      </w:r>
      <w:proofErr w:type="gramEnd"/>
      <w:r w:rsidRPr="003E1F05">
        <w:rPr>
          <w:rFonts w:eastAsia="Calibri"/>
          <w:szCs w:val="24"/>
          <w:lang w:eastAsia="en-AU"/>
        </w:rPr>
        <w:t xml:space="preserve"> to undergo a clinical assessment and diabetes education assessment before commencing insulin pump therapy. The guideline generally recommends insulin pump therapy use </w:t>
      </w:r>
      <w:proofErr w:type="gramStart"/>
      <w:r w:rsidRPr="003E1F05">
        <w:rPr>
          <w:rFonts w:eastAsia="Calibri"/>
          <w:szCs w:val="24"/>
          <w:lang w:eastAsia="en-AU"/>
        </w:rPr>
        <w:t>for</w:t>
      </w:r>
      <w:proofErr w:type="gramEnd"/>
      <w:r w:rsidRPr="003E1F05">
        <w:rPr>
          <w:rFonts w:eastAsia="Calibri"/>
          <w:szCs w:val="24"/>
          <w:lang w:eastAsia="en-AU"/>
        </w:rPr>
        <w:t>:</w:t>
      </w:r>
    </w:p>
    <w:p w:rsidR="005B7A4B" w:rsidRPr="003E1F05" w:rsidRDefault="005B7A4B" w:rsidP="005B7A4B">
      <w:pPr>
        <w:pStyle w:val="ListParagraph"/>
        <w:numPr>
          <w:ilvl w:val="0"/>
          <w:numId w:val="46"/>
        </w:numPr>
        <w:rPr>
          <w:rFonts w:eastAsia="Calibri"/>
          <w:szCs w:val="24"/>
          <w:lang w:eastAsia="en-AU"/>
        </w:rPr>
      </w:pPr>
      <w:r w:rsidRPr="003E1F05">
        <w:rPr>
          <w:rFonts w:eastAsia="Calibri"/>
          <w:szCs w:val="24"/>
          <w:lang w:eastAsia="en-AU"/>
        </w:rPr>
        <w:t xml:space="preserve">those confirmed as having type 1 diabetes or diabetes in pregnancy; </w:t>
      </w:r>
    </w:p>
    <w:p w:rsidR="005B7A4B" w:rsidRPr="003E1F05" w:rsidRDefault="005B7A4B" w:rsidP="005B7A4B">
      <w:pPr>
        <w:pStyle w:val="ListParagraph"/>
        <w:numPr>
          <w:ilvl w:val="0"/>
          <w:numId w:val="46"/>
        </w:numPr>
        <w:rPr>
          <w:rFonts w:eastAsia="Calibri"/>
          <w:szCs w:val="24"/>
          <w:lang w:eastAsia="en-AU"/>
        </w:rPr>
      </w:pPr>
      <w:r w:rsidRPr="003E1F05">
        <w:rPr>
          <w:rFonts w:eastAsia="Calibri"/>
          <w:szCs w:val="24"/>
          <w:lang w:eastAsia="en-AU"/>
        </w:rPr>
        <w:t xml:space="preserve">whose lifestyle, physical abilities, attitudes, psychiatric status, and cognitive abilities (e.g. basic numeracy and ability to undertake carbohydrate counting) allow for insulin pump therapy; </w:t>
      </w:r>
    </w:p>
    <w:p w:rsidR="005B7A4B" w:rsidRPr="003E1F05" w:rsidRDefault="005B7A4B" w:rsidP="005B7A4B">
      <w:pPr>
        <w:pStyle w:val="ListParagraph"/>
        <w:numPr>
          <w:ilvl w:val="0"/>
          <w:numId w:val="46"/>
        </w:numPr>
        <w:rPr>
          <w:rFonts w:eastAsia="Calibri"/>
          <w:szCs w:val="24"/>
          <w:lang w:eastAsia="en-AU"/>
        </w:rPr>
      </w:pPr>
      <w:r w:rsidRPr="003E1F05">
        <w:rPr>
          <w:rFonts w:eastAsia="Calibri"/>
          <w:szCs w:val="24"/>
          <w:lang w:eastAsia="en-AU"/>
        </w:rPr>
        <w:t>those who demonstrate consistent home blood glucose monitoring and recording; and</w:t>
      </w:r>
    </w:p>
    <w:p w:rsidR="005B7A4B" w:rsidRPr="003E1F05" w:rsidRDefault="005B7A4B" w:rsidP="005B7A4B">
      <w:pPr>
        <w:pStyle w:val="ListParagraph"/>
        <w:numPr>
          <w:ilvl w:val="0"/>
          <w:numId w:val="46"/>
        </w:numPr>
        <w:rPr>
          <w:rFonts w:eastAsia="Calibri"/>
          <w:szCs w:val="24"/>
          <w:lang w:eastAsia="en-AU"/>
        </w:rPr>
      </w:pPr>
      <w:proofErr w:type="gramStart"/>
      <w:r w:rsidRPr="003E1F05">
        <w:rPr>
          <w:rFonts w:eastAsia="Calibri"/>
          <w:szCs w:val="24"/>
          <w:lang w:eastAsia="en-AU"/>
        </w:rPr>
        <w:t>whose</w:t>
      </w:r>
      <w:proofErr w:type="gramEnd"/>
      <w:r w:rsidRPr="003E1F05">
        <w:rPr>
          <w:rFonts w:eastAsia="Calibri"/>
          <w:szCs w:val="24"/>
          <w:lang w:eastAsia="en-AU"/>
        </w:rPr>
        <w:t xml:space="preserve"> financial status can cover the co-payments for the insulin pump and consumables (Victorian CSII Working Party 2009).</w:t>
      </w:r>
    </w:p>
    <w:p w:rsidR="005B7A4B" w:rsidRPr="003E1F05" w:rsidRDefault="005B7A4B" w:rsidP="005B7A4B">
      <w:pPr>
        <w:rPr>
          <w:rFonts w:eastAsia="Calibri"/>
          <w:szCs w:val="24"/>
          <w:lang w:eastAsia="en-AU"/>
        </w:rPr>
      </w:pPr>
      <w:r w:rsidRPr="003E1F05">
        <w:rPr>
          <w:rFonts w:eastAsia="Calibri"/>
          <w:lang w:eastAsia="en-AU"/>
        </w:rPr>
        <w:lastRenderedPageBreak/>
        <w:t>There are a number of other</w:t>
      </w:r>
      <w:r w:rsidRPr="003E1F05">
        <w:t xml:space="preserve"> guidelines for the diagnosis and management of type 1 diabetes on the </w:t>
      </w:r>
      <w:hyperlink r:id="rId28" w:history="1">
        <w:r w:rsidRPr="003E1F05">
          <w:rPr>
            <w:rStyle w:val="Hyperlink"/>
            <w:color w:val="auto"/>
          </w:rPr>
          <w:t>NHMRC Guidelines Portal</w:t>
        </w:r>
      </w:hyperlink>
      <w:r w:rsidRPr="003E1F05">
        <w:t xml:space="preserve">. To </w:t>
      </w:r>
      <w:proofErr w:type="gramStart"/>
      <w:r w:rsidRPr="003E1F05">
        <w:t>be listed</w:t>
      </w:r>
      <w:proofErr w:type="gramEnd"/>
      <w:r w:rsidRPr="003E1F05">
        <w:t xml:space="preserve"> on the Portal, guidelines are assessed against specific criteria (NHMRC 2011).</w:t>
      </w:r>
    </w:p>
    <w:p w:rsidR="005B7A4B" w:rsidRPr="00787F54" w:rsidRDefault="005B7A4B" w:rsidP="005B7A4B">
      <w:pPr>
        <w:pStyle w:val="Heading4"/>
      </w:pPr>
      <w:r w:rsidRPr="00787F54">
        <w:t>6.4.2</w:t>
      </w:r>
      <w:r w:rsidRPr="00787F54">
        <w:tab/>
        <w:t xml:space="preserve">NPS </w:t>
      </w:r>
      <w:proofErr w:type="spellStart"/>
      <w:r w:rsidRPr="00787F54">
        <w:t>Medicinewise</w:t>
      </w:r>
      <w:proofErr w:type="spellEnd"/>
    </w:p>
    <w:p w:rsidR="005B7A4B" w:rsidRPr="003E1F05" w:rsidRDefault="005B7A4B" w:rsidP="005B7A4B">
      <w:pPr>
        <w:rPr>
          <w:rStyle w:val="Hyperlink"/>
          <w:color w:val="auto"/>
        </w:rPr>
      </w:pPr>
      <w:r w:rsidRPr="003E1F05">
        <w:t xml:space="preserve">The NPS </w:t>
      </w:r>
      <w:proofErr w:type="spellStart"/>
      <w:r w:rsidRPr="003E1F05">
        <w:t>Medicinewise</w:t>
      </w:r>
      <w:proofErr w:type="spellEnd"/>
      <w:r w:rsidRPr="003E1F05">
        <w:t xml:space="preserve"> does not provide any information on insulin pump therapy for health professionals, but does have a consumer information page: </w:t>
      </w:r>
      <w:hyperlink r:id="rId29" w:history="1">
        <w:r w:rsidRPr="003E1F05">
          <w:rPr>
            <w:rStyle w:val="Hyperlink"/>
            <w:i/>
            <w:color w:val="auto"/>
          </w:rPr>
          <w:t>Insulin pumps for type 1 diabetes</w:t>
        </w:r>
      </w:hyperlink>
      <w:r w:rsidRPr="003E1F05">
        <w:t xml:space="preserve"> (2013).</w:t>
      </w:r>
    </w:p>
    <w:p w:rsidR="005B7A4B" w:rsidRPr="00787F54" w:rsidRDefault="005B7A4B" w:rsidP="005B7A4B">
      <w:pPr>
        <w:pStyle w:val="Heading3"/>
      </w:pPr>
      <w:r w:rsidRPr="00787F54">
        <w:t>6.4.3</w:t>
      </w:r>
      <w:r w:rsidRPr="00787F54">
        <w:tab/>
        <w:t xml:space="preserve">International clinical guidelines </w:t>
      </w:r>
    </w:p>
    <w:p w:rsidR="005B7A4B" w:rsidRPr="00787F54" w:rsidRDefault="005B7A4B" w:rsidP="005B7A4B">
      <w:pPr>
        <w:pStyle w:val="Heading4"/>
        <w:rPr>
          <w:rFonts w:eastAsia="Calibri"/>
        </w:rPr>
      </w:pPr>
      <w:r w:rsidRPr="00787F54">
        <w:rPr>
          <w:rFonts w:eastAsia="Calibri"/>
        </w:rPr>
        <w:t>6.4.3.1</w:t>
      </w:r>
      <w:r w:rsidRPr="00787F54">
        <w:rPr>
          <w:rFonts w:eastAsia="Calibri"/>
        </w:rPr>
        <w:tab/>
        <w:t xml:space="preserve">England </w:t>
      </w:r>
    </w:p>
    <w:p w:rsidR="005B7A4B" w:rsidRPr="003E1F05" w:rsidRDefault="005B7A4B" w:rsidP="005B7A4B">
      <w:pPr>
        <w:spacing w:after="0"/>
        <w:rPr>
          <w:rFonts w:eastAsia="Calibri"/>
          <w:szCs w:val="24"/>
          <w:lang w:eastAsia="en-AU"/>
        </w:rPr>
      </w:pPr>
      <w:r w:rsidRPr="003E1F05">
        <w:rPr>
          <w:rFonts w:eastAsia="Calibri"/>
          <w:szCs w:val="24"/>
          <w:lang w:eastAsia="en-AU"/>
        </w:rPr>
        <w:t xml:space="preserve">A NICE technology appraisal guidance (2009) states that “continuous subcutaneous insulin infusion or ‘insulin pump' therapy is recommended as a possible treatment for adults and children 12 years and over with type 1 diabetes mellitus, if: </w:t>
      </w:r>
    </w:p>
    <w:p w:rsidR="005B7A4B" w:rsidRPr="003E1F05" w:rsidRDefault="005B7A4B" w:rsidP="009E27CD">
      <w:pPr>
        <w:numPr>
          <w:ilvl w:val="0"/>
          <w:numId w:val="11"/>
        </w:numPr>
        <w:spacing w:after="0"/>
        <w:ind w:left="709" w:hanging="283"/>
        <w:rPr>
          <w:rFonts w:eastAsia="Calibri"/>
          <w:szCs w:val="24"/>
          <w:lang w:eastAsia="en-AU"/>
        </w:rPr>
      </w:pPr>
      <w:r w:rsidRPr="003E1F05">
        <w:rPr>
          <w:rFonts w:eastAsia="Calibri"/>
          <w:szCs w:val="24"/>
          <w:lang w:eastAsia="en-AU"/>
        </w:rPr>
        <w:t>attempts to reach target haemoglobin A</w:t>
      </w:r>
      <w:r w:rsidRPr="003E1F05">
        <w:rPr>
          <w:rFonts w:eastAsia="Calibri"/>
          <w:szCs w:val="24"/>
          <w:vertAlign w:val="subscript"/>
          <w:lang w:eastAsia="en-AU"/>
        </w:rPr>
        <w:t>1c</w:t>
      </w:r>
      <w:r w:rsidRPr="003E1F05">
        <w:rPr>
          <w:rFonts w:eastAsia="Calibri"/>
          <w:szCs w:val="24"/>
          <w:lang w:eastAsia="en-AU"/>
        </w:rPr>
        <w:t xml:space="preserve"> (HbA</w:t>
      </w:r>
      <w:r w:rsidRPr="003E1F05">
        <w:rPr>
          <w:rFonts w:eastAsia="Calibri"/>
          <w:szCs w:val="24"/>
          <w:vertAlign w:val="subscript"/>
          <w:lang w:eastAsia="en-AU"/>
        </w:rPr>
        <w:t>1c</w:t>
      </w:r>
      <w:r w:rsidRPr="003E1F05">
        <w:rPr>
          <w:rFonts w:eastAsia="Calibri"/>
          <w:szCs w:val="24"/>
          <w:lang w:eastAsia="en-AU"/>
        </w:rPr>
        <w:t>) levels with multiple insulin injections result in the person having ‘disabling hypoglycaemia'; or</w:t>
      </w:r>
    </w:p>
    <w:p w:rsidR="005B7A4B" w:rsidRPr="003E1F05" w:rsidRDefault="005B7A4B" w:rsidP="009E27CD">
      <w:pPr>
        <w:numPr>
          <w:ilvl w:val="0"/>
          <w:numId w:val="11"/>
        </w:numPr>
        <w:ind w:left="709" w:hanging="283"/>
        <w:rPr>
          <w:rFonts w:eastAsia="Calibri"/>
          <w:szCs w:val="24"/>
          <w:lang w:eastAsia="en-AU"/>
        </w:rPr>
      </w:pPr>
      <w:r w:rsidRPr="003E1F05">
        <w:rPr>
          <w:rFonts w:eastAsia="Calibri"/>
          <w:szCs w:val="24"/>
          <w:lang w:eastAsia="en-AU"/>
        </w:rPr>
        <w:t>HbA</w:t>
      </w:r>
      <w:r w:rsidRPr="003E1F05">
        <w:rPr>
          <w:rFonts w:eastAsia="Calibri"/>
          <w:szCs w:val="24"/>
          <w:vertAlign w:val="subscript"/>
          <w:lang w:eastAsia="en-AU"/>
        </w:rPr>
        <w:t>1c</w:t>
      </w:r>
      <w:r w:rsidRPr="003E1F05">
        <w:rPr>
          <w:rFonts w:eastAsia="Calibri"/>
          <w:szCs w:val="24"/>
          <w:lang w:eastAsia="en-AU"/>
        </w:rPr>
        <w:t xml:space="preserve"> levels have remained high (8.5% or above) with multiple insulin injections (including using long-acting insulin analogues if appropriate) despite the person and/or their carer carefully trying to manage their diabetes”.</w:t>
      </w:r>
    </w:p>
    <w:p w:rsidR="005B7A4B" w:rsidRPr="003E1F05" w:rsidRDefault="005B7A4B" w:rsidP="005B7A4B">
      <w:pPr>
        <w:spacing w:after="0"/>
        <w:rPr>
          <w:rFonts w:eastAsia="Calibri"/>
          <w:szCs w:val="24"/>
          <w:lang w:eastAsia="en-AU"/>
        </w:rPr>
      </w:pPr>
      <w:r w:rsidRPr="003E1F05">
        <w:rPr>
          <w:rFonts w:eastAsia="Calibri"/>
          <w:szCs w:val="24"/>
          <w:lang w:eastAsia="en-AU"/>
        </w:rPr>
        <w:t>Insulin pump therapy was also recommended as a possible treatment for children under 12 years with type 1 diabetes “…if treatment with multiple daily injections is not practical or is not considered appropriate”. The guidance recommends that children who use insulin pump therapy should undergo a trial of multiple daily injections between the age of 12 and 18 years (NICE 2009).</w:t>
      </w:r>
    </w:p>
    <w:p w:rsidR="005B7A4B" w:rsidRPr="00787F54" w:rsidRDefault="005B7A4B" w:rsidP="005B7A4B">
      <w:pPr>
        <w:pStyle w:val="Heading4"/>
        <w:rPr>
          <w:rFonts w:eastAsia="Calibri"/>
          <w:lang w:eastAsia="en-AU"/>
        </w:rPr>
      </w:pPr>
      <w:r w:rsidRPr="00787F54">
        <w:rPr>
          <w:rFonts w:eastAsia="Calibri"/>
          <w:lang w:eastAsia="en-AU"/>
        </w:rPr>
        <w:t>6.4.3.2</w:t>
      </w:r>
      <w:r w:rsidRPr="00787F54">
        <w:rPr>
          <w:rFonts w:eastAsia="Calibri"/>
          <w:lang w:eastAsia="en-AU"/>
        </w:rPr>
        <w:tab/>
        <w:t>New Zealand</w:t>
      </w:r>
    </w:p>
    <w:p w:rsidR="005B7A4B" w:rsidRPr="003E1F05" w:rsidRDefault="005B7A4B" w:rsidP="005B7A4B">
      <w:pPr>
        <w:rPr>
          <w:rFonts w:eastAsia="Calibri"/>
          <w:lang w:eastAsia="en-AU"/>
        </w:rPr>
      </w:pPr>
      <w:proofErr w:type="gramStart"/>
      <w:r w:rsidRPr="003E1F05">
        <w:rPr>
          <w:rFonts w:eastAsia="Calibri"/>
          <w:lang w:eastAsia="en-AU"/>
        </w:rPr>
        <w:t xml:space="preserve">The </w:t>
      </w:r>
      <w:r w:rsidRPr="003E1F05">
        <w:rPr>
          <w:rFonts w:eastAsia="Calibri"/>
          <w:i/>
          <w:lang w:eastAsia="en-AU"/>
        </w:rPr>
        <w:t>New Zealand Society for the Study of Diabetes (NZSSD) Position Statement on Insulin Pump Therapy</w:t>
      </w:r>
      <w:r w:rsidRPr="003E1F05">
        <w:rPr>
          <w:rFonts w:eastAsia="Calibri"/>
          <w:lang w:eastAsia="en-AU"/>
        </w:rPr>
        <w:t xml:space="preserve"> (2008), is based on the results of a systematic review and economic evaluation of insulin pump therapy in the New Zealand setting, which concluded that the improvements in glycaemic control with insulin pump therapy are of “…a small magnitude and of borderline statistical significance” (Campbell </w:t>
      </w:r>
      <w:r w:rsidRPr="003E1F05">
        <w:rPr>
          <w:rFonts w:eastAsia="Calibri"/>
          <w:i/>
          <w:lang w:eastAsia="en-AU"/>
        </w:rPr>
        <w:t>et al.</w:t>
      </w:r>
      <w:r w:rsidRPr="003E1F05">
        <w:rPr>
          <w:rFonts w:eastAsia="Calibri"/>
          <w:lang w:eastAsia="en-AU"/>
        </w:rPr>
        <w:t xml:space="preserve"> 2008).</w:t>
      </w:r>
      <w:proofErr w:type="gramEnd"/>
      <w:r w:rsidRPr="003E1F05">
        <w:rPr>
          <w:rFonts w:eastAsia="Calibri"/>
          <w:lang w:eastAsia="en-AU"/>
        </w:rPr>
        <w:t xml:space="preserve"> </w:t>
      </w:r>
    </w:p>
    <w:p w:rsidR="005B7A4B" w:rsidRPr="003E1F05" w:rsidRDefault="005B7A4B" w:rsidP="005B7A4B">
      <w:pPr>
        <w:rPr>
          <w:rFonts w:eastAsia="Calibri"/>
          <w:lang w:eastAsia="en-AU"/>
        </w:rPr>
      </w:pPr>
      <w:r w:rsidRPr="003E1F05">
        <w:rPr>
          <w:rFonts w:eastAsia="Calibri"/>
          <w:lang w:eastAsia="en-AU"/>
        </w:rPr>
        <w:t xml:space="preserve">It </w:t>
      </w:r>
      <w:proofErr w:type="gramStart"/>
      <w:r w:rsidRPr="003E1F05">
        <w:rPr>
          <w:rFonts w:eastAsia="Calibri"/>
          <w:lang w:eastAsia="en-AU"/>
        </w:rPr>
        <w:t>is recommended</w:t>
      </w:r>
      <w:proofErr w:type="gramEnd"/>
      <w:r w:rsidRPr="003E1F05">
        <w:rPr>
          <w:rFonts w:eastAsia="Calibri"/>
          <w:lang w:eastAsia="en-AU"/>
        </w:rPr>
        <w:t xml:space="preserve"> that insulin pump therapy should be available to people with type 1 diabetes “…who, despite optimal high level care and MDI [multiple daily injections] using a long-acting analogue, meet the following criteria:</w:t>
      </w:r>
    </w:p>
    <w:p w:rsidR="005B7A4B" w:rsidRPr="003E1F05" w:rsidRDefault="005B7A4B" w:rsidP="005B7A4B">
      <w:pPr>
        <w:pStyle w:val="ListParagraph"/>
        <w:numPr>
          <w:ilvl w:val="0"/>
          <w:numId w:val="49"/>
        </w:numPr>
        <w:rPr>
          <w:rFonts w:eastAsia="Calibri"/>
          <w:lang w:eastAsia="en-AU"/>
        </w:rPr>
      </w:pPr>
      <w:r w:rsidRPr="003E1F05">
        <w:rPr>
          <w:rFonts w:eastAsia="Calibri"/>
          <w:lang w:eastAsia="en-AU"/>
        </w:rPr>
        <w:t>Recurrent severe unexplained hypoglycaemic episodes (2 or more in a 12 month period);</w:t>
      </w:r>
    </w:p>
    <w:p w:rsidR="005B7A4B" w:rsidRPr="003E1F05" w:rsidRDefault="005B7A4B" w:rsidP="005B7A4B">
      <w:pPr>
        <w:pStyle w:val="ListParagraph"/>
        <w:numPr>
          <w:ilvl w:val="0"/>
          <w:numId w:val="49"/>
        </w:numPr>
        <w:rPr>
          <w:rFonts w:eastAsia="Calibri"/>
          <w:lang w:eastAsia="en-AU"/>
        </w:rPr>
      </w:pPr>
      <w:r w:rsidRPr="003E1F05">
        <w:rPr>
          <w:rFonts w:eastAsia="Calibri"/>
          <w:lang w:eastAsia="en-AU"/>
        </w:rPr>
        <w:t>Women who have suboptimal glycaemic control and wanting to conceive;</w:t>
      </w:r>
    </w:p>
    <w:p w:rsidR="005B7A4B" w:rsidRPr="003E1F05" w:rsidRDefault="005B7A4B" w:rsidP="005B7A4B">
      <w:pPr>
        <w:pStyle w:val="ListParagraph"/>
        <w:numPr>
          <w:ilvl w:val="0"/>
          <w:numId w:val="49"/>
        </w:numPr>
        <w:rPr>
          <w:rFonts w:eastAsia="Calibri"/>
          <w:lang w:eastAsia="en-AU"/>
        </w:rPr>
      </w:pPr>
      <w:r w:rsidRPr="003E1F05">
        <w:rPr>
          <w:rFonts w:eastAsia="Calibri"/>
          <w:lang w:eastAsia="en-AU"/>
        </w:rPr>
        <w:t>Children (&lt;12 years) in whom MDI is judged to be impractical;</w:t>
      </w:r>
    </w:p>
    <w:p w:rsidR="005B7A4B" w:rsidRPr="003E1F05" w:rsidRDefault="005B7A4B" w:rsidP="005B7A4B">
      <w:pPr>
        <w:pStyle w:val="ListParagraph"/>
        <w:numPr>
          <w:ilvl w:val="0"/>
          <w:numId w:val="49"/>
        </w:numPr>
        <w:rPr>
          <w:rFonts w:eastAsia="Calibri"/>
          <w:lang w:eastAsia="en-AU"/>
        </w:rPr>
      </w:pPr>
      <w:r w:rsidRPr="003E1F05">
        <w:rPr>
          <w:rFonts w:eastAsia="Calibri"/>
          <w:lang w:eastAsia="en-AU"/>
        </w:rPr>
        <w:t>Poor glycaemic control (</w:t>
      </w:r>
      <w:r w:rsidRPr="003E1F05">
        <w:rPr>
          <w:rFonts w:eastAsia="Calibri"/>
          <w:szCs w:val="24"/>
          <w:lang w:eastAsia="en-AU"/>
        </w:rPr>
        <w:t>HbA</w:t>
      </w:r>
      <w:r w:rsidRPr="003E1F05">
        <w:rPr>
          <w:rFonts w:eastAsia="Calibri"/>
          <w:szCs w:val="24"/>
          <w:vertAlign w:val="subscript"/>
          <w:lang w:eastAsia="en-AU"/>
        </w:rPr>
        <w:t xml:space="preserve">1c </w:t>
      </w:r>
      <w:r w:rsidRPr="003E1F05">
        <w:rPr>
          <w:rFonts w:eastAsia="Calibri"/>
          <w:szCs w:val="24"/>
          <w:lang w:eastAsia="en-AU"/>
        </w:rPr>
        <w:t>&gt;8.5%) demonstrated by CGM [continuous glucose monitoring] due to a prominent dawn phenomenon; and</w:t>
      </w:r>
    </w:p>
    <w:p w:rsidR="005B7A4B" w:rsidRPr="003E1F05" w:rsidRDefault="005B7A4B" w:rsidP="005B7A4B">
      <w:pPr>
        <w:pStyle w:val="ListParagraph"/>
        <w:numPr>
          <w:ilvl w:val="0"/>
          <w:numId w:val="49"/>
        </w:numPr>
        <w:rPr>
          <w:rFonts w:eastAsia="Calibri"/>
          <w:lang w:eastAsia="en-AU"/>
        </w:rPr>
      </w:pPr>
      <w:r w:rsidRPr="003E1F05">
        <w:rPr>
          <w:rFonts w:eastAsia="Calibri"/>
          <w:szCs w:val="24"/>
          <w:lang w:eastAsia="en-AU"/>
        </w:rPr>
        <w:lastRenderedPageBreak/>
        <w:t xml:space="preserve">Other selected situations: </w:t>
      </w:r>
      <w:proofErr w:type="spellStart"/>
      <w:r w:rsidRPr="003E1F05">
        <w:rPr>
          <w:rFonts w:eastAsia="Calibri"/>
          <w:szCs w:val="24"/>
          <w:lang w:eastAsia="en-AU"/>
        </w:rPr>
        <w:t>gastroparesis</w:t>
      </w:r>
      <w:proofErr w:type="spellEnd"/>
      <w:r w:rsidRPr="003E1F05">
        <w:rPr>
          <w:rFonts w:eastAsia="Calibri"/>
          <w:szCs w:val="24"/>
          <w:lang w:eastAsia="en-AU"/>
        </w:rPr>
        <w:t>, eating disorders” (NZSSD 2008).</w:t>
      </w:r>
    </w:p>
    <w:p w:rsidR="005B7A4B" w:rsidRPr="00787F54" w:rsidRDefault="005B7A4B" w:rsidP="005B7A4B">
      <w:pPr>
        <w:pStyle w:val="Heading4"/>
        <w:rPr>
          <w:rFonts w:eastAsia="Calibri"/>
          <w:lang w:eastAsia="en-AU"/>
        </w:rPr>
      </w:pPr>
      <w:r w:rsidRPr="00787F54">
        <w:rPr>
          <w:rFonts w:eastAsia="Calibri"/>
          <w:lang w:eastAsia="en-AU"/>
        </w:rPr>
        <w:t>6.4.3.3</w:t>
      </w:r>
      <w:r w:rsidRPr="00787F54">
        <w:rPr>
          <w:rFonts w:eastAsia="Calibri"/>
          <w:lang w:eastAsia="en-AU"/>
        </w:rPr>
        <w:tab/>
        <w:t>Scotland</w:t>
      </w:r>
    </w:p>
    <w:p w:rsidR="005B7A4B" w:rsidRPr="003E1F05" w:rsidRDefault="005B7A4B" w:rsidP="005B7A4B">
      <w:pPr>
        <w:rPr>
          <w:rFonts w:eastAsia="Calibri"/>
          <w:szCs w:val="24"/>
          <w:lang w:eastAsia="en-AU"/>
        </w:rPr>
      </w:pPr>
      <w:r w:rsidRPr="003E1F05">
        <w:rPr>
          <w:rFonts w:eastAsia="Calibri"/>
          <w:szCs w:val="24"/>
          <w:lang w:eastAsia="en-AU"/>
        </w:rPr>
        <w:t xml:space="preserve">The Scottish Intercollegiate Guidelines Network (SIGN) state that “CSII [insulin pump] therapy is associated with modest improvements in glycaemic control and should be considered for patients unable to achieve their glycaemic targets (Grade A)” and “CSII [insulin pump] therapy should be considered in patients who experience recurring episodes of severe hypoglycaemia (Grade B)” (SIGN 2010). </w:t>
      </w:r>
    </w:p>
    <w:p w:rsidR="005B7A4B" w:rsidRPr="00787F54" w:rsidRDefault="005B7A4B" w:rsidP="005B7A4B">
      <w:pPr>
        <w:pStyle w:val="Heading4"/>
        <w:keepNext w:val="0"/>
        <w:rPr>
          <w:rFonts w:eastAsia="Calibri"/>
          <w:lang w:eastAsia="en-AU"/>
        </w:rPr>
      </w:pPr>
      <w:r w:rsidRPr="00787F54">
        <w:rPr>
          <w:rFonts w:eastAsia="Calibri"/>
          <w:lang w:eastAsia="en-AU"/>
        </w:rPr>
        <w:t>6.4.3.4</w:t>
      </w:r>
      <w:r w:rsidRPr="00787F54">
        <w:rPr>
          <w:rFonts w:eastAsia="Calibri"/>
          <w:lang w:eastAsia="en-AU"/>
        </w:rPr>
        <w:tab/>
        <w:t xml:space="preserve">United States </w:t>
      </w:r>
    </w:p>
    <w:p w:rsidR="005B7A4B" w:rsidRPr="003E1F05" w:rsidRDefault="005B7A4B" w:rsidP="005B7A4B">
      <w:pPr>
        <w:rPr>
          <w:rFonts w:eastAsia="Calibri"/>
          <w:szCs w:val="24"/>
          <w:lang w:eastAsia="en-AU"/>
        </w:rPr>
      </w:pPr>
      <w:r w:rsidRPr="003E1F05">
        <w:rPr>
          <w:rFonts w:eastAsia="Calibri"/>
          <w:szCs w:val="24"/>
          <w:lang w:eastAsia="en-AU"/>
        </w:rPr>
        <w:t xml:space="preserve">Two American professional organisations provide recommendations for insulin pump management. The </w:t>
      </w:r>
      <w:r w:rsidRPr="003E1F05">
        <w:rPr>
          <w:rFonts w:eastAsia="Calibri"/>
          <w:i/>
          <w:szCs w:val="24"/>
          <w:lang w:eastAsia="en-AU"/>
        </w:rPr>
        <w:t>Statement by the American Association of Clinical Endocrinologists consensus panel on insulin pump management</w:t>
      </w:r>
      <w:r w:rsidRPr="003E1F05">
        <w:rPr>
          <w:rFonts w:eastAsia="Calibri"/>
          <w:szCs w:val="24"/>
          <w:lang w:eastAsia="en-AU"/>
        </w:rPr>
        <w:t xml:space="preserve"> provides expert advice on patient selection and the education and training of health professionals caring for patients with insulin pumps (</w:t>
      </w:r>
      <w:proofErr w:type="spellStart"/>
      <w:r w:rsidRPr="003E1F05">
        <w:rPr>
          <w:rFonts w:eastAsia="Calibri"/>
          <w:szCs w:val="24"/>
          <w:lang w:eastAsia="en-AU"/>
        </w:rPr>
        <w:t>Grunberger</w:t>
      </w:r>
      <w:proofErr w:type="spellEnd"/>
      <w:r w:rsidRPr="003E1F05">
        <w:rPr>
          <w:rFonts w:eastAsia="Calibri"/>
          <w:szCs w:val="24"/>
          <w:lang w:eastAsia="en-AU"/>
        </w:rPr>
        <w:t xml:space="preserve"> </w:t>
      </w:r>
      <w:r w:rsidRPr="003E1F05">
        <w:rPr>
          <w:rFonts w:eastAsia="Calibri"/>
          <w:i/>
          <w:szCs w:val="24"/>
          <w:lang w:eastAsia="en-AU"/>
        </w:rPr>
        <w:t>et al</w:t>
      </w:r>
      <w:r w:rsidRPr="003E1F05">
        <w:rPr>
          <w:rFonts w:eastAsia="Calibri"/>
          <w:szCs w:val="24"/>
          <w:lang w:eastAsia="en-AU"/>
        </w:rPr>
        <w:t>. 2010). This statement provides the US Centre for Medicare and Medicaid Services Insulin Pump Patient Eligibility Criteria, which are:</w:t>
      </w:r>
    </w:p>
    <w:p w:rsidR="005B7A4B" w:rsidRPr="003E1F05" w:rsidRDefault="005B7A4B" w:rsidP="005B7A4B">
      <w:r w:rsidRPr="003E1F05">
        <w:rPr>
          <w:rFonts w:eastAsia="Calibri"/>
          <w:lang w:eastAsia="en-AU"/>
        </w:rPr>
        <w:t>“(</w:t>
      </w:r>
      <w:proofErr w:type="gramStart"/>
      <w:r w:rsidRPr="003E1F05">
        <w:rPr>
          <w:rFonts w:eastAsia="Calibri"/>
          <w:lang w:eastAsia="en-AU"/>
        </w:rPr>
        <w:t>a</w:t>
      </w:r>
      <w:proofErr w:type="gramEnd"/>
      <w:r w:rsidRPr="003E1F05">
        <w:rPr>
          <w:rFonts w:eastAsia="Calibri"/>
          <w:lang w:eastAsia="en-AU"/>
        </w:rPr>
        <w:t>)</w:t>
      </w:r>
      <w:r w:rsidRPr="003E1F05">
        <w:t xml:space="preserve"> Patient has completed a comprehensive diabetes education program and has been receiving multiple daily injection insulin with frequent self-adjustments for at least 6 months before pump initiation. Patient has documented self-monitoring of blood glucose frequency an average of ≥ 4 times per day during the previous 2 months. Patient must also meet ≥1 of the following criteria: </w:t>
      </w:r>
    </w:p>
    <w:p w:rsidR="005B7A4B" w:rsidRPr="003E1F05" w:rsidRDefault="005B7A4B" w:rsidP="005B7A4B">
      <w:pPr>
        <w:pStyle w:val="ListParagraph"/>
        <w:numPr>
          <w:ilvl w:val="0"/>
          <w:numId w:val="48"/>
        </w:numPr>
      </w:pPr>
      <w:r w:rsidRPr="003E1F05">
        <w:t xml:space="preserve">HbA1c &gt; 7.0% </w:t>
      </w:r>
    </w:p>
    <w:p w:rsidR="005B7A4B" w:rsidRPr="003E1F05" w:rsidRDefault="005B7A4B" w:rsidP="005B7A4B">
      <w:pPr>
        <w:pStyle w:val="ListParagraph"/>
        <w:numPr>
          <w:ilvl w:val="0"/>
          <w:numId w:val="48"/>
        </w:numPr>
      </w:pPr>
      <w:r w:rsidRPr="003E1F05">
        <w:t xml:space="preserve">history of recurrent hypoglycaemia </w:t>
      </w:r>
    </w:p>
    <w:p w:rsidR="005B7A4B" w:rsidRPr="003E1F05" w:rsidRDefault="005B7A4B" w:rsidP="005B7A4B">
      <w:pPr>
        <w:pStyle w:val="ListParagraph"/>
        <w:numPr>
          <w:ilvl w:val="0"/>
          <w:numId w:val="48"/>
        </w:numPr>
      </w:pPr>
      <w:r w:rsidRPr="003E1F05">
        <w:t xml:space="preserve">wide fluctuations in blood glucose before mealtime </w:t>
      </w:r>
    </w:p>
    <w:p w:rsidR="005B7A4B" w:rsidRPr="003E1F05" w:rsidRDefault="005B7A4B" w:rsidP="005B7A4B">
      <w:pPr>
        <w:pStyle w:val="ListParagraph"/>
        <w:numPr>
          <w:ilvl w:val="0"/>
          <w:numId w:val="48"/>
        </w:numPr>
      </w:pPr>
      <w:r w:rsidRPr="003E1F05">
        <w:t>dawn phenomenon with fasting plasma glucose concentration frequently &gt;200 mg/</w:t>
      </w:r>
      <w:proofErr w:type="spellStart"/>
      <w:r w:rsidRPr="003E1F05">
        <w:t>dL</w:t>
      </w:r>
      <w:proofErr w:type="spellEnd"/>
      <w:r w:rsidRPr="003E1F05">
        <w:t xml:space="preserve"> or history of severe glycaemic excursions </w:t>
      </w:r>
    </w:p>
    <w:p w:rsidR="005B7A4B" w:rsidRPr="003E1F05" w:rsidRDefault="005B7A4B" w:rsidP="005B7A4B">
      <w:pPr>
        <w:rPr>
          <w:rFonts w:eastAsia="Calibri"/>
          <w:lang w:eastAsia="en-AU"/>
        </w:rPr>
      </w:pPr>
      <w:r w:rsidRPr="003E1F05">
        <w:t>(</w:t>
      </w:r>
      <w:proofErr w:type="gramStart"/>
      <w:r w:rsidRPr="003E1F05">
        <w:t>b</w:t>
      </w:r>
      <w:proofErr w:type="gramEnd"/>
      <w:r w:rsidRPr="003E1F05">
        <w:t xml:space="preserve">) Patient on pump therapy before enrolment and has documented self-monitored blood glucose an average of ≥4 times per day during the month before enrolment” </w:t>
      </w:r>
      <w:r w:rsidRPr="003E1F05">
        <w:rPr>
          <w:rFonts w:eastAsia="Calibri"/>
          <w:szCs w:val="24"/>
          <w:lang w:eastAsia="en-AU"/>
        </w:rPr>
        <w:t>(</w:t>
      </w:r>
      <w:proofErr w:type="spellStart"/>
      <w:r w:rsidRPr="003E1F05">
        <w:rPr>
          <w:rFonts w:eastAsia="Calibri"/>
          <w:szCs w:val="24"/>
          <w:lang w:eastAsia="en-AU"/>
        </w:rPr>
        <w:t>Grunberger</w:t>
      </w:r>
      <w:proofErr w:type="spellEnd"/>
      <w:r w:rsidRPr="003E1F05">
        <w:rPr>
          <w:rFonts w:eastAsia="Calibri"/>
          <w:szCs w:val="24"/>
          <w:lang w:eastAsia="en-AU"/>
        </w:rPr>
        <w:t xml:space="preserve"> </w:t>
      </w:r>
      <w:r w:rsidRPr="003E1F05">
        <w:rPr>
          <w:rFonts w:eastAsia="Calibri"/>
          <w:i/>
          <w:szCs w:val="24"/>
          <w:lang w:eastAsia="en-AU"/>
        </w:rPr>
        <w:t>et al</w:t>
      </w:r>
      <w:r w:rsidRPr="003E1F05">
        <w:rPr>
          <w:rFonts w:eastAsia="Calibri"/>
          <w:szCs w:val="24"/>
          <w:lang w:eastAsia="en-AU"/>
        </w:rPr>
        <w:t>. 2010)</w:t>
      </w:r>
      <w:r w:rsidRPr="003E1F05">
        <w:t>.</w:t>
      </w:r>
    </w:p>
    <w:p w:rsidR="005B7A4B" w:rsidRPr="003E1F05" w:rsidRDefault="005B7A4B" w:rsidP="005B7A4B">
      <w:pPr>
        <w:rPr>
          <w:rFonts w:eastAsia="Calibri"/>
          <w:szCs w:val="24"/>
          <w:lang w:eastAsia="en-AU"/>
        </w:rPr>
      </w:pPr>
      <w:r w:rsidRPr="003E1F05">
        <w:rPr>
          <w:rFonts w:eastAsia="Calibri"/>
          <w:szCs w:val="24"/>
          <w:lang w:eastAsia="en-AU"/>
        </w:rPr>
        <w:t xml:space="preserve">The </w:t>
      </w:r>
      <w:r w:rsidRPr="003E1F05">
        <w:rPr>
          <w:rFonts w:eastAsia="Calibri"/>
          <w:i/>
          <w:szCs w:val="24"/>
          <w:lang w:eastAsia="en-AU"/>
        </w:rPr>
        <w:t>Insulin Pump Therapy: Guidelines for Successful Outcomes</w:t>
      </w:r>
      <w:r w:rsidRPr="003E1F05">
        <w:rPr>
          <w:rFonts w:eastAsia="Calibri"/>
          <w:szCs w:val="24"/>
          <w:lang w:eastAsia="en-AU"/>
        </w:rPr>
        <w:t xml:space="preserve"> provides consensus-based advice on appropriate candidates for pump therapy and guidance on associated self-management education (American Association of Diabetes Educators (AADE) 2008). This guideline states that patients </w:t>
      </w:r>
      <w:proofErr w:type="gramStart"/>
      <w:r w:rsidRPr="003E1F05">
        <w:rPr>
          <w:rFonts w:eastAsia="Calibri"/>
          <w:szCs w:val="24"/>
          <w:lang w:eastAsia="en-AU"/>
        </w:rPr>
        <w:t>should be considered</w:t>
      </w:r>
      <w:proofErr w:type="gramEnd"/>
      <w:r w:rsidRPr="003E1F05">
        <w:rPr>
          <w:rFonts w:eastAsia="Calibri"/>
          <w:szCs w:val="24"/>
          <w:lang w:eastAsia="en-AU"/>
        </w:rPr>
        <w:t xml:space="preserve"> for insulin pump therapy when they are not meeting treatment goals with multiple daily injections, including:</w:t>
      </w:r>
    </w:p>
    <w:p w:rsidR="005B7A4B" w:rsidRPr="003E1F05" w:rsidRDefault="005B7A4B" w:rsidP="005B7A4B">
      <w:pPr>
        <w:pStyle w:val="ListParagraph"/>
        <w:numPr>
          <w:ilvl w:val="0"/>
          <w:numId w:val="47"/>
        </w:numPr>
        <w:rPr>
          <w:rFonts w:eastAsia="Calibri"/>
          <w:szCs w:val="24"/>
          <w:lang w:eastAsia="en-AU"/>
        </w:rPr>
      </w:pPr>
      <w:r w:rsidRPr="003E1F05">
        <w:rPr>
          <w:rFonts w:eastAsia="Calibri"/>
          <w:szCs w:val="24"/>
          <w:lang w:eastAsia="en-AU"/>
        </w:rPr>
        <w:t>HbA</w:t>
      </w:r>
      <w:r w:rsidRPr="003E1F05">
        <w:rPr>
          <w:rFonts w:eastAsia="Calibri"/>
          <w:szCs w:val="24"/>
          <w:vertAlign w:val="subscript"/>
          <w:lang w:eastAsia="en-AU"/>
        </w:rPr>
        <w:t xml:space="preserve">1c </w:t>
      </w:r>
      <w:r w:rsidRPr="003E1F05">
        <w:rPr>
          <w:rFonts w:eastAsia="Calibri"/>
          <w:szCs w:val="24"/>
          <w:lang w:eastAsia="en-AU"/>
        </w:rPr>
        <w:t>&gt;7.0-7.5% with frequent severe hypoglycaemia (&lt;55 mg/</w:t>
      </w:r>
      <w:proofErr w:type="spellStart"/>
      <w:r w:rsidRPr="003E1F05">
        <w:rPr>
          <w:rFonts w:eastAsia="Calibri"/>
          <w:szCs w:val="24"/>
          <w:lang w:eastAsia="en-AU"/>
        </w:rPr>
        <w:t>dL</w:t>
      </w:r>
      <w:proofErr w:type="spellEnd"/>
      <w:r w:rsidRPr="003E1F05">
        <w:rPr>
          <w:rFonts w:eastAsia="Calibri"/>
          <w:szCs w:val="24"/>
          <w:lang w:eastAsia="en-AU"/>
        </w:rPr>
        <w:t>);</w:t>
      </w:r>
    </w:p>
    <w:p w:rsidR="005B7A4B" w:rsidRPr="003E1F05" w:rsidRDefault="005B7A4B" w:rsidP="005B7A4B">
      <w:pPr>
        <w:pStyle w:val="ListParagraph"/>
        <w:numPr>
          <w:ilvl w:val="0"/>
          <w:numId w:val="47"/>
        </w:numPr>
        <w:rPr>
          <w:rFonts w:eastAsia="Calibri"/>
          <w:szCs w:val="24"/>
          <w:lang w:eastAsia="en-AU"/>
        </w:rPr>
      </w:pPr>
      <w:r w:rsidRPr="003E1F05">
        <w:rPr>
          <w:rFonts w:eastAsia="Calibri"/>
          <w:szCs w:val="24"/>
          <w:lang w:eastAsia="en-AU"/>
        </w:rPr>
        <w:t xml:space="preserve">hypoglycaemic events requiring third-party assistance or interfering with work, school or family obligations; </w:t>
      </w:r>
    </w:p>
    <w:p w:rsidR="005B7A4B" w:rsidRPr="003E1F05" w:rsidRDefault="005B7A4B" w:rsidP="005B7A4B">
      <w:pPr>
        <w:pStyle w:val="ListParagraph"/>
        <w:numPr>
          <w:ilvl w:val="0"/>
          <w:numId w:val="47"/>
        </w:numPr>
        <w:rPr>
          <w:rFonts w:eastAsia="Calibri"/>
          <w:szCs w:val="24"/>
          <w:lang w:eastAsia="en-AU"/>
        </w:rPr>
      </w:pPr>
      <w:r w:rsidRPr="003E1F05">
        <w:rPr>
          <w:rFonts w:eastAsia="Calibri"/>
          <w:szCs w:val="24"/>
          <w:lang w:eastAsia="en-AU"/>
        </w:rPr>
        <w:t>frequent, unpredictable  fluctuations in blood glucose levels; or</w:t>
      </w:r>
    </w:p>
    <w:p w:rsidR="005B7A4B" w:rsidRPr="003E1F05" w:rsidRDefault="005B7A4B" w:rsidP="005B7A4B">
      <w:pPr>
        <w:pStyle w:val="ListParagraph"/>
        <w:numPr>
          <w:ilvl w:val="0"/>
          <w:numId w:val="47"/>
        </w:numPr>
        <w:rPr>
          <w:rFonts w:eastAsia="Calibri"/>
          <w:szCs w:val="24"/>
          <w:lang w:eastAsia="en-AU"/>
        </w:rPr>
      </w:pPr>
      <w:proofErr w:type="gramStart"/>
      <w:r w:rsidRPr="003E1F05">
        <w:rPr>
          <w:rFonts w:eastAsia="Calibri"/>
          <w:szCs w:val="24"/>
          <w:lang w:eastAsia="en-AU"/>
        </w:rPr>
        <w:t>patient</w:t>
      </w:r>
      <w:proofErr w:type="gramEnd"/>
      <w:r w:rsidRPr="003E1F05">
        <w:rPr>
          <w:rFonts w:eastAsia="Calibri"/>
          <w:szCs w:val="24"/>
          <w:lang w:eastAsia="en-AU"/>
        </w:rPr>
        <w:t xml:space="preserve"> perception that diabetes management is impeding the pursuit of personal or professional goals (AADE 2008).</w:t>
      </w:r>
    </w:p>
    <w:p w:rsidR="005B7A4B" w:rsidRPr="00D52454" w:rsidRDefault="005B7A4B" w:rsidP="005B7A4B">
      <w:pPr>
        <w:pStyle w:val="Heading2"/>
        <w:keepNext/>
        <w:keepLines/>
      </w:pPr>
      <w:bookmarkStart w:id="231" w:name="_Toc381090951"/>
      <w:bookmarkStart w:id="232" w:name="_Toc387664352"/>
      <w:r w:rsidRPr="00D52454">
        <w:lastRenderedPageBreak/>
        <w:t>6.5</w:t>
      </w:r>
      <w:r w:rsidRPr="00D52454">
        <w:tab/>
        <w:t xml:space="preserve">Government </w:t>
      </w:r>
      <w:proofErr w:type="spellStart"/>
      <w:r w:rsidRPr="00D52454">
        <w:t>subsidised</w:t>
      </w:r>
      <w:proofErr w:type="spellEnd"/>
      <w:r w:rsidRPr="00D52454">
        <w:t xml:space="preserve"> access to insulin pump therapy in other countries</w:t>
      </w:r>
      <w:bookmarkEnd w:id="231"/>
      <w:bookmarkEnd w:id="232"/>
    </w:p>
    <w:p w:rsidR="005B7A4B" w:rsidRPr="00787F54" w:rsidRDefault="005B7A4B" w:rsidP="005B7A4B">
      <w:pPr>
        <w:pStyle w:val="Heading3"/>
        <w:keepLines/>
      </w:pPr>
      <w:r w:rsidRPr="00787F54">
        <w:t>6.5.1</w:t>
      </w:r>
      <w:r w:rsidRPr="00787F54">
        <w:tab/>
        <w:t>Canada</w:t>
      </w:r>
    </w:p>
    <w:p w:rsidR="005B7A4B" w:rsidRPr="003E1F05" w:rsidRDefault="005B7A4B" w:rsidP="005B7A4B">
      <w:pPr>
        <w:keepNext/>
        <w:keepLines/>
        <w:rPr>
          <w:szCs w:val="24"/>
        </w:rPr>
      </w:pPr>
      <w:r w:rsidRPr="003E1F05">
        <w:rPr>
          <w:szCs w:val="24"/>
        </w:rPr>
        <w:t xml:space="preserve">The Canadian Government subsidises insulin pumps in several provinces. Ontario provides a full subsidy; Saskatchewan and Newfoundland subsidise insulin pumps for people with type 1 diabetes up to 25 years of age; and British Columbia, New Brunswick, and Newfoundland subsidise up to 18 years of age. </w:t>
      </w:r>
    </w:p>
    <w:p w:rsidR="005B7A4B" w:rsidRPr="003E1F05" w:rsidRDefault="005B7A4B" w:rsidP="005B7A4B">
      <w:pPr>
        <w:keepNext/>
        <w:keepLines/>
        <w:rPr>
          <w:szCs w:val="24"/>
        </w:rPr>
      </w:pPr>
      <w:r w:rsidRPr="003E1F05">
        <w:rPr>
          <w:szCs w:val="24"/>
        </w:rPr>
        <w:t xml:space="preserve">The established eligibility criteria is that the person must have demonstrated to a diabetes assessment team an ongoing commitment to blood glucose monitoring, the safe and appropriate use of the insulin pump, participation in an insulin pump education programme and regular diabetes clinic attendance, as well as meeting certain clinical requirements. </w:t>
      </w:r>
    </w:p>
    <w:p w:rsidR="005B7A4B" w:rsidRPr="00787F54" w:rsidRDefault="005B7A4B" w:rsidP="005B7A4B">
      <w:pPr>
        <w:pStyle w:val="Heading3"/>
      </w:pPr>
      <w:r w:rsidRPr="00787F54">
        <w:t>6.5.2</w:t>
      </w:r>
      <w:r w:rsidRPr="00787F54">
        <w:tab/>
        <w:t xml:space="preserve">New Zealand </w:t>
      </w:r>
    </w:p>
    <w:p w:rsidR="005B7A4B" w:rsidRPr="003E1F05" w:rsidRDefault="005B7A4B" w:rsidP="005B7A4B">
      <w:pPr>
        <w:spacing w:after="120"/>
        <w:rPr>
          <w:szCs w:val="24"/>
        </w:rPr>
      </w:pPr>
      <w:r w:rsidRPr="003E1F05">
        <w:rPr>
          <w:szCs w:val="24"/>
        </w:rPr>
        <w:t xml:space="preserve">District Health Boards receive annual funding on a population based formula to subsidise insulin pumps. Funding </w:t>
      </w:r>
      <w:proofErr w:type="gramStart"/>
      <w:r w:rsidRPr="003E1F05">
        <w:rPr>
          <w:szCs w:val="24"/>
        </w:rPr>
        <w:t>is distributed</w:t>
      </w:r>
      <w:proofErr w:type="gramEnd"/>
      <w:r w:rsidRPr="003E1F05">
        <w:rPr>
          <w:szCs w:val="24"/>
        </w:rPr>
        <w:t xml:space="preserve"> at the discretion of the District Health Boards in order of application. There is variability in insulin pump services in different regions as some District Health Boards fund both pumps and consumables, while others fund only pumps. Clinical eligibility is generally determined according to the </w:t>
      </w:r>
      <w:r w:rsidRPr="003E1F05">
        <w:rPr>
          <w:i/>
          <w:szCs w:val="24"/>
        </w:rPr>
        <w:t xml:space="preserve">NZSSD </w:t>
      </w:r>
      <w:r w:rsidRPr="003E1F05">
        <w:rPr>
          <w:rFonts w:eastAsia="Calibri"/>
          <w:i/>
          <w:lang w:eastAsia="en-AU"/>
        </w:rPr>
        <w:t>Position Statement on Insulin Pump Therapy</w:t>
      </w:r>
      <w:r w:rsidRPr="003E1F05">
        <w:rPr>
          <w:szCs w:val="24"/>
        </w:rPr>
        <w:t xml:space="preserve"> (2008) (see </w:t>
      </w:r>
      <w:r w:rsidRPr="003E1F05">
        <w:rPr>
          <w:rFonts w:eastAsia="Calibri"/>
          <w:lang w:eastAsia="en-AU"/>
        </w:rPr>
        <w:t>6.4.3.2</w:t>
      </w:r>
      <w:r w:rsidRPr="003E1F05">
        <w:rPr>
          <w:szCs w:val="24"/>
        </w:rPr>
        <w:t>).</w:t>
      </w:r>
    </w:p>
    <w:p w:rsidR="005B7A4B" w:rsidRPr="00787F54" w:rsidRDefault="005B7A4B" w:rsidP="005B7A4B">
      <w:pPr>
        <w:pStyle w:val="Heading3"/>
      </w:pPr>
      <w:r w:rsidRPr="00787F54">
        <w:t>6.5.3</w:t>
      </w:r>
      <w:r w:rsidRPr="00787F54">
        <w:tab/>
        <w:t xml:space="preserve">United Kingdom </w:t>
      </w:r>
    </w:p>
    <w:p w:rsidR="005B7A4B" w:rsidRPr="003E1F05" w:rsidRDefault="005B7A4B" w:rsidP="005B7A4B">
      <w:pPr>
        <w:spacing w:after="120"/>
        <w:rPr>
          <w:szCs w:val="24"/>
        </w:rPr>
      </w:pPr>
      <w:r w:rsidRPr="003E1F05">
        <w:rPr>
          <w:szCs w:val="24"/>
        </w:rPr>
        <w:t xml:space="preserve">The National Health Service provides subsidies for insulin pumps. In England and </w:t>
      </w:r>
      <w:proofErr w:type="gramStart"/>
      <w:r w:rsidRPr="003E1F05">
        <w:rPr>
          <w:szCs w:val="24"/>
        </w:rPr>
        <w:t>Wales</w:t>
      </w:r>
      <w:proofErr w:type="gramEnd"/>
      <w:r w:rsidRPr="003E1F05">
        <w:rPr>
          <w:szCs w:val="24"/>
        </w:rPr>
        <w:t xml:space="preserve"> it is mandatory to fund technologies approved by NICE. If a specialist team recommends insulin pump therapy for people in line with the NICE technology appraisal guidance on insulin pump therapy (</w:t>
      </w:r>
      <w:proofErr w:type="gramStart"/>
      <w:r w:rsidRPr="003E1F05">
        <w:rPr>
          <w:szCs w:val="24"/>
        </w:rPr>
        <w:t>2009)</w:t>
      </w:r>
      <w:proofErr w:type="gramEnd"/>
      <w:r w:rsidRPr="003E1F05">
        <w:rPr>
          <w:szCs w:val="24"/>
        </w:rPr>
        <w:t xml:space="preserve"> (see 6.4.3.1) the Primary Care Trusts will fund this and there are no waiting lists. </w:t>
      </w:r>
    </w:p>
    <w:p w:rsidR="005B7A4B" w:rsidRPr="00787F54" w:rsidRDefault="005B7A4B" w:rsidP="005B7A4B">
      <w:pPr>
        <w:pStyle w:val="Heading3"/>
      </w:pPr>
      <w:r w:rsidRPr="00787F54">
        <w:t>6.5.4</w:t>
      </w:r>
      <w:r w:rsidRPr="00787F54">
        <w:tab/>
        <w:t>United States</w:t>
      </w:r>
    </w:p>
    <w:p w:rsidR="005B7A4B" w:rsidRPr="003E1F05" w:rsidRDefault="005B7A4B" w:rsidP="005B7A4B">
      <w:r w:rsidRPr="003E1F05">
        <w:t xml:space="preserve">The U.S. </w:t>
      </w:r>
      <w:proofErr w:type="spellStart"/>
      <w:r w:rsidRPr="003E1F05">
        <w:t>Centers</w:t>
      </w:r>
      <w:proofErr w:type="spellEnd"/>
      <w:r w:rsidRPr="003E1F05">
        <w:t xml:space="preserve"> for Medicare and Medicaid Services provides assistance for low-income families to get healthcare. Medicare may pay part of the cost of an insulin pump and insulin for some patients. With Original Medicare, Medicare pays 80% of the cost of the insulin pump and patients pay 20% of the Medicare-approved cost after the yearly Part B (medical insurance) </w:t>
      </w:r>
      <w:proofErr w:type="gramStart"/>
      <w:r w:rsidRPr="003E1F05">
        <w:t>is deducted</w:t>
      </w:r>
      <w:proofErr w:type="gramEnd"/>
      <w:r w:rsidRPr="003E1F05">
        <w:t xml:space="preserve">. Patients may be required to pay coinsurance or a co-payment for diabetes supplies (U.S. Department of Health and Human Services 2012). Insulin pump patient eligibility criteria are those determined by the </w:t>
      </w:r>
      <w:r w:rsidRPr="003E1F05">
        <w:rPr>
          <w:rFonts w:eastAsia="Calibri"/>
          <w:szCs w:val="24"/>
          <w:lang w:eastAsia="en-AU"/>
        </w:rPr>
        <w:t xml:space="preserve">American Association of Clinical Endocrinologists’ consensus panel </w:t>
      </w:r>
      <w:r w:rsidRPr="003E1F05">
        <w:t>(</w:t>
      </w:r>
      <w:proofErr w:type="spellStart"/>
      <w:r w:rsidRPr="003E1F05">
        <w:t>Grunberger</w:t>
      </w:r>
      <w:proofErr w:type="spellEnd"/>
      <w:r w:rsidRPr="003E1F05">
        <w:t xml:space="preserve"> </w:t>
      </w:r>
      <w:r w:rsidRPr="003E1F05">
        <w:rPr>
          <w:i/>
        </w:rPr>
        <w:t>et al</w:t>
      </w:r>
      <w:r w:rsidRPr="003E1F05">
        <w:t xml:space="preserve">. 2010) (see </w:t>
      </w:r>
      <w:r w:rsidRPr="003E1F05">
        <w:rPr>
          <w:rFonts w:eastAsia="Calibri"/>
          <w:lang w:eastAsia="en-AU"/>
        </w:rPr>
        <w:t>6.4.3.4</w:t>
      </w:r>
      <w:r w:rsidRPr="003E1F05">
        <w:t>).</w:t>
      </w:r>
    </w:p>
    <w:p w:rsidR="005B7A4B" w:rsidRPr="00D52454" w:rsidRDefault="005B7A4B" w:rsidP="005B7A4B">
      <w:pPr>
        <w:pStyle w:val="Heading2"/>
        <w:keepNext/>
        <w:keepLines/>
      </w:pPr>
      <w:bookmarkStart w:id="233" w:name="_4.3.5_Findings_from"/>
      <w:bookmarkStart w:id="234" w:name="_Toc373829637"/>
      <w:bookmarkStart w:id="235" w:name="_Toc381090952"/>
      <w:bookmarkStart w:id="236" w:name="_Toc387664353"/>
      <w:bookmarkEnd w:id="233"/>
      <w:r w:rsidRPr="00D52454">
        <w:lastRenderedPageBreak/>
        <w:t>6.6</w:t>
      </w:r>
      <w:r w:rsidRPr="00D52454">
        <w:tab/>
        <w:t xml:space="preserve">Issues </w:t>
      </w:r>
      <w:bookmarkEnd w:id="234"/>
      <w:r w:rsidRPr="00D52454">
        <w:t>identified</w:t>
      </w:r>
      <w:bookmarkEnd w:id="235"/>
      <w:bookmarkEnd w:id="236"/>
    </w:p>
    <w:p w:rsidR="005B7A4B" w:rsidRPr="00787F54" w:rsidRDefault="005B7A4B" w:rsidP="005B7A4B">
      <w:pPr>
        <w:pStyle w:val="Heading3"/>
        <w:keepLines/>
        <w:rPr>
          <w:rFonts w:eastAsia="Calibri"/>
        </w:rPr>
      </w:pPr>
      <w:r w:rsidRPr="00787F54">
        <w:rPr>
          <w:rFonts w:eastAsia="Calibri"/>
        </w:rPr>
        <w:t>6.6.1</w:t>
      </w:r>
      <w:r w:rsidRPr="00787F54">
        <w:rPr>
          <w:rFonts w:eastAsia="Calibri"/>
        </w:rPr>
        <w:tab/>
        <w:t>Age restriction and continuity of access into adulthood</w:t>
      </w:r>
    </w:p>
    <w:p w:rsidR="005B7A4B" w:rsidRPr="003E1F05" w:rsidRDefault="005B7A4B" w:rsidP="005B7A4B">
      <w:pPr>
        <w:rPr>
          <w:rFonts w:cs="Calibri"/>
          <w:szCs w:val="24"/>
        </w:rPr>
      </w:pPr>
      <w:r w:rsidRPr="003E1F05">
        <w:rPr>
          <w:rFonts w:eastAsia="Calibri" w:cs="ITCAvantGardeStd-Bk"/>
          <w:szCs w:val="24"/>
          <w:lang w:eastAsia="en-AU"/>
        </w:rPr>
        <w:t xml:space="preserve">Currently, the Programme provides means-tested access to people with type </w:t>
      </w:r>
      <w:proofErr w:type="gramStart"/>
      <w:r w:rsidRPr="003E1F05">
        <w:rPr>
          <w:rFonts w:eastAsia="Calibri" w:cs="ITCAvantGardeStd-Bk"/>
          <w:szCs w:val="24"/>
          <w:lang w:eastAsia="en-AU"/>
        </w:rPr>
        <w:t>1 diabetes</w:t>
      </w:r>
      <w:proofErr w:type="gramEnd"/>
      <w:r w:rsidRPr="003E1F05">
        <w:rPr>
          <w:rFonts w:eastAsia="Calibri" w:cs="ITCAvantGardeStd-Bk"/>
          <w:szCs w:val="24"/>
          <w:lang w:eastAsia="en-AU"/>
        </w:rPr>
        <w:t xml:space="preserve"> up to 18 years of age. There may be a difficult transition for adolescents with type </w:t>
      </w:r>
      <w:proofErr w:type="gramStart"/>
      <w:r w:rsidRPr="003E1F05">
        <w:rPr>
          <w:rFonts w:eastAsia="Calibri" w:cs="ITCAvantGardeStd-Bk"/>
          <w:szCs w:val="24"/>
          <w:lang w:eastAsia="en-AU"/>
        </w:rPr>
        <w:t>1 diabetes</w:t>
      </w:r>
      <w:proofErr w:type="gramEnd"/>
      <w:r w:rsidRPr="003E1F05">
        <w:rPr>
          <w:rFonts w:eastAsia="Calibri" w:cs="ITCAvantGardeStd-Bk"/>
          <w:szCs w:val="24"/>
          <w:lang w:eastAsia="en-AU"/>
        </w:rPr>
        <w:t xml:space="preserve"> when they turn 18 years old and their dependency status for welfare entitlements may change, with a resulting potential increase in health care costs as they transfer into the adult healthcare system. This is a common problem internationally, and an issue with the Programme (</w:t>
      </w:r>
      <w:r w:rsidRPr="003E1F05">
        <w:rPr>
          <w:rFonts w:cs="Calibri"/>
          <w:szCs w:val="24"/>
        </w:rPr>
        <w:t xml:space="preserve">International Diabetes Federation Europe </w:t>
      </w:r>
      <w:r w:rsidRPr="003E1F05">
        <w:rPr>
          <w:rFonts w:cs="Calibri"/>
          <w:i/>
          <w:szCs w:val="24"/>
        </w:rPr>
        <w:t>et al</w:t>
      </w:r>
      <w:r w:rsidRPr="003E1F05">
        <w:rPr>
          <w:rFonts w:cs="Calibri"/>
          <w:szCs w:val="24"/>
        </w:rPr>
        <w:t xml:space="preserve">. 2011). </w:t>
      </w:r>
    </w:p>
    <w:p w:rsidR="005B7A4B" w:rsidRPr="00787F54" w:rsidRDefault="005B7A4B" w:rsidP="005B7A4B">
      <w:pPr>
        <w:pStyle w:val="Heading3"/>
        <w:rPr>
          <w:rFonts w:eastAsia="Calibri"/>
          <w:lang w:eastAsia="en-AU"/>
        </w:rPr>
      </w:pPr>
      <w:r w:rsidRPr="00787F54">
        <w:rPr>
          <w:rFonts w:eastAsia="Calibri"/>
          <w:lang w:eastAsia="en-AU"/>
        </w:rPr>
        <w:t>6.6.2</w:t>
      </w:r>
      <w:r w:rsidRPr="00787F54">
        <w:rPr>
          <w:rFonts w:eastAsia="Calibri"/>
          <w:lang w:eastAsia="en-AU"/>
        </w:rPr>
        <w:tab/>
        <w:t>Waiting list and prioritising applications</w:t>
      </w:r>
    </w:p>
    <w:p w:rsidR="005B7A4B" w:rsidRPr="003E1F05" w:rsidRDefault="005B7A4B" w:rsidP="005B7A4B">
      <w:r w:rsidRPr="003E1F05">
        <w:rPr>
          <w:rFonts w:eastAsia="Calibri" w:cs="ITCAvantGardeStd-Bk"/>
          <w:szCs w:val="24"/>
          <w:lang w:eastAsia="en-AU"/>
        </w:rPr>
        <w:t xml:space="preserve">At present, JDRF supplies insulin pumps chronologically according to application date. Recently, there has been a waiting list for an insulin pump subsidy due to the high Programme uptake. </w:t>
      </w:r>
      <w:r w:rsidRPr="003E1F05">
        <w:t>On 18 October 2013, the Australian Government provided an additional $870,400 in funding for 2013</w:t>
      </w:r>
      <w:r w:rsidRPr="003E1F05">
        <w:noBreakHyphen/>
        <w:t>14 to clear the waiting list.</w:t>
      </w:r>
    </w:p>
    <w:p w:rsidR="005B7A4B" w:rsidRPr="003E1F05" w:rsidRDefault="005B7A4B" w:rsidP="005B7A4B">
      <w:pPr>
        <w:rPr>
          <w:rFonts w:eastAsia="Calibri" w:cs="ITCAvantGardeStd-Bk"/>
          <w:szCs w:val="24"/>
          <w:lang w:eastAsia="en-AU"/>
        </w:rPr>
      </w:pPr>
      <w:r w:rsidRPr="003E1F05">
        <w:rPr>
          <w:rFonts w:eastAsia="Calibri" w:cs="ITCAvantGardeStd-Bk"/>
          <w:szCs w:val="24"/>
          <w:lang w:eastAsia="en-AU"/>
        </w:rPr>
        <w:t xml:space="preserve">The Programme </w:t>
      </w:r>
      <w:r w:rsidRPr="003E1F05">
        <w:rPr>
          <w:rFonts w:cs="Calibri"/>
        </w:rPr>
        <w:t>is now in its fifth year of operation with most insulin pumps supplied u</w:t>
      </w:r>
      <w:r w:rsidRPr="003E1F05">
        <w:rPr>
          <w:rFonts w:eastAsia="Calibri" w:cs="ITCAvantGardeStd-Bk"/>
          <w:szCs w:val="24"/>
          <w:lang w:eastAsia="en-AU"/>
        </w:rPr>
        <w:t>nder the Programme having a four-year warranty period. Some people who have received an insulin pump under the Programme will now be looking at re-applying for another insulin pump subsidy, if they are still eligible.</w:t>
      </w:r>
    </w:p>
    <w:p w:rsidR="005B7A4B" w:rsidRPr="003E1F05" w:rsidRDefault="005B7A4B" w:rsidP="005B7A4B">
      <w:pPr>
        <w:rPr>
          <w:rFonts w:eastAsia="Calibri" w:cs="ITCAvantGardeStd-Bk"/>
          <w:lang w:eastAsia="en-AU"/>
        </w:rPr>
      </w:pPr>
      <w:r w:rsidRPr="003E1F05">
        <w:rPr>
          <w:rFonts w:cs="Calibri"/>
          <w:szCs w:val="24"/>
        </w:rPr>
        <w:t xml:space="preserve">Under the Programme, applicants may reapply for a replacement insulin pump provided that the recipient is under 18 years of age at the date of application, the manufacturer's warranty on the recipient's current insulin pump has expired, </w:t>
      </w:r>
      <w:r w:rsidRPr="003E1F05">
        <w:t>and either:</w:t>
      </w:r>
    </w:p>
    <w:p w:rsidR="005B7A4B" w:rsidRPr="003E1F05" w:rsidRDefault="005B7A4B" w:rsidP="005B7A4B">
      <w:pPr>
        <w:pStyle w:val="ListParagraph"/>
        <w:numPr>
          <w:ilvl w:val="0"/>
          <w:numId w:val="50"/>
        </w:numPr>
        <w:rPr>
          <w:rFonts w:eastAsia="Calibri" w:cs="ITCAvantGardeStd-Bk"/>
          <w:lang w:eastAsia="en-AU"/>
        </w:rPr>
      </w:pPr>
      <w:r w:rsidRPr="003E1F05">
        <w:rPr>
          <w:rFonts w:cs="Calibri"/>
          <w:szCs w:val="24"/>
        </w:rPr>
        <w:t>the current insulin pump has ceased to operate as designed; or</w:t>
      </w:r>
    </w:p>
    <w:p w:rsidR="005B7A4B" w:rsidRPr="003E1F05" w:rsidRDefault="005B7A4B" w:rsidP="005B7A4B">
      <w:pPr>
        <w:pStyle w:val="ListParagraph"/>
        <w:numPr>
          <w:ilvl w:val="0"/>
          <w:numId w:val="50"/>
        </w:numPr>
        <w:rPr>
          <w:rFonts w:eastAsia="Calibri" w:cs="ITCAvantGardeStd-Bk"/>
          <w:szCs w:val="24"/>
          <w:lang w:eastAsia="en-AU"/>
        </w:rPr>
      </w:pPr>
      <w:proofErr w:type="gramStart"/>
      <w:r w:rsidRPr="003E1F05">
        <w:rPr>
          <w:rFonts w:cs="Calibri"/>
          <w:szCs w:val="24"/>
        </w:rPr>
        <w:t>a</w:t>
      </w:r>
      <w:proofErr w:type="gramEnd"/>
      <w:r w:rsidRPr="003E1F05">
        <w:rPr>
          <w:rFonts w:cs="Calibri"/>
          <w:szCs w:val="24"/>
        </w:rPr>
        <w:t xml:space="preserve"> replacement insulin pump has been clinically recommended by the recipient's health professional.</w:t>
      </w:r>
    </w:p>
    <w:p w:rsidR="005B7A4B" w:rsidRPr="003E1F05" w:rsidRDefault="005B7A4B" w:rsidP="005B7A4B">
      <w:pPr>
        <w:rPr>
          <w:rFonts w:eastAsia="Calibri" w:cs="ITCAvantGardeStd-Bk"/>
          <w:szCs w:val="24"/>
          <w:lang w:eastAsia="en-AU"/>
        </w:rPr>
      </w:pPr>
      <w:r w:rsidRPr="003E1F05">
        <w:rPr>
          <w:rFonts w:eastAsia="Calibri" w:cs="ITCAvantGardeStd-Bk"/>
          <w:szCs w:val="24"/>
          <w:lang w:eastAsia="en-AU"/>
        </w:rPr>
        <w:t xml:space="preserve">This raises questions about the process of assessing applications and whether access </w:t>
      </w:r>
      <w:proofErr w:type="gramStart"/>
      <w:r w:rsidRPr="003E1F05">
        <w:rPr>
          <w:rFonts w:eastAsia="Calibri" w:cs="ITCAvantGardeStd-Bk"/>
          <w:szCs w:val="24"/>
          <w:lang w:eastAsia="en-AU"/>
        </w:rPr>
        <w:t>should be granted in order of application date or prioritised</w:t>
      </w:r>
      <w:proofErr w:type="gramEnd"/>
      <w:r w:rsidRPr="003E1F05">
        <w:rPr>
          <w:rFonts w:eastAsia="Calibri" w:cs="ITCAvantGardeStd-Bk"/>
          <w:szCs w:val="24"/>
          <w:lang w:eastAsia="en-AU"/>
        </w:rPr>
        <w:t xml:space="preserve"> based on whether the patient has previously received an insulin pump under the Programme.</w:t>
      </w:r>
    </w:p>
    <w:p w:rsidR="005B7A4B" w:rsidRPr="00787F54" w:rsidRDefault="005B7A4B" w:rsidP="005B7A4B">
      <w:pPr>
        <w:pStyle w:val="Heading3"/>
      </w:pPr>
      <w:r w:rsidRPr="00787F54">
        <w:t>6.6.3</w:t>
      </w:r>
      <w:r w:rsidRPr="00787F54">
        <w:tab/>
        <w:t>Access for Aboriginal and Torres Strait Islander people</w:t>
      </w:r>
    </w:p>
    <w:p w:rsidR="005B7A4B" w:rsidRPr="003E1F05" w:rsidRDefault="005B7A4B" w:rsidP="005B7A4B">
      <w:r w:rsidRPr="003E1F05">
        <w:t xml:space="preserve">While the Indigenous Chronic Disease Package funds some medical aids such as blood glucose monitoring equipment, it does not cover expenditure for insulin pumps. However, Indigenous and Torres Strait Islander status does not preclude access to the Programme. It is not possible under the current data collection for the Programme to assess whether this population is accessing the insulin pump subsidies. </w:t>
      </w:r>
    </w:p>
    <w:p w:rsidR="005B7A4B" w:rsidRPr="003E1F05" w:rsidRDefault="005B7A4B" w:rsidP="005B7A4B">
      <w:r w:rsidRPr="003E1F05">
        <w:t xml:space="preserve">The Diabetes Review Internal Working Group raised the issue of ensuring that Aboriginal and Torres Strait Islander children and adolescents have access in practice to </w:t>
      </w:r>
      <w:r w:rsidRPr="003E1F05">
        <w:lastRenderedPageBreak/>
        <w:t>insulin pumps under the Programme. This Group suggested collecting Programme data on Aboriginal and Torres Strait Islander status and rural and remote identifiers.</w:t>
      </w:r>
    </w:p>
    <w:p w:rsidR="005B7A4B" w:rsidRPr="00787F54" w:rsidRDefault="005B7A4B" w:rsidP="005B7A4B">
      <w:pPr>
        <w:pStyle w:val="Heading3"/>
        <w:rPr>
          <w:rFonts w:eastAsia="Calibri"/>
          <w:lang w:eastAsia="en-AU"/>
        </w:rPr>
      </w:pPr>
      <w:r w:rsidRPr="00787F54">
        <w:rPr>
          <w:rFonts w:eastAsia="Calibri"/>
          <w:lang w:eastAsia="en-AU"/>
        </w:rPr>
        <w:t>6.6.4</w:t>
      </w:r>
      <w:r w:rsidRPr="00787F54">
        <w:rPr>
          <w:rFonts w:eastAsia="Calibri"/>
          <w:lang w:eastAsia="en-AU"/>
        </w:rPr>
        <w:tab/>
        <w:t>Access for women who are pregnant or trying to conceive</w:t>
      </w:r>
    </w:p>
    <w:p w:rsidR="005B7A4B" w:rsidRPr="003E1F05" w:rsidRDefault="005B7A4B" w:rsidP="005B7A4B">
      <w:pPr>
        <w:keepNext/>
        <w:keepLines/>
        <w:rPr>
          <w:rFonts w:eastAsia="Calibri" w:cs="ITCAvantGardeStd-Bk"/>
          <w:szCs w:val="24"/>
          <w:lang w:eastAsia="en-AU"/>
        </w:rPr>
      </w:pPr>
      <w:r w:rsidRPr="003E1F05">
        <w:rPr>
          <w:rFonts w:eastAsia="Calibri" w:cs="ITCAvantGardeStd-Bk"/>
          <w:szCs w:val="24"/>
          <w:lang w:eastAsia="en-AU"/>
        </w:rPr>
        <w:t>For women with type 1 diabetes, high HbA</w:t>
      </w:r>
      <w:r w:rsidRPr="003E1F05">
        <w:rPr>
          <w:rFonts w:eastAsia="Calibri" w:cs="ITCAvantGardeStd-Bk"/>
          <w:szCs w:val="24"/>
          <w:vertAlign w:val="subscript"/>
          <w:lang w:eastAsia="en-AU"/>
        </w:rPr>
        <w:t>1c</w:t>
      </w:r>
      <w:r w:rsidRPr="003E1F05">
        <w:rPr>
          <w:rFonts w:eastAsia="Calibri" w:cs="ITCAvantGardeStd-Bk"/>
          <w:szCs w:val="24"/>
          <w:lang w:eastAsia="en-AU"/>
        </w:rPr>
        <w:t xml:space="preserve"> levels early in pregnancy are associated with an increased risk of congenital malformations, such as cardiac and neural tube defects, miscarriage and perinatal mortality. Pregnant women may also be predisposed to severe hypoglycaemia and DKA (Craig </w:t>
      </w:r>
      <w:r w:rsidRPr="003E1F05">
        <w:rPr>
          <w:rFonts w:eastAsia="Calibri" w:cs="ITCAvantGardeStd-Bk"/>
          <w:i/>
          <w:szCs w:val="24"/>
          <w:lang w:eastAsia="en-AU"/>
        </w:rPr>
        <w:t>et al.</w:t>
      </w:r>
      <w:r w:rsidRPr="003E1F05">
        <w:rPr>
          <w:rFonts w:eastAsia="Calibri" w:cs="ITCAvantGardeStd-Bk"/>
          <w:szCs w:val="24"/>
          <w:lang w:eastAsia="en-AU"/>
        </w:rPr>
        <w:t xml:space="preserve"> 2011). </w:t>
      </w:r>
    </w:p>
    <w:p w:rsidR="005B7A4B" w:rsidRPr="003E1F05" w:rsidRDefault="005B7A4B" w:rsidP="005B7A4B">
      <w:pPr>
        <w:keepNext/>
        <w:keepLines/>
        <w:rPr>
          <w:rFonts w:eastAsia="Calibri" w:cs="ITCAvantGardeStd-Bk"/>
          <w:szCs w:val="24"/>
          <w:lang w:eastAsia="en-AU"/>
        </w:rPr>
      </w:pPr>
      <w:r w:rsidRPr="003E1F05">
        <w:rPr>
          <w:rFonts w:eastAsia="Calibri" w:cs="ITCAvantGardeStd-Bk"/>
          <w:szCs w:val="24"/>
          <w:lang w:eastAsia="en-AU"/>
        </w:rPr>
        <w:t xml:space="preserve">The NZSSD position statement (2008) and Australian guidelines </w:t>
      </w:r>
      <w:r w:rsidRPr="003E1F05">
        <w:rPr>
          <w:rFonts w:eastAsia="Calibri"/>
          <w:szCs w:val="24"/>
          <w:lang w:eastAsia="en-AU"/>
        </w:rPr>
        <w:t xml:space="preserve">(Victorian CSII Working Party 2009, Craig </w:t>
      </w:r>
      <w:r w:rsidRPr="003E1F05">
        <w:rPr>
          <w:rFonts w:eastAsia="Calibri"/>
          <w:i/>
          <w:szCs w:val="24"/>
          <w:lang w:eastAsia="en-AU"/>
        </w:rPr>
        <w:t>et al</w:t>
      </w:r>
      <w:r w:rsidRPr="003E1F05">
        <w:rPr>
          <w:rFonts w:eastAsia="Calibri"/>
          <w:szCs w:val="24"/>
          <w:lang w:eastAsia="en-AU"/>
        </w:rPr>
        <w:t xml:space="preserve">. 2011) </w:t>
      </w:r>
      <w:r w:rsidRPr="003E1F05">
        <w:rPr>
          <w:rFonts w:eastAsia="Calibri" w:cs="ITCAvantGardeStd-Bk"/>
          <w:szCs w:val="24"/>
          <w:lang w:eastAsia="en-AU"/>
        </w:rPr>
        <w:t>recommend insulin pump therapy for women with type 1 diabetes who are pregnant or trying to conceive, ideally initiated pre</w:t>
      </w:r>
      <w:r w:rsidRPr="003E1F05">
        <w:rPr>
          <w:rFonts w:eastAsia="Calibri" w:cs="ITCAvantGardeStd-Bk"/>
          <w:szCs w:val="24"/>
          <w:lang w:eastAsia="en-AU"/>
        </w:rPr>
        <w:noBreakHyphen/>
        <w:t xml:space="preserve">conception. The NZSSD position statement indicates women trying to conceive with suboptimal glycaemic control. Stakeholders also highlighted pregnant women as a group that </w:t>
      </w:r>
      <w:proofErr w:type="gramStart"/>
      <w:r w:rsidRPr="003E1F05">
        <w:rPr>
          <w:rFonts w:eastAsia="Calibri" w:cs="ITCAvantGardeStd-Bk"/>
          <w:szCs w:val="24"/>
          <w:lang w:eastAsia="en-AU"/>
        </w:rPr>
        <w:t>could be prioritised</w:t>
      </w:r>
      <w:proofErr w:type="gramEnd"/>
      <w:r w:rsidRPr="003E1F05">
        <w:rPr>
          <w:rFonts w:eastAsia="Calibri" w:cs="ITCAvantGardeStd-Bk"/>
          <w:szCs w:val="24"/>
          <w:lang w:eastAsia="en-AU"/>
        </w:rPr>
        <w:t xml:space="preserve"> to receive access to insulin pumps under the Programme. </w:t>
      </w:r>
    </w:p>
    <w:p w:rsidR="005B7A4B" w:rsidRPr="003E1F05" w:rsidRDefault="005B7A4B" w:rsidP="005B7A4B">
      <w:pPr>
        <w:keepNext/>
        <w:keepLines/>
        <w:rPr>
          <w:rFonts w:eastAsia="Calibri" w:cs="ITCAvantGardeStd-Bk"/>
          <w:szCs w:val="24"/>
          <w:lang w:eastAsia="en-AU"/>
        </w:rPr>
      </w:pPr>
      <w:r w:rsidRPr="003E1F05">
        <w:rPr>
          <w:rFonts w:eastAsia="Calibri" w:cs="ITCAvantGardeStd-Bk"/>
          <w:szCs w:val="24"/>
          <w:lang w:eastAsia="en-AU"/>
        </w:rPr>
        <w:t xml:space="preserve">The Programme does not currently subsidise insulin pumps for use during pregnancy or preconception, and as </w:t>
      </w:r>
      <w:proofErr w:type="gramStart"/>
      <w:r w:rsidRPr="003E1F05">
        <w:rPr>
          <w:rFonts w:eastAsia="Calibri" w:cs="ITCAvantGardeStd-Bk"/>
          <w:szCs w:val="24"/>
          <w:lang w:eastAsia="en-AU"/>
        </w:rPr>
        <w:t>such</w:t>
      </w:r>
      <w:proofErr w:type="gramEnd"/>
      <w:r w:rsidRPr="003E1F05">
        <w:rPr>
          <w:rFonts w:eastAsia="Calibri" w:cs="ITCAvantGardeStd-Bk"/>
          <w:szCs w:val="24"/>
          <w:lang w:eastAsia="en-AU"/>
        </w:rPr>
        <w:t xml:space="preserve"> the literature reviews did not address comparative effectiveness in this sub-group. A Cochrane Review comparing insulin pumps with multiple daily injections for pregnant women with diabetes, based on randomised trial data, found that there was insufficient evidence to say which method is better for the woman or infant (Farrer </w:t>
      </w:r>
      <w:r w:rsidRPr="003E1F05">
        <w:rPr>
          <w:rFonts w:eastAsia="Calibri" w:cs="ITCAvantGardeStd-Bk"/>
          <w:i/>
          <w:szCs w:val="24"/>
          <w:lang w:eastAsia="en-AU"/>
        </w:rPr>
        <w:t>et al.</w:t>
      </w:r>
      <w:r w:rsidRPr="003E1F05">
        <w:rPr>
          <w:rFonts w:eastAsia="Calibri" w:cs="ITCAvantGardeStd-Bk"/>
          <w:szCs w:val="24"/>
          <w:lang w:eastAsia="en-AU"/>
        </w:rPr>
        <w:t xml:space="preserve"> 2011). </w:t>
      </w:r>
    </w:p>
    <w:p w:rsidR="005B7A4B" w:rsidRPr="003E1F05" w:rsidRDefault="005B7A4B" w:rsidP="005B7A4B">
      <w:pPr>
        <w:keepNext/>
        <w:keepLines/>
        <w:rPr>
          <w:rFonts w:eastAsia="Calibri" w:cs="ITCAvantGardeStd-Bk"/>
          <w:szCs w:val="24"/>
          <w:lang w:eastAsia="en-AU"/>
        </w:rPr>
      </w:pPr>
      <w:r w:rsidRPr="003E1F05">
        <w:rPr>
          <w:rFonts w:eastAsia="Calibri" w:cs="ITCAvantGardeStd-Bk"/>
          <w:szCs w:val="24"/>
          <w:lang w:eastAsia="en-AU"/>
        </w:rPr>
        <w:t>Observational studies generally show small numbers of participants and little difference between multiple daily injections and insulin pump therapy on maternal or foetal outcomes (</w:t>
      </w:r>
      <w:proofErr w:type="spellStart"/>
      <w:r w:rsidRPr="003E1F05">
        <w:rPr>
          <w:rFonts w:eastAsia="Calibri" w:cs="ITCAvantGardeStd-Bk"/>
          <w:szCs w:val="24"/>
          <w:lang w:eastAsia="en-AU"/>
        </w:rPr>
        <w:t>Bruttomesso</w:t>
      </w:r>
      <w:proofErr w:type="spellEnd"/>
      <w:r w:rsidRPr="003E1F05">
        <w:rPr>
          <w:rFonts w:eastAsia="Calibri" w:cs="ITCAvantGardeStd-Bk"/>
          <w:szCs w:val="24"/>
          <w:lang w:eastAsia="en-AU"/>
        </w:rPr>
        <w:t xml:space="preserve"> </w:t>
      </w:r>
      <w:r w:rsidRPr="003E1F05">
        <w:rPr>
          <w:rFonts w:eastAsia="Calibri" w:cs="ITCAvantGardeStd-Bk"/>
          <w:i/>
          <w:szCs w:val="24"/>
          <w:lang w:eastAsia="en-AU"/>
        </w:rPr>
        <w:t>et al.</w:t>
      </w:r>
      <w:r w:rsidRPr="003E1F05">
        <w:rPr>
          <w:rFonts w:eastAsia="Calibri" w:cs="ITCAvantGardeStd-Bk"/>
          <w:szCs w:val="24"/>
          <w:lang w:eastAsia="en-AU"/>
        </w:rPr>
        <w:t xml:space="preserve"> 2011, Chen </w:t>
      </w:r>
      <w:r w:rsidRPr="003E1F05">
        <w:rPr>
          <w:rFonts w:eastAsia="Calibri" w:cs="ITCAvantGardeStd-Bk"/>
          <w:i/>
          <w:szCs w:val="24"/>
          <w:lang w:eastAsia="en-AU"/>
        </w:rPr>
        <w:t>et al.</w:t>
      </w:r>
      <w:r w:rsidRPr="003E1F05">
        <w:rPr>
          <w:rFonts w:eastAsia="Calibri" w:cs="ITCAvantGardeStd-Bk"/>
          <w:szCs w:val="24"/>
          <w:lang w:eastAsia="en-AU"/>
        </w:rPr>
        <w:t xml:space="preserve"> 2007, Chico </w:t>
      </w:r>
      <w:r w:rsidRPr="003E1F05">
        <w:rPr>
          <w:rFonts w:eastAsia="Calibri" w:cs="ITCAvantGardeStd-Bk"/>
          <w:i/>
          <w:szCs w:val="24"/>
          <w:lang w:eastAsia="en-AU"/>
        </w:rPr>
        <w:t>et al.</w:t>
      </w:r>
      <w:r w:rsidRPr="003E1F05">
        <w:rPr>
          <w:rFonts w:eastAsia="Calibri" w:cs="ITCAvantGardeStd-Bk"/>
          <w:szCs w:val="24"/>
          <w:lang w:eastAsia="en-AU"/>
        </w:rPr>
        <w:t xml:space="preserve"> 2010, </w:t>
      </w:r>
      <w:proofErr w:type="spellStart"/>
      <w:proofErr w:type="gramStart"/>
      <w:r w:rsidRPr="003E1F05">
        <w:rPr>
          <w:rFonts w:eastAsia="Calibri" w:cs="ITCAvantGardeStd-Bk"/>
          <w:szCs w:val="24"/>
          <w:lang w:eastAsia="en-AU"/>
        </w:rPr>
        <w:t>Gabbe</w:t>
      </w:r>
      <w:proofErr w:type="spellEnd"/>
      <w:proofErr w:type="gramEnd"/>
      <w:r w:rsidRPr="003E1F05">
        <w:rPr>
          <w:rFonts w:eastAsia="Calibri" w:cs="ITCAvantGardeStd-Bk"/>
          <w:szCs w:val="24"/>
          <w:lang w:eastAsia="en-AU"/>
        </w:rPr>
        <w:t xml:space="preserve"> </w:t>
      </w:r>
      <w:r w:rsidRPr="003E1F05">
        <w:rPr>
          <w:rFonts w:eastAsia="Calibri" w:cs="ITCAvantGardeStd-Bk"/>
          <w:i/>
          <w:szCs w:val="24"/>
          <w:lang w:eastAsia="en-AU"/>
        </w:rPr>
        <w:t>et al.</w:t>
      </w:r>
      <w:r w:rsidRPr="003E1F05">
        <w:rPr>
          <w:rFonts w:eastAsia="Calibri" w:cs="ITCAvantGardeStd-Bk"/>
          <w:szCs w:val="24"/>
          <w:lang w:eastAsia="en-AU"/>
        </w:rPr>
        <w:t xml:space="preserve"> 2000). Two studies showed significantly lower HbA</w:t>
      </w:r>
      <w:r w:rsidRPr="003E1F05">
        <w:rPr>
          <w:rFonts w:eastAsia="Calibri" w:cs="ITCAvantGardeStd-Bk"/>
          <w:szCs w:val="24"/>
          <w:vertAlign w:val="subscript"/>
          <w:lang w:eastAsia="en-AU"/>
        </w:rPr>
        <w:t xml:space="preserve">1c </w:t>
      </w:r>
      <w:r w:rsidRPr="003E1F05">
        <w:rPr>
          <w:rFonts w:eastAsia="Calibri" w:cs="ITCAvantGardeStd-Bk"/>
          <w:szCs w:val="24"/>
          <w:lang w:eastAsia="en-AU"/>
        </w:rPr>
        <w:t>during pregnancy with insulin pump therapy, but this did not translate to significant improvements in maternal or foetal outcomes (</w:t>
      </w:r>
      <w:proofErr w:type="spellStart"/>
      <w:r w:rsidRPr="003E1F05">
        <w:rPr>
          <w:rFonts w:eastAsia="Calibri" w:cs="ITCAvantGardeStd-Bk"/>
          <w:szCs w:val="24"/>
          <w:lang w:eastAsia="en-AU"/>
        </w:rPr>
        <w:t>Bruttomesso</w:t>
      </w:r>
      <w:proofErr w:type="spellEnd"/>
      <w:r w:rsidRPr="003E1F05">
        <w:rPr>
          <w:rFonts w:eastAsia="Calibri" w:cs="ITCAvantGardeStd-Bk"/>
          <w:szCs w:val="24"/>
          <w:lang w:eastAsia="en-AU"/>
        </w:rPr>
        <w:t xml:space="preserve"> </w:t>
      </w:r>
      <w:r w:rsidRPr="003E1F05">
        <w:rPr>
          <w:rFonts w:eastAsia="Calibri" w:cs="ITCAvantGardeStd-Bk"/>
          <w:i/>
          <w:szCs w:val="24"/>
          <w:lang w:eastAsia="en-AU"/>
        </w:rPr>
        <w:t>et al.</w:t>
      </w:r>
      <w:r w:rsidRPr="003E1F05">
        <w:rPr>
          <w:rFonts w:eastAsia="Calibri" w:cs="ITCAvantGardeStd-Bk"/>
          <w:szCs w:val="24"/>
          <w:lang w:eastAsia="en-AU"/>
        </w:rPr>
        <w:t xml:space="preserve"> 2011, </w:t>
      </w:r>
      <w:proofErr w:type="spellStart"/>
      <w:r w:rsidRPr="003E1F05">
        <w:rPr>
          <w:rFonts w:eastAsia="Calibri" w:cs="ITCAvantGardeStd-Bk"/>
          <w:szCs w:val="24"/>
          <w:lang w:eastAsia="en-AU"/>
        </w:rPr>
        <w:t>Gabbe</w:t>
      </w:r>
      <w:proofErr w:type="spellEnd"/>
      <w:r w:rsidRPr="003E1F05">
        <w:rPr>
          <w:rFonts w:eastAsia="Calibri" w:cs="ITCAvantGardeStd-Bk"/>
          <w:szCs w:val="24"/>
          <w:lang w:eastAsia="en-AU"/>
        </w:rPr>
        <w:t xml:space="preserve"> </w:t>
      </w:r>
      <w:r w:rsidRPr="003E1F05">
        <w:rPr>
          <w:rFonts w:eastAsia="Calibri" w:cs="ITCAvantGardeStd-Bk"/>
          <w:i/>
          <w:szCs w:val="24"/>
          <w:lang w:eastAsia="en-AU"/>
        </w:rPr>
        <w:t>et al.</w:t>
      </w:r>
      <w:r w:rsidRPr="003E1F05">
        <w:rPr>
          <w:rFonts w:eastAsia="Calibri" w:cs="ITCAvantGardeStd-Bk"/>
          <w:szCs w:val="24"/>
          <w:lang w:eastAsia="en-AU"/>
        </w:rPr>
        <w:t xml:space="preserve"> 2000), while another study found significantly higher rates of maternal DKA and neonatal hypoglycaemia with pump therapy (Chen </w:t>
      </w:r>
      <w:r w:rsidRPr="003E1F05">
        <w:rPr>
          <w:rFonts w:eastAsia="Calibri" w:cs="ITCAvantGardeStd-Bk"/>
          <w:i/>
          <w:szCs w:val="24"/>
          <w:lang w:eastAsia="en-AU"/>
        </w:rPr>
        <w:t>et al.</w:t>
      </w:r>
      <w:r w:rsidRPr="003E1F05">
        <w:rPr>
          <w:rFonts w:eastAsia="Calibri" w:cs="ITCAvantGardeStd-Bk"/>
          <w:szCs w:val="24"/>
          <w:lang w:eastAsia="en-AU"/>
        </w:rPr>
        <w:t xml:space="preserve"> 2007). A recent observational study in 269 pregnant women with type 1 diabetes found that good glycaemic control could be achieved using either therapy and that pregnancy planning was significantly associated with lower HbA</w:t>
      </w:r>
      <w:r w:rsidRPr="003E1F05">
        <w:rPr>
          <w:rFonts w:eastAsia="Calibri" w:cs="ITCAvantGardeStd-Bk"/>
          <w:szCs w:val="24"/>
          <w:vertAlign w:val="subscript"/>
          <w:lang w:eastAsia="en-AU"/>
        </w:rPr>
        <w:t>1c</w:t>
      </w:r>
      <w:r w:rsidRPr="003E1F05">
        <w:rPr>
          <w:rFonts w:eastAsia="Calibri" w:cs="ITCAvantGardeStd-Bk"/>
          <w:szCs w:val="24"/>
          <w:lang w:eastAsia="en-AU"/>
        </w:rPr>
        <w:t xml:space="preserve"> levels, particularly in the first trimester (</w:t>
      </w:r>
      <w:proofErr w:type="spellStart"/>
      <w:r w:rsidRPr="003E1F05">
        <w:rPr>
          <w:rFonts w:eastAsia="Calibri" w:cs="ITCAvantGardeStd-Bk"/>
          <w:szCs w:val="24"/>
          <w:lang w:eastAsia="en-AU"/>
        </w:rPr>
        <w:t>Cyganek</w:t>
      </w:r>
      <w:proofErr w:type="spellEnd"/>
      <w:r w:rsidRPr="003E1F05">
        <w:rPr>
          <w:rFonts w:eastAsia="Calibri" w:cs="ITCAvantGardeStd-Bk"/>
          <w:szCs w:val="24"/>
          <w:lang w:eastAsia="en-AU"/>
        </w:rPr>
        <w:t xml:space="preserve"> </w:t>
      </w:r>
      <w:r w:rsidRPr="003E1F05">
        <w:rPr>
          <w:rFonts w:eastAsia="Calibri" w:cs="ITCAvantGardeStd-Bk"/>
          <w:i/>
          <w:szCs w:val="24"/>
          <w:lang w:eastAsia="en-AU"/>
        </w:rPr>
        <w:t>et al.</w:t>
      </w:r>
      <w:r w:rsidRPr="003E1F05">
        <w:rPr>
          <w:rFonts w:eastAsia="Calibri" w:cs="ITCAvantGardeStd-Bk"/>
          <w:szCs w:val="24"/>
          <w:lang w:eastAsia="en-AU"/>
        </w:rPr>
        <w:t xml:space="preserve"> 2010).</w:t>
      </w:r>
    </w:p>
    <w:p w:rsidR="005B7A4B" w:rsidRPr="003E1F05" w:rsidRDefault="005B7A4B" w:rsidP="005B7A4B">
      <w:pPr>
        <w:keepNext/>
        <w:keepLines/>
        <w:rPr>
          <w:rFonts w:eastAsia="Calibri" w:cs="ITCAvantGardeStd-Bk"/>
          <w:szCs w:val="24"/>
          <w:lang w:eastAsia="en-AU"/>
        </w:rPr>
      </w:pPr>
      <w:r w:rsidRPr="003E1F05">
        <w:rPr>
          <w:rFonts w:eastAsia="Calibri" w:cs="ITCAvantGardeStd-Bk"/>
          <w:szCs w:val="24"/>
          <w:lang w:eastAsia="en-AU"/>
        </w:rPr>
        <w:t xml:space="preserve">To ensure Programme value for money, patients should use their pump for at least four years (warranty period). Some manufacturers have a loan system for people seeing out the waiting period for their private health insurance, or for use when a pump under warranty has broken down. There may be scope to adapt this arrangement to suit the period of preconception and pregnancy. </w:t>
      </w:r>
    </w:p>
    <w:p w:rsidR="005B7A4B" w:rsidRPr="003E1F05" w:rsidRDefault="005B7A4B" w:rsidP="005B7A4B"/>
    <w:p w:rsidR="005B7A4B" w:rsidRDefault="005B7A4B" w:rsidP="005B7A4B">
      <w:pPr>
        <w:pStyle w:val="Heading1"/>
      </w:pPr>
      <w:r>
        <w:br w:type="page"/>
      </w:r>
    </w:p>
    <w:p w:rsidR="005B7A4B" w:rsidRPr="008014D0" w:rsidRDefault="005B7A4B" w:rsidP="005B7A4B">
      <w:pPr>
        <w:pStyle w:val="Heading1"/>
      </w:pPr>
      <w:bookmarkStart w:id="237" w:name="_Toc381090956"/>
      <w:bookmarkStart w:id="238" w:name="_Toc387664354"/>
      <w:r>
        <w:lastRenderedPageBreak/>
        <w:t>R</w:t>
      </w:r>
      <w:r w:rsidRPr="008014D0">
        <w:t>eferences</w:t>
      </w:r>
      <w:bookmarkEnd w:id="237"/>
      <w:bookmarkEnd w:id="238"/>
    </w:p>
    <w:p w:rsidR="005B7A4B" w:rsidRPr="003E1F05" w:rsidRDefault="005B7A4B" w:rsidP="005B7A4B">
      <w:pPr>
        <w:spacing w:line="240" w:lineRule="auto"/>
        <w:rPr>
          <w:rFonts w:cs="Calibri"/>
          <w:noProof/>
          <w:sz w:val="20"/>
          <w:szCs w:val="20"/>
        </w:rPr>
      </w:pPr>
      <w:bookmarkStart w:id="239" w:name="_ENREF_1"/>
      <w:r w:rsidRPr="003E1F05">
        <w:rPr>
          <w:rFonts w:cs="Calibri"/>
          <w:noProof/>
          <w:sz w:val="20"/>
          <w:szCs w:val="20"/>
        </w:rPr>
        <w:t xml:space="preserve">Abaci A, Atas A, </w:t>
      </w:r>
      <w:r w:rsidRPr="003E1F05">
        <w:rPr>
          <w:rFonts w:cs="Calibri"/>
          <w:i/>
          <w:noProof/>
          <w:sz w:val="20"/>
          <w:szCs w:val="20"/>
        </w:rPr>
        <w:t>et al.</w:t>
      </w:r>
      <w:r w:rsidRPr="003E1F05">
        <w:rPr>
          <w:rFonts w:cs="Calibri"/>
          <w:noProof/>
          <w:sz w:val="20"/>
          <w:szCs w:val="20"/>
        </w:rPr>
        <w:t xml:space="preserve"> 2009, ‘A Comparison of Multiple Daily Insulin Therapy with Continuous Subcutaneous Insulin Infusion Therapy in Adolescents with Type 1 Diabetes Mellitus: A Single-Center Experience From Turkey’, </w:t>
      </w:r>
      <w:r w:rsidRPr="003E1F05">
        <w:rPr>
          <w:rFonts w:cs="Calibri"/>
          <w:i/>
          <w:noProof/>
          <w:sz w:val="20"/>
          <w:szCs w:val="20"/>
        </w:rPr>
        <w:t>Journal of Pediatric Endocrinology &amp; Metabolism</w:t>
      </w:r>
      <w:r w:rsidRPr="003E1F05">
        <w:rPr>
          <w:rFonts w:cs="Calibri"/>
          <w:noProof/>
          <w:sz w:val="20"/>
          <w:szCs w:val="20"/>
        </w:rPr>
        <w:t>, Vol. 22, No. 6, pp. 539-545.</w:t>
      </w:r>
      <w:bookmarkEnd w:id="239"/>
    </w:p>
    <w:p w:rsidR="005B7A4B" w:rsidRPr="003E1F05" w:rsidRDefault="005B7A4B" w:rsidP="005B7A4B">
      <w:pPr>
        <w:spacing w:line="240" w:lineRule="auto"/>
        <w:rPr>
          <w:rFonts w:cs="Calibri"/>
          <w:noProof/>
          <w:sz w:val="20"/>
          <w:szCs w:val="20"/>
        </w:rPr>
      </w:pPr>
      <w:bookmarkStart w:id="240" w:name="_ENREF_2"/>
      <w:r w:rsidRPr="003E1F05">
        <w:rPr>
          <w:rFonts w:cs="Calibri"/>
          <w:noProof/>
          <w:sz w:val="20"/>
          <w:szCs w:val="20"/>
        </w:rPr>
        <w:t xml:space="preserve">Aberle I, Zimprich D, </w:t>
      </w:r>
      <w:r w:rsidRPr="003E1F05">
        <w:rPr>
          <w:rFonts w:cs="Calibri"/>
          <w:i/>
          <w:noProof/>
          <w:sz w:val="20"/>
          <w:szCs w:val="20"/>
        </w:rPr>
        <w:t>et al.</w:t>
      </w:r>
      <w:r w:rsidRPr="003E1F05">
        <w:rPr>
          <w:rFonts w:cs="Calibri"/>
          <w:noProof/>
          <w:sz w:val="20"/>
          <w:szCs w:val="20"/>
        </w:rPr>
        <w:t xml:space="preserve"> 2008, ‘Continuous subcutaneous insulin infusion leads to immediate, stable and long-term changes in metabolic control’, </w:t>
      </w:r>
      <w:r w:rsidRPr="003E1F05">
        <w:rPr>
          <w:rFonts w:cs="Calibri"/>
          <w:i/>
          <w:noProof/>
          <w:sz w:val="20"/>
          <w:szCs w:val="20"/>
        </w:rPr>
        <w:t xml:space="preserve">Diabetes, Obesity and Metabolism, Vol. 10, No. </w:t>
      </w:r>
      <w:r w:rsidRPr="003E1F05">
        <w:rPr>
          <w:rFonts w:cs="Calibri"/>
          <w:noProof/>
          <w:sz w:val="20"/>
          <w:szCs w:val="20"/>
        </w:rPr>
        <w:t>4, pp. 329-335.</w:t>
      </w:r>
      <w:bookmarkEnd w:id="240"/>
    </w:p>
    <w:p w:rsidR="005B7A4B" w:rsidRPr="003E1F05" w:rsidRDefault="005B7A4B" w:rsidP="005B7A4B">
      <w:pPr>
        <w:jc w:val="left"/>
        <w:rPr>
          <w:sz w:val="20"/>
          <w:szCs w:val="20"/>
        </w:rPr>
      </w:pPr>
      <w:proofErr w:type="gramStart"/>
      <w:r w:rsidRPr="003E1F05">
        <w:rPr>
          <w:sz w:val="20"/>
          <w:szCs w:val="20"/>
        </w:rPr>
        <w:t xml:space="preserve">American Association of Diabetes Educators (AADE), 2008, </w:t>
      </w:r>
      <w:r w:rsidRPr="003E1F05">
        <w:rPr>
          <w:i/>
          <w:sz w:val="20"/>
          <w:szCs w:val="20"/>
        </w:rPr>
        <w:t>Insulin pump therapy: guidelines for successful outcomes</w:t>
      </w:r>
      <w:r w:rsidRPr="003E1F05">
        <w:rPr>
          <w:sz w:val="20"/>
          <w:szCs w:val="20"/>
        </w:rPr>
        <w:t>, American Association of Diabetes Educators 2008 Consensus Summit, Chicago, Illinois.</w:t>
      </w:r>
      <w:proofErr w:type="gramEnd"/>
      <w:r w:rsidRPr="003E1F05">
        <w:rPr>
          <w:sz w:val="20"/>
          <w:szCs w:val="20"/>
        </w:rPr>
        <w:t xml:space="preserve"> </w:t>
      </w:r>
    </w:p>
    <w:p w:rsidR="005B7A4B" w:rsidRPr="003E1F05" w:rsidRDefault="005B7A4B" w:rsidP="005B7A4B">
      <w:pPr>
        <w:jc w:val="left"/>
        <w:rPr>
          <w:sz w:val="20"/>
          <w:szCs w:val="20"/>
        </w:rPr>
      </w:pPr>
      <w:r w:rsidRPr="003E1F05">
        <w:rPr>
          <w:sz w:val="20"/>
          <w:szCs w:val="20"/>
        </w:rPr>
        <w:t xml:space="preserve">Animas Corporation, 2012, </w:t>
      </w:r>
      <w:hyperlink r:id="rId30" w:history="1">
        <w:r w:rsidRPr="003E1F05">
          <w:rPr>
            <w:rStyle w:val="Hyperlink"/>
            <w:i/>
            <w:color w:val="auto"/>
            <w:sz w:val="20"/>
            <w:szCs w:val="20"/>
          </w:rPr>
          <w:t xml:space="preserve">Get to know the Animas® </w:t>
        </w:r>
        <w:proofErr w:type="spellStart"/>
        <w:r w:rsidRPr="003E1F05">
          <w:rPr>
            <w:rStyle w:val="Hyperlink"/>
            <w:i/>
            <w:color w:val="auto"/>
            <w:sz w:val="20"/>
            <w:szCs w:val="20"/>
          </w:rPr>
          <w:t>VibeTM</w:t>
        </w:r>
        <w:proofErr w:type="spellEnd"/>
        <w:r w:rsidRPr="003E1F05">
          <w:rPr>
            <w:rStyle w:val="Hyperlink"/>
            <w:i/>
            <w:color w:val="auto"/>
            <w:sz w:val="20"/>
            <w:szCs w:val="20"/>
          </w:rPr>
          <w:t xml:space="preserve"> insulin pump and CGM system</w:t>
        </w:r>
      </w:hyperlink>
      <w:r w:rsidRPr="003E1F05">
        <w:rPr>
          <w:sz w:val="20"/>
          <w:szCs w:val="20"/>
        </w:rPr>
        <w:t>.</w:t>
      </w:r>
    </w:p>
    <w:p w:rsidR="005B7A4B" w:rsidRPr="003E1F05" w:rsidRDefault="005B7A4B" w:rsidP="005B7A4B">
      <w:pPr>
        <w:jc w:val="left"/>
        <w:rPr>
          <w:sz w:val="20"/>
          <w:szCs w:val="20"/>
        </w:rPr>
      </w:pPr>
      <w:r w:rsidRPr="003E1F05">
        <w:rPr>
          <w:sz w:val="20"/>
          <w:szCs w:val="20"/>
        </w:rPr>
        <w:t xml:space="preserve">Australian Bureau of Statistics (ABS), 2012, </w:t>
      </w:r>
      <w:hyperlink r:id="rId31" w:history="1">
        <w:r w:rsidRPr="003E1F05">
          <w:rPr>
            <w:rStyle w:val="Hyperlink"/>
            <w:i/>
            <w:color w:val="auto"/>
            <w:sz w:val="20"/>
            <w:szCs w:val="20"/>
          </w:rPr>
          <w:t>Average Weekly Earnings</w:t>
        </w:r>
      </w:hyperlink>
      <w:r w:rsidRPr="003E1F05">
        <w:rPr>
          <w:sz w:val="20"/>
          <w:szCs w:val="20"/>
        </w:rPr>
        <w:t>, Cat. No. 6302.0, Canberra, accessed 12 March 2013.</w:t>
      </w:r>
    </w:p>
    <w:p w:rsidR="005B7A4B" w:rsidRPr="003E1F05" w:rsidRDefault="005B7A4B" w:rsidP="005B7A4B">
      <w:pPr>
        <w:jc w:val="left"/>
        <w:rPr>
          <w:sz w:val="20"/>
          <w:szCs w:val="20"/>
        </w:rPr>
      </w:pPr>
      <w:r w:rsidRPr="003E1F05">
        <w:rPr>
          <w:sz w:val="20"/>
          <w:szCs w:val="20"/>
        </w:rPr>
        <w:t xml:space="preserve">ABS, 2013, </w:t>
      </w:r>
      <w:hyperlink r:id="rId32" w:history="1">
        <w:r w:rsidRPr="003E1F05">
          <w:rPr>
            <w:rStyle w:val="Hyperlink"/>
            <w:i/>
            <w:color w:val="auto"/>
            <w:sz w:val="20"/>
            <w:szCs w:val="20"/>
          </w:rPr>
          <w:t>Australian Health Survey: Updated Results, 2011-12 diabetes mellitus</w:t>
        </w:r>
      </w:hyperlink>
      <w:r w:rsidRPr="003E1F05">
        <w:rPr>
          <w:sz w:val="20"/>
          <w:szCs w:val="20"/>
        </w:rPr>
        <w:t xml:space="preserve">, </w:t>
      </w:r>
      <w:proofErr w:type="gramStart"/>
      <w:r w:rsidRPr="003E1F05">
        <w:rPr>
          <w:sz w:val="20"/>
          <w:szCs w:val="20"/>
        </w:rPr>
        <w:t>Cat</w:t>
      </w:r>
      <w:proofErr w:type="gramEnd"/>
      <w:r w:rsidRPr="003E1F05">
        <w:rPr>
          <w:sz w:val="20"/>
          <w:szCs w:val="20"/>
        </w:rPr>
        <w:t xml:space="preserve">. No. 4364.0.55.003, Canberra, accessed 28 November 2013. </w:t>
      </w:r>
    </w:p>
    <w:p w:rsidR="005B7A4B" w:rsidRPr="003E1F05" w:rsidRDefault="005B7A4B" w:rsidP="005B7A4B">
      <w:pPr>
        <w:jc w:val="left"/>
        <w:rPr>
          <w:sz w:val="20"/>
          <w:szCs w:val="20"/>
        </w:rPr>
      </w:pPr>
      <w:r w:rsidRPr="003E1F05">
        <w:rPr>
          <w:sz w:val="20"/>
          <w:szCs w:val="20"/>
        </w:rPr>
        <w:t xml:space="preserve">Australian Diabetes Society, 2009, </w:t>
      </w:r>
      <w:hyperlink r:id="rId33" w:history="1">
        <w:r w:rsidRPr="003E1F05">
          <w:rPr>
            <w:rStyle w:val="Hyperlink"/>
            <w:i/>
            <w:color w:val="auto"/>
            <w:sz w:val="20"/>
            <w:szCs w:val="20"/>
          </w:rPr>
          <w:t>Australian Diabetes Society Position Statement: Individualization of HbA1c Targets for Adults with Diabetes Mellitus</w:t>
        </w:r>
      </w:hyperlink>
      <w:r w:rsidRPr="003E1F05">
        <w:rPr>
          <w:sz w:val="20"/>
          <w:szCs w:val="20"/>
        </w:rPr>
        <w:t>.</w:t>
      </w:r>
    </w:p>
    <w:p w:rsidR="005B7A4B" w:rsidRPr="003E1F05" w:rsidRDefault="005B7A4B" w:rsidP="005B7A4B">
      <w:pPr>
        <w:jc w:val="left"/>
        <w:rPr>
          <w:sz w:val="20"/>
          <w:szCs w:val="20"/>
        </w:rPr>
      </w:pPr>
      <w:proofErr w:type="gramStart"/>
      <w:r w:rsidRPr="003E1F05">
        <w:rPr>
          <w:sz w:val="20"/>
          <w:szCs w:val="20"/>
        </w:rPr>
        <w:t xml:space="preserve">Australian Institute of Health and Welfare (AIHW), 2008, </w:t>
      </w:r>
      <w:hyperlink r:id="rId34" w:history="1">
        <w:r w:rsidRPr="003E1F05">
          <w:rPr>
            <w:rStyle w:val="Hyperlink"/>
            <w:i/>
            <w:color w:val="auto"/>
            <w:sz w:val="20"/>
            <w:szCs w:val="20"/>
          </w:rPr>
          <w:t>Diabetes Australian Facts 2008</w:t>
        </w:r>
      </w:hyperlink>
      <w:r w:rsidRPr="003E1F05">
        <w:rPr>
          <w:sz w:val="20"/>
          <w:szCs w:val="20"/>
        </w:rPr>
        <w:t>, Canberra.</w:t>
      </w:r>
      <w:proofErr w:type="gramEnd"/>
    </w:p>
    <w:p w:rsidR="005B7A4B" w:rsidRPr="003E1F05" w:rsidRDefault="005B7A4B" w:rsidP="005B7A4B">
      <w:pPr>
        <w:jc w:val="left"/>
        <w:rPr>
          <w:sz w:val="20"/>
          <w:szCs w:val="20"/>
        </w:rPr>
      </w:pPr>
      <w:proofErr w:type="gramStart"/>
      <w:r w:rsidRPr="003E1F05">
        <w:rPr>
          <w:sz w:val="20"/>
          <w:szCs w:val="20"/>
        </w:rPr>
        <w:t xml:space="preserve">AIHW, 2011, </w:t>
      </w:r>
      <w:hyperlink r:id="rId35" w:history="1">
        <w:r w:rsidRPr="003E1F05">
          <w:rPr>
            <w:rStyle w:val="Hyperlink"/>
            <w:rFonts w:eastAsia="Calibri"/>
            <w:bCs/>
            <w:i/>
            <w:color w:val="auto"/>
            <w:sz w:val="20"/>
            <w:szCs w:val="20"/>
            <w:lang w:eastAsia="en-AU"/>
          </w:rPr>
          <w:t>Prevalence of Type 1 diabetes in Australian children, 2008</w:t>
        </w:r>
      </w:hyperlink>
      <w:r w:rsidRPr="003E1F05">
        <w:rPr>
          <w:sz w:val="20"/>
          <w:szCs w:val="20"/>
        </w:rPr>
        <w:t>, Canberra.</w:t>
      </w:r>
      <w:proofErr w:type="gramEnd"/>
    </w:p>
    <w:p w:rsidR="005B7A4B" w:rsidRPr="003E1F05" w:rsidRDefault="005B7A4B" w:rsidP="005B7A4B">
      <w:pPr>
        <w:jc w:val="left"/>
        <w:rPr>
          <w:sz w:val="20"/>
          <w:szCs w:val="20"/>
        </w:rPr>
      </w:pPr>
      <w:proofErr w:type="gramStart"/>
      <w:r w:rsidRPr="003E1F05">
        <w:rPr>
          <w:rFonts w:eastAsia="Calibri" w:cs="Calibri"/>
          <w:iCs/>
          <w:sz w:val="20"/>
          <w:szCs w:val="20"/>
          <w:lang w:eastAsia="en-AU"/>
        </w:rPr>
        <w:t>AIHW, 2012a,</w:t>
      </w:r>
      <w:r w:rsidRPr="003E1F05">
        <w:rPr>
          <w:rFonts w:eastAsia="Calibri" w:cs="Calibri"/>
          <w:i/>
          <w:iCs/>
          <w:sz w:val="20"/>
          <w:szCs w:val="20"/>
          <w:lang w:eastAsia="en-AU"/>
        </w:rPr>
        <w:t xml:space="preserve"> </w:t>
      </w:r>
      <w:r w:rsidRPr="003E1F05">
        <w:rPr>
          <w:rFonts w:eastAsia="Calibri" w:cs="Calibri"/>
          <w:iCs/>
          <w:sz w:val="20"/>
          <w:szCs w:val="20"/>
          <w:lang w:eastAsia="en-AU"/>
        </w:rPr>
        <w:t>‘</w:t>
      </w:r>
      <w:hyperlink r:id="rId36" w:history="1">
        <w:r w:rsidRPr="003E1F05">
          <w:rPr>
            <w:rStyle w:val="Hyperlink"/>
            <w:rFonts w:eastAsia="Calibri" w:cs="Calibri"/>
            <w:iCs/>
            <w:color w:val="auto"/>
            <w:sz w:val="20"/>
            <w:szCs w:val="20"/>
            <w:lang w:eastAsia="en-AU"/>
          </w:rPr>
          <w:t>Diabetes among young Australians</w:t>
        </w:r>
      </w:hyperlink>
      <w:r w:rsidRPr="003E1F05">
        <w:rPr>
          <w:rFonts w:eastAsia="Calibri" w:cs="Calibri"/>
          <w:iCs/>
          <w:sz w:val="20"/>
          <w:szCs w:val="20"/>
          <w:lang w:eastAsia="en-AU"/>
        </w:rPr>
        <w:t>’, Diabetes Series no. 18.</w:t>
      </w:r>
      <w:proofErr w:type="gramEnd"/>
      <w:r w:rsidRPr="003E1F05">
        <w:rPr>
          <w:rFonts w:eastAsia="Calibri" w:cs="Calibri"/>
          <w:iCs/>
          <w:sz w:val="20"/>
          <w:szCs w:val="20"/>
          <w:lang w:eastAsia="en-AU"/>
        </w:rPr>
        <w:t xml:space="preserve"> Cat. </w:t>
      </w:r>
      <w:proofErr w:type="gramStart"/>
      <w:r w:rsidRPr="003E1F05">
        <w:rPr>
          <w:rFonts w:eastAsia="Calibri" w:cs="Calibri"/>
          <w:iCs/>
          <w:sz w:val="20"/>
          <w:szCs w:val="20"/>
          <w:lang w:eastAsia="en-AU"/>
        </w:rPr>
        <w:t>no</w:t>
      </w:r>
      <w:proofErr w:type="gramEnd"/>
      <w:r w:rsidRPr="003E1F05">
        <w:rPr>
          <w:rFonts w:eastAsia="Calibri" w:cs="Calibri"/>
          <w:iCs/>
          <w:sz w:val="20"/>
          <w:szCs w:val="20"/>
          <w:lang w:eastAsia="en-AU"/>
        </w:rPr>
        <w:t>. CVD 59,</w:t>
      </w:r>
      <w:r w:rsidRPr="003E1F05">
        <w:rPr>
          <w:sz w:val="20"/>
          <w:szCs w:val="20"/>
        </w:rPr>
        <w:t xml:space="preserve"> Canberra.</w:t>
      </w:r>
    </w:p>
    <w:p w:rsidR="005B7A4B" w:rsidRPr="003E1F05" w:rsidRDefault="005B7A4B" w:rsidP="005B7A4B">
      <w:pPr>
        <w:jc w:val="left"/>
        <w:rPr>
          <w:rFonts w:eastAsia="Calibri" w:cs="Calibri"/>
          <w:sz w:val="20"/>
          <w:szCs w:val="20"/>
          <w:lang w:eastAsia="en-AU"/>
        </w:rPr>
      </w:pPr>
      <w:proofErr w:type="gramStart"/>
      <w:r w:rsidRPr="003E1F05">
        <w:rPr>
          <w:rFonts w:eastAsia="Calibri" w:cs="Calibri"/>
          <w:iCs/>
          <w:sz w:val="20"/>
          <w:szCs w:val="20"/>
          <w:lang w:eastAsia="en-AU"/>
        </w:rPr>
        <w:t xml:space="preserve">AIHW, 2012b, </w:t>
      </w:r>
      <w:hyperlink r:id="rId37" w:history="1">
        <w:r w:rsidRPr="003E1F05">
          <w:rPr>
            <w:rStyle w:val="Hyperlink"/>
            <w:rFonts w:eastAsia="Calibri" w:cs="Calibri"/>
            <w:i/>
            <w:iCs/>
            <w:color w:val="auto"/>
            <w:sz w:val="20"/>
            <w:szCs w:val="20"/>
            <w:lang w:eastAsia="en-AU"/>
          </w:rPr>
          <w:t>Insulin pump use in Australia</w:t>
        </w:r>
      </w:hyperlink>
      <w:r w:rsidRPr="003E1F05">
        <w:rPr>
          <w:rFonts w:eastAsia="Calibri" w:cs="Calibri"/>
          <w:iCs/>
          <w:sz w:val="20"/>
          <w:szCs w:val="20"/>
          <w:lang w:eastAsia="en-AU"/>
        </w:rPr>
        <w:t>, Diabetes series no.18.</w:t>
      </w:r>
      <w:proofErr w:type="gramEnd"/>
      <w:r w:rsidRPr="003E1F05">
        <w:rPr>
          <w:rFonts w:eastAsia="Calibri" w:cs="Calibri"/>
          <w:iCs/>
          <w:sz w:val="20"/>
          <w:szCs w:val="20"/>
          <w:lang w:eastAsia="en-AU"/>
        </w:rPr>
        <w:t xml:space="preserve"> Cat. </w:t>
      </w:r>
      <w:proofErr w:type="gramStart"/>
      <w:r w:rsidRPr="003E1F05">
        <w:rPr>
          <w:rFonts w:eastAsia="Calibri" w:cs="Calibri"/>
          <w:iCs/>
          <w:sz w:val="20"/>
          <w:szCs w:val="20"/>
          <w:lang w:eastAsia="en-AU"/>
        </w:rPr>
        <w:t>no</w:t>
      </w:r>
      <w:proofErr w:type="gramEnd"/>
      <w:r w:rsidRPr="003E1F05">
        <w:rPr>
          <w:rFonts w:eastAsia="Calibri" w:cs="Calibri"/>
          <w:iCs/>
          <w:sz w:val="20"/>
          <w:szCs w:val="20"/>
          <w:lang w:eastAsia="en-AU"/>
        </w:rPr>
        <w:t xml:space="preserve">. CVD 58, </w:t>
      </w:r>
      <w:r w:rsidRPr="003E1F05">
        <w:rPr>
          <w:sz w:val="20"/>
          <w:szCs w:val="20"/>
        </w:rPr>
        <w:t>Canberra.</w:t>
      </w:r>
    </w:p>
    <w:p w:rsidR="005B7A4B" w:rsidRPr="003E1F05" w:rsidRDefault="005B7A4B" w:rsidP="005B7A4B">
      <w:pPr>
        <w:jc w:val="left"/>
        <w:rPr>
          <w:sz w:val="20"/>
          <w:szCs w:val="20"/>
        </w:rPr>
      </w:pPr>
      <w:r w:rsidRPr="003E1F05">
        <w:rPr>
          <w:sz w:val="20"/>
          <w:szCs w:val="20"/>
        </w:rPr>
        <w:t xml:space="preserve">AIHW, 2013, </w:t>
      </w:r>
      <w:hyperlink r:id="rId38" w:anchor="t1" w:history="1">
        <w:r w:rsidRPr="003E1F05">
          <w:rPr>
            <w:rStyle w:val="Hyperlink"/>
            <w:i/>
            <w:color w:val="auto"/>
            <w:sz w:val="20"/>
            <w:szCs w:val="20"/>
          </w:rPr>
          <w:t>Incidence of insulin-treated diabetes in Australia 2000–2009</w:t>
        </w:r>
      </w:hyperlink>
      <w:r w:rsidRPr="003E1F05">
        <w:rPr>
          <w:sz w:val="20"/>
          <w:szCs w:val="20"/>
        </w:rPr>
        <w:t>, accessed 12 November 2013.</w:t>
      </w:r>
    </w:p>
    <w:p w:rsidR="005B7A4B" w:rsidRPr="003E1F05" w:rsidRDefault="005B7A4B" w:rsidP="005B7A4B">
      <w:pPr>
        <w:jc w:val="left"/>
        <w:rPr>
          <w:sz w:val="20"/>
          <w:szCs w:val="20"/>
        </w:rPr>
      </w:pPr>
      <w:r w:rsidRPr="003E1F05">
        <w:rPr>
          <w:sz w:val="20"/>
          <w:szCs w:val="20"/>
        </w:rPr>
        <w:t xml:space="preserve">Australian Tax Office, 2013, </w:t>
      </w:r>
      <w:hyperlink r:id="rId39" w:history="1">
        <w:r w:rsidRPr="003E1F05">
          <w:rPr>
            <w:rStyle w:val="Hyperlink"/>
            <w:i/>
            <w:color w:val="auto"/>
            <w:sz w:val="20"/>
            <w:szCs w:val="20"/>
          </w:rPr>
          <w:t>Medicare levy surcharge</w:t>
        </w:r>
      </w:hyperlink>
      <w:r w:rsidRPr="003E1F05">
        <w:rPr>
          <w:sz w:val="20"/>
          <w:szCs w:val="20"/>
        </w:rPr>
        <w:t>, Canberra, accessed 28 November 2013.</w:t>
      </w:r>
    </w:p>
    <w:p w:rsidR="005B7A4B" w:rsidRPr="003E1F05" w:rsidRDefault="005B7A4B" w:rsidP="005B7A4B">
      <w:pPr>
        <w:jc w:val="left"/>
        <w:rPr>
          <w:sz w:val="20"/>
          <w:szCs w:val="20"/>
        </w:rPr>
      </w:pPr>
      <w:r w:rsidRPr="003E1F05">
        <w:rPr>
          <w:sz w:val="20"/>
          <w:szCs w:val="20"/>
        </w:rPr>
        <w:t xml:space="preserve">Barnard KD, Lloyd CE &amp; Skinner TC, 2007, ‘Systematic literature review: quality of life associated with insulin pump use in Type 1 diabetes’, </w:t>
      </w:r>
      <w:r w:rsidRPr="003E1F05">
        <w:rPr>
          <w:i/>
          <w:sz w:val="20"/>
          <w:szCs w:val="20"/>
        </w:rPr>
        <w:t>Diabetic Medicine</w:t>
      </w:r>
      <w:r w:rsidRPr="003E1F05">
        <w:rPr>
          <w:sz w:val="20"/>
          <w:szCs w:val="20"/>
        </w:rPr>
        <w:t xml:space="preserve">, Vol. </w:t>
      </w:r>
      <w:r w:rsidRPr="003E1F05">
        <w:rPr>
          <w:bCs/>
          <w:sz w:val="20"/>
          <w:szCs w:val="20"/>
        </w:rPr>
        <w:t>24</w:t>
      </w:r>
      <w:r w:rsidRPr="003E1F05">
        <w:rPr>
          <w:sz w:val="20"/>
          <w:szCs w:val="20"/>
        </w:rPr>
        <w:t>, No. 6, pp. 607-17.</w:t>
      </w:r>
    </w:p>
    <w:p w:rsidR="005B7A4B" w:rsidRPr="003E1F05" w:rsidRDefault="005B7A4B" w:rsidP="005B7A4B">
      <w:pPr>
        <w:spacing w:line="240" w:lineRule="auto"/>
        <w:rPr>
          <w:rFonts w:cs="Calibri"/>
          <w:noProof/>
          <w:sz w:val="20"/>
          <w:szCs w:val="20"/>
        </w:rPr>
      </w:pPr>
      <w:bookmarkStart w:id="241" w:name="_ENREF_5"/>
      <w:r w:rsidRPr="003E1F05">
        <w:rPr>
          <w:rFonts w:cs="Calibri"/>
          <w:noProof/>
          <w:sz w:val="20"/>
          <w:szCs w:val="20"/>
        </w:rPr>
        <w:t xml:space="preserve">Berghaeuser MA, Kapellen T, </w:t>
      </w:r>
      <w:r w:rsidRPr="003E1F05">
        <w:rPr>
          <w:rFonts w:cs="Calibri"/>
          <w:i/>
          <w:noProof/>
          <w:sz w:val="20"/>
          <w:szCs w:val="20"/>
        </w:rPr>
        <w:t>et al.</w:t>
      </w:r>
      <w:r w:rsidRPr="003E1F05">
        <w:rPr>
          <w:rFonts w:cs="Calibri"/>
          <w:noProof/>
          <w:sz w:val="20"/>
          <w:szCs w:val="20"/>
        </w:rPr>
        <w:t xml:space="preserve"> 2008, ‘Continuous subcutaneous insulin infusion in toddlers starting at diagnosis of type 1 diabetes mellitus. A multicenter analysis of 104 patients from 63 centres in Germany and Austria’, </w:t>
      </w:r>
      <w:r w:rsidRPr="003E1F05">
        <w:rPr>
          <w:rFonts w:cs="Calibri"/>
          <w:i/>
          <w:noProof/>
          <w:sz w:val="20"/>
          <w:szCs w:val="20"/>
        </w:rPr>
        <w:t>Pediatric Diabetes</w:t>
      </w:r>
      <w:r w:rsidRPr="003E1F05">
        <w:rPr>
          <w:rFonts w:cs="Calibri"/>
          <w:noProof/>
          <w:sz w:val="20"/>
          <w:szCs w:val="20"/>
        </w:rPr>
        <w:t>, Vol. 9, No. 6, pp. 590-595.</w:t>
      </w:r>
      <w:bookmarkEnd w:id="241"/>
    </w:p>
    <w:p w:rsidR="005B7A4B" w:rsidRPr="003E1F05" w:rsidRDefault="005B7A4B" w:rsidP="005B7A4B">
      <w:pPr>
        <w:jc w:val="left"/>
        <w:rPr>
          <w:sz w:val="20"/>
          <w:szCs w:val="20"/>
        </w:rPr>
      </w:pPr>
      <w:r w:rsidRPr="003E1F05">
        <w:rPr>
          <w:sz w:val="20"/>
          <w:szCs w:val="20"/>
        </w:rPr>
        <w:t xml:space="preserve">Borg R, </w:t>
      </w:r>
      <w:proofErr w:type="spellStart"/>
      <w:r w:rsidRPr="003E1F05">
        <w:rPr>
          <w:sz w:val="20"/>
          <w:szCs w:val="20"/>
        </w:rPr>
        <w:t>Kuenen</w:t>
      </w:r>
      <w:proofErr w:type="spellEnd"/>
      <w:r w:rsidRPr="003E1F05">
        <w:rPr>
          <w:sz w:val="20"/>
          <w:szCs w:val="20"/>
        </w:rPr>
        <w:t xml:space="preserve"> JC, </w:t>
      </w:r>
      <w:r w:rsidRPr="003E1F05">
        <w:rPr>
          <w:i/>
          <w:sz w:val="20"/>
          <w:szCs w:val="20"/>
        </w:rPr>
        <w:t>et al.</w:t>
      </w:r>
      <w:r w:rsidRPr="003E1F05">
        <w:rPr>
          <w:sz w:val="20"/>
          <w:szCs w:val="20"/>
        </w:rPr>
        <w:t xml:space="preserve"> 2011, ‘HbA</w:t>
      </w:r>
      <w:r w:rsidRPr="003E1F05">
        <w:rPr>
          <w:sz w:val="20"/>
          <w:szCs w:val="20"/>
          <w:vertAlign w:val="subscript"/>
        </w:rPr>
        <w:t>1c</w:t>
      </w:r>
      <w:r w:rsidRPr="003E1F05">
        <w:rPr>
          <w:sz w:val="20"/>
          <w:szCs w:val="20"/>
        </w:rPr>
        <w:t xml:space="preserve"> and mean blood glucose show stronger associations with cardiovascular disease risk factors than do postprandial glycaemia or glucose variability in persons with type 1 diabetes: the A1C-Derived Average Glucose (ADAG) study’, </w:t>
      </w:r>
      <w:proofErr w:type="spellStart"/>
      <w:r w:rsidRPr="003E1F05">
        <w:rPr>
          <w:i/>
          <w:sz w:val="20"/>
          <w:szCs w:val="20"/>
        </w:rPr>
        <w:t>Diabetologica</w:t>
      </w:r>
      <w:proofErr w:type="spellEnd"/>
      <w:r w:rsidRPr="003E1F05">
        <w:rPr>
          <w:sz w:val="20"/>
          <w:szCs w:val="20"/>
        </w:rPr>
        <w:t>, Vol. 54, pp. 69-72.</w:t>
      </w:r>
    </w:p>
    <w:p w:rsidR="005B7A4B" w:rsidRPr="003E1F05" w:rsidRDefault="005B7A4B" w:rsidP="005B7A4B">
      <w:pPr>
        <w:jc w:val="left"/>
        <w:rPr>
          <w:sz w:val="20"/>
          <w:szCs w:val="20"/>
        </w:rPr>
      </w:pPr>
      <w:proofErr w:type="spellStart"/>
      <w:r w:rsidRPr="003E1F05">
        <w:rPr>
          <w:sz w:val="20"/>
          <w:szCs w:val="20"/>
        </w:rPr>
        <w:t>Bruttomesso</w:t>
      </w:r>
      <w:proofErr w:type="spellEnd"/>
      <w:r w:rsidRPr="003E1F05">
        <w:rPr>
          <w:sz w:val="20"/>
          <w:szCs w:val="20"/>
        </w:rPr>
        <w:t xml:space="preserve"> D, </w:t>
      </w:r>
      <w:proofErr w:type="spellStart"/>
      <w:r w:rsidRPr="003E1F05">
        <w:rPr>
          <w:sz w:val="20"/>
          <w:szCs w:val="20"/>
        </w:rPr>
        <w:t>Crazzolara</w:t>
      </w:r>
      <w:proofErr w:type="spellEnd"/>
      <w:r w:rsidRPr="003E1F05">
        <w:rPr>
          <w:sz w:val="20"/>
          <w:szCs w:val="20"/>
        </w:rPr>
        <w:t xml:space="preserve"> D, </w:t>
      </w:r>
      <w:r w:rsidRPr="003E1F05">
        <w:rPr>
          <w:i/>
          <w:sz w:val="20"/>
          <w:szCs w:val="20"/>
        </w:rPr>
        <w:t>et al.</w:t>
      </w:r>
      <w:r w:rsidRPr="003E1F05">
        <w:rPr>
          <w:sz w:val="20"/>
          <w:szCs w:val="20"/>
        </w:rPr>
        <w:t xml:space="preserve"> 2008, ‘In Type 1 diabetic patients with good glycaemic control, blood glucose variability is lower during continuous subcutaneous insulin infusion than during multiple daily injections with insulin </w:t>
      </w:r>
      <w:proofErr w:type="spellStart"/>
      <w:r w:rsidRPr="003E1F05">
        <w:rPr>
          <w:sz w:val="20"/>
          <w:szCs w:val="20"/>
        </w:rPr>
        <w:t>glargine</w:t>
      </w:r>
      <w:proofErr w:type="spellEnd"/>
      <w:r w:rsidRPr="003E1F05">
        <w:rPr>
          <w:sz w:val="20"/>
          <w:szCs w:val="20"/>
        </w:rPr>
        <w:t xml:space="preserve">’, </w:t>
      </w:r>
      <w:r w:rsidRPr="003E1F05">
        <w:rPr>
          <w:i/>
          <w:sz w:val="20"/>
          <w:szCs w:val="20"/>
        </w:rPr>
        <w:t>Diabetic Medicine</w:t>
      </w:r>
      <w:r w:rsidRPr="003E1F05">
        <w:rPr>
          <w:sz w:val="20"/>
          <w:szCs w:val="20"/>
        </w:rPr>
        <w:t xml:space="preserve">, Vol. </w:t>
      </w:r>
      <w:r w:rsidRPr="003E1F05">
        <w:rPr>
          <w:bCs/>
          <w:sz w:val="20"/>
          <w:szCs w:val="20"/>
        </w:rPr>
        <w:t>25</w:t>
      </w:r>
      <w:r w:rsidRPr="003E1F05">
        <w:rPr>
          <w:sz w:val="20"/>
          <w:szCs w:val="20"/>
        </w:rPr>
        <w:t xml:space="preserve">, No. 3, pp. 326-332. </w:t>
      </w:r>
    </w:p>
    <w:p w:rsidR="005B7A4B" w:rsidRPr="003E1F05" w:rsidRDefault="005B7A4B" w:rsidP="005B7A4B">
      <w:pPr>
        <w:jc w:val="left"/>
        <w:rPr>
          <w:sz w:val="20"/>
          <w:szCs w:val="20"/>
        </w:rPr>
      </w:pPr>
      <w:proofErr w:type="spellStart"/>
      <w:r w:rsidRPr="003E1F05">
        <w:rPr>
          <w:sz w:val="20"/>
          <w:szCs w:val="20"/>
        </w:rPr>
        <w:t>Bruttomesso</w:t>
      </w:r>
      <w:proofErr w:type="spellEnd"/>
      <w:r w:rsidRPr="003E1F05">
        <w:rPr>
          <w:sz w:val="20"/>
          <w:szCs w:val="20"/>
        </w:rPr>
        <w:t xml:space="preserve"> D, </w:t>
      </w:r>
      <w:proofErr w:type="spellStart"/>
      <w:r w:rsidRPr="003E1F05">
        <w:rPr>
          <w:sz w:val="20"/>
          <w:szCs w:val="20"/>
        </w:rPr>
        <w:t>Bonomo</w:t>
      </w:r>
      <w:proofErr w:type="spellEnd"/>
      <w:r w:rsidRPr="003E1F05">
        <w:rPr>
          <w:sz w:val="20"/>
          <w:szCs w:val="20"/>
        </w:rPr>
        <w:t xml:space="preserve"> M, </w:t>
      </w:r>
      <w:r w:rsidRPr="003E1F05">
        <w:rPr>
          <w:i/>
          <w:sz w:val="20"/>
          <w:szCs w:val="20"/>
        </w:rPr>
        <w:t>et al.</w:t>
      </w:r>
      <w:r w:rsidRPr="003E1F05">
        <w:rPr>
          <w:sz w:val="20"/>
          <w:szCs w:val="20"/>
        </w:rPr>
        <w:t xml:space="preserve"> 2011, ‘Type 1 diabetes control and pregnancy outcomes in women treated with continuous subcutaneous insulin infusion (CSII) or with insulin </w:t>
      </w:r>
      <w:proofErr w:type="spellStart"/>
      <w:r w:rsidRPr="003E1F05">
        <w:rPr>
          <w:sz w:val="20"/>
          <w:szCs w:val="20"/>
        </w:rPr>
        <w:t>glargine</w:t>
      </w:r>
      <w:proofErr w:type="spellEnd"/>
      <w:r w:rsidRPr="003E1F05">
        <w:rPr>
          <w:sz w:val="20"/>
          <w:szCs w:val="20"/>
        </w:rPr>
        <w:t xml:space="preserve"> and multiple daily injections of rapid-acting insulin analogues (</w:t>
      </w:r>
      <w:proofErr w:type="spellStart"/>
      <w:r w:rsidRPr="003E1F05">
        <w:rPr>
          <w:sz w:val="20"/>
          <w:szCs w:val="20"/>
        </w:rPr>
        <w:t>glargine</w:t>
      </w:r>
      <w:proofErr w:type="spellEnd"/>
      <w:r w:rsidRPr="003E1F05">
        <w:rPr>
          <w:sz w:val="20"/>
          <w:szCs w:val="20"/>
        </w:rPr>
        <w:t xml:space="preserve">-MDI)’, </w:t>
      </w:r>
      <w:r w:rsidRPr="003E1F05">
        <w:rPr>
          <w:i/>
          <w:sz w:val="20"/>
          <w:szCs w:val="20"/>
        </w:rPr>
        <w:t>Diabetes &amp; Metabolism</w:t>
      </w:r>
      <w:r w:rsidRPr="003E1F05">
        <w:rPr>
          <w:sz w:val="20"/>
          <w:szCs w:val="20"/>
        </w:rPr>
        <w:t>, Vol. 37, pp. 426-31.</w:t>
      </w:r>
    </w:p>
    <w:p w:rsidR="005B7A4B" w:rsidRPr="003E1F05" w:rsidRDefault="005B7A4B" w:rsidP="005B7A4B">
      <w:pPr>
        <w:jc w:val="left"/>
        <w:rPr>
          <w:bCs/>
          <w:sz w:val="20"/>
          <w:szCs w:val="20"/>
        </w:rPr>
      </w:pPr>
      <w:r w:rsidRPr="003E1F05">
        <w:rPr>
          <w:bCs/>
          <w:sz w:val="20"/>
          <w:szCs w:val="20"/>
        </w:rPr>
        <w:t xml:space="preserve">Campbell S, </w:t>
      </w:r>
      <w:proofErr w:type="spellStart"/>
      <w:r w:rsidRPr="003E1F05">
        <w:rPr>
          <w:bCs/>
          <w:sz w:val="20"/>
          <w:szCs w:val="20"/>
        </w:rPr>
        <w:t>Suebwongpat</w:t>
      </w:r>
      <w:proofErr w:type="spellEnd"/>
      <w:r w:rsidRPr="003E1F05">
        <w:rPr>
          <w:bCs/>
          <w:sz w:val="20"/>
          <w:szCs w:val="20"/>
        </w:rPr>
        <w:t xml:space="preserve"> A, </w:t>
      </w:r>
      <w:proofErr w:type="spellStart"/>
      <w:r w:rsidRPr="003E1F05">
        <w:rPr>
          <w:bCs/>
          <w:sz w:val="20"/>
          <w:szCs w:val="20"/>
        </w:rPr>
        <w:t>Standfied</w:t>
      </w:r>
      <w:proofErr w:type="spellEnd"/>
      <w:r w:rsidRPr="003E1F05">
        <w:rPr>
          <w:bCs/>
          <w:sz w:val="20"/>
          <w:szCs w:val="20"/>
        </w:rPr>
        <w:t xml:space="preserve"> L &amp; Weston A, 2008, ‘Systematic review update and economic evaluation for the New Zealand setting: Subcutaneous insulin pump therapy’,</w:t>
      </w:r>
      <w:r w:rsidRPr="003E1F05">
        <w:rPr>
          <w:bCs/>
          <w:i/>
          <w:sz w:val="20"/>
          <w:szCs w:val="20"/>
        </w:rPr>
        <w:t xml:space="preserve"> HSAC Report</w:t>
      </w:r>
      <w:r w:rsidRPr="003E1F05">
        <w:rPr>
          <w:bCs/>
          <w:sz w:val="20"/>
          <w:szCs w:val="20"/>
        </w:rPr>
        <w:t xml:space="preserve">, Vol. 1, No. 3. </w:t>
      </w:r>
    </w:p>
    <w:p w:rsidR="005B7A4B" w:rsidRPr="003E1F05" w:rsidRDefault="005B7A4B" w:rsidP="005B7A4B">
      <w:pPr>
        <w:spacing w:line="240" w:lineRule="auto"/>
        <w:rPr>
          <w:rFonts w:cs="Calibri"/>
          <w:noProof/>
          <w:sz w:val="20"/>
          <w:szCs w:val="20"/>
        </w:rPr>
      </w:pPr>
      <w:bookmarkStart w:id="242" w:name="_ENREF_7"/>
      <w:bookmarkStart w:id="243" w:name="_ENREF_9"/>
      <w:r w:rsidRPr="003E1F05">
        <w:rPr>
          <w:rFonts w:cs="Calibri"/>
          <w:noProof/>
          <w:sz w:val="20"/>
          <w:szCs w:val="20"/>
        </w:rPr>
        <w:lastRenderedPageBreak/>
        <w:t xml:space="preserve">Çamurdan MO, Bideci A, Demirel F &amp; Cinaz P, 2008, ‘The follow-up results of insulin pump use in Turkisch children with type 1 diabetes mellitus’, </w:t>
      </w:r>
      <w:r w:rsidRPr="003E1F05">
        <w:rPr>
          <w:rFonts w:cs="Calibri"/>
          <w:i/>
          <w:noProof/>
          <w:sz w:val="20"/>
          <w:szCs w:val="20"/>
        </w:rPr>
        <w:t>Gazi Medical Journal</w:t>
      </w:r>
      <w:r w:rsidRPr="003E1F05">
        <w:rPr>
          <w:rFonts w:cs="Calibri"/>
          <w:noProof/>
          <w:sz w:val="20"/>
          <w:szCs w:val="20"/>
        </w:rPr>
        <w:t>, Vol. 19, No. 1, pp. 10-14.</w:t>
      </w:r>
      <w:bookmarkEnd w:id="242"/>
    </w:p>
    <w:p w:rsidR="005B7A4B" w:rsidRPr="003E1F05" w:rsidRDefault="005B7A4B" w:rsidP="005B7A4B">
      <w:pPr>
        <w:spacing w:line="240" w:lineRule="auto"/>
        <w:rPr>
          <w:rFonts w:cs="Calibri"/>
          <w:noProof/>
          <w:sz w:val="20"/>
          <w:szCs w:val="20"/>
        </w:rPr>
      </w:pPr>
      <w:bookmarkStart w:id="244" w:name="_ENREF_8"/>
      <w:r w:rsidRPr="003E1F05">
        <w:rPr>
          <w:rFonts w:cs="Calibri"/>
          <w:noProof/>
          <w:sz w:val="20"/>
          <w:szCs w:val="20"/>
        </w:rPr>
        <w:t xml:space="preserve">Carlsson BM, Attvall S, et al. 2013, ‘Insulin Pump-Long-Term Effects on Glycemic Control: An Observational Study at 10 Diabetes Clinics in Sweden’, </w:t>
      </w:r>
      <w:r w:rsidRPr="003E1F05">
        <w:rPr>
          <w:rFonts w:cs="Calibri"/>
          <w:i/>
          <w:noProof/>
          <w:sz w:val="20"/>
          <w:szCs w:val="20"/>
        </w:rPr>
        <w:t>Diabetes Technology &amp; Therapeutics</w:t>
      </w:r>
      <w:r w:rsidRPr="003E1F05">
        <w:rPr>
          <w:rFonts w:cs="Calibri"/>
          <w:noProof/>
          <w:sz w:val="20"/>
          <w:szCs w:val="20"/>
        </w:rPr>
        <w:t>, Vol. 15, No. 4, pp. 302-307.</w:t>
      </w:r>
      <w:bookmarkEnd w:id="244"/>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Cavalot F, 2013, ‘Do data in the literature indicate that glycaemic variability is a clinical problem? Glycaemic variability and vascular complications of diabetes’, </w:t>
      </w:r>
      <w:r w:rsidRPr="003E1F05">
        <w:rPr>
          <w:rFonts w:cs="Calibri"/>
          <w:i/>
          <w:noProof/>
          <w:sz w:val="20"/>
          <w:szCs w:val="20"/>
        </w:rPr>
        <w:t xml:space="preserve">Diabetes, Obesity and Metabolism, </w:t>
      </w:r>
      <w:r w:rsidRPr="003E1F05">
        <w:rPr>
          <w:rFonts w:cs="Calibri"/>
          <w:noProof/>
          <w:sz w:val="20"/>
          <w:szCs w:val="20"/>
        </w:rPr>
        <w:t xml:space="preserve">Vol. 15, No 2, pp. 3-8.  </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Clar C, Barnard K, </w:t>
      </w:r>
      <w:r w:rsidRPr="003E1F05">
        <w:rPr>
          <w:rFonts w:cs="Calibri"/>
          <w:i/>
          <w:noProof/>
          <w:sz w:val="20"/>
          <w:szCs w:val="20"/>
        </w:rPr>
        <w:t>et al.</w:t>
      </w:r>
      <w:r w:rsidRPr="003E1F05">
        <w:rPr>
          <w:rFonts w:cs="Calibri"/>
          <w:noProof/>
          <w:sz w:val="20"/>
          <w:szCs w:val="20"/>
        </w:rPr>
        <w:t xml:space="preserve"> 2010, ‘Self-monitoring of blood glucose in type 2 diabetes: systematic review’, </w:t>
      </w:r>
      <w:r w:rsidRPr="003E1F05">
        <w:rPr>
          <w:rFonts w:cs="Calibri"/>
          <w:i/>
          <w:noProof/>
          <w:sz w:val="20"/>
          <w:szCs w:val="20"/>
        </w:rPr>
        <w:t>Health Technology Assessment</w:t>
      </w:r>
      <w:r w:rsidRPr="003E1F05">
        <w:rPr>
          <w:rFonts w:cs="Calibri"/>
          <w:noProof/>
          <w:sz w:val="20"/>
          <w:szCs w:val="20"/>
        </w:rPr>
        <w:t xml:space="preserve"> Vol. 14, No. 12, pp. 1-140.</w:t>
      </w:r>
      <w:bookmarkEnd w:id="243"/>
    </w:p>
    <w:p w:rsidR="005B7A4B" w:rsidRPr="003E1F05" w:rsidRDefault="005B7A4B" w:rsidP="005B7A4B">
      <w:pPr>
        <w:jc w:val="left"/>
        <w:rPr>
          <w:sz w:val="20"/>
          <w:szCs w:val="20"/>
        </w:rPr>
      </w:pPr>
      <w:r w:rsidRPr="003E1F05">
        <w:rPr>
          <w:rFonts w:eastAsia="Calibri" w:cs="Cambria"/>
          <w:sz w:val="20"/>
          <w:szCs w:val="20"/>
          <w:lang w:eastAsia="en-AU"/>
        </w:rPr>
        <w:t xml:space="preserve">Closing the Loop Pty Ltd, 2010, </w:t>
      </w:r>
      <w:hyperlink r:id="rId40" w:history="1">
        <w:proofErr w:type="spellStart"/>
        <w:r w:rsidRPr="003E1F05">
          <w:rPr>
            <w:rStyle w:val="Hyperlink"/>
            <w:rFonts w:eastAsia="Calibri" w:cs="Cambria"/>
            <w:i/>
            <w:iCs/>
            <w:color w:val="auto"/>
            <w:sz w:val="20"/>
            <w:szCs w:val="20"/>
            <w:lang w:eastAsia="en-AU"/>
          </w:rPr>
          <w:t>mylife</w:t>
        </w:r>
        <w:proofErr w:type="spellEnd"/>
        <w:r w:rsidRPr="003E1F05">
          <w:rPr>
            <w:rStyle w:val="Hyperlink"/>
            <w:rFonts w:eastAsia="Calibri" w:cs="Cambria"/>
            <w:i/>
            <w:iCs/>
            <w:color w:val="auto"/>
            <w:sz w:val="20"/>
            <w:szCs w:val="20"/>
            <w:lang w:eastAsia="en-AU"/>
          </w:rPr>
          <w:t xml:space="preserve"> </w:t>
        </w:r>
        <w:proofErr w:type="spellStart"/>
        <w:r w:rsidRPr="003E1F05">
          <w:rPr>
            <w:rStyle w:val="Hyperlink"/>
            <w:rFonts w:eastAsia="Calibri" w:cs="Cambria"/>
            <w:i/>
            <w:iCs/>
            <w:color w:val="auto"/>
            <w:sz w:val="20"/>
            <w:szCs w:val="20"/>
            <w:lang w:eastAsia="en-AU"/>
          </w:rPr>
          <w:t>Omnipod</w:t>
        </w:r>
        <w:proofErr w:type="spellEnd"/>
      </w:hyperlink>
      <w:r w:rsidRPr="003E1F05">
        <w:rPr>
          <w:rFonts w:eastAsia="Calibri" w:cs="Cambria"/>
          <w:sz w:val="20"/>
          <w:szCs w:val="20"/>
          <w:lang w:eastAsia="en-AU"/>
        </w:rPr>
        <w:t>, accessed 13 November 2013.</w:t>
      </w:r>
    </w:p>
    <w:p w:rsidR="005B7A4B" w:rsidRPr="003E1F05" w:rsidRDefault="005B7A4B" w:rsidP="005B7A4B">
      <w:pPr>
        <w:jc w:val="left"/>
        <w:rPr>
          <w:rFonts w:eastAsia="Calibri"/>
          <w:sz w:val="20"/>
          <w:szCs w:val="20"/>
        </w:rPr>
      </w:pPr>
      <w:r w:rsidRPr="003E1F05">
        <w:rPr>
          <w:rFonts w:eastAsia="Calibri"/>
          <w:sz w:val="20"/>
          <w:szCs w:val="20"/>
        </w:rPr>
        <w:t>Chen R, Ben-</w:t>
      </w:r>
      <w:proofErr w:type="spellStart"/>
      <w:r w:rsidRPr="003E1F05">
        <w:rPr>
          <w:rFonts w:eastAsia="Calibri"/>
          <w:sz w:val="20"/>
          <w:szCs w:val="20"/>
        </w:rPr>
        <w:t>Haroush</w:t>
      </w:r>
      <w:proofErr w:type="spellEnd"/>
      <w:r w:rsidRPr="003E1F05">
        <w:rPr>
          <w:rFonts w:eastAsia="Calibri"/>
          <w:sz w:val="20"/>
          <w:szCs w:val="20"/>
        </w:rPr>
        <w:t xml:space="preserve"> A, </w:t>
      </w:r>
      <w:r w:rsidRPr="003E1F05">
        <w:rPr>
          <w:rFonts w:eastAsia="Calibri"/>
          <w:i/>
          <w:sz w:val="20"/>
          <w:szCs w:val="20"/>
        </w:rPr>
        <w:t>et al.</w:t>
      </w:r>
      <w:r w:rsidRPr="003E1F05">
        <w:rPr>
          <w:rFonts w:eastAsia="Calibri"/>
          <w:sz w:val="20"/>
          <w:szCs w:val="20"/>
        </w:rPr>
        <w:t xml:space="preserve"> 2007, ‘Level of glycaemic control and pregnancy outcome in type 1 diabetes: a comparison between multiple daily injections and continuous subcutaneous insulin infusions’, </w:t>
      </w:r>
      <w:r w:rsidRPr="003E1F05">
        <w:rPr>
          <w:rFonts w:eastAsia="Calibri"/>
          <w:i/>
          <w:sz w:val="20"/>
          <w:szCs w:val="20"/>
        </w:rPr>
        <w:t>American Journal of Obstetrics &amp; Gynaecology</w:t>
      </w:r>
      <w:r w:rsidRPr="003E1F05">
        <w:rPr>
          <w:rFonts w:eastAsia="Calibri"/>
          <w:sz w:val="20"/>
          <w:szCs w:val="20"/>
        </w:rPr>
        <w:t>, Vol. 197, No. 4, pp. 404.e1-5.</w:t>
      </w:r>
    </w:p>
    <w:p w:rsidR="005B7A4B" w:rsidRPr="003E1F05" w:rsidRDefault="005B7A4B" w:rsidP="005B7A4B">
      <w:pPr>
        <w:jc w:val="left"/>
        <w:rPr>
          <w:rFonts w:eastAsia="Calibri"/>
          <w:sz w:val="20"/>
          <w:szCs w:val="20"/>
        </w:rPr>
      </w:pPr>
      <w:r w:rsidRPr="003E1F05">
        <w:rPr>
          <w:rFonts w:eastAsia="Calibri"/>
          <w:sz w:val="20"/>
          <w:szCs w:val="20"/>
        </w:rPr>
        <w:t xml:space="preserve">Chico A, </w:t>
      </w:r>
      <w:proofErr w:type="spellStart"/>
      <w:r w:rsidRPr="003E1F05">
        <w:rPr>
          <w:rFonts w:eastAsia="Calibri"/>
          <w:sz w:val="20"/>
          <w:szCs w:val="20"/>
        </w:rPr>
        <w:t>Saigi</w:t>
      </w:r>
      <w:proofErr w:type="spellEnd"/>
      <w:r w:rsidRPr="003E1F05">
        <w:rPr>
          <w:rFonts w:eastAsia="Calibri"/>
          <w:sz w:val="20"/>
          <w:szCs w:val="20"/>
        </w:rPr>
        <w:t xml:space="preserve"> I, </w:t>
      </w:r>
      <w:r w:rsidRPr="003E1F05">
        <w:rPr>
          <w:rFonts w:eastAsia="Calibri"/>
          <w:i/>
          <w:sz w:val="20"/>
          <w:szCs w:val="20"/>
        </w:rPr>
        <w:t xml:space="preserve">et al. </w:t>
      </w:r>
      <w:r w:rsidRPr="003E1F05">
        <w:rPr>
          <w:rFonts w:eastAsia="Calibri"/>
          <w:sz w:val="20"/>
          <w:szCs w:val="20"/>
        </w:rPr>
        <w:t xml:space="preserve">2010, ‘Glycaemic Control and Perinatal Outcomes of Pregnancies Complicated by Type 1 Diabetes: Influence of Continuous Subcutaneous Insulin Infusion and </w:t>
      </w:r>
      <w:proofErr w:type="spellStart"/>
      <w:r w:rsidRPr="003E1F05">
        <w:rPr>
          <w:rFonts w:eastAsia="Calibri"/>
          <w:sz w:val="20"/>
          <w:szCs w:val="20"/>
        </w:rPr>
        <w:t>Lispro</w:t>
      </w:r>
      <w:proofErr w:type="spellEnd"/>
      <w:r w:rsidRPr="003E1F05">
        <w:rPr>
          <w:rFonts w:eastAsia="Calibri"/>
          <w:sz w:val="20"/>
          <w:szCs w:val="20"/>
        </w:rPr>
        <w:t xml:space="preserve"> Insulin’, Vol. 12, No. 12, pp. 937-45.</w:t>
      </w:r>
    </w:p>
    <w:p w:rsidR="005B7A4B" w:rsidRPr="003E1F05" w:rsidRDefault="005B7A4B" w:rsidP="005B7A4B">
      <w:pPr>
        <w:jc w:val="left"/>
        <w:rPr>
          <w:rFonts w:eastAsia="Calibri"/>
          <w:sz w:val="20"/>
          <w:szCs w:val="20"/>
        </w:rPr>
      </w:pPr>
      <w:r w:rsidRPr="003E1F05">
        <w:rPr>
          <w:rFonts w:eastAsia="Calibri"/>
          <w:sz w:val="20"/>
          <w:szCs w:val="20"/>
        </w:rPr>
        <w:t xml:space="preserve">Cohen N, </w:t>
      </w:r>
      <w:proofErr w:type="spellStart"/>
      <w:r w:rsidRPr="003E1F05">
        <w:rPr>
          <w:rFonts w:eastAsia="Calibri"/>
          <w:sz w:val="20"/>
          <w:szCs w:val="20"/>
        </w:rPr>
        <w:t>Minshall</w:t>
      </w:r>
      <w:proofErr w:type="spellEnd"/>
      <w:r w:rsidRPr="003E1F05">
        <w:rPr>
          <w:rFonts w:eastAsia="Calibri"/>
          <w:sz w:val="20"/>
          <w:szCs w:val="20"/>
        </w:rPr>
        <w:t xml:space="preserve"> M, </w:t>
      </w:r>
      <w:r w:rsidRPr="003E1F05">
        <w:rPr>
          <w:rFonts w:eastAsia="Calibri"/>
          <w:i/>
          <w:sz w:val="20"/>
          <w:szCs w:val="20"/>
        </w:rPr>
        <w:t>et al.</w:t>
      </w:r>
      <w:r w:rsidRPr="003E1F05">
        <w:rPr>
          <w:rFonts w:eastAsia="Calibri"/>
          <w:sz w:val="20"/>
          <w:szCs w:val="20"/>
        </w:rPr>
        <w:t xml:space="preserve"> 2007, ‘Continuous subcutaneous insulin infusion versus multiple daily injections of insulin: Economic comparison in adult and adolescent type 1 diabetes mellitus in Australia’, </w:t>
      </w:r>
      <w:proofErr w:type="spellStart"/>
      <w:r w:rsidRPr="003E1F05">
        <w:rPr>
          <w:rFonts w:eastAsia="Calibri"/>
          <w:i/>
          <w:sz w:val="20"/>
          <w:szCs w:val="20"/>
        </w:rPr>
        <w:t>Pharmacoeconomics</w:t>
      </w:r>
      <w:proofErr w:type="spellEnd"/>
      <w:r w:rsidRPr="003E1F05">
        <w:rPr>
          <w:rFonts w:eastAsia="Calibri"/>
          <w:sz w:val="20"/>
          <w:szCs w:val="20"/>
        </w:rPr>
        <w:t>, Vol. 25, pp. 881-97.</w:t>
      </w:r>
    </w:p>
    <w:p w:rsidR="005B7A4B" w:rsidRPr="003E1F05" w:rsidRDefault="005B7A4B" w:rsidP="005B7A4B">
      <w:pPr>
        <w:jc w:val="left"/>
        <w:rPr>
          <w:sz w:val="20"/>
          <w:szCs w:val="20"/>
        </w:rPr>
      </w:pPr>
      <w:bookmarkStart w:id="245" w:name="_ENREF_10"/>
      <w:r w:rsidRPr="003E1F05">
        <w:rPr>
          <w:sz w:val="20"/>
          <w:szCs w:val="20"/>
        </w:rPr>
        <w:t xml:space="preserve">Craig ME, </w:t>
      </w:r>
      <w:proofErr w:type="spellStart"/>
      <w:r w:rsidRPr="003E1F05">
        <w:rPr>
          <w:sz w:val="20"/>
          <w:szCs w:val="20"/>
        </w:rPr>
        <w:t>Twigg</w:t>
      </w:r>
      <w:proofErr w:type="spellEnd"/>
      <w:r w:rsidRPr="003E1F05">
        <w:rPr>
          <w:sz w:val="20"/>
          <w:szCs w:val="20"/>
        </w:rPr>
        <w:t xml:space="preserve"> SM, </w:t>
      </w:r>
      <w:r w:rsidRPr="003E1F05">
        <w:rPr>
          <w:i/>
          <w:sz w:val="20"/>
          <w:szCs w:val="20"/>
        </w:rPr>
        <w:t>et al.</w:t>
      </w:r>
      <w:r w:rsidRPr="003E1F05">
        <w:rPr>
          <w:sz w:val="20"/>
          <w:szCs w:val="20"/>
        </w:rPr>
        <w:t xml:space="preserve"> 2011, ‘</w:t>
      </w:r>
      <w:hyperlink r:id="rId41" w:history="1">
        <w:r w:rsidRPr="003E1F05">
          <w:rPr>
            <w:rStyle w:val="Hyperlink"/>
            <w:color w:val="auto"/>
            <w:sz w:val="20"/>
            <w:szCs w:val="20"/>
          </w:rPr>
          <w:t>National evidence‐based clinical care guidelines for type 1 diabetes in children, adolescents and adults</w:t>
        </w:r>
      </w:hyperlink>
      <w:r w:rsidRPr="003E1F05">
        <w:rPr>
          <w:sz w:val="20"/>
          <w:szCs w:val="20"/>
        </w:rPr>
        <w:t>’, Australian Government Department of Health and Ageing, Canberra.</w:t>
      </w:r>
    </w:p>
    <w:p w:rsidR="005B7A4B" w:rsidRPr="003E1F05" w:rsidRDefault="005B7A4B" w:rsidP="005B7A4B">
      <w:pPr>
        <w:spacing w:after="160" w:line="240" w:lineRule="auto"/>
        <w:rPr>
          <w:rFonts w:cs="Calibri"/>
          <w:noProof/>
          <w:sz w:val="20"/>
          <w:szCs w:val="20"/>
        </w:rPr>
      </w:pPr>
      <w:r w:rsidRPr="003E1F05">
        <w:rPr>
          <w:rFonts w:cs="Calibri"/>
          <w:noProof/>
          <w:sz w:val="20"/>
          <w:szCs w:val="20"/>
        </w:rPr>
        <w:t xml:space="preserve">Cummins E, Royle P, </w:t>
      </w:r>
      <w:r w:rsidRPr="003E1F05">
        <w:rPr>
          <w:rFonts w:cs="Calibri"/>
          <w:i/>
          <w:noProof/>
          <w:sz w:val="20"/>
          <w:szCs w:val="20"/>
        </w:rPr>
        <w:t>et al.</w:t>
      </w:r>
      <w:r w:rsidRPr="003E1F05">
        <w:rPr>
          <w:rFonts w:cs="Calibri"/>
          <w:noProof/>
          <w:sz w:val="20"/>
          <w:szCs w:val="20"/>
        </w:rPr>
        <w:t xml:space="preserve"> 2010, ‘Clinical effectiveness and cost-effectiveness of continuous subcutaneous insulin infusion for diabetes: systematic review and economic evaluation’, </w:t>
      </w:r>
      <w:r w:rsidRPr="003E1F05">
        <w:rPr>
          <w:rFonts w:cs="Calibri"/>
          <w:i/>
          <w:noProof/>
          <w:sz w:val="20"/>
          <w:szCs w:val="20"/>
        </w:rPr>
        <w:t>Health Technology Assessment</w:t>
      </w:r>
      <w:r w:rsidRPr="003E1F05">
        <w:rPr>
          <w:rFonts w:cs="Calibri"/>
          <w:noProof/>
          <w:sz w:val="20"/>
          <w:szCs w:val="20"/>
        </w:rPr>
        <w:t>, Vol. 14, No. 11, pp. 1-181.</w:t>
      </w:r>
      <w:bookmarkEnd w:id="245"/>
    </w:p>
    <w:p w:rsidR="005B7A4B" w:rsidRPr="003E1F05" w:rsidRDefault="005B7A4B" w:rsidP="005B7A4B">
      <w:pPr>
        <w:spacing w:after="160" w:line="240" w:lineRule="auto"/>
        <w:rPr>
          <w:rFonts w:cs="Calibri"/>
          <w:noProof/>
          <w:sz w:val="20"/>
          <w:szCs w:val="20"/>
        </w:rPr>
      </w:pPr>
      <w:r w:rsidRPr="003E1F05">
        <w:rPr>
          <w:rFonts w:cs="Calibri"/>
          <w:noProof/>
          <w:sz w:val="20"/>
          <w:szCs w:val="20"/>
        </w:rPr>
        <w:t xml:space="preserve">Cyganek K, Hebda-Szydlo A, </w:t>
      </w:r>
      <w:r w:rsidRPr="003E1F05">
        <w:rPr>
          <w:rFonts w:cs="Calibri"/>
          <w:i/>
          <w:noProof/>
          <w:sz w:val="20"/>
          <w:szCs w:val="20"/>
        </w:rPr>
        <w:t>et al.</w:t>
      </w:r>
      <w:r w:rsidRPr="003E1F05">
        <w:rPr>
          <w:rFonts w:cs="Calibri"/>
          <w:noProof/>
          <w:sz w:val="20"/>
          <w:szCs w:val="20"/>
        </w:rPr>
        <w:t xml:space="preserve"> 2010, ‘Glycaemic control and selected preganancy outcomes in type 1 diabetes women on continuous subcutaneous insulin infusion and multiple daily injecton: the significance of preganancy planning’, </w:t>
      </w:r>
      <w:r w:rsidRPr="003E1F05">
        <w:rPr>
          <w:rFonts w:cs="Calibri"/>
          <w:i/>
          <w:noProof/>
          <w:sz w:val="20"/>
          <w:szCs w:val="20"/>
        </w:rPr>
        <w:t xml:space="preserve">Diabetes Technology &amp; Therapuetics, </w:t>
      </w:r>
      <w:r w:rsidRPr="003E1F05">
        <w:rPr>
          <w:rFonts w:cs="Calibri"/>
          <w:noProof/>
          <w:sz w:val="20"/>
          <w:szCs w:val="20"/>
        </w:rPr>
        <w:t xml:space="preserve"> Vol. 12, No. 1, pp. 41-7.</w:t>
      </w:r>
    </w:p>
    <w:p w:rsidR="005B7A4B" w:rsidRPr="003E1F05" w:rsidRDefault="005B7A4B" w:rsidP="005B7A4B">
      <w:pPr>
        <w:jc w:val="left"/>
        <w:rPr>
          <w:sz w:val="20"/>
          <w:szCs w:val="20"/>
        </w:rPr>
      </w:pPr>
      <w:proofErr w:type="spellStart"/>
      <w:r w:rsidRPr="003E1F05">
        <w:rPr>
          <w:sz w:val="20"/>
          <w:szCs w:val="20"/>
        </w:rPr>
        <w:t>DeVries</w:t>
      </w:r>
      <w:proofErr w:type="spellEnd"/>
      <w:r w:rsidRPr="003E1F05">
        <w:rPr>
          <w:sz w:val="20"/>
          <w:szCs w:val="20"/>
        </w:rPr>
        <w:t xml:space="preserve"> JH, </w:t>
      </w:r>
      <w:proofErr w:type="spellStart"/>
      <w:r w:rsidRPr="003E1F05">
        <w:rPr>
          <w:sz w:val="20"/>
          <w:szCs w:val="20"/>
        </w:rPr>
        <w:t>Snoek</w:t>
      </w:r>
      <w:proofErr w:type="spellEnd"/>
      <w:r w:rsidRPr="003E1F05">
        <w:rPr>
          <w:sz w:val="20"/>
          <w:szCs w:val="20"/>
        </w:rPr>
        <w:t xml:space="preserve"> FJ, </w:t>
      </w:r>
      <w:r w:rsidRPr="003E1F05">
        <w:rPr>
          <w:i/>
          <w:sz w:val="20"/>
          <w:szCs w:val="20"/>
        </w:rPr>
        <w:t>et al.</w:t>
      </w:r>
      <w:r w:rsidRPr="003E1F05">
        <w:rPr>
          <w:sz w:val="20"/>
          <w:szCs w:val="20"/>
        </w:rPr>
        <w:t xml:space="preserve"> 2002, ‘A randomized trial of continuous subcutaneous insulin infusion and intensive injection therapy in type 1 diabetes patients with long-standing poor glycaemic control’, </w:t>
      </w:r>
      <w:r w:rsidRPr="003E1F05">
        <w:rPr>
          <w:i/>
          <w:sz w:val="20"/>
          <w:szCs w:val="20"/>
        </w:rPr>
        <w:t>Diabetes Care</w:t>
      </w:r>
      <w:r w:rsidRPr="003E1F05">
        <w:rPr>
          <w:sz w:val="20"/>
          <w:szCs w:val="20"/>
        </w:rPr>
        <w:t>, Vol. 25, No. 11, pp. 2074-80.</w:t>
      </w:r>
    </w:p>
    <w:p w:rsidR="005B7A4B" w:rsidRPr="003E1F05" w:rsidRDefault="005B7A4B" w:rsidP="005B7A4B">
      <w:pPr>
        <w:jc w:val="left"/>
        <w:rPr>
          <w:sz w:val="20"/>
          <w:szCs w:val="20"/>
        </w:rPr>
      </w:pPr>
      <w:r w:rsidRPr="003E1F05">
        <w:rPr>
          <w:sz w:val="20"/>
          <w:szCs w:val="20"/>
        </w:rPr>
        <w:t xml:space="preserve">Diabetes Australia, 2008, </w:t>
      </w:r>
      <w:hyperlink r:id="rId42" w:history="1">
        <w:r w:rsidRPr="003E1F05">
          <w:rPr>
            <w:rStyle w:val="Hyperlink"/>
            <w:color w:val="auto"/>
            <w:sz w:val="20"/>
            <w:szCs w:val="20"/>
          </w:rPr>
          <w:t>Insulin</w:t>
        </w:r>
      </w:hyperlink>
      <w:r w:rsidRPr="003E1F05">
        <w:rPr>
          <w:sz w:val="20"/>
          <w:szCs w:val="20"/>
        </w:rPr>
        <w:t>, accessed 13 March 2013.</w:t>
      </w:r>
    </w:p>
    <w:p w:rsidR="005B7A4B" w:rsidRPr="003E1F05" w:rsidRDefault="005B7A4B" w:rsidP="005B7A4B">
      <w:pPr>
        <w:jc w:val="left"/>
        <w:rPr>
          <w:sz w:val="20"/>
          <w:szCs w:val="20"/>
        </w:rPr>
      </w:pPr>
      <w:r w:rsidRPr="003E1F05">
        <w:rPr>
          <w:sz w:val="20"/>
          <w:szCs w:val="20"/>
        </w:rPr>
        <w:t xml:space="preserve">Diabetes Australia, 2010, </w:t>
      </w:r>
      <w:hyperlink r:id="rId43" w:history="1">
        <w:r w:rsidRPr="003E1F05">
          <w:rPr>
            <w:rStyle w:val="Hyperlink"/>
            <w:i/>
            <w:color w:val="auto"/>
            <w:sz w:val="20"/>
            <w:szCs w:val="20"/>
          </w:rPr>
          <w:t>Hypoglycaemia factsheet</w:t>
        </w:r>
      </w:hyperlink>
      <w:r w:rsidRPr="003E1F05">
        <w:rPr>
          <w:sz w:val="20"/>
          <w:szCs w:val="20"/>
        </w:rPr>
        <w:t>, accessed 13 March 2013.</w:t>
      </w:r>
    </w:p>
    <w:p w:rsidR="005B7A4B" w:rsidRPr="003E1F05" w:rsidRDefault="005B7A4B" w:rsidP="005B7A4B">
      <w:pPr>
        <w:jc w:val="left"/>
        <w:rPr>
          <w:sz w:val="20"/>
          <w:szCs w:val="20"/>
        </w:rPr>
      </w:pPr>
      <w:proofErr w:type="gramStart"/>
      <w:r w:rsidRPr="003E1F05">
        <w:rPr>
          <w:sz w:val="20"/>
          <w:szCs w:val="20"/>
        </w:rPr>
        <w:t xml:space="preserve">Diabetes Australia, 2012, </w:t>
      </w:r>
      <w:hyperlink r:id="rId44" w:history="1">
        <w:r w:rsidRPr="003E1F05">
          <w:rPr>
            <w:rStyle w:val="Hyperlink"/>
            <w:i/>
            <w:color w:val="auto"/>
            <w:sz w:val="20"/>
            <w:szCs w:val="20"/>
          </w:rPr>
          <w:t>Gestational diabetes fact sheet</w:t>
        </w:r>
      </w:hyperlink>
      <w:r w:rsidRPr="003E1F05">
        <w:rPr>
          <w:sz w:val="20"/>
          <w:szCs w:val="20"/>
        </w:rPr>
        <w:t>, accessed 20 November 2012.</w:t>
      </w:r>
      <w:proofErr w:type="gramEnd"/>
    </w:p>
    <w:p w:rsidR="005B7A4B" w:rsidRPr="003E1F05" w:rsidRDefault="005B7A4B" w:rsidP="005B7A4B">
      <w:pPr>
        <w:jc w:val="left"/>
        <w:rPr>
          <w:bCs/>
          <w:sz w:val="20"/>
          <w:szCs w:val="20"/>
        </w:rPr>
      </w:pPr>
      <w:r w:rsidRPr="003E1F05">
        <w:rPr>
          <w:bCs/>
          <w:sz w:val="20"/>
          <w:szCs w:val="20"/>
        </w:rPr>
        <w:t xml:space="preserve">Diabetes Australia – Victoria, 2009, </w:t>
      </w:r>
      <w:hyperlink r:id="rId45" w:history="1">
        <w:proofErr w:type="gramStart"/>
        <w:r w:rsidRPr="003E1F05">
          <w:rPr>
            <w:rStyle w:val="Hyperlink"/>
            <w:bCs/>
            <w:i/>
            <w:color w:val="auto"/>
            <w:sz w:val="20"/>
            <w:szCs w:val="20"/>
          </w:rPr>
          <w:t>I’m</w:t>
        </w:r>
        <w:proofErr w:type="gramEnd"/>
        <w:r w:rsidRPr="003E1F05">
          <w:rPr>
            <w:rStyle w:val="Hyperlink"/>
            <w:bCs/>
            <w:i/>
            <w:color w:val="auto"/>
            <w:sz w:val="20"/>
            <w:szCs w:val="20"/>
          </w:rPr>
          <w:t xml:space="preserve"> considering an insulin pump</w:t>
        </w:r>
      </w:hyperlink>
      <w:r w:rsidRPr="003E1F05">
        <w:rPr>
          <w:bCs/>
          <w:sz w:val="20"/>
          <w:szCs w:val="20"/>
        </w:rPr>
        <w:t>, accessed 13 March 2013</w:t>
      </w:r>
      <w:r w:rsidRPr="003E1F05">
        <w:rPr>
          <w:sz w:val="20"/>
          <w:szCs w:val="20"/>
        </w:rPr>
        <w:t>.</w:t>
      </w:r>
    </w:p>
    <w:p w:rsidR="005B7A4B" w:rsidRPr="003E1F05" w:rsidRDefault="005B7A4B" w:rsidP="005B7A4B">
      <w:pPr>
        <w:jc w:val="left"/>
        <w:rPr>
          <w:bCs/>
          <w:sz w:val="20"/>
          <w:szCs w:val="20"/>
        </w:rPr>
      </w:pPr>
      <w:r w:rsidRPr="003E1F05">
        <w:rPr>
          <w:rFonts w:eastAsia="Calibri"/>
          <w:sz w:val="20"/>
          <w:szCs w:val="20"/>
        </w:rPr>
        <w:t xml:space="preserve">Diabetes Queensland, 2009, </w:t>
      </w:r>
      <w:hyperlink r:id="rId46" w:history="1">
        <w:proofErr w:type="gramStart"/>
        <w:r w:rsidRPr="003E1F05">
          <w:rPr>
            <w:rStyle w:val="Hyperlink"/>
            <w:bCs/>
            <w:i/>
            <w:color w:val="auto"/>
            <w:sz w:val="20"/>
            <w:szCs w:val="20"/>
          </w:rPr>
          <w:t>I’m</w:t>
        </w:r>
        <w:proofErr w:type="gramEnd"/>
        <w:r w:rsidRPr="003E1F05">
          <w:rPr>
            <w:rStyle w:val="Hyperlink"/>
            <w:bCs/>
            <w:i/>
            <w:color w:val="auto"/>
            <w:sz w:val="20"/>
            <w:szCs w:val="20"/>
          </w:rPr>
          <w:t xml:space="preserve"> considering an insulin pump</w:t>
        </w:r>
      </w:hyperlink>
      <w:r w:rsidRPr="003E1F05">
        <w:rPr>
          <w:bCs/>
          <w:sz w:val="20"/>
          <w:szCs w:val="20"/>
        </w:rPr>
        <w:t>, accessed 13 March 2013</w:t>
      </w:r>
      <w:r w:rsidRPr="003E1F05">
        <w:rPr>
          <w:sz w:val="20"/>
          <w:szCs w:val="20"/>
        </w:rPr>
        <w:t>.</w:t>
      </w:r>
    </w:p>
    <w:p w:rsidR="005B7A4B" w:rsidRPr="003E1F05" w:rsidRDefault="005B7A4B" w:rsidP="005B7A4B">
      <w:pPr>
        <w:jc w:val="left"/>
        <w:rPr>
          <w:sz w:val="20"/>
          <w:szCs w:val="20"/>
        </w:rPr>
      </w:pPr>
      <w:proofErr w:type="gramStart"/>
      <w:r w:rsidRPr="003E1F05">
        <w:rPr>
          <w:sz w:val="20"/>
          <w:szCs w:val="20"/>
        </w:rPr>
        <w:t xml:space="preserve">Department of Health, 2010, </w:t>
      </w:r>
      <w:hyperlink r:id="rId47" w:history="1">
        <w:r w:rsidRPr="003E1F05">
          <w:rPr>
            <w:rStyle w:val="Hyperlink"/>
            <w:i/>
            <w:color w:val="auto"/>
            <w:sz w:val="20"/>
            <w:szCs w:val="20"/>
          </w:rPr>
          <w:t>Prostheses List: Guide to listing and setting benefits for prostheses – Part 1 – Understanding the Prostheses Arrangements</w:t>
        </w:r>
      </w:hyperlink>
      <w:r w:rsidRPr="003E1F05">
        <w:rPr>
          <w:sz w:val="20"/>
          <w:szCs w:val="20"/>
        </w:rPr>
        <w:t>, accessed 17 July 2013.</w:t>
      </w:r>
      <w:proofErr w:type="gramEnd"/>
    </w:p>
    <w:p w:rsidR="005B7A4B" w:rsidRPr="003E1F05" w:rsidRDefault="005B7A4B" w:rsidP="005B7A4B">
      <w:pPr>
        <w:jc w:val="left"/>
        <w:rPr>
          <w:rFonts w:eastAsia="Calibri"/>
          <w:sz w:val="20"/>
          <w:szCs w:val="20"/>
          <w:lang w:eastAsia="en-AU"/>
        </w:rPr>
      </w:pPr>
      <w:proofErr w:type="gramStart"/>
      <w:r w:rsidRPr="003E1F05">
        <w:rPr>
          <w:rFonts w:eastAsia="Calibri"/>
          <w:sz w:val="20"/>
          <w:szCs w:val="20"/>
          <w:lang w:eastAsia="en-AU"/>
        </w:rPr>
        <w:t xml:space="preserve">Department of Health, 2013a, </w:t>
      </w:r>
      <w:hyperlink r:id="rId48" w:history="1">
        <w:r w:rsidRPr="003E1F05">
          <w:rPr>
            <w:rStyle w:val="Hyperlink"/>
            <w:rFonts w:eastAsia="Calibri"/>
            <w:i/>
            <w:color w:val="auto"/>
            <w:sz w:val="20"/>
            <w:szCs w:val="20"/>
            <w:lang w:eastAsia="en-AU"/>
          </w:rPr>
          <w:t>Pharmaceutical Benefits Advisory Committee Guidelines – Version 4.3</w:t>
        </w:r>
      </w:hyperlink>
      <w:r w:rsidRPr="003E1F05">
        <w:rPr>
          <w:rFonts w:eastAsia="Calibri"/>
          <w:sz w:val="20"/>
          <w:szCs w:val="20"/>
          <w:lang w:eastAsia="en-AU"/>
        </w:rPr>
        <w:t>, Department of Health, pg. 3.</w:t>
      </w:r>
      <w:proofErr w:type="gramEnd"/>
    </w:p>
    <w:p w:rsidR="005B7A4B" w:rsidRPr="003E1F05" w:rsidRDefault="005B7A4B" w:rsidP="005B7A4B">
      <w:pPr>
        <w:jc w:val="left"/>
        <w:rPr>
          <w:rFonts w:eastAsia="Calibri"/>
          <w:sz w:val="20"/>
          <w:szCs w:val="20"/>
        </w:rPr>
      </w:pPr>
      <w:r w:rsidRPr="003E1F05">
        <w:rPr>
          <w:rFonts w:eastAsia="Calibri"/>
          <w:sz w:val="20"/>
          <w:szCs w:val="20"/>
        </w:rPr>
        <w:lastRenderedPageBreak/>
        <w:t xml:space="preserve">Department of Health, 2014, </w:t>
      </w:r>
      <w:hyperlink r:id="rId49" w:history="1">
        <w:r w:rsidRPr="003E1F05">
          <w:rPr>
            <w:rStyle w:val="Hyperlink"/>
            <w:rFonts w:eastAsia="Calibri"/>
            <w:i/>
            <w:color w:val="auto"/>
            <w:sz w:val="20"/>
            <w:szCs w:val="20"/>
          </w:rPr>
          <w:t>Prostheses List</w:t>
        </w:r>
      </w:hyperlink>
      <w:r w:rsidRPr="003E1F05">
        <w:rPr>
          <w:rFonts w:eastAsia="Calibri"/>
          <w:sz w:val="20"/>
          <w:szCs w:val="20"/>
        </w:rPr>
        <w:t xml:space="preserve"> , accessed 26 February 2014</w:t>
      </w:r>
      <w:r w:rsidRPr="003E1F05">
        <w:rPr>
          <w:rStyle w:val="Hyperlink"/>
          <w:color w:val="auto"/>
          <w:sz w:val="20"/>
          <w:szCs w:val="20"/>
        </w:rPr>
        <w:t>.</w:t>
      </w:r>
    </w:p>
    <w:p w:rsidR="005B7A4B" w:rsidRPr="003E1F05" w:rsidRDefault="005B7A4B" w:rsidP="005B7A4B">
      <w:pPr>
        <w:contextualSpacing/>
        <w:jc w:val="left"/>
        <w:rPr>
          <w:sz w:val="20"/>
          <w:szCs w:val="20"/>
          <w:lang w:val="en-US" w:eastAsia="en-AU"/>
        </w:rPr>
      </w:pPr>
      <w:r w:rsidRPr="003E1F05">
        <w:rPr>
          <w:sz w:val="20"/>
          <w:szCs w:val="20"/>
          <w:lang w:val="en-US" w:eastAsia="en-AU"/>
        </w:rPr>
        <w:t xml:space="preserve">Department of Human Services, 2013a, </w:t>
      </w:r>
      <w:hyperlink r:id="rId50" w:history="1">
        <w:r w:rsidRPr="003E1F05">
          <w:rPr>
            <w:rStyle w:val="Hyperlink"/>
            <w:i/>
            <w:color w:val="auto"/>
            <w:sz w:val="20"/>
            <w:szCs w:val="20"/>
            <w:lang w:eastAsia="en-AU"/>
          </w:rPr>
          <w:t>Income test for Family Tax Benefit Part A</w:t>
        </w:r>
      </w:hyperlink>
      <w:r w:rsidRPr="003E1F05">
        <w:rPr>
          <w:sz w:val="20"/>
          <w:szCs w:val="20"/>
          <w:lang w:val="en-US" w:eastAsia="en-AU"/>
        </w:rPr>
        <w:t>,</w:t>
      </w:r>
      <w:r w:rsidRPr="003E1F05">
        <w:rPr>
          <w:i/>
          <w:sz w:val="20"/>
          <w:szCs w:val="20"/>
          <w:lang w:val="en-US" w:eastAsia="en-AU"/>
        </w:rPr>
        <w:t xml:space="preserve"> </w:t>
      </w:r>
      <w:r w:rsidRPr="003E1F05">
        <w:rPr>
          <w:sz w:val="20"/>
          <w:szCs w:val="20"/>
          <w:lang w:val="en-US" w:eastAsia="en-AU"/>
        </w:rPr>
        <w:t>accessed 28 November 2013.</w:t>
      </w:r>
    </w:p>
    <w:p w:rsidR="005B7A4B" w:rsidRPr="003E1F05" w:rsidRDefault="005B7A4B" w:rsidP="005B7A4B">
      <w:pPr>
        <w:contextualSpacing/>
        <w:jc w:val="left"/>
        <w:rPr>
          <w:sz w:val="20"/>
          <w:szCs w:val="20"/>
          <w:lang w:val="en-US" w:eastAsia="en-AU"/>
        </w:rPr>
      </w:pPr>
    </w:p>
    <w:p w:rsidR="005B7A4B" w:rsidRPr="003E1F05" w:rsidRDefault="005B7A4B" w:rsidP="005B7A4B">
      <w:pPr>
        <w:jc w:val="left"/>
        <w:rPr>
          <w:sz w:val="20"/>
          <w:szCs w:val="20"/>
          <w:lang w:val="en-US" w:eastAsia="en-AU"/>
        </w:rPr>
      </w:pPr>
      <w:r w:rsidRPr="003E1F05">
        <w:rPr>
          <w:sz w:val="20"/>
          <w:szCs w:val="20"/>
          <w:lang w:val="en-US" w:eastAsia="en-AU"/>
        </w:rPr>
        <w:t xml:space="preserve">Department of Human Services, 2013b, </w:t>
      </w:r>
      <w:hyperlink r:id="rId51" w:history="1">
        <w:r w:rsidRPr="003E1F05">
          <w:rPr>
            <w:rStyle w:val="Hyperlink"/>
            <w:i/>
            <w:color w:val="auto"/>
            <w:sz w:val="20"/>
            <w:szCs w:val="20"/>
            <w:lang w:eastAsia="en-AU"/>
          </w:rPr>
          <w:t>Eligibility for a Health Care Card</w:t>
        </w:r>
      </w:hyperlink>
      <w:r w:rsidRPr="003E1F05">
        <w:rPr>
          <w:sz w:val="20"/>
          <w:szCs w:val="20"/>
          <w:lang w:val="en-US" w:eastAsia="en-AU"/>
        </w:rPr>
        <w:t xml:space="preserve">, accessed 28 November 2013. </w:t>
      </w:r>
    </w:p>
    <w:p w:rsidR="005B7A4B" w:rsidRPr="003E1F05" w:rsidRDefault="005B7A4B" w:rsidP="005B7A4B">
      <w:pPr>
        <w:jc w:val="left"/>
        <w:rPr>
          <w:sz w:val="20"/>
          <w:szCs w:val="20"/>
          <w:lang w:val="en-US" w:eastAsia="en-AU"/>
        </w:rPr>
      </w:pPr>
      <w:proofErr w:type="gramStart"/>
      <w:r w:rsidRPr="003E1F05">
        <w:rPr>
          <w:sz w:val="20"/>
          <w:szCs w:val="20"/>
          <w:lang w:val="en-US" w:eastAsia="en-AU"/>
        </w:rPr>
        <w:t xml:space="preserve">Diabetes Control and Complications Trial Research Group, 1995, ‘Resource Utilization and Costs of Care in the Diabetes Control and Complications Trial’, </w:t>
      </w:r>
      <w:r w:rsidRPr="003E1F05">
        <w:rPr>
          <w:i/>
          <w:sz w:val="20"/>
          <w:szCs w:val="20"/>
          <w:lang w:val="en-US" w:eastAsia="en-AU"/>
        </w:rPr>
        <w:t>Diabetes care</w:t>
      </w:r>
      <w:r w:rsidRPr="003E1F05">
        <w:rPr>
          <w:sz w:val="20"/>
          <w:szCs w:val="20"/>
          <w:lang w:val="en-US" w:eastAsia="en-AU"/>
        </w:rPr>
        <w:t>, Vol. 18, No. 11, pp. 1468-78.</w:t>
      </w:r>
      <w:proofErr w:type="gramEnd"/>
    </w:p>
    <w:p w:rsidR="005B7A4B" w:rsidRPr="003E1F05" w:rsidRDefault="005B7A4B" w:rsidP="005B7A4B">
      <w:pPr>
        <w:spacing w:line="240" w:lineRule="auto"/>
        <w:rPr>
          <w:rFonts w:cs="Calibri"/>
          <w:noProof/>
          <w:sz w:val="20"/>
          <w:szCs w:val="20"/>
        </w:rPr>
      </w:pPr>
      <w:bookmarkStart w:id="246" w:name="_ENREF_12"/>
      <w:r w:rsidRPr="003E1F05">
        <w:rPr>
          <w:rFonts w:cs="Calibri"/>
          <w:noProof/>
          <w:sz w:val="20"/>
          <w:szCs w:val="20"/>
        </w:rPr>
        <w:t xml:space="preserve">Farmer AJ, Perera R, </w:t>
      </w:r>
      <w:r w:rsidRPr="003E1F05">
        <w:rPr>
          <w:rFonts w:cs="Calibri"/>
          <w:i/>
          <w:noProof/>
          <w:sz w:val="20"/>
          <w:szCs w:val="20"/>
        </w:rPr>
        <w:t>et al.</w:t>
      </w:r>
      <w:r w:rsidRPr="003E1F05">
        <w:rPr>
          <w:rFonts w:cs="Calibri"/>
          <w:noProof/>
          <w:sz w:val="20"/>
          <w:szCs w:val="20"/>
        </w:rPr>
        <w:t xml:space="preserve"> 2012, ‘Meta-analysis of individual patient data in randomised trials of self monitoring of blood glucose in people with non-insulin treated type 2 diabetes’, </w:t>
      </w:r>
      <w:r w:rsidRPr="003E1F05">
        <w:rPr>
          <w:rFonts w:cs="Calibri"/>
          <w:i/>
          <w:noProof/>
          <w:sz w:val="20"/>
          <w:szCs w:val="20"/>
        </w:rPr>
        <w:t>British Medical Journal</w:t>
      </w:r>
      <w:r w:rsidRPr="003E1F05">
        <w:rPr>
          <w:rFonts w:cs="Calibri"/>
          <w:noProof/>
          <w:sz w:val="20"/>
          <w:szCs w:val="20"/>
        </w:rPr>
        <w:t>, Vol. 344, e486.</w:t>
      </w:r>
      <w:bookmarkEnd w:id="246"/>
    </w:p>
    <w:p w:rsidR="005B7A4B" w:rsidRPr="003E1F05" w:rsidRDefault="005B7A4B" w:rsidP="005B7A4B">
      <w:pPr>
        <w:rPr>
          <w:rFonts w:eastAsia="Calibri" w:cs="ITCAvantGardeStd-Bk"/>
          <w:sz w:val="20"/>
          <w:szCs w:val="20"/>
          <w:lang w:eastAsia="en-AU"/>
        </w:rPr>
      </w:pPr>
      <w:r w:rsidRPr="003E1F05">
        <w:rPr>
          <w:rFonts w:eastAsia="Calibri" w:cs="ITCAvantGardeStd-Bk"/>
          <w:sz w:val="20"/>
          <w:szCs w:val="20"/>
          <w:lang w:eastAsia="en-AU"/>
        </w:rPr>
        <w:t xml:space="preserve">Farrer D, </w:t>
      </w:r>
      <w:proofErr w:type="spellStart"/>
      <w:r w:rsidRPr="003E1F05">
        <w:rPr>
          <w:rFonts w:eastAsia="Calibri" w:cs="ITCAvantGardeStd-Bk"/>
          <w:sz w:val="20"/>
          <w:szCs w:val="20"/>
          <w:lang w:eastAsia="en-AU"/>
        </w:rPr>
        <w:t>Tuffnell</w:t>
      </w:r>
      <w:proofErr w:type="spellEnd"/>
      <w:r w:rsidRPr="003E1F05">
        <w:rPr>
          <w:rFonts w:eastAsia="Calibri" w:cs="ITCAvantGardeStd-Bk"/>
          <w:sz w:val="20"/>
          <w:szCs w:val="20"/>
          <w:lang w:eastAsia="en-AU"/>
        </w:rPr>
        <w:t xml:space="preserve"> D &amp; West J, 2011, 'Continuous subcutaneous insulin infusion versus multiple daily injections of insulin for pregnant women with diabetes', </w:t>
      </w:r>
      <w:r w:rsidRPr="003E1F05">
        <w:rPr>
          <w:rFonts w:eastAsia="Calibri" w:cs="ITCAvantGardeStd-Bk"/>
          <w:i/>
          <w:sz w:val="20"/>
          <w:szCs w:val="20"/>
          <w:lang w:eastAsia="en-AU"/>
        </w:rPr>
        <w:t>Cochrane Database of Systematic Reviews</w:t>
      </w:r>
      <w:r w:rsidRPr="003E1F05">
        <w:rPr>
          <w:rFonts w:eastAsia="Calibri" w:cs="ITCAvantGardeStd-Bk"/>
          <w:sz w:val="20"/>
          <w:szCs w:val="20"/>
          <w:lang w:eastAsia="en-AU"/>
        </w:rPr>
        <w:t xml:space="preserve"> 2007, Issue 3.</w:t>
      </w:r>
    </w:p>
    <w:p w:rsidR="005B7A4B" w:rsidRPr="003E1F05" w:rsidRDefault="005B7A4B" w:rsidP="005B7A4B">
      <w:pPr>
        <w:rPr>
          <w:sz w:val="20"/>
          <w:szCs w:val="20"/>
        </w:rPr>
      </w:pPr>
      <w:proofErr w:type="spellStart"/>
      <w:r w:rsidRPr="003E1F05">
        <w:rPr>
          <w:sz w:val="20"/>
          <w:szCs w:val="20"/>
        </w:rPr>
        <w:t>Fatourechi</w:t>
      </w:r>
      <w:proofErr w:type="spellEnd"/>
      <w:r w:rsidRPr="003E1F05">
        <w:rPr>
          <w:sz w:val="20"/>
          <w:szCs w:val="20"/>
        </w:rPr>
        <w:t xml:space="preserve">, MM, </w:t>
      </w:r>
      <w:proofErr w:type="spellStart"/>
      <w:r w:rsidRPr="003E1F05">
        <w:rPr>
          <w:sz w:val="20"/>
          <w:szCs w:val="20"/>
        </w:rPr>
        <w:t>Kudva</w:t>
      </w:r>
      <w:proofErr w:type="spellEnd"/>
      <w:r w:rsidRPr="003E1F05">
        <w:rPr>
          <w:sz w:val="20"/>
          <w:szCs w:val="20"/>
        </w:rPr>
        <w:t xml:space="preserve"> YC, </w:t>
      </w:r>
      <w:r w:rsidRPr="003E1F05">
        <w:rPr>
          <w:i/>
          <w:sz w:val="20"/>
          <w:szCs w:val="20"/>
        </w:rPr>
        <w:t>et al.</w:t>
      </w:r>
      <w:r w:rsidRPr="003E1F05">
        <w:rPr>
          <w:sz w:val="20"/>
          <w:szCs w:val="20"/>
        </w:rPr>
        <w:t xml:space="preserve"> 2009, ‘</w:t>
      </w:r>
      <w:proofErr w:type="spellStart"/>
      <w:r w:rsidRPr="003E1F05">
        <w:rPr>
          <w:sz w:val="20"/>
          <w:szCs w:val="20"/>
        </w:rPr>
        <w:t>Hypoglycemia</w:t>
      </w:r>
      <w:proofErr w:type="spellEnd"/>
      <w:r w:rsidRPr="003E1F05">
        <w:rPr>
          <w:sz w:val="20"/>
          <w:szCs w:val="20"/>
        </w:rPr>
        <w:t xml:space="preserve"> with Intensive Insulin Therapy: A Systematic Review and Meta-Analyses of Randomized Trials of Continuous Subcutaneous Insulin Infusion Versus Multiple Daily Injections’, </w:t>
      </w:r>
      <w:r w:rsidRPr="003E1F05">
        <w:rPr>
          <w:i/>
          <w:sz w:val="20"/>
          <w:szCs w:val="20"/>
        </w:rPr>
        <w:t>Journal of Clinical Endocrinology &amp; Metabolism</w:t>
      </w:r>
      <w:r w:rsidRPr="003E1F05">
        <w:rPr>
          <w:sz w:val="20"/>
          <w:szCs w:val="20"/>
        </w:rPr>
        <w:t xml:space="preserve">, Vo. </w:t>
      </w:r>
      <w:r w:rsidRPr="003E1F05">
        <w:rPr>
          <w:bCs/>
          <w:sz w:val="20"/>
          <w:szCs w:val="20"/>
        </w:rPr>
        <w:t>94</w:t>
      </w:r>
      <w:r w:rsidRPr="003E1F05">
        <w:rPr>
          <w:sz w:val="20"/>
          <w:szCs w:val="20"/>
        </w:rPr>
        <w:t>, No. 3, pp. 729-740.</w:t>
      </w:r>
    </w:p>
    <w:p w:rsidR="005B7A4B" w:rsidRPr="003E1F05" w:rsidRDefault="005B7A4B" w:rsidP="005B7A4B">
      <w:pPr>
        <w:spacing w:line="240" w:lineRule="auto"/>
        <w:rPr>
          <w:rFonts w:cs="Calibri"/>
          <w:noProof/>
          <w:sz w:val="20"/>
          <w:szCs w:val="20"/>
        </w:rPr>
      </w:pPr>
      <w:bookmarkStart w:id="247" w:name="_ENREF_14"/>
      <w:r w:rsidRPr="003E1F05">
        <w:rPr>
          <w:rFonts w:cs="Calibri"/>
          <w:noProof/>
          <w:sz w:val="20"/>
          <w:szCs w:val="20"/>
        </w:rPr>
        <w:t xml:space="preserve">Fendler W, Baranowska AI, </w:t>
      </w:r>
      <w:r w:rsidRPr="003E1F05">
        <w:rPr>
          <w:rFonts w:cs="Calibri"/>
          <w:i/>
          <w:noProof/>
          <w:sz w:val="20"/>
          <w:szCs w:val="20"/>
        </w:rPr>
        <w:t>et al.</w:t>
      </w:r>
      <w:r w:rsidRPr="003E1F05">
        <w:rPr>
          <w:rFonts w:cs="Calibri"/>
          <w:noProof/>
          <w:sz w:val="20"/>
          <w:szCs w:val="20"/>
        </w:rPr>
        <w:t xml:space="preserve"> 2012, ‘Three-year comparison of subcutaneous insulin pump treatment with multi-daily injections on HbA1c, its variability and hospital burden of children with type 1 diabetes’, </w:t>
      </w:r>
      <w:r w:rsidRPr="003E1F05">
        <w:rPr>
          <w:rFonts w:cs="Calibri"/>
          <w:i/>
          <w:noProof/>
          <w:sz w:val="20"/>
          <w:szCs w:val="20"/>
        </w:rPr>
        <w:t>Acta Diabetologica</w:t>
      </w:r>
      <w:r w:rsidRPr="003E1F05">
        <w:rPr>
          <w:rFonts w:cs="Calibri"/>
          <w:noProof/>
          <w:sz w:val="20"/>
          <w:szCs w:val="20"/>
        </w:rPr>
        <w:t>, Vol. 49, No. 5, pp. 363-370.</w:t>
      </w:r>
      <w:bookmarkEnd w:id="247"/>
    </w:p>
    <w:p w:rsidR="005B7A4B" w:rsidRPr="003E1F05" w:rsidRDefault="005B7A4B" w:rsidP="005B7A4B">
      <w:pPr>
        <w:jc w:val="left"/>
        <w:rPr>
          <w:sz w:val="20"/>
          <w:szCs w:val="20"/>
        </w:rPr>
      </w:pPr>
      <w:proofErr w:type="spellStart"/>
      <w:proofErr w:type="gramStart"/>
      <w:r w:rsidRPr="003E1F05">
        <w:rPr>
          <w:sz w:val="20"/>
          <w:szCs w:val="20"/>
        </w:rPr>
        <w:t>Fosket</w:t>
      </w:r>
      <w:proofErr w:type="spellEnd"/>
      <w:r w:rsidRPr="003E1F05">
        <w:rPr>
          <w:sz w:val="20"/>
          <w:szCs w:val="20"/>
        </w:rPr>
        <w:t xml:space="preserve"> D &amp; Price DA, 2011, ‘An overview of insulin pump therapy’, </w:t>
      </w:r>
      <w:r w:rsidRPr="003E1F05">
        <w:rPr>
          <w:i/>
          <w:sz w:val="20"/>
          <w:szCs w:val="20"/>
        </w:rPr>
        <w:t>Medicine Today</w:t>
      </w:r>
      <w:r w:rsidRPr="003E1F05">
        <w:rPr>
          <w:sz w:val="20"/>
          <w:szCs w:val="20"/>
        </w:rPr>
        <w:t>, Vol. 11, No. 12.</w:t>
      </w:r>
      <w:proofErr w:type="gramEnd"/>
    </w:p>
    <w:p w:rsidR="005B7A4B" w:rsidRPr="003E1F05" w:rsidRDefault="005B7A4B" w:rsidP="005B7A4B">
      <w:pPr>
        <w:spacing w:line="240" w:lineRule="auto"/>
        <w:rPr>
          <w:rFonts w:cs="Calibri"/>
          <w:noProof/>
          <w:sz w:val="20"/>
          <w:szCs w:val="20"/>
        </w:rPr>
      </w:pPr>
      <w:bookmarkStart w:id="248" w:name="_ENREF_16"/>
      <w:r w:rsidRPr="003E1F05">
        <w:rPr>
          <w:rFonts w:cs="Calibri"/>
          <w:noProof/>
          <w:sz w:val="20"/>
          <w:szCs w:val="20"/>
        </w:rPr>
        <w:t xml:space="preserve">Gabbe SG, Holing E, Temple P and Brown ZA, 2000, ‘Benefits, risks, costs, and patient satisfation associated with insulin pump therapy for the pregnancy complicated by type 1 diabetes mellitus‘, </w:t>
      </w:r>
      <w:r w:rsidRPr="003E1F05">
        <w:rPr>
          <w:rFonts w:cs="Calibri"/>
          <w:i/>
          <w:noProof/>
          <w:sz w:val="20"/>
          <w:szCs w:val="20"/>
        </w:rPr>
        <w:t>American Journal of Obstetrics &amp; Gynecology</w:t>
      </w:r>
      <w:r w:rsidRPr="003E1F05">
        <w:rPr>
          <w:rFonts w:cs="Calibri"/>
          <w:noProof/>
          <w:sz w:val="20"/>
          <w:szCs w:val="20"/>
        </w:rPr>
        <w:t>, Vol. 182, No. 6, pp. 1283-90.</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Giacco F &amp; Brownlee M, 2010, ‘Oxidative stress and diabetic complications’, </w:t>
      </w:r>
      <w:r w:rsidRPr="003E1F05">
        <w:rPr>
          <w:rFonts w:cs="Calibri"/>
          <w:i/>
          <w:noProof/>
          <w:sz w:val="20"/>
          <w:szCs w:val="20"/>
        </w:rPr>
        <w:t>Circulation Research</w:t>
      </w:r>
      <w:r w:rsidRPr="003E1F05">
        <w:rPr>
          <w:rFonts w:cs="Calibri"/>
          <w:noProof/>
          <w:sz w:val="20"/>
          <w:szCs w:val="20"/>
        </w:rPr>
        <w:t>, Vol. 29, No. 9, pp. 1058-70.</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Gimenez M, Lara M &amp; Conget I, 2010, ‘Sustained efficacy of continuous subcutaneous insulin infusion in type 1 diabetes subjects with recurrent non-severe and severe hypoglycemia and hypoglycemia unawareness: a pilot study’, </w:t>
      </w:r>
      <w:r w:rsidRPr="003E1F05">
        <w:rPr>
          <w:rFonts w:cs="Calibri"/>
          <w:i/>
          <w:noProof/>
          <w:sz w:val="20"/>
          <w:szCs w:val="20"/>
        </w:rPr>
        <w:t>Diabetes Technology and Therapeutics</w:t>
      </w:r>
      <w:r w:rsidRPr="003E1F05">
        <w:rPr>
          <w:rFonts w:cs="Calibri"/>
          <w:noProof/>
          <w:sz w:val="20"/>
          <w:szCs w:val="20"/>
        </w:rPr>
        <w:t>, Vol. 12, No. 7, pp. 517-521.</w:t>
      </w:r>
      <w:bookmarkEnd w:id="248"/>
    </w:p>
    <w:p w:rsidR="005B7A4B" w:rsidRPr="003E1F05" w:rsidRDefault="005B7A4B" w:rsidP="005B7A4B">
      <w:pPr>
        <w:spacing w:line="240" w:lineRule="auto"/>
        <w:jc w:val="left"/>
        <w:rPr>
          <w:sz w:val="20"/>
          <w:szCs w:val="20"/>
        </w:rPr>
      </w:pPr>
      <w:proofErr w:type="spellStart"/>
      <w:r w:rsidRPr="003E1F05">
        <w:rPr>
          <w:sz w:val="20"/>
          <w:szCs w:val="20"/>
        </w:rPr>
        <w:t>Gordin</w:t>
      </w:r>
      <w:proofErr w:type="spellEnd"/>
      <w:r w:rsidRPr="003E1F05">
        <w:rPr>
          <w:sz w:val="20"/>
          <w:szCs w:val="20"/>
        </w:rPr>
        <w:t xml:space="preserve"> D, </w:t>
      </w:r>
      <w:proofErr w:type="spellStart"/>
      <w:r w:rsidRPr="003E1F05">
        <w:rPr>
          <w:sz w:val="20"/>
          <w:szCs w:val="20"/>
        </w:rPr>
        <w:t>Ronnback</w:t>
      </w:r>
      <w:proofErr w:type="spellEnd"/>
      <w:r w:rsidRPr="003E1F05">
        <w:rPr>
          <w:sz w:val="20"/>
          <w:szCs w:val="20"/>
        </w:rPr>
        <w:t xml:space="preserve"> M, </w:t>
      </w:r>
      <w:r w:rsidRPr="003E1F05">
        <w:rPr>
          <w:i/>
          <w:sz w:val="20"/>
          <w:szCs w:val="20"/>
        </w:rPr>
        <w:t>et al.</w:t>
      </w:r>
      <w:r w:rsidRPr="003E1F05">
        <w:rPr>
          <w:sz w:val="20"/>
          <w:szCs w:val="20"/>
        </w:rPr>
        <w:t xml:space="preserve"> 2008, ‘Glucose variability, blood pressure and arterial stiffness in type 1 diabetes’, </w:t>
      </w:r>
      <w:r w:rsidRPr="003E1F05">
        <w:rPr>
          <w:i/>
          <w:sz w:val="20"/>
          <w:szCs w:val="20"/>
        </w:rPr>
        <w:t>Diabetes Research &amp;  Clinical Practice</w:t>
      </w:r>
      <w:r w:rsidRPr="003E1F05">
        <w:rPr>
          <w:sz w:val="20"/>
          <w:szCs w:val="20"/>
        </w:rPr>
        <w:t>, Vol. 80, No. 3, pp. e4-7.</w:t>
      </w:r>
    </w:p>
    <w:p w:rsidR="005B7A4B" w:rsidRPr="003E1F05" w:rsidRDefault="005B7A4B" w:rsidP="005B7A4B">
      <w:pPr>
        <w:jc w:val="left"/>
        <w:rPr>
          <w:sz w:val="20"/>
          <w:szCs w:val="20"/>
        </w:rPr>
      </w:pPr>
      <w:proofErr w:type="spellStart"/>
      <w:r w:rsidRPr="003E1F05">
        <w:rPr>
          <w:sz w:val="20"/>
          <w:szCs w:val="20"/>
        </w:rPr>
        <w:t>Grunberger</w:t>
      </w:r>
      <w:proofErr w:type="spellEnd"/>
      <w:r w:rsidRPr="003E1F05">
        <w:rPr>
          <w:sz w:val="20"/>
          <w:szCs w:val="20"/>
        </w:rPr>
        <w:t xml:space="preserve"> G, Bailey TS, </w:t>
      </w:r>
      <w:r w:rsidRPr="003E1F05">
        <w:rPr>
          <w:i/>
          <w:sz w:val="20"/>
          <w:szCs w:val="20"/>
        </w:rPr>
        <w:t>et al.</w:t>
      </w:r>
      <w:r w:rsidRPr="003E1F05">
        <w:rPr>
          <w:sz w:val="20"/>
          <w:szCs w:val="20"/>
        </w:rPr>
        <w:t xml:space="preserve"> 2010, ‘Statement by the American Association of Clinical Endocrinologists consensus panel on insulin pump management’, </w:t>
      </w:r>
      <w:r w:rsidRPr="003E1F05">
        <w:rPr>
          <w:i/>
          <w:sz w:val="20"/>
          <w:szCs w:val="20"/>
        </w:rPr>
        <w:t>Endocrine Practice</w:t>
      </w:r>
      <w:r w:rsidRPr="003E1F05">
        <w:rPr>
          <w:sz w:val="20"/>
          <w:szCs w:val="20"/>
        </w:rPr>
        <w:t>, Vol. 16, No. 5, pp. 746-762.</w:t>
      </w:r>
    </w:p>
    <w:p w:rsidR="005B7A4B" w:rsidRPr="003E1F05" w:rsidRDefault="005B7A4B" w:rsidP="005B7A4B">
      <w:pPr>
        <w:jc w:val="left"/>
        <w:rPr>
          <w:sz w:val="20"/>
          <w:szCs w:val="20"/>
        </w:rPr>
      </w:pPr>
      <w:r w:rsidRPr="003E1F05">
        <w:rPr>
          <w:sz w:val="20"/>
          <w:szCs w:val="20"/>
        </w:rPr>
        <w:t xml:space="preserve">Guinn TS, Bailey GJ &amp; </w:t>
      </w:r>
      <w:proofErr w:type="spellStart"/>
      <w:r w:rsidRPr="003E1F05">
        <w:rPr>
          <w:sz w:val="20"/>
          <w:szCs w:val="20"/>
        </w:rPr>
        <w:t>Mecklenberg</w:t>
      </w:r>
      <w:proofErr w:type="spellEnd"/>
      <w:r w:rsidRPr="003E1F05">
        <w:rPr>
          <w:sz w:val="20"/>
          <w:szCs w:val="20"/>
        </w:rPr>
        <w:t xml:space="preserve"> RS, 1988, ‘Factors related to discontinuation of continuous subcutaneous insulin infusion therapy’, </w:t>
      </w:r>
      <w:r w:rsidRPr="003E1F05">
        <w:rPr>
          <w:i/>
          <w:sz w:val="20"/>
          <w:szCs w:val="20"/>
        </w:rPr>
        <w:t>Diabetes Care</w:t>
      </w:r>
      <w:r w:rsidRPr="003E1F05">
        <w:rPr>
          <w:sz w:val="20"/>
          <w:szCs w:val="20"/>
        </w:rPr>
        <w:t>, Vol. 11, No. 1, pp. 46</w:t>
      </w:r>
      <w:r w:rsidRPr="003E1F05">
        <w:rPr>
          <w:sz w:val="20"/>
          <w:szCs w:val="20"/>
        </w:rPr>
        <w:noBreakHyphen/>
        <w:t>51.</w:t>
      </w:r>
    </w:p>
    <w:p w:rsidR="005B7A4B" w:rsidRPr="003E1F05" w:rsidRDefault="005B7A4B" w:rsidP="005B7A4B">
      <w:pPr>
        <w:spacing w:line="240" w:lineRule="auto"/>
        <w:rPr>
          <w:rFonts w:cs="Calibri"/>
          <w:noProof/>
          <w:sz w:val="20"/>
          <w:szCs w:val="20"/>
        </w:rPr>
      </w:pPr>
      <w:bookmarkStart w:id="249" w:name="_ENREF_18"/>
      <w:r w:rsidRPr="003E1F05">
        <w:rPr>
          <w:rFonts w:cs="Calibri"/>
          <w:noProof/>
          <w:sz w:val="20"/>
          <w:szCs w:val="20"/>
        </w:rPr>
        <w:t xml:space="preserve">Hasanbegovic S, &amp; Hasanbegovic E, 2009, ‘Metabolic Control of Type 1 Diabetes in Children Treated with Insulin Pump Therapy’, </w:t>
      </w:r>
      <w:r w:rsidRPr="003E1F05">
        <w:rPr>
          <w:rFonts w:cs="Calibri"/>
          <w:i/>
          <w:noProof/>
          <w:sz w:val="20"/>
          <w:szCs w:val="20"/>
        </w:rPr>
        <w:t>Bosnian Journal of Basic Medical Sciences</w:t>
      </w:r>
      <w:r w:rsidRPr="003E1F05">
        <w:rPr>
          <w:rFonts w:cs="Calibri"/>
          <w:noProof/>
          <w:sz w:val="20"/>
          <w:szCs w:val="20"/>
        </w:rPr>
        <w:t>, Vol. 9, No. 2, pp. 120-124.</w:t>
      </w:r>
      <w:bookmarkEnd w:id="249"/>
    </w:p>
    <w:p w:rsidR="005B7A4B" w:rsidRPr="003E1F05" w:rsidRDefault="005B7A4B" w:rsidP="005B7A4B">
      <w:pPr>
        <w:jc w:val="left"/>
        <w:rPr>
          <w:sz w:val="20"/>
          <w:szCs w:val="20"/>
        </w:rPr>
      </w:pPr>
      <w:r w:rsidRPr="003E1F05">
        <w:rPr>
          <w:sz w:val="20"/>
          <w:szCs w:val="20"/>
        </w:rPr>
        <w:t xml:space="preserve">Heinemann L, 2009, ‘Insulin Pump Therapy: What is the evidence for using different types of boluses for coverage of prandial insulin requirements?’, </w:t>
      </w:r>
      <w:r w:rsidRPr="003E1F05">
        <w:rPr>
          <w:i/>
          <w:sz w:val="20"/>
          <w:szCs w:val="20"/>
        </w:rPr>
        <w:t>Journal of Diabetes Science &amp; Technology</w:t>
      </w:r>
      <w:r w:rsidRPr="003E1F05">
        <w:rPr>
          <w:sz w:val="20"/>
          <w:szCs w:val="20"/>
        </w:rPr>
        <w:t>, Vol. 3, No. 6, pp. 1490-1500.</w:t>
      </w:r>
    </w:p>
    <w:p w:rsidR="005B7A4B" w:rsidRPr="003E1F05" w:rsidRDefault="005B7A4B" w:rsidP="005B7A4B">
      <w:pPr>
        <w:jc w:val="left"/>
        <w:rPr>
          <w:sz w:val="20"/>
          <w:szCs w:val="20"/>
        </w:rPr>
      </w:pPr>
      <w:proofErr w:type="spellStart"/>
      <w:r w:rsidRPr="003E1F05">
        <w:rPr>
          <w:sz w:val="20"/>
          <w:szCs w:val="20"/>
        </w:rPr>
        <w:t>Hoogma</w:t>
      </w:r>
      <w:proofErr w:type="spellEnd"/>
      <w:r w:rsidRPr="003E1F05">
        <w:rPr>
          <w:sz w:val="20"/>
          <w:szCs w:val="20"/>
        </w:rPr>
        <w:t xml:space="preserve"> R, Hammond PJ, </w:t>
      </w:r>
      <w:r w:rsidRPr="003E1F05">
        <w:rPr>
          <w:rFonts w:cs="Arial"/>
          <w:i/>
          <w:sz w:val="20"/>
          <w:szCs w:val="20"/>
        </w:rPr>
        <w:t>et al.</w:t>
      </w:r>
      <w:r w:rsidRPr="003E1F05">
        <w:rPr>
          <w:sz w:val="20"/>
          <w:szCs w:val="20"/>
        </w:rPr>
        <w:t xml:space="preserve"> 2006, ‘Comparison of the effects of continuous subcutaneous insulin infusion (CSII) and NPH-based multiple daily insulin injections (MDI) on glycaemic control and quality of life: results of the 5-nations trial’, </w:t>
      </w:r>
      <w:r w:rsidRPr="003E1F05">
        <w:rPr>
          <w:i/>
          <w:sz w:val="20"/>
          <w:szCs w:val="20"/>
        </w:rPr>
        <w:t>Diabetic Medicine</w:t>
      </w:r>
      <w:r w:rsidRPr="003E1F05">
        <w:rPr>
          <w:sz w:val="20"/>
          <w:szCs w:val="20"/>
        </w:rPr>
        <w:t>, Vol. 23, No. 2, pp. 141-147.</w:t>
      </w:r>
    </w:p>
    <w:p w:rsidR="005B7A4B" w:rsidRPr="003E1F05" w:rsidRDefault="005B7A4B" w:rsidP="005B7A4B">
      <w:pPr>
        <w:spacing w:line="240" w:lineRule="auto"/>
        <w:rPr>
          <w:rFonts w:cs="Calibri"/>
          <w:noProof/>
          <w:sz w:val="20"/>
          <w:szCs w:val="20"/>
        </w:rPr>
      </w:pPr>
      <w:bookmarkStart w:id="250" w:name="_ENREF_20"/>
      <w:r w:rsidRPr="003E1F05">
        <w:rPr>
          <w:rFonts w:cs="Calibri"/>
          <w:noProof/>
          <w:sz w:val="20"/>
          <w:szCs w:val="20"/>
        </w:rPr>
        <w:lastRenderedPageBreak/>
        <w:t xml:space="preserve">Hughes CR, McDowell N, Cody D &amp; Costigan C, 2012, ‘Sustained benefits of continuous subcutaneous insulin infusion’, </w:t>
      </w:r>
      <w:r w:rsidRPr="003E1F05">
        <w:rPr>
          <w:rFonts w:cs="Calibri"/>
          <w:i/>
          <w:noProof/>
          <w:sz w:val="20"/>
          <w:szCs w:val="20"/>
        </w:rPr>
        <w:t>Archives of Disease in Childhood</w:t>
      </w:r>
      <w:r w:rsidRPr="003E1F05">
        <w:rPr>
          <w:rFonts w:cs="Calibri"/>
          <w:noProof/>
          <w:sz w:val="20"/>
          <w:szCs w:val="20"/>
        </w:rPr>
        <w:t>, Vol. 97, No. 3, pp. 245-247.</w:t>
      </w:r>
      <w:bookmarkEnd w:id="250"/>
    </w:p>
    <w:p w:rsidR="005B7A4B" w:rsidRPr="003E1F05" w:rsidRDefault="005B7A4B" w:rsidP="005B7A4B">
      <w:pPr>
        <w:jc w:val="left"/>
        <w:rPr>
          <w:rFonts w:cs="Calibri"/>
          <w:sz w:val="20"/>
          <w:szCs w:val="20"/>
        </w:rPr>
      </w:pPr>
      <w:proofErr w:type="gramStart"/>
      <w:r w:rsidRPr="003E1F05">
        <w:rPr>
          <w:rFonts w:cs="Calibri"/>
          <w:sz w:val="20"/>
          <w:szCs w:val="20"/>
        </w:rPr>
        <w:t xml:space="preserve">International Diabetes Federation-European Region (IDF Europe), the Foundation of European Nurses in Diabetes (FEND), the Primary Care Diabetes Europe (PCDE) and the European Alliance for Research in Diabetes (EURADIA), 2011, </w:t>
      </w:r>
      <w:hyperlink r:id="rId52" w:history="1">
        <w:r w:rsidRPr="003E1F05">
          <w:rPr>
            <w:rStyle w:val="Hyperlink"/>
            <w:rFonts w:cs="Calibri"/>
            <w:i/>
            <w:color w:val="auto"/>
            <w:sz w:val="20"/>
            <w:szCs w:val="20"/>
          </w:rPr>
          <w:t>Diabetes - The Policy Puzzle, 3</w:t>
        </w:r>
        <w:r w:rsidRPr="003E1F05">
          <w:rPr>
            <w:rStyle w:val="Hyperlink"/>
            <w:rFonts w:cs="Calibri"/>
            <w:i/>
            <w:color w:val="auto"/>
            <w:sz w:val="20"/>
            <w:szCs w:val="20"/>
            <w:vertAlign w:val="superscript"/>
          </w:rPr>
          <w:t>rd</w:t>
        </w:r>
        <w:r w:rsidRPr="003E1F05">
          <w:rPr>
            <w:rStyle w:val="Hyperlink"/>
            <w:rFonts w:cs="Calibri"/>
            <w:i/>
            <w:color w:val="auto"/>
            <w:sz w:val="20"/>
            <w:szCs w:val="20"/>
          </w:rPr>
          <w:t xml:space="preserve"> Edition</w:t>
        </w:r>
      </w:hyperlink>
      <w:r w:rsidRPr="003E1F05">
        <w:rPr>
          <w:rFonts w:cs="Calibri"/>
          <w:sz w:val="20"/>
          <w:szCs w:val="20"/>
        </w:rPr>
        <w:t>, Europe.</w:t>
      </w:r>
      <w:proofErr w:type="gramEnd"/>
    </w:p>
    <w:p w:rsidR="005B7A4B" w:rsidRPr="003E1F05" w:rsidRDefault="005B7A4B" w:rsidP="005B7A4B">
      <w:pPr>
        <w:spacing w:line="240" w:lineRule="auto"/>
        <w:rPr>
          <w:rFonts w:cs="Calibri"/>
          <w:noProof/>
          <w:sz w:val="20"/>
          <w:szCs w:val="20"/>
        </w:rPr>
      </w:pPr>
      <w:bookmarkStart w:id="251" w:name="_ENREF_21"/>
      <w:r w:rsidRPr="003E1F05">
        <w:rPr>
          <w:rFonts w:cs="Calibri"/>
          <w:noProof/>
          <w:sz w:val="20"/>
          <w:szCs w:val="20"/>
        </w:rPr>
        <w:t xml:space="preserve">Jakisch BI, Wagner VM, </w:t>
      </w:r>
      <w:r w:rsidRPr="003E1F05">
        <w:rPr>
          <w:rFonts w:cs="Calibri"/>
          <w:i/>
          <w:noProof/>
          <w:sz w:val="20"/>
          <w:szCs w:val="20"/>
        </w:rPr>
        <w:t>et al.</w:t>
      </w:r>
      <w:r w:rsidRPr="003E1F05">
        <w:rPr>
          <w:rFonts w:cs="Calibri"/>
          <w:noProof/>
          <w:sz w:val="20"/>
          <w:szCs w:val="20"/>
        </w:rPr>
        <w:t xml:space="preserve"> 2008, ‘Comparison of continuous subcutaneous insulin infusion (CSII) and multiple daily injections (MDI) in paediatric Type 1 diabetes: a multicentre matched-pair cohort analysis over 3 years’, </w:t>
      </w:r>
      <w:r w:rsidRPr="003E1F05">
        <w:rPr>
          <w:rFonts w:cs="Calibri"/>
          <w:i/>
          <w:noProof/>
          <w:sz w:val="20"/>
          <w:szCs w:val="20"/>
        </w:rPr>
        <w:t>Diabetic Medicine</w:t>
      </w:r>
      <w:r w:rsidRPr="003E1F05">
        <w:rPr>
          <w:rFonts w:cs="Calibri"/>
          <w:noProof/>
          <w:sz w:val="20"/>
          <w:szCs w:val="20"/>
        </w:rPr>
        <w:t>, Vol. 25, No. 1, pp. 80-85.</w:t>
      </w:r>
      <w:bookmarkEnd w:id="251"/>
    </w:p>
    <w:p w:rsidR="005B7A4B" w:rsidRPr="003E1F05" w:rsidRDefault="005B7A4B" w:rsidP="005B7A4B">
      <w:pPr>
        <w:jc w:val="left"/>
        <w:rPr>
          <w:sz w:val="20"/>
          <w:szCs w:val="20"/>
        </w:rPr>
      </w:pPr>
      <w:r w:rsidRPr="003E1F05">
        <w:rPr>
          <w:sz w:val="20"/>
          <w:szCs w:val="20"/>
        </w:rPr>
        <w:t xml:space="preserve">Johnson SR, Cooper MN, Jones TW &amp; Davis EA, 2013, ‘Long-term outcome of insulin pump therapy in children with type 1 diabetes assessed in a large population-based case-control study’, </w:t>
      </w:r>
      <w:proofErr w:type="spellStart"/>
      <w:r w:rsidRPr="003E1F05">
        <w:rPr>
          <w:i/>
          <w:sz w:val="20"/>
          <w:szCs w:val="20"/>
        </w:rPr>
        <w:t>Diabetologia</w:t>
      </w:r>
      <w:proofErr w:type="spellEnd"/>
      <w:r w:rsidRPr="003E1F05">
        <w:rPr>
          <w:sz w:val="20"/>
          <w:szCs w:val="20"/>
        </w:rPr>
        <w:t>, Vol. 56, No. 11, pp. 2392-400.</w:t>
      </w:r>
    </w:p>
    <w:p w:rsidR="005B7A4B" w:rsidRPr="003E1F05" w:rsidRDefault="005B7A4B" w:rsidP="005B7A4B">
      <w:pPr>
        <w:jc w:val="left"/>
        <w:rPr>
          <w:rFonts w:eastAsia="Calibri" w:cs="Cambria"/>
          <w:bCs/>
          <w:sz w:val="20"/>
          <w:szCs w:val="20"/>
          <w:lang w:eastAsia="en-AU"/>
        </w:rPr>
      </w:pPr>
      <w:proofErr w:type="gramStart"/>
      <w:r w:rsidRPr="003E1F05">
        <w:rPr>
          <w:sz w:val="20"/>
          <w:szCs w:val="20"/>
        </w:rPr>
        <w:t xml:space="preserve">Juvenile Diabetes Research Foundation (JDRF), 2013, </w:t>
      </w:r>
      <w:r w:rsidRPr="003E1F05">
        <w:rPr>
          <w:rFonts w:eastAsia="Calibri" w:cs="Cambria"/>
          <w:bCs/>
          <w:i/>
          <w:sz w:val="20"/>
          <w:szCs w:val="20"/>
          <w:lang w:eastAsia="en-AU"/>
        </w:rPr>
        <w:t>End of Programme Report</w:t>
      </w:r>
      <w:r w:rsidRPr="003E1F05">
        <w:rPr>
          <w:rFonts w:eastAsia="Calibri" w:cs="Cambria"/>
          <w:bCs/>
          <w:sz w:val="20"/>
          <w:szCs w:val="20"/>
          <w:lang w:eastAsia="en-AU"/>
        </w:rPr>
        <w:t>, Canberra.</w:t>
      </w:r>
      <w:proofErr w:type="gramEnd"/>
    </w:p>
    <w:p w:rsidR="005B7A4B" w:rsidRPr="003E1F05" w:rsidRDefault="005B7A4B" w:rsidP="005B7A4B">
      <w:pPr>
        <w:spacing w:line="240" w:lineRule="auto"/>
        <w:rPr>
          <w:rFonts w:cs="Calibri"/>
          <w:noProof/>
          <w:sz w:val="20"/>
          <w:szCs w:val="20"/>
        </w:rPr>
      </w:pPr>
      <w:bookmarkStart w:id="252" w:name="_ENREF_25"/>
      <w:r w:rsidRPr="003E1F05">
        <w:rPr>
          <w:rFonts w:cs="Calibri"/>
          <w:noProof/>
          <w:sz w:val="20"/>
          <w:szCs w:val="20"/>
        </w:rPr>
        <w:t xml:space="preserve">Knight SJ, Northam EA, Cameron FJ &amp; Ambler GR, 2011, ‘Behaviour and metabolic control in children with Type 1 diabetes mellitus on insulin pump therapy: 2-year follow-up’, </w:t>
      </w:r>
      <w:r w:rsidRPr="003E1F05">
        <w:rPr>
          <w:rFonts w:cs="Calibri"/>
          <w:i/>
          <w:noProof/>
          <w:sz w:val="20"/>
          <w:szCs w:val="20"/>
        </w:rPr>
        <w:t>Diabetic Medicine</w:t>
      </w:r>
      <w:r w:rsidRPr="003E1F05">
        <w:rPr>
          <w:rFonts w:cs="Calibri"/>
          <w:noProof/>
          <w:sz w:val="20"/>
          <w:szCs w:val="20"/>
        </w:rPr>
        <w:t>, Vol.</w:t>
      </w:r>
      <w:r w:rsidRPr="003E1F05">
        <w:rPr>
          <w:rFonts w:cs="Calibri"/>
          <w:b/>
          <w:noProof/>
          <w:sz w:val="20"/>
          <w:szCs w:val="20"/>
        </w:rPr>
        <w:t xml:space="preserve"> </w:t>
      </w:r>
      <w:r w:rsidRPr="003E1F05">
        <w:rPr>
          <w:rFonts w:cs="Calibri"/>
          <w:noProof/>
          <w:sz w:val="20"/>
          <w:szCs w:val="20"/>
        </w:rPr>
        <w:t>28, No. 9, pp. 1109-1112.</w:t>
      </w:r>
      <w:bookmarkEnd w:id="252"/>
    </w:p>
    <w:p w:rsidR="005B7A4B" w:rsidRPr="003E1F05" w:rsidRDefault="005B7A4B" w:rsidP="005B7A4B">
      <w:pPr>
        <w:rPr>
          <w:sz w:val="20"/>
          <w:szCs w:val="20"/>
          <w:lang w:eastAsia="en-AU"/>
        </w:rPr>
      </w:pPr>
      <w:bookmarkStart w:id="253" w:name="_ENREF_26"/>
      <w:bookmarkStart w:id="254" w:name="_ENREF_27"/>
      <w:r w:rsidRPr="003E1F05">
        <w:rPr>
          <w:sz w:val="20"/>
          <w:szCs w:val="20"/>
          <w:lang w:eastAsia="en-AU"/>
        </w:rPr>
        <w:t xml:space="preserve">Lange K, Jackson C &amp; </w:t>
      </w:r>
      <w:proofErr w:type="spellStart"/>
      <w:r w:rsidRPr="003E1F05">
        <w:rPr>
          <w:sz w:val="20"/>
          <w:szCs w:val="20"/>
          <w:lang w:eastAsia="en-AU"/>
        </w:rPr>
        <w:t>Deeb</w:t>
      </w:r>
      <w:proofErr w:type="spellEnd"/>
      <w:r w:rsidRPr="003E1F05">
        <w:rPr>
          <w:sz w:val="20"/>
          <w:szCs w:val="20"/>
          <w:lang w:eastAsia="en-AU"/>
        </w:rPr>
        <w:t xml:space="preserve"> L, 2009, Diabetes Care in School, the Disturbing Facts, </w:t>
      </w:r>
      <w:proofErr w:type="spellStart"/>
      <w:r w:rsidRPr="003E1F05">
        <w:rPr>
          <w:i/>
          <w:sz w:val="20"/>
          <w:szCs w:val="20"/>
          <w:lang w:eastAsia="en-AU"/>
        </w:rPr>
        <w:t>Pediatric</w:t>
      </w:r>
      <w:proofErr w:type="spellEnd"/>
      <w:r w:rsidRPr="003E1F05">
        <w:rPr>
          <w:i/>
          <w:sz w:val="20"/>
          <w:szCs w:val="20"/>
          <w:lang w:eastAsia="en-AU"/>
        </w:rPr>
        <w:t xml:space="preserve"> Diabetes</w:t>
      </w:r>
      <w:r w:rsidRPr="003E1F05">
        <w:rPr>
          <w:sz w:val="20"/>
          <w:szCs w:val="20"/>
          <w:lang w:eastAsia="en-AU"/>
        </w:rPr>
        <w:t>, Vol. 10, pp. 28-36.</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Lepore G, Bruttomesso D, </w:t>
      </w:r>
      <w:r w:rsidRPr="003E1F05">
        <w:rPr>
          <w:rFonts w:cs="Calibri"/>
          <w:i/>
          <w:noProof/>
          <w:sz w:val="20"/>
          <w:szCs w:val="20"/>
        </w:rPr>
        <w:t>et al.</w:t>
      </w:r>
      <w:r w:rsidRPr="003E1F05">
        <w:rPr>
          <w:rFonts w:cs="Calibri"/>
          <w:noProof/>
          <w:sz w:val="20"/>
          <w:szCs w:val="20"/>
        </w:rPr>
        <w:t xml:space="preserve"> 2009, ‘Continuous subcutaneous insulin infusion is more effective than multiple daily insulin injections in preventing albumin excretion rate increase in Type 1 diabetic patients’, </w:t>
      </w:r>
      <w:r w:rsidRPr="003E1F05">
        <w:rPr>
          <w:rFonts w:cs="Calibri"/>
          <w:i/>
          <w:noProof/>
          <w:sz w:val="20"/>
          <w:szCs w:val="20"/>
        </w:rPr>
        <w:t>Diabetic Medicine</w:t>
      </w:r>
      <w:r w:rsidRPr="003E1F05">
        <w:rPr>
          <w:rFonts w:cs="Calibri"/>
          <w:noProof/>
          <w:sz w:val="20"/>
          <w:szCs w:val="20"/>
        </w:rPr>
        <w:t>, Vol. 26, No. 6, pp. 602-608.</w:t>
      </w:r>
      <w:bookmarkStart w:id="255" w:name="_ENREF_28"/>
      <w:bookmarkEnd w:id="253"/>
      <w:r w:rsidRPr="003E1F05">
        <w:rPr>
          <w:rFonts w:cs="Calibri"/>
          <w:noProof/>
          <w:sz w:val="20"/>
          <w:szCs w:val="20"/>
        </w:rPr>
        <w:t xml:space="preserve"> </w:t>
      </w:r>
    </w:p>
    <w:bookmarkEnd w:id="255"/>
    <w:p w:rsidR="005B7A4B" w:rsidRPr="003E1F05" w:rsidRDefault="005B7A4B" w:rsidP="005B7A4B">
      <w:pPr>
        <w:spacing w:line="240" w:lineRule="auto"/>
        <w:rPr>
          <w:rFonts w:cs="Calibri"/>
          <w:noProof/>
          <w:sz w:val="20"/>
          <w:szCs w:val="20"/>
        </w:rPr>
      </w:pPr>
      <w:r w:rsidRPr="003E1F05">
        <w:rPr>
          <w:rFonts w:cs="Calibri"/>
          <w:noProof/>
          <w:sz w:val="20"/>
          <w:szCs w:val="20"/>
        </w:rPr>
        <w:t xml:space="preserve">Levy-Shraga Y, Lerner-Geva L, et al. 2013, ‘Benefits of Continuous Subcutaneous Insulin Infusion (CSII) Therapy in Preschool Children’, </w:t>
      </w:r>
      <w:r w:rsidRPr="003E1F05">
        <w:rPr>
          <w:rFonts w:cs="Calibri"/>
          <w:i/>
          <w:noProof/>
          <w:sz w:val="20"/>
          <w:szCs w:val="20"/>
        </w:rPr>
        <w:t>Experimental and Clinical Endocrinology &amp; Diabetes</w:t>
      </w:r>
      <w:r w:rsidRPr="003E1F05">
        <w:rPr>
          <w:rFonts w:cs="Calibri"/>
          <w:noProof/>
          <w:sz w:val="20"/>
          <w:szCs w:val="20"/>
        </w:rPr>
        <w:t>, Vol. 121, No. 4, pp. 225-229.</w:t>
      </w:r>
      <w:bookmarkEnd w:id="254"/>
    </w:p>
    <w:p w:rsidR="005B7A4B" w:rsidRPr="003E1F05" w:rsidRDefault="005B7A4B" w:rsidP="005B7A4B">
      <w:pPr>
        <w:spacing w:line="240" w:lineRule="auto"/>
        <w:rPr>
          <w:rFonts w:cs="Calibri"/>
          <w:noProof/>
          <w:sz w:val="20"/>
          <w:szCs w:val="20"/>
        </w:rPr>
      </w:pPr>
      <w:bookmarkStart w:id="256" w:name="_ENREF_29"/>
      <w:r w:rsidRPr="003E1F05">
        <w:rPr>
          <w:rFonts w:cs="Calibri"/>
          <w:noProof/>
          <w:sz w:val="20"/>
          <w:szCs w:val="20"/>
        </w:rPr>
        <w:t xml:space="preserve">Lin CH, Huang CH, </w:t>
      </w:r>
      <w:r w:rsidRPr="003E1F05">
        <w:rPr>
          <w:rFonts w:cs="Calibri"/>
          <w:i/>
          <w:noProof/>
          <w:sz w:val="20"/>
          <w:szCs w:val="20"/>
        </w:rPr>
        <w:t>et al.</w:t>
      </w:r>
      <w:r w:rsidRPr="003E1F05">
        <w:rPr>
          <w:rFonts w:cs="Calibri"/>
          <w:noProof/>
          <w:sz w:val="20"/>
          <w:szCs w:val="20"/>
        </w:rPr>
        <w:t xml:space="preserve"> 2011, ‘Effects of a novel short-term continuous subcutaneous insulin infusion program evaluated by continuous glucose monitoring on young adult type 1 diabetic patients in Taiwan’, </w:t>
      </w:r>
      <w:r w:rsidRPr="003E1F05">
        <w:rPr>
          <w:rFonts w:cs="Calibri"/>
          <w:i/>
          <w:noProof/>
          <w:sz w:val="20"/>
          <w:szCs w:val="20"/>
        </w:rPr>
        <w:t>Endocrine Journal</w:t>
      </w:r>
      <w:r w:rsidRPr="003E1F05">
        <w:rPr>
          <w:rFonts w:cs="Calibri"/>
          <w:noProof/>
          <w:sz w:val="20"/>
          <w:szCs w:val="20"/>
        </w:rPr>
        <w:t>, Vol. 58, No. 10, pp. 835-840.</w:t>
      </w:r>
    </w:p>
    <w:p w:rsidR="005B7A4B" w:rsidRPr="003E1F05" w:rsidRDefault="005B7A4B" w:rsidP="005B7A4B">
      <w:pPr>
        <w:jc w:val="left"/>
        <w:rPr>
          <w:sz w:val="20"/>
          <w:szCs w:val="20"/>
        </w:rPr>
      </w:pPr>
      <w:r w:rsidRPr="003E1F05">
        <w:rPr>
          <w:rFonts w:eastAsia="Calibri" w:cs="Cambria"/>
          <w:sz w:val="20"/>
          <w:szCs w:val="20"/>
          <w:lang w:eastAsia="en-AU"/>
        </w:rPr>
        <w:t xml:space="preserve">Ly TT, Nicholas JA, </w:t>
      </w:r>
      <w:r w:rsidRPr="003E1F05">
        <w:rPr>
          <w:rFonts w:eastAsia="Calibri" w:cs="Cambria"/>
          <w:i/>
          <w:sz w:val="20"/>
          <w:szCs w:val="20"/>
          <w:lang w:eastAsia="en-AU"/>
        </w:rPr>
        <w:t>et al.</w:t>
      </w:r>
      <w:r w:rsidRPr="003E1F05">
        <w:rPr>
          <w:rFonts w:eastAsia="Calibri" w:cs="Cambria"/>
          <w:sz w:val="20"/>
          <w:szCs w:val="20"/>
          <w:lang w:eastAsia="en-AU"/>
        </w:rPr>
        <w:t xml:space="preserve"> 2013, 'Effect of Sensor-Augmented Insulin Pump Therapy and Automated Insulin Suspension vs Standard Insulin Pump Therapy on </w:t>
      </w:r>
      <w:proofErr w:type="spellStart"/>
      <w:r w:rsidRPr="003E1F05">
        <w:rPr>
          <w:rFonts w:eastAsia="Calibri" w:cs="Cambria"/>
          <w:sz w:val="20"/>
          <w:szCs w:val="20"/>
          <w:lang w:eastAsia="en-AU"/>
        </w:rPr>
        <w:t>Hypoglycemia</w:t>
      </w:r>
      <w:proofErr w:type="spellEnd"/>
      <w:r w:rsidRPr="003E1F05">
        <w:rPr>
          <w:rFonts w:eastAsia="Calibri" w:cs="Cambria"/>
          <w:sz w:val="20"/>
          <w:szCs w:val="20"/>
          <w:lang w:eastAsia="en-AU"/>
        </w:rPr>
        <w:t xml:space="preserve"> in Patients With Type 1 Diabetes', </w:t>
      </w:r>
      <w:r w:rsidRPr="003E1F05">
        <w:rPr>
          <w:rFonts w:eastAsia="Calibri" w:cs="Cambria"/>
          <w:i/>
          <w:iCs/>
          <w:sz w:val="20"/>
          <w:szCs w:val="20"/>
          <w:lang w:eastAsia="en-AU"/>
        </w:rPr>
        <w:t>The Journal of the American Medical Association</w:t>
      </w:r>
      <w:r w:rsidRPr="003E1F05">
        <w:rPr>
          <w:rFonts w:eastAsia="Calibri" w:cs="Cambria"/>
          <w:sz w:val="20"/>
          <w:szCs w:val="20"/>
          <w:lang w:eastAsia="en-AU"/>
        </w:rPr>
        <w:t>, Vol. 310, No.12, pp. 1240-1247.</w:t>
      </w:r>
    </w:p>
    <w:p w:rsidR="005B7A4B" w:rsidRPr="003E1F05" w:rsidRDefault="005B7A4B" w:rsidP="005B7A4B">
      <w:pPr>
        <w:rPr>
          <w:sz w:val="20"/>
          <w:szCs w:val="20"/>
          <w:lang w:eastAsia="en-AU"/>
        </w:rPr>
      </w:pPr>
      <w:r w:rsidRPr="003E1F05">
        <w:rPr>
          <w:sz w:val="20"/>
          <w:szCs w:val="20"/>
          <w:lang w:eastAsia="en-AU"/>
        </w:rPr>
        <w:t xml:space="preserve">Marks A, Wilson V &amp; Crisp J, 2013, </w:t>
      </w:r>
      <w:proofErr w:type="gramStart"/>
      <w:r w:rsidRPr="003E1F05">
        <w:rPr>
          <w:sz w:val="20"/>
          <w:szCs w:val="20"/>
          <w:lang w:eastAsia="en-AU"/>
        </w:rPr>
        <w:t>The</w:t>
      </w:r>
      <w:proofErr w:type="gramEnd"/>
      <w:r w:rsidRPr="003E1F05">
        <w:rPr>
          <w:sz w:val="20"/>
          <w:szCs w:val="20"/>
          <w:lang w:eastAsia="en-AU"/>
        </w:rPr>
        <w:t xml:space="preserve"> Management of Type 1 Diabetes in Primary School: Review of the Literature, </w:t>
      </w:r>
      <w:r w:rsidRPr="003E1F05">
        <w:rPr>
          <w:i/>
          <w:sz w:val="20"/>
          <w:szCs w:val="20"/>
          <w:lang w:eastAsia="en-AU"/>
        </w:rPr>
        <w:t xml:space="preserve">Issues in Comprehensive </w:t>
      </w:r>
      <w:proofErr w:type="spellStart"/>
      <w:r w:rsidRPr="003E1F05">
        <w:rPr>
          <w:i/>
          <w:sz w:val="20"/>
          <w:szCs w:val="20"/>
          <w:lang w:eastAsia="en-AU"/>
        </w:rPr>
        <w:t>Pediatric</w:t>
      </w:r>
      <w:proofErr w:type="spellEnd"/>
      <w:r w:rsidRPr="003E1F05">
        <w:rPr>
          <w:i/>
          <w:sz w:val="20"/>
          <w:szCs w:val="20"/>
          <w:lang w:eastAsia="en-AU"/>
        </w:rPr>
        <w:t xml:space="preserve"> Nursing</w:t>
      </w:r>
      <w:r w:rsidRPr="003E1F05">
        <w:rPr>
          <w:sz w:val="20"/>
          <w:szCs w:val="20"/>
          <w:lang w:eastAsia="en-AU"/>
        </w:rPr>
        <w:t>, Vol. 36, No. 1-2, pp. 98-119.</w:t>
      </w:r>
    </w:p>
    <w:p w:rsidR="005B7A4B" w:rsidRPr="003E1F05" w:rsidRDefault="005B7A4B" w:rsidP="005B7A4B">
      <w:pPr>
        <w:spacing w:line="240" w:lineRule="auto"/>
        <w:rPr>
          <w:rFonts w:cs="Calibri"/>
          <w:noProof/>
          <w:sz w:val="20"/>
          <w:szCs w:val="20"/>
        </w:rPr>
      </w:pPr>
      <w:r w:rsidRPr="003E1F05">
        <w:rPr>
          <w:rFonts w:cs="Calibri"/>
          <w:noProof/>
          <w:sz w:val="20"/>
          <w:szCs w:val="20"/>
        </w:rPr>
        <w:t xml:space="preserve">Marmolin ES, Brodsgaard J, </w:t>
      </w:r>
      <w:r w:rsidRPr="003E1F05">
        <w:rPr>
          <w:rFonts w:cs="Calibri"/>
          <w:i/>
          <w:noProof/>
          <w:sz w:val="20"/>
          <w:szCs w:val="20"/>
        </w:rPr>
        <w:t>et al.</w:t>
      </w:r>
      <w:r w:rsidRPr="003E1F05">
        <w:rPr>
          <w:rFonts w:cs="Calibri"/>
          <w:noProof/>
          <w:sz w:val="20"/>
          <w:szCs w:val="20"/>
        </w:rPr>
        <w:t xml:space="preserve">  2012, ‘Better treatment of outpatients with type 1 diabetes after introduction of continuous subcutaneous insulin infusion’, </w:t>
      </w:r>
      <w:r w:rsidRPr="003E1F05">
        <w:rPr>
          <w:rFonts w:cs="Calibri"/>
          <w:i/>
          <w:noProof/>
          <w:sz w:val="20"/>
          <w:szCs w:val="20"/>
        </w:rPr>
        <w:t>Danish Medical Journal</w:t>
      </w:r>
      <w:r w:rsidRPr="003E1F05">
        <w:rPr>
          <w:rFonts w:cs="Calibri"/>
          <w:noProof/>
          <w:sz w:val="20"/>
          <w:szCs w:val="20"/>
        </w:rPr>
        <w:t>, Vol. 59, No. 6, A4445.</w:t>
      </w:r>
      <w:bookmarkEnd w:id="256"/>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Medtronic </w:t>
      </w:r>
      <w:proofErr w:type="spellStart"/>
      <w:r w:rsidRPr="003E1F05">
        <w:rPr>
          <w:rFonts w:eastAsia="Calibri"/>
          <w:sz w:val="20"/>
          <w:szCs w:val="20"/>
          <w:lang w:eastAsia="en-AU"/>
        </w:rPr>
        <w:t>MiniMed</w:t>
      </w:r>
      <w:proofErr w:type="spellEnd"/>
      <w:r w:rsidRPr="003E1F05">
        <w:rPr>
          <w:rFonts w:eastAsia="Calibri"/>
          <w:sz w:val="20"/>
          <w:szCs w:val="20"/>
          <w:lang w:eastAsia="en-AU"/>
        </w:rPr>
        <w:t xml:space="preserve"> Inc., 2009, </w:t>
      </w:r>
      <w:hyperlink r:id="rId53" w:history="1">
        <w:r w:rsidRPr="003E1F05">
          <w:rPr>
            <w:rStyle w:val="Hyperlink"/>
            <w:rFonts w:eastAsia="Calibri"/>
            <w:i/>
            <w:color w:val="auto"/>
            <w:sz w:val="20"/>
            <w:szCs w:val="20"/>
            <w:lang w:eastAsia="en-AU"/>
          </w:rPr>
          <w:t xml:space="preserve">The </w:t>
        </w:r>
        <w:proofErr w:type="spellStart"/>
        <w:r w:rsidRPr="003E1F05">
          <w:rPr>
            <w:rStyle w:val="Hyperlink"/>
            <w:rFonts w:eastAsia="Calibri"/>
            <w:i/>
            <w:color w:val="auto"/>
            <w:sz w:val="20"/>
            <w:szCs w:val="20"/>
            <w:lang w:eastAsia="en-AU"/>
          </w:rPr>
          <w:t>MiniMed</w:t>
        </w:r>
        <w:proofErr w:type="spellEnd"/>
        <w:r w:rsidRPr="003E1F05">
          <w:rPr>
            <w:rStyle w:val="Hyperlink"/>
            <w:rFonts w:eastAsia="Calibri"/>
            <w:i/>
            <w:color w:val="auto"/>
            <w:sz w:val="20"/>
            <w:szCs w:val="20"/>
            <w:lang w:eastAsia="en-AU"/>
          </w:rPr>
          <w:t xml:space="preserve"> Paradigm® </w:t>
        </w:r>
        <w:proofErr w:type="spellStart"/>
        <w:r w:rsidRPr="003E1F05">
          <w:rPr>
            <w:rStyle w:val="Hyperlink"/>
            <w:rFonts w:eastAsia="Calibri"/>
            <w:i/>
            <w:color w:val="auto"/>
            <w:sz w:val="20"/>
            <w:szCs w:val="20"/>
            <w:lang w:eastAsia="en-AU"/>
          </w:rPr>
          <w:t>Veo</w:t>
        </w:r>
        <w:r w:rsidRPr="003E1F05">
          <w:rPr>
            <w:rStyle w:val="Hyperlink"/>
            <w:rFonts w:eastAsia="Calibri"/>
            <w:i/>
            <w:color w:val="auto"/>
            <w:sz w:val="20"/>
            <w:szCs w:val="20"/>
            <w:vertAlign w:val="superscript"/>
            <w:lang w:eastAsia="en-AU"/>
          </w:rPr>
          <w:t>TM</w:t>
        </w:r>
        <w:proofErr w:type="spellEnd"/>
        <w:r w:rsidRPr="003E1F05">
          <w:rPr>
            <w:rStyle w:val="Hyperlink"/>
            <w:rFonts w:eastAsia="Calibri"/>
            <w:i/>
            <w:color w:val="auto"/>
            <w:sz w:val="20"/>
            <w:szCs w:val="20"/>
            <w:lang w:eastAsia="en-AU"/>
          </w:rPr>
          <w:t xml:space="preserve"> System: Live </w:t>
        </w:r>
        <w:proofErr w:type="gramStart"/>
        <w:r w:rsidRPr="003E1F05">
          <w:rPr>
            <w:rStyle w:val="Hyperlink"/>
            <w:rFonts w:eastAsia="Calibri"/>
            <w:i/>
            <w:color w:val="auto"/>
            <w:sz w:val="20"/>
            <w:szCs w:val="20"/>
            <w:lang w:eastAsia="en-AU"/>
          </w:rPr>
          <w:t>More,</w:t>
        </w:r>
        <w:proofErr w:type="gramEnd"/>
        <w:r w:rsidRPr="003E1F05">
          <w:rPr>
            <w:rStyle w:val="Hyperlink"/>
            <w:rFonts w:eastAsia="Calibri"/>
            <w:i/>
            <w:color w:val="auto"/>
            <w:sz w:val="20"/>
            <w:szCs w:val="20"/>
            <w:lang w:eastAsia="en-AU"/>
          </w:rPr>
          <w:t xml:space="preserve"> Worry Less</w:t>
        </w:r>
      </w:hyperlink>
      <w:r w:rsidRPr="003E1F05">
        <w:rPr>
          <w:rFonts w:eastAsia="Calibri"/>
          <w:sz w:val="20"/>
          <w:szCs w:val="20"/>
          <w:lang w:eastAsia="en-AU"/>
        </w:rPr>
        <w:t>, Europe.</w:t>
      </w:r>
    </w:p>
    <w:p w:rsidR="005B7A4B" w:rsidRPr="003E1F05" w:rsidRDefault="005B7A4B" w:rsidP="005B7A4B">
      <w:pPr>
        <w:rPr>
          <w:sz w:val="20"/>
          <w:szCs w:val="20"/>
          <w:lang w:eastAsia="en-AU"/>
        </w:rPr>
      </w:pPr>
      <w:proofErr w:type="spellStart"/>
      <w:proofErr w:type="gramStart"/>
      <w:r w:rsidRPr="003E1F05">
        <w:rPr>
          <w:sz w:val="20"/>
          <w:szCs w:val="20"/>
          <w:lang w:eastAsia="en-AU"/>
        </w:rPr>
        <w:t>Middlehurst</w:t>
      </w:r>
      <w:proofErr w:type="spellEnd"/>
      <w:r w:rsidRPr="003E1F05">
        <w:rPr>
          <w:sz w:val="20"/>
          <w:szCs w:val="20"/>
          <w:lang w:eastAsia="en-AU"/>
        </w:rPr>
        <w:t xml:space="preserve"> A &amp; Morrison M, 2008, Diabetes Management in the School Setting.</w:t>
      </w:r>
      <w:proofErr w:type="gramEnd"/>
      <w:r w:rsidRPr="003E1F05">
        <w:rPr>
          <w:sz w:val="20"/>
          <w:szCs w:val="20"/>
          <w:lang w:eastAsia="en-AU"/>
        </w:rPr>
        <w:t xml:space="preserve"> </w:t>
      </w:r>
      <w:proofErr w:type="gramStart"/>
      <w:r w:rsidRPr="003E1F05">
        <w:rPr>
          <w:sz w:val="20"/>
          <w:szCs w:val="20"/>
          <w:lang w:eastAsia="en-AU"/>
        </w:rPr>
        <w:t xml:space="preserve">A NSW parent survey, </w:t>
      </w:r>
      <w:r w:rsidRPr="003E1F05">
        <w:rPr>
          <w:i/>
          <w:sz w:val="20"/>
          <w:szCs w:val="20"/>
          <w:lang w:eastAsia="en-AU"/>
        </w:rPr>
        <w:t>Diabetes Australia</w:t>
      </w:r>
      <w:r w:rsidRPr="003E1F05">
        <w:rPr>
          <w:sz w:val="20"/>
          <w:szCs w:val="20"/>
          <w:lang w:eastAsia="en-AU"/>
        </w:rPr>
        <w:t>.</w:t>
      </w:r>
      <w:proofErr w:type="gramEnd"/>
    </w:p>
    <w:p w:rsidR="005B7A4B" w:rsidRPr="003E1F05" w:rsidRDefault="005B7A4B" w:rsidP="005B7A4B">
      <w:pPr>
        <w:jc w:val="left"/>
        <w:rPr>
          <w:rFonts w:eastAsia="Calibri"/>
          <w:sz w:val="20"/>
          <w:szCs w:val="20"/>
          <w:lang w:eastAsia="en-AU"/>
        </w:rPr>
      </w:pPr>
      <w:proofErr w:type="spellStart"/>
      <w:r w:rsidRPr="003E1F05">
        <w:rPr>
          <w:rFonts w:eastAsia="Calibri"/>
          <w:sz w:val="20"/>
          <w:szCs w:val="20"/>
          <w:lang w:eastAsia="en-AU"/>
        </w:rPr>
        <w:t>Misso</w:t>
      </w:r>
      <w:proofErr w:type="spellEnd"/>
      <w:r w:rsidRPr="003E1F05">
        <w:rPr>
          <w:rFonts w:eastAsia="Calibri"/>
          <w:sz w:val="20"/>
          <w:szCs w:val="20"/>
          <w:lang w:eastAsia="en-AU"/>
        </w:rPr>
        <w:t xml:space="preserve"> ML, </w:t>
      </w:r>
      <w:proofErr w:type="spellStart"/>
      <w:r w:rsidRPr="003E1F05">
        <w:rPr>
          <w:rFonts w:eastAsia="Calibri"/>
          <w:sz w:val="20"/>
          <w:szCs w:val="20"/>
          <w:lang w:eastAsia="en-AU"/>
        </w:rPr>
        <w:t>Egberts</w:t>
      </w:r>
      <w:proofErr w:type="spellEnd"/>
      <w:r w:rsidRPr="003E1F05">
        <w:rPr>
          <w:rFonts w:eastAsia="Calibri"/>
          <w:sz w:val="20"/>
          <w:szCs w:val="20"/>
          <w:lang w:eastAsia="en-AU"/>
        </w:rPr>
        <w:t xml:space="preserve"> KJ, </w:t>
      </w:r>
      <w:r w:rsidRPr="003E1F05">
        <w:rPr>
          <w:rFonts w:eastAsia="Calibri"/>
          <w:i/>
          <w:sz w:val="20"/>
          <w:szCs w:val="20"/>
          <w:lang w:eastAsia="en-AU"/>
        </w:rPr>
        <w:t>et al.</w:t>
      </w:r>
      <w:r w:rsidRPr="003E1F05">
        <w:rPr>
          <w:rFonts w:eastAsia="Calibri"/>
          <w:sz w:val="20"/>
          <w:szCs w:val="20"/>
          <w:lang w:eastAsia="en-AU"/>
        </w:rPr>
        <w:t xml:space="preserve"> 2010, ‘Continuous subcutaneous insulin infusion (CSII) versus multiple insulin injections for type 1 diabetes mellitus’, </w:t>
      </w:r>
      <w:r w:rsidRPr="003E1F05">
        <w:rPr>
          <w:rFonts w:eastAsia="Calibri" w:cs="AGaramond-Italic"/>
          <w:i/>
          <w:iCs/>
          <w:sz w:val="20"/>
          <w:szCs w:val="20"/>
          <w:lang w:eastAsia="en-AU"/>
        </w:rPr>
        <w:t>Cochrane Database of Systematic Reviews</w:t>
      </w:r>
      <w:r w:rsidRPr="003E1F05">
        <w:rPr>
          <w:rFonts w:eastAsia="Calibri"/>
          <w:sz w:val="20"/>
          <w:szCs w:val="20"/>
          <w:lang w:eastAsia="en-AU"/>
        </w:rPr>
        <w:t>, Issue 1.</w:t>
      </w:r>
    </w:p>
    <w:p w:rsidR="005B7A4B" w:rsidRPr="003E1F05" w:rsidRDefault="005B7A4B" w:rsidP="005B7A4B">
      <w:pPr>
        <w:jc w:val="left"/>
        <w:rPr>
          <w:rFonts w:eastAsia="Calibri"/>
          <w:sz w:val="20"/>
          <w:szCs w:val="20"/>
          <w:lang w:eastAsia="en-AU"/>
        </w:rPr>
      </w:pPr>
      <w:proofErr w:type="spellStart"/>
      <w:r w:rsidRPr="003E1F05">
        <w:rPr>
          <w:sz w:val="20"/>
          <w:szCs w:val="20"/>
        </w:rPr>
        <w:t>Monami</w:t>
      </w:r>
      <w:proofErr w:type="spellEnd"/>
      <w:r w:rsidRPr="003E1F05">
        <w:rPr>
          <w:sz w:val="20"/>
          <w:szCs w:val="20"/>
        </w:rPr>
        <w:t xml:space="preserve"> M, </w:t>
      </w:r>
      <w:proofErr w:type="spellStart"/>
      <w:r w:rsidRPr="003E1F05">
        <w:rPr>
          <w:sz w:val="20"/>
          <w:szCs w:val="20"/>
        </w:rPr>
        <w:t>Lamanna</w:t>
      </w:r>
      <w:proofErr w:type="spellEnd"/>
      <w:r w:rsidRPr="003E1F05">
        <w:rPr>
          <w:sz w:val="20"/>
          <w:szCs w:val="20"/>
        </w:rPr>
        <w:t xml:space="preserve"> C, </w:t>
      </w:r>
      <w:proofErr w:type="spellStart"/>
      <w:r w:rsidRPr="003E1F05">
        <w:rPr>
          <w:sz w:val="20"/>
          <w:szCs w:val="20"/>
        </w:rPr>
        <w:t>Marchionni</w:t>
      </w:r>
      <w:proofErr w:type="spellEnd"/>
      <w:r w:rsidRPr="003E1F05">
        <w:rPr>
          <w:sz w:val="20"/>
          <w:szCs w:val="20"/>
        </w:rPr>
        <w:t xml:space="preserve"> N &amp; </w:t>
      </w:r>
      <w:proofErr w:type="spellStart"/>
      <w:r w:rsidRPr="003E1F05">
        <w:rPr>
          <w:sz w:val="20"/>
          <w:szCs w:val="20"/>
        </w:rPr>
        <w:t>Mannucci</w:t>
      </w:r>
      <w:proofErr w:type="spellEnd"/>
      <w:r w:rsidRPr="003E1F05">
        <w:rPr>
          <w:sz w:val="20"/>
          <w:szCs w:val="20"/>
        </w:rPr>
        <w:t xml:space="preserve"> E, 2010, ‘Continuous subcutaneous insulin infusion versus multiple daily insulin injections in type 1 diabetes: a meta-analysis’, </w:t>
      </w:r>
      <w:proofErr w:type="spellStart"/>
      <w:r w:rsidRPr="003E1F05">
        <w:rPr>
          <w:i/>
          <w:sz w:val="20"/>
          <w:szCs w:val="20"/>
        </w:rPr>
        <w:t>Acta</w:t>
      </w:r>
      <w:proofErr w:type="spellEnd"/>
      <w:r w:rsidRPr="003E1F05">
        <w:rPr>
          <w:i/>
          <w:sz w:val="20"/>
          <w:szCs w:val="20"/>
        </w:rPr>
        <w:t xml:space="preserve"> </w:t>
      </w:r>
      <w:proofErr w:type="spellStart"/>
      <w:r w:rsidRPr="003E1F05">
        <w:rPr>
          <w:i/>
          <w:sz w:val="20"/>
          <w:szCs w:val="20"/>
        </w:rPr>
        <w:t>Diabetologica</w:t>
      </w:r>
      <w:proofErr w:type="spellEnd"/>
      <w:r w:rsidRPr="003E1F05">
        <w:rPr>
          <w:sz w:val="20"/>
          <w:szCs w:val="20"/>
        </w:rPr>
        <w:t>, Vol. 47, Supplement 1, pp. 77-81.</w:t>
      </w:r>
    </w:p>
    <w:p w:rsidR="005B7A4B" w:rsidRPr="003E1F05" w:rsidRDefault="005B7A4B" w:rsidP="005B7A4B">
      <w:pPr>
        <w:jc w:val="left"/>
        <w:rPr>
          <w:rFonts w:eastAsia="Calibri"/>
          <w:sz w:val="20"/>
          <w:szCs w:val="20"/>
          <w:lang w:eastAsia="en-AU"/>
        </w:rPr>
      </w:pPr>
      <w:proofErr w:type="spellStart"/>
      <w:r w:rsidRPr="003E1F05">
        <w:rPr>
          <w:rFonts w:eastAsia="Calibri"/>
          <w:sz w:val="20"/>
          <w:szCs w:val="20"/>
          <w:lang w:eastAsia="en-AU"/>
        </w:rPr>
        <w:lastRenderedPageBreak/>
        <w:t>Nalysnyk</w:t>
      </w:r>
      <w:proofErr w:type="spellEnd"/>
      <w:r w:rsidRPr="003E1F05">
        <w:rPr>
          <w:rFonts w:eastAsia="Calibri"/>
          <w:sz w:val="20"/>
          <w:szCs w:val="20"/>
          <w:lang w:eastAsia="en-AU"/>
        </w:rPr>
        <w:t xml:space="preserve"> L, Hernandez-Medina M, </w:t>
      </w:r>
      <w:proofErr w:type="spellStart"/>
      <w:r w:rsidRPr="003E1F05">
        <w:rPr>
          <w:rFonts w:eastAsia="Calibri"/>
          <w:sz w:val="20"/>
          <w:szCs w:val="20"/>
          <w:lang w:eastAsia="en-AU"/>
        </w:rPr>
        <w:t>Krishnarajah</w:t>
      </w:r>
      <w:proofErr w:type="spellEnd"/>
      <w:r w:rsidRPr="003E1F05">
        <w:rPr>
          <w:rFonts w:eastAsia="Calibri"/>
          <w:sz w:val="20"/>
          <w:szCs w:val="20"/>
          <w:lang w:eastAsia="en-AU"/>
        </w:rPr>
        <w:t xml:space="preserve"> G, 2010, ‘Glycaemic variability and complications in patients with diabetes mellitus; evidence from a systematic review of the literature’, Diabetes, Obesity and metabolism 12: pp. 288-298.  </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National Institute for Health and Clinical Excellence (NICE), 2009, </w:t>
      </w:r>
      <w:hyperlink r:id="rId54" w:history="1">
        <w:r w:rsidRPr="003E1F05">
          <w:rPr>
            <w:rStyle w:val="Hyperlink"/>
            <w:rFonts w:eastAsia="Calibri"/>
            <w:i/>
            <w:color w:val="auto"/>
            <w:sz w:val="20"/>
            <w:szCs w:val="20"/>
            <w:lang w:eastAsia="en-AU"/>
          </w:rPr>
          <w:t>Insulin pump therapy service for people with diabetes, Commissioning guide, implementing NICE guidance</w:t>
        </w:r>
      </w:hyperlink>
      <w:r w:rsidRPr="003E1F05">
        <w:rPr>
          <w:rFonts w:eastAsia="Calibri"/>
          <w:sz w:val="20"/>
          <w:szCs w:val="20"/>
          <w:lang w:eastAsia="en-AU"/>
        </w:rPr>
        <w:t>, accessed 6 March 2013</w:t>
      </w:r>
      <w:r w:rsidRPr="003E1F05">
        <w:rPr>
          <w:sz w:val="20"/>
          <w:szCs w:val="20"/>
        </w:rPr>
        <w:t>.</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National Health and Medical Research Council (NHMRC), 2011, </w:t>
      </w:r>
      <w:hyperlink r:id="rId55" w:history="1">
        <w:proofErr w:type="gramStart"/>
        <w:r w:rsidRPr="003E1F05">
          <w:rPr>
            <w:rStyle w:val="Hyperlink"/>
            <w:rFonts w:eastAsia="Calibri"/>
            <w:i/>
            <w:color w:val="auto"/>
            <w:sz w:val="20"/>
            <w:szCs w:val="20"/>
            <w:lang w:eastAsia="en-AU"/>
          </w:rPr>
          <w:t>About</w:t>
        </w:r>
        <w:proofErr w:type="gramEnd"/>
        <w:r w:rsidRPr="003E1F05">
          <w:rPr>
            <w:rStyle w:val="Hyperlink"/>
            <w:rFonts w:eastAsia="Calibri"/>
            <w:i/>
            <w:color w:val="auto"/>
            <w:sz w:val="20"/>
            <w:szCs w:val="20"/>
            <w:lang w:eastAsia="en-AU"/>
          </w:rPr>
          <w:t xml:space="preserve"> the clinical practice guidelines portal</w:t>
        </w:r>
      </w:hyperlink>
      <w:r w:rsidRPr="003E1F05">
        <w:rPr>
          <w:rFonts w:eastAsia="Calibri"/>
          <w:sz w:val="20"/>
          <w:szCs w:val="20"/>
          <w:lang w:eastAsia="en-AU"/>
        </w:rPr>
        <w:t>, accessed 8 March 2013.</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New Zealand Society for the Study of Diabetes (NZSSD), 2008, </w:t>
      </w:r>
      <w:hyperlink r:id="rId56" w:history="1">
        <w:r w:rsidRPr="003E1F05">
          <w:rPr>
            <w:rStyle w:val="Hyperlink"/>
            <w:rFonts w:eastAsia="Calibri"/>
            <w:i/>
            <w:color w:val="auto"/>
            <w:sz w:val="20"/>
            <w:szCs w:val="20"/>
            <w:lang w:eastAsia="en-AU"/>
          </w:rPr>
          <w:t>NZSSD Position Statement on Insulin Pump Therapy</w:t>
        </w:r>
      </w:hyperlink>
      <w:r w:rsidRPr="003E1F05">
        <w:rPr>
          <w:rFonts w:eastAsia="Calibri"/>
          <w:sz w:val="20"/>
          <w:szCs w:val="20"/>
          <w:lang w:eastAsia="en-AU"/>
        </w:rPr>
        <w:t>, accessed 8 March 2013</w:t>
      </w:r>
      <w:r w:rsidRPr="003E1F05">
        <w:rPr>
          <w:sz w:val="20"/>
          <w:szCs w:val="20"/>
        </w:rPr>
        <w:t>.</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NPS </w:t>
      </w:r>
      <w:proofErr w:type="spellStart"/>
      <w:r w:rsidRPr="003E1F05">
        <w:rPr>
          <w:rFonts w:eastAsia="Calibri"/>
          <w:sz w:val="20"/>
          <w:szCs w:val="20"/>
          <w:lang w:eastAsia="en-AU"/>
        </w:rPr>
        <w:t>Medicinewise</w:t>
      </w:r>
      <w:proofErr w:type="spellEnd"/>
      <w:r w:rsidRPr="003E1F05">
        <w:rPr>
          <w:rFonts w:eastAsia="Calibri"/>
          <w:sz w:val="20"/>
          <w:szCs w:val="20"/>
          <w:lang w:eastAsia="en-AU"/>
        </w:rPr>
        <w:t xml:space="preserve">, 2013, </w:t>
      </w:r>
      <w:hyperlink r:id="rId57" w:history="1">
        <w:r w:rsidRPr="003E1F05">
          <w:rPr>
            <w:rStyle w:val="Hyperlink"/>
            <w:rFonts w:eastAsia="Calibri"/>
            <w:i/>
            <w:color w:val="auto"/>
            <w:sz w:val="20"/>
            <w:szCs w:val="20"/>
            <w:lang w:eastAsia="en-AU"/>
          </w:rPr>
          <w:t>Insulin pumps for type 1 diabetes</w:t>
        </w:r>
      </w:hyperlink>
      <w:r w:rsidRPr="003E1F05">
        <w:rPr>
          <w:rFonts w:eastAsia="Calibri"/>
          <w:sz w:val="20"/>
          <w:szCs w:val="20"/>
          <w:lang w:eastAsia="en-AU"/>
        </w:rPr>
        <w:t>, accessed 19 November 2013.</w:t>
      </w:r>
    </w:p>
    <w:p w:rsidR="005B7A4B" w:rsidRPr="003E1F05" w:rsidRDefault="005B7A4B" w:rsidP="005B7A4B">
      <w:pPr>
        <w:jc w:val="left"/>
        <w:rPr>
          <w:rFonts w:eastAsia="Calibri"/>
          <w:sz w:val="20"/>
          <w:szCs w:val="20"/>
          <w:lang w:eastAsia="en-AU"/>
        </w:rPr>
      </w:pPr>
      <w:proofErr w:type="gramStart"/>
      <w:r w:rsidRPr="003E1F05">
        <w:rPr>
          <w:rFonts w:eastAsia="Calibri"/>
          <w:sz w:val="20"/>
          <w:szCs w:val="20"/>
          <w:lang w:eastAsia="en-AU"/>
        </w:rPr>
        <w:t xml:space="preserve">O’Connell MA &amp; Cameron FJ, 2008, ‘Practical experience with continuous subcutaneous insulin infusion therapy in </w:t>
      </w:r>
      <w:proofErr w:type="spellStart"/>
      <w:r w:rsidRPr="003E1F05">
        <w:rPr>
          <w:rFonts w:eastAsia="Calibri"/>
          <w:sz w:val="20"/>
          <w:szCs w:val="20"/>
          <w:lang w:eastAsia="en-AU"/>
        </w:rPr>
        <w:t>pediatric</w:t>
      </w:r>
      <w:proofErr w:type="spellEnd"/>
      <w:r w:rsidRPr="003E1F05">
        <w:rPr>
          <w:rFonts w:eastAsia="Calibri"/>
          <w:sz w:val="20"/>
          <w:szCs w:val="20"/>
          <w:lang w:eastAsia="en-AU"/>
        </w:rPr>
        <w:t xml:space="preserve"> diabetes clinic’, </w:t>
      </w:r>
      <w:r w:rsidRPr="003E1F05">
        <w:rPr>
          <w:rFonts w:eastAsia="Calibri"/>
          <w:i/>
          <w:sz w:val="20"/>
          <w:szCs w:val="20"/>
          <w:lang w:eastAsia="en-AU"/>
        </w:rPr>
        <w:t>Journal of Diabetes Science and Technology</w:t>
      </w:r>
      <w:r w:rsidRPr="003E1F05">
        <w:rPr>
          <w:rFonts w:eastAsia="Calibri"/>
          <w:sz w:val="20"/>
          <w:szCs w:val="20"/>
          <w:lang w:eastAsia="en-AU"/>
        </w:rPr>
        <w:t>, Vol. 2, No. 1, pp. 91-97.</w:t>
      </w:r>
      <w:proofErr w:type="gramEnd"/>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Pena AS, </w:t>
      </w:r>
      <w:proofErr w:type="spellStart"/>
      <w:r w:rsidRPr="003E1F05">
        <w:rPr>
          <w:rFonts w:eastAsia="Calibri"/>
          <w:sz w:val="20"/>
          <w:szCs w:val="20"/>
          <w:lang w:eastAsia="en-AU"/>
        </w:rPr>
        <w:t>Couper</w:t>
      </w:r>
      <w:proofErr w:type="spellEnd"/>
      <w:r w:rsidRPr="003E1F05">
        <w:rPr>
          <w:rFonts w:eastAsia="Calibri"/>
          <w:sz w:val="20"/>
          <w:szCs w:val="20"/>
          <w:lang w:eastAsia="en-AU"/>
        </w:rPr>
        <w:t xml:space="preserve"> JJ, </w:t>
      </w:r>
      <w:r w:rsidRPr="003E1F05">
        <w:rPr>
          <w:rFonts w:eastAsia="Calibri"/>
          <w:i/>
          <w:sz w:val="20"/>
          <w:szCs w:val="20"/>
          <w:lang w:eastAsia="en-AU"/>
        </w:rPr>
        <w:t>et al.</w:t>
      </w:r>
      <w:r w:rsidRPr="003E1F05">
        <w:rPr>
          <w:rFonts w:eastAsia="Calibri"/>
          <w:sz w:val="20"/>
          <w:szCs w:val="20"/>
          <w:lang w:eastAsia="en-AU"/>
        </w:rPr>
        <w:t xml:space="preserve"> 2012, ‘Hypoglycaemia, but not glucose variability, relates to vascular function in children with type 1 diabetes’, </w:t>
      </w:r>
      <w:r w:rsidRPr="003E1F05">
        <w:rPr>
          <w:rFonts w:eastAsia="Calibri"/>
          <w:i/>
          <w:sz w:val="20"/>
          <w:szCs w:val="20"/>
          <w:lang w:eastAsia="en-AU"/>
        </w:rPr>
        <w:t>Diabetes Technology &amp; Therapeutics</w:t>
      </w:r>
      <w:r w:rsidRPr="003E1F05">
        <w:rPr>
          <w:rFonts w:eastAsia="Calibri"/>
          <w:sz w:val="20"/>
          <w:szCs w:val="20"/>
          <w:lang w:eastAsia="en-AU"/>
        </w:rPr>
        <w:t>, Vol. 14, No. 6, pp. 457-61.</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Pickup JC, 2012, 'Insulin-Pump Therapy for Type 1 Diabetes Mellitus', </w:t>
      </w:r>
      <w:r w:rsidRPr="003E1F05">
        <w:rPr>
          <w:rFonts w:eastAsia="Calibri"/>
          <w:i/>
          <w:sz w:val="20"/>
          <w:szCs w:val="20"/>
          <w:lang w:eastAsia="en-AU"/>
        </w:rPr>
        <w:t>The New England Journal of Medicine</w:t>
      </w:r>
      <w:r w:rsidRPr="003E1F05">
        <w:rPr>
          <w:rFonts w:eastAsia="Calibri"/>
          <w:sz w:val="20"/>
          <w:szCs w:val="20"/>
          <w:lang w:eastAsia="en-AU"/>
        </w:rPr>
        <w:t>, Vol. 366, No.17, pp.1616-1624.</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 xml:space="preserve">Pickup JC &amp; </w:t>
      </w:r>
      <w:proofErr w:type="spellStart"/>
      <w:r w:rsidRPr="003E1F05">
        <w:rPr>
          <w:rFonts w:eastAsia="Calibri"/>
          <w:sz w:val="20"/>
          <w:szCs w:val="20"/>
          <w:lang w:eastAsia="en-AU"/>
        </w:rPr>
        <w:t>Renard</w:t>
      </w:r>
      <w:proofErr w:type="spellEnd"/>
      <w:r w:rsidRPr="003E1F05">
        <w:rPr>
          <w:rFonts w:eastAsia="Calibri"/>
          <w:sz w:val="20"/>
          <w:szCs w:val="20"/>
          <w:lang w:eastAsia="en-AU"/>
        </w:rPr>
        <w:t xml:space="preserve"> E, 2008, ‘Long-Acting Insulin </w:t>
      </w:r>
      <w:proofErr w:type="spellStart"/>
      <w:r w:rsidRPr="003E1F05">
        <w:rPr>
          <w:rFonts w:eastAsia="Calibri"/>
          <w:sz w:val="20"/>
          <w:szCs w:val="20"/>
          <w:lang w:eastAsia="en-AU"/>
        </w:rPr>
        <w:t>Analogs</w:t>
      </w:r>
      <w:proofErr w:type="spellEnd"/>
      <w:r w:rsidRPr="003E1F05">
        <w:rPr>
          <w:rFonts w:eastAsia="Calibri"/>
          <w:sz w:val="20"/>
          <w:szCs w:val="20"/>
          <w:lang w:eastAsia="en-AU"/>
        </w:rPr>
        <w:t xml:space="preserve"> Versus Insulin Pump Therapy for the Treatment of Type 1 and Type 2 Diabetes’, </w:t>
      </w:r>
      <w:r w:rsidRPr="003E1F05">
        <w:rPr>
          <w:rFonts w:eastAsia="Calibri"/>
          <w:i/>
          <w:sz w:val="20"/>
          <w:szCs w:val="20"/>
          <w:lang w:eastAsia="en-AU"/>
        </w:rPr>
        <w:t>Diabetes Care</w:t>
      </w:r>
      <w:r w:rsidRPr="003E1F05">
        <w:rPr>
          <w:rFonts w:eastAsia="Calibri"/>
          <w:sz w:val="20"/>
          <w:szCs w:val="20"/>
          <w:lang w:eastAsia="en-AU"/>
        </w:rPr>
        <w:t>, Vol. 31, Suppl. 2, pp. S140–S145.</w:t>
      </w:r>
    </w:p>
    <w:p w:rsidR="005B7A4B" w:rsidRPr="003E1F05" w:rsidRDefault="005B7A4B" w:rsidP="005B7A4B">
      <w:pPr>
        <w:jc w:val="left"/>
        <w:rPr>
          <w:rFonts w:eastAsia="Calibri"/>
          <w:sz w:val="20"/>
          <w:szCs w:val="20"/>
          <w:lang w:eastAsia="en-AU"/>
        </w:rPr>
      </w:pPr>
      <w:r w:rsidRPr="003E1F05">
        <w:rPr>
          <w:rFonts w:eastAsia="Calibri"/>
          <w:sz w:val="20"/>
          <w:szCs w:val="20"/>
          <w:lang w:eastAsia="en-AU"/>
        </w:rPr>
        <w:t>Private Health Insurance Ombudsman, 2014, ‘</w:t>
      </w:r>
      <w:hyperlink r:id="rId58" w:history="1">
        <w:r w:rsidRPr="003E1F05">
          <w:rPr>
            <w:rStyle w:val="Hyperlink"/>
            <w:rFonts w:eastAsia="Calibri"/>
            <w:color w:val="auto"/>
            <w:sz w:val="20"/>
            <w:szCs w:val="20"/>
            <w:lang w:eastAsia="en-AU"/>
          </w:rPr>
          <w:t>Compare private health insurance policies’</w:t>
        </w:r>
      </w:hyperlink>
      <w:r w:rsidRPr="003E1F05">
        <w:rPr>
          <w:rFonts w:eastAsia="Calibri"/>
          <w:sz w:val="20"/>
          <w:szCs w:val="20"/>
          <w:lang w:eastAsia="en-AU"/>
        </w:rPr>
        <w:t xml:space="preserve"> website.</w:t>
      </w:r>
    </w:p>
    <w:p w:rsidR="005B7A4B" w:rsidRPr="003E1F05" w:rsidRDefault="005B7A4B" w:rsidP="005B7A4B">
      <w:pPr>
        <w:spacing w:line="240" w:lineRule="auto"/>
        <w:rPr>
          <w:rFonts w:cs="Calibri"/>
          <w:noProof/>
          <w:sz w:val="20"/>
          <w:szCs w:val="20"/>
        </w:rPr>
      </w:pPr>
      <w:bookmarkStart w:id="257" w:name="_ENREF_33"/>
      <w:r w:rsidRPr="003E1F05">
        <w:rPr>
          <w:rFonts w:cs="Calibri"/>
          <w:noProof/>
          <w:sz w:val="20"/>
          <w:szCs w:val="20"/>
        </w:rPr>
        <w:t xml:space="preserve">Rabbone I, Scaramuzza A, </w:t>
      </w:r>
      <w:r w:rsidRPr="003E1F05">
        <w:rPr>
          <w:rFonts w:cs="Calibri"/>
          <w:i/>
          <w:noProof/>
          <w:sz w:val="20"/>
          <w:szCs w:val="20"/>
        </w:rPr>
        <w:t>et al.</w:t>
      </w:r>
      <w:r w:rsidRPr="003E1F05">
        <w:rPr>
          <w:rFonts w:cs="Calibri"/>
          <w:noProof/>
          <w:sz w:val="20"/>
          <w:szCs w:val="20"/>
        </w:rPr>
        <w:t xml:space="preserve"> 2009, ‘Insulin Pump Therapy Management in Very Young Children with Type 1 Diabetes Using Continuous Subcutaneous Insulin Infusion’, </w:t>
      </w:r>
      <w:r w:rsidRPr="003E1F05">
        <w:rPr>
          <w:rFonts w:cs="Calibri"/>
          <w:i/>
          <w:noProof/>
          <w:sz w:val="20"/>
          <w:szCs w:val="20"/>
        </w:rPr>
        <w:t>Diabetes Technology &amp; Therapeutics</w:t>
      </w:r>
      <w:r w:rsidRPr="003E1F05">
        <w:rPr>
          <w:rFonts w:cs="Calibri"/>
          <w:noProof/>
          <w:sz w:val="20"/>
          <w:szCs w:val="20"/>
        </w:rPr>
        <w:t>, Vol. 11, No. 11, pp. 707-709.</w:t>
      </w:r>
      <w:bookmarkEnd w:id="257"/>
    </w:p>
    <w:p w:rsidR="005B7A4B" w:rsidRPr="003E1F05" w:rsidRDefault="005B7A4B" w:rsidP="005B7A4B">
      <w:pPr>
        <w:jc w:val="left"/>
        <w:rPr>
          <w:sz w:val="20"/>
          <w:szCs w:val="20"/>
        </w:rPr>
      </w:pPr>
      <w:proofErr w:type="spellStart"/>
      <w:r w:rsidRPr="003E1F05">
        <w:rPr>
          <w:sz w:val="20"/>
          <w:szCs w:val="20"/>
        </w:rPr>
        <w:t>Retnakaran</w:t>
      </w:r>
      <w:proofErr w:type="spellEnd"/>
      <w:r w:rsidRPr="003E1F05">
        <w:rPr>
          <w:sz w:val="20"/>
          <w:szCs w:val="20"/>
        </w:rPr>
        <w:t xml:space="preserve"> R, </w:t>
      </w:r>
      <w:proofErr w:type="spellStart"/>
      <w:r w:rsidRPr="003E1F05">
        <w:rPr>
          <w:sz w:val="20"/>
          <w:szCs w:val="20"/>
        </w:rPr>
        <w:t>DeVries</w:t>
      </w:r>
      <w:proofErr w:type="spellEnd"/>
      <w:r w:rsidRPr="003E1F05">
        <w:rPr>
          <w:sz w:val="20"/>
          <w:szCs w:val="20"/>
        </w:rPr>
        <w:t xml:space="preserve"> JH, </w:t>
      </w:r>
      <w:proofErr w:type="spellStart"/>
      <w:r w:rsidRPr="003E1F05">
        <w:rPr>
          <w:sz w:val="20"/>
          <w:szCs w:val="20"/>
        </w:rPr>
        <w:t>Hanaire-Broutin</w:t>
      </w:r>
      <w:proofErr w:type="spellEnd"/>
      <w:r w:rsidRPr="003E1F05">
        <w:rPr>
          <w:sz w:val="20"/>
          <w:szCs w:val="20"/>
        </w:rPr>
        <w:t xml:space="preserve"> H, Heine RJ, </w:t>
      </w:r>
      <w:proofErr w:type="spellStart"/>
      <w:r w:rsidRPr="003E1F05">
        <w:rPr>
          <w:sz w:val="20"/>
          <w:szCs w:val="20"/>
        </w:rPr>
        <w:t>Melki</w:t>
      </w:r>
      <w:proofErr w:type="spellEnd"/>
      <w:r w:rsidRPr="003E1F05">
        <w:rPr>
          <w:sz w:val="20"/>
          <w:szCs w:val="20"/>
        </w:rPr>
        <w:t xml:space="preserve"> V &amp; </w:t>
      </w:r>
      <w:proofErr w:type="spellStart"/>
      <w:r w:rsidRPr="003E1F05">
        <w:rPr>
          <w:sz w:val="20"/>
          <w:szCs w:val="20"/>
        </w:rPr>
        <w:t>Zinman</w:t>
      </w:r>
      <w:proofErr w:type="spellEnd"/>
      <w:r w:rsidRPr="003E1F05">
        <w:rPr>
          <w:sz w:val="20"/>
          <w:szCs w:val="20"/>
        </w:rPr>
        <w:t xml:space="preserve"> B, 2005, ‘Continuous Subcutaneous Insulin Infusion Versus Multiple Daily Injections: Modelling predicted benefits in relationship to baseline A</w:t>
      </w:r>
      <w:r w:rsidRPr="003E1F05">
        <w:rPr>
          <w:sz w:val="20"/>
          <w:szCs w:val="20"/>
          <w:vertAlign w:val="subscript"/>
        </w:rPr>
        <w:t>1c</w:t>
      </w:r>
      <w:r w:rsidRPr="003E1F05">
        <w:rPr>
          <w:sz w:val="20"/>
          <w:szCs w:val="20"/>
        </w:rPr>
        <w:t xml:space="preserve">’. </w:t>
      </w:r>
      <w:proofErr w:type="gramStart"/>
      <w:r w:rsidRPr="003E1F05">
        <w:rPr>
          <w:i/>
          <w:sz w:val="20"/>
          <w:szCs w:val="20"/>
        </w:rPr>
        <w:t>Diabetes Care</w:t>
      </w:r>
      <w:r w:rsidRPr="003E1F05">
        <w:rPr>
          <w:sz w:val="20"/>
          <w:szCs w:val="20"/>
        </w:rPr>
        <w:t>, Vol. 28, No. 7, pp. 1835</w:t>
      </w:r>
      <w:r w:rsidRPr="003E1F05">
        <w:rPr>
          <w:sz w:val="20"/>
          <w:szCs w:val="20"/>
        </w:rPr>
        <w:noBreakHyphen/>
        <w:t>6.</w:t>
      </w:r>
      <w:proofErr w:type="gramEnd"/>
    </w:p>
    <w:p w:rsidR="005B7A4B" w:rsidRPr="003E1F05" w:rsidRDefault="005B7A4B" w:rsidP="005B7A4B">
      <w:pPr>
        <w:jc w:val="left"/>
        <w:rPr>
          <w:sz w:val="20"/>
          <w:szCs w:val="20"/>
        </w:rPr>
      </w:pPr>
      <w:proofErr w:type="spellStart"/>
      <w:r w:rsidRPr="003E1F05">
        <w:rPr>
          <w:sz w:val="20"/>
          <w:szCs w:val="20"/>
        </w:rPr>
        <w:t>Saudek</w:t>
      </w:r>
      <w:proofErr w:type="spellEnd"/>
      <w:r w:rsidRPr="003E1F05">
        <w:rPr>
          <w:sz w:val="20"/>
          <w:szCs w:val="20"/>
        </w:rPr>
        <w:t xml:space="preserve"> CD &amp; Brick JC, 2009, ‘The clinical use of haemoglobin A1c’, </w:t>
      </w:r>
      <w:r w:rsidRPr="003E1F05">
        <w:rPr>
          <w:i/>
          <w:sz w:val="20"/>
          <w:szCs w:val="20"/>
        </w:rPr>
        <w:t>Journal of Diabetes Science and Technology</w:t>
      </w:r>
      <w:r w:rsidRPr="003E1F05">
        <w:rPr>
          <w:sz w:val="20"/>
          <w:szCs w:val="20"/>
        </w:rPr>
        <w:t>, Vol. 3, No. 2, pp. 629-34.</w:t>
      </w:r>
    </w:p>
    <w:p w:rsidR="005B7A4B" w:rsidRPr="003E1F05" w:rsidRDefault="005B7A4B" w:rsidP="005B7A4B">
      <w:pPr>
        <w:rPr>
          <w:sz w:val="20"/>
          <w:szCs w:val="20"/>
          <w:lang w:eastAsia="en-AU"/>
        </w:rPr>
      </w:pPr>
      <w:r w:rsidRPr="003E1F05">
        <w:rPr>
          <w:sz w:val="20"/>
          <w:szCs w:val="20"/>
          <w:lang w:eastAsia="en-AU"/>
        </w:rPr>
        <w:t xml:space="preserve">Schwartz FL, Denham S, </w:t>
      </w:r>
      <w:r w:rsidRPr="003E1F05">
        <w:rPr>
          <w:i/>
          <w:sz w:val="20"/>
          <w:szCs w:val="20"/>
          <w:lang w:eastAsia="en-AU"/>
        </w:rPr>
        <w:t>et al.</w:t>
      </w:r>
      <w:r w:rsidRPr="003E1F05">
        <w:rPr>
          <w:sz w:val="20"/>
          <w:szCs w:val="20"/>
          <w:lang w:eastAsia="en-AU"/>
        </w:rPr>
        <w:t xml:space="preserve"> 2010, Lifestyle and behaviour. Experiences of Children and Adolescents with Type 1 Diabetes in School: Survey of Children, Parents and Schools, </w:t>
      </w:r>
      <w:r w:rsidRPr="003E1F05">
        <w:rPr>
          <w:i/>
          <w:sz w:val="20"/>
          <w:szCs w:val="20"/>
          <w:lang w:eastAsia="en-AU"/>
        </w:rPr>
        <w:t>Diabetes Spectrum</w:t>
      </w:r>
      <w:r w:rsidRPr="003E1F05">
        <w:rPr>
          <w:sz w:val="20"/>
          <w:szCs w:val="20"/>
          <w:lang w:eastAsia="en-AU"/>
        </w:rPr>
        <w:t>, Vol. 23, pp. 47-55.</w:t>
      </w:r>
    </w:p>
    <w:p w:rsidR="005B7A4B" w:rsidRPr="003E1F05" w:rsidRDefault="005B7A4B" w:rsidP="005B7A4B">
      <w:pPr>
        <w:jc w:val="left"/>
        <w:rPr>
          <w:sz w:val="20"/>
          <w:szCs w:val="20"/>
        </w:rPr>
      </w:pPr>
      <w:proofErr w:type="gramStart"/>
      <w:r w:rsidRPr="003E1F05">
        <w:rPr>
          <w:sz w:val="20"/>
          <w:szCs w:val="20"/>
        </w:rPr>
        <w:t xml:space="preserve">Scottish Intercollegiate Guidelines Network (SIGN), 2010, </w:t>
      </w:r>
      <w:hyperlink r:id="rId59" w:history="1">
        <w:r w:rsidRPr="003E1F05">
          <w:rPr>
            <w:rStyle w:val="Hyperlink"/>
            <w:i/>
            <w:color w:val="auto"/>
            <w:sz w:val="20"/>
            <w:szCs w:val="20"/>
          </w:rPr>
          <w:t>Management of diabetes.</w:t>
        </w:r>
        <w:proofErr w:type="gramEnd"/>
        <w:r w:rsidRPr="003E1F05">
          <w:rPr>
            <w:rStyle w:val="Hyperlink"/>
            <w:i/>
            <w:color w:val="auto"/>
            <w:sz w:val="20"/>
            <w:szCs w:val="20"/>
          </w:rPr>
          <w:t xml:space="preserve"> </w:t>
        </w:r>
        <w:proofErr w:type="gramStart"/>
        <w:r w:rsidRPr="003E1F05">
          <w:rPr>
            <w:rStyle w:val="Hyperlink"/>
            <w:i/>
            <w:color w:val="auto"/>
            <w:sz w:val="20"/>
            <w:szCs w:val="20"/>
          </w:rPr>
          <w:t>A national clinical guideline</w:t>
        </w:r>
      </w:hyperlink>
      <w:r w:rsidRPr="003E1F05">
        <w:rPr>
          <w:sz w:val="20"/>
          <w:szCs w:val="20"/>
        </w:rPr>
        <w:t>, Edinburgh.</w:t>
      </w:r>
      <w:proofErr w:type="gramEnd"/>
      <w:r w:rsidRPr="003E1F05">
        <w:rPr>
          <w:sz w:val="20"/>
          <w:szCs w:val="20"/>
        </w:rPr>
        <w:t xml:space="preserve"> </w:t>
      </w:r>
    </w:p>
    <w:p w:rsidR="005B7A4B" w:rsidRPr="003E1F05" w:rsidRDefault="005B7A4B" w:rsidP="005B7A4B">
      <w:pPr>
        <w:jc w:val="left"/>
        <w:rPr>
          <w:rFonts w:eastAsia="Calibri"/>
          <w:sz w:val="20"/>
          <w:szCs w:val="20"/>
          <w:lang w:eastAsia="en-AU"/>
        </w:rPr>
      </w:pPr>
      <w:proofErr w:type="spellStart"/>
      <w:r w:rsidRPr="003E1F05">
        <w:rPr>
          <w:rFonts w:eastAsia="Calibri"/>
          <w:sz w:val="20"/>
          <w:szCs w:val="20"/>
          <w:lang w:eastAsia="en-AU"/>
        </w:rPr>
        <w:t>Scuffham</w:t>
      </w:r>
      <w:proofErr w:type="spellEnd"/>
      <w:r w:rsidRPr="003E1F05">
        <w:rPr>
          <w:rFonts w:eastAsia="Calibri"/>
          <w:sz w:val="20"/>
          <w:szCs w:val="20"/>
          <w:lang w:eastAsia="en-AU"/>
        </w:rPr>
        <w:t xml:space="preserve"> P &amp; Carr L, 2003, ‘The cost-effectiveness of continuous subcutaneous insulin infusion compared with multiple daily injection for the management of diabetes’, </w:t>
      </w:r>
      <w:r w:rsidRPr="003E1F05">
        <w:rPr>
          <w:rFonts w:eastAsia="Calibri"/>
          <w:i/>
          <w:sz w:val="20"/>
          <w:szCs w:val="20"/>
          <w:lang w:eastAsia="en-AU"/>
        </w:rPr>
        <w:t>Diabetic Medicine</w:t>
      </w:r>
      <w:r w:rsidRPr="003E1F05">
        <w:rPr>
          <w:rFonts w:eastAsia="Calibri"/>
          <w:sz w:val="20"/>
          <w:szCs w:val="20"/>
          <w:lang w:eastAsia="en-AU"/>
        </w:rPr>
        <w:t>, Vol. 20, No. 7, pp. 586-93.</w:t>
      </w:r>
    </w:p>
    <w:p w:rsidR="005B7A4B" w:rsidRPr="003E1F05" w:rsidRDefault="005B7A4B" w:rsidP="005B7A4B">
      <w:pPr>
        <w:jc w:val="left"/>
        <w:rPr>
          <w:rFonts w:eastAsia="Calibri"/>
          <w:sz w:val="20"/>
          <w:szCs w:val="20"/>
          <w:lang w:eastAsia="en-AU"/>
        </w:rPr>
      </w:pPr>
      <w:proofErr w:type="spellStart"/>
      <w:r w:rsidRPr="003E1F05">
        <w:rPr>
          <w:rFonts w:eastAsia="Calibri"/>
          <w:sz w:val="20"/>
          <w:szCs w:val="20"/>
          <w:lang w:eastAsia="en-AU"/>
        </w:rPr>
        <w:t>Senniappan</w:t>
      </w:r>
      <w:proofErr w:type="spellEnd"/>
      <w:r w:rsidRPr="003E1F05">
        <w:rPr>
          <w:rFonts w:eastAsia="Calibri"/>
          <w:sz w:val="20"/>
          <w:szCs w:val="20"/>
          <w:lang w:eastAsia="en-AU"/>
        </w:rPr>
        <w:t xml:space="preserve"> SP, Hine W, </w:t>
      </w:r>
      <w:r w:rsidRPr="003E1F05">
        <w:rPr>
          <w:rFonts w:eastAsia="Calibri"/>
          <w:i/>
          <w:sz w:val="20"/>
          <w:szCs w:val="20"/>
          <w:lang w:eastAsia="en-AU"/>
        </w:rPr>
        <w:t>et al.</w:t>
      </w:r>
      <w:r w:rsidRPr="003E1F05">
        <w:rPr>
          <w:rFonts w:eastAsia="Calibri"/>
          <w:sz w:val="20"/>
          <w:szCs w:val="20"/>
          <w:lang w:eastAsia="en-AU"/>
        </w:rPr>
        <w:t xml:space="preserve"> 2012, ‘</w:t>
      </w:r>
      <w:proofErr w:type="gramStart"/>
      <w:r w:rsidRPr="003E1F05">
        <w:rPr>
          <w:rFonts w:eastAsia="Calibri"/>
          <w:sz w:val="20"/>
          <w:szCs w:val="20"/>
          <w:lang w:eastAsia="en-AU"/>
        </w:rPr>
        <w:t>The</w:t>
      </w:r>
      <w:proofErr w:type="gramEnd"/>
      <w:r w:rsidRPr="003E1F05">
        <w:rPr>
          <w:rFonts w:eastAsia="Calibri"/>
          <w:sz w:val="20"/>
          <w:szCs w:val="20"/>
          <w:lang w:eastAsia="en-AU"/>
        </w:rPr>
        <w:t xml:space="preserve"> effect of socioeconomic deprivation on efficacy of continuous subcutaneous insulin infusion: a retrospective paediatric case-controlled study’, </w:t>
      </w:r>
      <w:r w:rsidRPr="003E1F05">
        <w:rPr>
          <w:rFonts w:eastAsia="Calibri"/>
          <w:i/>
          <w:sz w:val="20"/>
          <w:szCs w:val="20"/>
          <w:lang w:eastAsia="en-AU"/>
        </w:rPr>
        <w:t xml:space="preserve">European Journal of </w:t>
      </w:r>
      <w:proofErr w:type="spellStart"/>
      <w:r w:rsidRPr="003E1F05">
        <w:rPr>
          <w:rFonts w:eastAsia="Calibri"/>
          <w:i/>
          <w:sz w:val="20"/>
          <w:szCs w:val="20"/>
          <w:lang w:eastAsia="en-AU"/>
        </w:rPr>
        <w:t>Pediatrics</w:t>
      </w:r>
      <w:proofErr w:type="spellEnd"/>
      <w:r w:rsidRPr="003E1F05">
        <w:rPr>
          <w:rFonts w:eastAsia="Calibri"/>
          <w:sz w:val="20"/>
          <w:szCs w:val="20"/>
          <w:lang w:eastAsia="en-AU"/>
        </w:rPr>
        <w:t>, Vol. 171, No. 1, pp. 59-65.</w:t>
      </w:r>
    </w:p>
    <w:p w:rsidR="005B7A4B" w:rsidRPr="003E1F05" w:rsidRDefault="005B7A4B" w:rsidP="005B7A4B">
      <w:pPr>
        <w:jc w:val="left"/>
        <w:rPr>
          <w:rFonts w:eastAsia="Calibri"/>
          <w:sz w:val="20"/>
          <w:szCs w:val="20"/>
          <w:lang w:eastAsia="en-AU"/>
        </w:rPr>
      </w:pPr>
      <w:proofErr w:type="spellStart"/>
      <w:proofErr w:type="gramStart"/>
      <w:r w:rsidRPr="003E1F05">
        <w:rPr>
          <w:rFonts w:eastAsia="Calibri"/>
          <w:sz w:val="20"/>
          <w:szCs w:val="20"/>
          <w:lang w:eastAsia="en-AU"/>
        </w:rPr>
        <w:t>Shalitin</w:t>
      </w:r>
      <w:proofErr w:type="spellEnd"/>
      <w:r w:rsidRPr="003E1F05">
        <w:rPr>
          <w:rFonts w:eastAsia="Calibri"/>
          <w:sz w:val="20"/>
          <w:szCs w:val="20"/>
          <w:lang w:eastAsia="en-AU"/>
        </w:rPr>
        <w:t xml:space="preserve"> S &amp; Phillip M, 2008, ‘The use of insulin pump therapy in the </w:t>
      </w:r>
      <w:proofErr w:type="spellStart"/>
      <w:r w:rsidRPr="003E1F05">
        <w:rPr>
          <w:rFonts w:eastAsia="Calibri"/>
          <w:sz w:val="20"/>
          <w:szCs w:val="20"/>
          <w:lang w:eastAsia="en-AU"/>
        </w:rPr>
        <w:t>pediatric</w:t>
      </w:r>
      <w:proofErr w:type="spellEnd"/>
      <w:r w:rsidRPr="003E1F05">
        <w:rPr>
          <w:rFonts w:eastAsia="Calibri"/>
          <w:sz w:val="20"/>
          <w:szCs w:val="20"/>
          <w:lang w:eastAsia="en-AU"/>
        </w:rPr>
        <w:t xml:space="preserve"> age group’, </w:t>
      </w:r>
      <w:r w:rsidRPr="003E1F05">
        <w:rPr>
          <w:rFonts w:eastAsia="Calibri"/>
          <w:i/>
          <w:sz w:val="20"/>
          <w:szCs w:val="20"/>
          <w:lang w:eastAsia="en-AU"/>
        </w:rPr>
        <w:t>Hormone Research</w:t>
      </w:r>
      <w:r w:rsidRPr="003E1F05">
        <w:rPr>
          <w:rFonts w:eastAsia="Calibri"/>
          <w:sz w:val="20"/>
          <w:szCs w:val="20"/>
          <w:lang w:eastAsia="en-AU"/>
        </w:rPr>
        <w:t>, Vol. 70, pp. 14-21.</w:t>
      </w:r>
      <w:proofErr w:type="gramEnd"/>
    </w:p>
    <w:p w:rsidR="005B7A4B" w:rsidRPr="003E1F05" w:rsidRDefault="005B7A4B" w:rsidP="005B7A4B">
      <w:pPr>
        <w:spacing w:line="240" w:lineRule="auto"/>
        <w:rPr>
          <w:rFonts w:cs="Calibri"/>
          <w:noProof/>
          <w:sz w:val="20"/>
          <w:szCs w:val="20"/>
        </w:rPr>
      </w:pPr>
      <w:bookmarkStart w:id="258" w:name="_ENREF_36"/>
      <w:r w:rsidRPr="003E1F05">
        <w:rPr>
          <w:rFonts w:cs="Calibri"/>
          <w:noProof/>
          <w:sz w:val="20"/>
          <w:szCs w:val="20"/>
        </w:rPr>
        <w:lastRenderedPageBreak/>
        <w:t xml:space="preserve">Shalitin S, Gil M, </w:t>
      </w:r>
      <w:r w:rsidRPr="003E1F05">
        <w:rPr>
          <w:rFonts w:cs="Calibri"/>
          <w:i/>
          <w:noProof/>
          <w:sz w:val="20"/>
          <w:szCs w:val="20"/>
        </w:rPr>
        <w:t>et al.</w:t>
      </w:r>
      <w:r w:rsidRPr="003E1F05">
        <w:rPr>
          <w:rFonts w:cs="Calibri"/>
          <w:noProof/>
          <w:sz w:val="20"/>
          <w:szCs w:val="20"/>
        </w:rPr>
        <w:t xml:space="preserve"> 2010, ‘Predictors of glycaemic control in patients with Type 1 diabetes commencing continuous subcutaneous insulin infusion therapy’, </w:t>
      </w:r>
      <w:r w:rsidRPr="003E1F05">
        <w:rPr>
          <w:rFonts w:cs="Calibri"/>
          <w:i/>
          <w:noProof/>
          <w:sz w:val="20"/>
          <w:szCs w:val="20"/>
        </w:rPr>
        <w:t>Diabetic Medicine</w:t>
      </w:r>
      <w:r w:rsidRPr="003E1F05">
        <w:rPr>
          <w:rFonts w:cs="Calibri"/>
          <w:noProof/>
          <w:sz w:val="20"/>
          <w:szCs w:val="20"/>
        </w:rPr>
        <w:t>, Vol. 27, No. 3, pp. 339-347.</w:t>
      </w:r>
      <w:bookmarkEnd w:id="258"/>
    </w:p>
    <w:p w:rsidR="005B7A4B" w:rsidRPr="003E1F05" w:rsidRDefault="005B7A4B" w:rsidP="005B7A4B">
      <w:pPr>
        <w:jc w:val="left"/>
        <w:rPr>
          <w:rFonts w:eastAsia="Calibri" w:cs="Book Antiqua"/>
          <w:sz w:val="20"/>
          <w:szCs w:val="20"/>
          <w:lang w:eastAsia="en-AU"/>
        </w:rPr>
      </w:pPr>
      <w:proofErr w:type="gramStart"/>
      <w:r w:rsidRPr="003E1F05">
        <w:rPr>
          <w:rFonts w:eastAsia="Calibri" w:cs="Book Antiqua"/>
          <w:sz w:val="20"/>
          <w:szCs w:val="20"/>
          <w:lang w:eastAsia="en-AU"/>
        </w:rPr>
        <w:t xml:space="preserve">Shaw JE &amp; Chisholm DJ, 2003, ‘1: Epidemiology and prevention of type 2 diabetes and the metabolic syndrome’, </w:t>
      </w:r>
      <w:r w:rsidRPr="003E1F05">
        <w:rPr>
          <w:rFonts w:eastAsia="Calibri" w:cs="Book Antiqua"/>
          <w:i/>
          <w:sz w:val="20"/>
          <w:szCs w:val="20"/>
          <w:lang w:eastAsia="en-AU"/>
        </w:rPr>
        <w:t>Medical Journal of Australia</w:t>
      </w:r>
      <w:r w:rsidRPr="003E1F05">
        <w:rPr>
          <w:rFonts w:eastAsia="Calibri" w:cs="Book Antiqua"/>
          <w:sz w:val="20"/>
          <w:szCs w:val="20"/>
          <w:lang w:eastAsia="en-AU"/>
        </w:rPr>
        <w:t>, Vol. 179, No. 7, pp. 379-383.</w:t>
      </w:r>
      <w:proofErr w:type="gramEnd"/>
    </w:p>
    <w:p w:rsidR="005B7A4B" w:rsidRPr="003E1F05" w:rsidRDefault="005B7A4B" w:rsidP="005B7A4B">
      <w:pPr>
        <w:jc w:val="left"/>
        <w:rPr>
          <w:sz w:val="20"/>
          <w:szCs w:val="20"/>
        </w:rPr>
      </w:pPr>
      <w:r w:rsidRPr="003E1F05">
        <w:rPr>
          <w:sz w:val="20"/>
          <w:szCs w:val="20"/>
        </w:rPr>
        <w:t xml:space="preserve">St Charles ME, Sadri H, </w:t>
      </w:r>
      <w:proofErr w:type="spellStart"/>
      <w:r w:rsidRPr="003E1F05">
        <w:rPr>
          <w:sz w:val="20"/>
          <w:szCs w:val="20"/>
        </w:rPr>
        <w:t>Minshall</w:t>
      </w:r>
      <w:proofErr w:type="spellEnd"/>
      <w:r w:rsidRPr="003E1F05">
        <w:rPr>
          <w:sz w:val="20"/>
          <w:szCs w:val="20"/>
        </w:rPr>
        <w:t xml:space="preserve"> ME &amp; Tunis SL, 2009, ‘Health economic comparison between continuous subcutaneous insulin infusion and multiple daily injections of insulin for the treatment of adult type 1 diabetes in Canada’, </w:t>
      </w:r>
      <w:r w:rsidRPr="003E1F05">
        <w:rPr>
          <w:i/>
          <w:sz w:val="20"/>
          <w:szCs w:val="20"/>
        </w:rPr>
        <w:t>Clinical therapeutics</w:t>
      </w:r>
      <w:r w:rsidRPr="003E1F05">
        <w:rPr>
          <w:sz w:val="20"/>
          <w:szCs w:val="20"/>
        </w:rPr>
        <w:t>, Vol. 31, No. 3, pp. 657-67.</w:t>
      </w:r>
    </w:p>
    <w:p w:rsidR="005B7A4B" w:rsidRPr="003E1F05" w:rsidRDefault="005B7A4B" w:rsidP="005B7A4B">
      <w:pPr>
        <w:jc w:val="left"/>
        <w:rPr>
          <w:sz w:val="20"/>
          <w:szCs w:val="20"/>
        </w:rPr>
      </w:pPr>
      <w:r w:rsidRPr="003E1F05">
        <w:rPr>
          <w:sz w:val="20"/>
          <w:szCs w:val="20"/>
        </w:rPr>
        <w:t>St-</w:t>
      </w:r>
      <w:proofErr w:type="spellStart"/>
      <w:r w:rsidRPr="003E1F05">
        <w:rPr>
          <w:sz w:val="20"/>
          <w:szCs w:val="20"/>
        </w:rPr>
        <w:t>Hilaire</w:t>
      </w:r>
      <w:proofErr w:type="spellEnd"/>
      <w:r w:rsidRPr="003E1F05">
        <w:rPr>
          <w:sz w:val="20"/>
          <w:szCs w:val="20"/>
        </w:rPr>
        <w:t xml:space="preserve"> C &amp; </w:t>
      </w:r>
      <w:proofErr w:type="spellStart"/>
      <w:r w:rsidRPr="003E1F05">
        <w:rPr>
          <w:sz w:val="20"/>
          <w:szCs w:val="20"/>
        </w:rPr>
        <w:t>Côté</w:t>
      </w:r>
      <w:proofErr w:type="spellEnd"/>
      <w:r w:rsidRPr="003E1F05">
        <w:rPr>
          <w:sz w:val="20"/>
          <w:szCs w:val="20"/>
        </w:rPr>
        <w:t xml:space="preserve"> B, 2005, </w:t>
      </w:r>
      <w:proofErr w:type="spellStart"/>
      <w:r w:rsidRPr="003E1F05">
        <w:rPr>
          <w:sz w:val="20"/>
          <w:szCs w:val="20"/>
        </w:rPr>
        <w:t>Agence</w:t>
      </w:r>
      <w:proofErr w:type="spellEnd"/>
      <w:r w:rsidRPr="003E1F05">
        <w:rPr>
          <w:sz w:val="20"/>
          <w:szCs w:val="20"/>
        </w:rPr>
        <w:t xml:space="preserve"> </w:t>
      </w:r>
      <w:proofErr w:type="spellStart"/>
      <w:r w:rsidRPr="003E1F05">
        <w:rPr>
          <w:sz w:val="20"/>
          <w:szCs w:val="20"/>
        </w:rPr>
        <w:t>d'évaluation</w:t>
      </w:r>
      <w:proofErr w:type="spellEnd"/>
      <w:r w:rsidRPr="003E1F05">
        <w:rPr>
          <w:sz w:val="20"/>
          <w:szCs w:val="20"/>
        </w:rPr>
        <w:t xml:space="preserve"> des technologies </w:t>
      </w:r>
      <w:proofErr w:type="gramStart"/>
      <w:r w:rsidRPr="003E1F05">
        <w:rPr>
          <w:sz w:val="20"/>
          <w:szCs w:val="20"/>
        </w:rPr>
        <w:t>et</w:t>
      </w:r>
      <w:proofErr w:type="gramEnd"/>
      <w:r w:rsidRPr="003E1F05">
        <w:rPr>
          <w:sz w:val="20"/>
          <w:szCs w:val="20"/>
        </w:rPr>
        <w:t xml:space="preserve"> des modes </w:t>
      </w:r>
      <w:proofErr w:type="spellStart"/>
      <w:r w:rsidRPr="003E1F05">
        <w:rPr>
          <w:sz w:val="20"/>
          <w:szCs w:val="20"/>
        </w:rPr>
        <w:t>d'intervention</w:t>
      </w:r>
      <w:proofErr w:type="spellEnd"/>
      <w:r w:rsidRPr="003E1F05">
        <w:rPr>
          <w:sz w:val="20"/>
          <w:szCs w:val="20"/>
        </w:rPr>
        <w:t xml:space="preserve"> en santé, </w:t>
      </w:r>
      <w:r w:rsidRPr="003E1F05">
        <w:rPr>
          <w:i/>
          <w:sz w:val="20"/>
          <w:szCs w:val="20"/>
        </w:rPr>
        <w:t>‘</w:t>
      </w:r>
      <w:r w:rsidRPr="003E1F05">
        <w:rPr>
          <w:i/>
          <w:iCs/>
          <w:sz w:val="20"/>
          <w:szCs w:val="20"/>
        </w:rPr>
        <w:t xml:space="preserve">Comparison of the insulin pump and multiple daily insulin injections in intensive therapy for type 1 </w:t>
      </w:r>
      <w:proofErr w:type="spellStart"/>
      <w:r w:rsidRPr="003E1F05">
        <w:rPr>
          <w:i/>
          <w:iCs/>
          <w:sz w:val="20"/>
          <w:szCs w:val="20"/>
        </w:rPr>
        <w:t>diabetesI</w:t>
      </w:r>
      <w:proofErr w:type="spellEnd"/>
      <w:r w:rsidRPr="003E1F05">
        <w:rPr>
          <w:i/>
          <w:iCs/>
          <w:sz w:val="20"/>
          <w:szCs w:val="20"/>
        </w:rPr>
        <w:t>’</w:t>
      </w:r>
      <w:r w:rsidRPr="003E1F05">
        <w:rPr>
          <w:i/>
          <w:sz w:val="20"/>
          <w:szCs w:val="20"/>
        </w:rPr>
        <w:t>,</w:t>
      </w:r>
      <w:r w:rsidRPr="003E1F05">
        <w:rPr>
          <w:sz w:val="20"/>
          <w:szCs w:val="20"/>
        </w:rPr>
        <w:t xml:space="preserve"> [Montréal]: </w:t>
      </w:r>
      <w:proofErr w:type="spellStart"/>
      <w:r w:rsidRPr="003E1F05">
        <w:rPr>
          <w:sz w:val="20"/>
          <w:szCs w:val="20"/>
        </w:rPr>
        <w:t>Agence</w:t>
      </w:r>
      <w:proofErr w:type="spellEnd"/>
      <w:r w:rsidRPr="003E1F05">
        <w:rPr>
          <w:sz w:val="20"/>
          <w:szCs w:val="20"/>
        </w:rPr>
        <w:t xml:space="preserve"> </w:t>
      </w:r>
      <w:proofErr w:type="spellStart"/>
      <w:r w:rsidRPr="003E1F05">
        <w:rPr>
          <w:sz w:val="20"/>
          <w:szCs w:val="20"/>
        </w:rPr>
        <w:t>d'évaluation</w:t>
      </w:r>
      <w:proofErr w:type="spellEnd"/>
      <w:r w:rsidRPr="003E1F05">
        <w:rPr>
          <w:sz w:val="20"/>
          <w:szCs w:val="20"/>
        </w:rPr>
        <w:t xml:space="preserve"> des technologies et des modes </w:t>
      </w:r>
      <w:proofErr w:type="spellStart"/>
      <w:r w:rsidRPr="003E1F05">
        <w:rPr>
          <w:sz w:val="20"/>
          <w:szCs w:val="20"/>
        </w:rPr>
        <w:t>d'intervention</w:t>
      </w:r>
      <w:proofErr w:type="spellEnd"/>
      <w:r w:rsidRPr="003E1F05">
        <w:rPr>
          <w:sz w:val="20"/>
          <w:szCs w:val="20"/>
        </w:rPr>
        <w:t xml:space="preserve"> en santé.</w:t>
      </w:r>
    </w:p>
    <w:p w:rsidR="005B7A4B" w:rsidRPr="003E1F05" w:rsidRDefault="005B7A4B" w:rsidP="005B7A4B">
      <w:pPr>
        <w:jc w:val="left"/>
        <w:rPr>
          <w:sz w:val="20"/>
          <w:szCs w:val="20"/>
        </w:rPr>
      </w:pPr>
      <w:proofErr w:type="spellStart"/>
      <w:proofErr w:type="gramStart"/>
      <w:r w:rsidRPr="003E1F05">
        <w:rPr>
          <w:sz w:val="20"/>
          <w:szCs w:val="20"/>
        </w:rPr>
        <w:t>Tamborlane</w:t>
      </w:r>
      <w:proofErr w:type="spellEnd"/>
      <w:r w:rsidRPr="003E1F05">
        <w:rPr>
          <w:sz w:val="20"/>
          <w:szCs w:val="20"/>
        </w:rPr>
        <w:t xml:space="preserve"> WV &amp; </w:t>
      </w:r>
      <w:proofErr w:type="spellStart"/>
      <w:r w:rsidRPr="003E1F05">
        <w:rPr>
          <w:sz w:val="20"/>
          <w:szCs w:val="20"/>
        </w:rPr>
        <w:t>Sherr</w:t>
      </w:r>
      <w:proofErr w:type="spellEnd"/>
      <w:r w:rsidRPr="003E1F05">
        <w:rPr>
          <w:sz w:val="20"/>
          <w:szCs w:val="20"/>
        </w:rPr>
        <w:t xml:space="preserve"> JL, 2013, ‘Insulin pumps in children with T1DM—we told you so’, </w:t>
      </w:r>
      <w:r w:rsidRPr="003E1F05">
        <w:rPr>
          <w:i/>
          <w:sz w:val="20"/>
          <w:szCs w:val="20"/>
        </w:rPr>
        <w:t>Nature Reviews Endocrinology</w:t>
      </w:r>
      <w:r w:rsidRPr="003E1F05">
        <w:rPr>
          <w:sz w:val="20"/>
          <w:szCs w:val="20"/>
        </w:rPr>
        <w:t>, Vol. 9, pp. 629–630.</w:t>
      </w:r>
      <w:proofErr w:type="gramEnd"/>
    </w:p>
    <w:p w:rsidR="005B7A4B" w:rsidRPr="003E1F05" w:rsidRDefault="005B7A4B" w:rsidP="005B7A4B">
      <w:pPr>
        <w:jc w:val="left"/>
        <w:rPr>
          <w:sz w:val="20"/>
          <w:szCs w:val="20"/>
        </w:rPr>
      </w:pPr>
      <w:proofErr w:type="gramStart"/>
      <w:r w:rsidRPr="003E1F05">
        <w:rPr>
          <w:sz w:val="20"/>
          <w:szCs w:val="20"/>
        </w:rPr>
        <w:t xml:space="preserve">U.S. Department of Health and Human Services, 2012, </w:t>
      </w:r>
      <w:hyperlink r:id="rId60" w:history="1">
        <w:r w:rsidRPr="003E1F05">
          <w:rPr>
            <w:rStyle w:val="Hyperlink"/>
            <w:i/>
            <w:color w:val="auto"/>
            <w:sz w:val="20"/>
            <w:szCs w:val="20"/>
          </w:rPr>
          <w:t>Medicare's Coverage of Diabetes Supplies and Services</w:t>
        </w:r>
      </w:hyperlink>
      <w:r w:rsidRPr="003E1F05">
        <w:rPr>
          <w:sz w:val="20"/>
          <w:szCs w:val="20"/>
        </w:rPr>
        <w:t>, Maryland.</w:t>
      </w:r>
      <w:proofErr w:type="gramEnd"/>
    </w:p>
    <w:p w:rsidR="005B7A4B" w:rsidRPr="003E1F05" w:rsidRDefault="005B7A4B" w:rsidP="005B7A4B">
      <w:pPr>
        <w:jc w:val="left"/>
        <w:rPr>
          <w:sz w:val="20"/>
          <w:szCs w:val="20"/>
        </w:rPr>
      </w:pPr>
      <w:proofErr w:type="gramStart"/>
      <w:r w:rsidRPr="003E1F05">
        <w:rPr>
          <w:sz w:val="20"/>
          <w:szCs w:val="20"/>
        </w:rPr>
        <w:t xml:space="preserve">Victorian CSII Working Party, 2009, </w:t>
      </w:r>
      <w:hyperlink r:id="rId61" w:history="1">
        <w:r w:rsidRPr="003E1F05">
          <w:rPr>
            <w:rStyle w:val="Hyperlink"/>
            <w:i/>
            <w:color w:val="auto"/>
            <w:sz w:val="20"/>
            <w:szCs w:val="20"/>
          </w:rPr>
          <w:t>Guidelines for Continuous Subcutaneous Insulin Infusion (CSII) Pump Therapy</w:t>
        </w:r>
      </w:hyperlink>
      <w:r w:rsidRPr="003E1F05">
        <w:rPr>
          <w:sz w:val="20"/>
          <w:szCs w:val="20"/>
        </w:rPr>
        <w:t xml:space="preserve"> (Version 1 – July 2009), Melbourne.</w:t>
      </w:r>
      <w:proofErr w:type="gramEnd"/>
    </w:p>
    <w:p w:rsidR="005B7A4B" w:rsidRPr="003E1F05" w:rsidRDefault="005B7A4B" w:rsidP="005B7A4B">
      <w:pPr>
        <w:jc w:val="left"/>
        <w:rPr>
          <w:sz w:val="20"/>
          <w:szCs w:val="20"/>
        </w:rPr>
      </w:pPr>
      <w:proofErr w:type="spellStart"/>
      <w:r w:rsidRPr="003E1F05">
        <w:rPr>
          <w:sz w:val="20"/>
          <w:szCs w:val="20"/>
        </w:rPr>
        <w:t>Wenholt</w:t>
      </w:r>
      <w:proofErr w:type="spellEnd"/>
      <w:r w:rsidRPr="003E1F05">
        <w:rPr>
          <w:sz w:val="20"/>
          <w:szCs w:val="20"/>
        </w:rPr>
        <w:t xml:space="preserve"> IM, </w:t>
      </w:r>
      <w:proofErr w:type="spellStart"/>
      <w:r w:rsidRPr="003E1F05">
        <w:rPr>
          <w:sz w:val="20"/>
          <w:szCs w:val="20"/>
        </w:rPr>
        <w:t>Kulik</w:t>
      </w:r>
      <w:proofErr w:type="spellEnd"/>
      <w:r w:rsidRPr="003E1F05">
        <w:rPr>
          <w:sz w:val="20"/>
          <w:szCs w:val="20"/>
        </w:rPr>
        <w:t xml:space="preserve"> W, </w:t>
      </w:r>
      <w:r w:rsidRPr="003E1F05">
        <w:rPr>
          <w:i/>
          <w:sz w:val="20"/>
          <w:szCs w:val="20"/>
        </w:rPr>
        <w:t>et al.</w:t>
      </w:r>
      <w:r w:rsidRPr="003E1F05">
        <w:rPr>
          <w:sz w:val="20"/>
          <w:szCs w:val="20"/>
        </w:rPr>
        <w:t xml:space="preserve"> 2008, ‘Glucose fluctuations and activation of oxidative stress in patients with type 1 diabetes’, </w:t>
      </w:r>
      <w:proofErr w:type="spellStart"/>
      <w:r w:rsidRPr="003E1F05">
        <w:rPr>
          <w:i/>
          <w:sz w:val="20"/>
          <w:szCs w:val="20"/>
        </w:rPr>
        <w:t>Diabetologica</w:t>
      </w:r>
      <w:proofErr w:type="spellEnd"/>
      <w:r w:rsidRPr="003E1F05">
        <w:rPr>
          <w:sz w:val="20"/>
          <w:szCs w:val="20"/>
        </w:rPr>
        <w:t>, Vol. 51, No. 1, pp. 183-90.</w:t>
      </w:r>
    </w:p>
    <w:p w:rsidR="005B7A4B" w:rsidRPr="003E1F05" w:rsidRDefault="005B7A4B" w:rsidP="005B7A4B">
      <w:pPr>
        <w:jc w:val="left"/>
        <w:rPr>
          <w:sz w:val="20"/>
          <w:szCs w:val="20"/>
        </w:rPr>
      </w:pPr>
      <w:proofErr w:type="gramStart"/>
      <w:r w:rsidRPr="003E1F05">
        <w:rPr>
          <w:sz w:val="20"/>
          <w:szCs w:val="20"/>
        </w:rPr>
        <w:t xml:space="preserve">World Health Organization (WHO) and International Diabetes Federation, 2006, </w:t>
      </w:r>
      <w:r w:rsidRPr="003E1F05">
        <w:rPr>
          <w:i/>
          <w:sz w:val="20"/>
          <w:szCs w:val="20"/>
        </w:rPr>
        <w:t xml:space="preserve">Definition and Diagnosis of Diabetes Mellitus and Intermediate </w:t>
      </w:r>
      <w:proofErr w:type="spellStart"/>
      <w:r w:rsidRPr="003E1F05">
        <w:rPr>
          <w:i/>
          <w:sz w:val="20"/>
          <w:szCs w:val="20"/>
        </w:rPr>
        <w:t>Hyperglycemia</w:t>
      </w:r>
      <w:proofErr w:type="spellEnd"/>
      <w:r w:rsidRPr="003E1F05">
        <w:rPr>
          <w:i/>
          <w:sz w:val="20"/>
          <w:szCs w:val="20"/>
        </w:rPr>
        <w:t>.</w:t>
      </w:r>
      <w:proofErr w:type="gramEnd"/>
      <w:r w:rsidRPr="003E1F05">
        <w:rPr>
          <w:i/>
          <w:sz w:val="20"/>
          <w:szCs w:val="20"/>
        </w:rPr>
        <w:t xml:space="preserve"> Issue 5: What diagnostic tests should be used to define glycaemic status</w:t>
      </w:r>
      <w:r w:rsidRPr="003E1F05">
        <w:rPr>
          <w:sz w:val="20"/>
          <w:szCs w:val="20"/>
        </w:rPr>
        <w:t xml:space="preserve">, </w:t>
      </w:r>
      <w:proofErr w:type="gramStart"/>
      <w:r w:rsidRPr="003E1F05">
        <w:rPr>
          <w:sz w:val="20"/>
          <w:szCs w:val="20"/>
        </w:rPr>
        <w:t>Geneva.</w:t>
      </w:r>
      <w:proofErr w:type="gramEnd"/>
    </w:p>
    <w:p w:rsidR="005B7A4B" w:rsidRPr="003E1F05" w:rsidRDefault="005B7A4B" w:rsidP="005B7A4B">
      <w:pPr>
        <w:jc w:val="left"/>
        <w:rPr>
          <w:sz w:val="20"/>
          <w:szCs w:val="20"/>
        </w:rPr>
      </w:pPr>
      <w:proofErr w:type="gramStart"/>
      <w:r w:rsidRPr="003E1F05">
        <w:rPr>
          <w:sz w:val="20"/>
          <w:szCs w:val="20"/>
        </w:rPr>
        <w:t xml:space="preserve">WHO, 2011, </w:t>
      </w:r>
      <w:r w:rsidRPr="003E1F05">
        <w:rPr>
          <w:i/>
          <w:sz w:val="20"/>
          <w:szCs w:val="20"/>
        </w:rPr>
        <w:t xml:space="preserve">Use of </w:t>
      </w:r>
      <w:proofErr w:type="spellStart"/>
      <w:r w:rsidRPr="003E1F05">
        <w:rPr>
          <w:i/>
          <w:sz w:val="20"/>
          <w:szCs w:val="20"/>
        </w:rPr>
        <w:t>Glycated</w:t>
      </w:r>
      <w:proofErr w:type="spellEnd"/>
      <w:r w:rsidRPr="003E1F05">
        <w:rPr>
          <w:i/>
          <w:sz w:val="20"/>
          <w:szCs w:val="20"/>
        </w:rPr>
        <w:t xml:space="preserve"> Haemoglobin (HbA</w:t>
      </w:r>
      <w:r w:rsidRPr="003E1F05">
        <w:rPr>
          <w:i/>
          <w:sz w:val="20"/>
          <w:szCs w:val="20"/>
          <w:vertAlign w:val="subscript"/>
        </w:rPr>
        <w:t>1c</w:t>
      </w:r>
      <w:r w:rsidRPr="003E1F05">
        <w:rPr>
          <w:i/>
          <w:sz w:val="20"/>
          <w:szCs w:val="20"/>
        </w:rPr>
        <w:t>) in the Diagnosis of Diabetes Mellitus: Abbreviated Report of a WHO Consultation</w:t>
      </w:r>
      <w:r w:rsidRPr="003E1F05">
        <w:rPr>
          <w:sz w:val="20"/>
          <w:szCs w:val="20"/>
        </w:rPr>
        <w:t>, Geneva.</w:t>
      </w:r>
      <w:proofErr w:type="gramEnd"/>
    </w:p>
    <w:p w:rsidR="005B7A4B" w:rsidRPr="003E1F05" w:rsidRDefault="005B7A4B" w:rsidP="005B7A4B">
      <w:pPr>
        <w:jc w:val="left"/>
        <w:rPr>
          <w:sz w:val="20"/>
          <w:szCs w:val="20"/>
        </w:rPr>
      </w:pPr>
      <w:r w:rsidRPr="003E1F05">
        <w:rPr>
          <w:sz w:val="20"/>
          <w:szCs w:val="20"/>
        </w:rPr>
        <w:t xml:space="preserve">WHO, 2013, </w:t>
      </w:r>
      <w:hyperlink r:id="rId62" w:history="1">
        <w:r w:rsidRPr="003E1F05">
          <w:rPr>
            <w:rStyle w:val="Hyperlink"/>
            <w:i/>
            <w:color w:val="auto"/>
            <w:sz w:val="20"/>
            <w:szCs w:val="20"/>
          </w:rPr>
          <w:t>Diabetes fact sheet No. 312</w:t>
        </w:r>
      </w:hyperlink>
      <w:r w:rsidRPr="003E1F05">
        <w:rPr>
          <w:sz w:val="20"/>
          <w:szCs w:val="20"/>
        </w:rPr>
        <w:t xml:space="preserve">, Geneva, accessed 12 November </w:t>
      </w:r>
      <w:proofErr w:type="gramStart"/>
      <w:r w:rsidRPr="003E1F05">
        <w:rPr>
          <w:sz w:val="20"/>
          <w:szCs w:val="20"/>
        </w:rPr>
        <w:t>2013.</w:t>
      </w:r>
      <w:proofErr w:type="gramEnd"/>
    </w:p>
    <w:p w:rsidR="005B7A4B" w:rsidRPr="003E1F05" w:rsidRDefault="005B7A4B" w:rsidP="005B7A4B">
      <w:pPr>
        <w:jc w:val="left"/>
        <w:rPr>
          <w:sz w:val="20"/>
          <w:szCs w:val="20"/>
        </w:rPr>
      </w:pPr>
      <w:proofErr w:type="spellStart"/>
      <w:r w:rsidRPr="003E1F05">
        <w:rPr>
          <w:sz w:val="20"/>
          <w:szCs w:val="20"/>
        </w:rPr>
        <w:t>Yeh</w:t>
      </w:r>
      <w:proofErr w:type="spellEnd"/>
      <w:r w:rsidRPr="003E1F05">
        <w:rPr>
          <w:sz w:val="20"/>
          <w:szCs w:val="20"/>
        </w:rPr>
        <w:t xml:space="preserve"> HC, Brown TT, </w:t>
      </w:r>
      <w:proofErr w:type="spellStart"/>
      <w:r w:rsidRPr="003E1F05">
        <w:rPr>
          <w:sz w:val="20"/>
          <w:szCs w:val="20"/>
        </w:rPr>
        <w:t>Maruther</w:t>
      </w:r>
      <w:proofErr w:type="spellEnd"/>
      <w:r w:rsidRPr="003E1F05">
        <w:rPr>
          <w:sz w:val="20"/>
          <w:szCs w:val="20"/>
        </w:rPr>
        <w:t xml:space="preserve"> N, </w:t>
      </w:r>
      <w:proofErr w:type="spellStart"/>
      <w:r w:rsidRPr="003E1F05">
        <w:rPr>
          <w:sz w:val="20"/>
          <w:szCs w:val="20"/>
        </w:rPr>
        <w:t>Ranasinghe</w:t>
      </w:r>
      <w:proofErr w:type="spellEnd"/>
      <w:r w:rsidRPr="003E1F05">
        <w:rPr>
          <w:sz w:val="20"/>
          <w:szCs w:val="20"/>
        </w:rPr>
        <w:t xml:space="preserve"> P, Berger Z, </w:t>
      </w:r>
      <w:proofErr w:type="spellStart"/>
      <w:r w:rsidRPr="003E1F05">
        <w:rPr>
          <w:sz w:val="20"/>
          <w:szCs w:val="20"/>
        </w:rPr>
        <w:t>Suh</w:t>
      </w:r>
      <w:proofErr w:type="spellEnd"/>
      <w:r w:rsidRPr="003E1F05">
        <w:rPr>
          <w:sz w:val="20"/>
          <w:szCs w:val="20"/>
        </w:rPr>
        <w:t xml:space="preserve"> YD, Wilson LM, </w:t>
      </w:r>
      <w:proofErr w:type="spellStart"/>
      <w:r w:rsidRPr="003E1F05">
        <w:rPr>
          <w:sz w:val="20"/>
          <w:szCs w:val="20"/>
        </w:rPr>
        <w:t>Haberl</w:t>
      </w:r>
      <w:proofErr w:type="spellEnd"/>
      <w:r w:rsidRPr="003E1F05">
        <w:rPr>
          <w:sz w:val="20"/>
          <w:szCs w:val="20"/>
        </w:rPr>
        <w:t xml:space="preserve"> EB, Brick J, Bass ED &amp; Golden SH, 2012, ‘Comparative Effectiveness and Safety of Methods of Insulin Delivery and Glucose Monitoring for Diabetes Mellitus: A Systematic Review and Meta-analysis’ </w:t>
      </w:r>
      <w:r w:rsidRPr="003E1F05">
        <w:rPr>
          <w:i/>
          <w:sz w:val="20"/>
          <w:szCs w:val="20"/>
        </w:rPr>
        <w:t>Annals of Internal Medicine</w:t>
      </w:r>
      <w:r w:rsidRPr="003E1F05">
        <w:rPr>
          <w:sz w:val="20"/>
          <w:szCs w:val="20"/>
        </w:rPr>
        <w:t>, Vol. 157, No. 5, pp. 336-47.</w:t>
      </w:r>
    </w:p>
    <w:p w:rsidR="005B7A4B" w:rsidRPr="003E1F05" w:rsidRDefault="005B7A4B" w:rsidP="005B7A4B">
      <w:pPr>
        <w:jc w:val="left"/>
        <w:rPr>
          <w:sz w:val="20"/>
          <w:szCs w:val="20"/>
        </w:rPr>
      </w:pPr>
      <w:r w:rsidRPr="003E1F05">
        <w:rPr>
          <w:sz w:val="20"/>
          <w:szCs w:val="20"/>
        </w:rPr>
        <w:t xml:space="preserve">Yorkshire and Humbler Public Health Observatory, 2008, </w:t>
      </w:r>
      <w:hyperlink r:id="rId63" w:history="1">
        <w:r w:rsidRPr="003E1F05">
          <w:rPr>
            <w:rStyle w:val="Hyperlink"/>
            <w:i/>
            <w:color w:val="auto"/>
            <w:sz w:val="20"/>
            <w:szCs w:val="20"/>
          </w:rPr>
          <w:t>Diabetes Attributable Deaths: Estimating the excess deaths among people with diabetes</w:t>
        </w:r>
      </w:hyperlink>
      <w:r w:rsidRPr="003E1F05">
        <w:rPr>
          <w:i/>
          <w:sz w:val="20"/>
          <w:szCs w:val="20"/>
        </w:rPr>
        <w:t xml:space="preserve">, </w:t>
      </w:r>
      <w:r w:rsidRPr="003E1F05">
        <w:rPr>
          <w:sz w:val="20"/>
          <w:szCs w:val="20"/>
        </w:rPr>
        <w:t>United Kingdom, accessed 29 January 2014.</w:t>
      </w:r>
    </w:p>
    <w:p w:rsidR="005B7A4B" w:rsidRPr="003E1F05" w:rsidRDefault="005B7A4B" w:rsidP="005B7A4B">
      <w:pPr>
        <w:rPr>
          <w:rFonts w:cs="Calibri"/>
          <w:sz w:val="20"/>
          <w:szCs w:val="20"/>
        </w:rPr>
      </w:pPr>
    </w:p>
    <w:p w:rsidR="005B7A4B" w:rsidRPr="003E1F05" w:rsidRDefault="005B7A4B" w:rsidP="005B7A4B">
      <w:pPr>
        <w:rPr>
          <w:sz w:val="20"/>
          <w:szCs w:val="20"/>
        </w:rPr>
        <w:sectPr w:rsidR="005B7A4B" w:rsidRPr="003E1F05" w:rsidSect="00E75393">
          <w:headerReference w:type="default" r:id="rId64"/>
          <w:footerReference w:type="default" r:id="rId65"/>
          <w:type w:val="continuous"/>
          <w:pgSz w:w="11906" w:h="16838"/>
          <w:pgMar w:top="1440" w:right="1440" w:bottom="709" w:left="1440" w:header="708" w:footer="708" w:gutter="0"/>
          <w:cols w:space="708"/>
          <w:docGrid w:linePitch="360"/>
        </w:sectPr>
      </w:pPr>
    </w:p>
    <w:p w:rsidR="005B7A4B" w:rsidRDefault="005B7A4B" w:rsidP="005B7A4B">
      <w:pPr>
        <w:pStyle w:val="Heading1"/>
      </w:pPr>
      <w:bookmarkStart w:id="259" w:name="_Appendix_A_-"/>
      <w:bookmarkStart w:id="260" w:name="_Toc374445872"/>
      <w:bookmarkStart w:id="261" w:name="_Toc381090957"/>
      <w:bookmarkStart w:id="262" w:name="_Toc387664355"/>
      <w:bookmarkEnd w:id="259"/>
      <w:r>
        <w:lastRenderedPageBreak/>
        <w:t>Appendices</w:t>
      </w:r>
      <w:bookmarkEnd w:id="260"/>
      <w:bookmarkEnd w:id="261"/>
      <w:bookmarkEnd w:id="262"/>
    </w:p>
    <w:p w:rsidR="005B7A4B" w:rsidRPr="00D52454" w:rsidRDefault="005B7A4B" w:rsidP="005B7A4B">
      <w:pPr>
        <w:pStyle w:val="Heading2"/>
      </w:pPr>
      <w:bookmarkStart w:id="263" w:name="_Toc381090958"/>
      <w:bookmarkStart w:id="264" w:name="_Toc387664356"/>
      <w:r w:rsidRPr="00D52454">
        <w:t>Appendix A - Insulin pumps available under the Prostheses List as at February 201</w:t>
      </w:r>
      <w:bookmarkEnd w:id="263"/>
      <w:r w:rsidRPr="00D52454">
        <w:t>4</w:t>
      </w:r>
      <w:bookmarkEnd w:id="264"/>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173"/>
        <w:gridCol w:w="2174"/>
        <w:gridCol w:w="2174"/>
        <w:gridCol w:w="2173"/>
        <w:gridCol w:w="2174"/>
        <w:gridCol w:w="2174"/>
      </w:tblGrid>
      <w:tr w:rsidR="008F46FE" w:rsidRPr="00787F54" w:rsidTr="008F46FE">
        <w:trPr>
          <w:trHeight w:val="815"/>
          <w:tblHeader/>
        </w:trPr>
        <w:tc>
          <w:tcPr>
            <w:tcW w:w="1716" w:type="dxa"/>
            <w:tcBorders>
              <w:bottom w:val="double" w:sz="4" w:space="0" w:color="auto"/>
            </w:tcBorders>
            <w:shd w:val="clear" w:color="000000" w:fill="D9D9D9"/>
            <w:vAlign w:val="center"/>
          </w:tcPr>
          <w:p w:rsidR="008F46FE" w:rsidRPr="00787F54" w:rsidRDefault="008F46FE" w:rsidP="00E90422">
            <w:pPr>
              <w:spacing w:before="40" w:after="40" w:line="240" w:lineRule="auto"/>
              <w:jc w:val="left"/>
              <w:rPr>
                <w:b/>
                <w:bCs/>
                <w:sz w:val="20"/>
                <w:szCs w:val="20"/>
                <w:lang w:eastAsia="en-AU"/>
              </w:rPr>
            </w:pPr>
            <w:r w:rsidRPr="003E1F05">
              <w:rPr>
                <w:b/>
                <w:bCs/>
                <w:sz w:val="20"/>
                <w:szCs w:val="20"/>
                <w:lang w:eastAsia="en-AU"/>
              </w:rPr>
              <w:t>Model Name/No.</w:t>
            </w:r>
          </w:p>
        </w:tc>
        <w:tc>
          <w:tcPr>
            <w:tcW w:w="2173" w:type="dxa"/>
            <w:tcBorders>
              <w:bottom w:val="double" w:sz="4" w:space="0" w:color="auto"/>
            </w:tcBorders>
            <w:shd w:val="clear" w:color="auto" w:fill="auto"/>
            <w:vAlign w:val="center"/>
          </w:tcPr>
          <w:p w:rsidR="008F46FE" w:rsidRPr="008F46FE" w:rsidRDefault="008F46FE" w:rsidP="00E90422">
            <w:pPr>
              <w:spacing w:before="40" w:after="40" w:line="240" w:lineRule="auto"/>
              <w:jc w:val="left"/>
              <w:rPr>
                <w:b/>
                <w:sz w:val="20"/>
                <w:szCs w:val="20"/>
                <w:lang w:eastAsia="en-AU"/>
              </w:rPr>
            </w:pPr>
            <w:r w:rsidRPr="003E1F05">
              <w:rPr>
                <w:b/>
                <w:sz w:val="20"/>
                <w:szCs w:val="20"/>
                <w:lang w:eastAsia="en-AU"/>
              </w:rPr>
              <w:t xml:space="preserve">DANA IIS </w:t>
            </w:r>
            <w:proofErr w:type="spellStart"/>
            <w:r w:rsidRPr="003E1F05">
              <w:rPr>
                <w:b/>
                <w:sz w:val="20"/>
                <w:szCs w:val="20"/>
                <w:lang w:eastAsia="en-AU"/>
              </w:rPr>
              <w:t>Diabecare</w:t>
            </w:r>
            <w:proofErr w:type="spellEnd"/>
            <w:r w:rsidRPr="003E1F05">
              <w:rPr>
                <w:b/>
                <w:sz w:val="20"/>
                <w:szCs w:val="20"/>
                <w:lang w:eastAsia="en-AU"/>
              </w:rPr>
              <w:t xml:space="preserve"> Insulin Pump</w:t>
            </w:r>
          </w:p>
        </w:tc>
        <w:tc>
          <w:tcPr>
            <w:tcW w:w="2174" w:type="dxa"/>
            <w:tcBorders>
              <w:bottom w:val="double" w:sz="4" w:space="0" w:color="auto"/>
            </w:tcBorders>
            <w:shd w:val="clear" w:color="auto" w:fill="auto"/>
            <w:vAlign w:val="center"/>
          </w:tcPr>
          <w:p w:rsidR="008F46FE" w:rsidRPr="008F46FE" w:rsidRDefault="008F46FE" w:rsidP="00E90422">
            <w:pPr>
              <w:spacing w:before="40" w:after="40" w:line="240" w:lineRule="auto"/>
              <w:jc w:val="left"/>
              <w:rPr>
                <w:b/>
                <w:sz w:val="20"/>
                <w:szCs w:val="20"/>
                <w:lang w:eastAsia="en-AU"/>
              </w:rPr>
            </w:pPr>
            <w:r w:rsidRPr="003E1F05">
              <w:rPr>
                <w:b/>
                <w:sz w:val="20"/>
                <w:szCs w:val="20"/>
                <w:lang w:eastAsia="en-AU"/>
              </w:rPr>
              <w:t xml:space="preserve">DANA R </w:t>
            </w:r>
            <w:proofErr w:type="spellStart"/>
            <w:r w:rsidRPr="003E1F05">
              <w:rPr>
                <w:b/>
                <w:sz w:val="20"/>
                <w:szCs w:val="20"/>
                <w:lang w:eastAsia="en-AU"/>
              </w:rPr>
              <w:t>Diabecare</w:t>
            </w:r>
            <w:proofErr w:type="spellEnd"/>
            <w:r w:rsidRPr="003E1F05">
              <w:rPr>
                <w:b/>
                <w:sz w:val="20"/>
                <w:szCs w:val="20"/>
                <w:lang w:eastAsia="en-AU"/>
              </w:rPr>
              <w:t xml:space="preserve"> Insulin Pump</w:t>
            </w:r>
          </w:p>
        </w:tc>
        <w:tc>
          <w:tcPr>
            <w:tcW w:w="2174" w:type="dxa"/>
            <w:tcBorders>
              <w:bottom w:val="double" w:sz="4" w:space="0" w:color="auto"/>
            </w:tcBorders>
            <w:shd w:val="clear" w:color="000000" w:fill="F2F2F2"/>
            <w:vAlign w:val="center"/>
          </w:tcPr>
          <w:p w:rsidR="008F46FE" w:rsidRPr="008F46FE" w:rsidRDefault="008F46FE" w:rsidP="00E90422">
            <w:pPr>
              <w:spacing w:before="40" w:after="40" w:line="240" w:lineRule="auto"/>
              <w:jc w:val="left"/>
              <w:rPr>
                <w:b/>
                <w:sz w:val="20"/>
                <w:szCs w:val="20"/>
                <w:lang w:eastAsia="en-AU"/>
              </w:rPr>
            </w:pPr>
            <w:proofErr w:type="spellStart"/>
            <w:r w:rsidRPr="003E1F05">
              <w:rPr>
                <w:b/>
                <w:sz w:val="20"/>
                <w:szCs w:val="20"/>
                <w:lang w:eastAsia="en-AU"/>
              </w:rPr>
              <w:t>Accu-Chek</w:t>
            </w:r>
            <w:proofErr w:type="spellEnd"/>
            <w:r w:rsidRPr="003E1F05">
              <w:rPr>
                <w:b/>
                <w:sz w:val="20"/>
                <w:szCs w:val="20"/>
                <w:lang w:eastAsia="en-AU"/>
              </w:rPr>
              <w:t>: Combo System</w:t>
            </w:r>
          </w:p>
        </w:tc>
        <w:tc>
          <w:tcPr>
            <w:tcW w:w="2173" w:type="dxa"/>
            <w:tcBorders>
              <w:bottom w:val="double" w:sz="4" w:space="0" w:color="auto"/>
            </w:tcBorders>
            <w:shd w:val="clear" w:color="auto" w:fill="auto"/>
            <w:vAlign w:val="center"/>
          </w:tcPr>
          <w:p w:rsidR="008F46FE" w:rsidRPr="008F46FE" w:rsidRDefault="008F46FE" w:rsidP="00E90422">
            <w:pPr>
              <w:spacing w:before="40" w:after="40" w:line="240" w:lineRule="auto"/>
              <w:jc w:val="left"/>
              <w:rPr>
                <w:b/>
                <w:sz w:val="20"/>
                <w:szCs w:val="20"/>
                <w:lang w:eastAsia="en-AU"/>
              </w:rPr>
            </w:pPr>
            <w:r w:rsidRPr="003E1F05">
              <w:rPr>
                <w:b/>
                <w:sz w:val="20"/>
                <w:szCs w:val="20"/>
                <w:lang w:eastAsia="en-AU"/>
              </w:rPr>
              <w:t xml:space="preserve">Medtronic </w:t>
            </w:r>
            <w:proofErr w:type="spellStart"/>
            <w:r w:rsidRPr="003E1F05">
              <w:rPr>
                <w:b/>
                <w:sz w:val="20"/>
                <w:szCs w:val="20"/>
                <w:lang w:eastAsia="en-AU"/>
              </w:rPr>
              <w:t>Minimed</w:t>
            </w:r>
            <w:proofErr w:type="spellEnd"/>
            <w:r w:rsidRPr="003E1F05">
              <w:rPr>
                <w:b/>
                <w:sz w:val="20"/>
                <w:szCs w:val="20"/>
                <w:lang w:eastAsia="en-AU"/>
              </w:rPr>
              <w:t xml:space="preserve"> Paradigm </w:t>
            </w:r>
            <w:proofErr w:type="spellStart"/>
            <w:r w:rsidRPr="003E1F05">
              <w:rPr>
                <w:b/>
                <w:sz w:val="20"/>
                <w:szCs w:val="20"/>
                <w:lang w:eastAsia="en-AU"/>
              </w:rPr>
              <w:t>Veo</w:t>
            </w:r>
            <w:proofErr w:type="spellEnd"/>
            <w:r w:rsidRPr="003E1F05">
              <w:rPr>
                <w:b/>
                <w:sz w:val="20"/>
                <w:szCs w:val="20"/>
                <w:lang w:eastAsia="en-AU"/>
              </w:rPr>
              <w:t xml:space="preserve"> MMT-554</w:t>
            </w:r>
          </w:p>
        </w:tc>
        <w:tc>
          <w:tcPr>
            <w:tcW w:w="2174" w:type="dxa"/>
            <w:tcBorders>
              <w:bottom w:val="double" w:sz="4" w:space="0" w:color="auto"/>
            </w:tcBorders>
            <w:shd w:val="clear" w:color="auto" w:fill="auto"/>
            <w:vAlign w:val="center"/>
          </w:tcPr>
          <w:p w:rsidR="008F46FE" w:rsidRPr="008F46FE" w:rsidRDefault="008F46FE" w:rsidP="00E90422">
            <w:pPr>
              <w:spacing w:before="40" w:after="40" w:line="240" w:lineRule="auto"/>
              <w:jc w:val="left"/>
              <w:rPr>
                <w:b/>
                <w:sz w:val="20"/>
                <w:szCs w:val="20"/>
                <w:lang w:eastAsia="en-AU"/>
              </w:rPr>
            </w:pPr>
            <w:r w:rsidRPr="003E1F05">
              <w:rPr>
                <w:b/>
                <w:sz w:val="20"/>
                <w:szCs w:val="20"/>
                <w:lang w:eastAsia="en-AU"/>
              </w:rPr>
              <w:t xml:space="preserve">Medtronic </w:t>
            </w:r>
            <w:proofErr w:type="spellStart"/>
            <w:r w:rsidRPr="003E1F05">
              <w:rPr>
                <w:b/>
                <w:sz w:val="20"/>
                <w:szCs w:val="20"/>
                <w:lang w:eastAsia="en-AU"/>
              </w:rPr>
              <w:t>Minimed</w:t>
            </w:r>
            <w:proofErr w:type="spellEnd"/>
            <w:r w:rsidRPr="003E1F05">
              <w:rPr>
                <w:b/>
                <w:sz w:val="20"/>
                <w:szCs w:val="20"/>
                <w:lang w:eastAsia="en-AU"/>
              </w:rPr>
              <w:t xml:space="preserve"> Paradigm </w:t>
            </w:r>
            <w:proofErr w:type="spellStart"/>
            <w:r w:rsidRPr="003E1F05">
              <w:rPr>
                <w:b/>
                <w:sz w:val="20"/>
                <w:szCs w:val="20"/>
                <w:lang w:eastAsia="en-AU"/>
              </w:rPr>
              <w:t>Veo</w:t>
            </w:r>
            <w:proofErr w:type="spellEnd"/>
            <w:r w:rsidRPr="003E1F05">
              <w:rPr>
                <w:b/>
                <w:sz w:val="20"/>
                <w:szCs w:val="20"/>
                <w:lang w:eastAsia="en-AU"/>
              </w:rPr>
              <w:t xml:space="preserve"> MMT-754</w:t>
            </w:r>
          </w:p>
        </w:tc>
        <w:tc>
          <w:tcPr>
            <w:tcW w:w="2174" w:type="dxa"/>
            <w:tcBorders>
              <w:bottom w:val="double" w:sz="4" w:space="0" w:color="auto"/>
            </w:tcBorders>
            <w:shd w:val="clear" w:color="000000" w:fill="F2F2F2"/>
            <w:vAlign w:val="center"/>
          </w:tcPr>
          <w:p w:rsidR="008F46FE" w:rsidRPr="008F46FE" w:rsidRDefault="008F46FE" w:rsidP="00AE0F90">
            <w:pPr>
              <w:spacing w:before="40" w:after="40" w:line="240" w:lineRule="auto"/>
              <w:jc w:val="left"/>
              <w:rPr>
                <w:b/>
                <w:sz w:val="20"/>
                <w:szCs w:val="20"/>
                <w:lang w:eastAsia="en-AU"/>
              </w:rPr>
            </w:pPr>
            <w:r w:rsidRPr="003E1F05">
              <w:rPr>
                <w:b/>
                <w:sz w:val="20"/>
                <w:szCs w:val="20"/>
                <w:lang w:eastAsia="en-AU"/>
              </w:rPr>
              <w:t>Animas: Vibe &amp; CGM</w:t>
            </w:r>
            <w:r w:rsidRPr="003E1F05">
              <w:rPr>
                <w:b/>
                <w:sz w:val="20"/>
                <w:szCs w:val="20"/>
                <w:lang w:eastAsia="en-AU"/>
              </w:rPr>
              <w:br/>
              <w:t xml:space="preserve">System </w:t>
            </w:r>
          </w:p>
        </w:tc>
      </w:tr>
      <w:tr w:rsidR="008F46FE" w:rsidRPr="00787F54" w:rsidTr="008F46FE">
        <w:trPr>
          <w:trHeight w:val="525"/>
        </w:trPr>
        <w:tc>
          <w:tcPr>
            <w:tcW w:w="1716" w:type="dxa"/>
            <w:tcBorders>
              <w:top w:val="single" w:sz="4" w:space="0" w:color="auto"/>
            </w:tcBorders>
            <w:shd w:val="clear" w:color="000000" w:fill="D9D9D9"/>
            <w:vAlign w:val="center"/>
          </w:tcPr>
          <w:p w:rsidR="008F46FE" w:rsidRPr="00787F54" w:rsidRDefault="008F46FE" w:rsidP="00E90422">
            <w:pPr>
              <w:spacing w:before="40" w:after="40" w:line="240" w:lineRule="auto"/>
              <w:jc w:val="left"/>
              <w:rPr>
                <w:b/>
                <w:bCs/>
                <w:sz w:val="20"/>
                <w:szCs w:val="20"/>
                <w:lang w:eastAsia="en-AU"/>
              </w:rPr>
            </w:pPr>
            <w:r w:rsidRPr="003E1F05">
              <w:rPr>
                <w:b/>
                <w:bCs/>
                <w:sz w:val="20"/>
                <w:szCs w:val="20"/>
                <w:lang w:eastAsia="en-AU"/>
              </w:rPr>
              <w:t>Pump Sponsor/</w:t>
            </w:r>
            <w:r w:rsidRPr="003E1F05">
              <w:rPr>
                <w:b/>
                <w:bCs/>
                <w:sz w:val="20"/>
                <w:szCs w:val="20"/>
                <w:lang w:eastAsia="en-AU"/>
              </w:rPr>
              <w:br/>
              <w:t>Manufacturer</w:t>
            </w:r>
          </w:p>
        </w:tc>
        <w:tc>
          <w:tcPr>
            <w:tcW w:w="2173" w:type="dxa"/>
            <w:tcBorders>
              <w:top w:val="single" w:sz="4" w:space="0" w:color="auto"/>
            </w:tcBorders>
            <w:shd w:val="clear" w:color="auto" w:fill="auto"/>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Managing Diabetes Pty Ltd / SOOIL Development CO. Ltd</w:t>
            </w:r>
          </w:p>
        </w:tc>
        <w:tc>
          <w:tcPr>
            <w:tcW w:w="2174" w:type="dxa"/>
            <w:tcBorders>
              <w:top w:val="single" w:sz="4" w:space="0" w:color="auto"/>
            </w:tcBorders>
            <w:shd w:val="clear" w:color="auto" w:fill="auto"/>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Managing Diabetes Pty Ltd / SOOIL Development CO. Ltd</w:t>
            </w:r>
          </w:p>
        </w:tc>
        <w:tc>
          <w:tcPr>
            <w:tcW w:w="2174" w:type="dxa"/>
            <w:tcBorders>
              <w:top w:val="single" w:sz="4" w:space="0" w:color="auto"/>
            </w:tcBorders>
            <w:shd w:val="clear" w:color="000000" w:fill="F2F2F2"/>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Roche Diagnostics Australia Pty Ltd</w:t>
            </w:r>
          </w:p>
        </w:tc>
        <w:tc>
          <w:tcPr>
            <w:tcW w:w="2173" w:type="dxa"/>
            <w:tcBorders>
              <w:top w:val="single" w:sz="4" w:space="0" w:color="auto"/>
            </w:tcBorders>
            <w:shd w:val="clear" w:color="auto" w:fill="auto"/>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Medtronic Australasia Pty Ltd</w:t>
            </w:r>
          </w:p>
        </w:tc>
        <w:tc>
          <w:tcPr>
            <w:tcW w:w="2174" w:type="dxa"/>
            <w:tcBorders>
              <w:top w:val="single" w:sz="4" w:space="0" w:color="auto"/>
            </w:tcBorders>
            <w:shd w:val="clear" w:color="auto" w:fill="auto"/>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Medtronic Australasia Pty Ltd</w:t>
            </w:r>
          </w:p>
        </w:tc>
        <w:tc>
          <w:tcPr>
            <w:tcW w:w="2174" w:type="dxa"/>
            <w:tcBorders>
              <w:top w:val="single" w:sz="4" w:space="0" w:color="auto"/>
            </w:tcBorders>
            <w:shd w:val="clear" w:color="000000" w:fill="F2F2F2"/>
            <w:vAlign w:val="center"/>
          </w:tcPr>
          <w:p w:rsidR="008F46FE" w:rsidRPr="008F46FE" w:rsidRDefault="008F46FE" w:rsidP="00E90422">
            <w:pPr>
              <w:spacing w:before="40" w:after="40" w:line="240" w:lineRule="auto"/>
              <w:jc w:val="left"/>
              <w:rPr>
                <w:sz w:val="20"/>
                <w:szCs w:val="20"/>
                <w:lang w:eastAsia="en-AU"/>
              </w:rPr>
            </w:pPr>
            <w:r w:rsidRPr="003E1F05">
              <w:rPr>
                <w:sz w:val="20"/>
                <w:szCs w:val="20"/>
                <w:lang w:eastAsia="en-AU"/>
              </w:rPr>
              <w:t>Australasian Medical &amp; Scientific Pty Ltd/</w:t>
            </w:r>
            <w:r w:rsidRPr="003E1F05">
              <w:rPr>
                <w:sz w:val="20"/>
                <w:szCs w:val="20"/>
                <w:lang w:eastAsia="en-AU"/>
              </w:rPr>
              <w:br/>
              <w:t>Animas</w:t>
            </w:r>
          </w:p>
        </w:tc>
      </w:tr>
      <w:tr w:rsidR="005B7A4B" w:rsidRPr="00787F54" w:rsidTr="008F46FE">
        <w:trPr>
          <w:trHeight w:val="525"/>
        </w:trPr>
        <w:tc>
          <w:tcPr>
            <w:tcW w:w="1716" w:type="dxa"/>
            <w:tcBorders>
              <w:top w:val="single" w:sz="4" w:space="0" w:color="auto"/>
            </w:tcBorders>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bookmarkStart w:id="265" w:name="_Appendix_A_–"/>
            <w:bookmarkStart w:id="266" w:name="_Appendix_B_–"/>
            <w:bookmarkStart w:id="267" w:name="_Appendix_D_–_2"/>
            <w:bookmarkStart w:id="268" w:name="_Appendix_E_–"/>
            <w:bookmarkStart w:id="269" w:name="_Attachment_A_–"/>
            <w:bookmarkStart w:id="270" w:name="_Appendix_DF_–"/>
            <w:bookmarkStart w:id="271" w:name="_Appendix_G_–_1"/>
            <w:bookmarkStart w:id="272" w:name="_Appendix_G_–"/>
            <w:bookmarkStart w:id="273" w:name="_Appendix_H_–"/>
            <w:bookmarkStart w:id="274" w:name="_Appendix_D_–"/>
            <w:bookmarkStart w:id="275" w:name="_Appendix_D_–_1"/>
            <w:bookmarkEnd w:id="265"/>
            <w:bookmarkEnd w:id="266"/>
            <w:bookmarkEnd w:id="267"/>
            <w:bookmarkEnd w:id="268"/>
            <w:bookmarkEnd w:id="269"/>
            <w:bookmarkEnd w:id="270"/>
            <w:bookmarkEnd w:id="271"/>
            <w:bookmarkEnd w:id="272"/>
            <w:bookmarkEnd w:id="273"/>
            <w:bookmarkEnd w:id="274"/>
            <w:bookmarkEnd w:id="275"/>
            <w:r w:rsidRPr="003E1F05">
              <w:rPr>
                <w:b/>
                <w:bCs/>
                <w:sz w:val="20"/>
                <w:szCs w:val="20"/>
                <w:lang w:eastAsia="en-AU"/>
              </w:rPr>
              <w:t>Minimum Benefit on Prostheses List</w:t>
            </w:r>
            <w:r w:rsidRPr="003E1F05">
              <w:rPr>
                <w:rStyle w:val="FootnoteReference"/>
                <w:rFonts w:eastAsia="Calibri"/>
                <w:sz w:val="20"/>
                <w:szCs w:val="20"/>
              </w:rPr>
              <w:footnoteReference w:id="4"/>
            </w:r>
          </w:p>
        </w:tc>
        <w:tc>
          <w:tcPr>
            <w:tcW w:w="2173" w:type="dxa"/>
            <w:tcBorders>
              <w:top w:val="single" w:sz="4" w:space="0" w:color="auto"/>
            </w:tcBorders>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$4,000</w:t>
            </w:r>
          </w:p>
        </w:tc>
        <w:tc>
          <w:tcPr>
            <w:tcW w:w="2174" w:type="dxa"/>
            <w:tcBorders>
              <w:top w:val="single" w:sz="4" w:space="0" w:color="auto"/>
            </w:tcBorders>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$8,950</w:t>
            </w:r>
          </w:p>
        </w:tc>
        <w:tc>
          <w:tcPr>
            <w:tcW w:w="2174" w:type="dxa"/>
            <w:tcBorders>
              <w:top w:val="single" w:sz="4" w:space="0" w:color="auto"/>
            </w:tcBorders>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$8,950</w:t>
            </w:r>
          </w:p>
        </w:tc>
        <w:tc>
          <w:tcPr>
            <w:tcW w:w="2173" w:type="dxa"/>
            <w:tcBorders>
              <w:top w:val="single" w:sz="4" w:space="0" w:color="auto"/>
            </w:tcBorders>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$9,500</w:t>
            </w:r>
          </w:p>
        </w:tc>
        <w:tc>
          <w:tcPr>
            <w:tcW w:w="2174" w:type="dxa"/>
            <w:tcBorders>
              <w:top w:val="single" w:sz="4" w:space="0" w:color="auto"/>
            </w:tcBorders>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$9,500</w:t>
            </w:r>
          </w:p>
        </w:tc>
        <w:tc>
          <w:tcPr>
            <w:tcW w:w="2174" w:type="dxa"/>
            <w:tcBorders>
              <w:top w:val="single" w:sz="4" w:space="0" w:color="auto"/>
            </w:tcBorders>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$8,950</w:t>
            </w:r>
          </w:p>
        </w:tc>
      </w:tr>
      <w:tr w:rsidR="005B7A4B" w:rsidRPr="00787F54" w:rsidTr="00E75393">
        <w:trPr>
          <w:trHeight w:val="180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Main Function</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Continuous insulin </w:t>
            </w:r>
            <w:proofErr w:type="gramStart"/>
            <w:r w:rsidRPr="003E1F05">
              <w:rPr>
                <w:sz w:val="20"/>
                <w:szCs w:val="20"/>
                <w:lang w:eastAsia="en-AU"/>
              </w:rPr>
              <w:t>infusion pump</w:t>
            </w:r>
            <w:proofErr w:type="gramEnd"/>
            <w:r w:rsidRPr="003E1F05">
              <w:rPr>
                <w:sz w:val="20"/>
                <w:szCs w:val="20"/>
                <w:lang w:eastAsia="en-AU"/>
              </w:rPr>
              <w:t xml:space="preserve"> with 300 unit reservoir. </w:t>
            </w:r>
          </w:p>
        </w:tc>
        <w:tc>
          <w:tcPr>
            <w:tcW w:w="2174" w:type="dxa"/>
            <w:shd w:val="clear" w:color="auto" w:fill="auto"/>
            <w:vAlign w:val="center"/>
            <w:hideMark/>
          </w:tcPr>
          <w:p w:rsidR="005B7A4B" w:rsidRPr="00787F54" w:rsidRDefault="005B7A4B" w:rsidP="00AE0F90">
            <w:pPr>
              <w:spacing w:before="40" w:after="40" w:line="240" w:lineRule="auto"/>
              <w:jc w:val="left"/>
              <w:rPr>
                <w:sz w:val="20"/>
                <w:szCs w:val="20"/>
                <w:lang w:eastAsia="en-AU"/>
              </w:rPr>
            </w:pPr>
            <w:r w:rsidRPr="003E1F05">
              <w:rPr>
                <w:sz w:val="20"/>
                <w:szCs w:val="20"/>
                <w:lang w:eastAsia="en-AU"/>
              </w:rPr>
              <w:t xml:space="preserve">Insulin </w:t>
            </w:r>
            <w:proofErr w:type="gramStart"/>
            <w:r w:rsidRPr="003E1F05">
              <w:rPr>
                <w:sz w:val="20"/>
                <w:szCs w:val="20"/>
                <w:lang w:eastAsia="en-AU"/>
              </w:rPr>
              <w:t>infusion pump</w:t>
            </w:r>
            <w:proofErr w:type="gramEnd"/>
            <w:r w:rsidRPr="003E1F05">
              <w:rPr>
                <w:sz w:val="20"/>
                <w:szCs w:val="20"/>
                <w:lang w:eastAsia="en-AU"/>
              </w:rPr>
              <w:t xml:space="preserve"> with an integrated blood glucose meter and remote control via Bluetooth communication. </w:t>
            </w:r>
            <w:proofErr w:type="gramStart"/>
            <w:r w:rsidR="00AE0F90" w:rsidRPr="003E1F05">
              <w:rPr>
                <w:sz w:val="20"/>
                <w:szCs w:val="20"/>
                <w:lang w:eastAsia="en-AU"/>
              </w:rPr>
              <w:t>300 unit</w:t>
            </w:r>
            <w:proofErr w:type="gramEnd"/>
            <w:r w:rsidR="00AE0F90" w:rsidRPr="003E1F05">
              <w:rPr>
                <w:sz w:val="20"/>
                <w:szCs w:val="20"/>
                <w:lang w:eastAsia="en-AU"/>
              </w:rPr>
              <w:t xml:space="preserve"> reservoir</w:t>
            </w:r>
            <w:r w:rsidRPr="003E1F05">
              <w:rPr>
                <w:sz w:val="20"/>
                <w:szCs w:val="20"/>
                <w:lang w:eastAsia="en-AU"/>
              </w:rPr>
              <w:t>.</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 xml:space="preserve">Insulin delivery </w:t>
            </w:r>
            <w:r w:rsidRPr="003E1F05">
              <w:rPr>
                <w:sz w:val="20"/>
                <w:szCs w:val="20"/>
                <w:lang w:eastAsia="en-AU"/>
              </w:rPr>
              <w:br/>
              <w:t>capable of remotely receiving and acting on information about blood glucose levels.</w:t>
            </w:r>
            <w:proofErr w:type="gramEnd"/>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Insulin delivery, automatic adjusting, with remote control.</w:t>
            </w:r>
            <w:proofErr w:type="gramEnd"/>
            <w:r w:rsidRPr="003E1F05">
              <w:rPr>
                <w:sz w:val="20"/>
                <w:szCs w:val="20"/>
                <w:lang w:eastAsia="en-AU"/>
              </w:rPr>
              <w:t xml:space="preserve"> </w:t>
            </w: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180 unit</w:t>
            </w:r>
            <w:proofErr w:type="gramEnd"/>
            <w:r w:rsidRPr="003E1F05">
              <w:rPr>
                <w:sz w:val="20"/>
                <w:szCs w:val="20"/>
                <w:lang w:eastAsia="en-AU"/>
              </w:rPr>
              <w:t xml:space="preserve"> reservoir.</w:t>
            </w:r>
          </w:p>
        </w:tc>
        <w:tc>
          <w:tcPr>
            <w:tcW w:w="2174" w:type="dxa"/>
            <w:shd w:val="clear" w:color="auto" w:fill="auto"/>
            <w:vAlign w:val="center"/>
            <w:hideMark/>
          </w:tcPr>
          <w:p w:rsidR="005B7A4B" w:rsidRPr="00410A28" w:rsidRDefault="005B7A4B" w:rsidP="00E90422">
            <w:pPr>
              <w:spacing w:before="40" w:after="40" w:line="240" w:lineRule="auto"/>
              <w:jc w:val="left"/>
              <w:rPr>
                <w:sz w:val="20"/>
                <w:szCs w:val="20"/>
                <w:lang w:eastAsia="en-AU"/>
              </w:rPr>
            </w:pPr>
            <w:r w:rsidRPr="003E1F05">
              <w:rPr>
                <w:sz w:val="20"/>
                <w:szCs w:val="20"/>
                <w:lang w:eastAsia="en-AU"/>
              </w:rPr>
              <w:t xml:space="preserve">Insulin delivery, automatic adjusting, and with remote control. </w:t>
            </w:r>
            <w:proofErr w:type="gramStart"/>
            <w:r w:rsidRPr="003E1F05">
              <w:rPr>
                <w:sz w:val="20"/>
                <w:szCs w:val="20"/>
                <w:lang w:eastAsia="en-AU"/>
              </w:rPr>
              <w:t>300 unit</w:t>
            </w:r>
            <w:proofErr w:type="gramEnd"/>
            <w:r w:rsidRPr="003E1F05">
              <w:rPr>
                <w:sz w:val="20"/>
                <w:szCs w:val="20"/>
                <w:lang w:eastAsia="en-AU"/>
              </w:rPr>
              <w:t xml:space="preserve"> reservoir.</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Insulin </w:t>
            </w:r>
            <w:proofErr w:type="gramStart"/>
            <w:r w:rsidRPr="003E1F05">
              <w:rPr>
                <w:sz w:val="20"/>
                <w:szCs w:val="20"/>
                <w:lang w:eastAsia="en-AU"/>
              </w:rPr>
              <w:t>infusion pump</w:t>
            </w:r>
            <w:proofErr w:type="gramEnd"/>
            <w:r w:rsidR="008F46FE" w:rsidRPr="003E1F05">
              <w:rPr>
                <w:sz w:val="20"/>
                <w:szCs w:val="20"/>
                <w:lang w:eastAsia="en-AU"/>
              </w:rPr>
              <w:t xml:space="preserve"> (incl. sensor / transmitter)</w:t>
            </w:r>
            <w:r w:rsidRPr="003E1F05">
              <w:rPr>
                <w:sz w:val="20"/>
                <w:szCs w:val="20"/>
                <w:lang w:eastAsia="en-AU"/>
              </w:rPr>
              <w:t>.</w:t>
            </w:r>
          </w:p>
        </w:tc>
      </w:tr>
      <w:tr w:rsidR="005B7A4B" w:rsidRPr="00787F54" w:rsidTr="00E75393">
        <w:trPr>
          <w:trHeight w:val="525"/>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CGM capable/ready</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8F46FE" w:rsidP="00E90422">
            <w:pPr>
              <w:spacing w:before="40" w:after="40" w:line="240" w:lineRule="auto"/>
              <w:jc w:val="left"/>
              <w:rPr>
                <w:sz w:val="20"/>
                <w:szCs w:val="20"/>
                <w:lang w:eastAsia="en-AU"/>
              </w:rPr>
            </w:pPr>
            <w:r w:rsidRPr="003E1F05">
              <w:rPr>
                <w:sz w:val="20"/>
                <w:szCs w:val="20"/>
                <w:lang w:eastAsia="en-AU"/>
              </w:rPr>
              <w:t>No</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r>
      <w:tr w:rsidR="005B7A4B" w:rsidRPr="00787F54" w:rsidTr="00E75393">
        <w:trPr>
          <w:trHeight w:val="701"/>
        </w:trPr>
        <w:tc>
          <w:tcPr>
            <w:tcW w:w="1716" w:type="dxa"/>
            <w:shd w:val="clear" w:color="000000" w:fill="D9D9D9"/>
            <w:vAlign w:val="center"/>
            <w:hideMark/>
          </w:tcPr>
          <w:p w:rsidR="005B7A4B" w:rsidRPr="00787F54" w:rsidRDefault="00AE0F90" w:rsidP="00E90422">
            <w:pPr>
              <w:spacing w:before="40" w:after="40" w:line="240" w:lineRule="auto"/>
              <w:jc w:val="left"/>
              <w:rPr>
                <w:b/>
                <w:bCs/>
                <w:sz w:val="20"/>
                <w:szCs w:val="20"/>
                <w:lang w:eastAsia="en-AU"/>
              </w:rPr>
            </w:pPr>
            <w:r w:rsidRPr="003E1F05">
              <w:rPr>
                <w:b/>
                <w:bCs/>
                <w:sz w:val="20"/>
                <w:szCs w:val="20"/>
                <w:lang w:eastAsia="en-AU"/>
              </w:rPr>
              <w:t>Basal i</w:t>
            </w:r>
            <w:r w:rsidR="005B7A4B" w:rsidRPr="003E1F05">
              <w:rPr>
                <w:b/>
                <w:bCs/>
                <w:sz w:val="20"/>
                <w:szCs w:val="20"/>
                <w:lang w:eastAsia="en-AU"/>
              </w:rPr>
              <w:t>ncrements (u/hour)</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0.01 - 0.1</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0.01 - 0.1</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0.01 - 0.1</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0.025 - 0.1</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0.025 - 0.1</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0.025</w:t>
            </w:r>
          </w:p>
        </w:tc>
      </w:tr>
      <w:tr w:rsidR="005B7A4B" w:rsidRPr="00787F54" w:rsidTr="00E75393">
        <w:trPr>
          <w:trHeight w:val="78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Max # of basal rate profiles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5</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w:t>
            </w:r>
          </w:p>
        </w:tc>
      </w:tr>
      <w:tr w:rsidR="005B7A4B" w:rsidRPr="00787F54" w:rsidTr="00E75393">
        <w:trPr>
          <w:trHeight w:val="1016"/>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Temporary basal rate adjustments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0-200% for 1-12 hours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0-200% for 1-12 hours</w:t>
            </w:r>
            <w:r w:rsidRPr="003E1F05" w:rsidDel="00AB7811">
              <w:rPr>
                <w:sz w:val="20"/>
                <w:szCs w:val="20"/>
                <w:lang w:eastAsia="en-AU"/>
              </w:rPr>
              <w:t xml:space="preserve"> </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0-250% in 10% increments, for 15 min - 12 hours in 15 min intervals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30 min – 24 hours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30 min – 24 hours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10% - 200% for 30 min – 24 hours </w:t>
            </w:r>
          </w:p>
        </w:tc>
      </w:tr>
      <w:tr w:rsidR="005B7A4B" w:rsidRPr="00787F54" w:rsidTr="00E75393">
        <w:trPr>
          <w:trHeight w:val="59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Max # of basal rates programmes / 24 hours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24</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24</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8</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48</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48</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12</w:t>
            </w:r>
          </w:p>
        </w:tc>
      </w:tr>
      <w:tr w:rsidR="005B7A4B" w:rsidRPr="00787F54" w:rsidTr="00E75393">
        <w:trPr>
          <w:trHeight w:val="155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 xml:space="preserve">Extended or </w:t>
            </w:r>
            <w:proofErr w:type="spellStart"/>
            <w:r w:rsidRPr="003E1F05">
              <w:rPr>
                <w:b/>
                <w:bCs/>
                <w:sz w:val="20"/>
                <w:szCs w:val="20"/>
                <w:lang w:eastAsia="en-AU"/>
              </w:rPr>
              <w:t>multiwave</w:t>
            </w:r>
            <w:proofErr w:type="spellEnd"/>
            <w:r w:rsidRPr="003E1F05">
              <w:rPr>
                <w:b/>
                <w:bCs/>
                <w:sz w:val="20"/>
                <w:szCs w:val="20"/>
                <w:lang w:eastAsia="en-AU"/>
              </w:rPr>
              <w:t xml:space="preserve"> bolus available (to assist with irregular eating patterns)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Extended bolus (30 min - 8 hours)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Extended bolus (30 min - 8 hours)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 xml:space="preserve">Extended and </w:t>
            </w:r>
            <w:proofErr w:type="spellStart"/>
            <w:r w:rsidRPr="003E1F05">
              <w:rPr>
                <w:sz w:val="20"/>
                <w:szCs w:val="20"/>
                <w:lang w:eastAsia="en-AU"/>
              </w:rPr>
              <w:t>multiwave</w:t>
            </w:r>
            <w:proofErr w:type="spellEnd"/>
            <w:r w:rsidRPr="003E1F05">
              <w:rPr>
                <w:sz w:val="20"/>
                <w:szCs w:val="20"/>
                <w:lang w:eastAsia="en-AU"/>
              </w:rPr>
              <w:t xml:space="preserve"> bolus from 15 min - 12 hours.</w:t>
            </w:r>
            <w:proofErr w:type="gramEnd"/>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Extended (can be cancelled) and </w:t>
            </w:r>
            <w:proofErr w:type="spellStart"/>
            <w:r w:rsidRPr="003E1F05">
              <w:rPr>
                <w:sz w:val="20"/>
                <w:szCs w:val="20"/>
                <w:lang w:eastAsia="en-AU"/>
              </w:rPr>
              <w:t>multiwave</w:t>
            </w:r>
            <w:proofErr w:type="spellEnd"/>
            <w:r w:rsidRPr="003E1F05">
              <w:rPr>
                <w:sz w:val="20"/>
                <w:szCs w:val="20"/>
                <w:lang w:eastAsia="en-AU"/>
              </w:rPr>
              <w:t xml:space="preserve"> bolus.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Extended (can be cancelled) and </w:t>
            </w:r>
            <w:proofErr w:type="spellStart"/>
            <w:r w:rsidRPr="003E1F05">
              <w:rPr>
                <w:sz w:val="20"/>
                <w:szCs w:val="20"/>
                <w:lang w:eastAsia="en-AU"/>
              </w:rPr>
              <w:t>multiwave</w:t>
            </w:r>
            <w:proofErr w:type="spellEnd"/>
            <w:r w:rsidRPr="003E1F05">
              <w:rPr>
                <w:sz w:val="20"/>
                <w:szCs w:val="20"/>
                <w:lang w:eastAsia="en-AU"/>
              </w:rPr>
              <w:t xml:space="preserve"> bolus.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Combo bolus allows some insulin to be delivered immediately (normal bolus) and remainder over time (extended bolus).</w:t>
            </w:r>
          </w:p>
        </w:tc>
      </w:tr>
      <w:tr w:rsidR="005B7A4B" w:rsidRPr="00787F54" w:rsidTr="00E75393">
        <w:trPr>
          <w:trHeight w:val="3641"/>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Bolus algorithm</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Variable bolus delivery speed (1 unit bolus duration: 12 - 56 seconds).</w:t>
            </w:r>
          </w:p>
          <w:p w:rsidR="005B7A4B" w:rsidRPr="003E1F05" w:rsidRDefault="005B7A4B" w:rsidP="00E90422">
            <w:pPr>
              <w:spacing w:before="40" w:after="40" w:line="240" w:lineRule="auto"/>
              <w:jc w:val="left"/>
              <w:rPr>
                <w:sz w:val="20"/>
                <w:szCs w:val="20"/>
                <w:lang w:eastAsia="en-AU"/>
              </w:rPr>
            </w:pP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Bolus calculator using target blood glucose, correction factor and carbohydrate to insulin ratio.</w:t>
            </w:r>
            <w:proofErr w:type="gramEnd"/>
            <w:r w:rsidRPr="003E1F05">
              <w:rPr>
                <w:sz w:val="20"/>
                <w:szCs w:val="20"/>
                <w:lang w:eastAsia="en-AU"/>
              </w:rPr>
              <w:t xml:space="preserve"> Also considers active insulin from calculations.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Variable bolus delivery speed (1 unit bolus duration: 12 - 56 seconds). </w:t>
            </w:r>
            <w:r w:rsidRPr="003E1F05">
              <w:rPr>
                <w:sz w:val="20"/>
                <w:szCs w:val="20"/>
                <w:lang w:eastAsia="en-AU"/>
              </w:rPr>
              <w:br/>
            </w:r>
            <w:r w:rsidRPr="003E1F05">
              <w:rPr>
                <w:sz w:val="20"/>
                <w:szCs w:val="20"/>
                <w:lang w:eastAsia="en-AU"/>
              </w:rPr>
              <w:br/>
            </w:r>
            <w:proofErr w:type="gramStart"/>
            <w:r w:rsidRPr="003E1F05">
              <w:rPr>
                <w:sz w:val="20"/>
                <w:szCs w:val="20"/>
                <w:lang w:eastAsia="en-AU"/>
              </w:rPr>
              <w:t>Bolus calculator using target blood glucose, correction factor and carbohydrate to insulin ratio.</w:t>
            </w:r>
            <w:proofErr w:type="gramEnd"/>
            <w:r w:rsidRPr="003E1F05">
              <w:rPr>
                <w:sz w:val="20"/>
                <w:szCs w:val="20"/>
                <w:lang w:eastAsia="en-AU"/>
              </w:rPr>
              <w:t xml:space="preserve"> Also considers active insulin from calculations.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Fully customisable bolus calculator.</w:t>
            </w:r>
            <w:proofErr w:type="gramEnd"/>
            <w:r w:rsidRPr="003E1F05">
              <w:rPr>
                <w:sz w:val="20"/>
                <w:szCs w:val="20"/>
                <w:lang w:eastAsia="en-AU"/>
              </w:rPr>
              <w:br/>
              <w:t>Bolus Advice function - considers 'active insulin', blood sugar level, carb intake, and additional variables such as exercise, stress, illness, premenstrual.</w:t>
            </w:r>
          </w:p>
        </w:tc>
        <w:tc>
          <w:tcPr>
            <w:tcW w:w="2173" w:type="dxa"/>
            <w:shd w:val="clear" w:color="auto" w:fill="auto"/>
            <w:vAlign w:val="center"/>
            <w:hideMark/>
          </w:tcPr>
          <w:p w:rsidR="005B7A4B" w:rsidRPr="003E1F05" w:rsidRDefault="005B7A4B" w:rsidP="00E90422">
            <w:pPr>
              <w:spacing w:before="40" w:after="40" w:line="240" w:lineRule="auto"/>
              <w:jc w:val="left"/>
              <w:rPr>
                <w:rFonts w:asciiTheme="majorHAnsi" w:hAnsiTheme="majorHAnsi" w:cs="Arial"/>
                <w:sz w:val="20"/>
                <w:szCs w:val="20"/>
              </w:rPr>
            </w:pPr>
            <w:r w:rsidRPr="003E1F05">
              <w:rPr>
                <w:sz w:val="20"/>
                <w:szCs w:val="20"/>
                <w:lang w:eastAsia="en-AU"/>
              </w:rPr>
              <w:t xml:space="preserve">Allows different bolus dose rates to be set over a </w:t>
            </w:r>
            <w:proofErr w:type="gramStart"/>
            <w:r w:rsidRPr="003E1F05">
              <w:rPr>
                <w:sz w:val="20"/>
                <w:szCs w:val="20"/>
                <w:lang w:eastAsia="en-AU"/>
              </w:rPr>
              <w:t>24 hour</w:t>
            </w:r>
            <w:proofErr w:type="gramEnd"/>
            <w:r w:rsidRPr="003E1F05">
              <w:rPr>
                <w:sz w:val="20"/>
                <w:szCs w:val="20"/>
                <w:lang w:eastAsia="en-AU"/>
              </w:rPr>
              <w:t xml:space="preserve"> period. </w:t>
            </w:r>
            <w:r w:rsidRPr="003E1F05">
              <w:rPr>
                <w:sz w:val="20"/>
                <w:szCs w:val="20"/>
                <w:lang w:eastAsia="en-AU"/>
              </w:rPr>
              <w:br/>
            </w:r>
            <w:r w:rsidRPr="003E1F05">
              <w:rPr>
                <w:sz w:val="20"/>
                <w:szCs w:val="20"/>
                <w:lang w:eastAsia="en-AU"/>
              </w:rPr>
              <w:br/>
              <w:t xml:space="preserve">Active Insulin </w:t>
            </w:r>
            <w:proofErr w:type="spellStart"/>
            <w:r w:rsidRPr="003E1F05">
              <w:rPr>
                <w:sz w:val="20"/>
                <w:szCs w:val="20"/>
                <w:lang w:eastAsia="en-AU"/>
              </w:rPr>
              <w:t>Onboard</w:t>
            </w:r>
            <w:proofErr w:type="spellEnd"/>
            <w:r w:rsidRPr="003E1F05">
              <w:rPr>
                <w:sz w:val="20"/>
                <w:szCs w:val="20"/>
                <w:lang w:eastAsia="en-AU"/>
              </w:rPr>
              <w:t xml:space="preserve"> </w:t>
            </w:r>
            <w:r w:rsidRPr="003E1F05">
              <w:rPr>
                <w:rFonts w:asciiTheme="majorHAnsi" w:hAnsiTheme="majorHAnsi"/>
                <w:sz w:val="20"/>
                <w:szCs w:val="20"/>
                <w:lang w:eastAsia="en-AU"/>
              </w:rPr>
              <w:t xml:space="preserve">- </w:t>
            </w:r>
            <w:r w:rsidRPr="003E1F05">
              <w:rPr>
                <w:rFonts w:asciiTheme="majorHAnsi" w:hAnsiTheme="majorHAnsi" w:cs="Arial"/>
                <w:sz w:val="20"/>
                <w:szCs w:val="20"/>
              </w:rPr>
              <w:t>Informs user of active insulin remaining from previous bolus.</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br/>
              <w:t xml:space="preserve">Bolus Wizard(R) - suggests bolus dose based on personal settings, food intake and current blood glucose value. </w:t>
            </w:r>
          </w:p>
        </w:tc>
        <w:tc>
          <w:tcPr>
            <w:tcW w:w="2174" w:type="dxa"/>
            <w:shd w:val="clear" w:color="auto" w:fill="auto"/>
            <w:vAlign w:val="center"/>
            <w:hideMark/>
          </w:tcPr>
          <w:p w:rsidR="005B7A4B" w:rsidRPr="003E1F05" w:rsidRDefault="005B7A4B" w:rsidP="00E90422">
            <w:pPr>
              <w:spacing w:before="40" w:after="40" w:line="240" w:lineRule="auto"/>
              <w:jc w:val="left"/>
              <w:rPr>
                <w:rFonts w:asciiTheme="majorHAnsi" w:hAnsiTheme="majorHAnsi" w:cs="Arial"/>
                <w:sz w:val="20"/>
                <w:szCs w:val="20"/>
              </w:rPr>
            </w:pPr>
            <w:r w:rsidRPr="003E1F05">
              <w:rPr>
                <w:sz w:val="20"/>
                <w:szCs w:val="20"/>
                <w:lang w:eastAsia="en-AU"/>
              </w:rPr>
              <w:t xml:space="preserve">Allows different bolus dose rates to be set over a </w:t>
            </w:r>
            <w:proofErr w:type="gramStart"/>
            <w:r w:rsidRPr="003E1F05">
              <w:rPr>
                <w:sz w:val="20"/>
                <w:szCs w:val="20"/>
                <w:lang w:eastAsia="en-AU"/>
              </w:rPr>
              <w:t>24 hour</w:t>
            </w:r>
            <w:proofErr w:type="gramEnd"/>
            <w:r w:rsidRPr="003E1F05">
              <w:rPr>
                <w:sz w:val="20"/>
                <w:szCs w:val="20"/>
                <w:lang w:eastAsia="en-AU"/>
              </w:rPr>
              <w:t xml:space="preserve"> period. </w:t>
            </w:r>
            <w:r w:rsidRPr="003E1F05">
              <w:rPr>
                <w:sz w:val="20"/>
                <w:szCs w:val="20"/>
                <w:lang w:eastAsia="en-AU"/>
              </w:rPr>
              <w:br/>
            </w:r>
            <w:r w:rsidRPr="003E1F05">
              <w:rPr>
                <w:sz w:val="20"/>
                <w:szCs w:val="20"/>
                <w:lang w:eastAsia="en-AU"/>
              </w:rPr>
              <w:br/>
              <w:t xml:space="preserve">Active Insulin </w:t>
            </w:r>
            <w:proofErr w:type="spellStart"/>
            <w:r w:rsidRPr="003E1F05">
              <w:rPr>
                <w:sz w:val="20"/>
                <w:szCs w:val="20"/>
                <w:lang w:eastAsia="en-AU"/>
              </w:rPr>
              <w:t>Onboard</w:t>
            </w:r>
            <w:proofErr w:type="spellEnd"/>
            <w:r w:rsidRPr="003E1F05">
              <w:rPr>
                <w:sz w:val="20"/>
                <w:szCs w:val="20"/>
                <w:lang w:eastAsia="en-AU"/>
              </w:rPr>
              <w:t xml:space="preserve"> </w:t>
            </w:r>
            <w:r w:rsidRPr="003E1F05">
              <w:rPr>
                <w:rFonts w:asciiTheme="majorHAnsi" w:hAnsiTheme="majorHAnsi"/>
                <w:sz w:val="20"/>
                <w:szCs w:val="20"/>
                <w:lang w:eastAsia="en-AU"/>
              </w:rPr>
              <w:t xml:space="preserve">- </w:t>
            </w:r>
            <w:r w:rsidRPr="003E1F05">
              <w:rPr>
                <w:rFonts w:asciiTheme="majorHAnsi" w:hAnsiTheme="majorHAnsi" w:cs="Arial"/>
                <w:sz w:val="20"/>
                <w:szCs w:val="20"/>
              </w:rPr>
              <w:t>Informs user of active insulin remaining from previous bolus.</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br/>
              <w:t>Bolus Wizard(R) - suggests bolus dose based on personal settings, food intake and current blood glucose value.</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Calculate a bolus amount to cover the carbs in food (</w:t>
            </w:r>
            <w:proofErr w:type="spellStart"/>
            <w:r w:rsidRPr="003E1F05">
              <w:rPr>
                <w:sz w:val="20"/>
                <w:szCs w:val="20"/>
                <w:lang w:eastAsia="en-AU"/>
              </w:rPr>
              <w:t>ezCarb</w:t>
            </w:r>
            <w:proofErr w:type="spellEnd"/>
            <w:r w:rsidRPr="003E1F05">
              <w:rPr>
                <w:sz w:val="20"/>
                <w:szCs w:val="20"/>
                <w:lang w:eastAsia="en-AU"/>
              </w:rPr>
              <w:t>).</w:t>
            </w:r>
            <w:r w:rsidRPr="003E1F05">
              <w:rPr>
                <w:sz w:val="20"/>
                <w:szCs w:val="20"/>
                <w:lang w:eastAsia="en-AU"/>
              </w:rPr>
              <w:br/>
              <w:t>Automatically calculate a correction dose of insulin based on the latest blood sugar reading (</w:t>
            </w:r>
            <w:proofErr w:type="spellStart"/>
            <w:r w:rsidRPr="003E1F05">
              <w:rPr>
                <w:sz w:val="20"/>
                <w:szCs w:val="20"/>
                <w:lang w:eastAsia="en-AU"/>
              </w:rPr>
              <w:t>ezBG</w:t>
            </w:r>
            <w:proofErr w:type="spellEnd"/>
            <w:r w:rsidRPr="003E1F05">
              <w:rPr>
                <w:sz w:val="20"/>
                <w:szCs w:val="20"/>
                <w:lang w:eastAsia="en-AU"/>
              </w:rPr>
              <w:t>).</w:t>
            </w:r>
            <w:r w:rsidRPr="003E1F05">
              <w:rPr>
                <w:sz w:val="20"/>
                <w:szCs w:val="20"/>
                <w:lang w:eastAsia="en-AU"/>
              </w:rPr>
              <w:br/>
            </w:r>
            <w:r w:rsidRPr="003E1F05">
              <w:rPr>
                <w:sz w:val="20"/>
                <w:szCs w:val="20"/>
                <w:lang w:eastAsia="en-AU"/>
              </w:rPr>
              <w:br/>
            </w:r>
            <w:proofErr w:type="gramStart"/>
            <w:r w:rsidRPr="003E1F05">
              <w:rPr>
                <w:sz w:val="20"/>
                <w:szCs w:val="20"/>
                <w:lang w:eastAsia="en-AU"/>
              </w:rPr>
              <w:t>The “Insulin on Board”* feature tracks active insulin in the body to help prevent hypoglycaemia due to “stacking” (unnecessary additional insulin).</w:t>
            </w:r>
            <w:proofErr w:type="gramEnd"/>
          </w:p>
        </w:tc>
      </w:tr>
      <w:tr w:rsidR="005B7A4B" w:rsidRPr="00787F54" w:rsidTr="00E75393">
        <w:trPr>
          <w:trHeight w:val="3075"/>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Additional features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Not available</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Blood glucose measurement in remote controller.</w:t>
            </w:r>
            <w:proofErr w:type="gramEnd"/>
          </w:p>
          <w:p w:rsidR="005B7A4B" w:rsidRPr="003E1F05" w:rsidRDefault="005B7A4B" w:rsidP="00E90422">
            <w:pPr>
              <w:spacing w:before="40" w:after="40" w:line="240" w:lineRule="auto"/>
              <w:jc w:val="left"/>
              <w:rPr>
                <w:sz w:val="20"/>
                <w:szCs w:val="20"/>
                <w:lang w:eastAsia="en-AU"/>
              </w:rPr>
            </w:pP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Bluetooth communication to Android mobile phone.</w:t>
            </w:r>
            <w:proofErr w:type="gramEnd"/>
            <w:r w:rsidRPr="003E1F05">
              <w:rPr>
                <w:sz w:val="20"/>
                <w:szCs w:val="20"/>
                <w:lang w:eastAsia="en-AU"/>
              </w:rPr>
              <w:t xml:space="preserve"> Can utilise the mobile phone for all pump settings and </w:t>
            </w:r>
            <w:proofErr w:type="gramStart"/>
            <w:r w:rsidRPr="003E1F05">
              <w:rPr>
                <w:sz w:val="20"/>
                <w:szCs w:val="20"/>
                <w:lang w:eastAsia="en-AU"/>
              </w:rPr>
              <w:t>to discreetly deliver</w:t>
            </w:r>
            <w:proofErr w:type="gramEnd"/>
            <w:r w:rsidRPr="003E1F05">
              <w:rPr>
                <w:sz w:val="20"/>
                <w:szCs w:val="20"/>
                <w:lang w:eastAsia="en-AU"/>
              </w:rPr>
              <w:t xml:space="preserve"> boluses.</w:t>
            </w:r>
          </w:p>
        </w:tc>
        <w:tc>
          <w:tcPr>
            <w:tcW w:w="2174" w:type="dxa"/>
            <w:shd w:val="clear" w:color="000000" w:fill="F2F2F2"/>
            <w:vAlign w:val="center"/>
            <w:hideMark/>
          </w:tcPr>
          <w:p w:rsidR="001F2E11" w:rsidRPr="003E1F05" w:rsidRDefault="005B7A4B" w:rsidP="00E90422">
            <w:pPr>
              <w:spacing w:before="40" w:after="40" w:line="240" w:lineRule="auto"/>
              <w:jc w:val="left"/>
              <w:rPr>
                <w:sz w:val="20"/>
                <w:szCs w:val="20"/>
                <w:lang w:eastAsia="en-AU"/>
              </w:rPr>
            </w:pPr>
            <w:r w:rsidRPr="003E1F05">
              <w:rPr>
                <w:sz w:val="20"/>
                <w:szCs w:val="20"/>
                <w:lang w:eastAsia="en-AU"/>
              </w:rPr>
              <w:t xml:space="preserve">Blood glucose meter </w:t>
            </w:r>
            <w:proofErr w:type="gramStart"/>
            <w:r w:rsidRPr="003E1F05">
              <w:rPr>
                <w:sz w:val="20"/>
                <w:szCs w:val="20"/>
                <w:lang w:eastAsia="en-AU"/>
              </w:rPr>
              <w:t>can be used</w:t>
            </w:r>
            <w:proofErr w:type="gramEnd"/>
            <w:r w:rsidRPr="003E1F05">
              <w:rPr>
                <w:sz w:val="20"/>
                <w:szCs w:val="20"/>
                <w:lang w:eastAsia="en-AU"/>
              </w:rPr>
              <w:t xml:space="preserve"> to remotely control pump and has colour display, logbook, trend graphs, target report, and standard week and standard day reports.</w:t>
            </w:r>
            <w:r w:rsidRPr="003E1F05">
              <w:rPr>
                <w:sz w:val="20"/>
                <w:szCs w:val="20"/>
                <w:lang w:eastAsia="en-AU"/>
              </w:rPr>
              <w:br/>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Date reminders (e.g. infusion set change) and alarm clock reminders (up to 8 per day).</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Activity guard available to protect the pump from disconnecting.</w:t>
            </w:r>
            <w:proofErr w:type="gramEnd"/>
          </w:p>
          <w:p w:rsidR="005B7A4B" w:rsidRPr="003E1F05" w:rsidRDefault="005B7A4B" w:rsidP="00E90422">
            <w:pPr>
              <w:spacing w:before="40" w:after="40" w:line="240" w:lineRule="auto"/>
              <w:jc w:val="left"/>
              <w:rPr>
                <w:sz w:val="20"/>
                <w:szCs w:val="20"/>
                <w:lang w:eastAsia="en-AU"/>
              </w:rPr>
            </w:pPr>
          </w:p>
          <w:p w:rsidR="005B7A4B" w:rsidRPr="003E1F05" w:rsidRDefault="001F2E11" w:rsidP="00E90422">
            <w:pPr>
              <w:spacing w:before="40" w:after="40" w:line="240" w:lineRule="auto"/>
              <w:jc w:val="left"/>
              <w:rPr>
                <w:sz w:val="20"/>
                <w:szCs w:val="20"/>
                <w:lang w:eastAsia="en-AU"/>
              </w:rPr>
            </w:pPr>
            <w:r w:rsidRPr="003E1F05">
              <w:rPr>
                <w:sz w:val="20"/>
                <w:szCs w:val="20"/>
                <w:lang w:eastAsia="en-AU"/>
              </w:rPr>
              <w:t xml:space="preserve">CGM </w:t>
            </w:r>
            <w:r w:rsidR="005B7A4B" w:rsidRPr="003E1F05">
              <w:rPr>
                <w:sz w:val="20"/>
                <w:szCs w:val="20"/>
                <w:lang w:eastAsia="en-AU"/>
              </w:rPr>
              <w:t xml:space="preserve">using 6-day disposable sensors connected to transmitter. Transmitter provides readings to pump at 5-minute intervals. </w:t>
            </w:r>
          </w:p>
          <w:p w:rsidR="005B7A4B" w:rsidRPr="00787F54" w:rsidRDefault="005B7A4B" w:rsidP="00E90422">
            <w:pPr>
              <w:spacing w:before="40" w:after="40" w:line="240" w:lineRule="auto"/>
              <w:jc w:val="left"/>
              <w:rPr>
                <w:sz w:val="20"/>
                <w:szCs w:val="20"/>
                <w:lang w:eastAsia="en-AU"/>
              </w:rPr>
            </w:pP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Activity guard available to protect the pump from disconnecting.</w:t>
            </w:r>
            <w:proofErr w:type="gramEnd"/>
          </w:p>
          <w:p w:rsidR="005B7A4B" w:rsidRPr="003E1F05" w:rsidRDefault="005B7A4B" w:rsidP="00E90422">
            <w:pPr>
              <w:spacing w:before="40" w:after="40" w:line="240" w:lineRule="auto"/>
              <w:jc w:val="left"/>
              <w:rPr>
                <w:sz w:val="20"/>
                <w:szCs w:val="20"/>
                <w:lang w:eastAsia="en-AU"/>
              </w:rPr>
            </w:pPr>
          </w:p>
          <w:p w:rsidR="005B7A4B" w:rsidRPr="003E1F05" w:rsidRDefault="001F2E11" w:rsidP="00E90422">
            <w:pPr>
              <w:spacing w:before="40" w:after="40" w:line="240" w:lineRule="auto"/>
              <w:jc w:val="left"/>
              <w:rPr>
                <w:sz w:val="20"/>
                <w:szCs w:val="20"/>
                <w:lang w:eastAsia="en-AU"/>
              </w:rPr>
            </w:pPr>
            <w:r w:rsidRPr="003E1F05">
              <w:rPr>
                <w:sz w:val="20"/>
                <w:szCs w:val="20"/>
                <w:lang w:eastAsia="en-AU"/>
              </w:rPr>
              <w:t xml:space="preserve">CGM </w:t>
            </w:r>
            <w:r w:rsidR="005B7A4B" w:rsidRPr="003E1F05">
              <w:rPr>
                <w:sz w:val="20"/>
                <w:szCs w:val="20"/>
                <w:lang w:eastAsia="en-AU"/>
              </w:rPr>
              <w:t xml:space="preserve">using 6-day disposable sensors connected to transmitter. Transmitter provides readings to pump at 5-minute intervals. </w:t>
            </w:r>
          </w:p>
          <w:p w:rsidR="005B7A4B" w:rsidRPr="00787F54" w:rsidRDefault="005B7A4B" w:rsidP="00E90422">
            <w:pPr>
              <w:spacing w:before="40" w:after="40" w:line="240" w:lineRule="auto"/>
              <w:jc w:val="left"/>
              <w:rPr>
                <w:sz w:val="20"/>
                <w:szCs w:val="20"/>
                <w:lang w:eastAsia="en-AU"/>
              </w:rPr>
            </w:pP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High-contrast colour screen.</w:t>
            </w:r>
            <w:proofErr w:type="gramEnd"/>
            <w:r w:rsidRPr="003E1F05">
              <w:rPr>
                <w:sz w:val="20"/>
                <w:szCs w:val="20"/>
                <w:lang w:eastAsia="en-AU"/>
              </w:rPr>
              <w:br/>
            </w:r>
            <w:r w:rsidRPr="003E1F05">
              <w:rPr>
                <w:sz w:val="20"/>
                <w:szCs w:val="20"/>
                <w:lang w:eastAsia="en-AU"/>
              </w:rPr>
              <w:br/>
            </w:r>
            <w:proofErr w:type="gramStart"/>
            <w:r w:rsidRPr="003E1F05">
              <w:rPr>
                <w:sz w:val="20"/>
                <w:szCs w:val="20"/>
                <w:lang w:eastAsia="en-AU"/>
              </w:rPr>
              <w:t>Trends and rates.</w:t>
            </w:r>
            <w:proofErr w:type="gramEnd"/>
            <w:r w:rsidRPr="003E1F05">
              <w:rPr>
                <w:sz w:val="20"/>
                <w:szCs w:val="20"/>
                <w:lang w:eastAsia="en-AU"/>
              </w:rPr>
              <w:br/>
            </w:r>
            <w:r w:rsidRPr="003E1F05">
              <w:rPr>
                <w:sz w:val="20"/>
                <w:szCs w:val="20"/>
                <w:lang w:eastAsia="en-AU"/>
              </w:rPr>
              <w:br/>
            </w:r>
            <w:r w:rsidR="001F2E11" w:rsidRPr="003E1F05">
              <w:rPr>
                <w:sz w:val="20"/>
                <w:szCs w:val="20"/>
                <w:lang w:eastAsia="en-AU"/>
              </w:rPr>
              <w:t xml:space="preserve">CGM </w:t>
            </w:r>
            <w:r w:rsidRPr="003E1F05">
              <w:rPr>
                <w:sz w:val="20"/>
                <w:szCs w:val="20"/>
                <w:lang w:eastAsia="en-AU"/>
              </w:rPr>
              <w:t xml:space="preserve">with Animas® Vibe™ is only indicated for patients 18 years or older. </w:t>
            </w:r>
          </w:p>
        </w:tc>
      </w:tr>
      <w:tr w:rsidR="005B7A4B" w:rsidRPr="00787F54" w:rsidTr="00E75393">
        <w:trPr>
          <w:trHeight w:val="983"/>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 xml:space="preserve">Safety - Maximum </w:t>
            </w:r>
            <w:proofErr w:type="spellStart"/>
            <w:r w:rsidRPr="003E1F05">
              <w:rPr>
                <w:b/>
                <w:bCs/>
                <w:sz w:val="20"/>
                <w:szCs w:val="20"/>
                <w:lang w:eastAsia="en-AU"/>
              </w:rPr>
              <w:t>Qty</w:t>
            </w:r>
            <w:proofErr w:type="spellEnd"/>
            <w:r w:rsidRPr="003E1F05">
              <w:rPr>
                <w:b/>
                <w:bCs/>
                <w:sz w:val="20"/>
                <w:szCs w:val="20"/>
                <w:lang w:eastAsia="en-AU"/>
              </w:rPr>
              <w:t xml:space="preserve"> delivered at a single fault condition</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Yes, customisable for patient doses.</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Yes, customisable for patient doses.</w:t>
            </w:r>
            <w:proofErr w:type="gramEnd"/>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≤1.0 units</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Maximum Bolus – customisable to 75U.</w:t>
            </w:r>
            <w:proofErr w:type="gramEnd"/>
          </w:p>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Maximum Basal Rate – customisable.</w:t>
            </w:r>
            <w:proofErr w:type="gramEnd"/>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Maximum Delivery Exceeded – to prevent multiple small boluses within one hour.</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Maximum Bolus – customisable to 75U.</w:t>
            </w:r>
            <w:proofErr w:type="gramEnd"/>
          </w:p>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Maximum Basal Rate – customisable.</w:t>
            </w:r>
            <w:proofErr w:type="gramEnd"/>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Maximum Delivery Exceeded – to prevent multiple small boluses within one hour.</w:t>
            </w:r>
          </w:p>
        </w:tc>
        <w:tc>
          <w:tcPr>
            <w:tcW w:w="2174" w:type="dxa"/>
            <w:shd w:val="clear" w:color="000000" w:fill="F2F2F2"/>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Maximum prime dose is 20U. </w:t>
            </w:r>
            <w:proofErr w:type="gramStart"/>
            <w:r w:rsidRPr="003E1F05">
              <w:rPr>
                <w:sz w:val="20"/>
                <w:szCs w:val="20"/>
                <w:lang w:eastAsia="en-AU"/>
              </w:rPr>
              <w:t>Total Daily dose is set by patient</w:t>
            </w:r>
            <w:proofErr w:type="gramEnd"/>
            <w:r w:rsidRPr="003E1F05">
              <w:rPr>
                <w:sz w:val="20"/>
                <w:szCs w:val="20"/>
                <w:lang w:eastAsia="en-AU"/>
              </w:rPr>
              <w:t xml:space="preserve">. A maximum </w:t>
            </w:r>
            <w:proofErr w:type="gramStart"/>
            <w:r w:rsidRPr="003E1F05">
              <w:rPr>
                <w:sz w:val="20"/>
                <w:szCs w:val="20"/>
                <w:lang w:eastAsia="en-AU"/>
              </w:rPr>
              <w:t>2 hour</w:t>
            </w:r>
            <w:proofErr w:type="gramEnd"/>
            <w:r w:rsidRPr="003E1F05">
              <w:rPr>
                <w:sz w:val="20"/>
                <w:szCs w:val="20"/>
                <w:lang w:eastAsia="en-AU"/>
              </w:rPr>
              <w:t xml:space="preserve"> dose limit is set. Bolus &amp; Basal limits are user selected.  </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Response to single fault condition depends on circumstances.</w:t>
            </w:r>
          </w:p>
        </w:tc>
      </w:tr>
      <w:tr w:rsidR="005B7A4B" w:rsidRPr="00787F54" w:rsidTr="00E75393">
        <w:trPr>
          <w:trHeight w:val="841"/>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Safety lock to prevent accidental insulin delivery</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Button-Lock mode to prevent unintended operation.</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Button-Lock mode to prevent unintended operation.</w:t>
            </w:r>
            <w:proofErr w:type="gramEnd"/>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Key lock function.</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Child block - disables buttons to prevent accidental delivery.</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Keypad lock – prevent accidental button pressing.</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Child block - disables buttons to prevent accidental delivery.</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Keypad lock – prevent accidental button pressing.</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Tamper resistant "Locked" feature.</w:t>
            </w:r>
          </w:p>
        </w:tc>
      </w:tr>
      <w:tr w:rsidR="005B7A4B" w:rsidRPr="00787F54" w:rsidTr="00E75393">
        <w:trPr>
          <w:trHeight w:val="1419"/>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Alerts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Audible reminders of bolus insulin/carbohydrate </w:t>
            </w:r>
            <w:proofErr w:type="gramStart"/>
            <w:r w:rsidRPr="003E1F05">
              <w:rPr>
                <w:sz w:val="20"/>
                <w:szCs w:val="20"/>
                <w:lang w:eastAsia="en-AU"/>
              </w:rPr>
              <w:t>ratio for certain</w:t>
            </w:r>
            <w:proofErr w:type="gramEnd"/>
            <w:r w:rsidRPr="003E1F05">
              <w:rPr>
                <w:sz w:val="20"/>
                <w:szCs w:val="20"/>
                <w:lang w:eastAsia="en-AU"/>
              </w:rPr>
              <w:t xml:space="preserve"> periods - post meal. </w:t>
            </w:r>
            <w:r w:rsidRPr="003E1F05">
              <w:rPr>
                <w:sz w:val="20"/>
                <w:szCs w:val="20"/>
                <w:lang w:eastAsia="en-AU"/>
              </w:rPr>
              <w:br/>
            </w:r>
            <w:r w:rsidRPr="003E1F05">
              <w:rPr>
                <w:sz w:val="20"/>
                <w:szCs w:val="20"/>
                <w:lang w:eastAsia="en-AU"/>
              </w:rPr>
              <w:br/>
            </w:r>
            <w:proofErr w:type="gramStart"/>
            <w:r w:rsidRPr="003E1F05">
              <w:rPr>
                <w:sz w:val="20"/>
                <w:szCs w:val="20"/>
                <w:lang w:eastAsia="en-AU"/>
              </w:rPr>
              <w:t>Low battery, low reservoir, occlusion.</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Audible reminders of bolus insulin/ carbohydrate </w:t>
            </w:r>
            <w:proofErr w:type="gramStart"/>
            <w:r w:rsidRPr="003E1F05">
              <w:rPr>
                <w:sz w:val="20"/>
                <w:szCs w:val="20"/>
                <w:lang w:eastAsia="en-AU"/>
              </w:rPr>
              <w:t>ratio for certain</w:t>
            </w:r>
            <w:proofErr w:type="gramEnd"/>
            <w:r w:rsidRPr="003E1F05">
              <w:rPr>
                <w:sz w:val="20"/>
                <w:szCs w:val="20"/>
                <w:lang w:eastAsia="en-AU"/>
              </w:rPr>
              <w:t xml:space="preserve"> periods - post meal. </w:t>
            </w:r>
            <w:r w:rsidRPr="003E1F05">
              <w:rPr>
                <w:sz w:val="20"/>
                <w:szCs w:val="20"/>
                <w:lang w:eastAsia="en-AU"/>
              </w:rPr>
              <w:br/>
            </w:r>
            <w:r w:rsidRPr="003E1F05">
              <w:rPr>
                <w:sz w:val="20"/>
                <w:szCs w:val="20"/>
                <w:lang w:eastAsia="en-AU"/>
              </w:rPr>
              <w:br/>
            </w:r>
            <w:proofErr w:type="gramStart"/>
            <w:r w:rsidRPr="003E1F05">
              <w:rPr>
                <w:sz w:val="20"/>
                <w:szCs w:val="20"/>
                <w:lang w:eastAsia="en-AU"/>
              </w:rPr>
              <w:t>Low battery, low reservoir, occlusion.</w:t>
            </w:r>
            <w:proofErr w:type="gramEnd"/>
          </w:p>
        </w:tc>
        <w:tc>
          <w:tcPr>
            <w:tcW w:w="2174" w:type="dxa"/>
            <w:shd w:val="clear" w:color="000000" w:fill="F2F2F2"/>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Audible and vibration notifications of </w:t>
            </w:r>
            <w:proofErr w:type="gramStart"/>
            <w:r w:rsidRPr="003E1F05">
              <w:rPr>
                <w:sz w:val="20"/>
                <w:szCs w:val="20"/>
                <w:lang w:eastAsia="en-AU"/>
              </w:rPr>
              <w:t>blood glucose test reminders</w:t>
            </w:r>
            <w:proofErr w:type="gramEnd"/>
            <w:r w:rsidRPr="003E1F05">
              <w:rPr>
                <w:sz w:val="20"/>
                <w:szCs w:val="20"/>
                <w:lang w:eastAsia="en-AU"/>
              </w:rPr>
              <w:t>, infusion set change, errors and blockage in infusion set.</w:t>
            </w:r>
          </w:p>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 </w:t>
            </w: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High/low blood glucose*.</w:t>
            </w:r>
            <w:proofErr w:type="gramEnd"/>
            <w:r w:rsidRPr="003E1F05">
              <w:rPr>
                <w:sz w:val="20"/>
                <w:szCs w:val="20"/>
                <w:lang w:eastAsia="en-AU"/>
              </w:rPr>
              <w:t xml:space="preserve"> </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High and Low Glucose, Predictive, rate of change, and trend arrows alerts*. </w:t>
            </w:r>
          </w:p>
          <w:p w:rsidR="005B7A4B" w:rsidRPr="003E1F05" w:rsidRDefault="005B7A4B" w:rsidP="00E90422">
            <w:pPr>
              <w:spacing w:before="40" w:after="40" w:line="240" w:lineRule="auto"/>
              <w:jc w:val="left"/>
              <w:rPr>
                <w:sz w:val="20"/>
                <w:szCs w:val="20"/>
                <w:lang w:eastAsia="en-AU"/>
              </w:rPr>
            </w:pPr>
          </w:p>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Low Glucose Suspend alerts – will suspend delivery for a maximum of 2 hours in times of hypoglycaemia when user does not respond to alert*. </w:t>
            </w:r>
          </w:p>
          <w:p w:rsidR="005B7A4B" w:rsidRPr="003E1F05" w:rsidRDefault="005B7A4B" w:rsidP="00E90422">
            <w:pPr>
              <w:spacing w:before="40" w:after="40" w:line="240" w:lineRule="auto"/>
              <w:jc w:val="left"/>
              <w:rPr>
                <w:sz w:val="20"/>
                <w:szCs w:val="20"/>
                <w:lang w:eastAsia="en-AU"/>
              </w:rPr>
            </w:pPr>
          </w:p>
          <w:p w:rsidR="005B7A4B" w:rsidRPr="003E1F05" w:rsidRDefault="005B7A4B" w:rsidP="00E90422">
            <w:pPr>
              <w:spacing w:before="40" w:after="40" w:line="240" w:lineRule="auto"/>
              <w:jc w:val="left"/>
              <w:rPr>
                <w:sz w:val="20"/>
                <w:szCs w:val="20"/>
                <w:lang w:eastAsia="en-AU"/>
              </w:rPr>
            </w:pPr>
            <w:r w:rsidRPr="003E1F05">
              <w:rPr>
                <w:sz w:val="20"/>
                <w:szCs w:val="20"/>
                <w:lang w:eastAsia="en-AU"/>
              </w:rPr>
              <w:t>Auto Off – alert and Suspend feature when no button has been pressed for a pre-determined duration of time.</w:t>
            </w:r>
            <w:r w:rsidRPr="003E1F05">
              <w:rPr>
                <w:sz w:val="20"/>
                <w:szCs w:val="20"/>
                <w:lang w:eastAsia="en-AU"/>
              </w:rPr>
              <w:br/>
            </w:r>
          </w:p>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Low battery, low reservoir.</w:t>
            </w:r>
            <w:proofErr w:type="gramEnd"/>
            <w:r w:rsidRPr="003E1F05">
              <w:rPr>
                <w:sz w:val="20"/>
                <w:szCs w:val="20"/>
                <w:lang w:eastAsia="en-AU"/>
              </w:rPr>
              <w:br/>
            </w:r>
            <w:proofErr w:type="gramStart"/>
            <w:r w:rsidRPr="003E1F05">
              <w:rPr>
                <w:sz w:val="20"/>
                <w:szCs w:val="20"/>
                <w:lang w:eastAsia="en-AU"/>
              </w:rPr>
              <w:t>Missed meal bolus reminder.</w:t>
            </w:r>
            <w:proofErr w:type="gramEnd"/>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*Alerts available only with pump and glucose monitor turned on. </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High and Low Glucose,</w:t>
            </w:r>
          </w:p>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Predictive, rate of change and trend arrows alerts*.</w:t>
            </w:r>
            <w:proofErr w:type="gramEnd"/>
            <w:r w:rsidRPr="003E1F05">
              <w:rPr>
                <w:sz w:val="20"/>
                <w:szCs w:val="20"/>
                <w:lang w:eastAsia="en-AU"/>
              </w:rPr>
              <w:t xml:space="preserve"> </w:t>
            </w:r>
            <w:r w:rsidRPr="003E1F05">
              <w:rPr>
                <w:sz w:val="20"/>
                <w:szCs w:val="20"/>
                <w:lang w:eastAsia="en-AU"/>
              </w:rPr>
              <w:br/>
            </w:r>
          </w:p>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Low Glucose Suspend alerts – will suspend delivery for a maximum of 2 hours in times of hypoglycaemia when user does not respond to alert*. </w:t>
            </w:r>
          </w:p>
          <w:p w:rsidR="005B7A4B" w:rsidRPr="003E1F05" w:rsidRDefault="005B7A4B" w:rsidP="00E90422">
            <w:pPr>
              <w:spacing w:before="40" w:after="40" w:line="240" w:lineRule="auto"/>
              <w:jc w:val="left"/>
              <w:rPr>
                <w:sz w:val="20"/>
                <w:szCs w:val="20"/>
                <w:lang w:eastAsia="en-AU"/>
              </w:rPr>
            </w:pPr>
          </w:p>
          <w:p w:rsidR="005B7A4B" w:rsidRPr="003E1F05" w:rsidRDefault="005B7A4B" w:rsidP="00E90422">
            <w:pPr>
              <w:spacing w:before="40" w:after="40" w:line="240" w:lineRule="auto"/>
              <w:jc w:val="left"/>
              <w:rPr>
                <w:sz w:val="20"/>
                <w:szCs w:val="20"/>
                <w:lang w:eastAsia="en-AU"/>
              </w:rPr>
            </w:pPr>
            <w:r w:rsidRPr="003E1F05">
              <w:rPr>
                <w:sz w:val="20"/>
                <w:szCs w:val="20"/>
                <w:lang w:eastAsia="en-AU"/>
              </w:rPr>
              <w:t>Auto Off – alert and Suspend feature when no button has been pressed for a pre-determined duration of time.</w:t>
            </w:r>
            <w:r w:rsidRPr="003E1F05">
              <w:rPr>
                <w:sz w:val="20"/>
                <w:szCs w:val="20"/>
                <w:lang w:eastAsia="en-AU"/>
              </w:rPr>
              <w:br/>
            </w:r>
          </w:p>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Low battery, low reservoir.</w:t>
            </w:r>
            <w:proofErr w:type="gramEnd"/>
            <w:r w:rsidRPr="003E1F05">
              <w:rPr>
                <w:sz w:val="20"/>
                <w:szCs w:val="20"/>
                <w:lang w:eastAsia="en-AU"/>
              </w:rPr>
              <w:br/>
            </w:r>
            <w:proofErr w:type="gramStart"/>
            <w:r w:rsidRPr="003E1F05">
              <w:rPr>
                <w:sz w:val="20"/>
                <w:szCs w:val="20"/>
                <w:lang w:eastAsia="en-AU"/>
              </w:rPr>
              <w:t>Missed meal bolus reminder.</w:t>
            </w:r>
            <w:proofErr w:type="gramEnd"/>
          </w:p>
          <w:p w:rsidR="005B7A4B" w:rsidRPr="0035695F" w:rsidRDefault="005B7A4B" w:rsidP="00E90422">
            <w:pPr>
              <w:spacing w:before="40" w:after="40" w:line="240" w:lineRule="auto"/>
              <w:jc w:val="left"/>
              <w:rPr>
                <w:sz w:val="20"/>
                <w:szCs w:val="20"/>
                <w:lang w:eastAsia="en-AU"/>
              </w:rPr>
            </w:pPr>
            <w:r w:rsidRPr="003E1F05">
              <w:rPr>
                <w:sz w:val="20"/>
                <w:szCs w:val="20"/>
                <w:lang w:eastAsia="en-AU"/>
              </w:rPr>
              <w:t>*Alerts available only with pump and glucose monitor turned on.</w:t>
            </w:r>
          </w:p>
        </w:tc>
        <w:tc>
          <w:tcPr>
            <w:tcW w:w="2174" w:type="dxa"/>
            <w:shd w:val="clear" w:color="000000" w:fill="F2F2F2"/>
            <w:vAlign w:val="center"/>
            <w:hideMark/>
          </w:tcPr>
          <w:p w:rsidR="005B7A4B" w:rsidRPr="00787F54" w:rsidRDefault="001F2E11" w:rsidP="00E90422">
            <w:pPr>
              <w:spacing w:before="40" w:after="40" w:line="240" w:lineRule="auto"/>
              <w:jc w:val="left"/>
              <w:rPr>
                <w:sz w:val="20"/>
                <w:szCs w:val="20"/>
                <w:lang w:eastAsia="en-AU"/>
              </w:rPr>
            </w:pPr>
            <w:proofErr w:type="gramStart"/>
            <w:r w:rsidRPr="003E1F05">
              <w:rPr>
                <w:sz w:val="20"/>
                <w:szCs w:val="20"/>
                <w:lang w:eastAsia="en-AU"/>
              </w:rPr>
              <w:t>High/low blood glucose*.</w:t>
            </w:r>
            <w:proofErr w:type="gramEnd"/>
          </w:p>
        </w:tc>
      </w:tr>
      <w:tr w:rsidR="005B7A4B" w:rsidRPr="00787F54" w:rsidTr="00E75393">
        <w:trPr>
          <w:trHeight w:val="3215"/>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Turnaround time for back-up or loan pump and other customer service features</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br/>
              <w:t xml:space="preserve">Loan pumps are available 24/7 in Sydney, Brisbane, Newcastle, Coffs Harbour and Victoria. Outside these </w:t>
            </w:r>
            <w:proofErr w:type="gramStart"/>
            <w:r w:rsidRPr="003E1F05">
              <w:rPr>
                <w:sz w:val="20"/>
                <w:szCs w:val="20"/>
                <w:lang w:eastAsia="en-AU"/>
              </w:rPr>
              <w:t>centres</w:t>
            </w:r>
            <w:proofErr w:type="gramEnd"/>
            <w:r w:rsidRPr="003E1F05">
              <w:rPr>
                <w:sz w:val="20"/>
                <w:szCs w:val="20"/>
                <w:lang w:eastAsia="en-AU"/>
              </w:rPr>
              <w:t xml:space="preserve"> it is likely to be a next business day courier.</w:t>
            </w:r>
          </w:p>
          <w:p w:rsidR="005B7A4B" w:rsidRPr="003E1F05" w:rsidRDefault="005B7A4B" w:rsidP="00E90422">
            <w:pPr>
              <w:spacing w:before="40" w:after="40" w:line="240" w:lineRule="auto"/>
              <w:jc w:val="left"/>
              <w:rPr>
                <w:sz w:val="20"/>
                <w:szCs w:val="20"/>
                <w:lang w:eastAsia="en-AU"/>
              </w:rPr>
            </w:pP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Free batteries for the life of the pump.</w:t>
            </w:r>
            <w:proofErr w:type="gramEnd"/>
            <w:r w:rsidRPr="003E1F05">
              <w:rPr>
                <w:sz w:val="20"/>
                <w:szCs w:val="20"/>
                <w:lang w:eastAsia="en-AU"/>
              </w:rPr>
              <w:br/>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 xml:space="preserve">Loan pumps are available 24/7 in Sydney, Brisbane, Newcastle, Coffs Harbour and Victoria. Outside these </w:t>
            </w:r>
            <w:proofErr w:type="gramStart"/>
            <w:r w:rsidRPr="003E1F05">
              <w:rPr>
                <w:sz w:val="20"/>
                <w:szCs w:val="20"/>
                <w:lang w:eastAsia="en-AU"/>
              </w:rPr>
              <w:t>centres</w:t>
            </w:r>
            <w:proofErr w:type="gramEnd"/>
            <w:r w:rsidRPr="003E1F05">
              <w:rPr>
                <w:sz w:val="20"/>
                <w:szCs w:val="20"/>
                <w:lang w:eastAsia="en-AU"/>
              </w:rPr>
              <w:t xml:space="preserve"> it is likely to be a next business day courier.</w:t>
            </w:r>
          </w:p>
          <w:p w:rsidR="005B7A4B" w:rsidRPr="003E1F05" w:rsidRDefault="005B7A4B" w:rsidP="00E90422">
            <w:pPr>
              <w:spacing w:before="40" w:after="40" w:line="240" w:lineRule="auto"/>
              <w:jc w:val="left"/>
              <w:rPr>
                <w:sz w:val="20"/>
                <w:szCs w:val="20"/>
                <w:lang w:eastAsia="en-AU"/>
              </w:rPr>
            </w:pPr>
          </w:p>
          <w:p w:rsidR="005B7A4B" w:rsidRPr="00787F54" w:rsidRDefault="005B7A4B" w:rsidP="00AE0F90">
            <w:pPr>
              <w:spacing w:before="40" w:after="40" w:line="240" w:lineRule="auto"/>
              <w:jc w:val="left"/>
              <w:rPr>
                <w:sz w:val="20"/>
                <w:szCs w:val="20"/>
                <w:lang w:eastAsia="en-AU"/>
              </w:rPr>
            </w:pPr>
            <w:r w:rsidRPr="003E1F05">
              <w:rPr>
                <w:sz w:val="20"/>
                <w:szCs w:val="20"/>
                <w:lang w:eastAsia="en-AU"/>
              </w:rPr>
              <w:t>P</w:t>
            </w:r>
            <w:r w:rsidR="00AE0F90" w:rsidRPr="003E1F05">
              <w:rPr>
                <w:sz w:val="20"/>
                <w:szCs w:val="20"/>
                <w:lang w:eastAsia="en-AU"/>
              </w:rPr>
              <w:t>ump comes with batteries incl. F</w:t>
            </w:r>
            <w:r w:rsidRPr="003E1F05">
              <w:rPr>
                <w:sz w:val="20"/>
                <w:szCs w:val="20"/>
                <w:lang w:eastAsia="en-AU"/>
              </w:rPr>
              <w:t xml:space="preserve">ree batteries with every box of reservoirs. </w:t>
            </w:r>
          </w:p>
        </w:tc>
        <w:tc>
          <w:tcPr>
            <w:tcW w:w="2174" w:type="dxa"/>
            <w:shd w:val="clear" w:color="000000" w:fill="F2F2F2"/>
            <w:vAlign w:val="center"/>
          </w:tcPr>
          <w:p w:rsidR="005B7A4B" w:rsidRPr="003E1F05" w:rsidRDefault="005B7A4B" w:rsidP="00E90422">
            <w:pPr>
              <w:spacing w:before="40" w:after="40" w:line="240" w:lineRule="auto"/>
              <w:jc w:val="left"/>
              <w:rPr>
                <w:sz w:val="20"/>
                <w:szCs w:val="20"/>
                <w:lang w:eastAsia="en-AU"/>
              </w:rPr>
            </w:pPr>
            <w:proofErr w:type="gramStart"/>
            <w:r w:rsidRPr="003E1F05">
              <w:rPr>
                <w:sz w:val="20"/>
                <w:szCs w:val="20"/>
                <w:lang w:eastAsia="en-AU"/>
              </w:rPr>
              <w:t>Replacement p</w:t>
            </w:r>
            <w:r w:rsidR="00AE0F90" w:rsidRPr="003E1F05">
              <w:rPr>
                <w:sz w:val="20"/>
                <w:szCs w:val="20"/>
                <w:lang w:eastAsia="en-AU"/>
              </w:rPr>
              <w:t>ump</w:t>
            </w:r>
            <w:proofErr w:type="gramEnd"/>
            <w:r w:rsidR="00AE0F90" w:rsidRPr="003E1F05">
              <w:rPr>
                <w:sz w:val="20"/>
                <w:szCs w:val="20"/>
                <w:lang w:eastAsia="en-AU"/>
              </w:rPr>
              <w:t xml:space="preserve"> if standard pump is faulty. </w:t>
            </w:r>
            <w:proofErr w:type="gramStart"/>
            <w:r w:rsidRPr="003E1F05">
              <w:rPr>
                <w:sz w:val="20"/>
                <w:szCs w:val="20"/>
                <w:lang w:eastAsia="en-AU"/>
              </w:rPr>
              <w:t>Next day delivery for metropolitan areas.</w:t>
            </w:r>
            <w:proofErr w:type="gramEnd"/>
            <w:r w:rsidRPr="003E1F05">
              <w:rPr>
                <w:sz w:val="20"/>
                <w:szCs w:val="20"/>
                <w:lang w:eastAsia="en-AU"/>
              </w:rPr>
              <w:t xml:space="preserve"> </w:t>
            </w: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2-3 day delivery for regional areas.</w:t>
            </w:r>
            <w:proofErr w:type="gramEnd"/>
          </w:p>
        </w:tc>
        <w:tc>
          <w:tcPr>
            <w:tcW w:w="2173" w:type="dxa"/>
            <w:shd w:val="clear" w:color="auto" w:fill="auto"/>
            <w:vAlign w:val="center"/>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For loan pump, dispatch is within 24 hours of receiving written notification and delivery within a further 24-48 hours.</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For other situations (e.g. pump needed for </w:t>
            </w:r>
            <w:proofErr w:type="gramStart"/>
            <w:r w:rsidRPr="003E1F05">
              <w:rPr>
                <w:sz w:val="20"/>
                <w:szCs w:val="20"/>
                <w:lang w:eastAsia="en-AU"/>
              </w:rPr>
              <w:t>travel)</w:t>
            </w:r>
            <w:proofErr w:type="gramEnd"/>
            <w:r w:rsidRPr="003E1F05">
              <w:rPr>
                <w:sz w:val="20"/>
                <w:szCs w:val="20"/>
                <w:lang w:eastAsia="en-AU"/>
              </w:rPr>
              <w:t xml:space="preserve"> turn-around time is dependent on patient requirements.</w:t>
            </w:r>
          </w:p>
        </w:tc>
        <w:tc>
          <w:tcPr>
            <w:tcW w:w="2174" w:type="dxa"/>
            <w:shd w:val="clear" w:color="auto" w:fill="auto"/>
            <w:vAlign w:val="center"/>
          </w:tcPr>
          <w:p w:rsidR="005B7A4B" w:rsidRPr="003E1F05" w:rsidRDefault="005B7A4B" w:rsidP="00E90422">
            <w:pPr>
              <w:spacing w:before="40" w:after="40" w:line="240" w:lineRule="auto"/>
              <w:jc w:val="left"/>
              <w:rPr>
                <w:sz w:val="20"/>
                <w:szCs w:val="20"/>
                <w:lang w:eastAsia="en-AU"/>
              </w:rPr>
            </w:pPr>
            <w:r w:rsidRPr="003E1F05">
              <w:rPr>
                <w:sz w:val="20"/>
                <w:szCs w:val="20"/>
                <w:lang w:eastAsia="en-AU"/>
              </w:rPr>
              <w:t>For loan pump, dispatch is within 24 hours of receiving written notification and delivery within a further 24-48 hours.</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For other situations (e.g. pump needed for </w:t>
            </w:r>
            <w:proofErr w:type="gramStart"/>
            <w:r w:rsidRPr="003E1F05">
              <w:rPr>
                <w:sz w:val="20"/>
                <w:szCs w:val="20"/>
                <w:lang w:eastAsia="en-AU"/>
              </w:rPr>
              <w:t>travel)</w:t>
            </w:r>
            <w:proofErr w:type="gramEnd"/>
            <w:r w:rsidRPr="003E1F05">
              <w:rPr>
                <w:sz w:val="20"/>
                <w:szCs w:val="20"/>
                <w:lang w:eastAsia="en-AU"/>
              </w:rPr>
              <w:t xml:space="preserve"> turn-around time is dependent on patient requirements.</w:t>
            </w:r>
          </w:p>
        </w:tc>
        <w:tc>
          <w:tcPr>
            <w:tcW w:w="2174" w:type="dxa"/>
            <w:shd w:val="clear" w:color="000000" w:fill="F2F2F2"/>
            <w:vAlign w:val="center"/>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Faulty product in replaced within 2 business days.</w:t>
            </w:r>
          </w:p>
        </w:tc>
      </w:tr>
      <w:tr w:rsidR="005B7A4B" w:rsidRPr="00787F54" w:rsidTr="00E75393">
        <w:trPr>
          <w:trHeight w:val="129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Training support (user manual, online training)</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User manual and online demonstration, pre-pump training and support.</w:t>
            </w:r>
            <w:proofErr w:type="gramEnd"/>
            <w:r w:rsidRPr="003E1F05">
              <w:rPr>
                <w:sz w:val="20"/>
                <w:szCs w:val="20"/>
                <w:lang w:eastAsia="en-AU"/>
              </w:rPr>
              <w:t xml:space="preserve">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User manual and online demonstration, pre-pump training and support.</w:t>
            </w:r>
            <w:proofErr w:type="gramEnd"/>
          </w:p>
        </w:tc>
        <w:tc>
          <w:tcPr>
            <w:tcW w:w="2174" w:type="dxa"/>
            <w:shd w:val="clear" w:color="000000" w:fill="F2F2F2"/>
            <w:vAlign w:val="center"/>
            <w:hideMark/>
          </w:tcPr>
          <w:p w:rsidR="005B7A4B" w:rsidRPr="003E1F05" w:rsidRDefault="00AE0F90" w:rsidP="00E90422">
            <w:pPr>
              <w:spacing w:before="40" w:after="40" w:line="240" w:lineRule="auto"/>
              <w:jc w:val="left"/>
              <w:rPr>
                <w:sz w:val="20"/>
                <w:szCs w:val="20"/>
                <w:lang w:eastAsia="en-AU"/>
              </w:rPr>
            </w:pPr>
            <w:proofErr w:type="gramStart"/>
            <w:r w:rsidRPr="003E1F05">
              <w:rPr>
                <w:sz w:val="20"/>
                <w:szCs w:val="20"/>
                <w:lang w:eastAsia="en-AU"/>
              </w:rPr>
              <w:t>User manuals and handbooks.</w:t>
            </w:r>
            <w:proofErr w:type="gramEnd"/>
            <w:r w:rsidRPr="003E1F05">
              <w:rPr>
                <w:sz w:val="20"/>
                <w:szCs w:val="20"/>
                <w:lang w:eastAsia="en-AU"/>
              </w:rPr>
              <w:t xml:space="preserve"> </w:t>
            </w:r>
            <w:r w:rsidR="005B7A4B" w:rsidRPr="003E1F05">
              <w:rPr>
                <w:sz w:val="20"/>
                <w:szCs w:val="20"/>
                <w:lang w:eastAsia="en-AU"/>
              </w:rPr>
              <w:t>Quick reference guides.</w:t>
            </w:r>
          </w:p>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Online training t</w:t>
            </w:r>
            <w:r w:rsidR="00AE0F90" w:rsidRPr="003E1F05">
              <w:rPr>
                <w:sz w:val="20"/>
                <w:szCs w:val="20"/>
                <w:lang w:eastAsia="en-AU"/>
              </w:rPr>
              <w:t>ool with animation and quizzes.</w:t>
            </w:r>
            <w:proofErr w:type="gramEnd"/>
            <w:r w:rsidR="00AE0F90" w:rsidRPr="003E1F05">
              <w:rPr>
                <w:sz w:val="20"/>
                <w:szCs w:val="20"/>
                <w:lang w:eastAsia="en-AU"/>
              </w:rPr>
              <w:t xml:space="preserve"> </w:t>
            </w:r>
            <w:r w:rsidRPr="003E1F05">
              <w:rPr>
                <w:sz w:val="20"/>
                <w:szCs w:val="20"/>
                <w:lang w:eastAsia="en-AU"/>
              </w:rPr>
              <w:t>Video demos showing how to set basal rates and use the pump.</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User manuals are available onli</w:t>
            </w:r>
            <w:r w:rsidR="00AE0F90" w:rsidRPr="003E1F05">
              <w:rPr>
                <w:sz w:val="20"/>
                <w:szCs w:val="20"/>
                <w:lang w:eastAsia="en-AU"/>
              </w:rPr>
              <w:t xml:space="preserve">ne. </w:t>
            </w:r>
            <w:r w:rsidRPr="003E1F05">
              <w:rPr>
                <w:sz w:val="20"/>
                <w:szCs w:val="20"/>
                <w:lang w:eastAsia="en-AU"/>
              </w:rPr>
              <w:t>Online learning modules are available for patients.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Use</w:t>
            </w:r>
            <w:r w:rsidR="00AE0F90" w:rsidRPr="003E1F05">
              <w:rPr>
                <w:sz w:val="20"/>
                <w:szCs w:val="20"/>
                <w:lang w:eastAsia="en-AU"/>
              </w:rPr>
              <w:t xml:space="preserve">r manuals are available online. </w:t>
            </w:r>
            <w:r w:rsidRPr="003E1F05">
              <w:rPr>
                <w:sz w:val="20"/>
                <w:szCs w:val="20"/>
                <w:lang w:eastAsia="en-AU"/>
              </w:rPr>
              <w:t>Online learning modules are available for patients.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Training provided by company personnel. Diabetes Educators and user manual provided. </w:t>
            </w:r>
          </w:p>
        </w:tc>
      </w:tr>
      <w:tr w:rsidR="005B7A4B" w:rsidRPr="00787F54" w:rsidTr="00E75393">
        <w:trPr>
          <w:trHeight w:val="332"/>
        </w:trPr>
        <w:tc>
          <w:tcPr>
            <w:tcW w:w="1716" w:type="dxa"/>
            <w:shd w:val="clear" w:color="000000" w:fill="D9D9D9"/>
            <w:vAlign w:val="center"/>
            <w:hideMark/>
          </w:tcPr>
          <w:p w:rsidR="005B7A4B" w:rsidRPr="00787F54" w:rsidRDefault="00AE0F90" w:rsidP="00AE0F90">
            <w:pPr>
              <w:spacing w:before="40" w:after="40" w:line="240" w:lineRule="auto"/>
              <w:jc w:val="left"/>
              <w:rPr>
                <w:b/>
                <w:bCs/>
                <w:sz w:val="20"/>
                <w:szCs w:val="20"/>
                <w:lang w:eastAsia="en-AU"/>
              </w:rPr>
            </w:pPr>
            <w:proofErr w:type="spellStart"/>
            <w:r w:rsidRPr="003E1F05">
              <w:rPr>
                <w:b/>
                <w:bCs/>
                <w:sz w:val="20"/>
                <w:szCs w:val="20"/>
                <w:lang w:eastAsia="en-AU"/>
              </w:rPr>
              <w:t>Freecall</w:t>
            </w:r>
            <w:proofErr w:type="spellEnd"/>
            <w:r w:rsidRPr="003E1F05">
              <w:rPr>
                <w:b/>
                <w:bCs/>
                <w:sz w:val="20"/>
                <w:szCs w:val="20"/>
                <w:lang w:eastAsia="en-AU"/>
              </w:rPr>
              <w:t xml:space="preserve"> </w:t>
            </w:r>
            <w:r w:rsidR="005B7A4B" w:rsidRPr="003E1F05">
              <w:rPr>
                <w:b/>
                <w:bCs/>
                <w:sz w:val="20"/>
                <w:szCs w:val="20"/>
                <w:lang w:eastAsia="en-AU"/>
              </w:rPr>
              <w:t xml:space="preserve">24 Hour </w:t>
            </w:r>
            <w:r w:rsidRPr="003E1F05">
              <w:rPr>
                <w:b/>
                <w:bCs/>
                <w:sz w:val="20"/>
                <w:szCs w:val="20"/>
                <w:lang w:eastAsia="en-AU"/>
              </w:rPr>
              <w:t>Hotline</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r>
      <w:tr w:rsidR="005B7A4B" w:rsidRPr="00787F54" w:rsidTr="001F2E11">
        <w:trPr>
          <w:cantSplit/>
          <w:trHeight w:val="402"/>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Repair/replacement policy</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Any impact damage </w:t>
            </w:r>
            <w:proofErr w:type="gramStart"/>
            <w:r w:rsidRPr="003E1F05">
              <w:rPr>
                <w:sz w:val="20"/>
                <w:szCs w:val="20"/>
                <w:lang w:eastAsia="en-AU"/>
              </w:rPr>
              <w:t>may be deemed</w:t>
            </w:r>
            <w:proofErr w:type="gramEnd"/>
            <w:r w:rsidRPr="003E1F05">
              <w:rPr>
                <w:sz w:val="20"/>
                <w:szCs w:val="20"/>
                <w:lang w:eastAsia="en-AU"/>
              </w:rPr>
              <w:t xml:space="preserve"> as negligent and the manufacturer can decline warranty repair.</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Any impact damage </w:t>
            </w:r>
            <w:proofErr w:type="gramStart"/>
            <w:r w:rsidRPr="003E1F05">
              <w:rPr>
                <w:sz w:val="20"/>
                <w:szCs w:val="20"/>
                <w:lang w:eastAsia="en-AU"/>
              </w:rPr>
              <w:t>may be deemed</w:t>
            </w:r>
            <w:proofErr w:type="gramEnd"/>
            <w:r w:rsidRPr="003E1F05">
              <w:rPr>
                <w:sz w:val="20"/>
                <w:szCs w:val="20"/>
                <w:lang w:eastAsia="en-AU"/>
              </w:rPr>
              <w:t xml:space="preserve"> as negligent and the manufacturer can decline warranty repair.</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Repair of minor issues, otherwise replacement.</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Repair or replace. </w:t>
            </w:r>
            <w:proofErr w:type="gramStart"/>
            <w:r w:rsidRPr="003E1F05">
              <w:rPr>
                <w:sz w:val="20"/>
                <w:szCs w:val="20"/>
                <w:lang w:eastAsia="en-AU"/>
              </w:rPr>
              <w:t>Does not cover dropping, improper storage or submersion in water.</w:t>
            </w:r>
            <w:proofErr w:type="gramEnd"/>
            <w:r w:rsidRPr="003E1F05">
              <w:rPr>
                <w:sz w:val="20"/>
                <w:szCs w:val="20"/>
                <w:lang w:eastAsia="en-AU"/>
              </w:rPr>
              <w:t xml:space="preserve">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Repair or replace. </w:t>
            </w:r>
            <w:proofErr w:type="gramStart"/>
            <w:r w:rsidRPr="003E1F05">
              <w:rPr>
                <w:sz w:val="20"/>
                <w:szCs w:val="20"/>
                <w:lang w:eastAsia="en-AU"/>
              </w:rPr>
              <w:t>Does not cover dropping, improper storage or submersion in water.</w:t>
            </w:r>
            <w:proofErr w:type="gramEnd"/>
            <w:r w:rsidRPr="003E1F05">
              <w:rPr>
                <w:sz w:val="20"/>
                <w:szCs w:val="20"/>
                <w:lang w:eastAsia="en-AU"/>
              </w:rPr>
              <w:t xml:space="preserve"> </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Faulty pumps </w:t>
            </w:r>
            <w:proofErr w:type="gramStart"/>
            <w:r w:rsidRPr="003E1F05">
              <w:rPr>
                <w:sz w:val="20"/>
                <w:szCs w:val="20"/>
                <w:lang w:eastAsia="en-AU"/>
              </w:rPr>
              <w:t>are replaced and not repaired</w:t>
            </w:r>
            <w:proofErr w:type="gramEnd"/>
            <w:r w:rsidRPr="003E1F05">
              <w:rPr>
                <w:sz w:val="20"/>
                <w:szCs w:val="20"/>
                <w:lang w:eastAsia="en-AU"/>
              </w:rPr>
              <w:t xml:space="preserve">. </w:t>
            </w:r>
          </w:p>
        </w:tc>
      </w:tr>
      <w:tr w:rsidR="005B7A4B" w:rsidRPr="00787F54" w:rsidTr="001F2E11">
        <w:trPr>
          <w:cantSplit/>
          <w:trHeight w:val="27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Warranty length</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4 years </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4 years</w:t>
            </w:r>
          </w:p>
        </w:tc>
      </w:tr>
      <w:tr w:rsidR="005B7A4B" w:rsidRPr="00787F54" w:rsidTr="00E75393">
        <w:trPr>
          <w:trHeight w:val="3585"/>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Product Recalls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Nil</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Nil</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b/>
                <w:bCs/>
                <w:sz w:val="20"/>
                <w:szCs w:val="20"/>
                <w:lang w:eastAsia="en-AU"/>
              </w:rPr>
              <w:t>Roche Alert with TGA 24 October 2013</w:t>
            </w:r>
            <w:r w:rsidRPr="003E1F05">
              <w:rPr>
                <w:sz w:val="20"/>
                <w:szCs w:val="20"/>
                <w:lang w:eastAsia="en-AU"/>
              </w:rPr>
              <w:br/>
              <w:t>Software synchronization issue with ACCU-CHEK Combo system.</w:t>
            </w:r>
            <w:proofErr w:type="gramEnd"/>
            <w:r w:rsidRPr="003E1F05">
              <w:rPr>
                <w:sz w:val="20"/>
                <w:szCs w:val="20"/>
                <w:lang w:eastAsia="en-AU"/>
              </w:rPr>
              <w:t xml:space="preserve"> In rare cases, when the “Manual Pump” option </w:t>
            </w:r>
            <w:proofErr w:type="gramStart"/>
            <w:r w:rsidRPr="003E1F05">
              <w:rPr>
                <w:sz w:val="20"/>
                <w:szCs w:val="20"/>
                <w:lang w:eastAsia="en-AU"/>
              </w:rPr>
              <w:t>is chosen</w:t>
            </w:r>
            <w:proofErr w:type="gramEnd"/>
            <w:r w:rsidRPr="003E1F05">
              <w:rPr>
                <w:sz w:val="20"/>
                <w:szCs w:val="20"/>
                <w:lang w:eastAsia="en-AU"/>
              </w:rPr>
              <w:t xml:space="preserve"> on the ACCU-CHEK Aviva Combo meter, there is a possibility of receiving an incorrect bolus advice recommendation that may cause a temporary under delivery of insulin.</w:t>
            </w:r>
          </w:p>
        </w:tc>
        <w:tc>
          <w:tcPr>
            <w:tcW w:w="2173"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b/>
                <w:bCs/>
                <w:sz w:val="20"/>
                <w:szCs w:val="20"/>
                <w:lang w:eastAsia="en-AU"/>
              </w:rPr>
              <w:t>TGA Medtronic paradigm insulin pump Safety Advisory 10 April 2013</w:t>
            </w:r>
            <w:r w:rsidRPr="003E1F05">
              <w:rPr>
                <w:sz w:val="20"/>
                <w:szCs w:val="20"/>
                <w:lang w:eastAsia="en-AU"/>
              </w:rPr>
              <w:br/>
              <w:t>Three rare issues required update of information manual only:</w:t>
            </w:r>
            <w:r w:rsidRPr="003E1F05">
              <w:rPr>
                <w:sz w:val="20"/>
                <w:szCs w:val="20"/>
                <w:lang w:eastAsia="en-AU"/>
              </w:rPr>
              <w:br/>
              <w:t>- Loose drive support cap (may deliver too much insulin if pushed)</w:t>
            </w:r>
            <w:r w:rsidRPr="003E1F05">
              <w:rPr>
                <w:sz w:val="20"/>
                <w:szCs w:val="20"/>
                <w:lang w:eastAsia="en-AU"/>
              </w:rPr>
              <w:br/>
              <w:t>- Sensor graph timeout (can delay re-start of insulin following a low glucose suspension)</w:t>
            </w:r>
            <w:r w:rsidRPr="003E1F05">
              <w:rPr>
                <w:sz w:val="20"/>
                <w:szCs w:val="20"/>
                <w:lang w:eastAsia="en-AU"/>
              </w:rPr>
              <w:br/>
              <w:t>- water damage (can stop the pump working if immersed)</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The product </w:t>
            </w:r>
            <w:proofErr w:type="gramStart"/>
            <w:r w:rsidRPr="003E1F05">
              <w:rPr>
                <w:sz w:val="20"/>
                <w:szCs w:val="20"/>
                <w:lang w:eastAsia="en-AU"/>
              </w:rPr>
              <w:t>was not physically recalled</w:t>
            </w:r>
            <w:proofErr w:type="gramEnd"/>
            <w:r w:rsidRPr="003E1F05">
              <w:rPr>
                <w:sz w:val="20"/>
                <w:szCs w:val="20"/>
                <w:lang w:eastAsia="en-AU"/>
              </w:rPr>
              <w:t xml:space="preserve">. </w:t>
            </w:r>
          </w:p>
        </w:tc>
        <w:tc>
          <w:tcPr>
            <w:tcW w:w="2174" w:type="dxa"/>
            <w:shd w:val="clear" w:color="auto" w:fill="auto"/>
            <w:vAlign w:val="center"/>
            <w:hideMark/>
          </w:tcPr>
          <w:p w:rsidR="005B7A4B" w:rsidRPr="003E1F05" w:rsidRDefault="005B7A4B" w:rsidP="00E90422">
            <w:pPr>
              <w:spacing w:before="40" w:after="40" w:line="240" w:lineRule="auto"/>
              <w:jc w:val="left"/>
              <w:rPr>
                <w:sz w:val="20"/>
                <w:szCs w:val="20"/>
                <w:lang w:eastAsia="en-AU"/>
              </w:rPr>
            </w:pPr>
            <w:r w:rsidRPr="003E1F05">
              <w:rPr>
                <w:b/>
                <w:bCs/>
                <w:sz w:val="20"/>
                <w:szCs w:val="20"/>
                <w:lang w:eastAsia="en-AU"/>
              </w:rPr>
              <w:t>TGA Medtronic paradigm insulin pump Safety Advisory 10 April 2013</w:t>
            </w:r>
            <w:r w:rsidRPr="003E1F05">
              <w:rPr>
                <w:sz w:val="20"/>
                <w:szCs w:val="20"/>
                <w:lang w:eastAsia="en-AU"/>
              </w:rPr>
              <w:br/>
              <w:t>Three rare issues required update of information manual only:</w:t>
            </w:r>
            <w:r w:rsidRPr="003E1F05">
              <w:rPr>
                <w:sz w:val="20"/>
                <w:szCs w:val="20"/>
                <w:lang w:eastAsia="en-AU"/>
              </w:rPr>
              <w:br/>
              <w:t>- Loose drive support cap (may deliver too much insulin if pushed)</w:t>
            </w:r>
            <w:r w:rsidRPr="003E1F05">
              <w:rPr>
                <w:sz w:val="20"/>
                <w:szCs w:val="20"/>
                <w:lang w:eastAsia="en-AU"/>
              </w:rPr>
              <w:br/>
              <w:t>- Sensor graph timeout (can delay re-start of insulin following a low glucose suspension)</w:t>
            </w:r>
            <w:r w:rsidRPr="003E1F05">
              <w:rPr>
                <w:sz w:val="20"/>
                <w:szCs w:val="20"/>
                <w:lang w:eastAsia="en-AU"/>
              </w:rPr>
              <w:br/>
              <w:t>- water damage (can stop the pump working if immersed)</w:t>
            </w:r>
          </w:p>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The product </w:t>
            </w:r>
            <w:proofErr w:type="gramStart"/>
            <w:r w:rsidRPr="003E1F05">
              <w:rPr>
                <w:sz w:val="20"/>
                <w:szCs w:val="20"/>
                <w:lang w:eastAsia="en-AU"/>
              </w:rPr>
              <w:t>was not physically recalled</w:t>
            </w:r>
            <w:proofErr w:type="gramEnd"/>
            <w:r w:rsidRPr="003E1F05">
              <w:rPr>
                <w:sz w:val="20"/>
                <w:szCs w:val="20"/>
                <w:lang w:eastAsia="en-AU"/>
              </w:rPr>
              <w:t>.</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Nil</w:t>
            </w:r>
          </w:p>
        </w:tc>
      </w:tr>
      <w:tr w:rsidR="005B7A4B" w:rsidRPr="00787F54" w:rsidTr="00E75393">
        <w:trPr>
          <w:trHeight w:val="78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Waterproof</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3m for 24 hours (IPX8)</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 3m for 24 hours (IPX8)</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2.5m for 1 hour</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IPX7, rated water resistant.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IPX7, rated water resistant </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3.6m for 24 hours </w:t>
            </w:r>
          </w:p>
        </w:tc>
      </w:tr>
      <w:tr w:rsidR="005B7A4B" w:rsidRPr="00787F54" w:rsidTr="00E75393">
        <w:trPr>
          <w:trHeight w:val="2121"/>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lastRenderedPageBreak/>
              <w:t>External software that links to device</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DANA manager program (PC): download records of bolus, daily total, blood glucose and carbohydrate from insulin pump to PC and upload records to ubiquitous system server. </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Supported by </w:t>
            </w:r>
            <w:proofErr w:type="spellStart"/>
            <w:r w:rsidRPr="003E1F05">
              <w:rPr>
                <w:sz w:val="20"/>
                <w:szCs w:val="20"/>
                <w:lang w:eastAsia="en-AU"/>
              </w:rPr>
              <w:t>Accu</w:t>
            </w:r>
            <w:proofErr w:type="spellEnd"/>
            <w:r w:rsidRPr="003E1F05">
              <w:rPr>
                <w:sz w:val="20"/>
                <w:szCs w:val="20"/>
                <w:lang w:eastAsia="en-AU"/>
              </w:rPr>
              <w:noBreakHyphen/>
              <w:t xml:space="preserve">Check </w:t>
            </w:r>
            <w:proofErr w:type="gramStart"/>
            <w:r w:rsidRPr="003E1F05">
              <w:rPr>
                <w:sz w:val="20"/>
                <w:szCs w:val="20"/>
                <w:lang w:eastAsia="en-AU"/>
              </w:rPr>
              <w:t>360 Diabetes Management Software</w:t>
            </w:r>
            <w:proofErr w:type="gramEnd"/>
            <w:r w:rsidRPr="003E1F05">
              <w:rPr>
                <w:sz w:val="20"/>
                <w:szCs w:val="20"/>
                <w:lang w:eastAsia="en-AU"/>
              </w:rPr>
              <w:t xml:space="preserve">. </w:t>
            </w:r>
            <w:proofErr w:type="gramStart"/>
            <w:r w:rsidRPr="003E1F05">
              <w:rPr>
                <w:sz w:val="20"/>
                <w:szCs w:val="20"/>
                <w:lang w:eastAsia="en-AU"/>
              </w:rPr>
              <w:t xml:space="preserve">Also supported by </w:t>
            </w:r>
            <w:proofErr w:type="spellStart"/>
            <w:r w:rsidRPr="003E1F05">
              <w:rPr>
                <w:sz w:val="20"/>
                <w:szCs w:val="20"/>
                <w:lang w:eastAsia="en-AU"/>
              </w:rPr>
              <w:t>Accu</w:t>
            </w:r>
            <w:proofErr w:type="spellEnd"/>
            <w:r w:rsidRPr="003E1F05">
              <w:rPr>
                <w:sz w:val="20"/>
                <w:szCs w:val="20"/>
                <w:lang w:eastAsia="en-AU"/>
              </w:rPr>
              <w:t>-Check Pump Configuration Software for remote programming and upload of settings.</w:t>
            </w:r>
            <w:proofErr w:type="gramEnd"/>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Medtronic </w:t>
            </w:r>
            <w:proofErr w:type="spellStart"/>
            <w:r w:rsidRPr="003E1F05">
              <w:rPr>
                <w:sz w:val="20"/>
                <w:szCs w:val="20"/>
                <w:lang w:eastAsia="en-AU"/>
              </w:rPr>
              <w:t>CareLink</w:t>
            </w:r>
            <w:proofErr w:type="spellEnd"/>
            <w:r w:rsidRPr="003E1F05">
              <w:rPr>
                <w:sz w:val="20"/>
                <w:szCs w:val="20"/>
                <w:vertAlign w:val="superscript"/>
                <w:lang w:eastAsia="en-AU"/>
              </w:rPr>
              <w:t>®</w:t>
            </w:r>
            <w:r w:rsidRPr="003E1F05">
              <w:rPr>
                <w:sz w:val="20"/>
                <w:szCs w:val="20"/>
                <w:lang w:eastAsia="en-AU"/>
              </w:rPr>
              <w:t xml:space="preserve"> software allows insulin pump, CGM and </w:t>
            </w:r>
            <w:proofErr w:type="gramStart"/>
            <w:r w:rsidRPr="003E1F05">
              <w:rPr>
                <w:sz w:val="20"/>
                <w:szCs w:val="20"/>
                <w:lang w:eastAsia="en-AU"/>
              </w:rPr>
              <w:t>blood glucose meter data</w:t>
            </w:r>
            <w:proofErr w:type="gramEnd"/>
            <w:r w:rsidRPr="003E1F05">
              <w:rPr>
                <w:sz w:val="20"/>
                <w:szCs w:val="20"/>
                <w:lang w:eastAsia="en-AU"/>
              </w:rPr>
              <w:t xml:space="preserve"> to be uploaded to a secure online server and generate reports. Data </w:t>
            </w:r>
            <w:proofErr w:type="gramStart"/>
            <w:r w:rsidRPr="003E1F05">
              <w:rPr>
                <w:sz w:val="20"/>
                <w:szCs w:val="20"/>
                <w:lang w:eastAsia="en-AU"/>
              </w:rPr>
              <w:t>can also be shared</w:t>
            </w:r>
            <w:proofErr w:type="gramEnd"/>
            <w:r w:rsidRPr="003E1F05">
              <w:rPr>
                <w:sz w:val="20"/>
                <w:szCs w:val="20"/>
                <w:lang w:eastAsia="en-AU"/>
              </w:rPr>
              <w:t xml:space="preserve"> with healthcare providers remotely.</w:t>
            </w:r>
            <w:r w:rsidR="00AE0F90" w:rsidRPr="003E1F05">
              <w:rPr>
                <w:sz w:val="20"/>
                <w:szCs w:val="20"/>
                <w:lang w:eastAsia="en-AU"/>
              </w:rPr>
              <w:br/>
            </w:r>
            <w:proofErr w:type="gramStart"/>
            <w:r w:rsidRPr="003E1F05">
              <w:rPr>
                <w:sz w:val="20"/>
                <w:szCs w:val="20"/>
                <w:lang w:eastAsia="en-AU"/>
              </w:rPr>
              <w:t>Can receive readings from meters with wireless technology.</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Medtronic </w:t>
            </w:r>
            <w:proofErr w:type="spellStart"/>
            <w:r w:rsidRPr="003E1F05">
              <w:rPr>
                <w:sz w:val="20"/>
                <w:szCs w:val="20"/>
                <w:lang w:eastAsia="en-AU"/>
              </w:rPr>
              <w:t>CareLink</w:t>
            </w:r>
            <w:proofErr w:type="spellEnd"/>
            <w:r w:rsidRPr="003E1F05">
              <w:rPr>
                <w:sz w:val="20"/>
                <w:szCs w:val="20"/>
                <w:vertAlign w:val="superscript"/>
                <w:lang w:eastAsia="en-AU"/>
              </w:rPr>
              <w:t>®</w:t>
            </w:r>
            <w:r w:rsidRPr="003E1F05">
              <w:rPr>
                <w:sz w:val="20"/>
                <w:szCs w:val="20"/>
                <w:lang w:eastAsia="en-AU"/>
              </w:rPr>
              <w:t xml:space="preserve"> software allows insulin pump, CGM and </w:t>
            </w:r>
            <w:proofErr w:type="gramStart"/>
            <w:r w:rsidRPr="003E1F05">
              <w:rPr>
                <w:sz w:val="20"/>
                <w:szCs w:val="20"/>
                <w:lang w:eastAsia="en-AU"/>
              </w:rPr>
              <w:t>blood glucose meter data</w:t>
            </w:r>
            <w:proofErr w:type="gramEnd"/>
            <w:r w:rsidRPr="003E1F05">
              <w:rPr>
                <w:sz w:val="20"/>
                <w:szCs w:val="20"/>
                <w:lang w:eastAsia="en-AU"/>
              </w:rPr>
              <w:t xml:space="preserve"> to be uploaded to a secure online server and generate reports. Data </w:t>
            </w:r>
            <w:proofErr w:type="gramStart"/>
            <w:r w:rsidRPr="003E1F05">
              <w:rPr>
                <w:sz w:val="20"/>
                <w:szCs w:val="20"/>
                <w:lang w:eastAsia="en-AU"/>
              </w:rPr>
              <w:t>can also be shared</w:t>
            </w:r>
            <w:proofErr w:type="gramEnd"/>
            <w:r w:rsidRPr="003E1F05">
              <w:rPr>
                <w:sz w:val="20"/>
                <w:szCs w:val="20"/>
                <w:lang w:eastAsia="en-AU"/>
              </w:rPr>
              <w:t xml:space="preserve"> with healthcare providers remotely.</w:t>
            </w:r>
            <w:r w:rsidR="00AE0F90" w:rsidRPr="003E1F05">
              <w:rPr>
                <w:sz w:val="20"/>
                <w:szCs w:val="20"/>
                <w:lang w:eastAsia="en-AU"/>
              </w:rPr>
              <w:br/>
            </w:r>
            <w:proofErr w:type="gramStart"/>
            <w:r w:rsidRPr="003E1F05">
              <w:rPr>
                <w:sz w:val="20"/>
                <w:szCs w:val="20"/>
                <w:lang w:eastAsia="en-AU"/>
              </w:rPr>
              <w:t>Can receive readings from meters with wireless technology.</w:t>
            </w:r>
            <w:proofErr w:type="gramEnd"/>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spellStart"/>
            <w:proofErr w:type="gramStart"/>
            <w:r w:rsidRPr="003E1F05">
              <w:rPr>
                <w:sz w:val="20"/>
                <w:szCs w:val="20"/>
                <w:lang w:eastAsia="en-AU"/>
              </w:rPr>
              <w:t>Diasend</w:t>
            </w:r>
            <w:proofErr w:type="spellEnd"/>
            <w:r w:rsidRPr="003E1F05">
              <w:rPr>
                <w:sz w:val="20"/>
                <w:szCs w:val="20"/>
                <w:lang w:eastAsia="en-AU"/>
              </w:rPr>
              <w:t xml:space="preserve"> software, a customisable food database for accurate carbohydrate counting.</w:t>
            </w:r>
            <w:proofErr w:type="gramEnd"/>
          </w:p>
        </w:tc>
      </w:tr>
      <w:tr w:rsidR="005B7A4B" w:rsidRPr="00787F54" w:rsidTr="00E90422">
        <w:trPr>
          <w:trHeight w:val="820"/>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Remote control available</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Yes – through blood glucose meter.</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Yes - to deliver bolus and to suspend pump.</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Yes - to deliver bolus and to suspend pump.</w:t>
            </w:r>
            <w:proofErr w:type="gramEnd"/>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w:t>
            </w:r>
          </w:p>
        </w:tc>
      </w:tr>
      <w:tr w:rsidR="005B7A4B" w:rsidRPr="00787F54" w:rsidTr="00E75393">
        <w:trPr>
          <w:trHeight w:val="1359"/>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Data transfer to/from blood glucose meter</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Not available</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From blood glucose meter via radio frequency.</w:t>
            </w:r>
            <w:proofErr w:type="gramEnd"/>
            <w:r w:rsidRPr="003E1F05">
              <w:rPr>
                <w:sz w:val="20"/>
                <w:szCs w:val="20"/>
                <w:lang w:eastAsia="en-AU"/>
              </w:rPr>
              <w:t xml:space="preserve"> </w:t>
            </w:r>
          </w:p>
        </w:tc>
        <w:tc>
          <w:tcPr>
            <w:tcW w:w="2174" w:type="dxa"/>
            <w:shd w:val="clear" w:color="000000" w:fill="F2F2F2"/>
            <w:vAlign w:val="center"/>
            <w:hideMark/>
          </w:tcPr>
          <w:p w:rsidR="005B7A4B" w:rsidRPr="00787F54" w:rsidRDefault="005B7A4B" w:rsidP="00AE0F90">
            <w:pPr>
              <w:spacing w:before="40" w:after="40" w:line="240" w:lineRule="auto"/>
              <w:jc w:val="left"/>
              <w:rPr>
                <w:sz w:val="20"/>
                <w:szCs w:val="20"/>
                <w:lang w:eastAsia="en-AU"/>
              </w:rPr>
            </w:pPr>
            <w:proofErr w:type="gramStart"/>
            <w:r w:rsidRPr="003E1F05">
              <w:rPr>
                <w:sz w:val="20"/>
                <w:szCs w:val="20"/>
                <w:lang w:eastAsia="en-AU"/>
              </w:rPr>
              <w:t>Two-way Bluetooth between the Spirit Combo pump and Performa Combo Blood Glucose Meter.</w:t>
            </w:r>
            <w:proofErr w:type="gramEnd"/>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Data transferred from blood glucose meter via radio frequency.</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Data transferred from blood glucose meter via radio frequency. </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spellStart"/>
            <w:r w:rsidRPr="003E1F05">
              <w:rPr>
                <w:sz w:val="20"/>
                <w:szCs w:val="20"/>
                <w:lang w:eastAsia="en-AU"/>
              </w:rPr>
              <w:t>Diasend</w:t>
            </w:r>
            <w:proofErr w:type="spellEnd"/>
            <w:r w:rsidRPr="003E1F05">
              <w:rPr>
                <w:sz w:val="20"/>
                <w:szCs w:val="20"/>
                <w:lang w:eastAsia="en-AU"/>
              </w:rPr>
              <w:t xml:space="preserve"> software food database upload into pump.</w:t>
            </w:r>
          </w:p>
        </w:tc>
      </w:tr>
      <w:tr w:rsidR="005B7A4B" w:rsidRPr="00787F54" w:rsidTr="00E75393">
        <w:trPr>
          <w:trHeight w:val="274"/>
        </w:trPr>
        <w:tc>
          <w:tcPr>
            <w:tcW w:w="1716" w:type="dxa"/>
            <w:shd w:val="clear" w:color="000000" w:fill="D9D9D9"/>
            <w:vAlign w:val="center"/>
            <w:hideMark/>
          </w:tcPr>
          <w:p w:rsidR="005B7A4B" w:rsidRPr="00787F54" w:rsidRDefault="005B7A4B" w:rsidP="00AE0F90">
            <w:pPr>
              <w:spacing w:before="40" w:after="40" w:line="240" w:lineRule="auto"/>
              <w:jc w:val="left"/>
              <w:rPr>
                <w:b/>
                <w:bCs/>
                <w:sz w:val="20"/>
                <w:szCs w:val="20"/>
                <w:lang w:eastAsia="en-AU"/>
              </w:rPr>
            </w:pPr>
            <w:r w:rsidRPr="003E1F05">
              <w:rPr>
                <w:b/>
                <w:bCs/>
                <w:sz w:val="20"/>
                <w:szCs w:val="20"/>
                <w:lang w:eastAsia="en-AU"/>
              </w:rPr>
              <w:t xml:space="preserve">Range of carrying devices and pouches </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Leather case, bra pouch, shower pouch, shoulder pouch.</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Leather case, bra pouch, shower pouch, shoulder pouch, outer case, travel case and transparent case.</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Various cases including bra and leg pouches.</w:t>
            </w:r>
            <w:proofErr w:type="gramEnd"/>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Range of pouches and carrying devices available.</w:t>
            </w:r>
            <w:proofErr w:type="gramEnd"/>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Range of pouches and carrying devices available.</w:t>
            </w:r>
            <w:proofErr w:type="gramEnd"/>
          </w:p>
        </w:tc>
        <w:tc>
          <w:tcPr>
            <w:tcW w:w="2174" w:type="dxa"/>
            <w:shd w:val="clear" w:color="000000" w:fill="F2F2F2"/>
            <w:vAlign w:val="center"/>
            <w:hideMark/>
          </w:tcPr>
          <w:p w:rsidR="005B7A4B" w:rsidRPr="00787F54" w:rsidRDefault="00AE0F90" w:rsidP="00E90422">
            <w:pPr>
              <w:spacing w:before="40" w:after="40" w:line="240" w:lineRule="auto"/>
              <w:jc w:val="left"/>
              <w:rPr>
                <w:sz w:val="20"/>
                <w:szCs w:val="20"/>
                <w:lang w:eastAsia="en-AU"/>
              </w:rPr>
            </w:pPr>
            <w:proofErr w:type="gramStart"/>
            <w:r w:rsidRPr="003E1F05">
              <w:rPr>
                <w:sz w:val="20"/>
                <w:szCs w:val="20"/>
                <w:lang w:eastAsia="en-AU"/>
              </w:rPr>
              <w:t>Range of pouches and carrying devices available.</w:t>
            </w:r>
            <w:proofErr w:type="gramEnd"/>
          </w:p>
        </w:tc>
      </w:tr>
      <w:tr w:rsidR="005B7A4B" w:rsidRPr="00787F54" w:rsidTr="00E75393">
        <w:trPr>
          <w:trHeight w:val="525"/>
        </w:trPr>
        <w:tc>
          <w:tcPr>
            <w:tcW w:w="1716" w:type="dxa"/>
            <w:shd w:val="clear" w:color="000000" w:fill="D9D9D9"/>
            <w:vAlign w:val="center"/>
            <w:hideMark/>
          </w:tcPr>
          <w:p w:rsidR="005B7A4B" w:rsidRPr="00787F54" w:rsidRDefault="005B7A4B" w:rsidP="00E90422">
            <w:pPr>
              <w:spacing w:before="40" w:after="40" w:line="240" w:lineRule="auto"/>
              <w:jc w:val="left"/>
              <w:rPr>
                <w:b/>
                <w:bCs/>
                <w:sz w:val="20"/>
                <w:szCs w:val="20"/>
                <w:lang w:eastAsia="en-AU"/>
              </w:rPr>
            </w:pPr>
            <w:r w:rsidRPr="003E1F05">
              <w:rPr>
                <w:b/>
                <w:bCs/>
                <w:sz w:val="20"/>
                <w:szCs w:val="20"/>
                <w:lang w:eastAsia="en-AU"/>
              </w:rPr>
              <w:t>Personalisation (colours/skins)</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Five colour options.</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Five colour options.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proofErr w:type="gramStart"/>
            <w:r w:rsidRPr="003E1F05">
              <w:rPr>
                <w:sz w:val="20"/>
                <w:szCs w:val="20"/>
                <w:lang w:eastAsia="en-AU"/>
              </w:rPr>
              <w:t>One colour and thirty 'skins' available.</w:t>
            </w:r>
            <w:proofErr w:type="gramEnd"/>
            <w:r w:rsidRPr="003E1F05">
              <w:rPr>
                <w:sz w:val="20"/>
                <w:szCs w:val="20"/>
                <w:lang w:eastAsia="en-AU"/>
              </w:rPr>
              <w:t xml:space="preserve"> </w:t>
            </w:r>
          </w:p>
        </w:tc>
        <w:tc>
          <w:tcPr>
            <w:tcW w:w="2173"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 xml:space="preserve">Five colour options and five 'skins'. </w:t>
            </w:r>
          </w:p>
        </w:tc>
        <w:tc>
          <w:tcPr>
            <w:tcW w:w="2174" w:type="dxa"/>
            <w:shd w:val="clear" w:color="auto" w:fill="auto"/>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Five colour options and five 'skins'.</w:t>
            </w:r>
          </w:p>
        </w:tc>
        <w:tc>
          <w:tcPr>
            <w:tcW w:w="2174" w:type="dxa"/>
            <w:shd w:val="clear" w:color="000000" w:fill="F2F2F2"/>
            <w:vAlign w:val="center"/>
            <w:hideMark/>
          </w:tcPr>
          <w:p w:rsidR="005B7A4B" w:rsidRPr="00787F54" w:rsidRDefault="005B7A4B" w:rsidP="00E90422">
            <w:pPr>
              <w:spacing w:before="40" w:after="40" w:line="240" w:lineRule="auto"/>
              <w:jc w:val="left"/>
              <w:rPr>
                <w:sz w:val="20"/>
                <w:szCs w:val="20"/>
                <w:lang w:eastAsia="en-AU"/>
              </w:rPr>
            </w:pPr>
            <w:r w:rsidRPr="003E1F05">
              <w:rPr>
                <w:sz w:val="20"/>
                <w:szCs w:val="20"/>
                <w:lang w:eastAsia="en-AU"/>
              </w:rPr>
              <w:t>Five colours available and protective skins</w:t>
            </w:r>
          </w:p>
        </w:tc>
      </w:tr>
    </w:tbl>
    <w:p w:rsidR="005B7A4B" w:rsidRPr="00787F54" w:rsidRDefault="005B7A4B" w:rsidP="00AE0F90">
      <w:pPr>
        <w:pStyle w:val="Footer"/>
        <w:spacing w:before="240" w:after="0"/>
        <w:jc w:val="left"/>
      </w:pPr>
      <w:proofErr w:type="gramStart"/>
      <w:r w:rsidRPr="00787F54">
        <w:rPr>
          <w:sz w:val="22"/>
        </w:rPr>
        <w:t>*Requires use of continuous glucose monitoring.</w:t>
      </w:r>
      <w:proofErr w:type="gramEnd"/>
      <w:r w:rsidRPr="00787F54">
        <w:br w:type="page"/>
      </w:r>
    </w:p>
    <w:p w:rsidR="005B7A4B" w:rsidRPr="00D52454" w:rsidDel="002A5CAE" w:rsidRDefault="005B7A4B" w:rsidP="005B7A4B">
      <w:pPr>
        <w:pStyle w:val="Heading2"/>
      </w:pPr>
      <w:bookmarkStart w:id="276" w:name="_Toc381090959"/>
      <w:bookmarkStart w:id="277" w:name="_Toc387664357"/>
      <w:r w:rsidRPr="00D52454">
        <w:lastRenderedPageBreak/>
        <w:t>Appendix B – Insulin pumps no longer available under the Prostheses List</w:t>
      </w:r>
      <w:bookmarkEnd w:id="276"/>
      <w:bookmarkEnd w:id="277"/>
    </w:p>
    <w:tbl>
      <w:tblPr>
        <w:tblW w:w="14899" w:type="dxa"/>
        <w:tblInd w:w="93" w:type="dxa"/>
        <w:tblLook w:val="04A0" w:firstRow="1" w:lastRow="0" w:firstColumn="1" w:lastColumn="0" w:noHBand="0" w:noVBand="1"/>
      </w:tblPr>
      <w:tblGrid>
        <w:gridCol w:w="1858"/>
        <w:gridCol w:w="2608"/>
        <w:gridCol w:w="2608"/>
        <w:gridCol w:w="2608"/>
        <w:gridCol w:w="2608"/>
        <w:gridCol w:w="2609"/>
      </w:tblGrid>
      <w:tr w:rsidR="005B7A4B" w:rsidRPr="00787F54" w:rsidTr="00E75393">
        <w:trPr>
          <w:trHeight w:val="907"/>
        </w:trPr>
        <w:tc>
          <w:tcPr>
            <w:tcW w:w="1858" w:type="dxa"/>
            <w:tcBorders>
              <w:top w:val="single" w:sz="8" w:space="0" w:color="auto"/>
              <w:left w:val="single" w:sz="8" w:space="0" w:color="auto"/>
              <w:bottom w:val="double" w:sz="6" w:space="0" w:color="auto"/>
              <w:right w:val="single" w:sz="8" w:space="0" w:color="auto"/>
            </w:tcBorders>
            <w:shd w:val="clear" w:color="000000" w:fill="FFFFFF"/>
            <w:vAlign w:val="center"/>
          </w:tcPr>
          <w:p w:rsidR="005B7A4B" w:rsidRPr="00787F54" w:rsidRDefault="009D221F" w:rsidP="009D221F">
            <w:pPr>
              <w:spacing w:before="40" w:after="40"/>
              <w:jc w:val="left"/>
              <w:rPr>
                <w:b/>
                <w:bCs/>
                <w:sz w:val="20"/>
                <w:szCs w:val="20"/>
              </w:rPr>
            </w:pPr>
            <w:r w:rsidRPr="003E1F05">
              <w:rPr>
                <w:b/>
                <w:bCs/>
                <w:sz w:val="20"/>
                <w:szCs w:val="20"/>
              </w:rPr>
              <w:t xml:space="preserve">Pump Sponsor/ </w:t>
            </w:r>
            <w:r w:rsidR="005B7A4B" w:rsidRPr="003E1F05">
              <w:rPr>
                <w:b/>
                <w:bCs/>
                <w:sz w:val="20"/>
                <w:szCs w:val="20"/>
              </w:rPr>
              <w:t>Manufacturer</w:t>
            </w:r>
          </w:p>
        </w:tc>
        <w:tc>
          <w:tcPr>
            <w:tcW w:w="2608"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Australasian Medical &amp; Scientific Pty Ltd</w:t>
            </w:r>
          </w:p>
        </w:tc>
        <w:tc>
          <w:tcPr>
            <w:tcW w:w="2608" w:type="dxa"/>
            <w:tcBorders>
              <w:top w:val="single" w:sz="8" w:space="0" w:color="auto"/>
              <w:left w:val="nil"/>
              <w:bottom w:val="double" w:sz="6"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Roche Diagnostics Australia Pty Ltd</w:t>
            </w:r>
          </w:p>
        </w:tc>
        <w:tc>
          <w:tcPr>
            <w:tcW w:w="2608" w:type="dxa"/>
            <w:tcBorders>
              <w:top w:val="single" w:sz="8" w:space="0" w:color="auto"/>
              <w:left w:val="nil"/>
              <w:bottom w:val="double" w:sz="6"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Medtronic Australasia Pty Ltd</w:t>
            </w:r>
          </w:p>
        </w:tc>
        <w:tc>
          <w:tcPr>
            <w:tcW w:w="2608" w:type="dxa"/>
            <w:tcBorders>
              <w:top w:val="single" w:sz="8" w:space="0" w:color="auto"/>
              <w:left w:val="nil"/>
              <w:bottom w:val="double" w:sz="6"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Medtronic Australasia Pty Ltd</w:t>
            </w:r>
          </w:p>
        </w:tc>
        <w:tc>
          <w:tcPr>
            <w:tcW w:w="2609" w:type="dxa"/>
            <w:tcBorders>
              <w:top w:val="single" w:sz="8" w:space="0" w:color="auto"/>
              <w:left w:val="nil"/>
              <w:bottom w:val="double" w:sz="6"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b/>
                <w:sz w:val="20"/>
                <w:szCs w:val="20"/>
                <w:lang w:eastAsia="en-AU"/>
              </w:rPr>
            </w:pPr>
            <w:r w:rsidRPr="003E1F05">
              <w:rPr>
                <w:b/>
                <w:sz w:val="20"/>
                <w:szCs w:val="20"/>
                <w:lang w:eastAsia="en-AU"/>
              </w:rPr>
              <w:t>Australasian Medical &amp; Scientific Pty Ltd</w:t>
            </w:r>
          </w:p>
        </w:tc>
      </w:tr>
      <w:tr w:rsidR="005B7A4B" w:rsidRPr="00787F54" w:rsidTr="00E75393">
        <w:trPr>
          <w:trHeight w:val="795"/>
        </w:trPr>
        <w:tc>
          <w:tcPr>
            <w:tcW w:w="1858" w:type="dxa"/>
            <w:tcBorders>
              <w:top w:val="nil"/>
              <w:left w:val="single" w:sz="8" w:space="0" w:color="auto"/>
              <w:bottom w:val="single" w:sz="8" w:space="0" w:color="auto"/>
              <w:right w:val="single" w:sz="8" w:space="0" w:color="auto"/>
            </w:tcBorders>
            <w:shd w:val="clear" w:color="000000" w:fill="FFFFFF"/>
            <w:vAlign w:val="center"/>
          </w:tcPr>
          <w:p w:rsidR="005B7A4B" w:rsidRPr="00787F54" w:rsidRDefault="005B7A4B" w:rsidP="009D221F">
            <w:pPr>
              <w:spacing w:before="40" w:after="40"/>
              <w:jc w:val="left"/>
              <w:rPr>
                <w:b/>
                <w:bCs/>
                <w:sz w:val="20"/>
                <w:szCs w:val="20"/>
              </w:rPr>
            </w:pPr>
            <w:r w:rsidRPr="003E1F05">
              <w:rPr>
                <w:b/>
                <w:bCs/>
                <w:sz w:val="20"/>
                <w:szCs w:val="20"/>
              </w:rPr>
              <w:t>Model Name/No.</w:t>
            </w:r>
          </w:p>
        </w:tc>
        <w:tc>
          <w:tcPr>
            <w:tcW w:w="2608" w:type="dxa"/>
            <w:tcBorders>
              <w:top w:val="nil"/>
              <w:left w:val="single" w:sz="8" w:space="0" w:color="auto"/>
              <w:bottom w:val="single" w:sz="8" w:space="0" w:color="auto"/>
              <w:right w:val="single" w:sz="8" w:space="0" w:color="auto"/>
            </w:tcBorders>
            <w:shd w:val="clear" w:color="000000" w:fill="FFFFFF"/>
            <w:vAlign w:val="center"/>
            <w:hideMark/>
          </w:tcPr>
          <w:p w:rsidR="005B7A4B" w:rsidRPr="00787F54" w:rsidRDefault="005B7A4B" w:rsidP="004A2A76">
            <w:pPr>
              <w:spacing w:before="40" w:after="40" w:line="240" w:lineRule="auto"/>
              <w:jc w:val="left"/>
              <w:rPr>
                <w:sz w:val="20"/>
                <w:szCs w:val="20"/>
                <w:lang w:eastAsia="en-AU"/>
              </w:rPr>
            </w:pPr>
            <w:r w:rsidRPr="003E1F05">
              <w:rPr>
                <w:sz w:val="20"/>
                <w:szCs w:val="20"/>
                <w:lang w:eastAsia="en-AU"/>
              </w:rPr>
              <w:t xml:space="preserve">Animas: 2020 </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C35E84" w:rsidP="009D221F">
            <w:pPr>
              <w:spacing w:before="40" w:after="40" w:line="240" w:lineRule="auto"/>
              <w:jc w:val="left"/>
              <w:rPr>
                <w:sz w:val="20"/>
                <w:szCs w:val="20"/>
                <w:lang w:eastAsia="en-AU"/>
              </w:rPr>
            </w:pPr>
            <w:proofErr w:type="spellStart"/>
            <w:r w:rsidRPr="003E1F05">
              <w:rPr>
                <w:sz w:val="20"/>
                <w:szCs w:val="20"/>
                <w:lang w:eastAsia="en-AU"/>
              </w:rPr>
              <w:t>Accu-Chek</w:t>
            </w:r>
            <w:proofErr w:type="spellEnd"/>
            <w:r w:rsidRPr="003E1F05">
              <w:rPr>
                <w:sz w:val="20"/>
                <w:szCs w:val="20"/>
                <w:lang w:eastAsia="en-AU"/>
              </w:rPr>
              <w:t>: Spirit</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C35E84" w:rsidP="009D221F">
            <w:pPr>
              <w:spacing w:before="40" w:after="40" w:line="240" w:lineRule="auto"/>
              <w:jc w:val="left"/>
              <w:rPr>
                <w:sz w:val="20"/>
                <w:szCs w:val="20"/>
                <w:lang w:eastAsia="en-AU"/>
              </w:rPr>
            </w:pPr>
            <w:r w:rsidRPr="003E1F05">
              <w:rPr>
                <w:sz w:val="20"/>
                <w:szCs w:val="20"/>
                <w:lang w:eastAsia="en-AU"/>
              </w:rPr>
              <w:t>Medtronic: Paradigm 522</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C35E84" w:rsidP="009D221F">
            <w:pPr>
              <w:spacing w:before="40" w:after="40" w:line="240" w:lineRule="auto"/>
              <w:jc w:val="left"/>
              <w:rPr>
                <w:sz w:val="20"/>
                <w:szCs w:val="20"/>
                <w:lang w:eastAsia="en-AU"/>
              </w:rPr>
            </w:pPr>
            <w:r w:rsidRPr="003E1F05">
              <w:rPr>
                <w:sz w:val="20"/>
                <w:szCs w:val="20"/>
                <w:lang w:eastAsia="en-AU"/>
              </w:rPr>
              <w:t>Medtronic: Paradigm 722</w:t>
            </w:r>
          </w:p>
        </w:tc>
        <w:tc>
          <w:tcPr>
            <w:tcW w:w="2609"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4A2A76">
            <w:pPr>
              <w:spacing w:before="40" w:after="40" w:line="240" w:lineRule="auto"/>
              <w:jc w:val="left"/>
              <w:rPr>
                <w:sz w:val="20"/>
                <w:szCs w:val="20"/>
                <w:lang w:eastAsia="en-AU"/>
              </w:rPr>
            </w:pPr>
            <w:proofErr w:type="spellStart"/>
            <w:r w:rsidRPr="003E1F05">
              <w:rPr>
                <w:sz w:val="20"/>
                <w:szCs w:val="20"/>
                <w:lang w:eastAsia="en-AU"/>
              </w:rPr>
              <w:t>Deltec</w:t>
            </w:r>
            <w:proofErr w:type="spellEnd"/>
            <w:r w:rsidRPr="003E1F05">
              <w:rPr>
                <w:sz w:val="20"/>
                <w:szCs w:val="20"/>
                <w:lang w:eastAsia="en-AU"/>
              </w:rPr>
              <w:t xml:space="preserve">: </w:t>
            </w:r>
            <w:proofErr w:type="spellStart"/>
            <w:r w:rsidRPr="003E1F05">
              <w:rPr>
                <w:sz w:val="20"/>
                <w:szCs w:val="20"/>
                <w:lang w:eastAsia="en-AU"/>
              </w:rPr>
              <w:t>Cozmo</w:t>
            </w:r>
            <w:proofErr w:type="spellEnd"/>
            <w:r w:rsidRPr="003E1F05">
              <w:rPr>
                <w:sz w:val="20"/>
                <w:szCs w:val="20"/>
                <w:lang w:eastAsia="en-AU"/>
              </w:rPr>
              <w:br/>
            </w:r>
          </w:p>
        </w:tc>
      </w:tr>
      <w:tr w:rsidR="005B7A4B" w:rsidRPr="00787F54" w:rsidTr="00E75393">
        <w:trPr>
          <w:trHeight w:val="525"/>
        </w:trPr>
        <w:tc>
          <w:tcPr>
            <w:tcW w:w="1858" w:type="dxa"/>
            <w:tcBorders>
              <w:top w:val="nil"/>
              <w:left w:val="single" w:sz="8" w:space="0" w:color="auto"/>
              <w:bottom w:val="single" w:sz="8" w:space="0" w:color="auto"/>
              <w:right w:val="single" w:sz="8" w:space="0" w:color="auto"/>
            </w:tcBorders>
            <w:shd w:val="clear" w:color="000000" w:fill="FFFFFF"/>
            <w:vAlign w:val="center"/>
          </w:tcPr>
          <w:p w:rsidR="005B7A4B" w:rsidRPr="00787F54" w:rsidRDefault="00C35E84" w:rsidP="009D221F">
            <w:pPr>
              <w:spacing w:before="40" w:after="40"/>
              <w:jc w:val="left"/>
              <w:rPr>
                <w:b/>
                <w:bCs/>
                <w:sz w:val="20"/>
                <w:szCs w:val="20"/>
              </w:rPr>
            </w:pPr>
            <w:r w:rsidRPr="003E1F05">
              <w:rPr>
                <w:b/>
                <w:bCs/>
                <w:sz w:val="20"/>
                <w:szCs w:val="20"/>
              </w:rPr>
              <w:t>Minimum Benefit on Prostheses List</w:t>
            </w:r>
          </w:p>
        </w:tc>
        <w:tc>
          <w:tcPr>
            <w:tcW w:w="2608" w:type="dxa"/>
            <w:tcBorders>
              <w:top w:val="nil"/>
              <w:left w:val="single" w:sz="8" w:space="0" w:color="auto"/>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$7,750</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$4,000</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$8,950</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$8,950</w:t>
            </w:r>
          </w:p>
        </w:tc>
        <w:tc>
          <w:tcPr>
            <w:tcW w:w="2609" w:type="dxa"/>
            <w:tcBorders>
              <w:top w:val="nil"/>
              <w:left w:val="nil"/>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$7,750</w:t>
            </w:r>
          </w:p>
        </w:tc>
      </w:tr>
      <w:tr w:rsidR="005B7A4B" w:rsidRPr="00787F54" w:rsidTr="00E75393">
        <w:trPr>
          <w:trHeight w:val="760"/>
        </w:trPr>
        <w:tc>
          <w:tcPr>
            <w:tcW w:w="1858" w:type="dxa"/>
            <w:tcBorders>
              <w:top w:val="nil"/>
              <w:left w:val="single" w:sz="8" w:space="0" w:color="auto"/>
              <w:bottom w:val="single" w:sz="8" w:space="0" w:color="auto"/>
              <w:right w:val="single" w:sz="8" w:space="0" w:color="auto"/>
            </w:tcBorders>
            <w:shd w:val="clear" w:color="000000" w:fill="FFFFFF"/>
            <w:vAlign w:val="center"/>
          </w:tcPr>
          <w:p w:rsidR="005B7A4B" w:rsidRPr="00787F54" w:rsidRDefault="005B7A4B" w:rsidP="009D221F">
            <w:pPr>
              <w:spacing w:before="40" w:after="40"/>
              <w:jc w:val="left"/>
              <w:rPr>
                <w:b/>
                <w:bCs/>
                <w:sz w:val="20"/>
                <w:szCs w:val="20"/>
              </w:rPr>
            </w:pPr>
            <w:r w:rsidRPr="003E1F05">
              <w:rPr>
                <w:b/>
                <w:bCs/>
                <w:sz w:val="20"/>
                <w:szCs w:val="20"/>
              </w:rPr>
              <w:t>Listed on Prostheses List</w:t>
            </w:r>
          </w:p>
        </w:tc>
        <w:tc>
          <w:tcPr>
            <w:tcW w:w="2608" w:type="dxa"/>
            <w:tcBorders>
              <w:top w:val="nil"/>
              <w:left w:val="single" w:sz="8" w:space="0" w:color="auto"/>
              <w:bottom w:val="single" w:sz="8"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Yes</w:t>
            </w:r>
            <w:r w:rsidR="004A2A76" w:rsidRPr="003E1F05">
              <w:rPr>
                <w:sz w:val="20"/>
                <w:szCs w:val="20"/>
                <w:lang w:eastAsia="en-AU"/>
              </w:rPr>
              <w:t xml:space="preserve"> (Discontinued)</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C35E84" w:rsidRDefault="004A2A76" w:rsidP="009D221F">
            <w:pPr>
              <w:spacing w:before="40" w:after="40" w:line="240" w:lineRule="auto"/>
              <w:jc w:val="left"/>
              <w:rPr>
                <w:sz w:val="20"/>
                <w:szCs w:val="20"/>
                <w:lang w:eastAsia="en-AU"/>
              </w:rPr>
            </w:pPr>
            <w:r w:rsidRPr="003E1F05">
              <w:rPr>
                <w:sz w:val="20"/>
                <w:szCs w:val="20"/>
                <w:lang w:eastAsia="en-AU"/>
              </w:rPr>
              <w:t>No (De</w:t>
            </w:r>
            <w:r w:rsidR="005B7A4B" w:rsidRPr="003E1F05">
              <w:rPr>
                <w:sz w:val="20"/>
                <w:szCs w:val="20"/>
                <w:lang w:eastAsia="en-AU"/>
              </w:rPr>
              <w:t>listed Feb 2013)</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C35E84" w:rsidRDefault="004A2A76" w:rsidP="009D221F">
            <w:pPr>
              <w:spacing w:before="40" w:after="40" w:line="240" w:lineRule="auto"/>
              <w:jc w:val="left"/>
              <w:rPr>
                <w:sz w:val="20"/>
                <w:szCs w:val="20"/>
                <w:lang w:eastAsia="en-AU"/>
              </w:rPr>
            </w:pPr>
            <w:r w:rsidRPr="003E1F05">
              <w:rPr>
                <w:sz w:val="20"/>
                <w:szCs w:val="20"/>
                <w:lang w:eastAsia="en-AU"/>
              </w:rPr>
              <w:t>No (De</w:t>
            </w:r>
            <w:r w:rsidR="005B7A4B" w:rsidRPr="003E1F05">
              <w:rPr>
                <w:sz w:val="20"/>
                <w:szCs w:val="20"/>
                <w:lang w:eastAsia="en-AU"/>
              </w:rPr>
              <w:t>listed Feb 2013)</w:t>
            </w:r>
          </w:p>
        </w:tc>
        <w:tc>
          <w:tcPr>
            <w:tcW w:w="2608" w:type="dxa"/>
            <w:tcBorders>
              <w:top w:val="nil"/>
              <w:left w:val="nil"/>
              <w:bottom w:val="single" w:sz="8" w:space="0" w:color="auto"/>
              <w:right w:val="single" w:sz="8" w:space="0" w:color="auto"/>
            </w:tcBorders>
            <w:shd w:val="clear" w:color="000000" w:fill="FFFFFF"/>
            <w:vAlign w:val="center"/>
            <w:hideMark/>
          </w:tcPr>
          <w:p w:rsidR="005B7A4B" w:rsidRPr="00C35E84" w:rsidRDefault="004A2A76" w:rsidP="009D221F">
            <w:pPr>
              <w:spacing w:before="40" w:after="40" w:line="240" w:lineRule="auto"/>
              <w:jc w:val="left"/>
              <w:rPr>
                <w:sz w:val="20"/>
                <w:szCs w:val="20"/>
                <w:lang w:eastAsia="en-AU"/>
              </w:rPr>
            </w:pPr>
            <w:r w:rsidRPr="003E1F05">
              <w:rPr>
                <w:sz w:val="20"/>
                <w:szCs w:val="20"/>
                <w:lang w:eastAsia="en-AU"/>
              </w:rPr>
              <w:t>No (De</w:t>
            </w:r>
            <w:r w:rsidR="005B7A4B" w:rsidRPr="003E1F05">
              <w:rPr>
                <w:sz w:val="20"/>
                <w:szCs w:val="20"/>
                <w:lang w:eastAsia="en-AU"/>
              </w:rPr>
              <w:t>listed Feb 2013)</w:t>
            </w:r>
          </w:p>
        </w:tc>
        <w:tc>
          <w:tcPr>
            <w:tcW w:w="2609" w:type="dxa"/>
            <w:tcBorders>
              <w:top w:val="nil"/>
              <w:left w:val="nil"/>
              <w:bottom w:val="single" w:sz="8" w:space="0" w:color="auto"/>
              <w:right w:val="single" w:sz="8" w:space="0" w:color="auto"/>
            </w:tcBorders>
            <w:shd w:val="clear" w:color="000000" w:fill="FFFFFF"/>
            <w:vAlign w:val="center"/>
            <w:hideMark/>
          </w:tcPr>
          <w:p w:rsidR="005B7A4B" w:rsidRPr="00787F54" w:rsidRDefault="00C35E84" w:rsidP="004A2A76">
            <w:pPr>
              <w:spacing w:before="40" w:after="40" w:line="240" w:lineRule="auto"/>
              <w:jc w:val="left"/>
              <w:rPr>
                <w:sz w:val="20"/>
                <w:szCs w:val="20"/>
                <w:lang w:eastAsia="en-AU"/>
              </w:rPr>
            </w:pPr>
            <w:r w:rsidRPr="003E1F05">
              <w:rPr>
                <w:sz w:val="20"/>
                <w:szCs w:val="20"/>
                <w:lang w:eastAsia="en-AU"/>
              </w:rPr>
              <w:t>No</w:t>
            </w:r>
            <w:r w:rsidR="004A2A76" w:rsidRPr="003E1F05">
              <w:rPr>
                <w:sz w:val="20"/>
                <w:szCs w:val="20"/>
                <w:lang w:eastAsia="en-AU"/>
              </w:rPr>
              <w:t xml:space="preserve"> (Discontinued in 2009, and de</w:t>
            </w:r>
            <w:r w:rsidRPr="003E1F05">
              <w:rPr>
                <w:sz w:val="20"/>
                <w:szCs w:val="20"/>
                <w:lang w:eastAsia="en-AU"/>
              </w:rPr>
              <w:t>listed Feb 2014)</w:t>
            </w:r>
          </w:p>
        </w:tc>
      </w:tr>
      <w:tr w:rsidR="005B7A4B" w:rsidRPr="00787F54" w:rsidTr="00E75393">
        <w:trPr>
          <w:trHeight w:val="944"/>
        </w:trPr>
        <w:tc>
          <w:tcPr>
            <w:tcW w:w="1858" w:type="dxa"/>
            <w:tcBorders>
              <w:top w:val="nil"/>
              <w:left w:val="single" w:sz="8" w:space="0" w:color="auto"/>
              <w:bottom w:val="single" w:sz="4" w:space="0" w:color="auto"/>
              <w:right w:val="single" w:sz="8" w:space="0" w:color="auto"/>
            </w:tcBorders>
            <w:shd w:val="clear" w:color="000000" w:fill="FFFFFF"/>
            <w:vAlign w:val="center"/>
          </w:tcPr>
          <w:p w:rsidR="005B7A4B" w:rsidRPr="00787F54" w:rsidRDefault="005B7A4B" w:rsidP="009D221F">
            <w:pPr>
              <w:spacing w:before="40" w:after="40"/>
              <w:jc w:val="left"/>
              <w:rPr>
                <w:b/>
                <w:bCs/>
                <w:sz w:val="20"/>
                <w:szCs w:val="20"/>
              </w:rPr>
            </w:pPr>
            <w:r w:rsidRPr="003E1F05">
              <w:rPr>
                <w:b/>
                <w:bCs/>
                <w:sz w:val="20"/>
                <w:szCs w:val="20"/>
              </w:rPr>
              <w:t>Main Function</w:t>
            </w:r>
          </w:p>
        </w:tc>
        <w:tc>
          <w:tcPr>
            <w:tcW w:w="2608" w:type="dxa"/>
            <w:tcBorders>
              <w:top w:val="nil"/>
              <w:left w:val="single" w:sz="8" w:space="0" w:color="auto"/>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infusion pump</w:t>
            </w:r>
          </w:p>
        </w:tc>
        <w:tc>
          <w:tcPr>
            <w:tcW w:w="2608" w:type="dxa"/>
            <w:tcBorders>
              <w:top w:val="nil"/>
              <w:left w:val="nil"/>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infusion pump</w:t>
            </w:r>
          </w:p>
        </w:tc>
        <w:tc>
          <w:tcPr>
            <w:tcW w:w="2608" w:type="dxa"/>
            <w:tcBorders>
              <w:top w:val="nil"/>
              <w:left w:val="nil"/>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delivery, performs bolus calculation and advice + CGM  capability</w:t>
            </w:r>
          </w:p>
        </w:tc>
        <w:tc>
          <w:tcPr>
            <w:tcW w:w="2608" w:type="dxa"/>
            <w:tcBorders>
              <w:top w:val="nil"/>
              <w:left w:val="nil"/>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delivery, performs bolus calculation and advice + CGM capability</w:t>
            </w:r>
          </w:p>
        </w:tc>
        <w:tc>
          <w:tcPr>
            <w:tcW w:w="2609" w:type="dxa"/>
            <w:tcBorders>
              <w:top w:val="nil"/>
              <w:left w:val="nil"/>
              <w:bottom w:val="single" w:sz="4" w:space="0" w:color="auto"/>
              <w:right w:val="single" w:sz="8" w:space="0" w:color="auto"/>
            </w:tcBorders>
            <w:shd w:val="clear" w:color="000000" w:fill="FFFFFF"/>
            <w:vAlign w:val="center"/>
            <w:hideMark/>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Insulin infusion pump</w:t>
            </w:r>
          </w:p>
        </w:tc>
      </w:tr>
      <w:tr w:rsidR="005B7A4B" w:rsidRPr="00787F54" w:rsidTr="00E75393">
        <w:trPr>
          <w:trHeight w:val="708"/>
        </w:trPr>
        <w:tc>
          <w:tcPr>
            <w:tcW w:w="185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9D221F">
            <w:pPr>
              <w:spacing w:before="40" w:after="40"/>
              <w:jc w:val="left"/>
              <w:rPr>
                <w:b/>
                <w:bCs/>
                <w:sz w:val="20"/>
                <w:szCs w:val="20"/>
              </w:rPr>
            </w:pPr>
            <w:r w:rsidRPr="003E1F05">
              <w:rPr>
                <w:b/>
                <w:bCs/>
                <w:sz w:val="20"/>
                <w:szCs w:val="20"/>
              </w:rPr>
              <w:t>Reason for removal</w:t>
            </w:r>
          </w:p>
        </w:tc>
        <w:tc>
          <w:tcPr>
            <w:tcW w:w="260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4A2A76" w:rsidP="009D221F">
            <w:pPr>
              <w:spacing w:before="40" w:after="40" w:line="240" w:lineRule="auto"/>
              <w:jc w:val="left"/>
              <w:rPr>
                <w:sz w:val="20"/>
                <w:szCs w:val="20"/>
                <w:lang w:eastAsia="en-AU"/>
              </w:rPr>
            </w:pPr>
            <w:r w:rsidRPr="003E1F05">
              <w:rPr>
                <w:sz w:val="20"/>
                <w:szCs w:val="20"/>
              </w:rPr>
              <w:t>D</w:t>
            </w:r>
            <w:r w:rsidR="005B7A4B" w:rsidRPr="003E1F05">
              <w:rPr>
                <w:sz w:val="20"/>
                <w:szCs w:val="20"/>
              </w:rPr>
              <w:t>iscontinued and superseded by the Animas: Vibe insulin pump.</w:t>
            </w:r>
          </w:p>
        </w:tc>
        <w:tc>
          <w:tcPr>
            <w:tcW w:w="260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 xml:space="preserve">Manufacturer requested removal from Prostheses </w:t>
            </w:r>
            <w:proofErr w:type="gramStart"/>
            <w:r w:rsidRPr="003E1F05">
              <w:rPr>
                <w:sz w:val="20"/>
                <w:szCs w:val="20"/>
                <w:lang w:eastAsia="en-AU"/>
              </w:rPr>
              <w:t>List,</w:t>
            </w:r>
            <w:proofErr w:type="gramEnd"/>
            <w:r w:rsidRPr="003E1F05">
              <w:rPr>
                <w:sz w:val="20"/>
                <w:szCs w:val="20"/>
                <w:lang w:eastAsia="en-AU"/>
              </w:rPr>
              <w:t xml:space="preserve"> the model was superseded by a newer model.</w:t>
            </w:r>
          </w:p>
        </w:tc>
        <w:tc>
          <w:tcPr>
            <w:tcW w:w="260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 xml:space="preserve">Manufacturer requested removal from Prostheses </w:t>
            </w:r>
            <w:proofErr w:type="gramStart"/>
            <w:r w:rsidRPr="003E1F05">
              <w:rPr>
                <w:sz w:val="20"/>
                <w:szCs w:val="20"/>
                <w:lang w:eastAsia="en-AU"/>
              </w:rPr>
              <w:t>List,</w:t>
            </w:r>
            <w:proofErr w:type="gramEnd"/>
            <w:r w:rsidRPr="003E1F05">
              <w:rPr>
                <w:sz w:val="20"/>
                <w:szCs w:val="20"/>
                <w:lang w:eastAsia="en-AU"/>
              </w:rPr>
              <w:t xml:space="preserve"> the model was superseded by a newer model.</w:t>
            </w:r>
          </w:p>
        </w:tc>
        <w:tc>
          <w:tcPr>
            <w:tcW w:w="2608"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9D221F">
            <w:pPr>
              <w:spacing w:before="40" w:after="40" w:line="240" w:lineRule="auto"/>
              <w:jc w:val="left"/>
              <w:rPr>
                <w:sz w:val="20"/>
                <w:szCs w:val="20"/>
                <w:lang w:eastAsia="en-AU"/>
              </w:rPr>
            </w:pPr>
            <w:r w:rsidRPr="003E1F05">
              <w:rPr>
                <w:sz w:val="20"/>
                <w:szCs w:val="20"/>
                <w:lang w:eastAsia="en-AU"/>
              </w:rPr>
              <w:t xml:space="preserve">Manufacturer requested removal from Prostheses </w:t>
            </w:r>
            <w:proofErr w:type="gramStart"/>
            <w:r w:rsidRPr="003E1F05">
              <w:rPr>
                <w:sz w:val="20"/>
                <w:szCs w:val="20"/>
                <w:lang w:eastAsia="en-AU"/>
              </w:rPr>
              <w:t>List,</w:t>
            </w:r>
            <w:proofErr w:type="gramEnd"/>
            <w:r w:rsidRPr="003E1F05">
              <w:rPr>
                <w:sz w:val="20"/>
                <w:szCs w:val="20"/>
                <w:lang w:eastAsia="en-AU"/>
              </w:rPr>
              <w:t xml:space="preserve"> the model was superseded by a newer model.</w:t>
            </w:r>
          </w:p>
        </w:tc>
        <w:tc>
          <w:tcPr>
            <w:tcW w:w="2609" w:type="dxa"/>
            <w:tcBorders>
              <w:top w:val="single" w:sz="4" w:space="0" w:color="auto"/>
              <w:left w:val="single" w:sz="4" w:space="0" w:color="auto"/>
              <w:bottom w:val="single" w:sz="4" w:space="0" w:color="auto"/>
              <w:right w:val="single" w:sz="4" w:space="0" w:color="auto"/>
            </w:tcBorders>
            <w:shd w:val="clear" w:color="000000" w:fill="FFFFFF"/>
            <w:vAlign w:val="center"/>
          </w:tcPr>
          <w:p w:rsidR="005B7A4B" w:rsidRPr="00787F54" w:rsidRDefault="005B7A4B" w:rsidP="004A2A76">
            <w:pPr>
              <w:spacing w:before="40" w:after="40"/>
              <w:rPr>
                <w:rFonts w:cs="Arial"/>
                <w:sz w:val="20"/>
                <w:szCs w:val="20"/>
              </w:rPr>
            </w:pPr>
            <w:proofErr w:type="spellStart"/>
            <w:r w:rsidRPr="003E1F05">
              <w:rPr>
                <w:sz w:val="20"/>
                <w:szCs w:val="20"/>
              </w:rPr>
              <w:t>Smiths</w:t>
            </w:r>
            <w:proofErr w:type="spellEnd"/>
            <w:r w:rsidRPr="003E1F05">
              <w:rPr>
                <w:sz w:val="20"/>
                <w:szCs w:val="20"/>
              </w:rPr>
              <w:t xml:space="preserve"> Medical announced its intent to stop manufacturing and selling the </w:t>
            </w:r>
            <w:proofErr w:type="spellStart"/>
            <w:r w:rsidRPr="003E1F05">
              <w:rPr>
                <w:sz w:val="20"/>
                <w:szCs w:val="20"/>
              </w:rPr>
              <w:t>Deltec</w:t>
            </w:r>
            <w:proofErr w:type="spellEnd"/>
            <w:r w:rsidRPr="003E1F05">
              <w:rPr>
                <w:sz w:val="20"/>
                <w:szCs w:val="20"/>
              </w:rPr>
              <w:t xml:space="preserve"> </w:t>
            </w:r>
            <w:proofErr w:type="spellStart"/>
            <w:r w:rsidRPr="003E1F05">
              <w:rPr>
                <w:sz w:val="20"/>
                <w:szCs w:val="20"/>
              </w:rPr>
              <w:t>Cozmo</w:t>
            </w:r>
            <w:proofErr w:type="spellEnd"/>
            <w:r w:rsidRPr="003E1F05">
              <w:rPr>
                <w:sz w:val="20"/>
                <w:szCs w:val="20"/>
              </w:rPr>
              <w:t xml:space="preserve">, effective </w:t>
            </w:r>
            <w:r w:rsidR="004A2A76" w:rsidRPr="003E1F05">
              <w:rPr>
                <w:sz w:val="20"/>
                <w:szCs w:val="20"/>
              </w:rPr>
              <w:t>25 March</w:t>
            </w:r>
            <w:r w:rsidRPr="003E1F05">
              <w:rPr>
                <w:sz w:val="20"/>
                <w:szCs w:val="20"/>
              </w:rPr>
              <w:t xml:space="preserve"> 2009. </w:t>
            </w:r>
          </w:p>
        </w:tc>
      </w:tr>
    </w:tbl>
    <w:p w:rsidR="005B7A4B" w:rsidRPr="00D52454" w:rsidRDefault="005B7A4B" w:rsidP="005B7A4B">
      <w:pPr>
        <w:pStyle w:val="Heading2"/>
      </w:pPr>
      <w:bookmarkStart w:id="278" w:name="_Appendix_E_-"/>
      <w:bookmarkStart w:id="279" w:name="_Attachment_E_-"/>
      <w:bookmarkStart w:id="280" w:name="_Appendix_I_-"/>
      <w:bookmarkEnd w:id="278"/>
      <w:bookmarkEnd w:id="279"/>
      <w:bookmarkEnd w:id="280"/>
      <w:r w:rsidRPr="00D52454">
        <w:br w:type="page"/>
      </w:r>
    </w:p>
    <w:p w:rsidR="005B7A4B" w:rsidRPr="00D52454" w:rsidRDefault="005B7A4B" w:rsidP="005B7A4B">
      <w:pPr>
        <w:pStyle w:val="Heading2"/>
      </w:pPr>
      <w:bookmarkStart w:id="281" w:name="_Toc381090960"/>
      <w:bookmarkStart w:id="282" w:name="_Toc387664358"/>
      <w:r w:rsidRPr="00D52454">
        <w:lastRenderedPageBreak/>
        <w:t>Appendix C – Breakdown of insulin pump brands supplied under th</w:t>
      </w:r>
      <w:r w:rsidR="004A2A76" w:rsidRPr="00D52454">
        <w:t xml:space="preserve">e Insulin Pump </w:t>
      </w:r>
      <w:proofErr w:type="spellStart"/>
      <w:r w:rsidR="004A2A76" w:rsidRPr="00D52454">
        <w:t>Programme</w:t>
      </w:r>
      <w:proofErr w:type="spellEnd"/>
      <w:r w:rsidR="004A2A76" w:rsidRPr="00D52454">
        <w:t xml:space="preserve"> </w:t>
      </w:r>
      <w:r w:rsidR="00AD0F0C" w:rsidRPr="00D52454">
        <w:t xml:space="preserve">from </w:t>
      </w:r>
      <w:r w:rsidRPr="00D52454">
        <w:t>commencement</w:t>
      </w:r>
      <w:bookmarkEnd w:id="281"/>
      <w:r w:rsidR="00AD0F0C" w:rsidRPr="00D52454">
        <w:t xml:space="preserve"> to </w:t>
      </w:r>
      <w:r w:rsidR="006907A6" w:rsidRPr="00D52454">
        <w:t>31 March 2013</w:t>
      </w:r>
      <w:bookmarkEnd w:id="282"/>
    </w:p>
    <w:tbl>
      <w:tblPr>
        <w:tblW w:w="14899" w:type="dxa"/>
        <w:tblInd w:w="93" w:type="dxa"/>
        <w:tblLook w:val="04A0" w:firstRow="1" w:lastRow="0" w:firstColumn="1" w:lastColumn="0" w:noHBand="0" w:noVBand="1"/>
      </w:tblPr>
      <w:tblGrid>
        <w:gridCol w:w="2709"/>
        <w:gridCol w:w="3402"/>
        <w:gridCol w:w="2126"/>
        <w:gridCol w:w="1843"/>
        <w:gridCol w:w="1842"/>
        <w:gridCol w:w="1843"/>
        <w:gridCol w:w="1134"/>
      </w:tblGrid>
      <w:tr w:rsidR="00087AB2" w:rsidRPr="00213D66" w:rsidTr="00507DD7">
        <w:trPr>
          <w:trHeight w:val="703"/>
        </w:trPr>
        <w:tc>
          <w:tcPr>
            <w:tcW w:w="2709"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B7A4B" w:rsidRPr="00213D66" w:rsidRDefault="005B7A4B" w:rsidP="00E75393">
            <w:pPr>
              <w:spacing w:after="0" w:line="240" w:lineRule="auto"/>
              <w:jc w:val="left"/>
              <w:rPr>
                <w:rFonts w:cs="Calibri"/>
                <w:b/>
                <w:bCs/>
                <w:sz w:val="20"/>
                <w:szCs w:val="20"/>
                <w:lang w:eastAsia="en-AU"/>
              </w:rPr>
            </w:pPr>
            <w:r w:rsidRPr="003E1F05">
              <w:rPr>
                <w:rFonts w:cs="Calibri"/>
                <w:b/>
                <w:bCs/>
                <w:sz w:val="20"/>
                <w:szCs w:val="20"/>
                <w:lang w:eastAsia="en-AU"/>
              </w:rPr>
              <w:t xml:space="preserve">Pump </w:t>
            </w:r>
            <w:r w:rsidR="004A2A76" w:rsidRPr="003E1F05">
              <w:rPr>
                <w:rFonts w:cs="Calibri"/>
                <w:b/>
                <w:bCs/>
                <w:sz w:val="20"/>
                <w:szCs w:val="20"/>
                <w:lang w:eastAsia="en-AU"/>
              </w:rPr>
              <w:t xml:space="preserve">Sponsor / </w:t>
            </w:r>
            <w:r w:rsidRPr="003E1F05">
              <w:rPr>
                <w:rFonts w:cs="Calibri"/>
                <w:b/>
                <w:bCs/>
                <w:sz w:val="20"/>
                <w:szCs w:val="20"/>
                <w:lang w:eastAsia="en-AU"/>
              </w:rPr>
              <w:t>Manufacturer</w:t>
            </w:r>
          </w:p>
        </w:tc>
        <w:tc>
          <w:tcPr>
            <w:tcW w:w="3402" w:type="dxa"/>
            <w:tcBorders>
              <w:top w:val="single" w:sz="8" w:space="0" w:color="auto"/>
              <w:left w:val="nil"/>
              <w:bottom w:val="single" w:sz="8" w:space="0" w:color="auto"/>
              <w:right w:val="single" w:sz="8" w:space="0" w:color="auto"/>
            </w:tcBorders>
            <w:shd w:val="clear" w:color="000000" w:fill="D9D9D9"/>
            <w:vAlign w:val="center"/>
            <w:hideMark/>
          </w:tcPr>
          <w:p w:rsidR="005B7A4B" w:rsidRPr="00213D66" w:rsidRDefault="005B7A4B" w:rsidP="00E75393">
            <w:pPr>
              <w:spacing w:after="0" w:line="240" w:lineRule="auto"/>
              <w:rPr>
                <w:rFonts w:cs="Calibri"/>
                <w:b/>
                <w:bCs/>
                <w:sz w:val="20"/>
                <w:szCs w:val="20"/>
                <w:lang w:eastAsia="en-AU"/>
              </w:rPr>
            </w:pPr>
            <w:r w:rsidRPr="003E1F05">
              <w:rPr>
                <w:rFonts w:cs="Calibri"/>
                <w:b/>
                <w:bCs/>
                <w:sz w:val="20"/>
                <w:szCs w:val="20"/>
                <w:lang w:eastAsia="en-AU"/>
              </w:rPr>
              <w:t>Model Name/No.</w:t>
            </w:r>
          </w:p>
        </w:tc>
        <w:tc>
          <w:tcPr>
            <w:tcW w:w="2126" w:type="dxa"/>
            <w:tcBorders>
              <w:top w:val="single" w:sz="8" w:space="0" w:color="auto"/>
              <w:left w:val="nil"/>
              <w:bottom w:val="single" w:sz="8" w:space="0" w:color="auto"/>
              <w:right w:val="single" w:sz="8" w:space="0" w:color="auto"/>
            </w:tcBorders>
            <w:shd w:val="clear" w:color="000000" w:fill="D9D9D9"/>
            <w:vAlign w:val="center"/>
            <w:hideMark/>
          </w:tcPr>
          <w:p w:rsidR="005B7A4B" w:rsidRPr="00213D66" w:rsidRDefault="00087AB2" w:rsidP="00E75393">
            <w:pPr>
              <w:spacing w:after="0" w:line="240" w:lineRule="auto"/>
              <w:jc w:val="left"/>
              <w:rPr>
                <w:rFonts w:cs="Calibri"/>
                <w:b/>
                <w:bCs/>
                <w:sz w:val="20"/>
                <w:szCs w:val="20"/>
                <w:lang w:eastAsia="en-AU"/>
              </w:rPr>
            </w:pPr>
            <w:r w:rsidRPr="003E1F05">
              <w:rPr>
                <w:rFonts w:cs="Calibri"/>
                <w:b/>
                <w:bCs/>
                <w:sz w:val="20"/>
                <w:szCs w:val="20"/>
                <w:lang w:eastAsia="en-AU"/>
              </w:rPr>
              <w:t>Listed on Prostheses List  (</w:t>
            </w:r>
            <w:r w:rsidR="004A2A76" w:rsidRPr="003E1F05">
              <w:rPr>
                <w:rFonts w:cs="Calibri"/>
                <w:b/>
                <w:bCs/>
                <w:sz w:val="20"/>
                <w:szCs w:val="20"/>
                <w:lang w:eastAsia="en-AU"/>
              </w:rPr>
              <w:t>Feb 2014</w:t>
            </w:r>
            <w:r w:rsidRPr="003E1F05">
              <w:rPr>
                <w:rFonts w:cs="Calibri"/>
                <w:b/>
                <w:bCs/>
                <w:sz w:val="20"/>
                <w:szCs w:val="20"/>
                <w:lang w:eastAsia="en-AU"/>
              </w:rPr>
              <w:t>)</w:t>
            </w: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rsidR="005B7A4B" w:rsidRPr="00213D66" w:rsidRDefault="005B7A4B" w:rsidP="004A2A76">
            <w:pPr>
              <w:spacing w:after="0" w:line="240" w:lineRule="auto"/>
              <w:rPr>
                <w:rFonts w:cs="Calibri"/>
                <w:b/>
                <w:bCs/>
                <w:sz w:val="20"/>
                <w:szCs w:val="20"/>
                <w:lang w:eastAsia="en-AU"/>
              </w:rPr>
            </w:pPr>
            <w:r w:rsidRPr="003E1F05">
              <w:rPr>
                <w:rFonts w:cs="Calibri"/>
                <w:b/>
                <w:bCs/>
                <w:sz w:val="20"/>
                <w:szCs w:val="20"/>
                <w:lang w:eastAsia="en-AU"/>
              </w:rPr>
              <w:t xml:space="preserve">Minimum Benefit </w:t>
            </w:r>
            <w:r w:rsidR="00087AB2" w:rsidRPr="003E1F05">
              <w:rPr>
                <w:rFonts w:cs="Calibri"/>
                <w:b/>
                <w:bCs/>
                <w:sz w:val="20"/>
                <w:szCs w:val="20"/>
                <w:lang w:eastAsia="en-AU"/>
              </w:rPr>
              <w:t>(Feb 2014)</w:t>
            </w:r>
          </w:p>
        </w:tc>
        <w:tc>
          <w:tcPr>
            <w:tcW w:w="1842" w:type="dxa"/>
            <w:tcBorders>
              <w:top w:val="single" w:sz="8" w:space="0" w:color="auto"/>
              <w:left w:val="nil"/>
              <w:bottom w:val="single" w:sz="8" w:space="0" w:color="auto"/>
              <w:right w:val="single" w:sz="8" w:space="0" w:color="auto"/>
            </w:tcBorders>
            <w:shd w:val="clear" w:color="000000" w:fill="D9D9D9"/>
            <w:vAlign w:val="center"/>
            <w:hideMark/>
          </w:tcPr>
          <w:p w:rsidR="005B7A4B" w:rsidRPr="00213D66" w:rsidRDefault="004A2A76" w:rsidP="00087AB2">
            <w:pPr>
              <w:spacing w:after="0" w:line="240" w:lineRule="auto"/>
              <w:rPr>
                <w:rFonts w:cs="Calibri"/>
                <w:b/>
                <w:bCs/>
                <w:sz w:val="20"/>
                <w:szCs w:val="20"/>
                <w:lang w:eastAsia="en-AU"/>
              </w:rPr>
            </w:pPr>
            <w:r w:rsidRPr="003E1F05">
              <w:rPr>
                <w:rFonts w:cs="Calibri"/>
                <w:b/>
                <w:bCs/>
                <w:sz w:val="20"/>
                <w:szCs w:val="20"/>
                <w:lang w:eastAsia="en-AU"/>
              </w:rPr>
              <w:t xml:space="preserve">Minimum Benefit </w:t>
            </w:r>
            <w:r w:rsidR="00087AB2" w:rsidRPr="003E1F05">
              <w:rPr>
                <w:rFonts w:cs="Calibri"/>
                <w:b/>
                <w:bCs/>
                <w:sz w:val="20"/>
                <w:szCs w:val="20"/>
                <w:lang w:eastAsia="en-AU"/>
              </w:rPr>
              <w:t>prior to Aug 2012 increase</w:t>
            </w: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rsidR="005B7A4B" w:rsidRPr="00213D66" w:rsidRDefault="004A2A76" w:rsidP="00E75393">
            <w:pPr>
              <w:spacing w:after="0" w:line="240" w:lineRule="auto"/>
              <w:jc w:val="center"/>
              <w:rPr>
                <w:rFonts w:cs="Calibri"/>
                <w:b/>
                <w:bCs/>
                <w:sz w:val="20"/>
                <w:szCs w:val="20"/>
                <w:lang w:eastAsia="en-AU"/>
              </w:rPr>
            </w:pPr>
            <w:r w:rsidRPr="003E1F05">
              <w:rPr>
                <w:rFonts w:cs="Calibri"/>
                <w:b/>
                <w:bCs/>
                <w:sz w:val="20"/>
                <w:szCs w:val="20"/>
                <w:lang w:eastAsia="en-AU"/>
              </w:rPr>
              <w:t>No. provided under Programme</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5B7A4B" w:rsidRPr="00213D66" w:rsidRDefault="00087AB2" w:rsidP="00087AB2">
            <w:pPr>
              <w:spacing w:after="0" w:line="240" w:lineRule="auto"/>
              <w:jc w:val="center"/>
              <w:rPr>
                <w:rFonts w:cs="Calibri"/>
                <w:b/>
                <w:bCs/>
                <w:sz w:val="20"/>
                <w:szCs w:val="20"/>
                <w:lang w:eastAsia="en-AU"/>
              </w:rPr>
            </w:pPr>
            <w:r w:rsidRPr="003E1F05">
              <w:rPr>
                <w:rFonts w:cs="Calibri"/>
                <w:b/>
                <w:bCs/>
                <w:sz w:val="20"/>
                <w:szCs w:val="20"/>
                <w:lang w:eastAsia="en-AU"/>
              </w:rPr>
              <w:t>Share</w:t>
            </w:r>
          </w:p>
        </w:tc>
      </w:tr>
      <w:tr w:rsidR="00087AB2" w:rsidRPr="00213D66" w:rsidTr="00507DD7">
        <w:trPr>
          <w:trHeight w:val="567"/>
        </w:trPr>
        <w:tc>
          <w:tcPr>
            <w:tcW w:w="2709" w:type="dxa"/>
            <w:vMerge w:val="restart"/>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4A2A76" w:rsidP="004A2A76">
            <w:pPr>
              <w:spacing w:after="0" w:line="240" w:lineRule="auto"/>
              <w:jc w:val="left"/>
              <w:rPr>
                <w:rFonts w:cs="Calibri"/>
                <w:sz w:val="20"/>
                <w:szCs w:val="20"/>
                <w:lang w:eastAsia="en-AU"/>
              </w:rPr>
            </w:pPr>
            <w:r w:rsidRPr="003E1F05">
              <w:rPr>
                <w:rFonts w:cs="Calibri"/>
                <w:sz w:val="20"/>
                <w:szCs w:val="20"/>
                <w:lang w:eastAsia="en-AU"/>
              </w:rPr>
              <w:t>Managing Diabetes Pty Ltd / SOOIL Development CO. Ltd</w:t>
            </w:r>
          </w:p>
        </w:tc>
        <w:tc>
          <w:tcPr>
            <w:tcW w:w="340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 xml:space="preserve">DANA IIS </w:t>
            </w:r>
            <w:proofErr w:type="spellStart"/>
            <w:r w:rsidRPr="003E1F05">
              <w:rPr>
                <w:rFonts w:cs="Calibri"/>
                <w:sz w:val="20"/>
                <w:szCs w:val="20"/>
                <w:lang w:eastAsia="en-AU"/>
              </w:rPr>
              <w:t>Diabecare</w:t>
            </w:r>
            <w:proofErr w:type="spellEnd"/>
            <w:r w:rsidRPr="003E1F05">
              <w:rPr>
                <w:rFonts w:cs="Calibri"/>
                <w:sz w:val="20"/>
                <w:szCs w:val="20"/>
                <w:lang w:eastAsia="en-AU"/>
              </w:rPr>
              <w:t xml:space="preserve"> Insulin Pump</w:t>
            </w:r>
          </w:p>
        </w:tc>
        <w:tc>
          <w:tcPr>
            <w:tcW w:w="2126"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$4,000</w:t>
            </w:r>
          </w:p>
        </w:tc>
        <w:tc>
          <w:tcPr>
            <w:tcW w:w="184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$4,000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jc w:val="center"/>
              <w:rPr>
                <w:rFonts w:cs="Calibri"/>
                <w:sz w:val="20"/>
                <w:szCs w:val="20"/>
                <w:lang w:eastAsia="en-AU"/>
              </w:rPr>
            </w:pPr>
            <w:r w:rsidRPr="003E1F05">
              <w:rPr>
                <w:rFonts w:cs="Calibri"/>
                <w:sz w:val="20"/>
                <w:szCs w:val="20"/>
                <w:lang w:eastAsia="en-AU"/>
              </w:rPr>
              <w:t>0</w:t>
            </w:r>
          </w:p>
        </w:tc>
        <w:tc>
          <w:tcPr>
            <w:tcW w:w="1134" w:type="dxa"/>
            <w:tcBorders>
              <w:top w:val="nil"/>
              <w:left w:val="nil"/>
              <w:bottom w:val="single" w:sz="8" w:space="0" w:color="auto"/>
              <w:right w:val="single" w:sz="8" w:space="0" w:color="auto"/>
            </w:tcBorders>
            <w:shd w:val="clear" w:color="auto" w:fill="auto"/>
            <w:noWrap/>
            <w:vAlign w:val="center"/>
            <w:hideMark/>
          </w:tcPr>
          <w:p w:rsidR="005B7A4B" w:rsidRPr="00087AB2" w:rsidRDefault="005B7A4B" w:rsidP="00E75393">
            <w:pPr>
              <w:spacing w:after="0" w:line="240" w:lineRule="auto"/>
              <w:jc w:val="center"/>
              <w:rPr>
                <w:rFonts w:cs="Calibri"/>
                <w:sz w:val="20"/>
                <w:szCs w:val="20"/>
                <w:lang w:eastAsia="en-AU"/>
              </w:rPr>
            </w:pPr>
            <w:r w:rsidRPr="003E1F05">
              <w:rPr>
                <w:rFonts w:cs="Calibri"/>
                <w:sz w:val="20"/>
                <w:szCs w:val="20"/>
                <w:lang w:eastAsia="en-AU"/>
              </w:rPr>
              <w:t>0%</w:t>
            </w:r>
          </w:p>
        </w:tc>
      </w:tr>
      <w:tr w:rsidR="00087AB2" w:rsidRPr="00213D66" w:rsidTr="00507DD7">
        <w:trPr>
          <w:trHeight w:val="567"/>
        </w:trPr>
        <w:tc>
          <w:tcPr>
            <w:tcW w:w="2709" w:type="dxa"/>
            <w:vMerge/>
            <w:tcBorders>
              <w:top w:val="nil"/>
              <w:left w:val="single" w:sz="8" w:space="0" w:color="auto"/>
              <w:bottom w:val="single" w:sz="8" w:space="0" w:color="000000"/>
              <w:right w:val="single" w:sz="8" w:space="0" w:color="auto"/>
            </w:tcBorders>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 xml:space="preserve">DANA R </w:t>
            </w:r>
            <w:proofErr w:type="spellStart"/>
            <w:r w:rsidRPr="003E1F05">
              <w:rPr>
                <w:rFonts w:cs="Calibri"/>
                <w:sz w:val="20"/>
                <w:szCs w:val="20"/>
                <w:lang w:eastAsia="en-AU"/>
              </w:rPr>
              <w:t>Diabecare</w:t>
            </w:r>
            <w:proofErr w:type="spellEnd"/>
            <w:r w:rsidRPr="003E1F05">
              <w:rPr>
                <w:rFonts w:cs="Calibri"/>
                <w:sz w:val="20"/>
                <w:szCs w:val="20"/>
                <w:lang w:eastAsia="en-AU"/>
              </w:rPr>
              <w:t xml:space="preserve"> Insulin Pump</w:t>
            </w:r>
          </w:p>
        </w:tc>
        <w:tc>
          <w:tcPr>
            <w:tcW w:w="2126"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$8,950</w:t>
            </w:r>
          </w:p>
        </w:tc>
        <w:tc>
          <w:tcPr>
            <w:tcW w:w="184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jc w:val="center"/>
              <w:rPr>
                <w:rFonts w:cs="Calibri"/>
                <w:sz w:val="20"/>
                <w:szCs w:val="20"/>
                <w:lang w:eastAsia="en-AU"/>
              </w:rPr>
            </w:pPr>
            <w:r w:rsidRPr="003E1F05">
              <w:rPr>
                <w:rFonts w:cs="Calibri"/>
                <w:sz w:val="20"/>
                <w:szCs w:val="20"/>
                <w:lang w:eastAsia="en-AU"/>
              </w:rPr>
              <w:t>0</w:t>
            </w:r>
          </w:p>
        </w:tc>
        <w:tc>
          <w:tcPr>
            <w:tcW w:w="1134" w:type="dxa"/>
            <w:tcBorders>
              <w:top w:val="nil"/>
              <w:left w:val="nil"/>
              <w:bottom w:val="single" w:sz="8" w:space="0" w:color="auto"/>
              <w:right w:val="single" w:sz="8" w:space="0" w:color="auto"/>
            </w:tcBorders>
            <w:shd w:val="clear" w:color="auto" w:fill="auto"/>
            <w:noWrap/>
            <w:vAlign w:val="center"/>
            <w:hideMark/>
          </w:tcPr>
          <w:p w:rsidR="005B7A4B" w:rsidRPr="00087AB2" w:rsidRDefault="005B7A4B" w:rsidP="00E75393">
            <w:pPr>
              <w:spacing w:after="0" w:line="240" w:lineRule="auto"/>
              <w:jc w:val="center"/>
              <w:rPr>
                <w:rFonts w:cs="Calibri"/>
                <w:sz w:val="20"/>
                <w:szCs w:val="20"/>
                <w:lang w:eastAsia="en-AU"/>
              </w:rPr>
            </w:pPr>
            <w:r w:rsidRPr="003E1F05">
              <w:rPr>
                <w:rFonts w:cs="Calibri"/>
                <w:sz w:val="20"/>
                <w:szCs w:val="20"/>
                <w:lang w:eastAsia="en-AU"/>
              </w:rPr>
              <w:t>0%</w:t>
            </w:r>
          </w:p>
        </w:tc>
      </w:tr>
      <w:tr w:rsidR="00087AB2" w:rsidRPr="00213D66" w:rsidTr="00507DD7">
        <w:trPr>
          <w:trHeight w:val="567"/>
        </w:trPr>
        <w:tc>
          <w:tcPr>
            <w:tcW w:w="270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Roche Diagnostics Australia Pty Ltd</w:t>
            </w:r>
          </w:p>
        </w:tc>
        <w:tc>
          <w:tcPr>
            <w:tcW w:w="3402" w:type="dxa"/>
            <w:tcBorders>
              <w:top w:val="nil"/>
              <w:left w:val="nil"/>
              <w:bottom w:val="single" w:sz="8" w:space="0" w:color="auto"/>
              <w:right w:val="single" w:sz="8" w:space="0" w:color="auto"/>
            </w:tcBorders>
            <w:shd w:val="clear" w:color="000000" w:fill="F2F2F2"/>
            <w:vAlign w:val="center"/>
            <w:hideMark/>
          </w:tcPr>
          <w:p w:rsidR="005B7A4B" w:rsidRPr="00213D66" w:rsidRDefault="005B7A4B" w:rsidP="00E75393">
            <w:pPr>
              <w:spacing w:after="0" w:line="240" w:lineRule="auto"/>
              <w:jc w:val="left"/>
              <w:rPr>
                <w:rFonts w:cs="Calibri"/>
                <w:sz w:val="20"/>
                <w:szCs w:val="20"/>
                <w:lang w:eastAsia="en-AU"/>
              </w:rPr>
            </w:pPr>
            <w:proofErr w:type="spellStart"/>
            <w:r w:rsidRPr="003E1F05">
              <w:rPr>
                <w:rFonts w:cs="Calibri"/>
                <w:sz w:val="20"/>
                <w:szCs w:val="20"/>
                <w:lang w:eastAsia="en-AU"/>
              </w:rPr>
              <w:t>Accu-Chek</w:t>
            </w:r>
            <w:proofErr w:type="spellEnd"/>
            <w:r w:rsidRPr="003E1F05">
              <w:rPr>
                <w:rFonts w:cs="Calibri"/>
                <w:sz w:val="20"/>
                <w:szCs w:val="20"/>
                <w:lang w:eastAsia="en-AU"/>
              </w:rPr>
              <w:t>: Combo System</w:t>
            </w:r>
          </w:p>
        </w:tc>
        <w:tc>
          <w:tcPr>
            <w:tcW w:w="2126" w:type="dxa"/>
            <w:tcBorders>
              <w:top w:val="nil"/>
              <w:left w:val="nil"/>
              <w:bottom w:val="single" w:sz="8" w:space="0" w:color="auto"/>
              <w:right w:val="single" w:sz="8" w:space="0" w:color="auto"/>
            </w:tcBorders>
            <w:shd w:val="clear" w:color="000000" w:fill="F2F2F2"/>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000000" w:fill="F2F2F2"/>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$8,950</w:t>
            </w:r>
          </w:p>
        </w:tc>
        <w:tc>
          <w:tcPr>
            <w:tcW w:w="1842" w:type="dxa"/>
            <w:tcBorders>
              <w:top w:val="nil"/>
              <w:left w:val="nil"/>
              <w:bottom w:val="single" w:sz="8" w:space="0" w:color="auto"/>
              <w:right w:val="single" w:sz="8" w:space="0" w:color="auto"/>
            </w:tcBorders>
            <w:shd w:val="clear" w:color="000000" w:fill="F2F2F2"/>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$8,000</w:t>
            </w:r>
          </w:p>
        </w:tc>
        <w:tc>
          <w:tcPr>
            <w:tcW w:w="1843" w:type="dxa"/>
            <w:tcBorders>
              <w:top w:val="nil"/>
              <w:left w:val="nil"/>
              <w:bottom w:val="single" w:sz="8" w:space="0" w:color="auto"/>
              <w:right w:val="single" w:sz="8" w:space="0" w:color="auto"/>
            </w:tcBorders>
            <w:shd w:val="clear" w:color="000000" w:fill="F2F2F2"/>
            <w:noWrap/>
            <w:vAlign w:val="center"/>
            <w:hideMark/>
          </w:tcPr>
          <w:p w:rsidR="005B7A4B" w:rsidRPr="00213D66" w:rsidRDefault="005B7A4B" w:rsidP="00E75393">
            <w:pPr>
              <w:spacing w:after="0" w:line="240" w:lineRule="auto"/>
              <w:jc w:val="center"/>
              <w:rPr>
                <w:rFonts w:cs="Calibri"/>
                <w:sz w:val="20"/>
                <w:szCs w:val="20"/>
                <w:lang w:eastAsia="en-AU"/>
              </w:rPr>
            </w:pPr>
            <w:r w:rsidRPr="003E1F05">
              <w:rPr>
                <w:rFonts w:cs="Calibri"/>
                <w:sz w:val="20"/>
                <w:szCs w:val="20"/>
                <w:lang w:eastAsia="en-AU"/>
              </w:rPr>
              <w:t>48</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tcPr>
          <w:p w:rsidR="005B7A4B" w:rsidRPr="00087AB2" w:rsidRDefault="006907A6" w:rsidP="00E75393">
            <w:pPr>
              <w:spacing w:after="0" w:line="240" w:lineRule="auto"/>
              <w:jc w:val="center"/>
              <w:rPr>
                <w:rFonts w:cs="Calibri"/>
                <w:sz w:val="20"/>
                <w:szCs w:val="20"/>
                <w:lang w:eastAsia="en-AU"/>
              </w:rPr>
            </w:pPr>
            <w:r w:rsidRPr="003E1F05">
              <w:rPr>
                <w:rFonts w:cs="Calibri"/>
                <w:sz w:val="20"/>
                <w:szCs w:val="20"/>
                <w:lang w:eastAsia="en-AU"/>
              </w:rPr>
              <w:t>11%</w:t>
            </w:r>
          </w:p>
        </w:tc>
      </w:tr>
      <w:tr w:rsidR="00087AB2" w:rsidRPr="00213D66" w:rsidTr="00507DD7">
        <w:trPr>
          <w:trHeight w:val="567"/>
        </w:trPr>
        <w:tc>
          <w:tcPr>
            <w:tcW w:w="2709" w:type="dxa"/>
            <w:vMerge/>
            <w:tcBorders>
              <w:top w:val="nil"/>
              <w:left w:val="single" w:sz="8" w:space="0" w:color="auto"/>
              <w:bottom w:val="single" w:sz="8" w:space="0" w:color="000000"/>
              <w:right w:val="single" w:sz="8" w:space="0" w:color="auto"/>
            </w:tcBorders>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000000" w:fill="F2F2F2"/>
            <w:vAlign w:val="center"/>
            <w:hideMark/>
          </w:tcPr>
          <w:p w:rsidR="005B7A4B" w:rsidRPr="00324AE3" w:rsidRDefault="005B7A4B" w:rsidP="00E75393">
            <w:pPr>
              <w:spacing w:after="0" w:line="240" w:lineRule="auto"/>
              <w:jc w:val="left"/>
              <w:rPr>
                <w:rFonts w:cs="Calibri"/>
                <w:bCs/>
                <w:color w:val="808080" w:themeColor="background1" w:themeShade="80"/>
                <w:sz w:val="20"/>
                <w:szCs w:val="20"/>
                <w:lang w:eastAsia="en-AU"/>
              </w:rPr>
            </w:pPr>
            <w:proofErr w:type="spellStart"/>
            <w:r w:rsidRPr="003E1F05">
              <w:rPr>
                <w:rFonts w:cs="Calibri"/>
                <w:bCs/>
                <w:sz w:val="20"/>
                <w:szCs w:val="20"/>
                <w:lang w:eastAsia="en-AU"/>
              </w:rPr>
              <w:t>Accu-Chek</w:t>
            </w:r>
            <w:proofErr w:type="spellEnd"/>
            <w:r w:rsidRPr="003E1F05">
              <w:rPr>
                <w:rFonts w:cs="Calibri"/>
                <w:bCs/>
                <w:sz w:val="20"/>
                <w:szCs w:val="20"/>
                <w:lang w:eastAsia="en-AU"/>
              </w:rPr>
              <w:t>: Spirit</w:t>
            </w:r>
          </w:p>
        </w:tc>
        <w:tc>
          <w:tcPr>
            <w:tcW w:w="2126" w:type="dxa"/>
            <w:tcBorders>
              <w:top w:val="nil"/>
              <w:left w:val="nil"/>
              <w:bottom w:val="single" w:sz="8" w:space="0" w:color="auto"/>
              <w:right w:val="single" w:sz="8" w:space="0" w:color="auto"/>
            </w:tcBorders>
            <w:shd w:val="clear" w:color="000000" w:fill="F2F2F2"/>
            <w:vAlign w:val="center"/>
            <w:hideMark/>
          </w:tcPr>
          <w:p w:rsidR="005B7A4B" w:rsidRPr="00087AB2" w:rsidRDefault="005B7A4B" w:rsidP="00087AB2">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 xml:space="preserve">No </w:t>
            </w:r>
          </w:p>
        </w:tc>
        <w:tc>
          <w:tcPr>
            <w:tcW w:w="1843" w:type="dxa"/>
            <w:tcBorders>
              <w:top w:val="nil"/>
              <w:left w:val="nil"/>
              <w:bottom w:val="single" w:sz="8" w:space="0" w:color="auto"/>
              <w:right w:val="single" w:sz="8" w:space="0" w:color="auto"/>
            </w:tcBorders>
            <w:shd w:val="clear" w:color="000000" w:fill="F2F2F2"/>
            <w:noWrap/>
            <w:vAlign w:val="center"/>
            <w:hideMark/>
          </w:tcPr>
          <w:p w:rsidR="005B7A4B" w:rsidRPr="00324AE3" w:rsidRDefault="00087AB2"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w:t>
            </w:r>
          </w:p>
        </w:tc>
        <w:tc>
          <w:tcPr>
            <w:tcW w:w="1842" w:type="dxa"/>
            <w:tcBorders>
              <w:top w:val="nil"/>
              <w:left w:val="nil"/>
              <w:bottom w:val="single" w:sz="8" w:space="0" w:color="auto"/>
              <w:right w:val="single" w:sz="8" w:space="0" w:color="auto"/>
            </w:tcBorders>
            <w:shd w:val="clear" w:color="000000" w:fill="F2F2F2"/>
            <w:noWrap/>
            <w:vAlign w:val="center"/>
            <w:hideMark/>
          </w:tcPr>
          <w:p w:rsidR="005B7A4B" w:rsidRPr="00324AE3" w:rsidRDefault="005B7A4B"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$4,000</w:t>
            </w:r>
          </w:p>
        </w:tc>
        <w:tc>
          <w:tcPr>
            <w:tcW w:w="1843" w:type="dxa"/>
            <w:tcBorders>
              <w:top w:val="nil"/>
              <w:left w:val="nil"/>
              <w:bottom w:val="single" w:sz="8" w:space="0" w:color="auto"/>
              <w:right w:val="single" w:sz="8" w:space="0" w:color="auto"/>
            </w:tcBorders>
            <w:shd w:val="clear" w:color="000000" w:fill="F2F2F2"/>
            <w:noWrap/>
            <w:vAlign w:val="center"/>
            <w:hideMark/>
          </w:tcPr>
          <w:p w:rsidR="005B7A4B" w:rsidRPr="00324AE3" w:rsidRDefault="005B7A4B" w:rsidP="00E75393">
            <w:pPr>
              <w:spacing w:after="0" w:line="240" w:lineRule="auto"/>
              <w:jc w:val="center"/>
              <w:rPr>
                <w:rFonts w:cs="Calibri"/>
                <w:bCs/>
                <w:color w:val="808080" w:themeColor="background1" w:themeShade="80"/>
                <w:sz w:val="20"/>
                <w:szCs w:val="20"/>
                <w:lang w:eastAsia="en-AU"/>
              </w:rPr>
            </w:pPr>
            <w:r w:rsidRPr="003E1F05">
              <w:rPr>
                <w:rFonts w:cs="Calibri"/>
                <w:bCs/>
                <w:sz w:val="20"/>
                <w:szCs w:val="20"/>
                <w:lang w:eastAsia="en-AU"/>
              </w:rPr>
              <w:t>1</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&lt;1%</w:t>
            </w:r>
          </w:p>
        </w:tc>
      </w:tr>
      <w:tr w:rsidR="00087AB2" w:rsidRPr="00213D66" w:rsidTr="00507DD7">
        <w:trPr>
          <w:trHeight w:val="567"/>
        </w:trPr>
        <w:tc>
          <w:tcPr>
            <w:tcW w:w="2709" w:type="dxa"/>
            <w:vMerge w:val="restart"/>
            <w:tcBorders>
              <w:top w:val="nil"/>
              <w:left w:val="single" w:sz="8" w:space="0" w:color="auto"/>
              <w:bottom w:val="single" w:sz="8" w:space="0" w:color="000000"/>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Medtronic Australasia Pty Ltd</w:t>
            </w:r>
          </w:p>
        </w:tc>
        <w:tc>
          <w:tcPr>
            <w:tcW w:w="340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 xml:space="preserve">Medtronic: Paradigm </w:t>
            </w:r>
            <w:proofErr w:type="spellStart"/>
            <w:r w:rsidRPr="003E1F05">
              <w:rPr>
                <w:rFonts w:cs="Calibri"/>
                <w:sz w:val="20"/>
                <w:szCs w:val="20"/>
                <w:lang w:eastAsia="en-AU"/>
              </w:rPr>
              <w:t>Veo</w:t>
            </w:r>
            <w:proofErr w:type="spellEnd"/>
            <w:r w:rsidRPr="003E1F05">
              <w:rPr>
                <w:rFonts w:cs="Calibri"/>
                <w:sz w:val="20"/>
                <w:szCs w:val="20"/>
                <w:lang w:eastAsia="en-AU"/>
              </w:rPr>
              <w:t xml:space="preserve"> MMT-554</w:t>
            </w:r>
          </w:p>
        </w:tc>
        <w:tc>
          <w:tcPr>
            <w:tcW w:w="2126" w:type="dxa"/>
            <w:tcBorders>
              <w:top w:val="nil"/>
              <w:left w:val="nil"/>
              <w:bottom w:val="single" w:sz="8" w:space="0" w:color="auto"/>
              <w:right w:val="single" w:sz="8" w:space="0" w:color="auto"/>
            </w:tcBorders>
            <w:shd w:val="clear" w:color="auto" w:fill="auto"/>
            <w:vAlign w:val="center"/>
            <w:hideMark/>
          </w:tcPr>
          <w:p w:rsidR="005B7A4B" w:rsidRPr="00087AB2"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$9,500</w:t>
            </w:r>
          </w:p>
        </w:tc>
        <w:tc>
          <w:tcPr>
            <w:tcW w:w="1842"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6907A6" w:rsidP="00E75393">
            <w:pPr>
              <w:spacing w:after="0" w:line="240" w:lineRule="auto"/>
              <w:jc w:val="center"/>
              <w:rPr>
                <w:rFonts w:cs="Calibri"/>
                <w:sz w:val="20"/>
                <w:szCs w:val="20"/>
                <w:lang w:eastAsia="en-AU"/>
              </w:rPr>
            </w:pPr>
            <w:r w:rsidRPr="003E1F05">
              <w:rPr>
                <w:rFonts w:cs="Calibri"/>
                <w:sz w:val="20"/>
                <w:szCs w:val="20"/>
                <w:lang w:eastAsia="en-AU"/>
              </w:rPr>
              <w:t>67</w:t>
            </w:r>
          </w:p>
        </w:tc>
        <w:tc>
          <w:tcPr>
            <w:tcW w:w="1134" w:type="dxa"/>
            <w:tcBorders>
              <w:top w:val="nil"/>
              <w:left w:val="nil"/>
              <w:bottom w:val="single" w:sz="8" w:space="0" w:color="auto"/>
              <w:right w:val="single" w:sz="8" w:space="0" w:color="auto"/>
            </w:tcBorders>
            <w:shd w:val="clear" w:color="auto" w:fill="auto"/>
            <w:noWrap/>
            <w:vAlign w:val="center"/>
          </w:tcPr>
          <w:p w:rsidR="005B7A4B" w:rsidRPr="00087AB2" w:rsidRDefault="006907A6" w:rsidP="00E75393">
            <w:pPr>
              <w:spacing w:after="0" w:line="240" w:lineRule="auto"/>
              <w:jc w:val="center"/>
              <w:rPr>
                <w:rFonts w:cs="Calibri"/>
                <w:sz w:val="20"/>
                <w:szCs w:val="20"/>
                <w:lang w:eastAsia="en-AU"/>
              </w:rPr>
            </w:pPr>
            <w:r w:rsidRPr="003E1F05">
              <w:rPr>
                <w:rFonts w:cs="Calibri"/>
                <w:sz w:val="20"/>
                <w:szCs w:val="20"/>
                <w:lang w:eastAsia="en-AU"/>
              </w:rPr>
              <w:t>15%</w:t>
            </w:r>
          </w:p>
        </w:tc>
      </w:tr>
      <w:tr w:rsidR="00087AB2" w:rsidRPr="00213D66" w:rsidTr="00507DD7">
        <w:trPr>
          <w:trHeight w:val="567"/>
        </w:trPr>
        <w:tc>
          <w:tcPr>
            <w:tcW w:w="2709" w:type="dxa"/>
            <w:vMerge/>
            <w:tcBorders>
              <w:top w:val="nil"/>
              <w:left w:val="single" w:sz="8" w:space="0" w:color="auto"/>
              <w:bottom w:val="single" w:sz="8" w:space="0" w:color="000000"/>
              <w:right w:val="single" w:sz="8" w:space="0" w:color="auto"/>
            </w:tcBorders>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auto"/>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 xml:space="preserve">Medtronic: Paradigm </w:t>
            </w:r>
            <w:proofErr w:type="spellStart"/>
            <w:r w:rsidRPr="003E1F05">
              <w:rPr>
                <w:rFonts w:cs="Calibri"/>
                <w:sz w:val="20"/>
                <w:szCs w:val="20"/>
                <w:lang w:eastAsia="en-AU"/>
              </w:rPr>
              <w:t>Veo</w:t>
            </w:r>
            <w:proofErr w:type="spellEnd"/>
            <w:r w:rsidRPr="003E1F05">
              <w:rPr>
                <w:rFonts w:cs="Calibri"/>
                <w:sz w:val="20"/>
                <w:szCs w:val="20"/>
                <w:lang w:eastAsia="en-AU"/>
              </w:rPr>
              <w:t xml:space="preserve"> MMT-754</w:t>
            </w:r>
          </w:p>
        </w:tc>
        <w:tc>
          <w:tcPr>
            <w:tcW w:w="2126" w:type="dxa"/>
            <w:tcBorders>
              <w:top w:val="nil"/>
              <w:left w:val="nil"/>
              <w:bottom w:val="single" w:sz="8" w:space="0" w:color="auto"/>
              <w:right w:val="single" w:sz="8" w:space="0" w:color="auto"/>
            </w:tcBorders>
            <w:shd w:val="clear" w:color="auto" w:fill="auto"/>
            <w:vAlign w:val="center"/>
            <w:hideMark/>
          </w:tcPr>
          <w:p w:rsidR="005B7A4B" w:rsidRPr="00087AB2"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$9,500</w:t>
            </w:r>
          </w:p>
        </w:tc>
        <w:tc>
          <w:tcPr>
            <w:tcW w:w="1842" w:type="dxa"/>
            <w:tcBorders>
              <w:top w:val="nil"/>
              <w:left w:val="nil"/>
              <w:bottom w:val="single" w:sz="8" w:space="0" w:color="auto"/>
              <w:right w:val="single" w:sz="8" w:space="0" w:color="auto"/>
            </w:tcBorders>
            <w:shd w:val="clear" w:color="auto" w:fill="auto"/>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213D66" w:rsidRDefault="006907A6" w:rsidP="00E75393">
            <w:pPr>
              <w:spacing w:after="0" w:line="240" w:lineRule="auto"/>
              <w:jc w:val="center"/>
              <w:rPr>
                <w:rFonts w:cs="Calibri"/>
                <w:sz w:val="20"/>
                <w:szCs w:val="20"/>
                <w:lang w:eastAsia="en-AU"/>
              </w:rPr>
            </w:pPr>
            <w:r w:rsidRPr="003E1F05">
              <w:rPr>
                <w:rFonts w:cs="Calibri"/>
                <w:sz w:val="20"/>
                <w:szCs w:val="20"/>
                <w:lang w:eastAsia="en-AU"/>
              </w:rPr>
              <w:t>213</w:t>
            </w:r>
          </w:p>
        </w:tc>
        <w:tc>
          <w:tcPr>
            <w:tcW w:w="1134" w:type="dxa"/>
            <w:tcBorders>
              <w:top w:val="nil"/>
              <w:left w:val="nil"/>
              <w:bottom w:val="single" w:sz="8" w:space="0" w:color="auto"/>
              <w:right w:val="single" w:sz="8" w:space="0" w:color="auto"/>
            </w:tcBorders>
            <w:shd w:val="clear" w:color="auto" w:fill="auto"/>
            <w:noWrap/>
            <w:vAlign w:val="center"/>
          </w:tcPr>
          <w:p w:rsidR="005B7A4B" w:rsidRPr="00087AB2" w:rsidRDefault="006907A6" w:rsidP="00E75393">
            <w:pPr>
              <w:spacing w:after="0" w:line="240" w:lineRule="auto"/>
              <w:jc w:val="center"/>
              <w:rPr>
                <w:rFonts w:cs="Calibri"/>
                <w:sz w:val="20"/>
                <w:szCs w:val="20"/>
                <w:lang w:eastAsia="en-AU"/>
              </w:rPr>
            </w:pPr>
            <w:r w:rsidRPr="003E1F05">
              <w:rPr>
                <w:rFonts w:cs="Calibri"/>
                <w:sz w:val="20"/>
                <w:szCs w:val="20"/>
                <w:lang w:eastAsia="en-AU"/>
              </w:rPr>
              <w:t>49%</w:t>
            </w:r>
          </w:p>
        </w:tc>
      </w:tr>
      <w:tr w:rsidR="00087AB2" w:rsidRPr="00213D66" w:rsidTr="00507DD7">
        <w:trPr>
          <w:trHeight w:val="567"/>
        </w:trPr>
        <w:tc>
          <w:tcPr>
            <w:tcW w:w="2709" w:type="dxa"/>
            <w:vMerge/>
            <w:tcBorders>
              <w:top w:val="nil"/>
              <w:left w:val="single" w:sz="8" w:space="0" w:color="auto"/>
              <w:bottom w:val="single" w:sz="8" w:space="0" w:color="000000"/>
              <w:right w:val="single" w:sz="8" w:space="0" w:color="auto"/>
            </w:tcBorders>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auto"/>
            <w:vAlign w:val="center"/>
            <w:hideMark/>
          </w:tcPr>
          <w:p w:rsidR="005B7A4B" w:rsidRPr="00324AE3" w:rsidRDefault="005B7A4B" w:rsidP="00E75393">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Medtronic: Paradigm 522</w:t>
            </w:r>
          </w:p>
        </w:tc>
        <w:tc>
          <w:tcPr>
            <w:tcW w:w="2126" w:type="dxa"/>
            <w:tcBorders>
              <w:top w:val="nil"/>
              <w:left w:val="nil"/>
              <w:bottom w:val="single" w:sz="8" w:space="0" w:color="auto"/>
              <w:right w:val="single" w:sz="8" w:space="0" w:color="auto"/>
            </w:tcBorders>
            <w:shd w:val="clear" w:color="auto" w:fill="auto"/>
            <w:vAlign w:val="center"/>
            <w:hideMark/>
          </w:tcPr>
          <w:p w:rsidR="005B7A4B" w:rsidRPr="00087AB2" w:rsidRDefault="005B7A4B" w:rsidP="00087AB2">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 xml:space="preserve">No </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324AE3" w:rsidRDefault="00087AB2"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w:t>
            </w:r>
          </w:p>
        </w:tc>
        <w:tc>
          <w:tcPr>
            <w:tcW w:w="1842" w:type="dxa"/>
            <w:tcBorders>
              <w:top w:val="nil"/>
              <w:left w:val="nil"/>
              <w:bottom w:val="single" w:sz="8" w:space="0" w:color="auto"/>
              <w:right w:val="single" w:sz="8" w:space="0" w:color="auto"/>
            </w:tcBorders>
            <w:shd w:val="clear" w:color="auto" w:fill="auto"/>
            <w:noWrap/>
            <w:vAlign w:val="center"/>
            <w:hideMark/>
          </w:tcPr>
          <w:p w:rsidR="005B7A4B" w:rsidRPr="00324AE3" w:rsidRDefault="005B7A4B"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$8,000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324AE3" w:rsidRDefault="005B7A4B" w:rsidP="00E75393">
            <w:pPr>
              <w:spacing w:after="0" w:line="240" w:lineRule="auto"/>
              <w:jc w:val="center"/>
              <w:rPr>
                <w:rFonts w:cs="Calibri"/>
                <w:bCs/>
                <w:color w:val="808080" w:themeColor="background1" w:themeShade="80"/>
                <w:sz w:val="20"/>
                <w:szCs w:val="20"/>
                <w:lang w:eastAsia="en-AU"/>
              </w:rPr>
            </w:pPr>
            <w:r w:rsidRPr="003E1F05">
              <w:rPr>
                <w:rFonts w:cs="Calibri"/>
                <w:bCs/>
                <w:sz w:val="20"/>
                <w:szCs w:val="20"/>
                <w:lang w:eastAsia="en-AU"/>
              </w:rPr>
              <w:t>7</w:t>
            </w:r>
          </w:p>
        </w:tc>
        <w:tc>
          <w:tcPr>
            <w:tcW w:w="1134" w:type="dxa"/>
            <w:tcBorders>
              <w:top w:val="nil"/>
              <w:left w:val="nil"/>
              <w:bottom w:val="single" w:sz="8" w:space="0" w:color="auto"/>
              <w:right w:val="single" w:sz="8" w:space="0" w:color="auto"/>
            </w:tcBorders>
            <w:shd w:val="clear" w:color="auto" w:fill="auto"/>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2%</w:t>
            </w:r>
          </w:p>
        </w:tc>
      </w:tr>
      <w:tr w:rsidR="00087AB2" w:rsidRPr="00213D66" w:rsidTr="00507DD7">
        <w:trPr>
          <w:trHeight w:val="567"/>
        </w:trPr>
        <w:tc>
          <w:tcPr>
            <w:tcW w:w="2709" w:type="dxa"/>
            <w:vMerge/>
            <w:tcBorders>
              <w:top w:val="nil"/>
              <w:left w:val="single" w:sz="8" w:space="0" w:color="auto"/>
              <w:bottom w:val="single" w:sz="8" w:space="0" w:color="000000"/>
              <w:right w:val="single" w:sz="8" w:space="0" w:color="auto"/>
            </w:tcBorders>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auto" w:fill="auto"/>
            <w:vAlign w:val="center"/>
            <w:hideMark/>
          </w:tcPr>
          <w:p w:rsidR="005B7A4B" w:rsidRPr="00324AE3" w:rsidRDefault="005B7A4B" w:rsidP="00E75393">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Medtronic: Paradigm 722</w:t>
            </w:r>
          </w:p>
        </w:tc>
        <w:tc>
          <w:tcPr>
            <w:tcW w:w="2126" w:type="dxa"/>
            <w:tcBorders>
              <w:top w:val="nil"/>
              <w:left w:val="nil"/>
              <w:bottom w:val="single" w:sz="8" w:space="0" w:color="auto"/>
              <w:right w:val="single" w:sz="8" w:space="0" w:color="auto"/>
            </w:tcBorders>
            <w:shd w:val="clear" w:color="auto" w:fill="auto"/>
            <w:vAlign w:val="center"/>
            <w:hideMark/>
          </w:tcPr>
          <w:p w:rsidR="005B7A4B" w:rsidRPr="00087AB2" w:rsidRDefault="005B7A4B" w:rsidP="00087AB2">
            <w:pPr>
              <w:spacing w:after="0" w:line="240" w:lineRule="auto"/>
              <w:jc w:val="left"/>
              <w:rPr>
                <w:rFonts w:cs="Calibri"/>
                <w:bCs/>
                <w:color w:val="808080" w:themeColor="background1" w:themeShade="80"/>
                <w:sz w:val="20"/>
                <w:szCs w:val="20"/>
                <w:lang w:eastAsia="en-AU"/>
              </w:rPr>
            </w:pPr>
            <w:r w:rsidRPr="003E1F05">
              <w:rPr>
                <w:rFonts w:cs="Calibri"/>
                <w:bCs/>
                <w:sz w:val="20"/>
                <w:szCs w:val="20"/>
                <w:lang w:eastAsia="en-AU"/>
              </w:rPr>
              <w:t xml:space="preserve">No </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324AE3" w:rsidRDefault="00087AB2"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w:t>
            </w:r>
          </w:p>
        </w:tc>
        <w:tc>
          <w:tcPr>
            <w:tcW w:w="1842" w:type="dxa"/>
            <w:tcBorders>
              <w:top w:val="nil"/>
              <w:left w:val="nil"/>
              <w:bottom w:val="single" w:sz="8" w:space="0" w:color="auto"/>
              <w:right w:val="single" w:sz="8" w:space="0" w:color="auto"/>
            </w:tcBorders>
            <w:shd w:val="clear" w:color="auto" w:fill="auto"/>
            <w:noWrap/>
            <w:vAlign w:val="center"/>
            <w:hideMark/>
          </w:tcPr>
          <w:p w:rsidR="005B7A4B" w:rsidRPr="00324AE3" w:rsidRDefault="005B7A4B" w:rsidP="00E75393">
            <w:pPr>
              <w:spacing w:after="0" w:line="240" w:lineRule="auto"/>
              <w:rPr>
                <w:rFonts w:cs="Calibri"/>
                <w:bCs/>
                <w:color w:val="808080" w:themeColor="background1" w:themeShade="80"/>
                <w:sz w:val="20"/>
                <w:szCs w:val="20"/>
                <w:lang w:eastAsia="en-AU"/>
              </w:rPr>
            </w:pPr>
            <w:r w:rsidRPr="003E1F05">
              <w:rPr>
                <w:rFonts w:cs="Calibri"/>
                <w:bCs/>
                <w:sz w:val="20"/>
                <w:szCs w:val="20"/>
                <w:lang w:eastAsia="en-AU"/>
              </w:rPr>
              <w:t>$8,000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324AE3" w:rsidRDefault="005B7A4B" w:rsidP="00E75393">
            <w:pPr>
              <w:spacing w:after="0" w:line="240" w:lineRule="auto"/>
              <w:jc w:val="center"/>
              <w:rPr>
                <w:rFonts w:cs="Calibri"/>
                <w:bCs/>
                <w:color w:val="808080" w:themeColor="background1" w:themeShade="80"/>
                <w:sz w:val="20"/>
                <w:szCs w:val="20"/>
                <w:lang w:eastAsia="en-AU"/>
              </w:rPr>
            </w:pPr>
            <w:r w:rsidRPr="003E1F05">
              <w:rPr>
                <w:rFonts w:cs="Calibri"/>
                <w:bCs/>
                <w:sz w:val="20"/>
                <w:szCs w:val="20"/>
                <w:lang w:eastAsia="en-AU"/>
              </w:rPr>
              <w:t>16</w:t>
            </w:r>
          </w:p>
        </w:tc>
        <w:tc>
          <w:tcPr>
            <w:tcW w:w="1134" w:type="dxa"/>
            <w:tcBorders>
              <w:top w:val="nil"/>
              <w:left w:val="nil"/>
              <w:bottom w:val="single" w:sz="8" w:space="0" w:color="auto"/>
              <w:right w:val="single" w:sz="8" w:space="0" w:color="auto"/>
            </w:tcBorders>
            <w:shd w:val="clear" w:color="auto" w:fill="auto"/>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4%</w:t>
            </w:r>
          </w:p>
        </w:tc>
      </w:tr>
      <w:tr w:rsidR="00087AB2" w:rsidRPr="00213D66" w:rsidTr="00507DD7">
        <w:trPr>
          <w:trHeight w:val="567"/>
        </w:trPr>
        <w:tc>
          <w:tcPr>
            <w:tcW w:w="270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Australasian Medical &amp; Scientific Pty Ltd</w:t>
            </w:r>
          </w:p>
        </w:tc>
        <w:tc>
          <w:tcPr>
            <w:tcW w:w="3402" w:type="dxa"/>
            <w:tcBorders>
              <w:top w:val="nil"/>
              <w:left w:val="nil"/>
              <w:bottom w:val="single" w:sz="8" w:space="0" w:color="auto"/>
              <w:right w:val="single" w:sz="8" w:space="0" w:color="auto"/>
            </w:tcBorders>
            <w:shd w:val="clear" w:color="000000" w:fill="F2F2F2"/>
            <w:vAlign w:val="center"/>
            <w:hideMark/>
          </w:tcPr>
          <w:p w:rsidR="005B7A4B" w:rsidRPr="00213D66" w:rsidRDefault="005B7A4B" w:rsidP="00E75393">
            <w:pPr>
              <w:spacing w:after="0" w:line="240" w:lineRule="auto"/>
              <w:jc w:val="left"/>
              <w:rPr>
                <w:rFonts w:cs="Calibri"/>
                <w:sz w:val="20"/>
                <w:szCs w:val="20"/>
                <w:lang w:eastAsia="en-AU"/>
              </w:rPr>
            </w:pPr>
            <w:r w:rsidRPr="003E1F05">
              <w:rPr>
                <w:rFonts w:cs="Calibri"/>
                <w:sz w:val="20"/>
                <w:szCs w:val="20"/>
                <w:lang w:eastAsia="en-AU"/>
              </w:rPr>
              <w:t>Animas: Vibe</w:t>
            </w:r>
          </w:p>
        </w:tc>
        <w:tc>
          <w:tcPr>
            <w:tcW w:w="2126" w:type="dxa"/>
            <w:tcBorders>
              <w:top w:val="nil"/>
              <w:left w:val="nil"/>
              <w:bottom w:val="single" w:sz="8" w:space="0" w:color="auto"/>
              <w:right w:val="single" w:sz="8" w:space="0" w:color="auto"/>
            </w:tcBorders>
            <w:shd w:val="clear" w:color="000000" w:fill="F2F2F2"/>
            <w:vAlign w:val="center"/>
            <w:hideMark/>
          </w:tcPr>
          <w:p w:rsidR="005B7A4B" w:rsidRPr="00087AB2" w:rsidRDefault="005B7A4B" w:rsidP="00E75393">
            <w:pPr>
              <w:spacing w:after="0" w:line="240" w:lineRule="auto"/>
              <w:jc w:val="left"/>
              <w:rPr>
                <w:rFonts w:cs="Calibri"/>
                <w:sz w:val="20"/>
                <w:szCs w:val="20"/>
                <w:lang w:eastAsia="en-AU"/>
              </w:rPr>
            </w:pPr>
            <w:r w:rsidRPr="003E1F05">
              <w:rPr>
                <w:rFonts w:cs="Calibri"/>
                <w:sz w:val="20"/>
                <w:szCs w:val="20"/>
                <w:lang w:eastAsia="en-AU"/>
              </w:rPr>
              <w:t>Yes</w:t>
            </w:r>
          </w:p>
        </w:tc>
        <w:tc>
          <w:tcPr>
            <w:tcW w:w="1843" w:type="dxa"/>
            <w:tcBorders>
              <w:top w:val="nil"/>
              <w:left w:val="nil"/>
              <w:bottom w:val="single" w:sz="8" w:space="0" w:color="auto"/>
              <w:right w:val="single" w:sz="8" w:space="0" w:color="auto"/>
            </w:tcBorders>
            <w:shd w:val="clear" w:color="000000" w:fill="F2F2F2"/>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$8,950</w:t>
            </w:r>
          </w:p>
        </w:tc>
        <w:tc>
          <w:tcPr>
            <w:tcW w:w="1842" w:type="dxa"/>
            <w:tcBorders>
              <w:top w:val="nil"/>
              <w:left w:val="nil"/>
              <w:bottom w:val="single" w:sz="8" w:space="0" w:color="auto"/>
              <w:right w:val="single" w:sz="8" w:space="0" w:color="auto"/>
            </w:tcBorders>
            <w:shd w:val="clear" w:color="000000" w:fill="F2F2F2"/>
            <w:noWrap/>
            <w:vAlign w:val="center"/>
            <w:hideMark/>
          </w:tcPr>
          <w:p w:rsidR="005B7A4B" w:rsidRPr="00213D66" w:rsidRDefault="005B7A4B" w:rsidP="00E75393">
            <w:pPr>
              <w:spacing w:after="0" w:line="240" w:lineRule="auto"/>
              <w:rPr>
                <w:rFonts w:cs="Calibri"/>
                <w:sz w:val="20"/>
                <w:szCs w:val="20"/>
                <w:lang w:eastAsia="en-AU"/>
              </w:rPr>
            </w:pPr>
            <w:r w:rsidRPr="003E1F05">
              <w:rPr>
                <w:rFonts w:cs="Calibri"/>
                <w:sz w:val="20"/>
                <w:szCs w:val="20"/>
                <w:lang w:eastAsia="en-AU"/>
              </w:rPr>
              <w:t>$7,750</w:t>
            </w:r>
          </w:p>
        </w:tc>
        <w:tc>
          <w:tcPr>
            <w:tcW w:w="1843" w:type="dxa"/>
            <w:tcBorders>
              <w:top w:val="nil"/>
              <w:left w:val="nil"/>
              <w:bottom w:val="single" w:sz="8" w:space="0" w:color="auto"/>
              <w:right w:val="single" w:sz="8" w:space="0" w:color="auto"/>
            </w:tcBorders>
            <w:shd w:val="clear" w:color="000000" w:fill="F2F2F2"/>
            <w:noWrap/>
            <w:vAlign w:val="center"/>
            <w:hideMark/>
          </w:tcPr>
          <w:p w:rsidR="005B7A4B" w:rsidRPr="00213D66" w:rsidRDefault="006907A6" w:rsidP="00E75393">
            <w:pPr>
              <w:spacing w:after="0" w:line="240" w:lineRule="auto"/>
              <w:jc w:val="center"/>
              <w:rPr>
                <w:rFonts w:cs="Calibri"/>
                <w:sz w:val="20"/>
                <w:szCs w:val="20"/>
                <w:lang w:eastAsia="en-AU"/>
              </w:rPr>
            </w:pPr>
            <w:r w:rsidRPr="003E1F05">
              <w:rPr>
                <w:rFonts w:cs="Calibri"/>
                <w:sz w:val="20"/>
                <w:szCs w:val="20"/>
                <w:lang w:eastAsia="en-AU"/>
              </w:rPr>
              <w:t>18</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tcPr>
          <w:p w:rsidR="005B7A4B" w:rsidRPr="00087AB2" w:rsidRDefault="006907A6" w:rsidP="00E75393">
            <w:pPr>
              <w:spacing w:after="0" w:line="240" w:lineRule="auto"/>
              <w:jc w:val="center"/>
              <w:rPr>
                <w:rFonts w:cs="Calibri"/>
                <w:sz w:val="20"/>
                <w:szCs w:val="20"/>
                <w:lang w:eastAsia="en-AU"/>
              </w:rPr>
            </w:pPr>
            <w:r w:rsidRPr="003E1F05">
              <w:rPr>
                <w:rFonts w:cs="Calibri"/>
                <w:sz w:val="20"/>
                <w:szCs w:val="20"/>
                <w:lang w:eastAsia="en-AU"/>
              </w:rPr>
              <w:t>4%</w:t>
            </w:r>
          </w:p>
        </w:tc>
      </w:tr>
      <w:tr w:rsidR="00087AB2" w:rsidRPr="00213D66" w:rsidTr="00507DD7">
        <w:trPr>
          <w:trHeight w:val="567"/>
        </w:trPr>
        <w:tc>
          <w:tcPr>
            <w:tcW w:w="2709" w:type="dxa"/>
            <w:vMerge/>
            <w:tcBorders>
              <w:top w:val="nil"/>
              <w:left w:val="single" w:sz="8" w:space="0" w:color="auto"/>
              <w:bottom w:val="single" w:sz="8" w:space="0" w:color="000000"/>
              <w:right w:val="single" w:sz="8" w:space="0" w:color="auto"/>
            </w:tcBorders>
            <w:vAlign w:val="center"/>
            <w:hideMark/>
          </w:tcPr>
          <w:p w:rsidR="005B7A4B" w:rsidRPr="00213D66" w:rsidRDefault="005B7A4B" w:rsidP="00E75393">
            <w:pPr>
              <w:spacing w:after="0" w:line="240" w:lineRule="auto"/>
              <w:jc w:val="left"/>
              <w:rPr>
                <w:rFonts w:cs="Calibri"/>
                <w:sz w:val="20"/>
                <w:szCs w:val="20"/>
                <w:lang w:eastAsia="en-AU"/>
              </w:rPr>
            </w:pPr>
          </w:p>
        </w:tc>
        <w:tc>
          <w:tcPr>
            <w:tcW w:w="3402" w:type="dxa"/>
            <w:tcBorders>
              <w:top w:val="nil"/>
              <w:left w:val="nil"/>
              <w:bottom w:val="single" w:sz="8" w:space="0" w:color="auto"/>
              <w:right w:val="single" w:sz="8" w:space="0" w:color="auto"/>
            </w:tcBorders>
            <w:shd w:val="clear" w:color="000000" w:fill="F2F2F2"/>
            <w:vAlign w:val="center"/>
            <w:hideMark/>
          </w:tcPr>
          <w:p w:rsidR="005B7A4B" w:rsidRPr="00324AE3" w:rsidRDefault="005B7A4B" w:rsidP="00E75393">
            <w:pPr>
              <w:spacing w:after="0" w:line="240" w:lineRule="auto"/>
              <w:jc w:val="left"/>
              <w:rPr>
                <w:rFonts w:cs="Calibri"/>
                <w:color w:val="808080" w:themeColor="background1" w:themeShade="80"/>
                <w:sz w:val="20"/>
                <w:szCs w:val="20"/>
                <w:lang w:eastAsia="en-AU"/>
              </w:rPr>
            </w:pPr>
            <w:r w:rsidRPr="003E1F05">
              <w:rPr>
                <w:rFonts w:cs="Calibri"/>
                <w:sz w:val="20"/>
                <w:szCs w:val="20"/>
                <w:lang w:eastAsia="en-AU"/>
              </w:rPr>
              <w:t>Animas: 2020</w:t>
            </w:r>
          </w:p>
        </w:tc>
        <w:tc>
          <w:tcPr>
            <w:tcW w:w="2126" w:type="dxa"/>
            <w:tcBorders>
              <w:top w:val="nil"/>
              <w:left w:val="nil"/>
              <w:bottom w:val="single" w:sz="8" w:space="0" w:color="auto"/>
              <w:right w:val="single" w:sz="8" w:space="0" w:color="auto"/>
            </w:tcBorders>
            <w:shd w:val="clear" w:color="000000" w:fill="F2F2F2"/>
            <w:vAlign w:val="center"/>
            <w:hideMark/>
          </w:tcPr>
          <w:p w:rsidR="005B7A4B" w:rsidRPr="00087AB2" w:rsidRDefault="005B7A4B" w:rsidP="00E75393">
            <w:pPr>
              <w:spacing w:after="0" w:line="240" w:lineRule="auto"/>
              <w:jc w:val="left"/>
              <w:rPr>
                <w:rFonts w:cs="Calibri"/>
                <w:color w:val="808080" w:themeColor="background1" w:themeShade="80"/>
                <w:sz w:val="20"/>
                <w:szCs w:val="20"/>
                <w:lang w:eastAsia="en-AU"/>
              </w:rPr>
            </w:pPr>
            <w:r w:rsidRPr="003E1F05">
              <w:rPr>
                <w:rFonts w:cs="Calibri"/>
                <w:sz w:val="20"/>
                <w:szCs w:val="20"/>
                <w:lang w:eastAsia="en-AU"/>
              </w:rPr>
              <w:t>Yes</w:t>
            </w:r>
            <w:r w:rsidR="004A2A76" w:rsidRPr="003E1F05">
              <w:rPr>
                <w:rFonts w:cs="Calibri"/>
                <w:sz w:val="20"/>
                <w:szCs w:val="20"/>
                <w:lang w:eastAsia="en-AU"/>
              </w:rPr>
              <w:t xml:space="preserve"> (but discontinued)</w:t>
            </w:r>
          </w:p>
        </w:tc>
        <w:tc>
          <w:tcPr>
            <w:tcW w:w="1843" w:type="dxa"/>
            <w:tcBorders>
              <w:top w:val="nil"/>
              <w:left w:val="nil"/>
              <w:bottom w:val="single" w:sz="8" w:space="0" w:color="auto"/>
              <w:right w:val="single" w:sz="8" w:space="0" w:color="auto"/>
            </w:tcBorders>
            <w:shd w:val="clear" w:color="000000" w:fill="F2F2F2"/>
            <w:noWrap/>
            <w:vAlign w:val="center"/>
            <w:hideMark/>
          </w:tcPr>
          <w:p w:rsidR="005B7A4B" w:rsidRPr="00324AE3" w:rsidRDefault="005B7A4B" w:rsidP="00E75393">
            <w:pPr>
              <w:spacing w:after="0" w:line="240" w:lineRule="auto"/>
              <w:rPr>
                <w:rFonts w:cs="Calibri"/>
                <w:color w:val="808080" w:themeColor="background1" w:themeShade="80"/>
                <w:sz w:val="20"/>
                <w:szCs w:val="20"/>
                <w:lang w:eastAsia="en-AU"/>
              </w:rPr>
            </w:pPr>
            <w:r w:rsidRPr="003E1F05">
              <w:rPr>
                <w:rFonts w:cs="Calibri"/>
                <w:sz w:val="20"/>
                <w:szCs w:val="20"/>
                <w:lang w:eastAsia="en-AU"/>
              </w:rPr>
              <w:t>$7,750</w:t>
            </w:r>
          </w:p>
        </w:tc>
        <w:tc>
          <w:tcPr>
            <w:tcW w:w="1842" w:type="dxa"/>
            <w:tcBorders>
              <w:top w:val="nil"/>
              <w:left w:val="nil"/>
              <w:bottom w:val="single" w:sz="8" w:space="0" w:color="auto"/>
              <w:right w:val="single" w:sz="8" w:space="0" w:color="auto"/>
            </w:tcBorders>
            <w:shd w:val="clear" w:color="000000" w:fill="F2F2F2"/>
            <w:noWrap/>
            <w:vAlign w:val="center"/>
            <w:hideMark/>
          </w:tcPr>
          <w:p w:rsidR="005B7A4B" w:rsidRPr="00324AE3" w:rsidRDefault="005B7A4B" w:rsidP="00E75393">
            <w:pPr>
              <w:spacing w:after="0" w:line="240" w:lineRule="auto"/>
              <w:rPr>
                <w:rFonts w:cs="Calibri"/>
                <w:color w:val="808080" w:themeColor="background1" w:themeShade="80"/>
                <w:sz w:val="20"/>
                <w:szCs w:val="20"/>
                <w:lang w:eastAsia="en-AU"/>
              </w:rPr>
            </w:pPr>
            <w:r w:rsidRPr="003E1F05">
              <w:rPr>
                <w:rFonts w:cs="Calibri"/>
                <w:sz w:val="20"/>
                <w:szCs w:val="20"/>
                <w:lang w:eastAsia="en-AU"/>
              </w:rPr>
              <w:t>$7,750</w:t>
            </w:r>
          </w:p>
        </w:tc>
        <w:tc>
          <w:tcPr>
            <w:tcW w:w="1843" w:type="dxa"/>
            <w:tcBorders>
              <w:top w:val="nil"/>
              <w:left w:val="nil"/>
              <w:bottom w:val="single" w:sz="8" w:space="0" w:color="auto"/>
              <w:right w:val="single" w:sz="8" w:space="0" w:color="auto"/>
            </w:tcBorders>
            <w:shd w:val="clear" w:color="000000" w:fill="F2F2F2"/>
            <w:noWrap/>
            <w:vAlign w:val="center"/>
            <w:hideMark/>
          </w:tcPr>
          <w:p w:rsidR="005B7A4B" w:rsidRPr="00324AE3"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62</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14%</w:t>
            </w:r>
          </w:p>
        </w:tc>
      </w:tr>
      <w:tr w:rsidR="00087AB2" w:rsidRPr="00213D66" w:rsidTr="00507DD7">
        <w:trPr>
          <w:trHeight w:val="567"/>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5B7A4B" w:rsidRPr="00213D66" w:rsidRDefault="004A2A76" w:rsidP="004A2A76">
            <w:pPr>
              <w:spacing w:after="0" w:line="240" w:lineRule="auto"/>
              <w:jc w:val="left"/>
              <w:rPr>
                <w:rFonts w:cs="Calibri"/>
                <w:sz w:val="20"/>
                <w:szCs w:val="20"/>
                <w:lang w:eastAsia="en-AU"/>
              </w:rPr>
            </w:pPr>
            <w:r w:rsidRPr="003E1F05">
              <w:rPr>
                <w:rFonts w:cs="Calibri"/>
                <w:sz w:val="20"/>
                <w:lang w:eastAsia="en-AU"/>
              </w:rPr>
              <w:t>Medical Specialities Australia Pty Ltd / Smiths Medical</w:t>
            </w:r>
          </w:p>
        </w:tc>
        <w:tc>
          <w:tcPr>
            <w:tcW w:w="3402" w:type="dxa"/>
            <w:tcBorders>
              <w:top w:val="nil"/>
              <w:left w:val="nil"/>
              <w:bottom w:val="single" w:sz="8" w:space="0" w:color="auto"/>
              <w:right w:val="single" w:sz="8" w:space="0" w:color="auto"/>
            </w:tcBorders>
            <w:shd w:val="clear" w:color="auto" w:fill="auto"/>
            <w:vAlign w:val="center"/>
            <w:hideMark/>
          </w:tcPr>
          <w:p w:rsidR="005B7A4B" w:rsidRPr="003E1F05" w:rsidRDefault="005B7A4B" w:rsidP="00E75393">
            <w:pPr>
              <w:spacing w:after="0" w:line="240" w:lineRule="auto"/>
              <w:jc w:val="left"/>
              <w:rPr>
                <w:rFonts w:cs="Calibri"/>
                <w:sz w:val="20"/>
                <w:lang w:eastAsia="en-AU"/>
              </w:rPr>
            </w:pPr>
            <w:proofErr w:type="spellStart"/>
            <w:r w:rsidRPr="003E1F05">
              <w:rPr>
                <w:rFonts w:cs="Calibri"/>
                <w:sz w:val="20"/>
                <w:lang w:eastAsia="en-AU"/>
              </w:rPr>
              <w:t>Deltec</w:t>
            </w:r>
            <w:proofErr w:type="spellEnd"/>
            <w:r w:rsidRPr="003E1F05">
              <w:rPr>
                <w:rFonts w:cs="Calibri"/>
                <w:sz w:val="20"/>
                <w:lang w:eastAsia="en-AU"/>
              </w:rPr>
              <w:t xml:space="preserve">: </w:t>
            </w:r>
            <w:proofErr w:type="spellStart"/>
            <w:r w:rsidRPr="003E1F05">
              <w:rPr>
                <w:rFonts w:cs="Calibri"/>
                <w:sz w:val="20"/>
                <w:lang w:eastAsia="en-AU"/>
              </w:rPr>
              <w:t>Cozmo</w:t>
            </w:r>
            <w:proofErr w:type="spellEnd"/>
            <w:r w:rsidRPr="003E1F05">
              <w:rPr>
                <w:rFonts w:cs="Calibri"/>
                <w:sz w:val="20"/>
                <w:lang w:eastAsia="en-AU"/>
              </w:rPr>
              <w:t>†</w:t>
            </w:r>
          </w:p>
          <w:p w:rsidR="005B7A4B" w:rsidRPr="00324AE3" w:rsidRDefault="005B7A4B" w:rsidP="00E75393">
            <w:pPr>
              <w:spacing w:after="0" w:line="240" w:lineRule="auto"/>
              <w:jc w:val="left"/>
              <w:rPr>
                <w:rFonts w:cs="Calibri"/>
                <w:color w:val="808080" w:themeColor="background1" w:themeShade="80"/>
                <w:sz w:val="20"/>
                <w:szCs w:val="20"/>
                <w:lang w:eastAsia="en-AU"/>
              </w:rPr>
            </w:pPr>
          </w:p>
        </w:tc>
        <w:tc>
          <w:tcPr>
            <w:tcW w:w="2126" w:type="dxa"/>
            <w:tcBorders>
              <w:top w:val="nil"/>
              <w:left w:val="nil"/>
              <w:bottom w:val="single" w:sz="8" w:space="0" w:color="auto"/>
              <w:right w:val="single" w:sz="8" w:space="0" w:color="auto"/>
            </w:tcBorders>
            <w:shd w:val="clear" w:color="auto" w:fill="auto"/>
            <w:vAlign w:val="center"/>
            <w:hideMark/>
          </w:tcPr>
          <w:p w:rsidR="005B7A4B" w:rsidRPr="00324AE3" w:rsidRDefault="005B7A4B" w:rsidP="00087AB2">
            <w:pPr>
              <w:spacing w:after="0" w:line="240" w:lineRule="auto"/>
              <w:jc w:val="left"/>
              <w:rPr>
                <w:rFonts w:cs="Calibri"/>
                <w:color w:val="808080" w:themeColor="background1" w:themeShade="80"/>
                <w:sz w:val="20"/>
                <w:szCs w:val="20"/>
                <w:lang w:eastAsia="en-AU"/>
              </w:rPr>
            </w:pPr>
            <w:r w:rsidRPr="003E1F05">
              <w:rPr>
                <w:rFonts w:cs="Calibri"/>
                <w:sz w:val="20"/>
                <w:szCs w:val="20"/>
                <w:lang w:eastAsia="en-AU"/>
              </w:rPr>
              <w:t xml:space="preserve">No </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324AE3" w:rsidRDefault="00087AB2" w:rsidP="00E75393">
            <w:pPr>
              <w:spacing w:after="0" w:line="240" w:lineRule="auto"/>
              <w:rPr>
                <w:rFonts w:cs="Calibri"/>
                <w:color w:val="808080" w:themeColor="background1" w:themeShade="80"/>
                <w:sz w:val="20"/>
                <w:szCs w:val="20"/>
                <w:lang w:eastAsia="en-AU"/>
              </w:rPr>
            </w:pPr>
            <w:r w:rsidRPr="003E1F05">
              <w:rPr>
                <w:rFonts w:cs="Calibri"/>
                <w:sz w:val="20"/>
                <w:szCs w:val="20"/>
                <w:lang w:eastAsia="en-AU"/>
              </w:rPr>
              <w:t>-</w:t>
            </w:r>
          </w:p>
        </w:tc>
        <w:tc>
          <w:tcPr>
            <w:tcW w:w="1842" w:type="dxa"/>
            <w:tcBorders>
              <w:top w:val="nil"/>
              <w:left w:val="nil"/>
              <w:bottom w:val="single" w:sz="8" w:space="0" w:color="auto"/>
              <w:right w:val="single" w:sz="8" w:space="0" w:color="auto"/>
            </w:tcBorders>
            <w:shd w:val="clear" w:color="auto" w:fill="auto"/>
            <w:noWrap/>
            <w:vAlign w:val="center"/>
            <w:hideMark/>
          </w:tcPr>
          <w:p w:rsidR="005B7A4B" w:rsidRPr="00324AE3" w:rsidRDefault="005B7A4B" w:rsidP="00E75393">
            <w:pPr>
              <w:spacing w:after="0" w:line="240" w:lineRule="auto"/>
              <w:rPr>
                <w:rFonts w:cs="Calibri"/>
                <w:color w:val="808080" w:themeColor="background1" w:themeShade="80"/>
                <w:sz w:val="20"/>
                <w:szCs w:val="20"/>
                <w:lang w:eastAsia="en-AU"/>
              </w:rPr>
            </w:pPr>
            <w:r w:rsidRPr="003E1F05">
              <w:rPr>
                <w:rFonts w:cs="Calibri"/>
                <w:sz w:val="20"/>
                <w:szCs w:val="20"/>
                <w:lang w:eastAsia="en-AU"/>
              </w:rPr>
              <w:t>$7,750</w:t>
            </w:r>
          </w:p>
        </w:tc>
        <w:tc>
          <w:tcPr>
            <w:tcW w:w="1843" w:type="dxa"/>
            <w:tcBorders>
              <w:top w:val="nil"/>
              <w:left w:val="nil"/>
              <w:bottom w:val="single" w:sz="8" w:space="0" w:color="auto"/>
              <w:right w:val="single" w:sz="8" w:space="0" w:color="auto"/>
            </w:tcBorders>
            <w:shd w:val="clear" w:color="auto" w:fill="auto"/>
            <w:noWrap/>
            <w:vAlign w:val="center"/>
            <w:hideMark/>
          </w:tcPr>
          <w:p w:rsidR="005B7A4B" w:rsidRPr="00324AE3"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2</w:t>
            </w:r>
          </w:p>
        </w:tc>
        <w:tc>
          <w:tcPr>
            <w:tcW w:w="1134" w:type="dxa"/>
            <w:tcBorders>
              <w:top w:val="nil"/>
              <w:left w:val="nil"/>
              <w:bottom w:val="single" w:sz="8" w:space="0" w:color="auto"/>
              <w:right w:val="single" w:sz="8" w:space="0" w:color="auto"/>
            </w:tcBorders>
            <w:shd w:val="clear" w:color="auto" w:fill="auto"/>
            <w:noWrap/>
            <w:vAlign w:val="center"/>
          </w:tcPr>
          <w:p w:rsidR="005B7A4B" w:rsidRPr="00087AB2" w:rsidRDefault="006907A6" w:rsidP="00E75393">
            <w:pPr>
              <w:spacing w:after="0" w:line="240" w:lineRule="auto"/>
              <w:jc w:val="center"/>
              <w:rPr>
                <w:rFonts w:cs="Calibri"/>
                <w:color w:val="808080" w:themeColor="background1" w:themeShade="80"/>
                <w:sz w:val="20"/>
                <w:szCs w:val="20"/>
                <w:lang w:eastAsia="en-AU"/>
              </w:rPr>
            </w:pPr>
            <w:r w:rsidRPr="003E1F05">
              <w:rPr>
                <w:rFonts w:cs="Calibri"/>
                <w:sz w:val="20"/>
                <w:szCs w:val="20"/>
                <w:lang w:eastAsia="en-AU"/>
              </w:rPr>
              <w:t>&lt;1%</w:t>
            </w:r>
          </w:p>
        </w:tc>
      </w:tr>
      <w:tr w:rsidR="00087AB2" w:rsidRPr="00213D66" w:rsidTr="00507DD7">
        <w:trPr>
          <w:trHeight w:val="309"/>
        </w:trPr>
        <w:tc>
          <w:tcPr>
            <w:tcW w:w="2709" w:type="dxa"/>
            <w:tcBorders>
              <w:top w:val="nil"/>
              <w:left w:val="single" w:sz="8" w:space="0" w:color="auto"/>
              <w:bottom w:val="single" w:sz="8" w:space="0" w:color="auto"/>
              <w:right w:val="nil"/>
            </w:tcBorders>
            <w:shd w:val="clear" w:color="000000" w:fill="F2F2F2"/>
            <w:noWrap/>
            <w:vAlign w:val="bottom"/>
            <w:hideMark/>
          </w:tcPr>
          <w:p w:rsidR="005B7A4B" w:rsidRPr="00213D66" w:rsidRDefault="005B7A4B" w:rsidP="00E75393">
            <w:pPr>
              <w:spacing w:after="0" w:line="240" w:lineRule="auto"/>
              <w:jc w:val="left"/>
              <w:rPr>
                <w:rFonts w:cs="Calibri"/>
                <w:sz w:val="20"/>
                <w:szCs w:val="18"/>
                <w:lang w:eastAsia="en-AU"/>
              </w:rPr>
            </w:pPr>
            <w:r w:rsidRPr="003E1F05">
              <w:rPr>
                <w:rFonts w:cs="Calibri"/>
                <w:sz w:val="20"/>
                <w:szCs w:val="18"/>
                <w:lang w:eastAsia="en-AU"/>
              </w:rPr>
              <w:t>Total</w:t>
            </w:r>
          </w:p>
        </w:tc>
        <w:tc>
          <w:tcPr>
            <w:tcW w:w="3402" w:type="dxa"/>
            <w:tcBorders>
              <w:top w:val="nil"/>
              <w:left w:val="nil"/>
              <w:bottom w:val="single" w:sz="8" w:space="0" w:color="auto"/>
              <w:right w:val="nil"/>
            </w:tcBorders>
            <w:shd w:val="clear" w:color="000000" w:fill="F2F2F2"/>
            <w:vAlign w:val="bottom"/>
            <w:hideMark/>
          </w:tcPr>
          <w:p w:rsidR="005B7A4B" w:rsidRPr="00213D66" w:rsidRDefault="005B7A4B" w:rsidP="00E75393">
            <w:pPr>
              <w:spacing w:after="0" w:line="240" w:lineRule="auto"/>
              <w:jc w:val="left"/>
              <w:rPr>
                <w:rFonts w:ascii="Calibri" w:hAnsi="Calibri" w:cs="Calibri"/>
                <w:sz w:val="20"/>
                <w:lang w:eastAsia="en-AU"/>
              </w:rPr>
            </w:pPr>
            <w:r w:rsidRPr="003E1F05">
              <w:rPr>
                <w:rFonts w:ascii="Calibri" w:hAnsi="Calibri" w:cs="Calibri"/>
                <w:sz w:val="20"/>
                <w:lang w:eastAsia="en-AU"/>
              </w:rPr>
              <w:t> </w:t>
            </w:r>
          </w:p>
        </w:tc>
        <w:tc>
          <w:tcPr>
            <w:tcW w:w="2126" w:type="dxa"/>
            <w:tcBorders>
              <w:top w:val="nil"/>
              <w:left w:val="nil"/>
              <w:bottom w:val="single" w:sz="8" w:space="0" w:color="auto"/>
              <w:right w:val="nil"/>
            </w:tcBorders>
            <w:shd w:val="clear" w:color="000000" w:fill="F2F2F2"/>
            <w:noWrap/>
            <w:vAlign w:val="bottom"/>
            <w:hideMark/>
          </w:tcPr>
          <w:p w:rsidR="005B7A4B" w:rsidRPr="00213D66" w:rsidRDefault="005B7A4B" w:rsidP="00E75393">
            <w:pPr>
              <w:spacing w:after="0" w:line="240" w:lineRule="auto"/>
              <w:jc w:val="left"/>
              <w:rPr>
                <w:rFonts w:ascii="Calibri" w:hAnsi="Calibri" w:cs="Calibri"/>
                <w:sz w:val="20"/>
                <w:lang w:eastAsia="en-AU"/>
              </w:rPr>
            </w:pPr>
            <w:r w:rsidRPr="003E1F05">
              <w:rPr>
                <w:rFonts w:ascii="Calibri" w:hAnsi="Calibri" w:cs="Calibri"/>
                <w:sz w:val="20"/>
                <w:lang w:eastAsia="en-AU"/>
              </w:rPr>
              <w:t> </w:t>
            </w:r>
          </w:p>
        </w:tc>
        <w:tc>
          <w:tcPr>
            <w:tcW w:w="1843" w:type="dxa"/>
            <w:tcBorders>
              <w:top w:val="nil"/>
              <w:left w:val="nil"/>
              <w:bottom w:val="single" w:sz="8" w:space="0" w:color="auto"/>
              <w:right w:val="nil"/>
            </w:tcBorders>
            <w:shd w:val="clear" w:color="000000" w:fill="F2F2F2"/>
            <w:noWrap/>
            <w:vAlign w:val="bottom"/>
            <w:hideMark/>
          </w:tcPr>
          <w:p w:rsidR="005B7A4B" w:rsidRPr="00213D66" w:rsidRDefault="005B7A4B" w:rsidP="00E75393">
            <w:pPr>
              <w:spacing w:after="0" w:line="240" w:lineRule="auto"/>
              <w:jc w:val="left"/>
              <w:rPr>
                <w:rFonts w:ascii="Calibri" w:hAnsi="Calibri" w:cs="Calibri"/>
                <w:sz w:val="20"/>
                <w:lang w:eastAsia="en-AU"/>
              </w:rPr>
            </w:pPr>
            <w:r w:rsidRPr="003E1F05">
              <w:rPr>
                <w:rFonts w:ascii="Calibri" w:hAnsi="Calibri" w:cs="Calibri"/>
                <w:sz w:val="20"/>
                <w:lang w:eastAsia="en-AU"/>
              </w:rPr>
              <w:t> </w:t>
            </w:r>
          </w:p>
        </w:tc>
        <w:tc>
          <w:tcPr>
            <w:tcW w:w="1842" w:type="dxa"/>
            <w:tcBorders>
              <w:top w:val="nil"/>
              <w:left w:val="nil"/>
              <w:bottom w:val="single" w:sz="8" w:space="0" w:color="auto"/>
              <w:right w:val="nil"/>
            </w:tcBorders>
            <w:shd w:val="clear" w:color="000000" w:fill="F2F2F2"/>
            <w:noWrap/>
            <w:vAlign w:val="bottom"/>
            <w:hideMark/>
          </w:tcPr>
          <w:p w:rsidR="005B7A4B" w:rsidRPr="00213D66" w:rsidRDefault="005B7A4B" w:rsidP="00E75393">
            <w:pPr>
              <w:spacing w:after="0" w:line="240" w:lineRule="auto"/>
              <w:jc w:val="left"/>
              <w:rPr>
                <w:rFonts w:ascii="Calibri" w:hAnsi="Calibri" w:cs="Calibri"/>
                <w:sz w:val="20"/>
                <w:lang w:eastAsia="en-AU"/>
              </w:rPr>
            </w:pPr>
            <w:r w:rsidRPr="003E1F05">
              <w:rPr>
                <w:rFonts w:ascii="Calibri" w:hAnsi="Calibri" w:cs="Calibri"/>
                <w:sz w:val="20"/>
                <w:lang w:eastAsia="en-AU"/>
              </w:rPr>
              <w:t> </w:t>
            </w:r>
          </w:p>
        </w:tc>
        <w:tc>
          <w:tcPr>
            <w:tcW w:w="1843" w:type="dxa"/>
            <w:tcBorders>
              <w:top w:val="nil"/>
              <w:left w:val="single" w:sz="8" w:space="0" w:color="auto"/>
              <w:bottom w:val="single" w:sz="8" w:space="0" w:color="auto"/>
              <w:right w:val="single" w:sz="8" w:space="0" w:color="auto"/>
            </w:tcBorders>
            <w:shd w:val="clear" w:color="000000" w:fill="F2F2F2"/>
            <w:noWrap/>
            <w:vAlign w:val="bottom"/>
            <w:hideMark/>
          </w:tcPr>
          <w:p w:rsidR="005B7A4B" w:rsidRPr="00213D66" w:rsidRDefault="006907A6" w:rsidP="00E75393">
            <w:pPr>
              <w:spacing w:after="0" w:line="240" w:lineRule="auto"/>
              <w:jc w:val="center"/>
              <w:rPr>
                <w:rFonts w:ascii="Calibri" w:hAnsi="Calibri" w:cs="Calibri"/>
                <w:sz w:val="20"/>
                <w:lang w:eastAsia="en-AU"/>
              </w:rPr>
            </w:pPr>
            <w:r w:rsidRPr="003E1F05">
              <w:rPr>
                <w:rFonts w:ascii="Calibri" w:hAnsi="Calibri" w:cs="Calibri"/>
                <w:sz w:val="20"/>
                <w:lang w:eastAsia="en-AU"/>
              </w:rPr>
              <w:t>439</w:t>
            </w:r>
          </w:p>
        </w:tc>
        <w:tc>
          <w:tcPr>
            <w:tcW w:w="1134" w:type="dxa"/>
            <w:tcBorders>
              <w:top w:val="nil"/>
              <w:left w:val="nil"/>
              <w:bottom w:val="single" w:sz="8" w:space="0" w:color="auto"/>
              <w:right w:val="single" w:sz="8" w:space="0" w:color="auto"/>
            </w:tcBorders>
            <w:shd w:val="clear" w:color="000000" w:fill="F2F2F2"/>
            <w:noWrap/>
            <w:vAlign w:val="bottom"/>
            <w:hideMark/>
          </w:tcPr>
          <w:p w:rsidR="005B7A4B" w:rsidRPr="00213D66" w:rsidRDefault="00087AB2" w:rsidP="00087AB2">
            <w:pPr>
              <w:spacing w:after="0" w:line="240" w:lineRule="auto"/>
              <w:jc w:val="center"/>
              <w:rPr>
                <w:rFonts w:ascii="Calibri" w:hAnsi="Calibri" w:cs="Calibri"/>
                <w:sz w:val="20"/>
                <w:lang w:eastAsia="en-AU"/>
              </w:rPr>
            </w:pPr>
            <w:r w:rsidRPr="003E1F05">
              <w:rPr>
                <w:rFonts w:ascii="Calibri" w:hAnsi="Calibri" w:cs="Calibri"/>
                <w:sz w:val="20"/>
                <w:lang w:eastAsia="en-AU"/>
              </w:rPr>
              <w:t>100%</w:t>
            </w:r>
          </w:p>
        </w:tc>
      </w:tr>
    </w:tbl>
    <w:p w:rsidR="005B7A4B" w:rsidRPr="00D52454" w:rsidRDefault="005B7A4B" w:rsidP="005B7A4B">
      <w:pPr>
        <w:pStyle w:val="Heading2"/>
      </w:pPr>
      <w:bookmarkStart w:id="283" w:name="_Appendix_F_-"/>
      <w:bookmarkStart w:id="284" w:name="_Appendix_J_-"/>
      <w:bookmarkStart w:id="285" w:name="_Appendix_C_-"/>
      <w:bookmarkEnd w:id="283"/>
      <w:bookmarkEnd w:id="284"/>
      <w:bookmarkEnd w:id="285"/>
      <w:r w:rsidRPr="00D52454">
        <w:br w:type="page"/>
      </w:r>
      <w:bookmarkStart w:id="286" w:name="_Toc381090961"/>
      <w:bookmarkStart w:id="287" w:name="_Toc387664359"/>
      <w:r w:rsidRPr="00D52454">
        <w:lastRenderedPageBreak/>
        <w:t>Appendix D – National and international guidelines for the management of type 1 diabetes using insulin pump therapy</w:t>
      </w:r>
      <w:bookmarkEnd w:id="286"/>
      <w:bookmarkEnd w:id="287"/>
    </w:p>
    <w:tbl>
      <w:tblPr>
        <w:tblW w:w="1470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461"/>
        <w:gridCol w:w="1559"/>
      </w:tblGrid>
      <w:tr w:rsidR="005B7A4B" w:rsidRPr="005979F7" w:rsidTr="00E75393">
        <w:trPr>
          <w:trHeight w:val="114"/>
          <w:tblHeader/>
        </w:trPr>
        <w:tc>
          <w:tcPr>
            <w:tcW w:w="2688" w:type="dxa"/>
          </w:tcPr>
          <w:p w:rsidR="005B7A4B" w:rsidRPr="005979F7" w:rsidRDefault="005B7A4B" w:rsidP="00E75393">
            <w:pPr>
              <w:pStyle w:val="Default"/>
              <w:rPr>
                <w:rFonts w:ascii="Cambria" w:hAnsi="Cambria"/>
                <w:sz w:val="20"/>
                <w:szCs w:val="20"/>
              </w:rPr>
            </w:pPr>
            <w:bookmarkStart w:id="288" w:name="_Appendix_F_–"/>
            <w:bookmarkStart w:id="289" w:name="_Appendix_H_-"/>
            <w:bookmarkEnd w:id="288"/>
            <w:bookmarkEnd w:id="289"/>
            <w:r w:rsidRPr="005979F7">
              <w:rPr>
                <w:rFonts w:ascii="Cambria" w:hAnsi="Cambria"/>
                <w:b/>
                <w:bCs/>
                <w:sz w:val="20"/>
                <w:szCs w:val="20"/>
              </w:rPr>
              <w:t xml:space="preserve">Reference </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b/>
                <w:bCs/>
                <w:sz w:val="20"/>
                <w:szCs w:val="20"/>
              </w:rPr>
              <w:t xml:space="preserve">Recommendation </w:t>
            </w:r>
          </w:p>
        </w:tc>
        <w:tc>
          <w:tcPr>
            <w:tcW w:w="1559" w:type="dxa"/>
          </w:tcPr>
          <w:p w:rsidR="005B7A4B" w:rsidRPr="005979F7" w:rsidRDefault="005B7A4B" w:rsidP="00E75393">
            <w:pPr>
              <w:pStyle w:val="Default"/>
              <w:rPr>
                <w:rFonts w:ascii="Cambria" w:hAnsi="Cambria"/>
                <w:b/>
                <w:bCs/>
                <w:sz w:val="20"/>
                <w:szCs w:val="20"/>
              </w:rPr>
            </w:pPr>
            <w:r w:rsidRPr="005979F7">
              <w:rPr>
                <w:rFonts w:ascii="Cambria" w:hAnsi="Cambria"/>
                <w:b/>
                <w:bCs/>
                <w:sz w:val="20"/>
                <w:szCs w:val="20"/>
              </w:rPr>
              <w:t>Difference</w:t>
            </w:r>
          </w:p>
        </w:tc>
      </w:tr>
      <w:tr w:rsidR="005B7A4B" w:rsidRPr="005979F7" w:rsidTr="00E75393">
        <w:trPr>
          <w:trHeight w:val="114"/>
        </w:trPr>
        <w:tc>
          <w:tcPr>
            <w:tcW w:w="2688"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(Craig, </w:t>
            </w:r>
            <w:proofErr w:type="spellStart"/>
            <w:r w:rsidRPr="005979F7">
              <w:rPr>
                <w:rFonts w:ascii="Cambria" w:hAnsi="Cambria"/>
                <w:sz w:val="20"/>
                <w:szCs w:val="20"/>
              </w:rPr>
              <w:t>Twigg</w:t>
            </w:r>
            <w:proofErr w:type="spellEnd"/>
            <w:r w:rsidRPr="005979F7">
              <w:rPr>
                <w:rFonts w:ascii="Cambria" w:hAnsi="Cambria"/>
                <w:sz w:val="20"/>
                <w:szCs w:val="20"/>
              </w:rPr>
              <w:t xml:space="preserve"> </w:t>
            </w:r>
            <w:r w:rsidRPr="0064487F">
              <w:rPr>
                <w:rFonts w:ascii="Cambria" w:hAnsi="Cambria"/>
                <w:i/>
                <w:sz w:val="20"/>
                <w:szCs w:val="20"/>
              </w:rPr>
              <w:t>et al</w:t>
            </w:r>
            <w:r w:rsidRPr="005979F7">
              <w:rPr>
                <w:rFonts w:ascii="Cambria" w:hAnsi="Cambria"/>
                <w:sz w:val="20"/>
                <w:szCs w:val="20"/>
              </w:rPr>
              <w:t xml:space="preserve">. 2011) </w:t>
            </w:r>
          </w:p>
          <w:p w:rsidR="005B7A4B" w:rsidRPr="005979F7" w:rsidRDefault="005B7A4B" w:rsidP="00E75393">
            <w:pPr>
              <w:pStyle w:val="Default"/>
              <w:rPr>
                <w:rFonts w:ascii="Cambria" w:hAnsi="Cambria"/>
                <w:b/>
                <w:sz w:val="20"/>
                <w:szCs w:val="20"/>
              </w:rPr>
            </w:pPr>
            <w:r w:rsidRPr="005979F7">
              <w:rPr>
                <w:rFonts w:ascii="Cambria" w:hAnsi="Cambria"/>
                <w:b/>
                <w:sz w:val="20"/>
                <w:szCs w:val="20"/>
              </w:rPr>
              <w:t>Australia – NHMRC Recommended</w:t>
            </w:r>
          </w:p>
          <w:p w:rsidR="005B7A4B" w:rsidRPr="005979F7" w:rsidRDefault="005B7A4B" w:rsidP="00E75393">
            <w:pPr>
              <w:pStyle w:val="Default"/>
              <w:rPr>
                <w:rFonts w:ascii="Cambria" w:hAnsi="Cambria"/>
                <w:b/>
                <w:bCs/>
                <w:sz w:val="20"/>
                <w:szCs w:val="20"/>
              </w:rPr>
            </w:pPr>
          </w:p>
        </w:tc>
        <w:tc>
          <w:tcPr>
            <w:tcW w:w="10461" w:type="dxa"/>
          </w:tcPr>
          <w:p w:rsidR="005B7A4B" w:rsidRPr="005979F7" w:rsidRDefault="005B7A4B" w:rsidP="00E75393">
            <w:pPr>
              <w:pStyle w:val="Default"/>
              <w:rPr>
                <w:rFonts w:ascii="Cambria" w:hAnsi="Cambria"/>
                <w:sz w:val="20"/>
                <w:szCs w:val="20"/>
              </w:rPr>
            </w:pPr>
            <w:proofErr w:type="spellStart"/>
            <w:r w:rsidRPr="005979F7">
              <w:rPr>
                <w:rFonts w:ascii="Cambria" w:hAnsi="Cambria"/>
                <w:sz w:val="20"/>
                <w:szCs w:val="20"/>
              </w:rPr>
              <w:t>Nonsensor</w:t>
            </w:r>
            <w:proofErr w:type="spellEnd"/>
            <w:r w:rsidRPr="005979F7">
              <w:rPr>
                <w:rFonts w:ascii="Cambria" w:hAnsi="Cambria"/>
                <w:sz w:val="20"/>
                <w:szCs w:val="20"/>
              </w:rPr>
              <w:t>-augmented CSII should be considered for use in individuals in whom the expected magnitude of benefit is clinically significant in terms of reducing HbA</w:t>
            </w:r>
            <w:r w:rsidRPr="00A1364F">
              <w:rPr>
                <w:rFonts w:ascii="Cambria" w:hAnsi="Cambria"/>
                <w:sz w:val="20"/>
                <w:szCs w:val="20"/>
                <w:vertAlign w:val="subscript"/>
              </w:rPr>
              <w:t>1c</w:t>
            </w:r>
            <w:r w:rsidRPr="005979F7">
              <w:rPr>
                <w:rFonts w:ascii="Cambria" w:hAnsi="Cambria"/>
                <w:sz w:val="20"/>
                <w:szCs w:val="20"/>
              </w:rPr>
              <w:t xml:space="preserve">, reducing hypoglycaemia or improving </w:t>
            </w:r>
            <w:r>
              <w:rPr>
                <w:rFonts w:ascii="Cambria" w:hAnsi="Cambria"/>
                <w:sz w:val="20"/>
                <w:szCs w:val="20"/>
              </w:rPr>
              <w:t>quality of life</w:t>
            </w:r>
          </w:p>
          <w:p w:rsidR="005B7A4B" w:rsidRPr="005979F7" w:rsidRDefault="005B7A4B" w:rsidP="00E75393">
            <w:pPr>
              <w:pStyle w:val="Default"/>
              <w:rPr>
                <w:rFonts w:ascii="Cambria" w:hAnsi="Cambria"/>
                <w:sz w:val="20"/>
                <w:szCs w:val="20"/>
              </w:rPr>
            </w:pP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Practice points: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Individuals who may be likely to benefit from CSII pump therapy, as part of intensive diabetes management are - some children and adolescents, including infants and young children, and pregnant women (ideally preconception, </w:t>
            </w:r>
          </w:p>
          <w:p w:rsidR="005B7A4B" w:rsidRPr="005979F7" w:rsidRDefault="005B7A4B" w:rsidP="005B7A4B">
            <w:pPr>
              <w:pStyle w:val="Default"/>
              <w:numPr>
                <w:ilvl w:val="0"/>
                <w:numId w:val="6"/>
              </w:numPr>
              <w:rPr>
                <w:rFonts w:ascii="Cambria" w:hAnsi="Cambria"/>
                <w:sz w:val="20"/>
                <w:szCs w:val="20"/>
              </w:rPr>
            </w:pPr>
            <w:r w:rsidRPr="005979F7">
              <w:rPr>
                <w:rFonts w:ascii="Cambria" w:hAnsi="Cambria"/>
                <w:sz w:val="20"/>
                <w:szCs w:val="20"/>
              </w:rPr>
              <w:t xml:space="preserve">individuals with microvascular complications of diabetes, </w:t>
            </w:r>
          </w:p>
          <w:p w:rsidR="005B7A4B" w:rsidRPr="005979F7" w:rsidRDefault="005B7A4B" w:rsidP="005B7A4B">
            <w:pPr>
              <w:pStyle w:val="Default"/>
              <w:numPr>
                <w:ilvl w:val="0"/>
                <w:numId w:val="6"/>
              </w:numPr>
              <w:rPr>
                <w:rFonts w:ascii="Cambria" w:hAnsi="Cambria"/>
                <w:sz w:val="20"/>
                <w:szCs w:val="20"/>
              </w:rPr>
            </w:pPr>
            <w:r w:rsidRPr="005979F7">
              <w:rPr>
                <w:rFonts w:ascii="Cambria" w:hAnsi="Cambria"/>
                <w:sz w:val="20"/>
                <w:szCs w:val="20"/>
              </w:rPr>
              <w:t xml:space="preserve">individuals with reduced hypoglycaemia awareness, - individuals (or their supervising adults) with desirable motivational factors; for example, those seeking to improve blood glucose and having realistic expectations, </w:t>
            </w:r>
          </w:p>
          <w:p w:rsidR="005B7A4B" w:rsidRPr="005979F7" w:rsidRDefault="005B7A4B" w:rsidP="005B7A4B">
            <w:pPr>
              <w:pStyle w:val="Default"/>
              <w:numPr>
                <w:ilvl w:val="0"/>
                <w:numId w:val="9"/>
              </w:numPr>
              <w:rPr>
                <w:rFonts w:ascii="Cambria" w:hAnsi="Cambria"/>
                <w:b/>
                <w:bCs/>
                <w:sz w:val="20"/>
                <w:szCs w:val="20"/>
              </w:rPr>
            </w:pPr>
            <w:r w:rsidRPr="005979F7">
              <w:rPr>
                <w:rFonts w:ascii="Cambria" w:hAnsi="Cambria"/>
                <w:sz w:val="20"/>
                <w:szCs w:val="20"/>
              </w:rPr>
              <w:t>individuals exhibiting desirable CSII treatment-related behavioural factors, including those who are able to perform carbohydrate counting, are currently undertaking four or more blood glucose tests per day, have reliable adult supervision (in paediatrics), and a history of good self-management skills (in adults), are reliable in follow-up health care</w:t>
            </w:r>
          </w:p>
        </w:tc>
        <w:tc>
          <w:tcPr>
            <w:tcW w:w="1559" w:type="dxa"/>
          </w:tcPr>
          <w:p w:rsidR="005B7A4B" w:rsidRPr="005979F7" w:rsidRDefault="005B7A4B" w:rsidP="00E75393">
            <w:pPr>
              <w:pStyle w:val="Default"/>
              <w:rPr>
                <w:rFonts w:ascii="Cambria" w:hAnsi="Cambria"/>
                <w:b/>
                <w:bCs/>
                <w:sz w:val="20"/>
                <w:szCs w:val="20"/>
              </w:rPr>
            </w:pPr>
          </w:p>
          <w:p w:rsidR="005B7A4B" w:rsidRPr="005979F7" w:rsidRDefault="005B7A4B" w:rsidP="00E75393">
            <w:pPr>
              <w:pStyle w:val="Default"/>
              <w:rPr>
                <w:rFonts w:ascii="Cambria" w:hAnsi="Cambria"/>
                <w:b/>
                <w:bCs/>
                <w:sz w:val="20"/>
                <w:szCs w:val="20"/>
              </w:rPr>
            </w:pPr>
          </w:p>
        </w:tc>
      </w:tr>
      <w:tr w:rsidR="005B7A4B" w:rsidRPr="005979F7" w:rsidTr="00E75393">
        <w:trPr>
          <w:trHeight w:val="114"/>
        </w:trPr>
        <w:tc>
          <w:tcPr>
            <w:tcW w:w="2688"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Victorian CSII working party guidelines</w:t>
            </w:r>
          </w:p>
          <w:p w:rsidR="005B7A4B" w:rsidRPr="005979F7" w:rsidRDefault="005B7A4B" w:rsidP="00E75393">
            <w:pPr>
              <w:pStyle w:val="Default"/>
              <w:rPr>
                <w:rFonts w:ascii="Cambria" w:hAnsi="Cambria"/>
                <w:b/>
                <w:sz w:val="20"/>
                <w:szCs w:val="20"/>
              </w:rPr>
            </w:pPr>
            <w:r w:rsidRPr="005979F7">
              <w:rPr>
                <w:rFonts w:ascii="Cambria" w:hAnsi="Cambria"/>
                <w:b/>
                <w:sz w:val="20"/>
                <w:szCs w:val="20"/>
              </w:rPr>
              <w:t>Australia</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Clinical recommendations: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Patient confirmed as having Type I diabetes or diabetes in pregnancy. (For Type 1 diabetes this may include measurement of fasting C-peptide and (pre-exogenous insulin) insulin levels and anti-islet antibodies, including anti-GAD and anti-IA2 antibodies)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Lifestyle allows for wearing of a pump</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Lifestyle choices to facilitate adequate time for initial stabilization and education</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Patient requires less than 300 Units of (100 IU) insulin per 2-3 days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Consistent home blood glucose (BG) monitoring and recording or is willing to increase monitoring (and subsequently demonstrates has done so)</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Ability to measure blood or urine ketone levels, or agreeable to learning to do so</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Basic numeracy</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Willing and able to learn how to carbohydrate count and to calculate doses of insulin</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Willing to communicate on a regular basis with the team</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Able to comply with treatment plans or scheduled visits</w:t>
            </w:r>
          </w:p>
          <w:p w:rsidR="005B7A4B" w:rsidRPr="005979F7" w:rsidRDefault="005B7A4B" w:rsidP="005B7A4B">
            <w:pPr>
              <w:pStyle w:val="Default"/>
              <w:numPr>
                <w:ilvl w:val="0"/>
                <w:numId w:val="4"/>
              </w:numPr>
              <w:rPr>
                <w:rFonts w:ascii="Cambria" w:hAnsi="Cambria"/>
                <w:sz w:val="20"/>
                <w:szCs w:val="20"/>
              </w:rPr>
            </w:pPr>
            <w:proofErr w:type="gramStart"/>
            <w:r w:rsidRPr="005979F7">
              <w:rPr>
                <w:rFonts w:ascii="Cambria" w:hAnsi="Cambria"/>
                <w:sz w:val="20"/>
                <w:szCs w:val="20"/>
              </w:rPr>
              <w:t>Absence of any severe or unstable psychiatric condition: eating disorder, psychosis, depression.</w:t>
            </w:r>
            <w:proofErr w:type="gramEnd"/>
            <w:r w:rsidRPr="005979F7">
              <w:rPr>
                <w:rFonts w:ascii="Cambria" w:hAnsi="Cambria"/>
                <w:sz w:val="20"/>
                <w:szCs w:val="20"/>
              </w:rPr>
              <w:t xml:space="preserve"> It is noted that the presence of an eating disorder or depression does not preclude insulin pump use</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Reasonable level of motivation and able to accept responsibility for care of diabetes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No significant visual impairment</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No major restriction in manual dexterity, or lack of required assistance</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lastRenderedPageBreak/>
              <w:t>Adequate condition of subcutaneous tissue and skin</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Satisfactory hygiene</w:t>
            </w:r>
          </w:p>
          <w:p w:rsidR="005B7A4B" w:rsidRPr="005979F7" w:rsidRDefault="005B7A4B" w:rsidP="005B7A4B">
            <w:pPr>
              <w:pStyle w:val="Default"/>
              <w:numPr>
                <w:ilvl w:val="0"/>
                <w:numId w:val="8"/>
              </w:numPr>
              <w:rPr>
                <w:rFonts w:ascii="Cambria" w:hAnsi="Cambria"/>
                <w:sz w:val="20"/>
                <w:szCs w:val="20"/>
              </w:rPr>
            </w:pPr>
            <w:r w:rsidRPr="005979F7">
              <w:rPr>
                <w:rFonts w:ascii="Cambria" w:hAnsi="Cambria"/>
                <w:sz w:val="20"/>
                <w:szCs w:val="20"/>
              </w:rPr>
              <w:t>Funds available to purchase pump and consumables (N.B. NDSS will not provide consumables for non-pregnant Type 2 diabetes patients using CSII therapy)</w:t>
            </w:r>
          </w:p>
        </w:tc>
        <w:tc>
          <w:tcPr>
            <w:tcW w:w="1559" w:type="dxa"/>
          </w:tcPr>
          <w:p w:rsidR="005B7A4B" w:rsidRPr="005979F7" w:rsidRDefault="005B7A4B" w:rsidP="00E75393">
            <w:pPr>
              <w:pStyle w:val="Default"/>
              <w:rPr>
                <w:rFonts w:ascii="Cambria" w:hAnsi="Cambria"/>
                <w:sz w:val="20"/>
                <w:szCs w:val="20"/>
              </w:rPr>
            </w:pPr>
            <w:proofErr w:type="gramStart"/>
            <w:r w:rsidRPr="005979F7">
              <w:rPr>
                <w:rFonts w:ascii="Cambria" w:hAnsi="Cambria"/>
                <w:sz w:val="20"/>
                <w:szCs w:val="20"/>
              </w:rPr>
              <w:lastRenderedPageBreak/>
              <w:t xml:space="preserve">Details more specific clinical requirements to Craig </w:t>
            </w:r>
            <w:r w:rsidRPr="0064487F">
              <w:rPr>
                <w:rFonts w:ascii="Cambria" w:hAnsi="Cambria"/>
                <w:i/>
                <w:sz w:val="20"/>
                <w:szCs w:val="20"/>
              </w:rPr>
              <w:t>et al</w:t>
            </w:r>
            <w:r w:rsidRPr="005979F7">
              <w:rPr>
                <w:rFonts w:ascii="Cambria" w:hAnsi="Cambria"/>
                <w:sz w:val="20"/>
                <w:szCs w:val="20"/>
              </w:rPr>
              <w:t>., 2011, as well as financial suitability.</w:t>
            </w:r>
            <w:proofErr w:type="gramEnd"/>
          </w:p>
        </w:tc>
      </w:tr>
      <w:tr w:rsidR="005B7A4B" w:rsidRPr="005979F7" w:rsidTr="00E75393">
        <w:trPr>
          <w:trHeight w:val="736"/>
        </w:trPr>
        <w:tc>
          <w:tcPr>
            <w:tcW w:w="2688" w:type="dxa"/>
          </w:tcPr>
          <w:p w:rsidR="005B7A4B" w:rsidRPr="005979F7" w:rsidRDefault="005B7A4B" w:rsidP="00E75393">
            <w:pPr>
              <w:pStyle w:val="Default"/>
              <w:rPr>
                <w:rFonts w:ascii="Cambria" w:hAnsi="Cambria"/>
                <w:b/>
                <w:bCs/>
                <w:sz w:val="20"/>
                <w:szCs w:val="20"/>
              </w:rPr>
            </w:pPr>
            <w:r w:rsidRPr="005979F7">
              <w:rPr>
                <w:rFonts w:ascii="Cambria" w:hAnsi="Cambria"/>
                <w:sz w:val="20"/>
                <w:szCs w:val="20"/>
              </w:rPr>
              <w:lastRenderedPageBreak/>
              <w:t xml:space="preserve">(Scottish Intercollegiate Guidelines Network (SIGN) 2010)  </w:t>
            </w:r>
            <w:r w:rsidRPr="005979F7">
              <w:rPr>
                <w:rFonts w:ascii="Cambria" w:hAnsi="Cambria"/>
                <w:b/>
                <w:sz w:val="20"/>
                <w:szCs w:val="20"/>
              </w:rPr>
              <w:t>Scotland</w:t>
            </w:r>
            <w:r w:rsidRPr="005979F7">
              <w:rPr>
                <w:rFonts w:ascii="Cambria" w:hAnsi="Cambria"/>
                <w:sz w:val="20"/>
                <w:szCs w:val="20"/>
              </w:rPr>
              <w:t xml:space="preserve"> </w:t>
            </w:r>
          </w:p>
        </w:tc>
        <w:tc>
          <w:tcPr>
            <w:tcW w:w="10461" w:type="dxa"/>
          </w:tcPr>
          <w:p w:rsidR="005B7A4B" w:rsidRPr="005979F7" w:rsidRDefault="005B7A4B" w:rsidP="00E75393">
            <w:pPr>
              <w:pStyle w:val="Default"/>
              <w:rPr>
                <w:rFonts w:ascii="Cambria" w:hAnsi="Cambria"/>
                <w:b/>
                <w:bCs/>
                <w:sz w:val="20"/>
                <w:szCs w:val="20"/>
              </w:rPr>
            </w:pPr>
            <w:r w:rsidRPr="005979F7">
              <w:rPr>
                <w:rFonts w:ascii="Cambria" w:hAnsi="Cambria"/>
                <w:sz w:val="20"/>
                <w:szCs w:val="20"/>
              </w:rPr>
              <w:t>CSII therapy is associated with modest improvements in glycaemic control and should be considered for patients unable to achieve their glycaemic targets (Grade A)</w:t>
            </w:r>
          </w:p>
        </w:tc>
        <w:tc>
          <w:tcPr>
            <w:tcW w:w="1559" w:type="dxa"/>
          </w:tcPr>
          <w:p w:rsidR="005B7A4B" w:rsidRPr="005979F7" w:rsidRDefault="005B7A4B" w:rsidP="00E75393">
            <w:pPr>
              <w:pStyle w:val="Default"/>
              <w:rPr>
                <w:rFonts w:ascii="Cambria" w:hAnsi="Cambria"/>
                <w:bCs/>
                <w:sz w:val="20"/>
                <w:szCs w:val="20"/>
              </w:rPr>
            </w:pPr>
          </w:p>
        </w:tc>
      </w:tr>
      <w:tr w:rsidR="005B7A4B" w:rsidRPr="005979F7" w:rsidTr="00E75393">
        <w:trPr>
          <w:trHeight w:val="684"/>
        </w:trPr>
        <w:tc>
          <w:tcPr>
            <w:tcW w:w="2688" w:type="dxa"/>
          </w:tcPr>
          <w:p w:rsidR="005B7A4B" w:rsidRPr="005979F7" w:rsidRDefault="005B7A4B" w:rsidP="00E75393">
            <w:pPr>
              <w:pStyle w:val="Default"/>
              <w:rPr>
                <w:rFonts w:ascii="Cambria" w:hAnsi="Cambria"/>
                <w:sz w:val="20"/>
                <w:szCs w:val="20"/>
              </w:rPr>
            </w:pP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CSII therapy should be considered in patients who experience recurring episodes of severe hypoglycaemia (Grade B)</w:t>
            </w:r>
          </w:p>
          <w:p w:rsidR="005B7A4B" w:rsidRPr="005979F7" w:rsidRDefault="005B7A4B" w:rsidP="00E75393">
            <w:pPr>
              <w:pStyle w:val="Default"/>
              <w:rPr>
                <w:rFonts w:ascii="Cambria" w:hAnsi="Cambria"/>
                <w:sz w:val="20"/>
                <w:szCs w:val="20"/>
              </w:rPr>
            </w:pPr>
          </w:p>
        </w:tc>
        <w:tc>
          <w:tcPr>
            <w:tcW w:w="1559" w:type="dxa"/>
          </w:tcPr>
          <w:p w:rsidR="005B7A4B" w:rsidRPr="005979F7" w:rsidRDefault="005B7A4B" w:rsidP="00E75393">
            <w:pPr>
              <w:pStyle w:val="Default"/>
              <w:rPr>
                <w:rFonts w:ascii="Cambria" w:hAnsi="Cambria"/>
                <w:sz w:val="20"/>
                <w:szCs w:val="20"/>
              </w:rPr>
            </w:pPr>
          </w:p>
        </w:tc>
      </w:tr>
      <w:tr w:rsidR="005B7A4B" w:rsidRPr="005979F7" w:rsidTr="00E75393">
        <w:trPr>
          <w:trHeight w:val="1579"/>
        </w:trPr>
        <w:tc>
          <w:tcPr>
            <w:tcW w:w="2688"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(National Institute for Health and Clinical Excellence 2008) </w:t>
            </w:r>
          </w:p>
          <w:p w:rsidR="005B7A4B" w:rsidRPr="005979F7" w:rsidRDefault="005B7A4B" w:rsidP="00E75393">
            <w:pPr>
              <w:pStyle w:val="Default"/>
              <w:rPr>
                <w:rFonts w:ascii="Cambria" w:hAnsi="Cambria"/>
                <w:b/>
                <w:sz w:val="20"/>
                <w:szCs w:val="20"/>
              </w:rPr>
            </w:pPr>
            <w:r w:rsidRPr="005979F7">
              <w:rPr>
                <w:rFonts w:ascii="Cambria" w:hAnsi="Cambria"/>
                <w:b/>
                <w:sz w:val="20"/>
                <w:szCs w:val="20"/>
              </w:rPr>
              <w:t xml:space="preserve">England </w:t>
            </w:r>
          </w:p>
          <w:p w:rsidR="005B7A4B" w:rsidRPr="005979F7" w:rsidRDefault="005B7A4B" w:rsidP="00E75393">
            <w:pPr>
              <w:pStyle w:val="Default"/>
              <w:rPr>
                <w:rFonts w:ascii="Cambria" w:hAnsi="Cambria"/>
                <w:sz w:val="20"/>
                <w:szCs w:val="20"/>
              </w:rPr>
            </w:pPr>
            <w:r w:rsidRPr="005979F7">
              <w:rPr>
                <w:rFonts w:ascii="Cambria" w:hAnsi="Cambria"/>
                <w:b/>
                <w:sz w:val="20"/>
                <w:szCs w:val="20"/>
              </w:rPr>
              <w:t>Wales</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Continuous subcutaneous insulin infusion or ‘insulin pump' therapy is recommended as a possible treatment for adults and children 12 years and over with type 1 diabetes mellitus if: </w:t>
            </w:r>
          </w:p>
          <w:p w:rsidR="005B7A4B" w:rsidRPr="005979F7" w:rsidRDefault="005B7A4B" w:rsidP="00E75393">
            <w:pPr>
              <w:pStyle w:val="Default"/>
              <w:rPr>
                <w:rFonts w:ascii="Cambria" w:hAnsi="Cambria"/>
                <w:sz w:val="20"/>
                <w:szCs w:val="20"/>
              </w:rPr>
            </w:pPr>
          </w:p>
          <w:p w:rsidR="005B7A4B" w:rsidRPr="005979F7" w:rsidRDefault="005B7A4B" w:rsidP="00E75393">
            <w:pPr>
              <w:pStyle w:val="Default"/>
              <w:rPr>
                <w:rFonts w:ascii="Cambria" w:hAnsi="Cambria"/>
                <w:sz w:val="20"/>
                <w:szCs w:val="20"/>
              </w:rPr>
            </w:pPr>
            <w:r w:rsidRPr="005979F7">
              <w:rPr>
                <w:rFonts w:ascii="Cambria" w:hAnsi="Cambria"/>
                <w:sz w:val="20"/>
                <w:szCs w:val="20"/>
              </w:rPr>
              <w:t>- attempts to reach target haemoglobin A</w:t>
            </w:r>
            <w:r w:rsidRPr="00A1364F">
              <w:rPr>
                <w:rFonts w:ascii="Cambria" w:hAnsi="Cambria"/>
                <w:sz w:val="20"/>
                <w:szCs w:val="20"/>
                <w:vertAlign w:val="subscript"/>
              </w:rPr>
              <w:t>1c</w:t>
            </w:r>
            <w:r w:rsidRPr="005979F7">
              <w:rPr>
                <w:rFonts w:ascii="Cambria" w:hAnsi="Cambria"/>
                <w:sz w:val="20"/>
                <w:szCs w:val="20"/>
              </w:rPr>
              <w:t xml:space="preserve"> (HbA</w:t>
            </w:r>
            <w:r w:rsidRPr="00A1364F">
              <w:rPr>
                <w:rFonts w:ascii="Cambria" w:hAnsi="Cambria"/>
                <w:sz w:val="20"/>
                <w:szCs w:val="20"/>
                <w:vertAlign w:val="subscript"/>
              </w:rPr>
              <w:t>1c</w:t>
            </w:r>
            <w:r w:rsidRPr="005979F7">
              <w:rPr>
                <w:rFonts w:ascii="Cambria" w:hAnsi="Cambria"/>
                <w:sz w:val="20"/>
                <w:szCs w:val="20"/>
              </w:rPr>
              <w:t xml:space="preserve">) levels with multiple insulin injections result in the person having ‘disabling hypoglycaemia', or </w:t>
            </w:r>
          </w:p>
          <w:p w:rsidR="005B7A4B" w:rsidRPr="005979F7" w:rsidRDefault="005B7A4B" w:rsidP="00E75393">
            <w:pPr>
              <w:pStyle w:val="Default"/>
              <w:rPr>
                <w:rFonts w:ascii="Cambria" w:hAnsi="Cambria"/>
                <w:sz w:val="20"/>
                <w:szCs w:val="20"/>
              </w:rPr>
            </w:pPr>
            <w:r w:rsidRPr="005979F7">
              <w:rPr>
                <w:rFonts w:ascii="Cambria" w:hAnsi="Cambria"/>
                <w:sz w:val="20"/>
                <w:szCs w:val="20"/>
              </w:rPr>
              <w:t>- HbA</w:t>
            </w:r>
            <w:r w:rsidRPr="00A1364F">
              <w:rPr>
                <w:rFonts w:ascii="Cambria" w:hAnsi="Cambria"/>
                <w:sz w:val="20"/>
                <w:szCs w:val="20"/>
                <w:vertAlign w:val="subscript"/>
              </w:rPr>
              <w:t>1c</w:t>
            </w:r>
            <w:r w:rsidRPr="005979F7">
              <w:rPr>
                <w:rFonts w:ascii="Cambria" w:hAnsi="Cambria"/>
                <w:sz w:val="20"/>
                <w:szCs w:val="20"/>
              </w:rPr>
              <w:t xml:space="preserve"> levels have remained high (8.5% or above) with multiple insulin injections (including using long-acting insulin analogues if appropriate) despite the person and/or their carer carefully trying to manage their diabetes.</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Insulin pump therapy </w:t>
            </w:r>
            <w:proofErr w:type="gramStart"/>
            <w:r w:rsidRPr="005979F7">
              <w:rPr>
                <w:rFonts w:ascii="Cambria" w:hAnsi="Cambria"/>
                <w:sz w:val="20"/>
                <w:szCs w:val="20"/>
              </w:rPr>
              <w:t>is recommended</w:t>
            </w:r>
            <w:proofErr w:type="gramEnd"/>
            <w:r w:rsidRPr="005979F7">
              <w:rPr>
                <w:rFonts w:ascii="Cambria" w:hAnsi="Cambria"/>
                <w:sz w:val="20"/>
                <w:szCs w:val="20"/>
              </w:rPr>
              <w:t xml:space="preserve"> as a possible treatment for children under 12 years with type 1 diabetes mellitus if treatment with multiple insulin injections is not practical or is not considered appropriate. Children who use insulin pump therapy should have a trial of multiple insulin injections when they are between the age of 12 and 18 years.</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It is recommended that </w:t>
            </w:r>
            <w:proofErr w:type="gramStart"/>
            <w:r w:rsidRPr="005979F7">
              <w:rPr>
                <w:rFonts w:ascii="Cambria" w:hAnsi="Cambria"/>
                <w:sz w:val="20"/>
                <w:szCs w:val="20"/>
              </w:rPr>
              <w:t xml:space="preserve">CSII therapy be initiated only by a trained specialist team, which should normally comprise a physician with a specialist interest in insulin pump therapy, a diabetes specialist nurse and a </w:t>
            </w:r>
            <w:proofErr w:type="spellStart"/>
            <w:r w:rsidRPr="005979F7">
              <w:rPr>
                <w:rFonts w:ascii="Cambria" w:hAnsi="Cambria"/>
                <w:sz w:val="20"/>
                <w:szCs w:val="20"/>
              </w:rPr>
              <w:t>dietitian</w:t>
            </w:r>
            <w:proofErr w:type="spellEnd"/>
            <w:proofErr w:type="gramEnd"/>
            <w:r w:rsidRPr="005979F7">
              <w:rPr>
                <w:rFonts w:ascii="Cambria" w:hAnsi="Cambria"/>
                <w:sz w:val="20"/>
                <w:szCs w:val="20"/>
              </w:rPr>
              <w:t xml:space="preserve">. Specialist teams should provide structured education </w:t>
            </w:r>
            <w:r>
              <w:rPr>
                <w:rFonts w:ascii="Cambria" w:hAnsi="Cambria"/>
                <w:sz w:val="20"/>
                <w:szCs w:val="20"/>
              </w:rPr>
              <w:t>programme</w:t>
            </w:r>
            <w:r w:rsidRPr="005979F7">
              <w:rPr>
                <w:rFonts w:ascii="Cambria" w:hAnsi="Cambria"/>
                <w:sz w:val="20"/>
                <w:szCs w:val="20"/>
              </w:rPr>
              <w:t>s and advice on diet, lifestyle and exercise appropriate for people using CSII.</w:t>
            </w:r>
          </w:p>
          <w:p w:rsidR="005B7A4B" w:rsidRPr="005979F7" w:rsidRDefault="005B7A4B" w:rsidP="00E75393">
            <w:pPr>
              <w:pStyle w:val="Default"/>
              <w:rPr>
                <w:rFonts w:ascii="Cambria" w:hAnsi="Cambria"/>
                <w:sz w:val="20"/>
                <w:szCs w:val="20"/>
              </w:rPr>
            </w:pPr>
            <w:r w:rsidRPr="005979F7">
              <w:rPr>
                <w:rFonts w:ascii="Cambria" w:hAnsi="Cambria"/>
                <w:sz w:val="20"/>
                <w:szCs w:val="20"/>
              </w:rPr>
              <w:t>- Following initiation in adults and children 12 years and older, CSII therapy should only be continued if it results in a sustained improvement in glycaemic control, evidenced by a fall in HbA</w:t>
            </w:r>
            <w:r w:rsidRPr="00A1364F">
              <w:rPr>
                <w:rFonts w:ascii="Cambria" w:hAnsi="Cambria"/>
                <w:sz w:val="20"/>
                <w:szCs w:val="20"/>
                <w:vertAlign w:val="subscript"/>
              </w:rPr>
              <w:t>1c</w:t>
            </w:r>
            <w:r w:rsidRPr="005979F7">
              <w:rPr>
                <w:rFonts w:ascii="Cambria" w:hAnsi="Cambria"/>
                <w:sz w:val="20"/>
                <w:szCs w:val="20"/>
              </w:rPr>
              <w:t xml:space="preserve"> levels, or a sustained decrease in the rate of hypoglycaemic episodes. </w:t>
            </w:r>
            <w:proofErr w:type="gramStart"/>
            <w:r w:rsidRPr="005979F7">
              <w:rPr>
                <w:rFonts w:ascii="Cambria" w:hAnsi="Cambria"/>
                <w:sz w:val="20"/>
                <w:szCs w:val="20"/>
              </w:rPr>
              <w:t>Appropriate targets for such improvements should be set by the responsible physician, in discussion with the person receiving the treatment or their carer</w:t>
            </w:r>
            <w:proofErr w:type="gramEnd"/>
            <w:r w:rsidRPr="005979F7">
              <w:rPr>
                <w:rFonts w:ascii="Cambria" w:hAnsi="Cambria"/>
                <w:sz w:val="20"/>
                <w:szCs w:val="20"/>
              </w:rPr>
              <w:t>.</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CSII therapy </w:t>
            </w:r>
            <w:proofErr w:type="gramStart"/>
            <w:r w:rsidRPr="005979F7">
              <w:rPr>
                <w:rFonts w:ascii="Cambria" w:hAnsi="Cambria"/>
                <w:sz w:val="20"/>
                <w:szCs w:val="20"/>
              </w:rPr>
              <w:t>is not recommended</w:t>
            </w:r>
            <w:proofErr w:type="gramEnd"/>
            <w:r w:rsidRPr="005979F7">
              <w:rPr>
                <w:rFonts w:ascii="Cambria" w:hAnsi="Cambria"/>
                <w:sz w:val="20"/>
                <w:szCs w:val="20"/>
              </w:rPr>
              <w:t xml:space="preserve"> for the treatment of people with type 2 diabetes mellitus.</w:t>
            </w:r>
          </w:p>
        </w:tc>
        <w:tc>
          <w:tcPr>
            <w:tcW w:w="1559" w:type="dxa"/>
          </w:tcPr>
          <w:p w:rsidR="005B7A4B" w:rsidRPr="005979F7" w:rsidRDefault="005B7A4B" w:rsidP="00E75393">
            <w:pPr>
              <w:pStyle w:val="Default"/>
              <w:rPr>
                <w:rFonts w:ascii="Cambria" w:hAnsi="Cambria"/>
                <w:sz w:val="20"/>
                <w:szCs w:val="20"/>
              </w:rPr>
            </w:pPr>
          </w:p>
        </w:tc>
      </w:tr>
      <w:tr w:rsidR="005B7A4B" w:rsidRPr="005979F7" w:rsidTr="00E75393">
        <w:trPr>
          <w:trHeight w:val="736"/>
        </w:trPr>
        <w:tc>
          <w:tcPr>
            <w:tcW w:w="2688"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(American Association of Diabetes Educators 2008) </w:t>
            </w:r>
          </w:p>
          <w:p w:rsidR="005B7A4B" w:rsidRPr="005979F7" w:rsidRDefault="005B7A4B" w:rsidP="00E75393">
            <w:pPr>
              <w:pStyle w:val="Default"/>
              <w:rPr>
                <w:rFonts w:ascii="Cambria" w:hAnsi="Cambria"/>
                <w:b/>
                <w:sz w:val="20"/>
                <w:szCs w:val="20"/>
              </w:rPr>
            </w:pPr>
            <w:r w:rsidRPr="005979F7">
              <w:rPr>
                <w:rFonts w:ascii="Cambria" w:hAnsi="Cambria"/>
                <w:b/>
                <w:sz w:val="20"/>
                <w:szCs w:val="20"/>
              </w:rPr>
              <w:t>United States</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Patients should be considered for insulin pump therapy when intermittent insulin injections are not meeting treatment goals and outcome measures are suboptimal, including, but not limited to: </w:t>
            </w:r>
          </w:p>
          <w:p w:rsidR="005B7A4B" w:rsidRPr="005979F7" w:rsidRDefault="005B7A4B" w:rsidP="00E75393">
            <w:pPr>
              <w:pStyle w:val="Default"/>
              <w:rPr>
                <w:rFonts w:ascii="Cambria" w:hAnsi="Cambria"/>
                <w:sz w:val="20"/>
                <w:szCs w:val="20"/>
              </w:rPr>
            </w:pPr>
            <w:r w:rsidRPr="005979F7">
              <w:rPr>
                <w:rFonts w:ascii="Cambria" w:hAnsi="Cambria"/>
                <w:sz w:val="20"/>
                <w:szCs w:val="20"/>
              </w:rPr>
              <w:t>- A</w:t>
            </w:r>
            <w:r w:rsidRPr="00A1364F">
              <w:rPr>
                <w:rFonts w:ascii="Cambria" w:hAnsi="Cambria"/>
                <w:sz w:val="20"/>
                <w:szCs w:val="20"/>
                <w:vertAlign w:val="subscript"/>
              </w:rPr>
              <w:t>1c</w:t>
            </w:r>
            <w:r w:rsidRPr="005979F7">
              <w:rPr>
                <w:rFonts w:ascii="Cambria" w:hAnsi="Cambria"/>
                <w:sz w:val="20"/>
                <w:szCs w:val="20"/>
              </w:rPr>
              <w:t xml:space="preserve"> &gt; 7.0-7.5%, accompanied by frequent severe hypoglycaemia (&lt; 55 mg / </w:t>
            </w:r>
            <w:proofErr w:type="spellStart"/>
            <w:r w:rsidRPr="005979F7">
              <w:rPr>
                <w:rFonts w:ascii="Cambria" w:hAnsi="Cambria"/>
                <w:sz w:val="20"/>
                <w:szCs w:val="20"/>
              </w:rPr>
              <w:t>dL</w:t>
            </w:r>
            <w:proofErr w:type="spellEnd"/>
            <w:r w:rsidRPr="005979F7">
              <w:rPr>
                <w:rFonts w:ascii="Cambria" w:hAnsi="Cambria"/>
                <w:sz w:val="20"/>
                <w:szCs w:val="20"/>
              </w:rPr>
              <w:t xml:space="preserve">)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Hypoglycaemic events requiring third-party assistance or interfering with work, school, or family obligations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Frequent and unpredictable fluctuations in blood glucose levels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Patient perception that diabetes management impedes the pursuit of personal or professional goals </w:t>
            </w:r>
          </w:p>
        </w:tc>
        <w:tc>
          <w:tcPr>
            <w:tcW w:w="1559" w:type="dxa"/>
          </w:tcPr>
          <w:p w:rsidR="005B7A4B" w:rsidRPr="005979F7" w:rsidRDefault="005B7A4B" w:rsidP="00E75393">
            <w:pPr>
              <w:pStyle w:val="Default"/>
              <w:rPr>
                <w:rFonts w:ascii="Cambria" w:hAnsi="Cambria"/>
                <w:sz w:val="20"/>
                <w:szCs w:val="20"/>
              </w:rPr>
            </w:pPr>
          </w:p>
        </w:tc>
      </w:tr>
      <w:tr w:rsidR="005B7A4B" w:rsidRPr="005979F7" w:rsidTr="00E75393">
        <w:trPr>
          <w:trHeight w:val="1579"/>
        </w:trPr>
        <w:tc>
          <w:tcPr>
            <w:tcW w:w="2688" w:type="dxa"/>
          </w:tcPr>
          <w:p w:rsidR="005B7A4B" w:rsidRPr="005979F7" w:rsidRDefault="005B7A4B" w:rsidP="00E75393">
            <w:pPr>
              <w:pStyle w:val="Default"/>
              <w:rPr>
                <w:rFonts w:ascii="Cambria" w:hAnsi="Cambria"/>
                <w:sz w:val="20"/>
                <w:szCs w:val="20"/>
              </w:rPr>
            </w:pPr>
            <w:r w:rsidRPr="005979F7">
              <w:rPr>
                <w:rFonts w:ascii="Cambria" w:hAnsi="Cambria"/>
                <w:sz w:val="20"/>
                <w:szCs w:val="20"/>
              </w:rPr>
              <w:lastRenderedPageBreak/>
              <w:t>(</w:t>
            </w:r>
            <w:proofErr w:type="spellStart"/>
            <w:r w:rsidRPr="005979F7">
              <w:rPr>
                <w:rFonts w:ascii="Cambria" w:hAnsi="Cambria"/>
                <w:sz w:val="20"/>
                <w:szCs w:val="20"/>
              </w:rPr>
              <w:t>Grunberger</w:t>
            </w:r>
            <w:proofErr w:type="spellEnd"/>
            <w:r w:rsidRPr="005979F7">
              <w:rPr>
                <w:rFonts w:ascii="Cambria" w:hAnsi="Cambria"/>
                <w:sz w:val="20"/>
                <w:szCs w:val="20"/>
              </w:rPr>
              <w:t xml:space="preserve">, Bailey </w:t>
            </w:r>
            <w:r w:rsidRPr="0064487F">
              <w:rPr>
                <w:rFonts w:ascii="Cambria" w:hAnsi="Cambria"/>
                <w:i/>
                <w:sz w:val="20"/>
                <w:szCs w:val="20"/>
              </w:rPr>
              <w:t>et al</w:t>
            </w:r>
            <w:r w:rsidRPr="005979F7">
              <w:rPr>
                <w:rFonts w:ascii="Cambria" w:hAnsi="Cambria"/>
                <w:sz w:val="20"/>
                <w:szCs w:val="20"/>
              </w:rPr>
              <w:t>. 2010)</w:t>
            </w:r>
          </w:p>
          <w:p w:rsidR="005B7A4B" w:rsidRPr="005979F7" w:rsidRDefault="005B7A4B" w:rsidP="00E75393">
            <w:pPr>
              <w:pStyle w:val="Default"/>
              <w:rPr>
                <w:rFonts w:ascii="Cambria" w:hAnsi="Cambria"/>
                <w:b/>
                <w:sz w:val="20"/>
                <w:szCs w:val="20"/>
              </w:rPr>
            </w:pPr>
            <w:r w:rsidRPr="005979F7">
              <w:rPr>
                <w:rFonts w:ascii="Cambria" w:hAnsi="Cambria"/>
                <w:b/>
                <w:sz w:val="20"/>
                <w:szCs w:val="20"/>
              </w:rPr>
              <w:t>United States</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The statement provides the US </w:t>
            </w:r>
            <w:proofErr w:type="spellStart"/>
            <w:r w:rsidRPr="005979F7">
              <w:rPr>
                <w:rFonts w:ascii="Cambria" w:hAnsi="Cambria"/>
                <w:sz w:val="20"/>
                <w:szCs w:val="20"/>
              </w:rPr>
              <w:t>Center</w:t>
            </w:r>
            <w:proofErr w:type="spellEnd"/>
            <w:r w:rsidRPr="005979F7">
              <w:rPr>
                <w:rFonts w:ascii="Cambria" w:hAnsi="Cambria"/>
                <w:sz w:val="20"/>
                <w:szCs w:val="20"/>
              </w:rPr>
              <w:t xml:space="preserve"> for Medicare and Medicaid Services Insulin Pump Patient Eligibility Criteria.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Patients must meet 1 of the following criteria: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(a) Patient has completed a comprehensive diabetes education </w:t>
            </w:r>
            <w:r>
              <w:rPr>
                <w:rFonts w:ascii="Cambria" w:hAnsi="Cambria"/>
                <w:sz w:val="20"/>
                <w:szCs w:val="20"/>
              </w:rPr>
              <w:t>programme</w:t>
            </w:r>
            <w:r w:rsidRPr="005979F7">
              <w:rPr>
                <w:rFonts w:ascii="Cambria" w:hAnsi="Cambria"/>
                <w:sz w:val="20"/>
                <w:szCs w:val="20"/>
              </w:rPr>
              <w:t xml:space="preserve"> and has been receiving multiple daily injection insulin with frequent self-adjustments for at least 6 months before pump initiation. Patient has documented self-monitoring of blood glucose frequency an average of ≥ 4 times per day during the previous 2 months. Patient must also meet ≥1 of the following criteria: </w:t>
            </w:r>
          </w:p>
          <w:p w:rsidR="005B7A4B" w:rsidRPr="005979F7" w:rsidRDefault="005B7A4B" w:rsidP="00E75393">
            <w:pPr>
              <w:pStyle w:val="Default"/>
              <w:rPr>
                <w:rFonts w:ascii="Cambria" w:hAnsi="Cambria"/>
                <w:sz w:val="20"/>
                <w:szCs w:val="20"/>
              </w:rPr>
            </w:pPr>
            <w:r w:rsidRPr="005979F7">
              <w:rPr>
                <w:rFonts w:ascii="Cambria" w:hAnsi="Cambria"/>
                <w:sz w:val="20"/>
                <w:szCs w:val="20"/>
              </w:rPr>
              <w:t>- HbA</w:t>
            </w:r>
            <w:r w:rsidRPr="00A1364F">
              <w:rPr>
                <w:rFonts w:ascii="Cambria" w:hAnsi="Cambria"/>
                <w:sz w:val="20"/>
                <w:szCs w:val="20"/>
                <w:vertAlign w:val="subscript"/>
              </w:rPr>
              <w:t>1c</w:t>
            </w:r>
            <w:r w:rsidRPr="005979F7">
              <w:rPr>
                <w:rFonts w:ascii="Cambria" w:hAnsi="Cambria"/>
                <w:sz w:val="20"/>
                <w:szCs w:val="20"/>
              </w:rPr>
              <w:t xml:space="preserve"> &gt; 7.0%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History of recurrent hypoglycaemia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Wide fluctuations in blood glucose before mealtime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 Dawn phenomenon with fasting plasma glucose concentration frequently &gt; 200 mg / </w:t>
            </w:r>
            <w:proofErr w:type="spellStart"/>
            <w:r w:rsidRPr="005979F7">
              <w:rPr>
                <w:rFonts w:ascii="Cambria" w:hAnsi="Cambria"/>
                <w:sz w:val="20"/>
                <w:szCs w:val="20"/>
              </w:rPr>
              <w:t>dL</w:t>
            </w:r>
            <w:proofErr w:type="spellEnd"/>
            <w:r w:rsidRPr="005979F7">
              <w:rPr>
                <w:rFonts w:ascii="Cambria" w:hAnsi="Cambria"/>
                <w:sz w:val="20"/>
                <w:szCs w:val="20"/>
              </w:rPr>
              <w:t xml:space="preserve"> or history of severe glycaemic excursions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(b) Patient on a pump therapy before enrolment and has documented self-monitored blood glucose an average of ≥ 4 times per day during </w:t>
            </w:r>
            <w:r w:rsidRPr="005979F7">
              <w:rPr>
                <w:rFonts w:ascii="Cambria" w:hAnsi="Cambria"/>
                <w:sz w:val="20"/>
                <w:szCs w:val="20"/>
              </w:rPr>
              <w:cr/>
              <w:t>he month b</w:t>
            </w:r>
            <w:r w:rsidRPr="005979F7">
              <w:rPr>
                <w:rFonts w:ascii="Cambria" w:hAnsi="Cambria"/>
                <w:sz w:val="20"/>
                <w:szCs w:val="20"/>
              </w:rPr>
              <w:cr/>
              <w:t>f</w:t>
            </w:r>
            <w:r w:rsidRPr="005979F7">
              <w:rPr>
                <w:rFonts w:ascii="Cambria" w:hAnsi="Cambria"/>
                <w:sz w:val="20"/>
                <w:szCs w:val="20"/>
              </w:rPr>
              <w:cr/>
            </w:r>
            <w:proofErr w:type="gramStart"/>
            <w:r w:rsidRPr="005979F7">
              <w:rPr>
                <w:rFonts w:ascii="Cambria" w:hAnsi="Cambria"/>
                <w:sz w:val="20"/>
                <w:szCs w:val="20"/>
              </w:rPr>
              <w:t>re</w:t>
            </w:r>
            <w:proofErr w:type="gramEnd"/>
            <w:r w:rsidRPr="005979F7">
              <w:rPr>
                <w:rFonts w:ascii="Cambria" w:hAnsi="Cambria"/>
                <w:sz w:val="20"/>
                <w:szCs w:val="20"/>
              </w:rPr>
              <w:t xml:space="preserve"> enrolment.</w:t>
            </w:r>
          </w:p>
        </w:tc>
        <w:tc>
          <w:tcPr>
            <w:tcW w:w="1559" w:type="dxa"/>
          </w:tcPr>
          <w:p w:rsidR="005B7A4B" w:rsidRPr="005979F7" w:rsidRDefault="005B7A4B" w:rsidP="00E75393">
            <w:pPr>
              <w:pStyle w:val="Default"/>
              <w:rPr>
                <w:rFonts w:ascii="Cambria" w:hAnsi="Cambria"/>
                <w:sz w:val="20"/>
                <w:szCs w:val="20"/>
              </w:rPr>
            </w:pPr>
          </w:p>
        </w:tc>
      </w:tr>
      <w:tr w:rsidR="005B7A4B" w:rsidRPr="005979F7" w:rsidTr="00E75393">
        <w:trPr>
          <w:trHeight w:val="736"/>
        </w:trPr>
        <w:tc>
          <w:tcPr>
            <w:tcW w:w="2688" w:type="dxa"/>
          </w:tcPr>
          <w:p w:rsidR="005B7A4B" w:rsidRPr="005979F7" w:rsidRDefault="005B7A4B" w:rsidP="00E75393">
            <w:pPr>
              <w:pStyle w:val="Default"/>
              <w:rPr>
                <w:rFonts w:ascii="Cambria" w:hAnsi="Cambria"/>
                <w:sz w:val="20"/>
                <w:szCs w:val="20"/>
              </w:rPr>
            </w:pPr>
            <w:proofErr w:type="gramStart"/>
            <w:r w:rsidRPr="005979F7">
              <w:rPr>
                <w:rFonts w:ascii="Cambria" w:hAnsi="Cambria"/>
                <w:sz w:val="20"/>
                <w:szCs w:val="20"/>
              </w:rPr>
              <w:t>The New Zealand Society for the Study of Diabetes (NSSD).</w:t>
            </w:r>
            <w:proofErr w:type="gramEnd"/>
            <w:r w:rsidRPr="005979F7">
              <w:rPr>
                <w:rFonts w:ascii="Cambria" w:hAnsi="Cambria"/>
                <w:sz w:val="20"/>
                <w:szCs w:val="20"/>
              </w:rPr>
              <w:t xml:space="preserve"> NSSD Position Statement on Insulin Pump Therapy, June 2008:</w:t>
            </w:r>
          </w:p>
          <w:p w:rsidR="005B7A4B" w:rsidRPr="005979F7" w:rsidRDefault="005B7A4B" w:rsidP="00E75393">
            <w:pPr>
              <w:pStyle w:val="Default"/>
              <w:rPr>
                <w:rFonts w:ascii="Cambria" w:hAnsi="Cambria"/>
                <w:b/>
                <w:sz w:val="20"/>
                <w:szCs w:val="20"/>
              </w:rPr>
            </w:pPr>
            <w:r w:rsidRPr="005979F7">
              <w:rPr>
                <w:rFonts w:ascii="Cambria" w:hAnsi="Cambria"/>
                <w:b/>
                <w:sz w:val="20"/>
                <w:szCs w:val="20"/>
              </w:rPr>
              <w:t>New Zealand</w:t>
            </w:r>
          </w:p>
          <w:p w:rsidR="005B7A4B" w:rsidRPr="005979F7" w:rsidRDefault="005B7A4B" w:rsidP="00E75393">
            <w:pPr>
              <w:pStyle w:val="Default"/>
              <w:rPr>
                <w:rFonts w:ascii="Cambria" w:hAnsi="Cambria"/>
                <w:sz w:val="20"/>
                <w:szCs w:val="20"/>
              </w:rPr>
            </w:pP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t>The NZSSD Executive states that Insulin Pump Therapy should be available to people with Type 1 Diabetes who, despite optimal high-level care and MDI using a long acting analogue, meet the following criteria:</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 xml:space="preserve">Recurrent severe (2) unexplained hypoglycaemic episodes (2 or more in a 12 month period); </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Women who have suboptimal glycaemic control and wanting to conceive;</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Children less 12 years, in whom MDI is judged to be impractical;</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Poor glycaemic control (HbA</w:t>
            </w:r>
            <w:r w:rsidRPr="00A1364F">
              <w:rPr>
                <w:rFonts w:ascii="Cambria" w:hAnsi="Cambria"/>
                <w:sz w:val="20"/>
                <w:szCs w:val="20"/>
                <w:vertAlign w:val="subscript"/>
              </w:rPr>
              <w:t>1c</w:t>
            </w:r>
            <w:r w:rsidRPr="005979F7">
              <w:rPr>
                <w:rFonts w:ascii="Cambria" w:hAnsi="Cambria"/>
                <w:sz w:val="20"/>
                <w:szCs w:val="20"/>
              </w:rPr>
              <w:t xml:space="preserve"> greater than 8.5% demonstrated by CGM to be due to a prominent dawn phenomenon; and </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 xml:space="preserve">Other selected situations: </w:t>
            </w:r>
            <w:proofErr w:type="spellStart"/>
            <w:r w:rsidRPr="005979F7">
              <w:rPr>
                <w:rFonts w:ascii="Cambria" w:hAnsi="Cambria"/>
                <w:sz w:val="20"/>
                <w:szCs w:val="20"/>
              </w:rPr>
              <w:t>gastroparesis</w:t>
            </w:r>
            <w:proofErr w:type="spellEnd"/>
            <w:r w:rsidRPr="005979F7">
              <w:rPr>
                <w:rFonts w:ascii="Cambria" w:hAnsi="Cambria"/>
                <w:sz w:val="20"/>
                <w:szCs w:val="20"/>
              </w:rPr>
              <w:t>, eating disorders.</w:t>
            </w:r>
          </w:p>
          <w:p w:rsidR="005B7A4B" w:rsidRPr="005979F7" w:rsidRDefault="005B7A4B" w:rsidP="00E75393">
            <w:pPr>
              <w:pStyle w:val="Default"/>
              <w:rPr>
                <w:rFonts w:ascii="Cambria" w:hAnsi="Cambria"/>
                <w:sz w:val="20"/>
                <w:szCs w:val="20"/>
              </w:rPr>
            </w:pPr>
          </w:p>
          <w:p w:rsidR="005B7A4B" w:rsidRPr="005979F7" w:rsidRDefault="005B7A4B" w:rsidP="00E75393">
            <w:pPr>
              <w:pStyle w:val="Default"/>
              <w:rPr>
                <w:rFonts w:ascii="Cambria" w:hAnsi="Cambria"/>
                <w:sz w:val="20"/>
                <w:szCs w:val="20"/>
              </w:rPr>
            </w:pPr>
            <w:r w:rsidRPr="005979F7">
              <w:rPr>
                <w:rFonts w:ascii="Cambria" w:hAnsi="Cambria"/>
                <w:sz w:val="20"/>
                <w:szCs w:val="20"/>
              </w:rPr>
              <w:t>Practice Guidelines: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The person should be assessed by a physician experienced in insulin pump therapy and would include evidence of adherence to appropriate nutritional and self-monitoring practices;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Pump therapy should be administered through the special authority mechanism or equivalent criteria-based methodology</w:t>
            </w:r>
            <w:r>
              <w:rPr>
                <w:rFonts w:ascii="Cambria" w:hAnsi="Cambria"/>
                <w:sz w:val="20"/>
                <w:szCs w:val="20"/>
              </w:rPr>
              <w:t xml:space="preserve"> </w:t>
            </w:r>
            <w:r w:rsidRPr="005979F7">
              <w:rPr>
                <w:rFonts w:ascii="Cambria" w:hAnsi="Cambria"/>
                <w:sz w:val="20"/>
                <w:szCs w:val="20"/>
              </w:rPr>
              <w:t>A national panel should be developed to assess applications;</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Pump therapy should only be commenced and supervised by a diabetic service that has the appropriate experience and resources to manage insulin pump therapy;</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 xml:space="preserve">Access to treatment should be consistent throughout New Zealand; </w:t>
            </w:r>
          </w:p>
          <w:p w:rsidR="005B7A4B" w:rsidRPr="005979F7" w:rsidRDefault="005B7A4B" w:rsidP="005B7A4B">
            <w:pPr>
              <w:pStyle w:val="Default"/>
              <w:numPr>
                <w:ilvl w:val="0"/>
                <w:numId w:val="4"/>
              </w:numPr>
              <w:rPr>
                <w:rFonts w:ascii="Cambria" w:hAnsi="Cambria"/>
                <w:sz w:val="20"/>
                <w:szCs w:val="20"/>
              </w:rPr>
            </w:pPr>
            <w:r w:rsidRPr="005979F7">
              <w:rPr>
                <w:rFonts w:ascii="Cambria" w:hAnsi="Cambria"/>
                <w:sz w:val="20"/>
                <w:szCs w:val="20"/>
              </w:rPr>
              <w:t xml:space="preserve">Funding should apply to the pump and consumables; and </w:t>
            </w:r>
          </w:p>
          <w:p w:rsidR="005B7A4B" w:rsidRPr="005979F7" w:rsidRDefault="005B7A4B" w:rsidP="005B7A4B">
            <w:pPr>
              <w:pStyle w:val="Default"/>
              <w:numPr>
                <w:ilvl w:val="0"/>
                <w:numId w:val="10"/>
              </w:numPr>
              <w:rPr>
                <w:rFonts w:ascii="Cambria" w:hAnsi="Cambria"/>
                <w:sz w:val="20"/>
                <w:szCs w:val="20"/>
              </w:rPr>
            </w:pPr>
            <w:r w:rsidRPr="005979F7">
              <w:rPr>
                <w:rFonts w:ascii="Cambria" w:hAnsi="Cambria"/>
                <w:sz w:val="20"/>
                <w:szCs w:val="20"/>
              </w:rPr>
              <w:t xml:space="preserve">Response to treatment (according to predefined outcomes) </w:t>
            </w:r>
            <w:proofErr w:type="gramStart"/>
            <w:r w:rsidRPr="005979F7">
              <w:rPr>
                <w:rFonts w:ascii="Cambria" w:hAnsi="Cambria"/>
                <w:sz w:val="20"/>
                <w:szCs w:val="20"/>
              </w:rPr>
              <w:t>should be demonstrated</w:t>
            </w:r>
            <w:proofErr w:type="gramEnd"/>
            <w:r w:rsidRPr="005979F7">
              <w:rPr>
                <w:rFonts w:ascii="Cambria" w:hAnsi="Cambria"/>
                <w:sz w:val="20"/>
                <w:szCs w:val="20"/>
              </w:rPr>
              <w:t xml:space="preserve"> annually to be eligible for ongoing funding.</w:t>
            </w:r>
          </w:p>
        </w:tc>
        <w:tc>
          <w:tcPr>
            <w:tcW w:w="1559" w:type="dxa"/>
          </w:tcPr>
          <w:p w:rsidR="005B7A4B" w:rsidRPr="005979F7" w:rsidRDefault="005B7A4B" w:rsidP="00E75393">
            <w:pPr>
              <w:pStyle w:val="Default"/>
              <w:rPr>
                <w:rFonts w:ascii="Cambria" w:hAnsi="Cambria"/>
                <w:sz w:val="20"/>
                <w:szCs w:val="20"/>
              </w:rPr>
            </w:pPr>
          </w:p>
        </w:tc>
      </w:tr>
      <w:tr w:rsidR="005B7A4B" w:rsidRPr="005979F7" w:rsidTr="00E75393">
        <w:trPr>
          <w:trHeight w:val="588"/>
        </w:trPr>
        <w:tc>
          <w:tcPr>
            <w:tcW w:w="2688" w:type="dxa"/>
          </w:tcPr>
          <w:p w:rsidR="005B7A4B" w:rsidRPr="005979F7" w:rsidRDefault="005B7A4B" w:rsidP="00E75393">
            <w:pPr>
              <w:pStyle w:val="Default"/>
              <w:rPr>
                <w:rFonts w:ascii="Cambria" w:hAnsi="Cambria"/>
                <w:sz w:val="20"/>
                <w:szCs w:val="20"/>
              </w:rPr>
            </w:pPr>
            <w:proofErr w:type="spellStart"/>
            <w:r w:rsidRPr="005979F7">
              <w:rPr>
                <w:rFonts w:ascii="Cambria" w:hAnsi="Cambria"/>
                <w:sz w:val="20"/>
                <w:szCs w:val="20"/>
              </w:rPr>
              <w:t>Agence</w:t>
            </w:r>
            <w:proofErr w:type="spellEnd"/>
            <w:r w:rsidRPr="005979F7">
              <w:rPr>
                <w:rFonts w:ascii="Cambria" w:hAnsi="Cambria"/>
                <w:sz w:val="20"/>
                <w:szCs w:val="20"/>
              </w:rPr>
              <w:t xml:space="preserve"> </w:t>
            </w:r>
            <w:proofErr w:type="spellStart"/>
            <w:r w:rsidRPr="005979F7">
              <w:rPr>
                <w:rFonts w:ascii="Cambria" w:hAnsi="Cambria"/>
                <w:sz w:val="20"/>
                <w:szCs w:val="20"/>
              </w:rPr>
              <w:t>d’evaluation</w:t>
            </w:r>
            <w:proofErr w:type="spellEnd"/>
            <w:r w:rsidRPr="005979F7">
              <w:rPr>
                <w:rFonts w:ascii="Cambria" w:hAnsi="Cambria"/>
                <w:sz w:val="20"/>
                <w:szCs w:val="20"/>
              </w:rPr>
              <w:t xml:space="preserve"> des technologies et des modes </w:t>
            </w:r>
            <w:proofErr w:type="spellStart"/>
            <w:r w:rsidRPr="005979F7">
              <w:rPr>
                <w:rFonts w:ascii="Cambria" w:hAnsi="Cambria"/>
                <w:sz w:val="20"/>
                <w:szCs w:val="20"/>
              </w:rPr>
              <w:t>d’intervention</w:t>
            </w:r>
            <w:proofErr w:type="spellEnd"/>
            <w:r w:rsidRPr="005979F7">
              <w:rPr>
                <w:rFonts w:ascii="Cambria" w:hAnsi="Cambria"/>
                <w:sz w:val="20"/>
                <w:szCs w:val="20"/>
              </w:rPr>
              <w:t xml:space="preserve"> en santé </w:t>
            </w:r>
            <w:r w:rsidRPr="005979F7">
              <w:rPr>
                <w:rFonts w:ascii="Cambria" w:hAnsi="Cambria"/>
                <w:sz w:val="20"/>
                <w:szCs w:val="20"/>
              </w:rPr>
              <w:lastRenderedPageBreak/>
              <w:t>(AETMIS) 2005</w:t>
            </w:r>
          </w:p>
          <w:p w:rsidR="005B7A4B" w:rsidRPr="005979F7" w:rsidRDefault="005B7A4B" w:rsidP="00E75393">
            <w:pPr>
              <w:pStyle w:val="Default"/>
              <w:rPr>
                <w:rFonts w:ascii="Cambria" w:hAnsi="Cambria"/>
                <w:b/>
                <w:sz w:val="20"/>
                <w:szCs w:val="20"/>
              </w:rPr>
            </w:pPr>
            <w:r w:rsidRPr="005979F7">
              <w:rPr>
                <w:rFonts w:ascii="Cambria" w:hAnsi="Cambria"/>
                <w:b/>
                <w:sz w:val="20"/>
                <w:szCs w:val="20"/>
              </w:rPr>
              <w:t>Canada - Quebec</w:t>
            </w:r>
          </w:p>
        </w:tc>
        <w:tc>
          <w:tcPr>
            <w:tcW w:w="10461" w:type="dxa"/>
          </w:tcPr>
          <w:p w:rsidR="005B7A4B" w:rsidRPr="005979F7" w:rsidRDefault="005B7A4B" w:rsidP="00E75393">
            <w:pPr>
              <w:pStyle w:val="Default"/>
              <w:rPr>
                <w:rFonts w:ascii="Cambria" w:hAnsi="Cambria"/>
                <w:sz w:val="20"/>
                <w:szCs w:val="20"/>
              </w:rPr>
            </w:pPr>
            <w:r w:rsidRPr="005979F7">
              <w:rPr>
                <w:rFonts w:ascii="Cambria" w:hAnsi="Cambria"/>
                <w:sz w:val="20"/>
                <w:szCs w:val="20"/>
              </w:rPr>
              <w:lastRenderedPageBreak/>
              <w:t xml:space="preserve">1 As set out in the Canadian practice guidelines, the preferred therapeutic approach to type 1 diabetes, in both adults and children, be based on intensive therapy with multiple daily insulin injections;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2 Therapy by continuous subcutaneous insulin infusion (insulin pump) be recognised in Quebec as a treatment modality </w:t>
            </w:r>
            <w:r w:rsidRPr="005979F7">
              <w:rPr>
                <w:rFonts w:ascii="Cambria" w:hAnsi="Cambria"/>
                <w:sz w:val="20"/>
                <w:szCs w:val="20"/>
              </w:rPr>
              <w:lastRenderedPageBreak/>
              <w:t xml:space="preserve">that might be indicated for a limited, select group of </w:t>
            </w:r>
            <w:r>
              <w:rPr>
                <w:rFonts w:ascii="Cambria" w:hAnsi="Cambria"/>
                <w:sz w:val="20"/>
                <w:szCs w:val="20"/>
              </w:rPr>
              <w:t xml:space="preserve">people with </w:t>
            </w:r>
            <w:r w:rsidRPr="005979F7">
              <w:rPr>
                <w:rFonts w:ascii="Cambria" w:hAnsi="Cambria"/>
                <w:sz w:val="20"/>
                <w:szCs w:val="20"/>
              </w:rPr>
              <w:t>type 1 diabet</w:t>
            </w:r>
            <w:r>
              <w:rPr>
                <w:rFonts w:ascii="Cambria" w:hAnsi="Cambria"/>
                <w:sz w:val="20"/>
                <w:szCs w:val="20"/>
              </w:rPr>
              <w:t>e</w:t>
            </w:r>
            <w:r w:rsidRPr="005979F7">
              <w:rPr>
                <w:rFonts w:ascii="Cambria" w:hAnsi="Cambria"/>
                <w:sz w:val="20"/>
                <w:szCs w:val="20"/>
              </w:rPr>
              <w:t>s (various selection criteria based on expert opinion are cited in this report);</w:t>
            </w:r>
          </w:p>
          <w:p w:rsidR="005B7A4B" w:rsidRPr="005979F7" w:rsidRDefault="005B7A4B" w:rsidP="00E75393">
            <w:pPr>
              <w:pStyle w:val="Default"/>
              <w:rPr>
                <w:rFonts w:ascii="Cambria" w:hAnsi="Cambria"/>
                <w:sz w:val="20"/>
                <w:szCs w:val="20"/>
              </w:rPr>
            </w:pPr>
            <w:r>
              <w:rPr>
                <w:rFonts w:ascii="Cambria" w:hAnsi="Cambria"/>
                <w:sz w:val="20"/>
                <w:szCs w:val="20"/>
              </w:rPr>
              <w:t>3 The Minister</w:t>
            </w:r>
            <w:r w:rsidRPr="005979F7">
              <w:rPr>
                <w:rFonts w:ascii="Cambria" w:hAnsi="Cambria"/>
                <w:sz w:val="20"/>
                <w:szCs w:val="20"/>
              </w:rPr>
              <w:t xml:space="preserve"> consider setting up a multidisciplinary taskforce (including </w:t>
            </w:r>
            <w:proofErr w:type="spellStart"/>
            <w:r w:rsidRPr="005979F7">
              <w:rPr>
                <w:rFonts w:ascii="Cambria" w:hAnsi="Cambria"/>
                <w:sz w:val="20"/>
                <w:szCs w:val="20"/>
              </w:rPr>
              <w:t>Diabete</w:t>
            </w:r>
            <w:proofErr w:type="spellEnd"/>
            <w:r w:rsidRPr="005979F7">
              <w:rPr>
                <w:rFonts w:ascii="Cambria" w:hAnsi="Cambria"/>
                <w:sz w:val="20"/>
                <w:szCs w:val="20"/>
              </w:rPr>
              <w:t xml:space="preserve"> Quebec, and the clinical and research communities) charged with:</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Identifying consensus criteria for patient selection and for prescribing and monitoring of insulin pump therapy;</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Designating clinics that would participate in the implementation of pump therapy and determining the composition and role of the professional team required;</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 xml:space="preserve">Developing common candidate selection, patient education and follow- up tools; </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 xml:space="preserve">Monitoring and implementation of pump therapy; and </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 xml:space="preserve">Re-evaluating the use of pump therapy in Quebec sometime after it </w:t>
            </w:r>
            <w:proofErr w:type="gramStart"/>
            <w:r w:rsidRPr="005979F7">
              <w:rPr>
                <w:rFonts w:ascii="Cambria" w:hAnsi="Cambria"/>
                <w:sz w:val="20"/>
                <w:szCs w:val="20"/>
              </w:rPr>
              <w:t>is introduced</w:t>
            </w:r>
            <w:proofErr w:type="gramEnd"/>
            <w:r w:rsidRPr="005979F7">
              <w:rPr>
                <w:rFonts w:ascii="Cambria" w:hAnsi="Cambria"/>
                <w:sz w:val="20"/>
                <w:szCs w:val="20"/>
              </w:rPr>
              <w:t>.</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4 The consensual criteria for the use of insulin pumps to be reviewed periodically in the light of new evidence that becomes available after this report, in particular , from studies comparing the insulin pump and multiple injection therapy with </w:t>
            </w:r>
            <w:proofErr w:type="spellStart"/>
            <w:r w:rsidRPr="005979F7">
              <w:rPr>
                <w:rFonts w:ascii="Cambria" w:hAnsi="Cambria"/>
                <w:sz w:val="20"/>
                <w:szCs w:val="20"/>
              </w:rPr>
              <w:t>glargine</w:t>
            </w:r>
            <w:proofErr w:type="spellEnd"/>
            <w:r w:rsidRPr="005979F7">
              <w:rPr>
                <w:rFonts w:ascii="Cambria" w:hAnsi="Cambria"/>
                <w:sz w:val="20"/>
                <w:szCs w:val="20"/>
              </w:rPr>
              <w:t>, it may soon be available in Canada (technology watch);</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5 A clear consistent policy governing the use of the insulin pump be developed and made part of a broader initiative for managing diabetes in Quebec that would take into account the need to increase the ability of Quebec’s health-care system to offer intensive therapy to all </w:t>
            </w:r>
            <w:r>
              <w:rPr>
                <w:rFonts w:ascii="Cambria" w:hAnsi="Cambria"/>
                <w:sz w:val="20"/>
                <w:szCs w:val="20"/>
              </w:rPr>
              <w:t xml:space="preserve">people with </w:t>
            </w:r>
            <w:r w:rsidRPr="005979F7">
              <w:rPr>
                <w:rFonts w:ascii="Cambria" w:hAnsi="Cambria"/>
                <w:sz w:val="20"/>
                <w:szCs w:val="20"/>
              </w:rPr>
              <w:t>type 1 diabet</w:t>
            </w:r>
            <w:r>
              <w:rPr>
                <w:rFonts w:ascii="Cambria" w:hAnsi="Cambria"/>
                <w:sz w:val="20"/>
                <w:szCs w:val="20"/>
              </w:rPr>
              <w:t>e</w:t>
            </w:r>
            <w:r w:rsidRPr="005979F7">
              <w:rPr>
                <w:rFonts w:ascii="Cambria" w:hAnsi="Cambria"/>
                <w:sz w:val="20"/>
                <w:szCs w:val="20"/>
              </w:rPr>
              <w:t>s;</w:t>
            </w:r>
          </w:p>
          <w:p w:rsidR="005B7A4B" w:rsidRPr="005979F7" w:rsidRDefault="005B7A4B" w:rsidP="00E75393">
            <w:pPr>
              <w:pStyle w:val="Default"/>
              <w:rPr>
                <w:rFonts w:ascii="Cambria" w:hAnsi="Cambria"/>
                <w:sz w:val="20"/>
                <w:szCs w:val="20"/>
              </w:rPr>
            </w:pPr>
            <w:r w:rsidRPr="005979F7">
              <w:rPr>
                <w:rFonts w:ascii="Cambria" w:hAnsi="Cambria"/>
                <w:sz w:val="20"/>
                <w:szCs w:val="20"/>
              </w:rPr>
              <w:t>6 Two options for standardising the prescription and coverage of modalities be examined:</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 xml:space="preserve">Consider the [insulin] pump an exceptional treatment modality for exceptional patients, with access granted by the </w:t>
            </w:r>
            <w:proofErr w:type="spellStart"/>
            <w:r w:rsidRPr="005979F7">
              <w:rPr>
                <w:rFonts w:ascii="Cambria" w:hAnsi="Cambria"/>
                <w:sz w:val="20"/>
                <w:szCs w:val="20"/>
              </w:rPr>
              <w:t>Regie</w:t>
            </w:r>
            <w:proofErr w:type="spellEnd"/>
            <w:r w:rsidRPr="005979F7">
              <w:rPr>
                <w:rFonts w:ascii="Cambria" w:hAnsi="Cambria"/>
                <w:sz w:val="20"/>
                <w:szCs w:val="20"/>
              </w:rPr>
              <w:t xml:space="preserve"> de </w:t>
            </w:r>
            <w:proofErr w:type="spellStart"/>
            <w:r w:rsidRPr="005979F7">
              <w:rPr>
                <w:rFonts w:ascii="Cambria" w:hAnsi="Cambria"/>
                <w:sz w:val="20"/>
                <w:szCs w:val="20"/>
              </w:rPr>
              <w:t>l’assurance</w:t>
            </w:r>
            <w:proofErr w:type="spellEnd"/>
            <w:r w:rsidRPr="005979F7">
              <w:rPr>
                <w:rFonts w:ascii="Cambria" w:hAnsi="Cambria"/>
                <w:sz w:val="20"/>
                <w:szCs w:val="20"/>
              </w:rPr>
              <w:t xml:space="preserve"> </w:t>
            </w:r>
            <w:proofErr w:type="spellStart"/>
            <w:r w:rsidRPr="005979F7">
              <w:rPr>
                <w:rFonts w:ascii="Cambria" w:hAnsi="Cambria"/>
                <w:sz w:val="20"/>
                <w:szCs w:val="20"/>
              </w:rPr>
              <w:t>maladie</w:t>
            </w:r>
            <w:proofErr w:type="spellEnd"/>
            <w:r w:rsidRPr="005979F7">
              <w:rPr>
                <w:rFonts w:ascii="Cambria" w:hAnsi="Cambria"/>
                <w:sz w:val="20"/>
                <w:szCs w:val="20"/>
              </w:rPr>
              <w:t xml:space="preserve"> du Quebec (RAMQ)  on a case by case basis according to the criteria established by the above mentioned taskforce and/or on request by a physician;</w:t>
            </w:r>
          </w:p>
          <w:p w:rsidR="005B7A4B" w:rsidRPr="005979F7" w:rsidRDefault="005B7A4B" w:rsidP="00E75393">
            <w:pPr>
              <w:pStyle w:val="Default"/>
              <w:rPr>
                <w:rFonts w:ascii="Cambria" w:hAnsi="Cambria"/>
                <w:sz w:val="20"/>
                <w:szCs w:val="20"/>
              </w:rPr>
            </w:pPr>
            <w:r w:rsidRPr="005979F7">
              <w:rPr>
                <w:rFonts w:ascii="Cambria" w:hAnsi="Cambria"/>
                <w:sz w:val="20"/>
                <w:szCs w:val="20"/>
              </w:rPr>
              <w:t>•</w:t>
            </w:r>
            <w:r w:rsidRPr="005979F7">
              <w:rPr>
                <w:rFonts w:ascii="Cambria" w:hAnsi="Cambria"/>
                <w:sz w:val="20"/>
                <w:szCs w:val="20"/>
              </w:rPr>
              <w:tab/>
              <w:t>Institute systematic pump prescription and utilisation auditing and monitoring procedures based on set criteria in collaboration with the clinical settings concerned, possibly by creating a registry of pump-treated patients or developing tools for selecting cases on a priority basis within a predetermined budg</w:t>
            </w:r>
            <w:r w:rsidRPr="0064487F">
              <w:rPr>
                <w:rFonts w:ascii="Cambria" w:hAnsi="Cambria"/>
                <w:i/>
                <w:sz w:val="20"/>
                <w:szCs w:val="20"/>
              </w:rPr>
              <w:t>et al</w:t>
            </w:r>
            <w:r w:rsidRPr="005979F7">
              <w:rPr>
                <w:rFonts w:ascii="Cambria" w:hAnsi="Cambria"/>
                <w:sz w:val="20"/>
                <w:szCs w:val="20"/>
              </w:rPr>
              <w:t>lowance;</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7 A full range of technical service be provided in French in Quebec by the manufacturers and distributors of insulin pumps; and </w:t>
            </w:r>
          </w:p>
          <w:p w:rsidR="005B7A4B" w:rsidRPr="005979F7" w:rsidRDefault="005B7A4B" w:rsidP="00E75393">
            <w:pPr>
              <w:pStyle w:val="Default"/>
              <w:rPr>
                <w:rFonts w:ascii="Cambria" w:hAnsi="Cambria"/>
                <w:sz w:val="20"/>
                <w:szCs w:val="20"/>
              </w:rPr>
            </w:pPr>
            <w:r w:rsidRPr="005979F7">
              <w:rPr>
                <w:rFonts w:ascii="Cambria" w:hAnsi="Cambria"/>
                <w:sz w:val="20"/>
                <w:szCs w:val="20"/>
              </w:rPr>
              <w:t xml:space="preserve">8 Research on patient selection criteria and cost-effectiveness of insulin pumps in the Quebec context be considered an important avenue of investigation by </w:t>
            </w:r>
            <w:proofErr w:type="spellStart"/>
            <w:r w:rsidRPr="005979F7">
              <w:rPr>
                <w:rFonts w:ascii="Cambria" w:hAnsi="Cambria"/>
                <w:sz w:val="20"/>
                <w:szCs w:val="20"/>
              </w:rPr>
              <w:t>Fonds</w:t>
            </w:r>
            <w:proofErr w:type="spellEnd"/>
            <w:r w:rsidRPr="005979F7">
              <w:rPr>
                <w:rFonts w:ascii="Cambria" w:hAnsi="Cambria"/>
                <w:sz w:val="20"/>
                <w:szCs w:val="20"/>
              </w:rPr>
              <w:t xml:space="preserve"> de la recherché en santé du Quebec (FRSQ).</w:t>
            </w:r>
          </w:p>
        </w:tc>
        <w:tc>
          <w:tcPr>
            <w:tcW w:w="1559" w:type="dxa"/>
          </w:tcPr>
          <w:p w:rsidR="005B7A4B" w:rsidRPr="005979F7" w:rsidRDefault="005B7A4B" w:rsidP="00E75393">
            <w:pPr>
              <w:pStyle w:val="Default"/>
              <w:rPr>
                <w:rFonts w:ascii="Cambria" w:hAnsi="Cambria"/>
                <w:sz w:val="20"/>
                <w:szCs w:val="20"/>
              </w:rPr>
            </w:pPr>
          </w:p>
        </w:tc>
      </w:tr>
    </w:tbl>
    <w:p w:rsidR="005B7A4B" w:rsidRPr="00D52454" w:rsidRDefault="005B7A4B" w:rsidP="005B7A4B">
      <w:pPr>
        <w:pStyle w:val="Heading2"/>
      </w:pPr>
      <w:r w:rsidRPr="00D52454">
        <w:lastRenderedPageBreak/>
        <w:br w:type="page"/>
      </w:r>
    </w:p>
    <w:p w:rsidR="005B7A4B" w:rsidRPr="00D52454" w:rsidRDefault="005B7A4B" w:rsidP="005B7A4B">
      <w:pPr>
        <w:pStyle w:val="Heading2"/>
      </w:pPr>
      <w:bookmarkStart w:id="290" w:name="_Toc381090962"/>
      <w:bookmarkStart w:id="291" w:name="_Toc387664360"/>
      <w:r w:rsidRPr="00D52454">
        <w:lastRenderedPageBreak/>
        <w:t>Appendix E – Current Guidelines hosted by the NHMRC Clinical Guidelines Portal in relation to type 1 diabetes</w:t>
      </w:r>
      <w:bookmarkEnd w:id="290"/>
      <w:bookmarkEnd w:id="291"/>
    </w:p>
    <w:tbl>
      <w:tblPr>
        <w:tblW w:w="14459"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1522"/>
        <w:gridCol w:w="1539"/>
        <w:gridCol w:w="4810"/>
        <w:gridCol w:w="3327"/>
      </w:tblGrid>
      <w:tr w:rsidR="005B7A4B" w:rsidRPr="00507DD7" w:rsidTr="00507DD7">
        <w:trPr>
          <w:tblCellSpacing w:w="0" w:type="dxa"/>
        </w:trPr>
        <w:tc>
          <w:tcPr>
            <w:tcW w:w="3261" w:type="dxa"/>
            <w:tcBorders>
              <w:bottom w:val="nil"/>
            </w:tcBorders>
            <w:vAlign w:val="center"/>
          </w:tcPr>
          <w:p w:rsidR="005B7A4B" w:rsidRPr="00507DD7" w:rsidRDefault="005B7A4B" w:rsidP="00E75393">
            <w:pPr>
              <w:jc w:val="left"/>
              <w:rPr>
                <w:rFonts w:asciiTheme="majorHAnsi" w:eastAsia="Calibri" w:hAnsiTheme="majorHAnsi"/>
                <w:b/>
                <w:bCs/>
                <w:sz w:val="20"/>
                <w:szCs w:val="20"/>
              </w:rPr>
            </w:pPr>
            <w:r w:rsidRPr="003E1F05">
              <w:rPr>
                <w:rFonts w:asciiTheme="majorHAnsi" w:hAnsiTheme="majorHAnsi"/>
                <w:b/>
                <w:bCs/>
                <w:sz w:val="20"/>
                <w:szCs w:val="20"/>
              </w:rPr>
              <w:t>Title</w:t>
            </w:r>
          </w:p>
        </w:tc>
        <w:tc>
          <w:tcPr>
            <w:tcW w:w="1522" w:type="dxa"/>
            <w:tcBorders>
              <w:bottom w:val="nil"/>
            </w:tcBorders>
            <w:vAlign w:val="center"/>
          </w:tcPr>
          <w:p w:rsidR="005B7A4B" w:rsidRPr="00507DD7" w:rsidRDefault="005B7A4B" w:rsidP="00E75393">
            <w:pPr>
              <w:jc w:val="center"/>
              <w:rPr>
                <w:rFonts w:asciiTheme="majorHAnsi" w:eastAsia="Calibri" w:hAnsiTheme="majorHAnsi"/>
                <w:b/>
                <w:bCs/>
                <w:sz w:val="20"/>
                <w:szCs w:val="20"/>
              </w:rPr>
            </w:pPr>
            <w:r w:rsidRPr="003E1F05">
              <w:rPr>
                <w:rFonts w:asciiTheme="majorHAnsi" w:hAnsiTheme="majorHAnsi"/>
                <w:b/>
                <w:bCs/>
                <w:sz w:val="20"/>
                <w:szCs w:val="20"/>
              </w:rPr>
              <w:t>Publication year</w:t>
            </w:r>
          </w:p>
        </w:tc>
        <w:tc>
          <w:tcPr>
            <w:tcW w:w="1539" w:type="dxa"/>
            <w:tcBorders>
              <w:bottom w:val="nil"/>
            </w:tcBorders>
            <w:vAlign w:val="center"/>
          </w:tcPr>
          <w:p w:rsidR="005B7A4B" w:rsidRPr="00507DD7" w:rsidRDefault="005B7A4B" w:rsidP="00E75393">
            <w:pPr>
              <w:jc w:val="center"/>
              <w:rPr>
                <w:rFonts w:asciiTheme="majorHAnsi" w:eastAsia="Calibri" w:hAnsiTheme="majorHAnsi"/>
                <w:b/>
                <w:bCs/>
                <w:sz w:val="20"/>
                <w:szCs w:val="20"/>
              </w:rPr>
            </w:pPr>
            <w:r w:rsidRPr="003E1F05">
              <w:rPr>
                <w:rFonts w:asciiTheme="majorHAnsi" w:hAnsiTheme="majorHAnsi"/>
                <w:b/>
                <w:bCs/>
                <w:sz w:val="20"/>
                <w:szCs w:val="20"/>
              </w:rPr>
              <w:t>Primary developer</w:t>
            </w:r>
          </w:p>
        </w:tc>
        <w:tc>
          <w:tcPr>
            <w:tcW w:w="4810" w:type="dxa"/>
            <w:tcBorders>
              <w:bottom w:val="nil"/>
            </w:tcBorders>
          </w:tcPr>
          <w:p w:rsidR="005B7A4B" w:rsidRPr="003E1F05" w:rsidRDefault="005B7A4B" w:rsidP="00E75393">
            <w:pPr>
              <w:spacing w:after="0"/>
              <w:jc w:val="center"/>
              <w:rPr>
                <w:rFonts w:asciiTheme="majorHAnsi" w:hAnsiTheme="majorHAnsi" w:cs="Calibri"/>
                <w:b/>
                <w:bCs/>
                <w:sz w:val="20"/>
                <w:szCs w:val="20"/>
              </w:rPr>
            </w:pPr>
            <w:r w:rsidRPr="003E1F05">
              <w:rPr>
                <w:rFonts w:asciiTheme="majorHAnsi" w:hAnsiTheme="majorHAnsi" w:cs="Calibri"/>
                <w:b/>
                <w:bCs/>
                <w:sz w:val="20"/>
                <w:szCs w:val="20"/>
              </w:rPr>
              <w:t>Recommendations in relation to T1DM</w:t>
            </w:r>
          </w:p>
          <w:p w:rsidR="005B7A4B" w:rsidRPr="003E1F05" w:rsidRDefault="005B7A4B" w:rsidP="00E75393">
            <w:pPr>
              <w:spacing w:after="0"/>
              <w:jc w:val="center"/>
              <w:rPr>
                <w:rFonts w:asciiTheme="majorHAnsi" w:hAnsiTheme="majorHAnsi" w:cs="Calibri"/>
                <w:b/>
                <w:bCs/>
                <w:sz w:val="20"/>
                <w:szCs w:val="20"/>
              </w:rPr>
            </w:pPr>
            <w:r w:rsidRPr="003E1F05">
              <w:rPr>
                <w:rFonts w:asciiTheme="majorHAnsi" w:hAnsiTheme="majorHAnsi" w:cs="Calibri"/>
                <w:b/>
                <w:bCs/>
                <w:sz w:val="20"/>
                <w:szCs w:val="20"/>
              </w:rPr>
              <w:t>Or Insulin Pump use</w:t>
            </w:r>
          </w:p>
          <w:p w:rsidR="005B7A4B" w:rsidRPr="00507DD7" w:rsidRDefault="005B7A4B" w:rsidP="00E75393">
            <w:pPr>
              <w:spacing w:after="0"/>
              <w:jc w:val="center"/>
              <w:rPr>
                <w:rFonts w:asciiTheme="majorHAnsi" w:hAnsiTheme="majorHAnsi" w:cs="Calibri"/>
                <w:b/>
                <w:bCs/>
                <w:sz w:val="20"/>
                <w:szCs w:val="20"/>
              </w:rPr>
            </w:pPr>
          </w:p>
        </w:tc>
        <w:tc>
          <w:tcPr>
            <w:tcW w:w="3327" w:type="dxa"/>
            <w:tcBorders>
              <w:bottom w:val="nil"/>
            </w:tcBorders>
          </w:tcPr>
          <w:p w:rsidR="005B7A4B" w:rsidRPr="00507DD7" w:rsidRDefault="005B7A4B" w:rsidP="00E75393">
            <w:pPr>
              <w:spacing w:after="0"/>
              <w:jc w:val="center"/>
              <w:rPr>
                <w:rFonts w:asciiTheme="majorHAnsi" w:hAnsiTheme="majorHAnsi" w:cs="Calibri"/>
                <w:b/>
                <w:bCs/>
                <w:sz w:val="20"/>
                <w:szCs w:val="20"/>
              </w:rPr>
            </w:pPr>
            <w:r w:rsidRPr="003E1F05">
              <w:rPr>
                <w:rFonts w:asciiTheme="majorHAnsi" w:hAnsiTheme="majorHAnsi" w:cs="Calibri"/>
                <w:b/>
                <w:bCs/>
                <w:sz w:val="20"/>
                <w:szCs w:val="20"/>
              </w:rPr>
              <w:t xml:space="preserve">Comparative analysis – </w:t>
            </w:r>
            <w:r w:rsidRPr="003E1F05">
              <w:rPr>
                <w:rFonts w:asciiTheme="majorHAnsi" w:hAnsiTheme="majorHAnsi" w:cs="Calibri"/>
                <w:b/>
                <w:bCs/>
                <w:sz w:val="20"/>
                <w:szCs w:val="20"/>
              </w:rPr>
              <w:br/>
              <w:t>quantitative guidelines</w:t>
            </w:r>
          </w:p>
        </w:tc>
      </w:tr>
      <w:tr w:rsidR="005B7A4B" w:rsidRPr="00507DD7" w:rsidTr="00507DD7">
        <w:trPr>
          <w:tblCellSpacing w:w="0" w:type="dxa"/>
        </w:trPr>
        <w:tc>
          <w:tcPr>
            <w:tcW w:w="3261" w:type="dxa"/>
            <w:vAlign w:val="center"/>
            <w:hideMark/>
          </w:tcPr>
          <w:p w:rsidR="005B7A4B" w:rsidRPr="00507DD7" w:rsidRDefault="00763F1D" w:rsidP="00E75393">
            <w:pPr>
              <w:jc w:val="left"/>
              <w:rPr>
                <w:rFonts w:asciiTheme="majorHAnsi" w:hAnsiTheme="majorHAnsi"/>
                <w:sz w:val="20"/>
                <w:szCs w:val="20"/>
              </w:rPr>
            </w:pPr>
            <w:hyperlink r:id="rId66" w:history="1">
              <w:proofErr w:type="gramStart"/>
              <w:r w:rsidR="005B7A4B" w:rsidRPr="003E1F05">
                <w:rPr>
                  <w:rStyle w:val="Hyperlink"/>
                  <w:rFonts w:asciiTheme="majorHAnsi" w:hAnsiTheme="majorHAnsi"/>
                  <w:color w:val="auto"/>
                  <w:sz w:val="20"/>
                  <w:szCs w:val="20"/>
                </w:rPr>
                <w:t>Australian Diabetes Society position statement.</w:t>
              </w:r>
              <w:proofErr w:type="gramEnd"/>
              <w:r w:rsidR="005B7A4B" w:rsidRPr="003E1F05">
                <w:rPr>
                  <w:rStyle w:val="Hyperlink"/>
                  <w:rFonts w:asciiTheme="majorHAnsi" w:hAnsiTheme="majorHAnsi"/>
                  <w:color w:val="auto"/>
                  <w:sz w:val="20"/>
                  <w:szCs w:val="20"/>
                </w:rPr>
                <w:t xml:space="preserve"> Individualisation of HbA</w:t>
              </w:r>
              <w:r w:rsidR="005B7A4B" w:rsidRPr="003E1F05">
                <w:rPr>
                  <w:rStyle w:val="Hyperlink"/>
                  <w:rFonts w:asciiTheme="majorHAnsi" w:hAnsiTheme="majorHAnsi"/>
                  <w:color w:val="auto"/>
                  <w:sz w:val="20"/>
                  <w:szCs w:val="20"/>
                  <w:vertAlign w:val="subscript"/>
                </w:rPr>
                <w:t>1c</w:t>
              </w:r>
              <w:r w:rsidR="005B7A4B" w:rsidRPr="003E1F05">
                <w:rPr>
                  <w:rStyle w:val="Hyperlink"/>
                  <w:rFonts w:asciiTheme="majorHAnsi" w:hAnsiTheme="majorHAnsi"/>
                  <w:color w:val="auto"/>
                  <w:sz w:val="20"/>
                  <w:szCs w:val="20"/>
                </w:rPr>
                <w:t xml:space="preserve"> targets for adults with diabetes mellitus</w:t>
              </w:r>
            </w:hyperlink>
          </w:p>
        </w:tc>
        <w:tc>
          <w:tcPr>
            <w:tcW w:w="1522" w:type="dxa"/>
            <w:vAlign w:val="center"/>
            <w:hideMark/>
          </w:tcPr>
          <w:p w:rsidR="005B7A4B" w:rsidRPr="00507DD7" w:rsidRDefault="005B7A4B" w:rsidP="00E75393">
            <w:pPr>
              <w:jc w:val="center"/>
              <w:rPr>
                <w:rFonts w:asciiTheme="majorHAnsi" w:hAnsiTheme="majorHAnsi"/>
                <w:sz w:val="20"/>
                <w:szCs w:val="20"/>
              </w:rPr>
            </w:pPr>
            <w:r w:rsidRPr="003E1F05">
              <w:rPr>
                <w:rFonts w:asciiTheme="majorHAnsi" w:hAnsiTheme="majorHAnsi"/>
                <w:sz w:val="20"/>
                <w:szCs w:val="20"/>
              </w:rPr>
              <w:t>2009</w:t>
            </w:r>
          </w:p>
        </w:tc>
        <w:tc>
          <w:tcPr>
            <w:tcW w:w="1539" w:type="dxa"/>
            <w:vAlign w:val="center"/>
            <w:hideMark/>
          </w:tcPr>
          <w:p w:rsidR="005B7A4B" w:rsidRPr="00507DD7" w:rsidRDefault="005B7A4B" w:rsidP="00E75393">
            <w:pPr>
              <w:jc w:val="center"/>
              <w:rPr>
                <w:rFonts w:asciiTheme="majorHAnsi" w:hAnsiTheme="majorHAnsi"/>
                <w:sz w:val="20"/>
                <w:szCs w:val="20"/>
              </w:rPr>
            </w:pPr>
            <w:r w:rsidRPr="003E1F05">
              <w:rPr>
                <w:rFonts w:asciiTheme="majorHAnsi" w:hAnsiTheme="majorHAnsi"/>
                <w:sz w:val="20"/>
                <w:szCs w:val="20"/>
              </w:rPr>
              <w:t>Australian Diabetes Society</w:t>
            </w:r>
          </w:p>
        </w:tc>
        <w:tc>
          <w:tcPr>
            <w:tcW w:w="4810" w:type="dxa"/>
          </w:tcPr>
          <w:p w:rsidR="005B7A4B" w:rsidRPr="003E1F05" w:rsidRDefault="005B7A4B" w:rsidP="00E75393">
            <w:pPr>
              <w:autoSpaceDE w:val="0"/>
              <w:autoSpaceDN w:val="0"/>
              <w:adjustRightInd w:val="0"/>
              <w:spacing w:after="120" w:line="240" w:lineRule="auto"/>
              <w:ind w:left="47" w:right="65"/>
              <w:rPr>
                <w:rFonts w:asciiTheme="majorHAnsi" w:eastAsia="Calibri" w:hAnsiTheme="majorHAnsi" w:cs="Calibri"/>
                <w:sz w:val="20"/>
                <w:szCs w:val="20"/>
              </w:rPr>
            </w:pPr>
            <w:r w:rsidRPr="003E1F05">
              <w:rPr>
                <w:rFonts w:asciiTheme="majorHAnsi" w:eastAsia="Calibri" w:hAnsiTheme="majorHAnsi" w:cs="Calibri"/>
                <w:sz w:val="20"/>
                <w:szCs w:val="20"/>
              </w:rPr>
              <w:t>General target HbA</w:t>
            </w:r>
            <w:r w:rsidRPr="003E1F05">
              <w:rPr>
                <w:rFonts w:asciiTheme="majorHAnsi" w:eastAsia="Calibri" w:hAnsiTheme="majorHAnsi" w:cs="Calibri"/>
                <w:sz w:val="20"/>
                <w:szCs w:val="20"/>
                <w:vertAlign w:val="subscript"/>
              </w:rPr>
              <w:t>1c</w:t>
            </w:r>
            <w:r w:rsidRPr="003E1F05">
              <w:rPr>
                <w:rFonts w:asciiTheme="majorHAnsi" w:eastAsia="Calibri" w:hAnsiTheme="majorHAnsi" w:cs="Calibri"/>
                <w:sz w:val="20"/>
                <w:szCs w:val="20"/>
              </w:rPr>
              <w:t xml:space="preserve"> ≤7.0, based on United Kingdom Prospective Diabetes Study (UKPDS) demonstrated improved outcomes with median HbA</w:t>
            </w:r>
            <w:r w:rsidRPr="003E1F05">
              <w:rPr>
                <w:rFonts w:asciiTheme="majorHAnsi" w:eastAsia="Calibri" w:hAnsiTheme="majorHAnsi" w:cs="Calibri"/>
                <w:sz w:val="20"/>
                <w:szCs w:val="20"/>
                <w:vertAlign w:val="subscript"/>
              </w:rPr>
              <w:t>1c</w:t>
            </w:r>
            <w:r w:rsidRPr="003E1F05">
              <w:rPr>
                <w:rFonts w:asciiTheme="majorHAnsi" w:eastAsia="Calibri" w:hAnsiTheme="majorHAnsi" w:cs="Calibri"/>
                <w:sz w:val="20"/>
                <w:szCs w:val="20"/>
              </w:rPr>
              <w:t xml:space="preserve"> ≤7%, supported by NHMRC systematic review This target will vary with specific clinical situations.</w:t>
            </w:r>
          </w:p>
          <w:p w:rsidR="005B7A4B" w:rsidRPr="00507DD7" w:rsidRDefault="005B7A4B" w:rsidP="00E75393">
            <w:pPr>
              <w:autoSpaceDE w:val="0"/>
              <w:autoSpaceDN w:val="0"/>
              <w:adjustRightInd w:val="0"/>
              <w:spacing w:after="120" w:line="240" w:lineRule="auto"/>
              <w:ind w:left="47" w:right="65"/>
              <w:rPr>
                <w:rFonts w:asciiTheme="majorHAnsi" w:eastAsia="Calibri" w:hAnsiTheme="majorHAnsi" w:cs="Calibri"/>
                <w:sz w:val="20"/>
                <w:szCs w:val="20"/>
              </w:rPr>
            </w:pPr>
            <w:r w:rsidRPr="003E1F05">
              <w:rPr>
                <w:rFonts w:asciiTheme="majorHAnsi" w:eastAsia="Calibri" w:hAnsiTheme="majorHAnsi" w:cs="Calibri"/>
                <w:sz w:val="20"/>
                <w:szCs w:val="20"/>
              </w:rPr>
              <w:t>Practitioners need to individualise the HbA</w:t>
            </w:r>
            <w:r w:rsidRPr="003E1F05">
              <w:rPr>
                <w:rFonts w:asciiTheme="majorHAnsi" w:eastAsia="Calibri" w:hAnsiTheme="majorHAnsi" w:cs="Calibri"/>
                <w:sz w:val="20"/>
                <w:szCs w:val="20"/>
                <w:vertAlign w:val="subscript"/>
              </w:rPr>
              <w:t>1c</w:t>
            </w:r>
            <w:r w:rsidRPr="003E1F05">
              <w:rPr>
                <w:rFonts w:asciiTheme="majorHAnsi" w:eastAsia="Calibri" w:hAnsiTheme="majorHAnsi" w:cs="Calibri"/>
                <w:sz w:val="20"/>
                <w:szCs w:val="20"/>
              </w:rPr>
              <w:t xml:space="preserve"> target for people with type </w:t>
            </w:r>
            <w:proofErr w:type="gramStart"/>
            <w:r w:rsidRPr="003E1F05">
              <w:rPr>
                <w:rFonts w:asciiTheme="majorHAnsi" w:eastAsia="Calibri" w:hAnsiTheme="majorHAnsi" w:cs="Calibri"/>
                <w:sz w:val="20"/>
                <w:szCs w:val="20"/>
              </w:rPr>
              <w:t>2 diabetes,</w:t>
            </w:r>
            <w:proofErr w:type="gramEnd"/>
            <w:r w:rsidRPr="003E1F05">
              <w:rPr>
                <w:rFonts w:asciiTheme="majorHAnsi" w:eastAsia="Calibri" w:hAnsiTheme="majorHAnsi" w:cs="Calibri"/>
                <w:sz w:val="20"/>
                <w:szCs w:val="20"/>
              </w:rPr>
              <w:t xml:space="preserve"> taking into consideration the presence of CVD, diabetes duration, diabetes medication(s) taken, comorbidities, and problems with severe hypoglycaemia. Prevention of hypoglycaemia does</w:t>
            </w:r>
            <w:r w:rsidRPr="003E1F05">
              <w:rPr>
                <w:rFonts w:asciiTheme="majorHAnsi" w:hAnsiTheme="majorHAnsi" w:cs="Calibri"/>
                <w:sz w:val="20"/>
                <w:szCs w:val="20"/>
              </w:rPr>
              <w:t xml:space="preserve"> not rely purely on adjustment of medication, but also on patient education, including blood glucose monitoring.</w:t>
            </w:r>
          </w:p>
        </w:tc>
        <w:tc>
          <w:tcPr>
            <w:tcW w:w="3327" w:type="dxa"/>
          </w:tcPr>
          <w:p w:rsidR="005B7A4B" w:rsidRPr="00507DD7" w:rsidRDefault="005B7A4B" w:rsidP="00E75393">
            <w:pPr>
              <w:autoSpaceDE w:val="0"/>
              <w:autoSpaceDN w:val="0"/>
              <w:adjustRightInd w:val="0"/>
              <w:spacing w:after="0" w:line="240" w:lineRule="auto"/>
              <w:ind w:left="57" w:right="56"/>
              <w:rPr>
                <w:rFonts w:asciiTheme="majorHAnsi" w:eastAsia="Calibri" w:hAnsiTheme="majorHAnsi" w:cs="Calibri"/>
                <w:sz w:val="20"/>
                <w:szCs w:val="20"/>
              </w:rPr>
            </w:pPr>
            <w:r w:rsidRPr="003E1F05">
              <w:rPr>
                <w:rFonts w:asciiTheme="majorHAnsi" w:eastAsia="Calibri" w:hAnsiTheme="majorHAnsi" w:cs="Calibri"/>
                <w:sz w:val="20"/>
                <w:szCs w:val="20"/>
              </w:rPr>
              <w:t>General target HbA</w:t>
            </w:r>
            <w:r w:rsidRPr="003E1F05">
              <w:rPr>
                <w:rFonts w:asciiTheme="majorHAnsi" w:eastAsia="Calibri" w:hAnsiTheme="majorHAnsi" w:cs="Calibri"/>
                <w:sz w:val="20"/>
                <w:szCs w:val="20"/>
                <w:vertAlign w:val="subscript"/>
              </w:rPr>
              <w:t>1c</w:t>
            </w:r>
            <w:r w:rsidRPr="003E1F05">
              <w:rPr>
                <w:rFonts w:asciiTheme="majorHAnsi" w:eastAsia="Calibri" w:hAnsiTheme="majorHAnsi" w:cs="Calibri"/>
                <w:sz w:val="20"/>
                <w:szCs w:val="20"/>
              </w:rPr>
              <w:t xml:space="preserve"> ≤7.0 However, HbA</w:t>
            </w:r>
            <w:r w:rsidRPr="003E1F05">
              <w:rPr>
                <w:rFonts w:asciiTheme="majorHAnsi" w:eastAsia="Calibri" w:hAnsiTheme="majorHAnsi" w:cs="Calibri"/>
                <w:sz w:val="20"/>
                <w:szCs w:val="20"/>
                <w:vertAlign w:val="subscript"/>
              </w:rPr>
              <w:t>1c</w:t>
            </w:r>
            <w:r w:rsidRPr="003E1F05">
              <w:rPr>
                <w:rFonts w:asciiTheme="majorHAnsi" w:eastAsia="Calibri" w:hAnsiTheme="majorHAnsi" w:cs="Calibri"/>
                <w:sz w:val="20"/>
                <w:szCs w:val="20"/>
              </w:rPr>
              <w:t xml:space="preserve"> targets however, need to be individualised to a tighter or lesser degree, with a recommended target HbA</w:t>
            </w:r>
            <w:r w:rsidRPr="003E1F05">
              <w:rPr>
                <w:rFonts w:asciiTheme="majorHAnsi" w:eastAsia="Calibri" w:hAnsiTheme="majorHAnsi" w:cs="Calibri"/>
                <w:sz w:val="20"/>
                <w:szCs w:val="20"/>
                <w:vertAlign w:val="subscript"/>
              </w:rPr>
              <w:t>1c</w:t>
            </w:r>
            <w:r w:rsidRPr="003E1F05">
              <w:rPr>
                <w:rFonts w:asciiTheme="majorHAnsi" w:eastAsia="Calibri" w:hAnsiTheme="majorHAnsi" w:cs="Calibri"/>
                <w:sz w:val="20"/>
                <w:szCs w:val="20"/>
              </w:rPr>
              <w:t xml:space="preserve"> level of ≤6.0% in some people, or up to ≤8.0% in others.</w:t>
            </w:r>
          </w:p>
        </w:tc>
      </w:tr>
      <w:tr w:rsidR="005B7A4B" w:rsidRPr="00507DD7" w:rsidTr="00507DD7">
        <w:trPr>
          <w:tblCellSpacing w:w="0" w:type="dxa"/>
        </w:trPr>
        <w:tc>
          <w:tcPr>
            <w:tcW w:w="3261" w:type="dxa"/>
            <w:vAlign w:val="center"/>
            <w:hideMark/>
          </w:tcPr>
          <w:p w:rsidR="005B7A4B" w:rsidRPr="00507DD7" w:rsidRDefault="00763F1D" w:rsidP="00E75393">
            <w:pPr>
              <w:jc w:val="left"/>
              <w:rPr>
                <w:rFonts w:asciiTheme="majorHAnsi" w:hAnsiTheme="majorHAnsi"/>
                <w:sz w:val="20"/>
                <w:szCs w:val="20"/>
              </w:rPr>
            </w:pPr>
            <w:hyperlink r:id="rId67" w:history="1">
              <w:r w:rsidR="005B7A4B" w:rsidRPr="003E1F05">
                <w:rPr>
                  <w:rStyle w:val="Hyperlink"/>
                  <w:rFonts w:asciiTheme="majorHAnsi" w:hAnsiTheme="majorHAnsi"/>
                  <w:color w:val="auto"/>
                  <w:sz w:val="20"/>
                  <w:szCs w:val="20"/>
                </w:rPr>
                <w:t>Dietary management in diabetes</w:t>
              </w:r>
            </w:hyperlink>
          </w:p>
        </w:tc>
        <w:tc>
          <w:tcPr>
            <w:tcW w:w="1522" w:type="dxa"/>
            <w:vAlign w:val="center"/>
            <w:hideMark/>
          </w:tcPr>
          <w:p w:rsidR="005B7A4B" w:rsidRPr="00507DD7" w:rsidRDefault="005B7A4B" w:rsidP="00E75393">
            <w:pPr>
              <w:jc w:val="center"/>
              <w:rPr>
                <w:rFonts w:asciiTheme="majorHAnsi" w:hAnsiTheme="majorHAnsi"/>
                <w:sz w:val="20"/>
                <w:szCs w:val="20"/>
              </w:rPr>
            </w:pPr>
            <w:r w:rsidRPr="003E1F05">
              <w:rPr>
                <w:rFonts w:asciiTheme="majorHAnsi" w:hAnsiTheme="majorHAnsi"/>
                <w:sz w:val="20"/>
                <w:szCs w:val="20"/>
              </w:rPr>
              <w:t>2010</w:t>
            </w:r>
          </w:p>
        </w:tc>
        <w:tc>
          <w:tcPr>
            <w:tcW w:w="1539" w:type="dxa"/>
            <w:vAlign w:val="center"/>
            <w:hideMark/>
          </w:tcPr>
          <w:p w:rsidR="005B7A4B" w:rsidRPr="00507DD7" w:rsidRDefault="005B7A4B" w:rsidP="00E75393">
            <w:pPr>
              <w:jc w:val="center"/>
              <w:rPr>
                <w:rFonts w:asciiTheme="majorHAnsi" w:hAnsiTheme="majorHAnsi"/>
                <w:sz w:val="20"/>
                <w:szCs w:val="20"/>
              </w:rPr>
            </w:pPr>
            <w:r w:rsidRPr="003E1F05">
              <w:rPr>
                <w:rFonts w:asciiTheme="majorHAnsi" w:hAnsiTheme="majorHAnsi"/>
                <w:sz w:val="20"/>
                <w:szCs w:val="20"/>
              </w:rPr>
              <w:t>Collaborating Authors</w:t>
            </w:r>
          </w:p>
        </w:tc>
        <w:tc>
          <w:tcPr>
            <w:tcW w:w="4810" w:type="dxa"/>
          </w:tcPr>
          <w:p w:rsidR="005B7A4B" w:rsidRPr="00507DD7" w:rsidRDefault="005B7A4B" w:rsidP="00E75393">
            <w:pPr>
              <w:autoSpaceDE w:val="0"/>
              <w:autoSpaceDN w:val="0"/>
              <w:adjustRightInd w:val="0"/>
              <w:spacing w:after="0" w:line="240" w:lineRule="auto"/>
              <w:rPr>
                <w:rFonts w:asciiTheme="majorHAnsi" w:hAnsiTheme="majorHAnsi" w:cs="Calibri"/>
                <w:i/>
                <w:sz w:val="20"/>
                <w:szCs w:val="20"/>
              </w:rPr>
            </w:pPr>
          </w:p>
        </w:tc>
        <w:tc>
          <w:tcPr>
            <w:tcW w:w="3327" w:type="dxa"/>
          </w:tcPr>
          <w:p w:rsidR="005B7A4B" w:rsidRPr="00507DD7" w:rsidRDefault="005B7A4B" w:rsidP="00E75393">
            <w:pPr>
              <w:autoSpaceDE w:val="0"/>
              <w:autoSpaceDN w:val="0"/>
              <w:adjustRightInd w:val="0"/>
              <w:spacing w:after="0" w:line="240" w:lineRule="auto"/>
              <w:rPr>
                <w:rFonts w:asciiTheme="majorHAnsi" w:eastAsia="Calibri" w:hAnsiTheme="majorHAnsi" w:cs="Calibri"/>
                <w:sz w:val="20"/>
                <w:szCs w:val="20"/>
              </w:rPr>
            </w:pPr>
          </w:p>
        </w:tc>
      </w:tr>
      <w:tr w:rsidR="005B7A4B" w:rsidRPr="00507DD7" w:rsidTr="00507DD7">
        <w:trPr>
          <w:tblCellSpacing w:w="0" w:type="dxa"/>
        </w:trPr>
        <w:tc>
          <w:tcPr>
            <w:tcW w:w="3261" w:type="dxa"/>
            <w:vAlign w:val="center"/>
          </w:tcPr>
          <w:p w:rsidR="005B7A4B" w:rsidRPr="00507DD7" w:rsidRDefault="00763F1D" w:rsidP="00E75393">
            <w:pPr>
              <w:jc w:val="left"/>
              <w:rPr>
                <w:rFonts w:asciiTheme="majorHAnsi" w:hAnsiTheme="majorHAnsi"/>
                <w:sz w:val="20"/>
                <w:szCs w:val="20"/>
              </w:rPr>
            </w:pPr>
            <w:hyperlink r:id="rId68" w:history="1">
              <w:r w:rsidR="005B7A4B" w:rsidRPr="003E1F05">
                <w:rPr>
                  <w:rStyle w:val="Hyperlink"/>
                  <w:rFonts w:asciiTheme="majorHAnsi" w:hAnsiTheme="majorHAnsi"/>
                  <w:color w:val="auto"/>
                  <w:sz w:val="20"/>
                  <w:szCs w:val="20"/>
                </w:rPr>
                <w:t>Guidelines for the management of diabetic retinopathy</w:t>
              </w:r>
            </w:hyperlink>
          </w:p>
        </w:tc>
        <w:tc>
          <w:tcPr>
            <w:tcW w:w="1522" w:type="dxa"/>
            <w:vAlign w:val="center"/>
          </w:tcPr>
          <w:p w:rsidR="005B7A4B" w:rsidRPr="00507DD7" w:rsidRDefault="005B7A4B" w:rsidP="00E75393">
            <w:pPr>
              <w:jc w:val="center"/>
              <w:rPr>
                <w:rFonts w:asciiTheme="majorHAnsi" w:hAnsiTheme="majorHAnsi"/>
                <w:sz w:val="20"/>
                <w:szCs w:val="20"/>
              </w:rPr>
            </w:pPr>
            <w:r w:rsidRPr="003E1F05">
              <w:rPr>
                <w:rFonts w:asciiTheme="majorHAnsi" w:hAnsiTheme="majorHAnsi"/>
                <w:sz w:val="20"/>
                <w:szCs w:val="20"/>
              </w:rPr>
              <w:t>2008</w:t>
            </w:r>
          </w:p>
        </w:tc>
        <w:tc>
          <w:tcPr>
            <w:tcW w:w="1539" w:type="dxa"/>
            <w:vAlign w:val="center"/>
          </w:tcPr>
          <w:p w:rsidR="005B7A4B" w:rsidRPr="00507DD7" w:rsidRDefault="005B7A4B" w:rsidP="00E75393">
            <w:pPr>
              <w:jc w:val="center"/>
              <w:rPr>
                <w:rFonts w:asciiTheme="majorHAnsi" w:hAnsiTheme="majorHAnsi"/>
                <w:sz w:val="20"/>
                <w:szCs w:val="20"/>
              </w:rPr>
            </w:pPr>
            <w:r w:rsidRPr="003E1F05">
              <w:rPr>
                <w:rFonts w:asciiTheme="majorHAnsi" w:hAnsiTheme="majorHAnsi"/>
                <w:sz w:val="20"/>
                <w:szCs w:val="20"/>
              </w:rPr>
              <w:t>Australian Diabetes Society</w:t>
            </w:r>
          </w:p>
        </w:tc>
        <w:tc>
          <w:tcPr>
            <w:tcW w:w="4810" w:type="dxa"/>
          </w:tcPr>
          <w:p w:rsidR="005B7A4B" w:rsidRPr="003E1F05" w:rsidRDefault="005B7A4B" w:rsidP="00E75393">
            <w:pPr>
              <w:autoSpaceDE w:val="0"/>
              <w:autoSpaceDN w:val="0"/>
              <w:adjustRightInd w:val="0"/>
              <w:spacing w:after="0" w:line="240" w:lineRule="auto"/>
              <w:ind w:left="47" w:right="65"/>
              <w:rPr>
                <w:rFonts w:asciiTheme="majorHAnsi" w:eastAsia="Calibri" w:hAnsiTheme="majorHAnsi" w:cs="Calibri"/>
                <w:sz w:val="20"/>
                <w:szCs w:val="20"/>
              </w:rPr>
            </w:pPr>
            <w:r w:rsidRPr="003E1F05">
              <w:rPr>
                <w:rFonts w:asciiTheme="majorHAnsi" w:eastAsia="Calibri" w:hAnsiTheme="majorHAnsi" w:cs="Calibri"/>
                <w:sz w:val="20"/>
                <w:szCs w:val="20"/>
              </w:rPr>
              <w:t>The Guidelines recognise that the mainstay of current treatment involves risk factor reduction by controlling blood glucose, blood pressure and serum lipids</w:t>
            </w:r>
          </w:p>
          <w:p w:rsidR="005B7A4B" w:rsidRPr="00507DD7" w:rsidRDefault="005B7A4B" w:rsidP="00E75393">
            <w:pPr>
              <w:autoSpaceDE w:val="0"/>
              <w:autoSpaceDN w:val="0"/>
              <w:adjustRightInd w:val="0"/>
              <w:spacing w:after="0" w:line="240" w:lineRule="auto"/>
              <w:rPr>
                <w:rFonts w:asciiTheme="majorHAnsi" w:eastAsia="Calibri" w:hAnsiTheme="majorHAnsi" w:cs="Calibri"/>
                <w:sz w:val="20"/>
                <w:szCs w:val="20"/>
              </w:rPr>
            </w:pPr>
          </w:p>
        </w:tc>
        <w:tc>
          <w:tcPr>
            <w:tcW w:w="3327" w:type="dxa"/>
          </w:tcPr>
          <w:p w:rsidR="005B7A4B" w:rsidRPr="00507DD7" w:rsidRDefault="005B7A4B" w:rsidP="00E75393">
            <w:pPr>
              <w:rPr>
                <w:rFonts w:asciiTheme="majorHAnsi" w:hAnsiTheme="majorHAnsi" w:cs="Calibri"/>
                <w:sz w:val="20"/>
                <w:szCs w:val="20"/>
              </w:rPr>
            </w:pPr>
          </w:p>
        </w:tc>
      </w:tr>
      <w:tr w:rsidR="005B7A4B" w:rsidRPr="00507DD7" w:rsidTr="00507DD7">
        <w:trPr>
          <w:tblCellSpacing w:w="0" w:type="dxa"/>
        </w:trPr>
        <w:tc>
          <w:tcPr>
            <w:tcW w:w="3261" w:type="dxa"/>
            <w:vAlign w:val="center"/>
          </w:tcPr>
          <w:tbl>
            <w:tblPr>
              <w:tblW w:w="0" w:type="auto"/>
              <w:tblCellSpacing w:w="0" w:type="dxa"/>
              <w:tblCellMar>
                <w:left w:w="0" w:type="dxa"/>
                <w:right w:w="0" w:type="dxa"/>
              </w:tblCellMar>
              <w:tblLook w:val="04A0" w:firstRow="1" w:lastRow="0" w:firstColumn="1" w:lastColumn="0" w:noHBand="0" w:noVBand="1"/>
            </w:tblPr>
            <w:tblGrid>
              <w:gridCol w:w="3229"/>
              <w:gridCol w:w="6"/>
              <w:gridCol w:w="6"/>
            </w:tblGrid>
            <w:tr w:rsidR="005B7A4B" w:rsidRPr="00507DD7" w:rsidTr="00E75393">
              <w:trPr>
                <w:tblCellSpacing w:w="0" w:type="dxa"/>
              </w:trPr>
              <w:tc>
                <w:tcPr>
                  <w:tcW w:w="0" w:type="auto"/>
                  <w:vAlign w:val="center"/>
                  <w:hideMark/>
                </w:tcPr>
                <w:p w:rsidR="005B7A4B" w:rsidRPr="00507DD7" w:rsidRDefault="00763F1D" w:rsidP="00E75393">
                  <w:pPr>
                    <w:jc w:val="left"/>
                    <w:rPr>
                      <w:rFonts w:asciiTheme="majorHAnsi" w:hAnsiTheme="majorHAnsi"/>
                      <w:sz w:val="20"/>
                      <w:szCs w:val="20"/>
                    </w:rPr>
                  </w:pPr>
                  <w:hyperlink r:id="rId69" w:history="1">
                    <w:r w:rsidR="005B7A4B" w:rsidRPr="003E1F05">
                      <w:rPr>
                        <w:rStyle w:val="Hyperlink"/>
                        <w:rFonts w:asciiTheme="majorHAnsi" w:hAnsiTheme="majorHAnsi"/>
                        <w:color w:val="auto"/>
                        <w:sz w:val="20"/>
                        <w:szCs w:val="20"/>
                      </w:rPr>
                      <w:t>National evidence based clinical care guidelines for type 1 diabetes in children, adolescents and adults</w:t>
                    </w:r>
                  </w:hyperlink>
                </w:p>
              </w:tc>
              <w:tc>
                <w:tcPr>
                  <w:tcW w:w="0" w:type="auto"/>
                  <w:vAlign w:val="center"/>
                  <w:hideMark/>
                </w:tcPr>
                <w:p w:rsidR="005B7A4B" w:rsidRPr="00507DD7" w:rsidRDefault="005B7A4B" w:rsidP="00E75393">
                  <w:pPr>
                    <w:jc w:val="left"/>
                    <w:rPr>
                      <w:rFonts w:asciiTheme="majorHAnsi" w:hAnsiTheme="majorHAnsi"/>
                      <w:sz w:val="20"/>
                      <w:szCs w:val="20"/>
                    </w:rPr>
                  </w:pPr>
                </w:p>
              </w:tc>
              <w:tc>
                <w:tcPr>
                  <w:tcW w:w="0" w:type="auto"/>
                  <w:vAlign w:val="center"/>
                  <w:hideMark/>
                </w:tcPr>
                <w:p w:rsidR="005B7A4B" w:rsidRPr="00507DD7" w:rsidRDefault="005B7A4B" w:rsidP="00E75393">
                  <w:pPr>
                    <w:jc w:val="left"/>
                    <w:rPr>
                      <w:rFonts w:asciiTheme="majorHAnsi" w:hAnsiTheme="majorHAnsi"/>
                      <w:sz w:val="20"/>
                      <w:szCs w:val="20"/>
                    </w:rPr>
                  </w:pPr>
                </w:p>
              </w:tc>
            </w:tr>
          </w:tbl>
          <w:p w:rsidR="005B7A4B" w:rsidRPr="00507DD7" w:rsidRDefault="005B7A4B" w:rsidP="00E75393">
            <w:pPr>
              <w:jc w:val="left"/>
              <w:rPr>
                <w:rFonts w:asciiTheme="majorHAnsi" w:hAnsiTheme="majorHAnsi"/>
                <w:sz w:val="20"/>
                <w:szCs w:val="20"/>
              </w:rPr>
            </w:pPr>
          </w:p>
        </w:tc>
        <w:tc>
          <w:tcPr>
            <w:tcW w:w="1522" w:type="dxa"/>
            <w:vAlign w:val="center"/>
          </w:tcPr>
          <w:p w:rsidR="005B7A4B" w:rsidRPr="00507DD7" w:rsidRDefault="005B7A4B" w:rsidP="00E75393">
            <w:pPr>
              <w:jc w:val="center"/>
              <w:rPr>
                <w:rFonts w:asciiTheme="majorHAnsi" w:hAnsiTheme="majorHAnsi"/>
                <w:sz w:val="20"/>
                <w:szCs w:val="20"/>
              </w:rPr>
            </w:pPr>
            <w:r w:rsidRPr="003E1F05">
              <w:rPr>
                <w:rFonts w:asciiTheme="majorHAnsi" w:hAnsiTheme="majorHAnsi"/>
                <w:sz w:val="20"/>
                <w:szCs w:val="20"/>
              </w:rPr>
              <w:t>2011</w:t>
            </w:r>
          </w:p>
        </w:tc>
        <w:tc>
          <w:tcPr>
            <w:tcW w:w="1539" w:type="dxa"/>
            <w:vAlign w:val="center"/>
          </w:tcPr>
          <w:p w:rsidR="005B7A4B" w:rsidRPr="00507DD7" w:rsidRDefault="005B7A4B" w:rsidP="00E75393">
            <w:pPr>
              <w:jc w:val="center"/>
              <w:rPr>
                <w:rFonts w:asciiTheme="majorHAnsi" w:hAnsiTheme="majorHAnsi"/>
                <w:sz w:val="20"/>
                <w:szCs w:val="20"/>
              </w:rPr>
            </w:pPr>
            <w:r w:rsidRPr="003E1F05">
              <w:rPr>
                <w:rFonts w:asciiTheme="majorHAnsi" w:hAnsiTheme="majorHAnsi"/>
                <w:sz w:val="20"/>
                <w:szCs w:val="20"/>
              </w:rPr>
              <w:t>Australasian Paediatric Endocrine Group and Australian Diabetes Society</w:t>
            </w:r>
          </w:p>
        </w:tc>
        <w:tc>
          <w:tcPr>
            <w:tcW w:w="4810" w:type="dxa"/>
          </w:tcPr>
          <w:p w:rsidR="005B7A4B" w:rsidRPr="00507DD7" w:rsidRDefault="005B7A4B" w:rsidP="00E75393">
            <w:pPr>
              <w:autoSpaceDE w:val="0"/>
              <w:autoSpaceDN w:val="0"/>
              <w:adjustRightInd w:val="0"/>
              <w:spacing w:after="120" w:line="240" w:lineRule="auto"/>
              <w:rPr>
                <w:rFonts w:asciiTheme="majorHAnsi" w:eastAsia="Calibri" w:hAnsiTheme="majorHAnsi" w:cs="Calibri"/>
                <w:sz w:val="20"/>
                <w:szCs w:val="20"/>
              </w:rPr>
            </w:pPr>
          </w:p>
        </w:tc>
        <w:tc>
          <w:tcPr>
            <w:tcW w:w="3327" w:type="dxa"/>
          </w:tcPr>
          <w:p w:rsidR="005B7A4B" w:rsidRPr="00507DD7" w:rsidRDefault="005B7A4B" w:rsidP="00E75393">
            <w:pPr>
              <w:autoSpaceDE w:val="0"/>
              <w:autoSpaceDN w:val="0"/>
              <w:adjustRightInd w:val="0"/>
              <w:spacing w:after="0" w:line="240" w:lineRule="auto"/>
              <w:rPr>
                <w:rFonts w:asciiTheme="majorHAnsi" w:eastAsia="Calibri" w:hAnsiTheme="majorHAnsi" w:cs="Calibri"/>
                <w:sz w:val="20"/>
                <w:szCs w:val="20"/>
              </w:rPr>
            </w:pPr>
          </w:p>
        </w:tc>
      </w:tr>
      <w:tr w:rsidR="005B7A4B" w:rsidRPr="00507DD7" w:rsidTr="00507DD7">
        <w:trPr>
          <w:tblCellSpacing w:w="0" w:type="dxa"/>
        </w:trPr>
        <w:tc>
          <w:tcPr>
            <w:tcW w:w="3261" w:type="dxa"/>
            <w:vAlign w:val="center"/>
          </w:tcPr>
          <w:p w:rsidR="005B7A4B" w:rsidRPr="00507DD7" w:rsidRDefault="00763F1D" w:rsidP="00E75393">
            <w:pPr>
              <w:jc w:val="left"/>
              <w:rPr>
                <w:rFonts w:asciiTheme="majorHAnsi" w:hAnsiTheme="majorHAnsi"/>
                <w:sz w:val="20"/>
                <w:szCs w:val="20"/>
              </w:rPr>
            </w:pPr>
            <w:hyperlink r:id="rId70" w:history="1">
              <w:r w:rsidR="005B7A4B" w:rsidRPr="003E1F05">
                <w:rPr>
                  <w:rStyle w:val="Hyperlink"/>
                  <w:rFonts w:asciiTheme="majorHAnsi" w:hAnsiTheme="majorHAnsi"/>
                  <w:color w:val="auto"/>
                  <w:sz w:val="20"/>
                  <w:szCs w:val="20"/>
                </w:rPr>
                <w:t>Type 1 diabetes in children - emergency management</w:t>
              </w:r>
            </w:hyperlink>
          </w:p>
        </w:tc>
        <w:tc>
          <w:tcPr>
            <w:tcW w:w="1522" w:type="dxa"/>
            <w:vAlign w:val="center"/>
          </w:tcPr>
          <w:p w:rsidR="005B7A4B" w:rsidRPr="00507DD7" w:rsidRDefault="005B7A4B" w:rsidP="00E75393">
            <w:pPr>
              <w:jc w:val="center"/>
              <w:rPr>
                <w:rFonts w:asciiTheme="majorHAnsi" w:hAnsiTheme="majorHAnsi"/>
                <w:sz w:val="20"/>
                <w:szCs w:val="20"/>
              </w:rPr>
            </w:pPr>
            <w:r w:rsidRPr="003E1F05">
              <w:rPr>
                <w:rFonts w:asciiTheme="majorHAnsi" w:hAnsiTheme="majorHAnsi"/>
                <w:sz w:val="20"/>
                <w:szCs w:val="20"/>
              </w:rPr>
              <w:t>2010</w:t>
            </w:r>
          </w:p>
        </w:tc>
        <w:tc>
          <w:tcPr>
            <w:tcW w:w="1539" w:type="dxa"/>
            <w:vAlign w:val="center"/>
          </w:tcPr>
          <w:p w:rsidR="005B7A4B" w:rsidRPr="00507DD7" w:rsidRDefault="005B7A4B" w:rsidP="00E75393">
            <w:pPr>
              <w:jc w:val="center"/>
              <w:rPr>
                <w:rFonts w:asciiTheme="majorHAnsi" w:hAnsiTheme="majorHAnsi"/>
                <w:sz w:val="20"/>
                <w:szCs w:val="20"/>
              </w:rPr>
            </w:pPr>
          </w:p>
        </w:tc>
        <w:tc>
          <w:tcPr>
            <w:tcW w:w="4810" w:type="dxa"/>
          </w:tcPr>
          <w:p w:rsidR="005B7A4B" w:rsidRPr="00507DD7" w:rsidRDefault="005B7A4B" w:rsidP="00E75393">
            <w:pPr>
              <w:autoSpaceDE w:val="0"/>
              <w:autoSpaceDN w:val="0"/>
              <w:adjustRightInd w:val="0"/>
              <w:spacing w:after="120" w:line="240" w:lineRule="auto"/>
              <w:rPr>
                <w:rFonts w:asciiTheme="majorHAnsi" w:eastAsia="Calibri" w:hAnsiTheme="majorHAnsi" w:cs="Calibri"/>
                <w:sz w:val="20"/>
                <w:szCs w:val="20"/>
              </w:rPr>
            </w:pPr>
          </w:p>
        </w:tc>
        <w:tc>
          <w:tcPr>
            <w:tcW w:w="3327" w:type="dxa"/>
          </w:tcPr>
          <w:p w:rsidR="005B7A4B" w:rsidRPr="00507DD7" w:rsidRDefault="005B7A4B" w:rsidP="00E75393">
            <w:pPr>
              <w:autoSpaceDE w:val="0"/>
              <w:autoSpaceDN w:val="0"/>
              <w:adjustRightInd w:val="0"/>
              <w:spacing w:after="0" w:line="240" w:lineRule="auto"/>
              <w:rPr>
                <w:rFonts w:asciiTheme="majorHAnsi" w:eastAsia="Calibri" w:hAnsiTheme="majorHAnsi" w:cs="Calibri"/>
                <w:sz w:val="20"/>
                <w:szCs w:val="20"/>
              </w:rPr>
            </w:pPr>
          </w:p>
        </w:tc>
      </w:tr>
      <w:tr w:rsidR="00507DD7" w:rsidRPr="00507DD7" w:rsidTr="00507DD7">
        <w:trPr>
          <w:tblCellSpacing w:w="0" w:type="dxa"/>
        </w:trPr>
        <w:tc>
          <w:tcPr>
            <w:tcW w:w="3261" w:type="dxa"/>
            <w:vAlign w:val="center"/>
          </w:tcPr>
          <w:tbl>
            <w:tblPr>
              <w:tblW w:w="0" w:type="auto"/>
              <w:tblCellSpacing w:w="22" w:type="dxa"/>
              <w:tblCellMar>
                <w:left w:w="0" w:type="dxa"/>
                <w:right w:w="0" w:type="dxa"/>
              </w:tblCellMar>
              <w:tblLook w:val="04A0" w:firstRow="1" w:lastRow="0" w:firstColumn="1" w:lastColumn="0" w:noHBand="0" w:noVBand="1"/>
            </w:tblPr>
            <w:tblGrid>
              <w:gridCol w:w="3241"/>
            </w:tblGrid>
            <w:tr w:rsidR="005B7A4B" w:rsidRPr="00507DD7" w:rsidTr="00E75393">
              <w:trPr>
                <w:tblCellSpacing w:w="22" w:type="dxa"/>
              </w:trPr>
              <w:tc>
                <w:tcPr>
                  <w:tcW w:w="0" w:type="auto"/>
                  <w:tcMar>
                    <w:top w:w="15" w:type="dxa"/>
                    <w:left w:w="15" w:type="dxa"/>
                    <w:bottom w:w="15" w:type="dxa"/>
                    <w:right w:w="15" w:type="dxa"/>
                  </w:tcMar>
                  <w:vAlign w:val="center"/>
                  <w:hideMark/>
                </w:tcPr>
                <w:p w:rsidR="005B7A4B" w:rsidRPr="00507DD7" w:rsidRDefault="00763F1D" w:rsidP="00E75393">
                  <w:pPr>
                    <w:jc w:val="left"/>
                    <w:rPr>
                      <w:rFonts w:asciiTheme="majorHAnsi" w:hAnsiTheme="majorHAnsi"/>
                      <w:sz w:val="20"/>
                      <w:szCs w:val="20"/>
                    </w:rPr>
                  </w:pPr>
                  <w:hyperlink r:id="rId71" w:history="1">
                    <w:r w:rsidR="005B7A4B" w:rsidRPr="003E1F05">
                      <w:rPr>
                        <w:rStyle w:val="Hyperlink"/>
                        <w:rFonts w:asciiTheme="majorHAnsi" w:hAnsiTheme="majorHAnsi" w:cs="Calibri"/>
                        <w:color w:val="auto"/>
                        <w:sz w:val="20"/>
                        <w:szCs w:val="20"/>
                      </w:rPr>
                      <w:t>Diabetes management in general practice. Guidelines for type 2 diabetes (17th edition) 2011/12</w:t>
                    </w:r>
                  </w:hyperlink>
                </w:p>
              </w:tc>
            </w:tr>
          </w:tbl>
          <w:p w:rsidR="005B7A4B" w:rsidRPr="00507DD7" w:rsidRDefault="005B7A4B" w:rsidP="00E75393">
            <w:pPr>
              <w:jc w:val="left"/>
              <w:rPr>
                <w:rFonts w:asciiTheme="majorHAnsi" w:hAnsiTheme="majorHAnsi"/>
                <w:sz w:val="20"/>
                <w:szCs w:val="20"/>
              </w:rPr>
            </w:pPr>
          </w:p>
        </w:tc>
        <w:tc>
          <w:tcPr>
            <w:tcW w:w="1522" w:type="dxa"/>
            <w:vAlign w:val="center"/>
          </w:tcPr>
          <w:p w:rsidR="005B7A4B" w:rsidRPr="00507DD7" w:rsidRDefault="005B7A4B" w:rsidP="00E75393">
            <w:pPr>
              <w:jc w:val="center"/>
              <w:rPr>
                <w:rFonts w:asciiTheme="majorHAnsi" w:hAnsiTheme="majorHAnsi"/>
                <w:sz w:val="20"/>
                <w:szCs w:val="20"/>
              </w:rPr>
            </w:pPr>
            <w:r w:rsidRPr="003E1F05">
              <w:rPr>
                <w:rFonts w:asciiTheme="majorHAnsi" w:hAnsiTheme="majorHAnsi" w:cs="Calibri"/>
                <w:sz w:val="20"/>
                <w:szCs w:val="20"/>
              </w:rPr>
              <w:t>2011</w:t>
            </w:r>
          </w:p>
        </w:tc>
        <w:tc>
          <w:tcPr>
            <w:tcW w:w="1539" w:type="dxa"/>
            <w:vAlign w:val="center"/>
          </w:tcPr>
          <w:p w:rsidR="005B7A4B" w:rsidRPr="00507DD7" w:rsidRDefault="005B7A4B" w:rsidP="00E75393">
            <w:pPr>
              <w:jc w:val="center"/>
              <w:rPr>
                <w:rFonts w:asciiTheme="majorHAnsi" w:hAnsiTheme="majorHAnsi"/>
                <w:sz w:val="20"/>
                <w:szCs w:val="20"/>
              </w:rPr>
            </w:pPr>
            <w:r w:rsidRPr="003E1F05">
              <w:rPr>
                <w:rFonts w:asciiTheme="majorHAnsi" w:hAnsiTheme="majorHAnsi" w:cs="Calibri"/>
                <w:sz w:val="20"/>
                <w:szCs w:val="20"/>
              </w:rPr>
              <w:t>Diabetes Australia</w:t>
            </w:r>
          </w:p>
        </w:tc>
        <w:tc>
          <w:tcPr>
            <w:tcW w:w="4810" w:type="dxa"/>
            <w:vAlign w:val="center"/>
          </w:tcPr>
          <w:p w:rsidR="005B7A4B" w:rsidRPr="00507DD7" w:rsidRDefault="005B7A4B" w:rsidP="00E75393">
            <w:pPr>
              <w:autoSpaceDE w:val="0"/>
              <w:autoSpaceDN w:val="0"/>
              <w:adjustRightInd w:val="0"/>
              <w:spacing w:after="120" w:line="240" w:lineRule="auto"/>
              <w:jc w:val="center"/>
              <w:rPr>
                <w:rFonts w:asciiTheme="majorHAnsi" w:eastAsia="Calibri" w:hAnsiTheme="majorHAnsi" w:cs="Calibri"/>
                <w:sz w:val="20"/>
                <w:szCs w:val="20"/>
              </w:rPr>
            </w:pPr>
          </w:p>
        </w:tc>
        <w:tc>
          <w:tcPr>
            <w:tcW w:w="3327" w:type="dxa"/>
            <w:vAlign w:val="center"/>
          </w:tcPr>
          <w:p w:rsidR="005B7A4B" w:rsidRPr="00507DD7" w:rsidRDefault="005B7A4B" w:rsidP="00E75393">
            <w:pPr>
              <w:autoSpaceDE w:val="0"/>
              <w:autoSpaceDN w:val="0"/>
              <w:adjustRightInd w:val="0"/>
              <w:spacing w:after="0" w:line="240" w:lineRule="auto"/>
              <w:jc w:val="left"/>
              <w:rPr>
                <w:rFonts w:asciiTheme="majorHAnsi" w:eastAsia="Calibri" w:hAnsiTheme="majorHAnsi" w:cs="Calibri"/>
                <w:sz w:val="20"/>
                <w:szCs w:val="20"/>
              </w:rPr>
            </w:pPr>
            <w:r w:rsidRPr="003E1F05">
              <w:rPr>
                <w:rFonts w:asciiTheme="majorHAnsi" w:hAnsiTheme="majorHAnsi" w:cs="Calibri"/>
                <w:sz w:val="20"/>
                <w:szCs w:val="20"/>
              </w:rPr>
              <w:t>References insulin pumps</w:t>
            </w:r>
          </w:p>
        </w:tc>
      </w:tr>
      <w:tr w:rsidR="00507DD7" w:rsidRPr="00507DD7" w:rsidTr="00507DD7">
        <w:trPr>
          <w:tblCellSpacing w:w="0" w:type="dxa"/>
        </w:trPr>
        <w:tc>
          <w:tcPr>
            <w:tcW w:w="3261" w:type="dxa"/>
            <w:vAlign w:val="center"/>
          </w:tcPr>
          <w:p w:rsidR="005B7A4B" w:rsidRPr="00507DD7" w:rsidRDefault="00763F1D" w:rsidP="00E75393">
            <w:pPr>
              <w:jc w:val="left"/>
              <w:rPr>
                <w:rFonts w:asciiTheme="majorHAnsi" w:hAnsiTheme="majorHAnsi" w:cs="Calibri"/>
                <w:color w:val="1F497D"/>
                <w:sz w:val="20"/>
                <w:szCs w:val="20"/>
              </w:rPr>
            </w:pPr>
            <w:hyperlink r:id="rId72" w:history="1">
              <w:r w:rsidR="005B7A4B" w:rsidRPr="003E1F05">
                <w:rPr>
                  <w:rStyle w:val="Hyperlink"/>
                  <w:rFonts w:asciiTheme="majorHAnsi" w:hAnsiTheme="majorHAnsi" w:cs="Calibri"/>
                  <w:color w:val="auto"/>
                  <w:sz w:val="20"/>
                  <w:szCs w:val="20"/>
                </w:rPr>
                <w:t>Peri-operative diabetes management guidelines</w:t>
              </w:r>
            </w:hyperlink>
          </w:p>
        </w:tc>
        <w:tc>
          <w:tcPr>
            <w:tcW w:w="1522" w:type="dxa"/>
            <w:vAlign w:val="center"/>
          </w:tcPr>
          <w:p w:rsidR="005B7A4B" w:rsidRPr="00507DD7" w:rsidRDefault="005B7A4B" w:rsidP="00E75393">
            <w:pPr>
              <w:jc w:val="center"/>
              <w:rPr>
                <w:rFonts w:asciiTheme="majorHAnsi" w:hAnsiTheme="majorHAnsi"/>
                <w:sz w:val="20"/>
                <w:szCs w:val="20"/>
              </w:rPr>
            </w:pPr>
            <w:r w:rsidRPr="003E1F05">
              <w:rPr>
                <w:rFonts w:asciiTheme="majorHAnsi" w:hAnsiTheme="majorHAnsi" w:cs="Calibri"/>
                <w:sz w:val="20"/>
                <w:szCs w:val="20"/>
              </w:rPr>
              <w:t>2012</w:t>
            </w:r>
          </w:p>
        </w:tc>
        <w:tc>
          <w:tcPr>
            <w:tcW w:w="1539" w:type="dxa"/>
            <w:vAlign w:val="center"/>
          </w:tcPr>
          <w:p w:rsidR="005B7A4B" w:rsidRPr="00507DD7" w:rsidRDefault="005B7A4B" w:rsidP="00E75393">
            <w:pPr>
              <w:jc w:val="center"/>
              <w:rPr>
                <w:rFonts w:asciiTheme="majorHAnsi" w:hAnsiTheme="majorHAnsi"/>
                <w:sz w:val="20"/>
                <w:szCs w:val="20"/>
              </w:rPr>
            </w:pPr>
            <w:r w:rsidRPr="003E1F05">
              <w:rPr>
                <w:rFonts w:asciiTheme="majorHAnsi" w:hAnsiTheme="majorHAnsi" w:cs="Calibri"/>
                <w:sz w:val="20"/>
                <w:szCs w:val="20"/>
              </w:rPr>
              <w:t>Australian Diabetes Society</w:t>
            </w:r>
          </w:p>
        </w:tc>
        <w:tc>
          <w:tcPr>
            <w:tcW w:w="4810" w:type="dxa"/>
            <w:vAlign w:val="center"/>
          </w:tcPr>
          <w:p w:rsidR="005B7A4B" w:rsidRPr="00507DD7" w:rsidRDefault="005B7A4B" w:rsidP="00E75393">
            <w:pPr>
              <w:autoSpaceDE w:val="0"/>
              <w:autoSpaceDN w:val="0"/>
              <w:adjustRightInd w:val="0"/>
              <w:spacing w:after="120" w:line="240" w:lineRule="auto"/>
              <w:jc w:val="center"/>
              <w:rPr>
                <w:rFonts w:asciiTheme="majorHAnsi" w:eastAsia="Calibri" w:hAnsiTheme="majorHAnsi" w:cs="Calibri"/>
                <w:sz w:val="20"/>
                <w:szCs w:val="20"/>
              </w:rPr>
            </w:pPr>
          </w:p>
        </w:tc>
        <w:tc>
          <w:tcPr>
            <w:tcW w:w="3327" w:type="dxa"/>
            <w:vAlign w:val="center"/>
          </w:tcPr>
          <w:p w:rsidR="005B7A4B" w:rsidRPr="00507DD7" w:rsidRDefault="005B7A4B" w:rsidP="00E75393">
            <w:pPr>
              <w:autoSpaceDE w:val="0"/>
              <w:autoSpaceDN w:val="0"/>
              <w:adjustRightInd w:val="0"/>
              <w:spacing w:after="0" w:line="240" w:lineRule="auto"/>
              <w:jc w:val="left"/>
              <w:rPr>
                <w:rFonts w:asciiTheme="majorHAnsi" w:eastAsia="Calibri" w:hAnsiTheme="majorHAnsi" w:cs="Calibri"/>
                <w:sz w:val="20"/>
                <w:szCs w:val="20"/>
              </w:rPr>
            </w:pPr>
            <w:r w:rsidRPr="003E1F05">
              <w:rPr>
                <w:rFonts w:asciiTheme="majorHAnsi" w:hAnsiTheme="majorHAnsi" w:cs="Calibri"/>
                <w:sz w:val="20"/>
                <w:szCs w:val="20"/>
              </w:rPr>
              <w:t>References insulin pumps</w:t>
            </w:r>
          </w:p>
        </w:tc>
      </w:tr>
    </w:tbl>
    <w:p w:rsidR="00507DD7" w:rsidRPr="003E1F05" w:rsidRDefault="00507DD7" w:rsidP="005B7A4B">
      <w:pPr>
        <w:rPr>
          <w:b/>
          <w:sz w:val="20"/>
          <w:szCs w:val="20"/>
        </w:rPr>
      </w:pPr>
    </w:p>
    <w:p w:rsidR="005B7A4B" w:rsidRPr="003E1F05" w:rsidRDefault="005B7A4B" w:rsidP="005B7A4B">
      <w:pPr>
        <w:rPr>
          <w:b/>
          <w:sz w:val="20"/>
          <w:szCs w:val="20"/>
        </w:rPr>
      </w:pPr>
      <w:r w:rsidRPr="003E1F05">
        <w:rPr>
          <w:b/>
          <w:sz w:val="20"/>
          <w:szCs w:val="20"/>
        </w:rPr>
        <w:t xml:space="preserve">Note 1 </w:t>
      </w:r>
    </w:p>
    <w:p w:rsidR="005B7A4B" w:rsidRPr="003E1F05" w:rsidRDefault="005B7A4B" w:rsidP="005B7A4B">
      <w:pPr>
        <w:rPr>
          <w:rFonts w:eastAsia="Calibri" w:cs="Calibri"/>
          <w:b/>
          <w:bCs/>
          <w:sz w:val="20"/>
          <w:szCs w:val="20"/>
        </w:rPr>
      </w:pPr>
      <w:r w:rsidRPr="003E1F05">
        <w:rPr>
          <w:rFonts w:eastAsia="Calibri" w:cs="Calibri"/>
          <w:b/>
          <w:bCs/>
          <w:sz w:val="20"/>
          <w:szCs w:val="20"/>
        </w:rPr>
        <w:t>Definition of NHMRC grades of recommendations</w:t>
      </w:r>
    </w:p>
    <w:p w:rsidR="005B7A4B" w:rsidRPr="003E1F05" w:rsidRDefault="005B7A4B" w:rsidP="005B7A4B">
      <w:pPr>
        <w:autoSpaceDE w:val="0"/>
        <w:autoSpaceDN w:val="0"/>
        <w:adjustRightInd w:val="0"/>
        <w:spacing w:after="0" w:line="240" w:lineRule="auto"/>
        <w:rPr>
          <w:rFonts w:eastAsia="Calibri" w:cs="Calibri"/>
          <w:sz w:val="20"/>
          <w:szCs w:val="20"/>
        </w:rPr>
      </w:pPr>
      <w:r w:rsidRPr="003E1F05">
        <w:rPr>
          <w:rFonts w:eastAsia="Calibri" w:cs="Calibri"/>
          <w:b/>
          <w:bCs/>
          <w:sz w:val="20"/>
          <w:szCs w:val="20"/>
        </w:rPr>
        <w:t xml:space="preserve">A </w:t>
      </w:r>
      <w:r w:rsidRPr="003E1F05">
        <w:rPr>
          <w:rFonts w:eastAsia="Calibri" w:cs="Calibri"/>
          <w:sz w:val="20"/>
          <w:szCs w:val="20"/>
        </w:rPr>
        <w:t>Body of evidence can be trusted to guide practice</w:t>
      </w:r>
    </w:p>
    <w:p w:rsidR="005B7A4B" w:rsidRPr="003E1F05" w:rsidRDefault="005B7A4B" w:rsidP="005B7A4B">
      <w:pPr>
        <w:autoSpaceDE w:val="0"/>
        <w:autoSpaceDN w:val="0"/>
        <w:adjustRightInd w:val="0"/>
        <w:spacing w:after="0" w:line="240" w:lineRule="auto"/>
        <w:rPr>
          <w:rFonts w:eastAsia="Calibri" w:cs="Calibri"/>
          <w:sz w:val="20"/>
          <w:szCs w:val="20"/>
        </w:rPr>
      </w:pPr>
      <w:r w:rsidRPr="003E1F05">
        <w:rPr>
          <w:rFonts w:eastAsia="Calibri" w:cs="Calibri"/>
          <w:b/>
          <w:bCs/>
          <w:sz w:val="20"/>
          <w:szCs w:val="20"/>
        </w:rPr>
        <w:t xml:space="preserve">B </w:t>
      </w:r>
      <w:r w:rsidRPr="003E1F05">
        <w:rPr>
          <w:rFonts w:eastAsia="Calibri" w:cs="Calibri"/>
          <w:sz w:val="20"/>
          <w:szCs w:val="20"/>
        </w:rPr>
        <w:t>Body of evidence can be trusted to guide practice in most situations</w:t>
      </w:r>
    </w:p>
    <w:p w:rsidR="005B7A4B" w:rsidRPr="003E1F05" w:rsidRDefault="005B7A4B" w:rsidP="005B7A4B">
      <w:pPr>
        <w:autoSpaceDE w:val="0"/>
        <w:autoSpaceDN w:val="0"/>
        <w:adjustRightInd w:val="0"/>
        <w:spacing w:after="0" w:line="240" w:lineRule="auto"/>
        <w:rPr>
          <w:rFonts w:eastAsia="Calibri" w:cs="Calibri"/>
          <w:b/>
          <w:bCs/>
          <w:sz w:val="20"/>
          <w:szCs w:val="20"/>
        </w:rPr>
      </w:pPr>
      <w:r w:rsidRPr="003E1F05">
        <w:rPr>
          <w:rFonts w:eastAsia="Calibri" w:cs="Calibri"/>
          <w:b/>
          <w:bCs/>
          <w:sz w:val="20"/>
          <w:szCs w:val="20"/>
        </w:rPr>
        <w:t xml:space="preserve">C </w:t>
      </w:r>
      <w:r w:rsidRPr="003E1F05">
        <w:rPr>
          <w:rFonts w:eastAsia="Calibri" w:cs="Calibri"/>
          <w:sz w:val="20"/>
          <w:szCs w:val="20"/>
        </w:rPr>
        <w:t>Body of evidence provides some support for</w:t>
      </w:r>
      <w:r w:rsidRPr="003E1F05">
        <w:rPr>
          <w:rFonts w:eastAsia="Calibri" w:cs="Calibri"/>
          <w:b/>
          <w:bCs/>
          <w:sz w:val="20"/>
          <w:szCs w:val="20"/>
        </w:rPr>
        <w:t xml:space="preserve"> </w:t>
      </w:r>
      <w:r w:rsidRPr="003E1F05">
        <w:rPr>
          <w:rFonts w:eastAsia="Calibri" w:cs="Calibri"/>
          <w:sz w:val="20"/>
          <w:szCs w:val="20"/>
        </w:rPr>
        <w:t xml:space="preserve">recommendation(s) but care </w:t>
      </w:r>
      <w:proofErr w:type="gramStart"/>
      <w:r w:rsidRPr="003E1F05">
        <w:rPr>
          <w:rFonts w:eastAsia="Calibri" w:cs="Calibri"/>
          <w:sz w:val="20"/>
          <w:szCs w:val="20"/>
        </w:rPr>
        <w:t>should be taken</w:t>
      </w:r>
      <w:proofErr w:type="gramEnd"/>
      <w:r w:rsidRPr="003E1F05">
        <w:rPr>
          <w:rFonts w:eastAsia="Calibri" w:cs="Calibri"/>
          <w:sz w:val="20"/>
          <w:szCs w:val="20"/>
        </w:rPr>
        <w:t xml:space="preserve"> in its</w:t>
      </w:r>
      <w:r w:rsidRPr="003E1F05">
        <w:rPr>
          <w:rFonts w:eastAsia="Calibri" w:cs="Calibri"/>
          <w:b/>
          <w:bCs/>
          <w:sz w:val="20"/>
          <w:szCs w:val="20"/>
        </w:rPr>
        <w:t xml:space="preserve"> </w:t>
      </w:r>
      <w:r w:rsidRPr="003E1F05">
        <w:rPr>
          <w:rFonts w:eastAsia="Calibri" w:cs="Calibri"/>
          <w:sz w:val="20"/>
          <w:szCs w:val="20"/>
        </w:rPr>
        <w:t>application</w:t>
      </w:r>
    </w:p>
    <w:p w:rsidR="005B7A4B" w:rsidRPr="003E1F05" w:rsidRDefault="005B7A4B" w:rsidP="005B7A4B">
      <w:pPr>
        <w:autoSpaceDE w:val="0"/>
        <w:autoSpaceDN w:val="0"/>
        <w:adjustRightInd w:val="0"/>
        <w:spacing w:after="0" w:line="240" w:lineRule="auto"/>
        <w:rPr>
          <w:rFonts w:eastAsia="Calibri" w:cs="Calibri"/>
          <w:sz w:val="20"/>
          <w:szCs w:val="20"/>
        </w:rPr>
      </w:pPr>
      <w:r w:rsidRPr="003E1F05">
        <w:rPr>
          <w:rFonts w:eastAsia="Calibri" w:cs="Calibri"/>
          <w:b/>
          <w:bCs/>
          <w:sz w:val="20"/>
          <w:szCs w:val="20"/>
        </w:rPr>
        <w:t xml:space="preserve">D </w:t>
      </w:r>
      <w:r w:rsidRPr="003E1F05">
        <w:rPr>
          <w:rFonts w:eastAsia="Calibri" w:cs="Calibri"/>
          <w:sz w:val="20"/>
          <w:szCs w:val="20"/>
        </w:rPr>
        <w:t xml:space="preserve">Body of evidence is weak and recommendation </w:t>
      </w:r>
      <w:proofErr w:type="gramStart"/>
      <w:r w:rsidRPr="003E1F05">
        <w:rPr>
          <w:rFonts w:eastAsia="Calibri" w:cs="Calibri"/>
          <w:sz w:val="20"/>
          <w:szCs w:val="20"/>
        </w:rPr>
        <w:t>must be applied</w:t>
      </w:r>
      <w:proofErr w:type="gramEnd"/>
      <w:r w:rsidRPr="003E1F05">
        <w:rPr>
          <w:rFonts w:eastAsia="Calibri" w:cs="Calibri"/>
          <w:sz w:val="20"/>
          <w:szCs w:val="20"/>
        </w:rPr>
        <w:t xml:space="preserve"> with caution</w:t>
      </w:r>
    </w:p>
    <w:sectPr w:rsidR="005B7A4B" w:rsidRPr="003E1F05" w:rsidSect="005B7A4B">
      <w:headerReference w:type="default" r:id="rId73"/>
      <w:footerReference w:type="default" r:id="rId74"/>
      <w:pgSz w:w="16838" w:h="11906" w:orient="landscape"/>
      <w:pgMar w:top="1440" w:right="993" w:bottom="1416" w:left="993" w:header="708" w:footer="1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1D" w:rsidRDefault="00763F1D" w:rsidP="00DE4C92">
      <w:pPr>
        <w:spacing w:after="0" w:line="240" w:lineRule="auto"/>
      </w:pPr>
      <w:r>
        <w:separator/>
      </w:r>
    </w:p>
  </w:endnote>
  <w:endnote w:type="continuationSeparator" w:id="0">
    <w:p w:rsidR="00763F1D" w:rsidRDefault="00763F1D" w:rsidP="00DE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MuseeBold">
    <w:altName w:val="Musee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FreeSerif">
    <w:altName w:val="MS Mincho"/>
    <w:panose1 w:val="00000000000000000000"/>
    <w:charset w:val="80"/>
    <w:family w:val="auto"/>
    <w:notTrueType/>
    <w:pitch w:val="default"/>
    <w:sig w:usb0="00000001" w:usb1="08070000" w:usb2="00000010" w:usb3="00000000" w:csb0="00020000" w:csb1="00000000"/>
  </w:font>
  <w:font w:name="ITCAvantGardeStd-Bk">
    <w:panose1 w:val="00000000000000000000"/>
    <w:charset w:val="00"/>
    <w:family w:val="swiss"/>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63" w:rsidRDefault="00651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683443"/>
      <w:docPartObj>
        <w:docPartGallery w:val="Page Numbers (Bottom of Page)"/>
        <w:docPartUnique/>
      </w:docPartObj>
    </w:sdtPr>
    <w:sdtEndPr>
      <w:rPr>
        <w:noProof/>
      </w:rPr>
    </w:sdtEndPr>
    <w:sdtContent>
      <w:p w:rsidR="00A515D3" w:rsidRDefault="00A515D3">
        <w:pPr>
          <w:pStyle w:val="Footer"/>
          <w:jc w:val="center"/>
        </w:pPr>
        <w:r>
          <w:fldChar w:fldCharType="begin"/>
        </w:r>
        <w:r>
          <w:instrText xml:space="preserve"> PAGE   \* MERGEFORMAT </w:instrText>
        </w:r>
        <w:r>
          <w:fldChar w:fldCharType="separate"/>
        </w:r>
        <w:r w:rsidR="00EA7B66">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63" w:rsidRDefault="006510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643162"/>
      <w:docPartObj>
        <w:docPartGallery w:val="Page Numbers (Bottom of Page)"/>
        <w:docPartUnique/>
      </w:docPartObj>
    </w:sdtPr>
    <w:sdtEndPr>
      <w:rPr>
        <w:noProof/>
      </w:rPr>
    </w:sdtEndPr>
    <w:sdtContent>
      <w:p w:rsidR="00A515D3" w:rsidRDefault="00A515D3">
        <w:pPr>
          <w:pStyle w:val="Footer"/>
          <w:jc w:val="right"/>
        </w:pPr>
        <w:r>
          <w:fldChar w:fldCharType="begin"/>
        </w:r>
        <w:r>
          <w:instrText xml:space="preserve"> PAGE   \* MERGEFORMAT </w:instrText>
        </w:r>
        <w:r>
          <w:fldChar w:fldCharType="separate"/>
        </w:r>
        <w:r w:rsidR="00EA7B66">
          <w:rPr>
            <w:noProof/>
          </w:rPr>
          <w:t>77</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05436"/>
      <w:docPartObj>
        <w:docPartGallery w:val="Page Numbers (Bottom of Page)"/>
        <w:docPartUnique/>
      </w:docPartObj>
    </w:sdtPr>
    <w:sdtEndPr>
      <w:rPr>
        <w:noProof/>
      </w:rPr>
    </w:sdtEndPr>
    <w:sdtContent>
      <w:p w:rsidR="00A515D3" w:rsidRDefault="00A515D3">
        <w:pPr>
          <w:pStyle w:val="Footer"/>
          <w:jc w:val="right"/>
        </w:pPr>
        <w:r>
          <w:fldChar w:fldCharType="begin"/>
        </w:r>
        <w:r>
          <w:instrText xml:space="preserve"> PAGE   \* MERGEFORMAT </w:instrText>
        </w:r>
        <w:r>
          <w:fldChar w:fldCharType="separate"/>
        </w:r>
        <w:r w:rsidR="00EA7B66">
          <w:rPr>
            <w:noProof/>
          </w:rPr>
          <w:t>90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1D" w:rsidRDefault="00763F1D" w:rsidP="00DE4C92">
      <w:pPr>
        <w:spacing w:after="0" w:line="240" w:lineRule="auto"/>
      </w:pPr>
      <w:r>
        <w:separator/>
      </w:r>
    </w:p>
  </w:footnote>
  <w:footnote w:type="continuationSeparator" w:id="0">
    <w:p w:rsidR="00763F1D" w:rsidRDefault="00763F1D" w:rsidP="00DE4C92">
      <w:pPr>
        <w:spacing w:after="0" w:line="240" w:lineRule="auto"/>
      </w:pPr>
      <w:r>
        <w:continuationSeparator/>
      </w:r>
    </w:p>
  </w:footnote>
  <w:footnote w:id="1">
    <w:p w:rsidR="00A515D3" w:rsidRPr="00507DD7" w:rsidRDefault="00A515D3" w:rsidP="008831AF">
      <w:pPr>
        <w:pStyle w:val="FootnoteText"/>
        <w:rPr>
          <w:color w:val="008000"/>
        </w:rPr>
      </w:pPr>
      <w:r w:rsidRPr="00D52454">
        <w:rPr>
          <w:rStyle w:val="FootnoteReference"/>
        </w:rPr>
        <w:footnoteRef/>
      </w:r>
      <w:r w:rsidRPr="00D52454">
        <w:t xml:space="preserve"> </w:t>
      </w:r>
      <w:r w:rsidRPr="00D52454">
        <w:rPr>
          <w:i/>
          <w:sz w:val="22"/>
        </w:rPr>
        <w:t xml:space="preserve">There are currently still seven insulin pumps listed on the February 2014 edition of the Prostheses List. However, the Animas 2020 insulin pump </w:t>
      </w:r>
      <w:proofErr w:type="gramStart"/>
      <w:r w:rsidRPr="00D52454">
        <w:rPr>
          <w:i/>
          <w:sz w:val="22"/>
        </w:rPr>
        <w:t>has been discontinued</w:t>
      </w:r>
      <w:proofErr w:type="gramEnd"/>
      <w:r w:rsidRPr="00D52454">
        <w:rPr>
          <w:i/>
          <w:sz w:val="22"/>
        </w:rPr>
        <w:t xml:space="preserve"> by the manufacturer, but still maintains a listing (Department of Health 2014).</w:t>
      </w:r>
    </w:p>
  </w:footnote>
  <w:footnote w:id="2">
    <w:p w:rsidR="00A515D3" w:rsidRPr="00787F54" w:rsidRDefault="00A515D3" w:rsidP="005B7A4B">
      <w:pPr>
        <w:pStyle w:val="FootnoteText"/>
      </w:pPr>
      <w:r>
        <w:rPr>
          <w:rStyle w:val="FootnoteReference"/>
        </w:rPr>
        <w:footnoteRef/>
      </w:r>
      <w:r>
        <w:t xml:space="preserve"> </w:t>
      </w:r>
      <w:r>
        <w:rPr>
          <w:rFonts w:asciiTheme="majorHAnsi" w:hAnsiTheme="majorHAnsi"/>
          <w:i/>
          <w:sz w:val="22"/>
        </w:rPr>
        <w:t>There are seven</w:t>
      </w:r>
      <w:r w:rsidRPr="00787F54">
        <w:rPr>
          <w:rFonts w:asciiTheme="majorHAnsi" w:hAnsiTheme="majorHAnsi"/>
          <w:i/>
          <w:sz w:val="22"/>
        </w:rPr>
        <w:t xml:space="preserve"> in</w:t>
      </w:r>
      <w:r>
        <w:rPr>
          <w:rFonts w:asciiTheme="majorHAnsi" w:hAnsiTheme="majorHAnsi"/>
          <w:i/>
          <w:sz w:val="22"/>
        </w:rPr>
        <w:t>sulin pumps on the February 2014</w:t>
      </w:r>
      <w:r w:rsidRPr="00787F54">
        <w:rPr>
          <w:rFonts w:asciiTheme="majorHAnsi" w:hAnsiTheme="majorHAnsi"/>
          <w:i/>
          <w:sz w:val="22"/>
        </w:rPr>
        <w:t xml:space="preserve"> edition of the Prostheses </w:t>
      </w:r>
      <w:r>
        <w:rPr>
          <w:rFonts w:asciiTheme="majorHAnsi" w:hAnsiTheme="majorHAnsi"/>
          <w:i/>
          <w:sz w:val="22"/>
        </w:rPr>
        <w:t xml:space="preserve">List; however, the manufacturer has discontinued the Animas 2020. It </w:t>
      </w:r>
      <w:proofErr w:type="gramStart"/>
      <w:r>
        <w:rPr>
          <w:rFonts w:asciiTheme="majorHAnsi" w:hAnsiTheme="majorHAnsi"/>
          <w:i/>
          <w:sz w:val="22"/>
        </w:rPr>
        <w:t>has</w:t>
      </w:r>
      <w:r w:rsidRPr="00787F54">
        <w:rPr>
          <w:rFonts w:asciiTheme="majorHAnsi" w:hAnsiTheme="majorHAnsi"/>
          <w:i/>
          <w:sz w:val="22"/>
        </w:rPr>
        <w:t xml:space="preserve"> not been delisted</w:t>
      </w:r>
      <w:proofErr w:type="gramEnd"/>
      <w:r w:rsidRPr="00787F54">
        <w:rPr>
          <w:rFonts w:asciiTheme="majorHAnsi" w:hAnsiTheme="majorHAnsi"/>
          <w:i/>
          <w:sz w:val="22"/>
        </w:rPr>
        <w:t xml:space="preserve"> at this stage</w:t>
      </w:r>
      <w:r>
        <w:rPr>
          <w:rFonts w:asciiTheme="majorHAnsi" w:hAnsiTheme="majorHAnsi"/>
          <w:i/>
          <w:sz w:val="22"/>
        </w:rPr>
        <w:t xml:space="preserve"> (Department of Health, 2014)</w:t>
      </w:r>
      <w:r w:rsidRPr="00787F54">
        <w:rPr>
          <w:rFonts w:asciiTheme="majorHAnsi" w:hAnsiTheme="majorHAnsi"/>
          <w:i/>
          <w:sz w:val="22"/>
        </w:rPr>
        <w:t>.</w:t>
      </w:r>
      <w:r w:rsidRPr="00787F54">
        <w:rPr>
          <w:i/>
          <w:sz w:val="22"/>
        </w:rPr>
        <w:t xml:space="preserve"> </w:t>
      </w:r>
    </w:p>
  </w:footnote>
  <w:footnote w:id="3">
    <w:p w:rsidR="00A515D3" w:rsidRDefault="00A515D3" w:rsidP="005B7A4B">
      <w:pPr>
        <w:pStyle w:val="FootnoteText"/>
      </w:pPr>
      <w:r w:rsidRPr="003E1F05">
        <w:rPr>
          <w:rStyle w:val="FootnoteReference"/>
        </w:rPr>
        <w:footnoteRef/>
      </w:r>
      <w:r w:rsidRPr="003E1F05">
        <w:t xml:space="preserve"> Estimates assume a maximum excess of $500, </w:t>
      </w:r>
      <w:r w:rsidR="002F006C" w:rsidRPr="003E1F05">
        <w:t xml:space="preserve">and </w:t>
      </w:r>
      <w:r w:rsidRPr="003E1F05">
        <w:t xml:space="preserve">no per day hospital co-payment. </w:t>
      </w:r>
    </w:p>
  </w:footnote>
  <w:footnote w:id="4">
    <w:p w:rsidR="00A515D3" w:rsidRPr="001F2E11" w:rsidRDefault="00A515D3" w:rsidP="001F2E11">
      <w:pPr>
        <w:rPr>
          <w:i/>
          <w:sz w:val="20"/>
          <w:szCs w:val="20"/>
        </w:rPr>
      </w:pPr>
      <w:r w:rsidRPr="001F2E11">
        <w:rPr>
          <w:rStyle w:val="FootnoteReference"/>
          <w:rFonts w:eastAsia="Calibri"/>
          <w:i/>
          <w:sz w:val="20"/>
          <w:szCs w:val="20"/>
        </w:rPr>
        <w:footnoteRef/>
      </w:r>
      <w:r w:rsidRPr="001F2E11">
        <w:rPr>
          <w:i/>
          <w:sz w:val="20"/>
          <w:szCs w:val="20"/>
        </w:rPr>
        <w:t xml:space="preserve"> </w:t>
      </w:r>
      <w:r w:rsidRPr="001F2E11">
        <w:rPr>
          <w:rFonts w:asciiTheme="majorHAnsi" w:hAnsiTheme="majorHAnsi"/>
          <w:i/>
          <w:sz w:val="20"/>
          <w:szCs w:val="20"/>
        </w:rPr>
        <w:t xml:space="preserve">The </w:t>
      </w:r>
      <w:r w:rsidRPr="001F2E11">
        <w:rPr>
          <w:rFonts w:asciiTheme="majorHAnsi" w:hAnsiTheme="majorHAnsi"/>
          <w:b/>
          <w:i/>
          <w:sz w:val="20"/>
          <w:szCs w:val="20"/>
        </w:rPr>
        <w:t>minimum benefit</w:t>
      </w:r>
      <w:r w:rsidRPr="001F2E11">
        <w:rPr>
          <w:rFonts w:asciiTheme="majorHAnsi" w:hAnsiTheme="majorHAnsi"/>
          <w:i/>
          <w:sz w:val="20"/>
          <w:szCs w:val="20"/>
        </w:rPr>
        <w:t xml:space="preserve"> listed on the Prostheses List is the minimum amount payable by insurance companies for an insulin pump under a part C consultation. The amount </w:t>
      </w:r>
      <w:proofErr w:type="gramStart"/>
      <w:r w:rsidRPr="001F2E11">
        <w:rPr>
          <w:rFonts w:asciiTheme="majorHAnsi" w:hAnsiTheme="majorHAnsi"/>
          <w:i/>
          <w:sz w:val="20"/>
          <w:szCs w:val="20"/>
        </w:rPr>
        <w:t>is agreed</w:t>
      </w:r>
      <w:proofErr w:type="gramEnd"/>
      <w:r w:rsidRPr="001F2E11">
        <w:rPr>
          <w:rFonts w:asciiTheme="majorHAnsi" w:hAnsiTheme="majorHAnsi"/>
          <w:i/>
          <w:sz w:val="20"/>
          <w:szCs w:val="20"/>
        </w:rPr>
        <w:t xml:space="preserve"> between the manufacturers and insurers, mediated by the Department. It is not necessarily the commercial sale price.</w:t>
      </w:r>
      <w:r w:rsidRPr="001F2E11">
        <w:rPr>
          <w: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63" w:rsidRDefault="006510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902465"/>
      <w:docPartObj>
        <w:docPartGallery w:val="Watermarks"/>
        <w:docPartUnique/>
      </w:docPartObj>
    </w:sdtPr>
    <w:sdtEndPr/>
    <w:sdtContent>
      <w:p w:rsidR="00651063" w:rsidRDefault="00763F1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063" w:rsidRDefault="006510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D3" w:rsidRDefault="00763F1D" w:rsidP="00E75393">
    <w:pPr>
      <w:pStyle w:val="Heading1"/>
    </w:pPr>
    <w:sdt>
      <w:sdtPr>
        <w:id w:val="365802566"/>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D3" w:rsidRDefault="00A515D3" w:rsidP="00787F54">
    <w:pPr>
      <w:pStyle w:val="Head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9CF"/>
    <w:multiLevelType w:val="hybridMultilevel"/>
    <w:tmpl w:val="F238F3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8A5467E"/>
    <w:multiLevelType w:val="hybridMultilevel"/>
    <w:tmpl w:val="1F84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1F17E5"/>
    <w:multiLevelType w:val="hybridMultilevel"/>
    <w:tmpl w:val="B0A0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244713"/>
    <w:multiLevelType w:val="hybridMultilevel"/>
    <w:tmpl w:val="BB589850"/>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EF7A43"/>
    <w:multiLevelType w:val="hybridMultilevel"/>
    <w:tmpl w:val="588C5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520AF0"/>
    <w:multiLevelType w:val="hybridMultilevel"/>
    <w:tmpl w:val="37A08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E922700"/>
    <w:multiLevelType w:val="hybridMultilevel"/>
    <w:tmpl w:val="B1E8C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A56DC9"/>
    <w:multiLevelType w:val="hybridMultilevel"/>
    <w:tmpl w:val="0D94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D010E4"/>
    <w:multiLevelType w:val="hybridMultilevel"/>
    <w:tmpl w:val="259C16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3403706"/>
    <w:multiLevelType w:val="hybridMultilevel"/>
    <w:tmpl w:val="5920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923CF7"/>
    <w:multiLevelType w:val="hybridMultilevel"/>
    <w:tmpl w:val="797AD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9406317"/>
    <w:multiLevelType w:val="hybridMultilevel"/>
    <w:tmpl w:val="60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CD5029"/>
    <w:multiLevelType w:val="hybridMultilevel"/>
    <w:tmpl w:val="02F61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BDC105C"/>
    <w:multiLevelType w:val="hybridMultilevel"/>
    <w:tmpl w:val="7D3AA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0D676B"/>
    <w:multiLevelType w:val="hybridMultilevel"/>
    <w:tmpl w:val="93FE1C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DF5E7D"/>
    <w:multiLevelType w:val="hybridMultilevel"/>
    <w:tmpl w:val="36FCB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8C66F7"/>
    <w:multiLevelType w:val="multilevel"/>
    <w:tmpl w:val="EB5E1B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7A05367"/>
    <w:multiLevelType w:val="hybridMultilevel"/>
    <w:tmpl w:val="9C4CC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2C603E"/>
    <w:multiLevelType w:val="hybridMultilevel"/>
    <w:tmpl w:val="9FE6D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210531"/>
    <w:multiLevelType w:val="hybridMultilevel"/>
    <w:tmpl w:val="DBE09C8C"/>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3F1DAE"/>
    <w:multiLevelType w:val="hybridMultilevel"/>
    <w:tmpl w:val="8A5A31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34D03FB9"/>
    <w:multiLevelType w:val="hybridMultilevel"/>
    <w:tmpl w:val="B2DA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AF47098"/>
    <w:multiLevelType w:val="hybridMultilevel"/>
    <w:tmpl w:val="311682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6771C5"/>
    <w:multiLevelType w:val="hybridMultilevel"/>
    <w:tmpl w:val="08F2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AC5FA1"/>
    <w:multiLevelType w:val="hybridMultilevel"/>
    <w:tmpl w:val="F21CB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CF5451B"/>
    <w:multiLevelType w:val="hybridMultilevel"/>
    <w:tmpl w:val="1A8E1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3CA6002"/>
    <w:multiLevelType w:val="multilevel"/>
    <w:tmpl w:val="D7162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1E4078"/>
    <w:multiLevelType w:val="hybridMultilevel"/>
    <w:tmpl w:val="0CD8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65C0C50"/>
    <w:multiLevelType w:val="hybridMultilevel"/>
    <w:tmpl w:val="05CE16A2"/>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C77F7F"/>
    <w:multiLevelType w:val="hybridMultilevel"/>
    <w:tmpl w:val="DC462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1A01EFD"/>
    <w:multiLevelType w:val="hybridMultilevel"/>
    <w:tmpl w:val="10FE3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5903D11"/>
    <w:multiLevelType w:val="hybridMultilevel"/>
    <w:tmpl w:val="D1F8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FA0A0E"/>
    <w:multiLevelType w:val="hybridMultilevel"/>
    <w:tmpl w:val="CFC8A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6A0AD9"/>
    <w:multiLevelType w:val="hybridMultilevel"/>
    <w:tmpl w:val="9A24D1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5ABA658E"/>
    <w:multiLevelType w:val="hybridMultilevel"/>
    <w:tmpl w:val="4D36AA7C"/>
    <w:lvl w:ilvl="0" w:tplc="0C090001">
      <w:start w:val="1"/>
      <w:numFmt w:val="bullet"/>
      <w:lvlText w:val=""/>
      <w:lvlJc w:val="left"/>
      <w:pPr>
        <w:ind w:left="1495" w:hanging="360"/>
      </w:pPr>
      <w:rPr>
        <w:rFonts w:ascii="Symbol" w:hAnsi="Symbol" w:hint="default"/>
      </w:rPr>
    </w:lvl>
    <w:lvl w:ilvl="1" w:tplc="FF2E246A">
      <w:numFmt w:val="bullet"/>
      <w:lvlText w:val="-"/>
      <w:lvlJc w:val="left"/>
      <w:pPr>
        <w:ind w:left="2215" w:hanging="360"/>
      </w:pPr>
      <w:rPr>
        <w:rFonts w:ascii="Calibri" w:eastAsia="Calibri" w:hAnsi="Calibri" w:cs="Calibri"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36">
    <w:nsid w:val="5B12140A"/>
    <w:multiLevelType w:val="hybridMultilevel"/>
    <w:tmpl w:val="FC12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C877F36"/>
    <w:multiLevelType w:val="hybridMultilevel"/>
    <w:tmpl w:val="3DB25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CFF77DE"/>
    <w:multiLevelType w:val="hybridMultilevel"/>
    <w:tmpl w:val="C368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D0970AC"/>
    <w:multiLevelType w:val="hybridMultilevel"/>
    <w:tmpl w:val="BB3E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F866B45"/>
    <w:multiLevelType w:val="hybridMultilevel"/>
    <w:tmpl w:val="38EA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FFA382D"/>
    <w:multiLevelType w:val="hybridMultilevel"/>
    <w:tmpl w:val="BBEA9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0683B20"/>
    <w:multiLevelType w:val="hybridMultilevel"/>
    <w:tmpl w:val="1346B8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53C6A66"/>
    <w:multiLevelType w:val="hybridMultilevel"/>
    <w:tmpl w:val="237A4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586112E"/>
    <w:multiLevelType w:val="hybridMultilevel"/>
    <w:tmpl w:val="ACA499EC"/>
    <w:lvl w:ilvl="0" w:tplc="F6D4B230">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E5A3273"/>
    <w:multiLevelType w:val="multilevel"/>
    <w:tmpl w:val="E8B88470"/>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700A0581"/>
    <w:multiLevelType w:val="multilevel"/>
    <w:tmpl w:val="CBFC249E"/>
    <w:lvl w:ilvl="0">
      <w:start w:val="1"/>
      <w:numFmt w:val="bullet"/>
      <w:lvlText w:val=""/>
      <w:lvlJc w:val="left"/>
      <w:pPr>
        <w:ind w:left="720" w:hanging="360"/>
      </w:pPr>
      <w:rPr>
        <w:rFonts w:ascii="Symbol" w:hAnsi="Symbo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0F360D1"/>
    <w:multiLevelType w:val="hybridMultilevel"/>
    <w:tmpl w:val="FC8C4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8">
    <w:nsid w:val="71CD0B95"/>
    <w:multiLevelType w:val="hybridMultilevel"/>
    <w:tmpl w:val="F8E4F1BE"/>
    <w:lvl w:ilvl="0" w:tplc="503A190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23D664F"/>
    <w:multiLevelType w:val="hybridMultilevel"/>
    <w:tmpl w:val="51F23A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nsid w:val="7622439D"/>
    <w:multiLevelType w:val="hybridMultilevel"/>
    <w:tmpl w:val="46548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A04346A"/>
    <w:multiLevelType w:val="hybridMultilevel"/>
    <w:tmpl w:val="F05A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B583C40"/>
    <w:multiLevelType w:val="hybridMultilevel"/>
    <w:tmpl w:val="E374624C"/>
    <w:lvl w:ilvl="0" w:tplc="0C090001">
      <w:start w:val="1"/>
      <w:numFmt w:val="bullet"/>
      <w:lvlText w:val=""/>
      <w:lvlJc w:val="left"/>
      <w:pPr>
        <w:ind w:left="720" w:hanging="360"/>
      </w:pPr>
      <w:rPr>
        <w:rFonts w:ascii="Symbol" w:hAnsi="Symbol" w:hint="default"/>
      </w:rPr>
    </w:lvl>
    <w:lvl w:ilvl="1" w:tplc="75FCAFA2">
      <w:numFmt w:val="bullet"/>
      <w:lvlText w:val="·"/>
      <w:lvlJc w:val="left"/>
      <w:pPr>
        <w:ind w:left="1800" w:hanging="720"/>
      </w:pPr>
      <w:rPr>
        <w:rFonts w:ascii="Cambria" w:eastAsia="Times New Roman"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E0E44B6"/>
    <w:multiLevelType w:val="hybridMultilevel"/>
    <w:tmpl w:val="731A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F901E00"/>
    <w:multiLevelType w:val="hybridMultilevel"/>
    <w:tmpl w:val="5C26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53"/>
  </w:num>
  <w:num w:numId="4">
    <w:abstractNumId w:val="3"/>
  </w:num>
  <w:num w:numId="5">
    <w:abstractNumId w:val="50"/>
  </w:num>
  <w:num w:numId="6">
    <w:abstractNumId w:val="35"/>
  </w:num>
  <w:num w:numId="7">
    <w:abstractNumId w:val="38"/>
  </w:num>
  <w:num w:numId="8">
    <w:abstractNumId w:val="24"/>
  </w:num>
  <w:num w:numId="9">
    <w:abstractNumId w:val="29"/>
  </w:num>
  <w:num w:numId="10">
    <w:abstractNumId w:val="44"/>
  </w:num>
  <w:num w:numId="11">
    <w:abstractNumId w:val="34"/>
  </w:num>
  <w:num w:numId="12">
    <w:abstractNumId w:val="32"/>
  </w:num>
  <w:num w:numId="13">
    <w:abstractNumId w:val="51"/>
  </w:num>
  <w:num w:numId="14">
    <w:abstractNumId w:val="54"/>
  </w:num>
  <w:num w:numId="15">
    <w:abstractNumId w:val="30"/>
  </w:num>
  <w:num w:numId="16">
    <w:abstractNumId w:val="48"/>
  </w:num>
  <w:num w:numId="17">
    <w:abstractNumId w:val="45"/>
  </w:num>
  <w:num w:numId="18">
    <w:abstractNumId w:val="19"/>
  </w:num>
  <w:num w:numId="19">
    <w:abstractNumId w:val="28"/>
  </w:num>
  <w:num w:numId="20">
    <w:abstractNumId w:val="42"/>
  </w:num>
  <w:num w:numId="21">
    <w:abstractNumId w:val="16"/>
  </w:num>
  <w:num w:numId="22">
    <w:abstractNumId w:val="18"/>
  </w:num>
  <w:num w:numId="23">
    <w:abstractNumId w:val="21"/>
  </w:num>
  <w:num w:numId="24">
    <w:abstractNumId w:val="13"/>
  </w:num>
  <w:num w:numId="25">
    <w:abstractNumId w:val="39"/>
  </w:num>
  <w:num w:numId="26">
    <w:abstractNumId w:val="41"/>
  </w:num>
  <w:num w:numId="27">
    <w:abstractNumId w:val="5"/>
  </w:num>
  <w:num w:numId="28">
    <w:abstractNumId w:val="26"/>
  </w:num>
  <w:num w:numId="29">
    <w:abstractNumId w:val="10"/>
  </w:num>
  <w:num w:numId="30">
    <w:abstractNumId w:val="4"/>
  </w:num>
  <w:num w:numId="31">
    <w:abstractNumId w:val="36"/>
  </w:num>
  <w:num w:numId="32">
    <w:abstractNumId w:val="14"/>
  </w:num>
  <w:num w:numId="33">
    <w:abstractNumId w:val="15"/>
  </w:num>
  <w:num w:numId="34">
    <w:abstractNumId w:val="27"/>
  </w:num>
  <w:num w:numId="35">
    <w:abstractNumId w:val="49"/>
  </w:num>
  <w:num w:numId="36">
    <w:abstractNumId w:val="23"/>
  </w:num>
  <w:num w:numId="37">
    <w:abstractNumId w:val="9"/>
  </w:num>
  <w:num w:numId="38">
    <w:abstractNumId w:val="40"/>
  </w:num>
  <w:num w:numId="39">
    <w:abstractNumId w:val="37"/>
  </w:num>
  <w:num w:numId="40">
    <w:abstractNumId w:val="12"/>
  </w:num>
  <w:num w:numId="41">
    <w:abstractNumId w:val="25"/>
  </w:num>
  <w:num w:numId="42">
    <w:abstractNumId w:val="1"/>
  </w:num>
  <w:num w:numId="43">
    <w:abstractNumId w:val="0"/>
  </w:num>
  <w:num w:numId="44">
    <w:abstractNumId w:val="52"/>
  </w:num>
  <w:num w:numId="45">
    <w:abstractNumId w:val="43"/>
  </w:num>
  <w:num w:numId="46">
    <w:abstractNumId w:val="20"/>
  </w:num>
  <w:num w:numId="47">
    <w:abstractNumId w:val="33"/>
  </w:num>
  <w:num w:numId="48">
    <w:abstractNumId w:val="2"/>
  </w:num>
  <w:num w:numId="49">
    <w:abstractNumId w:val="11"/>
  </w:num>
  <w:num w:numId="50">
    <w:abstractNumId w:val="47"/>
  </w:num>
  <w:num w:numId="51">
    <w:abstractNumId w:val="46"/>
  </w:num>
  <w:num w:numId="52">
    <w:abstractNumId w:val="17"/>
  </w:num>
  <w:num w:numId="53">
    <w:abstractNumId w:val="31"/>
  </w:num>
  <w:num w:numId="54">
    <w:abstractNumId w:val="8"/>
  </w:num>
  <w:num w:numId="55">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en-AU" w:vendorID="64" w:dllVersion="131078" w:nlCheck="1" w:checkStyle="0"/>
  <w:activeWritingStyle w:appName="MSWord" w:lang="en-US" w:vendorID="64" w:dllVersion="131078" w:nlCheck="1" w:checkStyle="1"/>
  <w:proofState w:spelling="clean" w:grammar="clean"/>
  <w:doNotTrackFormatting/>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B5"/>
    <w:rsid w:val="000002B4"/>
    <w:rsid w:val="00000795"/>
    <w:rsid w:val="0000094E"/>
    <w:rsid w:val="0000108B"/>
    <w:rsid w:val="00001546"/>
    <w:rsid w:val="000018A7"/>
    <w:rsid w:val="00002583"/>
    <w:rsid w:val="00002A06"/>
    <w:rsid w:val="000033EC"/>
    <w:rsid w:val="000043CE"/>
    <w:rsid w:val="00004A2E"/>
    <w:rsid w:val="00006866"/>
    <w:rsid w:val="000070D9"/>
    <w:rsid w:val="000076AF"/>
    <w:rsid w:val="000076BF"/>
    <w:rsid w:val="00010398"/>
    <w:rsid w:val="00010CE6"/>
    <w:rsid w:val="00011CF2"/>
    <w:rsid w:val="000129DB"/>
    <w:rsid w:val="00012AE2"/>
    <w:rsid w:val="00014455"/>
    <w:rsid w:val="00014B88"/>
    <w:rsid w:val="0001562B"/>
    <w:rsid w:val="00015A8B"/>
    <w:rsid w:val="00016BE4"/>
    <w:rsid w:val="00017E72"/>
    <w:rsid w:val="00020098"/>
    <w:rsid w:val="0002009E"/>
    <w:rsid w:val="00020478"/>
    <w:rsid w:val="00020A8D"/>
    <w:rsid w:val="00020D80"/>
    <w:rsid w:val="000235E2"/>
    <w:rsid w:val="00023A43"/>
    <w:rsid w:val="00024C18"/>
    <w:rsid w:val="00024EE6"/>
    <w:rsid w:val="000251A3"/>
    <w:rsid w:val="00025D39"/>
    <w:rsid w:val="00027873"/>
    <w:rsid w:val="00027E65"/>
    <w:rsid w:val="0003076C"/>
    <w:rsid w:val="0003089C"/>
    <w:rsid w:val="00031372"/>
    <w:rsid w:val="00031B83"/>
    <w:rsid w:val="000320BC"/>
    <w:rsid w:val="00032A74"/>
    <w:rsid w:val="00033E6C"/>
    <w:rsid w:val="00034B5B"/>
    <w:rsid w:val="00035BC9"/>
    <w:rsid w:val="00035D6C"/>
    <w:rsid w:val="00036667"/>
    <w:rsid w:val="000367D5"/>
    <w:rsid w:val="00037F00"/>
    <w:rsid w:val="00040275"/>
    <w:rsid w:val="00040819"/>
    <w:rsid w:val="0004093E"/>
    <w:rsid w:val="00040CC9"/>
    <w:rsid w:val="000433A2"/>
    <w:rsid w:val="000443EA"/>
    <w:rsid w:val="00044567"/>
    <w:rsid w:val="0004483B"/>
    <w:rsid w:val="000463D1"/>
    <w:rsid w:val="0004696C"/>
    <w:rsid w:val="00047F33"/>
    <w:rsid w:val="00050194"/>
    <w:rsid w:val="00051768"/>
    <w:rsid w:val="000518E2"/>
    <w:rsid w:val="00055D1C"/>
    <w:rsid w:val="00056811"/>
    <w:rsid w:val="00056FD3"/>
    <w:rsid w:val="00060960"/>
    <w:rsid w:val="00062496"/>
    <w:rsid w:val="000628D5"/>
    <w:rsid w:val="00063121"/>
    <w:rsid w:val="000638BD"/>
    <w:rsid w:val="00063D3F"/>
    <w:rsid w:val="00063D62"/>
    <w:rsid w:val="0006466D"/>
    <w:rsid w:val="00064F7C"/>
    <w:rsid w:val="00065747"/>
    <w:rsid w:val="00065ED4"/>
    <w:rsid w:val="00066010"/>
    <w:rsid w:val="00066B85"/>
    <w:rsid w:val="0007002B"/>
    <w:rsid w:val="0007067A"/>
    <w:rsid w:val="0007249D"/>
    <w:rsid w:val="00073A81"/>
    <w:rsid w:val="00073BB6"/>
    <w:rsid w:val="000743A9"/>
    <w:rsid w:val="00075000"/>
    <w:rsid w:val="00075CED"/>
    <w:rsid w:val="00077CFE"/>
    <w:rsid w:val="0008020D"/>
    <w:rsid w:val="00080D2F"/>
    <w:rsid w:val="000818AA"/>
    <w:rsid w:val="00082050"/>
    <w:rsid w:val="00083337"/>
    <w:rsid w:val="00083F3C"/>
    <w:rsid w:val="0008583B"/>
    <w:rsid w:val="00085D79"/>
    <w:rsid w:val="000860B7"/>
    <w:rsid w:val="00087AB2"/>
    <w:rsid w:val="00087E8A"/>
    <w:rsid w:val="00090A72"/>
    <w:rsid w:val="00090B5C"/>
    <w:rsid w:val="00091AF4"/>
    <w:rsid w:val="00092ABA"/>
    <w:rsid w:val="00093584"/>
    <w:rsid w:val="00094321"/>
    <w:rsid w:val="00095697"/>
    <w:rsid w:val="0009578C"/>
    <w:rsid w:val="00096369"/>
    <w:rsid w:val="00096E54"/>
    <w:rsid w:val="00097085"/>
    <w:rsid w:val="00097BE3"/>
    <w:rsid w:val="00097C9D"/>
    <w:rsid w:val="000A258F"/>
    <w:rsid w:val="000A3075"/>
    <w:rsid w:val="000A33F7"/>
    <w:rsid w:val="000A3500"/>
    <w:rsid w:val="000A475E"/>
    <w:rsid w:val="000A5290"/>
    <w:rsid w:val="000A5D86"/>
    <w:rsid w:val="000A64FC"/>
    <w:rsid w:val="000A65F0"/>
    <w:rsid w:val="000A7108"/>
    <w:rsid w:val="000B1DC9"/>
    <w:rsid w:val="000B26CB"/>
    <w:rsid w:val="000B2D81"/>
    <w:rsid w:val="000B3666"/>
    <w:rsid w:val="000B3A86"/>
    <w:rsid w:val="000B42B4"/>
    <w:rsid w:val="000B58C2"/>
    <w:rsid w:val="000B6EC7"/>
    <w:rsid w:val="000C0D9A"/>
    <w:rsid w:val="000C18CD"/>
    <w:rsid w:val="000C1BB1"/>
    <w:rsid w:val="000C1DA0"/>
    <w:rsid w:val="000C33F7"/>
    <w:rsid w:val="000C3BE7"/>
    <w:rsid w:val="000C44B0"/>
    <w:rsid w:val="000C5C5C"/>
    <w:rsid w:val="000C69D3"/>
    <w:rsid w:val="000D0740"/>
    <w:rsid w:val="000D105F"/>
    <w:rsid w:val="000D1666"/>
    <w:rsid w:val="000D238C"/>
    <w:rsid w:val="000D2D08"/>
    <w:rsid w:val="000D5B4A"/>
    <w:rsid w:val="000D5F8E"/>
    <w:rsid w:val="000D66AD"/>
    <w:rsid w:val="000D7212"/>
    <w:rsid w:val="000D77AD"/>
    <w:rsid w:val="000D7938"/>
    <w:rsid w:val="000E15FD"/>
    <w:rsid w:val="000E1CE7"/>
    <w:rsid w:val="000E2315"/>
    <w:rsid w:val="000E2480"/>
    <w:rsid w:val="000E492C"/>
    <w:rsid w:val="000E574B"/>
    <w:rsid w:val="000E5CCE"/>
    <w:rsid w:val="000E65B5"/>
    <w:rsid w:val="000E6845"/>
    <w:rsid w:val="000E6B94"/>
    <w:rsid w:val="000E7A66"/>
    <w:rsid w:val="000F02F6"/>
    <w:rsid w:val="000F07CC"/>
    <w:rsid w:val="000F081C"/>
    <w:rsid w:val="000F22B9"/>
    <w:rsid w:val="000F2453"/>
    <w:rsid w:val="000F2815"/>
    <w:rsid w:val="000F2947"/>
    <w:rsid w:val="000F3CB7"/>
    <w:rsid w:val="000F523A"/>
    <w:rsid w:val="000F5967"/>
    <w:rsid w:val="000F65B9"/>
    <w:rsid w:val="000F795E"/>
    <w:rsid w:val="001006A6"/>
    <w:rsid w:val="001013AC"/>
    <w:rsid w:val="001022D7"/>
    <w:rsid w:val="00102C49"/>
    <w:rsid w:val="00102CFB"/>
    <w:rsid w:val="00103981"/>
    <w:rsid w:val="001052B1"/>
    <w:rsid w:val="00105F72"/>
    <w:rsid w:val="0010708B"/>
    <w:rsid w:val="0010723F"/>
    <w:rsid w:val="001111AE"/>
    <w:rsid w:val="00111455"/>
    <w:rsid w:val="001139B6"/>
    <w:rsid w:val="00113D07"/>
    <w:rsid w:val="0011406D"/>
    <w:rsid w:val="00114145"/>
    <w:rsid w:val="001144A0"/>
    <w:rsid w:val="0011481E"/>
    <w:rsid w:val="00114AEA"/>
    <w:rsid w:val="001157F5"/>
    <w:rsid w:val="0011607E"/>
    <w:rsid w:val="00116A86"/>
    <w:rsid w:val="00120BCD"/>
    <w:rsid w:val="001211FC"/>
    <w:rsid w:val="00121EE0"/>
    <w:rsid w:val="001225D5"/>
    <w:rsid w:val="00122EC5"/>
    <w:rsid w:val="00122F56"/>
    <w:rsid w:val="00122F90"/>
    <w:rsid w:val="00123220"/>
    <w:rsid w:val="00124593"/>
    <w:rsid w:val="00124D0B"/>
    <w:rsid w:val="00127346"/>
    <w:rsid w:val="001276A1"/>
    <w:rsid w:val="0012784C"/>
    <w:rsid w:val="00127D79"/>
    <w:rsid w:val="001301E6"/>
    <w:rsid w:val="0013053E"/>
    <w:rsid w:val="00131534"/>
    <w:rsid w:val="0013155E"/>
    <w:rsid w:val="00131693"/>
    <w:rsid w:val="0013224A"/>
    <w:rsid w:val="00132BA2"/>
    <w:rsid w:val="00132CFF"/>
    <w:rsid w:val="00132D48"/>
    <w:rsid w:val="00134808"/>
    <w:rsid w:val="001348BB"/>
    <w:rsid w:val="00134DA9"/>
    <w:rsid w:val="00136520"/>
    <w:rsid w:val="0013656B"/>
    <w:rsid w:val="00137D45"/>
    <w:rsid w:val="00137ECF"/>
    <w:rsid w:val="00137EDD"/>
    <w:rsid w:val="00141225"/>
    <w:rsid w:val="00143F79"/>
    <w:rsid w:val="001444B1"/>
    <w:rsid w:val="00144576"/>
    <w:rsid w:val="00145985"/>
    <w:rsid w:val="00145A83"/>
    <w:rsid w:val="00145C08"/>
    <w:rsid w:val="001465CF"/>
    <w:rsid w:val="00146BE6"/>
    <w:rsid w:val="001479FA"/>
    <w:rsid w:val="00152070"/>
    <w:rsid w:val="001520A5"/>
    <w:rsid w:val="00152698"/>
    <w:rsid w:val="00153521"/>
    <w:rsid w:val="001538CC"/>
    <w:rsid w:val="00154D4A"/>
    <w:rsid w:val="001555BE"/>
    <w:rsid w:val="00156507"/>
    <w:rsid w:val="001619EE"/>
    <w:rsid w:val="0016254E"/>
    <w:rsid w:val="00163823"/>
    <w:rsid w:val="00167A52"/>
    <w:rsid w:val="00171881"/>
    <w:rsid w:val="00171B06"/>
    <w:rsid w:val="00171B50"/>
    <w:rsid w:val="00172865"/>
    <w:rsid w:val="00173167"/>
    <w:rsid w:val="001733AC"/>
    <w:rsid w:val="0017351B"/>
    <w:rsid w:val="0017360E"/>
    <w:rsid w:val="00173FC2"/>
    <w:rsid w:val="00174660"/>
    <w:rsid w:val="001747A4"/>
    <w:rsid w:val="00174817"/>
    <w:rsid w:val="00175204"/>
    <w:rsid w:val="00175218"/>
    <w:rsid w:val="0017637C"/>
    <w:rsid w:val="001779FC"/>
    <w:rsid w:val="0018034F"/>
    <w:rsid w:val="0018182B"/>
    <w:rsid w:val="00182264"/>
    <w:rsid w:val="00182855"/>
    <w:rsid w:val="00185598"/>
    <w:rsid w:val="00186693"/>
    <w:rsid w:val="00187429"/>
    <w:rsid w:val="00187C99"/>
    <w:rsid w:val="00187E1B"/>
    <w:rsid w:val="00190498"/>
    <w:rsid w:val="001904BF"/>
    <w:rsid w:val="00190B0E"/>
    <w:rsid w:val="001920FC"/>
    <w:rsid w:val="00192AB3"/>
    <w:rsid w:val="00192AEB"/>
    <w:rsid w:val="00193D03"/>
    <w:rsid w:val="00194AA8"/>
    <w:rsid w:val="001971C1"/>
    <w:rsid w:val="0019727F"/>
    <w:rsid w:val="001A018E"/>
    <w:rsid w:val="001A1E0B"/>
    <w:rsid w:val="001A28B1"/>
    <w:rsid w:val="001A3565"/>
    <w:rsid w:val="001A4184"/>
    <w:rsid w:val="001A5DFD"/>
    <w:rsid w:val="001A64F6"/>
    <w:rsid w:val="001A68FD"/>
    <w:rsid w:val="001A6FDE"/>
    <w:rsid w:val="001A735C"/>
    <w:rsid w:val="001A741C"/>
    <w:rsid w:val="001B01AE"/>
    <w:rsid w:val="001B1111"/>
    <w:rsid w:val="001B16A5"/>
    <w:rsid w:val="001B1C5F"/>
    <w:rsid w:val="001B245F"/>
    <w:rsid w:val="001B403A"/>
    <w:rsid w:val="001B4A6E"/>
    <w:rsid w:val="001B6ED2"/>
    <w:rsid w:val="001B7F97"/>
    <w:rsid w:val="001C0ECE"/>
    <w:rsid w:val="001C22DC"/>
    <w:rsid w:val="001C2498"/>
    <w:rsid w:val="001C25E8"/>
    <w:rsid w:val="001C3075"/>
    <w:rsid w:val="001C3501"/>
    <w:rsid w:val="001C3780"/>
    <w:rsid w:val="001C43CF"/>
    <w:rsid w:val="001C4AEF"/>
    <w:rsid w:val="001C61FE"/>
    <w:rsid w:val="001C6BD1"/>
    <w:rsid w:val="001C6E20"/>
    <w:rsid w:val="001C7798"/>
    <w:rsid w:val="001C7811"/>
    <w:rsid w:val="001C7C31"/>
    <w:rsid w:val="001D0532"/>
    <w:rsid w:val="001D061B"/>
    <w:rsid w:val="001D0644"/>
    <w:rsid w:val="001D07B1"/>
    <w:rsid w:val="001D2017"/>
    <w:rsid w:val="001D22A8"/>
    <w:rsid w:val="001D27D3"/>
    <w:rsid w:val="001D356D"/>
    <w:rsid w:val="001D49D3"/>
    <w:rsid w:val="001D4C04"/>
    <w:rsid w:val="001D4CC6"/>
    <w:rsid w:val="001D5AA1"/>
    <w:rsid w:val="001D695A"/>
    <w:rsid w:val="001D7A6F"/>
    <w:rsid w:val="001D7C54"/>
    <w:rsid w:val="001E04A2"/>
    <w:rsid w:val="001E1D7B"/>
    <w:rsid w:val="001E2371"/>
    <w:rsid w:val="001E298A"/>
    <w:rsid w:val="001E32B5"/>
    <w:rsid w:val="001E3A11"/>
    <w:rsid w:val="001E3AD1"/>
    <w:rsid w:val="001E4CB6"/>
    <w:rsid w:val="001E540D"/>
    <w:rsid w:val="001E5A19"/>
    <w:rsid w:val="001E67D4"/>
    <w:rsid w:val="001F0E9D"/>
    <w:rsid w:val="001F1496"/>
    <w:rsid w:val="001F2D00"/>
    <w:rsid w:val="001F2E11"/>
    <w:rsid w:val="001F33AF"/>
    <w:rsid w:val="001F3CBC"/>
    <w:rsid w:val="001F3F98"/>
    <w:rsid w:val="001F4C82"/>
    <w:rsid w:val="001F527F"/>
    <w:rsid w:val="001F5B92"/>
    <w:rsid w:val="001F6C16"/>
    <w:rsid w:val="00200BFE"/>
    <w:rsid w:val="002052FD"/>
    <w:rsid w:val="002068C2"/>
    <w:rsid w:val="00207695"/>
    <w:rsid w:val="00207D42"/>
    <w:rsid w:val="00207E7A"/>
    <w:rsid w:val="0021090E"/>
    <w:rsid w:val="00210EDF"/>
    <w:rsid w:val="002117B3"/>
    <w:rsid w:val="0021183A"/>
    <w:rsid w:val="00211C3E"/>
    <w:rsid w:val="00212703"/>
    <w:rsid w:val="00212FDE"/>
    <w:rsid w:val="00213A81"/>
    <w:rsid w:val="00213BBC"/>
    <w:rsid w:val="00213D66"/>
    <w:rsid w:val="002142CB"/>
    <w:rsid w:val="002143E6"/>
    <w:rsid w:val="00214AD4"/>
    <w:rsid w:val="00215E06"/>
    <w:rsid w:val="0021610B"/>
    <w:rsid w:val="00217342"/>
    <w:rsid w:val="00220AE7"/>
    <w:rsid w:val="00222FD9"/>
    <w:rsid w:val="00225752"/>
    <w:rsid w:val="00226BAF"/>
    <w:rsid w:val="00232548"/>
    <w:rsid w:val="00232874"/>
    <w:rsid w:val="002334A4"/>
    <w:rsid w:val="00234112"/>
    <w:rsid w:val="00234188"/>
    <w:rsid w:val="002345EB"/>
    <w:rsid w:val="00236327"/>
    <w:rsid w:val="0023733C"/>
    <w:rsid w:val="0023792A"/>
    <w:rsid w:val="00242159"/>
    <w:rsid w:val="00242D23"/>
    <w:rsid w:val="0024350A"/>
    <w:rsid w:val="00243AB4"/>
    <w:rsid w:val="00243B80"/>
    <w:rsid w:val="00243BEE"/>
    <w:rsid w:val="00243C92"/>
    <w:rsid w:val="002442E8"/>
    <w:rsid w:val="00246504"/>
    <w:rsid w:val="002474D7"/>
    <w:rsid w:val="0025077D"/>
    <w:rsid w:val="00251E48"/>
    <w:rsid w:val="00251EAF"/>
    <w:rsid w:val="00252236"/>
    <w:rsid w:val="00252D1A"/>
    <w:rsid w:val="00252DC7"/>
    <w:rsid w:val="002553D9"/>
    <w:rsid w:val="002554FB"/>
    <w:rsid w:val="002559E2"/>
    <w:rsid w:val="00255C1D"/>
    <w:rsid w:val="002563B4"/>
    <w:rsid w:val="0025699B"/>
    <w:rsid w:val="0025713B"/>
    <w:rsid w:val="002603D8"/>
    <w:rsid w:val="002632D9"/>
    <w:rsid w:val="00263754"/>
    <w:rsid w:val="00263971"/>
    <w:rsid w:val="00263B81"/>
    <w:rsid w:val="00265C4F"/>
    <w:rsid w:val="00266533"/>
    <w:rsid w:val="00266CAB"/>
    <w:rsid w:val="00266D8B"/>
    <w:rsid w:val="00266DBC"/>
    <w:rsid w:val="0026797F"/>
    <w:rsid w:val="00267ADF"/>
    <w:rsid w:val="00267AE2"/>
    <w:rsid w:val="002702E1"/>
    <w:rsid w:val="002704B8"/>
    <w:rsid w:val="00271C94"/>
    <w:rsid w:val="00272BE0"/>
    <w:rsid w:val="0027467D"/>
    <w:rsid w:val="002752F4"/>
    <w:rsid w:val="00275BDA"/>
    <w:rsid w:val="0027607A"/>
    <w:rsid w:val="002766BA"/>
    <w:rsid w:val="002768B6"/>
    <w:rsid w:val="00280413"/>
    <w:rsid w:val="00280439"/>
    <w:rsid w:val="00280F33"/>
    <w:rsid w:val="00281EC8"/>
    <w:rsid w:val="00283DF5"/>
    <w:rsid w:val="00285999"/>
    <w:rsid w:val="00287046"/>
    <w:rsid w:val="00290505"/>
    <w:rsid w:val="0029349C"/>
    <w:rsid w:val="002946F8"/>
    <w:rsid w:val="002947E7"/>
    <w:rsid w:val="002948EE"/>
    <w:rsid w:val="00295D5A"/>
    <w:rsid w:val="00296E99"/>
    <w:rsid w:val="0029795C"/>
    <w:rsid w:val="00297A09"/>
    <w:rsid w:val="002A053E"/>
    <w:rsid w:val="002A09A8"/>
    <w:rsid w:val="002A0E99"/>
    <w:rsid w:val="002A27EF"/>
    <w:rsid w:val="002A3765"/>
    <w:rsid w:val="002A4434"/>
    <w:rsid w:val="002A5CAE"/>
    <w:rsid w:val="002A6790"/>
    <w:rsid w:val="002A75E9"/>
    <w:rsid w:val="002A781C"/>
    <w:rsid w:val="002B0304"/>
    <w:rsid w:val="002B04FE"/>
    <w:rsid w:val="002B06CC"/>
    <w:rsid w:val="002B0E70"/>
    <w:rsid w:val="002B10FB"/>
    <w:rsid w:val="002B2160"/>
    <w:rsid w:val="002B2F9F"/>
    <w:rsid w:val="002B39CC"/>
    <w:rsid w:val="002B55B2"/>
    <w:rsid w:val="002B7109"/>
    <w:rsid w:val="002C0673"/>
    <w:rsid w:val="002C3410"/>
    <w:rsid w:val="002C3977"/>
    <w:rsid w:val="002C3EFC"/>
    <w:rsid w:val="002C4C25"/>
    <w:rsid w:val="002C5C83"/>
    <w:rsid w:val="002C6AAE"/>
    <w:rsid w:val="002C7528"/>
    <w:rsid w:val="002D16C8"/>
    <w:rsid w:val="002D1BD3"/>
    <w:rsid w:val="002D2D03"/>
    <w:rsid w:val="002D35CE"/>
    <w:rsid w:val="002D4B06"/>
    <w:rsid w:val="002D560C"/>
    <w:rsid w:val="002D67A1"/>
    <w:rsid w:val="002D7179"/>
    <w:rsid w:val="002E056E"/>
    <w:rsid w:val="002E0B92"/>
    <w:rsid w:val="002E0C22"/>
    <w:rsid w:val="002E1811"/>
    <w:rsid w:val="002E3A87"/>
    <w:rsid w:val="002E44A9"/>
    <w:rsid w:val="002E7359"/>
    <w:rsid w:val="002F006C"/>
    <w:rsid w:val="002F00C5"/>
    <w:rsid w:val="002F0100"/>
    <w:rsid w:val="002F017E"/>
    <w:rsid w:val="002F12E4"/>
    <w:rsid w:val="002F1B34"/>
    <w:rsid w:val="002F24F8"/>
    <w:rsid w:val="002F3EAF"/>
    <w:rsid w:val="002F52F8"/>
    <w:rsid w:val="002F6302"/>
    <w:rsid w:val="002F6C66"/>
    <w:rsid w:val="002F7A49"/>
    <w:rsid w:val="0030016F"/>
    <w:rsid w:val="00300831"/>
    <w:rsid w:val="0030130B"/>
    <w:rsid w:val="003024D0"/>
    <w:rsid w:val="00303237"/>
    <w:rsid w:val="0030380C"/>
    <w:rsid w:val="003044DD"/>
    <w:rsid w:val="00306150"/>
    <w:rsid w:val="00306569"/>
    <w:rsid w:val="00306746"/>
    <w:rsid w:val="003070D7"/>
    <w:rsid w:val="00307C55"/>
    <w:rsid w:val="00310595"/>
    <w:rsid w:val="00312200"/>
    <w:rsid w:val="00312586"/>
    <w:rsid w:val="003126B4"/>
    <w:rsid w:val="00312EE2"/>
    <w:rsid w:val="0031335D"/>
    <w:rsid w:val="00314706"/>
    <w:rsid w:val="00315261"/>
    <w:rsid w:val="003156FC"/>
    <w:rsid w:val="003170FA"/>
    <w:rsid w:val="00322548"/>
    <w:rsid w:val="0032439C"/>
    <w:rsid w:val="00324924"/>
    <w:rsid w:val="00324AE3"/>
    <w:rsid w:val="0032599E"/>
    <w:rsid w:val="00326A43"/>
    <w:rsid w:val="00327FB3"/>
    <w:rsid w:val="00331F21"/>
    <w:rsid w:val="0033301C"/>
    <w:rsid w:val="003339E6"/>
    <w:rsid w:val="00334121"/>
    <w:rsid w:val="00334E90"/>
    <w:rsid w:val="003356EC"/>
    <w:rsid w:val="00335C53"/>
    <w:rsid w:val="00337675"/>
    <w:rsid w:val="00337937"/>
    <w:rsid w:val="00337972"/>
    <w:rsid w:val="00340219"/>
    <w:rsid w:val="00343E68"/>
    <w:rsid w:val="0034465A"/>
    <w:rsid w:val="0034496C"/>
    <w:rsid w:val="00344B11"/>
    <w:rsid w:val="00345793"/>
    <w:rsid w:val="003457E3"/>
    <w:rsid w:val="003457F8"/>
    <w:rsid w:val="00345D83"/>
    <w:rsid w:val="0034684B"/>
    <w:rsid w:val="0034756C"/>
    <w:rsid w:val="00347A02"/>
    <w:rsid w:val="00347DA8"/>
    <w:rsid w:val="00353CC4"/>
    <w:rsid w:val="003541DE"/>
    <w:rsid w:val="00355B50"/>
    <w:rsid w:val="00355ED3"/>
    <w:rsid w:val="0035651F"/>
    <w:rsid w:val="00357873"/>
    <w:rsid w:val="00357C6A"/>
    <w:rsid w:val="0036021B"/>
    <w:rsid w:val="003605A0"/>
    <w:rsid w:val="00360E89"/>
    <w:rsid w:val="003614E6"/>
    <w:rsid w:val="00361597"/>
    <w:rsid w:val="003629B7"/>
    <w:rsid w:val="00363C22"/>
    <w:rsid w:val="0036445B"/>
    <w:rsid w:val="0036574D"/>
    <w:rsid w:val="003658C9"/>
    <w:rsid w:val="00370921"/>
    <w:rsid w:val="003709B3"/>
    <w:rsid w:val="00371163"/>
    <w:rsid w:val="003712A7"/>
    <w:rsid w:val="00371320"/>
    <w:rsid w:val="00371CD7"/>
    <w:rsid w:val="00373C35"/>
    <w:rsid w:val="00373C95"/>
    <w:rsid w:val="00373EFB"/>
    <w:rsid w:val="003740CC"/>
    <w:rsid w:val="00375101"/>
    <w:rsid w:val="00375B72"/>
    <w:rsid w:val="00376609"/>
    <w:rsid w:val="00376E98"/>
    <w:rsid w:val="0038027C"/>
    <w:rsid w:val="003821A9"/>
    <w:rsid w:val="0038376D"/>
    <w:rsid w:val="00383D5E"/>
    <w:rsid w:val="00383F9F"/>
    <w:rsid w:val="0038489A"/>
    <w:rsid w:val="00384DE2"/>
    <w:rsid w:val="00386BD2"/>
    <w:rsid w:val="00387174"/>
    <w:rsid w:val="0038732A"/>
    <w:rsid w:val="00387A21"/>
    <w:rsid w:val="00387FCE"/>
    <w:rsid w:val="00390BB7"/>
    <w:rsid w:val="00391403"/>
    <w:rsid w:val="00392395"/>
    <w:rsid w:val="00394FAD"/>
    <w:rsid w:val="00395AED"/>
    <w:rsid w:val="00396585"/>
    <w:rsid w:val="00396A28"/>
    <w:rsid w:val="00396A4C"/>
    <w:rsid w:val="003971CF"/>
    <w:rsid w:val="0039728C"/>
    <w:rsid w:val="003974E1"/>
    <w:rsid w:val="003A1099"/>
    <w:rsid w:val="003A2251"/>
    <w:rsid w:val="003A2A98"/>
    <w:rsid w:val="003A2F38"/>
    <w:rsid w:val="003A3729"/>
    <w:rsid w:val="003A3BE7"/>
    <w:rsid w:val="003A3E3D"/>
    <w:rsid w:val="003A3F5F"/>
    <w:rsid w:val="003A4A3D"/>
    <w:rsid w:val="003A5053"/>
    <w:rsid w:val="003A6968"/>
    <w:rsid w:val="003B07FB"/>
    <w:rsid w:val="003B0DB1"/>
    <w:rsid w:val="003B1715"/>
    <w:rsid w:val="003B2185"/>
    <w:rsid w:val="003B32F1"/>
    <w:rsid w:val="003B4D97"/>
    <w:rsid w:val="003B541E"/>
    <w:rsid w:val="003B6546"/>
    <w:rsid w:val="003B65D7"/>
    <w:rsid w:val="003B6D95"/>
    <w:rsid w:val="003B7B24"/>
    <w:rsid w:val="003B7EB3"/>
    <w:rsid w:val="003C0AA2"/>
    <w:rsid w:val="003C0B95"/>
    <w:rsid w:val="003C1E8D"/>
    <w:rsid w:val="003C3ADE"/>
    <w:rsid w:val="003C3B98"/>
    <w:rsid w:val="003C5A6E"/>
    <w:rsid w:val="003C5BBD"/>
    <w:rsid w:val="003C5FE2"/>
    <w:rsid w:val="003C60D8"/>
    <w:rsid w:val="003C72EF"/>
    <w:rsid w:val="003C74B5"/>
    <w:rsid w:val="003D0398"/>
    <w:rsid w:val="003D0704"/>
    <w:rsid w:val="003D10BE"/>
    <w:rsid w:val="003D1895"/>
    <w:rsid w:val="003D2373"/>
    <w:rsid w:val="003D363B"/>
    <w:rsid w:val="003D363E"/>
    <w:rsid w:val="003D3B79"/>
    <w:rsid w:val="003D3E47"/>
    <w:rsid w:val="003D3FB5"/>
    <w:rsid w:val="003D56F8"/>
    <w:rsid w:val="003D5B1B"/>
    <w:rsid w:val="003D5BBD"/>
    <w:rsid w:val="003D61C5"/>
    <w:rsid w:val="003D6BA8"/>
    <w:rsid w:val="003D76B3"/>
    <w:rsid w:val="003D79A8"/>
    <w:rsid w:val="003E0B4A"/>
    <w:rsid w:val="003E1F05"/>
    <w:rsid w:val="003E28FC"/>
    <w:rsid w:val="003E3F1C"/>
    <w:rsid w:val="003E4991"/>
    <w:rsid w:val="003E5FE6"/>
    <w:rsid w:val="003E6710"/>
    <w:rsid w:val="003E6A84"/>
    <w:rsid w:val="003E7B72"/>
    <w:rsid w:val="003E7EE8"/>
    <w:rsid w:val="003F1FAF"/>
    <w:rsid w:val="003F2328"/>
    <w:rsid w:val="003F245C"/>
    <w:rsid w:val="003F2A41"/>
    <w:rsid w:val="003F3611"/>
    <w:rsid w:val="003F3CA4"/>
    <w:rsid w:val="003F4108"/>
    <w:rsid w:val="003F43BF"/>
    <w:rsid w:val="003F5778"/>
    <w:rsid w:val="003F5C4C"/>
    <w:rsid w:val="003F5E2A"/>
    <w:rsid w:val="003F612B"/>
    <w:rsid w:val="003F65F8"/>
    <w:rsid w:val="003F6C0C"/>
    <w:rsid w:val="003F7478"/>
    <w:rsid w:val="003F7A2D"/>
    <w:rsid w:val="004009A5"/>
    <w:rsid w:val="00401066"/>
    <w:rsid w:val="00401868"/>
    <w:rsid w:val="00401D29"/>
    <w:rsid w:val="00403A97"/>
    <w:rsid w:val="0040550E"/>
    <w:rsid w:val="00405A21"/>
    <w:rsid w:val="004061E3"/>
    <w:rsid w:val="00407357"/>
    <w:rsid w:val="00407AB1"/>
    <w:rsid w:val="00407C94"/>
    <w:rsid w:val="0041065B"/>
    <w:rsid w:val="00411A51"/>
    <w:rsid w:val="00413056"/>
    <w:rsid w:val="0041390A"/>
    <w:rsid w:val="0041456A"/>
    <w:rsid w:val="004170DF"/>
    <w:rsid w:val="00420BE3"/>
    <w:rsid w:val="00421F67"/>
    <w:rsid w:val="004220C9"/>
    <w:rsid w:val="0042287C"/>
    <w:rsid w:val="00424CEC"/>
    <w:rsid w:val="00424DE1"/>
    <w:rsid w:val="00425315"/>
    <w:rsid w:val="00425D7D"/>
    <w:rsid w:val="00426EDD"/>
    <w:rsid w:val="00427C70"/>
    <w:rsid w:val="004305ED"/>
    <w:rsid w:val="00430760"/>
    <w:rsid w:val="00432554"/>
    <w:rsid w:val="00433278"/>
    <w:rsid w:val="00433398"/>
    <w:rsid w:val="00433DA6"/>
    <w:rsid w:val="00433DFA"/>
    <w:rsid w:val="00433F2F"/>
    <w:rsid w:val="00434A06"/>
    <w:rsid w:val="00434DA1"/>
    <w:rsid w:val="00435965"/>
    <w:rsid w:val="00436EF1"/>
    <w:rsid w:val="00437680"/>
    <w:rsid w:val="00440268"/>
    <w:rsid w:val="00440B10"/>
    <w:rsid w:val="00442FCE"/>
    <w:rsid w:val="00444470"/>
    <w:rsid w:val="00445CEA"/>
    <w:rsid w:val="00446215"/>
    <w:rsid w:val="004465CE"/>
    <w:rsid w:val="00447C1F"/>
    <w:rsid w:val="00447E47"/>
    <w:rsid w:val="00450F37"/>
    <w:rsid w:val="00452EE5"/>
    <w:rsid w:val="00453CAA"/>
    <w:rsid w:val="0045505E"/>
    <w:rsid w:val="00456E43"/>
    <w:rsid w:val="00457100"/>
    <w:rsid w:val="004579D7"/>
    <w:rsid w:val="00457B06"/>
    <w:rsid w:val="0046128F"/>
    <w:rsid w:val="00461AC7"/>
    <w:rsid w:val="004624E5"/>
    <w:rsid w:val="00463669"/>
    <w:rsid w:val="004638A9"/>
    <w:rsid w:val="00463E55"/>
    <w:rsid w:val="00463F1A"/>
    <w:rsid w:val="0046473E"/>
    <w:rsid w:val="004649E2"/>
    <w:rsid w:val="00464E3B"/>
    <w:rsid w:val="00465744"/>
    <w:rsid w:val="00467FD1"/>
    <w:rsid w:val="0047094D"/>
    <w:rsid w:val="00470C1C"/>
    <w:rsid w:val="00472943"/>
    <w:rsid w:val="00474588"/>
    <w:rsid w:val="0047625A"/>
    <w:rsid w:val="0047720B"/>
    <w:rsid w:val="00477CD5"/>
    <w:rsid w:val="004804C0"/>
    <w:rsid w:val="0048184A"/>
    <w:rsid w:val="00482756"/>
    <w:rsid w:val="004831FE"/>
    <w:rsid w:val="00483D66"/>
    <w:rsid w:val="00484330"/>
    <w:rsid w:val="00484AA2"/>
    <w:rsid w:val="00486A6A"/>
    <w:rsid w:val="0049071E"/>
    <w:rsid w:val="00490C88"/>
    <w:rsid w:val="00492981"/>
    <w:rsid w:val="004933B1"/>
    <w:rsid w:val="00494AB6"/>
    <w:rsid w:val="00496323"/>
    <w:rsid w:val="0049780E"/>
    <w:rsid w:val="00497DF6"/>
    <w:rsid w:val="004A0ABB"/>
    <w:rsid w:val="004A1E22"/>
    <w:rsid w:val="004A1FCD"/>
    <w:rsid w:val="004A24C2"/>
    <w:rsid w:val="004A2A76"/>
    <w:rsid w:val="004A3AA1"/>
    <w:rsid w:val="004A3BE8"/>
    <w:rsid w:val="004A67A4"/>
    <w:rsid w:val="004A692D"/>
    <w:rsid w:val="004A749F"/>
    <w:rsid w:val="004A761F"/>
    <w:rsid w:val="004B09AF"/>
    <w:rsid w:val="004B1F6E"/>
    <w:rsid w:val="004B2942"/>
    <w:rsid w:val="004B2D47"/>
    <w:rsid w:val="004B3546"/>
    <w:rsid w:val="004B397C"/>
    <w:rsid w:val="004B40C9"/>
    <w:rsid w:val="004B547E"/>
    <w:rsid w:val="004B5B8A"/>
    <w:rsid w:val="004B77EE"/>
    <w:rsid w:val="004C035F"/>
    <w:rsid w:val="004C1023"/>
    <w:rsid w:val="004C195F"/>
    <w:rsid w:val="004C207F"/>
    <w:rsid w:val="004C20B9"/>
    <w:rsid w:val="004C2730"/>
    <w:rsid w:val="004C2890"/>
    <w:rsid w:val="004C3BEE"/>
    <w:rsid w:val="004C53BC"/>
    <w:rsid w:val="004C5D6D"/>
    <w:rsid w:val="004C6349"/>
    <w:rsid w:val="004C6EDE"/>
    <w:rsid w:val="004C78CC"/>
    <w:rsid w:val="004D0BFC"/>
    <w:rsid w:val="004D27B5"/>
    <w:rsid w:val="004D2B94"/>
    <w:rsid w:val="004D5A7A"/>
    <w:rsid w:val="004D6350"/>
    <w:rsid w:val="004D66E4"/>
    <w:rsid w:val="004D756B"/>
    <w:rsid w:val="004E1AC0"/>
    <w:rsid w:val="004E2896"/>
    <w:rsid w:val="004E2C6E"/>
    <w:rsid w:val="004E3746"/>
    <w:rsid w:val="004E5451"/>
    <w:rsid w:val="004E68CF"/>
    <w:rsid w:val="004E79CA"/>
    <w:rsid w:val="004F0E39"/>
    <w:rsid w:val="004F0ECF"/>
    <w:rsid w:val="004F1BEB"/>
    <w:rsid w:val="004F33CC"/>
    <w:rsid w:val="004F366E"/>
    <w:rsid w:val="004F3FC2"/>
    <w:rsid w:val="004F49D9"/>
    <w:rsid w:val="004F4CCF"/>
    <w:rsid w:val="004F58A5"/>
    <w:rsid w:val="004F6AC9"/>
    <w:rsid w:val="004F7A43"/>
    <w:rsid w:val="005000C5"/>
    <w:rsid w:val="00500942"/>
    <w:rsid w:val="00502DE1"/>
    <w:rsid w:val="0050373C"/>
    <w:rsid w:val="005045ED"/>
    <w:rsid w:val="005046E2"/>
    <w:rsid w:val="00506671"/>
    <w:rsid w:val="005069B2"/>
    <w:rsid w:val="00506B30"/>
    <w:rsid w:val="00507DD7"/>
    <w:rsid w:val="00512B7C"/>
    <w:rsid w:val="00512BCA"/>
    <w:rsid w:val="005130EC"/>
    <w:rsid w:val="00513940"/>
    <w:rsid w:val="00513D59"/>
    <w:rsid w:val="00513DCB"/>
    <w:rsid w:val="005140FD"/>
    <w:rsid w:val="00515BF4"/>
    <w:rsid w:val="00517B9C"/>
    <w:rsid w:val="00520DC7"/>
    <w:rsid w:val="00521C0D"/>
    <w:rsid w:val="00522B2A"/>
    <w:rsid w:val="00523921"/>
    <w:rsid w:val="00523ADB"/>
    <w:rsid w:val="00524E50"/>
    <w:rsid w:val="005250F3"/>
    <w:rsid w:val="005271ED"/>
    <w:rsid w:val="00531076"/>
    <w:rsid w:val="005314EC"/>
    <w:rsid w:val="0053187D"/>
    <w:rsid w:val="00531BAD"/>
    <w:rsid w:val="00531BE7"/>
    <w:rsid w:val="00531F62"/>
    <w:rsid w:val="00532795"/>
    <w:rsid w:val="00532A4C"/>
    <w:rsid w:val="00533B3A"/>
    <w:rsid w:val="0053581A"/>
    <w:rsid w:val="0053631B"/>
    <w:rsid w:val="005379A0"/>
    <w:rsid w:val="005379CD"/>
    <w:rsid w:val="00541668"/>
    <w:rsid w:val="0054189E"/>
    <w:rsid w:val="0054204F"/>
    <w:rsid w:val="0054310B"/>
    <w:rsid w:val="00543529"/>
    <w:rsid w:val="00543598"/>
    <w:rsid w:val="00544169"/>
    <w:rsid w:val="005449AC"/>
    <w:rsid w:val="005452E8"/>
    <w:rsid w:val="00547D27"/>
    <w:rsid w:val="00550249"/>
    <w:rsid w:val="0055058E"/>
    <w:rsid w:val="00550592"/>
    <w:rsid w:val="00550BF9"/>
    <w:rsid w:val="00552645"/>
    <w:rsid w:val="005527B3"/>
    <w:rsid w:val="00554F0F"/>
    <w:rsid w:val="005613C0"/>
    <w:rsid w:val="0056328C"/>
    <w:rsid w:val="005633A5"/>
    <w:rsid w:val="005633F1"/>
    <w:rsid w:val="00563A24"/>
    <w:rsid w:val="00563D03"/>
    <w:rsid w:val="00570401"/>
    <w:rsid w:val="005705B1"/>
    <w:rsid w:val="00570AD4"/>
    <w:rsid w:val="00572ABE"/>
    <w:rsid w:val="00572C53"/>
    <w:rsid w:val="00572E89"/>
    <w:rsid w:val="005737A5"/>
    <w:rsid w:val="00574486"/>
    <w:rsid w:val="00576A9B"/>
    <w:rsid w:val="00576DDC"/>
    <w:rsid w:val="005770EF"/>
    <w:rsid w:val="00580195"/>
    <w:rsid w:val="0058272F"/>
    <w:rsid w:val="0058401A"/>
    <w:rsid w:val="00584A2D"/>
    <w:rsid w:val="0058587F"/>
    <w:rsid w:val="00586278"/>
    <w:rsid w:val="00587639"/>
    <w:rsid w:val="005879DC"/>
    <w:rsid w:val="00591F54"/>
    <w:rsid w:val="005924E8"/>
    <w:rsid w:val="00592546"/>
    <w:rsid w:val="00592807"/>
    <w:rsid w:val="00592AE8"/>
    <w:rsid w:val="00593736"/>
    <w:rsid w:val="0059379A"/>
    <w:rsid w:val="005937CD"/>
    <w:rsid w:val="00593CF9"/>
    <w:rsid w:val="00593D70"/>
    <w:rsid w:val="005940E9"/>
    <w:rsid w:val="00594747"/>
    <w:rsid w:val="00595ACA"/>
    <w:rsid w:val="00596E1F"/>
    <w:rsid w:val="005972EB"/>
    <w:rsid w:val="00597871"/>
    <w:rsid w:val="005979F7"/>
    <w:rsid w:val="00597B22"/>
    <w:rsid w:val="005A2264"/>
    <w:rsid w:val="005A2BC4"/>
    <w:rsid w:val="005A376E"/>
    <w:rsid w:val="005A38D7"/>
    <w:rsid w:val="005A3D7A"/>
    <w:rsid w:val="005A3DA8"/>
    <w:rsid w:val="005A4968"/>
    <w:rsid w:val="005A568A"/>
    <w:rsid w:val="005A6431"/>
    <w:rsid w:val="005A6586"/>
    <w:rsid w:val="005A69F6"/>
    <w:rsid w:val="005A7029"/>
    <w:rsid w:val="005A7835"/>
    <w:rsid w:val="005A7E25"/>
    <w:rsid w:val="005B0CDE"/>
    <w:rsid w:val="005B14F3"/>
    <w:rsid w:val="005B26D5"/>
    <w:rsid w:val="005B4A36"/>
    <w:rsid w:val="005B4B64"/>
    <w:rsid w:val="005B52AB"/>
    <w:rsid w:val="005B5302"/>
    <w:rsid w:val="005B6AED"/>
    <w:rsid w:val="005B7A4B"/>
    <w:rsid w:val="005B7D49"/>
    <w:rsid w:val="005C1DDC"/>
    <w:rsid w:val="005C262B"/>
    <w:rsid w:val="005C3D52"/>
    <w:rsid w:val="005C3D5E"/>
    <w:rsid w:val="005C6561"/>
    <w:rsid w:val="005C6619"/>
    <w:rsid w:val="005C6FB0"/>
    <w:rsid w:val="005C7257"/>
    <w:rsid w:val="005C73E1"/>
    <w:rsid w:val="005C756C"/>
    <w:rsid w:val="005C7BB7"/>
    <w:rsid w:val="005D055D"/>
    <w:rsid w:val="005D1AE2"/>
    <w:rsid w:val="005D1D4A"/>
    <w:rsid w:val="005D1DF3"/>
    <w:rsid w:val="005D20B3"/>
    <w:rsid w:val="005D25AC"/>
    <w:rsid w:val="005D3FB8"/>
    <w:rsid w:val="005D5212"/>
    <w:rsid w:val="005D6109"/>
    <w:rsid w:val="005D6522"/>
    <w:rsid w:val="005D69AC"/>
    <w:rsid w:val="005D74EF"/>
    <w:rsid w:val="005D7CE4"/>
    <w:rsid w:val="005E0F7B"/>
    <w:rsid w:val="005E1665"/>
    <w:rsid w:val="005E1F07"/>
    <w:rsid w:val="005E2B88"/>
    <w:rsid w:val="005E2DA0"/>
    <w:rsid w:val="005E2EDF"/>
    <w:rsid w:val="005E36B4"/>
    <w:rsid w:val="005E4B18"/>
    <w:rsid w:val="005E569F"/>
    <w:rsid w:val="005E697F"/>
    <w:rsid w:val="005F0209"/>
    <w:rsid w:val="005F03C1"/>
    <w:rsid w:val="005F2366"/>
    <w:rsid w:val="005F255D"/>
    <w:rsid w:val="005F279C"/>
    <w:rsid w:val="005F3661"/>
    <w:rsid w:val="005F4142"/>
    <w:rsid w:val="005F53A1"/>
    <w:rsid w:val="005F61B9"/>
    <w:rsid w:val="005F6527"/>
    <w:rsid w:val="005F6C1B"/>
    <w:rsid w:val="005F6D9F"/>
    <w:rsid w:val="005F75B1"/>
    <w:rsid w:val="005F76B9"/>
    <w:rsid w:val="00600415"/>
    <w:rsid w:val="0060053C"/>
    <w:rsid w:val="00601283"/>
    <w:rsid w:val="00601516"/>
    <w:rsid w:val="00602271"/>
    <w:rsid w:val="006027AB"/>
    <w:rsid w:val="00604CBA"/>
    <w:rsid w:val="0060679C"/>
    <w:rsid w:val="006077DA"/>
    <w:rsid w:val="00607CBC"/>
    <w:rsid w:val="00610A2F"/>
    <w:rsid w:val="006116C4"/>
    <w:rsid w:val="00612207"/>
    <w:rsid w:val="00612497"/>
    <w:rsid w:val="0061303B"/>
    <w:rsid w:val="006135C1"/>
    <w:rsid w:val="00613AC8"/>
    <w:rsid w:val="00615241"/>
    <w:rsid w:val="00615A04"/>
    <w:rsid w:val="00615BCB"/>
    <w:rsid w:val="00616AB5"/>
    <w:rsid w:val="00617902"/>
    <w:rsid w:val="006200EC"/>
    <w:rsid w:val="0062025F"/>
    <w:rsid w:val="006223FF"/>
    <w:rsid w:val="00622559"/>
    <w:rsid w:val="0062299B"/>
    <w:rsid w:val="00622A17"/>
    <w:rsid w:val="00623AA0"/>
    <w:rsid w:val="00623F19"/>
    <w:rsid w:val="00626281"/>
    <w:rsid w:val="0062647A"/>
    <w:rsid w:val="00626692"/>
    <w:rsid w:val="00626EEF"/>
    <w:rsid w:val="0063142C"/>
    <w:rsid w:val="00631AB1"/>
    <w:rsid w:val="006323DC"/>
    <w:rsid w:val="00632B0A"/>
    <w:rsid w:val="006331AB"/>
    <w:rsid w:val="006332A9"/>
    <w:rsid w:val="00634B98"/>
    <w:rsid w:val="006351E6"/>
    <w:rsid w:val="00636679"/>
    <w:rsid w:val="0063728D"/>
    <w:rsid w:val="00640662"/>
    <w:rsid w:val="0064232F"/>
    <w:rsid w:val="006423A1"/>
    <w:rsid w:val="00642E33"/>
    <w:rsid w:val="0064487F"/>
    <w:rsid w:val="00646C51"/>
    <w:rsid w:val="00646F9A"/>
    <w:rsid w:val="00647288"/>
    <w:rsid w:val="00647AD5"/>
    <w:rsid w:val="00647F16"/>
    <w:rsid w:val="00651063"/>
    <w:rsid w:val="00651583"/>
    <w:rsid w:val="00651CB4"/>
    <w:rsid w:val="0065203B"/>
    <w:rsid w:val="00652457"/>
    <w:rsid w:val="0065291C"/>
    <w:rsid w:val="006529D8"/>
    <w:rsid w:val="00653123"/>
    <w:rsid w:val="006538C5"/>
    <w:rsid w:val="00655927"/>
    <w:rsid w:val="00656782"/>
    <w:rsid w:val="00657448"/>
    <w:rsid w:val="00660A2A"/>
    <w:rsid w:val="0066115E"/>
    <w:rsid w:val="006616CF"/>
    <w:rsid w:val="00662A31"/>
    <w:rsid w:val="00663248"/>
    <w:rsid w:val="0066359D"/>
    <w:rsid w:val="00665529"/>
    <w:rsid w:val="00665B9C"/>
    <w:rsid w:val="00666074"/>
    <w:rsid w:val="00667E2B"/>
    <w:rsid w:val="00671881"/>
    <w:rsid w:val="00672365"/>
    <w:rsid w:val="0067263D"/>
    <w:rsid w:val="0067448B"/>
    <w:rsid w:val="00675677"/>
    <w:rsid w:val="0067620C"/>
    <w:rsid w:val="0067712F"/>
    <w:rsid w:val="0068098F"/>
    <w:rsid w:val="00680B09"/>
    <w:rsid w:val="0068139A"/>
    <w:rsid w:val="00681440"/>
    <w:rsid w:val="00681CAF"/>
    <w:rsid w:val="006839BA"/>
    <w:rsid w:val="0068458A"/>
    <w:rsid w:val="00685811"/>
    <w:rsid w:val="0069001E"/>
    <w:rsid w:val="006903DA"/>
    <w:rsid w:val="006907A6"/>
    <w:rsid w:val="00690854"/>
    <w:rsid w:val="00690CD2"/>
    <w:rsid w:val="00692C90"/>
    <w:rsid w:val="0069316D"/>
    <w:rsid w:val="00694C2B"/>
    <w:rsid w:val="006971B6"/>
    <w:rsid w:val="00697D81"/>
    <w:rsid w:val="006A09A8"/>
    <w:rsid w:val="006A2577"/>
    <w:rsid w:val="006A390B"/>
    <w:rsid w:val="006A530E"/>
    <w:rsid w:val="006A55B2"/>
    <w:rsid w:val="006A5CE6"/>
    <w:rsid w:val="006A7DD4"/>
    <w:rsid w:val="006B1CF0"/>
    <w:rsid w:val="006B273D"/>
    <w:rsid w:val="006B3256"/>
    <w:rsid w:val="006B37D0"/>
    <w:rsid w:val="006B435C"/>
    <w:rsid w:val="006B49BC"/>
    <w:rsid w:val="006C00A0"/>
    <w:rsid w:val="006C2340"/>
    <w:rsid w:val="006C241D"/>
    <w:rsid w:val="006C25B9"/>
    <w:rsid w:val="006C3D3B"/>
    <w:rsid w:val="006C4957"/>
    <w:rsid w:val="006C547F"/>
    <w:rsid w:val="006C54A1"/>
    <w:rsid w:val="006C5934"/>
    <w:rsid w:val="006C6679"/>
    <w:rsid w:val="006D287C"/>
    <w:rsid w:val="006D2A95"/>
    <w:rsid w:val="006D540E"/>
    <w:rsid w:val="006D6873"/>
    <w:rsid w:val="006D73A7"/>
    <w:rsid w:val="006D745D"/>
    <w:rsid w:val="006E2A90"/>
    <w:rsid w:val="006E36BF"/>
    <w:rsid w:val="006E3B57"/>
    <w:rsid w:val="006E5B30"/>
    <w:rsid w:val="006E6133"/>
    <w:rsid w:val="006E6A3F"/>
    <w:rsid w:val="006E7248"/>
    <w:rsid w:val="006F0088"/>
    <w:rsid w:val="006F0E07"/>
    <w:rsid w:val="006F1E2B"/>
    <w:rsid w:val="006F1F02"/>
    <w:rsid w:val="006F2366"/>
    <w:rsid w:val="006F2A38"/>
    <w:rsid w:val="006F33B5"/>
    <w:rsid w:val="006F3EF4"/>
    <w:rsid w:val="006F3F87"/>
    <w:rsid w:val="006F5CDE"/>
    <w:rsid w:val="006F5D0A"/>
    <w:rsid w:val="006F6862"/>
    <w:rsid w:val="006F7EF5"/>
    <w:rsid w:val="00702084"/>
    <w:rsid w:val="00702235"/>
    <w:rsid w:val="0070243D"/>
    <w:rsid w:val="00703FB4"/>
    <w:rsid w:val="007059EF"/>
    <w:rsid w:val="007068DA"/>
    <w:rsid w:val="007071DB"/>
    <w:rsid w:val="00710FA5"/>
    <w:rsid w:val="00711FC4"/>
    <w:rsid w:val="00712461"/>
    <w:rsid w:val="00712E71"/>
    <w:rsid w:val="00713552"/>
    <w:rsid w:val="0071445B"/>
    <w:rsid w:val="00715058"/>
    <w:rsid w:val="007175C7"/>
    <w:rsid w:val="0072012D"/>
    <w:rsid w:val="00722492"/>
    <w:rsid w:val="00722AB2"/>
    <w:rsid w:val="00722B3E"/>
    <w:rsid w:val="00724142"/>
    <w:rsid w:val="00724377"/>
    <w:rsid w:val="00725041"/>
    <w:rsid w:val="007252F4"/>
    <w:rsid w:val="00726C24"/>
    <w:rsid w:val="0072756B"/>
    <w:rsid w:val="00731E29"/>
    <w:rsid w:val="00731FA7"/>
    <w:rsid w:val="00735891"/>
    <w:rsid w:val="00735A33"/>
    <w:rsid w:val="00735B27"/>
    <w:rsid w:val="00737D36"/>
    <w:rsid w:val="00740F9C"/>
    <w:rsid w:val="00741885"/>
    <w:rsid w:val="00741DD3"/>
    <w:rsid w:val="00744B1D"/>
    <w:rsid w:val="00745C07"/>
    <w:rsid w:val="00745E6F"/>
    <w:rsid w:val="007460DF"/>
    <w:rsid w:val="00746518"/>
    <w:rsid w:val="00746AFE"/>
    <w:rsid w:val="007470EC"/>
    <w:rsid w:val="00750D2D"/>
    <w:rsid w:val="00751088"/>
    <w:rsid w:val="007514DB"/>
    <w:rsid w:val="007515D7"/>
    <w:rsid w:val="007516E1"/>
    <w:rsid w:val="00751C25"/>
    <w:rsid w:val="007546F9"/>
    <w:rsid w:val="00754904"/>
    <w:rsid w:val="00754C3B"/>
    <w:rsid w:val="00754C3D"/>
    <w:rsid w:val="00754E0F"/>
    <w:rsid w:val="007561C0"/>
    <w:rsid w:val="0076098F"/>
    <w:rsid w:val="00761815"/>
    <w:rsid w:val="00761EDA"/>
    <w:rsid w:val="00762C40"/>
    <w:rsid w:val="00762DA3"/>
    <w:rsid w:val="007636C5"/>
    <w:rsid w:val="00763E46"/>
    <w:rsid w:val="00763F1D"/>
    <w:rsid w:val="00763FCE"/>
    <w:rsid w:val="00766558"/>
    <w:rsid w:val="0076656C"/>
    <w:rsid w:val="0076663F"/>
    <w:rsid w:val="00766DA6"/>
    <w:rsid w:val="00766DF0"/>
    <w:rsid w:val="007677EE"/>
    <w:rsid w:val="007679BF"/>
    <w:rsid w:val="00767DC0"/>
    <w:rsid w:val="0077005F"/>
    <w:rsid w:val="0077041F"/>
    <w:rsid w:val="0077099C"/>
    <w:rsid w:val="007713EF"/>
    <w:rsid w:val="007716CA"/>
    <w:rsid w:val="0077311D"/>
    <w:rsid w:val="007742A0"/>
    <w:rsid w:val="00774606"/>
    <w:rsid w:val="00775EFD"/>
    <w:rsid w:val="0077760F"/>
    <w:rsid w:val="0077762D"/>
    <w:rsid w:val="00777F41"/>
    <w:rsid w:val="007804A2"/>
    <w:rsid w:val="00781B97"/>
    <w:rsid w:val="00781C28"/>
    <w:rsid w:val="00782B25"/>
    <w:rsid w:val="0078302A"/>
    <w:rsid w:val="00783633"/>
    <w:rsid w:val="0078598B"/>
    <w:rsid w:val="00785A68"/>
    <w:rsid w:val="007866F8"/>
    <w:rsid w:val="00787F54"/>
    <w:rsid w:val="00787FCE"/>
    <w:rsid w:val="00790B0C"/>
    <w:rsid w:val="007921D4"/>
    <w:rsid w:val="007931EF"/>
    <w:rsid w:val="00793854"/>
    <w:rsid w:val="00793AD4"/>
    <w:rsid w:val="00795EDB"/>
    <w:rsid w:val="00796B7D"/>
    <w:rsid w:val="00797A1A"/>
    <w:rsid w:val="007A089F"/>
    <w:rsid w:val="007A0C6F"/>
    <w:rsid w:val="007A1199"/>
    <w:rsid w:val="007A17D3"/>
    <w:rsid w:val="007A1DCC"/>
    <w:rsid w:val="007A2AA9"/>
    <w:rsid w:val="007A4046"/>
    <w:rsid w:val="007A44AE"/>
    <w:rsid w:val="007A567E"/>
    <w:rsid w:val="007B0893"/>
    <w:rsid w:val="007B1B94"/>
    <w:rsid w:val="007B23F5"/>
    <w:rsid w:val="007B25B8"/>
    <w:rsid w:val="007B31FF"/>
    <w:rsid w:val="007B3BFA"/>
    <w:rsid w:val="007B53A9"/>
    <w:rsid w:val="007B545E"/>
    <w:rsid w:val="007B553E"/>
    <w:rsid w:val="007B58EB"/>
    <w:rsid w:val="007B7D6E"/>
    <w:rsid w:val="007C0568"/>
    <w:rsid w:val="007C0DC2"/>
    <w:rsid w:val="007C0E9A"/>
    <w:rsid w:val="007C1245"/>
    <w:rsid w:val="007C2F59"/>
    <w:rsid w:val="007C3253"/>
    <w:rsid w:val="007C37F4"/>
    <w:rsid w:val="007C39ED"/>
    <w:rsid w:val="007C4136"/>
    <w:rsid w:val="007C5128"/>
    <w:rsid w:val="007C5AFD"/>
    <w:rsid w:val="007C639B"/>
    <w:rsid w:val="007C6C40"/>
    <w:rsid w:val="007C716C"/>
    <w:rsid w:val="007C777F"/>
    <w:rsid w:val="007D0307"/>
    <w:rsid w:val="007D1190"/>
    <w:rsid w:val="007D17EE"/>
    <w:rsid w:val="007D2EF5"/>
    <w:rsid w:val="007D429E"/>
    <w:rsid w:val="007D42D2"/>
    <w:rsid w:val="007D4DF9"/>
    <w:rsid w:val="007E1C6C"/>
    <w:rsid w:val="007E2611"/>
    <w:rsid w:val="007E2F65"/>
    <w:rsid w:val="007E3371"/>
    <w:rsid w:val="007E386C"/>
    <w:rsid w:val="007E41C7"/>
    <w:rsid w:val="007E5060"/>
    <w:rsid w:val="007E5151"/>
    <w:rsid w:val="007E529E"/>
    <w:rsid w:val="007E7FBF"/>
    <w:rsid w:val="007F23B5"/>
    <w:rsid w:val="007F2A92"/>
    <w:rsid w:val="007F32A3"/>
    <w:rsid w:val="007F4E20"/>
    <w:rsid w:val="007F5C1E"/>
    <w:rsid w:val="007F6691"/>
    <w:rsid w:val="007F672A"/>
    <w:rsid w:val="0080078A"/>
    <w:rsid w:val="00800891"/>
    <w:rsid w:val="008014D0"/>
    <w:rsid w:val="00804B51"/>
    <w:rsid w:val="008058DD"/>
    <w:rsid w:val="00805958"/>
    <w:rsid w:val="00807069"/>
    <w:rsid w:val="00810664"/>
    <w:rsid w:val="00810AE7"/>
    <w:rsid w:val="008110FE"/>
    <w:rsid w:val="0081155E"/>
    <w:rsid w:val="00811C09"/>
    <w:rsid w:val="00812627"/>
    <w:rsid w:val="008130E6"/>
    <w:rsid w:val="00813F28"/>
    <w:rsid w:val="008155E5"/>
    <w:rsid w:val="00815B61"/>
    <w:rsid w:val="00815EF5"/>
    <w:rsid w:val="008164B2"/>
    <w:rsid w:val="008178BC"/>
    <w:rsid w:val="008203EC"/>
    <w:rsid w:val="00820617"/>
    <w:rsid w:val="00821ED2"/>
    <w:rsid w:val="00821EE0"/>
    <w:rsid w:val="00821F3E"/>
    <w:rsid w:val="008222D6"/>
    <w:rsid w:val="00823C46"/>
    <w:rsid w:val="00823E2F"/>
    <w:rsid w:val="00824D2F"/>
    <w:rsid w:val="00824FF0"/>
    <w:rsid w:val="008278BC"/>
    <w:rsid w:val="00832F33"/>
    <w:rsid w:val="008336FE"/>
    <w:rsid w:val="008352A6"/>
    <w:rsid w:val="0083684D"/>
    <w:rsid w:val="008368F9"/>
    <w:rsid w:val="00836B13"/>
    <w:rsid w:val="0084020C"/>
    <w:rsid w:val="008402FB"/>
    <w:rsid w:val="00841224"/>
    <w:rsid w:val="00841D3F"/>
    <w:rsid w:val="0084236E"/>
    <w:rsid w:val="008426B7"/>
    <w:rsid w:val="00842C3D"/>
    <w:rsid w:val="00843325"/>
    <w:rsid w:val="0084790E"/>
    <w:rsid w:val="008510F6"/>
    <w:rsid w:val="008524E3"/>
    <w:rsid w:val="0085274A"/>
    <w:rsid w:val="00853262"/>
    <w:rsid w:val="00853AF0"/>
    <w:rsid w:val="00854561"/>
    <w:rsid w:val="008551F7"/>
    <w:rsid w:val="00855537"/>
    <w:rsid w:val="00856B86"/>
    <w:rsid w:val="008604A0"/>
    <w:rsid w:val="00860D45"/>
    <w:rsid w:val="00861B82"/>
    <w:rsid w:val="00861D59"/>
    <w:rsid w:val="00861E4E"/>
    <w:rsid w:val="00861E68"/>
    <w:rsid w:val="0086237C"/>
    <w:rsid w:val="00862BBE"/>
    <w:rsid w:val="008636B7"/>
    <w:rsid w:val="00863717"/>
    <w:rsid w:val="00863B10"/>
    <w:rsid w:val="008649B9"/>
    <w:rsid w:val="00866345"/>
    <w:rsid w:val="00867B63"/>
    <w:rsid w:val="008708EC"/>
    <w:rsid w:val="008711FB"/>
    <w:rsid w:val="00871213"/>
    <w:rsid w:val="0087196E"/>
    <w:rsid w:val="00872E3A"/>
    <w:rsid w:val="00874789"/>
    <w:rsid w:val="00875592"/>
    <w:rsid w:val="0087563E"/>
    <w:rsid w:val="008761A8"/>
    <w:rsid w:val="00876626"/>
    <w:rsid w:val="008779C1"/>
    <w:rsid w:val="00880F17"/>
    <w:rsid w:val="00880FEE"/>
    <w:rsid w:val="0088100B"/>
    <w:rsid w:val="0088178C"/>
    <w:rsid w:val="0088238F"/>
    <w:rsid w:val="008823D6"/>
    <w:rsid w:val="00882632"/>
    <w:rsid w:val="008831AF"/>
    <w:rsid w:val="0088353D"/>
    <w:rsid w:val="00883B59"/>
    <w:rsid w:val="00883DC8"/>
    <w:rsid w:val="00883ED1"/>
    <w:rsid w:val="0088468F"/>
    <w:rsid w:val="00885EEB"/>
    <w:rsid w:val="008862D6"/>
    <w:rsid w:val="0088645F"/>
    <w:rsid w:val="00886F24"/>
    <w:rsid w:val="008901B7"/>
    <w:rsid w:val="008908B5"/>
    <w:rsid w:val="00890DBF"/>
    <w:rsid w:val="008915D4"/>
    <w:rsid w:val="008928B2"/>
    <w:rsid w:val="00892966"/>
    <w:rsid w:val="00892D31"/>
    <w:rsid w:val="00892D96"/>
    <w:rsid w:val="00893CF6"/>
    <w:rsid w:val="008945D2"/>
    <w:rsid w:val="008975CD"/>
    <w:rsid w:val="008A00F2"/>
    <w:rsid w:val="008A0B58"/>
    <w:rsid w:val="008A160B"/>
    <w:rsid w:val="008A2677"/>
    <w:rsid w:val="008A304E"/>
    <w:rsid w:val="008A311E"/>
    <w:rsid w:val="008A3B0D"/>
    <w:rsid w:val="008A3C76"/>
    <w:rsid w:val="008A41F1"/>
    <w:rsid w:val="008B0AFA"/>
    <w:rsid w:val="008B1BBD"/>
    <w:rsid w:val="008B263A"/>
    <w:rsid w:val="008B4636"/>
    <w:rsid w:val="008B4BCE"/>
    <w:rsid w:val="008B5288"/>
    <w:rsid w:val="008B555B"/>
    <w:rsid w:val="008B67C8"/>
    <w:rsid w:val="008B7A41"/>
    <w:rsid w:val="008C09F6"/>
    <w:rsid w:val="008C11FC"/>
    <w:rsid w:val="008C337A"/>
    <w:rsid w:val="008C4F86"/>
    <w:rsid w:val="008C5957"/>
    <w:rsid w:val="008C6A3B"/>
    <w:rsid w:val="008C7004"/>
    <w:rsid w:val="008C788E"/>
    <w:rsid w:val="008D01AC"/>
    <w:rsid w:val="008D0252"/>
    <w:rsid w:val="008D07D8"/>
    <w:rsid w:val="008D10A2"/>
    <w:rsid w:val="008D227B"/>
    <w:rsid w:val="008D4AD1"/>
    <w:rsid w:val="008D4EA4"/>
    <w:rsid w:val="008D75E7"/>
    <w:rsid w:val="008D7A48"/>
    <w:rsid w:val="008E00C9"/>
    <w:rsid w:val="008E06F5"/>
    <w:rsid w:val="008E0D83"/>
    <w:rsid w:val="008E1027"/>
    <w:rsid w:val="008E1662"/>
    <w:rsid w:val="008E185B"/>
    <w:rsid w:val="008E207C"/>
    <w:rsid w:val="008E244C"/>
    <w:rsid w:val="008E27B3"/>
    <w:rsid w:val="008E3621"/>
    <w:rsid w:val="008E44F9"/>
    <w:rsid w:val="008E46FC"/>
    <w:rsid w:val="008E6026"/>
    <w:rsid w:val="008E6401"/>
    <w:rsid w:val="008E7335"/>
    <w:rsid w:val="008E74C7"/>
    <w:rsid w:val="008E762F"/>
    <w:rsid w:val="008E7D78"/>
    <w:rsid w:val="008E7EAD"/>
    <w:rsid w:val="008F06A1"/>
    <w:rsid w:val="008F1E9E"/>
    <w:rsid w:val="008F2F3B"/>
    <w:rsid w:val="008F344F"/>
    <w:rsid w:val="008F3B2B"/>
    <w:rsid w:val="008F3DA0"/>
    <w:rsid w:val="008F4325"/>
    <w:rsid w:val="008F46FE"/>
    <w:rsid w:val="008F532F"/>
    <w:rsid w:val="008F5633"/>
    <w:rsid w:val="008F68AB"/>
    <w:rsid w:val="008F6A95"/>
    <w:rsid w:val="008F7BE7"/>
    <w:rsid w:val="00900D42"/>
    <w:rsid w:val="009017CE"/>
    <w:rsid w:val="00901B44"/>
    <w:rsid w:val="009030AD"/>
    <w:rsid w:val="009042CB"/>
    <w:rsid w:val="00906C98"/>
    <w:rsid w:val="00906F3E"/>
    <w:rsid w:val="00910873"/>
    <w:rsid w:val="00910886"/>
    <w:rsid w:val="00910BEB"/>
    <w:rsid w:val="00910CFC"/>
    <w:rsid w:val="009117BA"/>
    <w:rsid w:val="00911C33"/>
    <w:rsid w:val="00911ED2"/>
    <w:rsid w:val="009130D3"/>
    <w:rsid w:val="00915396"/>
    <w:rsid w:val="009165D0"/>
    <w:rsid w:val="00916E34"/>
    <w:rsid w:val="00916FBF"/>
    <w:rsid w:val="0091712A"/>
    <w:rsid w:val="00917636"/>
    <w:rsid w:val="00917639"/>
    <w:rsid w:val="0091783B"/>
    <w:rsid w:val="00920443"/>
    <w:rsid w:val="00920BC3"/>
    <w:rsid w:val="009212D4"/>
    <w:rsid w:val="00921910"/>
    <w:rsid w:val="00922952"/>
    <w:rsid w:val="0092363C"/>
    <w:rsid w:val="00923DFB"/>
    <w:rsid w:val="009240DB"/>
    <w:rsid w:val="0092538D"/>
    <w:rsid w:val="00925763"/>
    <w:rsid w:val="0092653A"/>
    <w:rsid w:val="00931FA9"/>
    <w:rsid w:val="00932A4A"/>
    <w:rsid w:val="00934021"/>
    <w:rsid w:val="0093508D"/>
    <w:rsid w:val="00937D65"/>
    <w:rsid w:val="00941FBA"/>
    <w:rsid w:val="00942255"/>
    <w:rsid w:val="00943ABE"/>
    <w:rsid w:val="00943E71"/>
    <w:rsid w:val="009440CC"/>
    <w:rsid w:val="00944889"/>
    <w:rsid w:val="00944D68"/>
    <w:rsid w:val="0094541C"/>
    <w:rsid w:val="0094715E"/>
    <w:rsid w:val="00950B32"/>
    <w:rsid w:val="00950C77"/>
    <w:rsid w:val="00951750"/>
    <w:rsid w:val="00952A3D"/>
    <w:rsid w:val="00952BEB"/>
    <w:rsid w:val="00953751"/>
    <w:rsid w:val="00953FBF"/>
    <w:rsid w:val="00954D1F"/>
    <w:rsid w:val="009553EB"/>
    <w:rsid w:val="00956ACE"/>
    <w:rsid w:val="00957EEA"/>
    <w:rsid w:val="00960998"/>
    <w:rsid w:val="00960FAA"/>
    <w:rsid w:val="00961AF2"/>
    <w:rsid w:val="0096332B"/>
    <w:rsid w:val="00963A32"/>
    <w:rsid w:val="00964407"/>
    <w:rsid w:val="00964570"/>
    <w:rsid w:val="009647AC"/>
    <w:rsid w:val="0096510A"/>
    <w:rsid w:val="0096586C"/>
    <w:rsid w:val="009670E2"/>
    <w:rsid w:val="00967DFF"/>
    <w:rsid w:val="0097052F"/>
    <w:rsid w:val="00970EAA"/>
    <w:rsid w:val="009716B4"/>
    <w:rsid w:val="009719A0"/>
    <w:rsid w:val="0097210E"/>
    <w:rsid w:val="00974FB9"/>
    <w:rsid w:val="009752F3"/>
    <w:rsid w:val="00976374"/>
    <w:rsid w:val="00976476"/>
    <w:rsid w:val="00976F8F"/>
    <w:rsid w:val="00977BFC"/>
    <w:rsid w:val="00980352"/>
    <w:rsid w:val="009805D9"/>
    <w:rsid w:val="00980695"/>
    <w:rsid w:val="00980BA6"/>
    <w:rsid w:val="00980E1D"/>
    <w:rsid w:val="00980F71"/>
    <w:rsid w:val="0098117A"/>
    <w:rsid w:val="00981B68"/>
    <w:rsid w:val="00982B9F"/>
    <w:rsid w:val="00983E89"/>
    <w:rsid w:val="0098415F"/>
    <w:rsid w:val="009849E5"/>
    <w:rsid w:val="00985142"/>
    <w:rsid w:val="0098725E"/>
    <w:rsid w:val="00987C29"/>
    <w:rsid w:val="009901C5"/>
    <w:rsid w:val="00990568"/>
    <w:rsid w:val="00990C2C"/>
    <w:rsid w:val="00991B79"/>
    <w:rsid w:val="00991FD2"/>
    <w:rsid w:val="00993621"/>
    <w:rsid w:val="00993852"/>
    <w:rsid w:val="00993ADB"/>
    <w:rsid w:val="00995540"/>
    <w:rsid w:val="009A25E3"/>
    <w:rsid w:val="009A50B4"/>
    <w:rsid w:val="009A5D63"/>
    <w:rsid w:val="009A5D6C"/>
    <w:rsid w:val="009A60CE"/>
    <w:rsid w:val="009A676E"/>
    <w:rsid w:val="009A7254"/>
    <w:rsid w:val="009B3BCC"/>
    <w:rsid w:val="009B410B"/>
    <w:rsid w:val="009B4129"/>
    <w:rsid w:val="009B572F"/>
    <w:rsid w:val="009B7A58"/>
    <w:rsid w:val="009C00B6"/>
    <w:rsid w:val="009C0479"/>
    <w:rsid w:val="009C0A30"/>
    <w:rsid w:val="009C0FCA"/>
    <w:rsid w:val="009C1BA1"/>
    <w:rsid w:val="009C2395"/>
    <w:rsid w:val="009C31E4"/>
    <w:rsid w:val="009C31FF"/>
    <w:rsid w:val="009C3B45"/>
    <w:rsid w:val="009C3C72"/>
    <w:rsid w:val="009C4349"/>
    <w:rsid w:val="009C5011"/>
    <w:rsid w:val="009C50B9"/>
    <w:rsid w:val="009C533C"/>
    <w:rsid w:val="009C62FB"/>
    <w:rsid w:val="009C686B"/>
    <w:rsid w:val="009D1161"/>
    <w:rsid w:val="009D180C"/>
    <w:rsid w:val="009D1E76"/>
    <w:rsid w:val="009D1F42"/>
    <w:rsid w:val="009D221F"/>
    <w:rsid w:val="009D2802"/>
    <w:rsid w:val="009D2DA9"/>
    <w:rsid w:val="009D3441"/>
    <w:rsid w:val="009D4621"/>
    <w:rsid w:val="009D46B0"/>
    <w:rsid w:val="009D5A10"/>
    <w:rsid w:val="009D5A1F"/>
    <w:rsid w:val="009D71A5"/>
    <w:rsid w:val="009D7542"/>
    <w:rsid w:val="009E02D9"/>
    <w:rsid w:val="009E0AA2"/>
    <w:rsid w:val="009E148F"/>
    <w:rsid w:val="009E1772"/>
    <w:rsid w:val="009E27CD"/>
    <w:rsid w:val="009E2816"/>
    <w:rsid w:val="009E3E34"/>
    <w:rsid w:val="009E40D5"/>
    <w:rsid w:val="009E43CB"/>
    <w:rsid w:val="009E4478"/>
    <w:rsid w:val="009E48EC"/>
    <w:rsid w:val="009E4E8D"/>
    <w:rsid w:val="009E617C"/>
    <w:rsid w:val="009E6401"/>
    <w:rsid w:val="009E68A9"/>
    <w:rsid w:val="009E7019"/>
    <w:rsid w:val="009E7629"/>
    <w:rsid w:val="009F0FA2"/>
    <w:rsid w:val="009F2D3A"/>
    <w:rsid w:val="009F4F9C"/>
    <w:rsid w:val="009F5B97"/>
    <w:rsid w:val="009F757C"/>
    <w:rsid w:val="009F79A8"/>
    <w:rsid w:val="009F7EC0"/>
    <w:rsid w:val="00A00037"/>
    <w:rsid w:val="00A0189C"/>
    <w:rsid w:val="00A01BE5"/>
    <w:rsid w:val="00A01DF2"/>
    <w:rsid w:val="00A023F0"/>
    <w:rsid w:val="00A0456A"/>
    <w:rsid w:val="00A04DA4"/>
    <w:rsid w:val="00A05772"/>
    <w:rsid w:val="00A06E97"/>
    <w:rsid w:val="00A10440"/>
    <w:rsid w:val="00A10D85"/>
    <w:rsid w:val="00A11A73"/>
    <w:rsid w:val="00A1364F"/>
    <w:rsid w:val="00A136DC"/>
    <w:rsid w:val="00A13EBB"/>
    <w:rsid w:val="00A13F55"/>
    <w:rsid w:val="00A14409"/>
    <w:rsid w:val="00A155B7"/>
    <w:rsid w:val="00A15867"/>
    <w:rsid w:val="00A159F1"/>
    <w:rsid w:val="00A1684C"/>
    <w:rsid w:val="00A168B1"/>
    <w:rsid w:val="00A17E73"/>
    <w:rsid w:val="00A20248"/>
    <w:rsid w:val="00A2065B"/>
    <w:rsid w:val="00A20EA9"/>
    <w:rsid w:val="00A22924"/>
    <w:rsid w:val="00A22CC0"/>
    <w:rsid w:val="00A24293"/>
    <w:rsid w:val="00A242CE"/>
    <w:rsid w:val="00A3008A"/>
    <w:rsid w:val="00A309DB"/>
    <w:rsid w:val="00A30B99"/>
    <w:rsid w:val="00A312E9"/>
    <w:rsid w:val="00A318E6"/>
    <w:rsid w:val="00A33345"/>
    <w:rsid w:val="00A34A61"/>
    <w:rsid w:val="00A34D1D"/>
    <w:rsid w:val="00A357EA"/>
    <w:rsid w:val="00A35B6F"/>
    <w:rsid w:val="00A35CF2"/>
    <w:rsid w:val="00A3607F"/>
    <w:rsid w:val="00A36933"/>
    <w:rsid w:val="00A370DC"/>
    <w:rsid w:val="00A37864"/>
    <w:rsid w:val="00A4114B"/>
    <w:rsid w:val="00A41AAE"/>
    <w:rsid w:val="00A42833"/>
    <w:rsid w:val="00A43BA3"/>
    <w:rsid w:val="00A43BAE"/>
    <w:rsid w:val="00A45B05"/>
    <w:rsid w:val="00A479FD"/>
    <w:rsid w:val="00A501EB"/>
    <w:rsid w:val="00A5158E"/>
    <w:rsid w:val="00A515D3"/>
    <w:rsid w:val="00A52680"/>
    <w:rsid w:val="00A52A9A"/>
    <w:rsid w:val="00A52BD6"/>
    <w:rsid w:val="00A53A82"/>
    <w:rsid w:val="00A554AC"/>
    <w:rsid w:val="00A556FD"/>
    <w:rsid w:val="00A562CD"/>
    <w:rsid w:val="00A56596"/>
    <w:rsid w:val="00A57426"/>
    <w:rsid w:val="00A60005"/>
    <w:rsid w:val="00A606C2"/>
    <w:rsid w:val="00A61EE7"/>
    <w:rsid w:val="00A62EA2"/>
    <w:rsid w:val="00A63A3F"/>
    <w:rsid w:val="00A63CC1"/>
    <w:rsid w:val="00A6407D"/>
    <w:rsid w:val="00A643C9"/>
    <w:rsid w:val="00A64F27"/>
    <w:rsid w:val="00A6503F"/>
    <w:rsid w:val="00A652BE"/>
    <w:rsid w:val="00A65F85"/>
    <w:rsid w:val="00A66C0A"/>
    <w:rsid w:val="00A6790B"/>
    <w:rsid w:val="00A67FEE"/>
    <w:rsid w:val="00A70E60"/>
    <w:rsid w:val="00A71767"/>
    <w:rsid w:val="00A71B1E"/>
    <w:rsid w:val="00A74DAB"/>
    <w:rsid w:val="00A7608E"/>
    <w:rsid w:val="00A77767"/>
    <w:rsid w:val="00A8047E"/>
    <w:rsid w:val="00A80BB8"/>
    <w:rsid w:val="00A815A4"/>
    <w:rsid w:val="00A826E0"/>
    <w:rsid w:val="00A83385"/>
    <w:rsid w:val="00A840A4"/>
    <w:rsid w:val="00A8465F"/>
    <w:rsid w:val="00A84C2C"/>
    <w:rsid w:val="00A85181"/>
    <w:rsid w:val="00A85A06"/>
    <w:rsid w:val="00A85FB3"/>
    <w:rsid w:val="00A863C6"/>
    <w:rsid w:val="00A906C9"/>
    <w:rsid w:val="00A91029"/>
    <w:rsid w:val="00A91DA0"/>
    <w:rsid w:val="00A91E72"/>
    <w:rsid w:val="00A922C8"/>
    <w:rsid w:val="00A93064"/>
    <w:rsid w:val="00A954C8"/>
    <w:rsid w:val="00A97316"/>
    <w:rsid w:val="00A9788C"/>
    <w:rsid w:val="00AA0947"/>
    <w:rsid w:val="00AA0996"/>
    <w:rsid w:val="00AA1CA1"/>
    <w:rsid w:val="00AA2C19"/>
    <w:rsid w:val="00AA2C43"/>
    <w:rsid w:val="00AA30E7"/>
    <w:rsid w:val="00AA426B"/>
    <w:rsid w:val="00AA5828"/>
    <w:rsid w:val="00AA585D"/>
    <w:rsid w:val="00AB004F"/>
    <w:rsid w:val="00AB16BF"/>
    <w:rsid w:val="00AB242F"/>
    <w:rsid w:val="00AB4056"/>
    <w:rsid w:val="00AB478B"/>
    <w:rsid w:val="00AB479F"/>
    <w:rsid w:val="00AB4960"/>
    <w:rsid w:val="00AB5B7F"/>
    <w:rsid w:val="00AB5E09"/>
    <w:rsid w:val="00AB647A"/>
    <w:rsid w:val="00AB6930"/>
    <w:rsid w:val="00AB6AFA"/>
    <w:rsid w:val="00AC068B"/>
    <w:rsid w:val="00AC1CCF"/>
    <w:rsid w:val="00AC29B6"/>
    <w:rsid w:val="00AC33E0"/>
    <w:rsid w:val="00AC3B1B"/>
    <w:rsid w:val="00AC403A"/>
    <w:rsid w:val="00AC419D"/>
    <w:rsid w:val="00AC4281"/>
    <w:rsid w:val="00AC6C06"/>
    <w:rsid w:val="00AC6CB1"/>
    <w:rsid w:val="00AC6F13"/>
    <w:rsid w:val="00AC7281"/>
    <w:rsid w:val="00AC729E"/>
    <w:rsid w:val="00AD0F0C"/>
    <w:rsid w:val="00AD12E8"/>
    <w:rsid w:val="00AD4FF5"/>
    <w:rsid w:val="00AD5607"/>
    <w:rsid w:val="00AD5EA8"/>
    <w:rsid w:val="00AD604C"/>
    <w:rsid w:val="00AD71DC"/>
    <w:rsid w:val="00AD7411"/>
    <w:rsid w:val="00AD7D10"/>
    <w:rsid w:val="00AE0932"/>
    <w:rsid w:val="00AE0F90"/>
    <w:rsid w:val="00AE1ADE"/>
    <w:rsid w:val="00AE201D"/>
    <w:rsid w:val="00AE205C"/>
    <w:rsid w:val="00AE212E"/>
    <w:rsid w:val="00AE235F"/>
    <w:rsid w:val="00AE434E"/>
    <w:rsid w:val="00AE6113"/>
    <w:rsid w:val="00AE67FB"/>
    <w:rsid w:val="00AE7EF6"/>
    <w:rsid w:val="00AF098B"/>
    <w:rsid w:val="00AF2255"/>
    <w:rsid w:val="00AF3711"/>
    <w:rsid w:val="00AF493C"/>
    <w:rsid w:val="00AF4AEC"/>
    <w:rsid w:val="00AF5CCE"/>
    <w:rsid w:val="00AF5D15"/>
    <w:rsid w:val="00AF68D7"/>
    <w:rsid w:val="00AF6EB1"/>
    <w:rsid w:val="00AF72E0"/>
    <w:rsid w:val="00AF77BB"/>
    <w:rsid w:val="00B00EED"/>
    <w:rsid w:val="00B02B95"/>
    <w:rsid w:val="00B02E35"/>
    <w:rsid w:val="00B0307F"/>
    <w:rsid w:val="00B0333C"/>
    <w:rsid w:val="00B03A43"/>
    <w:rsid w:val="00B03D2F"/>
    <w:rsid w:val="00B06183"/>
    <w:rsid w:val="00B073DB"/>
    <w:rsid w:val="00B07B8E"/>
    <w:rsid w:val="00B07D81"/>
    <w:rsid w:val="00B07EA4"/>
    <w:rsid w:val="00B106B0"/>
    <w:rsid w:val="00B1202A"/>
    <w:rsid w:val="00B120EC"/>
    <w:rsid w:val="00B1324D"/>
    <w:rsid w:val="00B140F4"/>
    <w:rsid w:val="00B160AA"/>
    <w:rsid w:val="00B176DC"/>
    <w:rsid w:val="00B202ED"/>
    <w:rsid w:val="00B20993"/>
    <w:rsid w:val="00B21776"/>
    <w:rsid w:val="00B219B6"/>
    <w:rsid w:val="00B21A6F"/>
    <w:rsid w:val="00B21F3F"/>
    <w:rsid w:val="00B22AFA"/>
    <w:rsid w:val="00B23444"/>
    <w:rsid w:val="00B24215"/>
    <w:rsid w:val="00B25247"/>
    <w:rsid w:val="00B2741F"/>
    <w:rsid w:val="00B3072B"/>
    <w:rsid w:val="00B308E5"/>
    <w:rsid w:val="00B30C50"/>
    <w:rsid w:val="00B3189A"/>
    <w:rsid w:val="00B31A47"/>
    <w:rsid w:val="00B31E05"/>
    <w:rsid w:val="00B33B8E"/>
    <w:rsid w:val="00B33CC9"/>
    <w:rsid w:val="00B34A0D"/>
    <w:rsid w:val="00B35056"/>
    <w:rsid w:val="00B368E1"/>
    <w:rsid w:val="00B37320"/>
    <w:rsid w:val="00B37413"/>
    <w:rsid w:val="00B4170F"/>
    <w:rsid w:val="00B4402C"/>
    <w:rsid w:val="00B442F3"/>
    <w:rsid w:val="00B44747"/>
    <w:rsid w:val="00B454C4"/>
    <w:rsid w:val="00B46643"/>
    <w:rsid w:val="00B46B12"/>
    <w:rsid w:val="00B46C45"/>
    <w:rsid w:val="00B47B0D"/>
    <w:rsid w:val="00B53C88"/>
    <w:rsid w:val="00B53C98"/>
    <w:rsid w:val="00B54057"/>
    <w:rsid w:val="00B54BF3"/>
    <w:rsid w:val="00B560C5"/>
    <w:rsid w:val="00B577EC"/>
    <w:rsid w:val="00B57D29"/>
    <w:rsid w:val="00B57DD7"/>
    <w:rsid w:val="00B57E5B"/>
    <w:rsid w:val="00B601A8"/>
    <w:rsid w:val="00B6092D"/>
    <w:rsid w:val="00B60AB5"/>
    <w:rsid w:val="00B611C3"/>
    <w:rsid w:val="00B61463"/>
    <w:rsid w:val="00B61E02"/>
    <w:rsid w:val="00B62284"/>
    <w:rsid w:val="00B622C7"/>
    <w:rsid w:val="00B62907"/>
    <w:rsid w:val="00B62C23"/>
    <w:rsid w:val="00B63300"/>
    <w:rsid w:val="00B647A8"/>
    <w:rsid w:val="00B64C88"/>
    <w:rsid w:val="00B65157"/>
    <w:rsid w:val="00B66E86"/>
    <w:rsid w:val="00B716CE"/>
    <w:rsid w:val="00B719F9"/>
    <w:rsid w:val="00B71C0B"/>
    <w:rsid w:val="00B72C2F"/>
    <w:rsid w:val="00B73B81"/>
    <w:rsid w:val="00B75323"/>
    <w:rsid w:val="00B7634D"/>
    <w:rsid w:val="00B76631"/>
    <w:rsid w:val="00B815EE"/>
    <w:rsid w:val="00B81ED1"/>
    <w:rsid w:val="00B83FD1"/>
    <w:rsid w:val="00B86160"/>
    <w:rsid w:val="00B861C1"/>
    <w:rsid w:val="00B86E84"/>
    <w:rsid w:val="00B873A8"/>
    <w:rsid w:val="00B87998"/>
    <w:rsid w:val="00B917DB"/>
    <w:rsid w:val="00B92480"/>
    <w:rsid w:val="00B93158"/>
    <w:rsid w:val="00B94224"/>
    <w:rsid w:val="00B95921"/>
    <w:rsid w:val="00B964E4"/>
    <w:rsid w:val="00B97159"/>
    <w:rsid w:val="00BA22AE"/>
    <w:rsid w:val="00BA33A1"/>
    <w:rsid w:val="00BA3455"/>
    <w:rsid w:val="00BA3569"/>
    <w:rsid w:val="00BA584D"/>
    <w:rsid w:val="00BA68EB"/>
    <w:rsid w:val="00BA7E34"/>
    <w:rsid w:val="00BB0027"/>
    <w:rsid w:val="00BB032E"/>
    <w:rsid w:val="00BB0A9F"/>
    <w:rsid w:val="00BB0C22"/>
    <w:rsid w:val="00BB0DDF"/>
    <w:rsid w:val="00BB15C4"/>
    <w:rsid w:val="00BB1CD4"/>
    <w:rsid w:val="00BB202A"/>
    <w:rsid w:val="00BB212B"/>
    <w:rsid w:val="00BB2563"/>
    <w:rsid w:val="00BB2ABB"/>
    <w:rsid w:val="00BB3020"/>
    <w:rsid w:val="00BB3918"/>
    <w:rsid w:val="00BB3C7F"/>
    <w:rsid w:val="00BB489E"/>
    <w:rsid w:val="00BB4B13"/>
    <w:rsid w:val="00BB595C"/>
    <w:rsid w:val="00BB60C4"/>
    <w:rsid w:val="00BB6446"/>
    <w:rsid w:val="00BC02EC"/>
    <w:rsid w:val="00BC225B"/>
    <w:rsid w:val="00BC2391"/>
    <w:rsid w:val="00BC2F1D"/>
    <w:rsid w:val="00BC346D"/>
    <w:rsid w:val="00BC3675"/>
    <w:rsid w:val="00BC37FB"/>
    <w:rsid w:val="00BC3AAF"/>
    <w:rsid w:val="00BC476F"/>
    <w:rsid w:val="00BC4A2B"/>
    <w:rsid w:val="00BC6314"/>
    <w:rsid w:val="00BC7B7C"/>
    <w:rsid w:val="00BC7BFD"/>
    <w:rsid w:val="00BC7D27"/>
    <w:rsid w:val="00BC7E07"/>
    <w:rsid w:val="00BD0B64"/>
    <w:rsid w:val="00BD0E55"/>
    <w:rsid w:val="00BD12B3"/>
    <w:rsid w:val="00BD1309"/>
    <w:rsid w:val="00BD1F16"/>
    <w:rsid w:val="00BD2116"/>
    <w:rsid w:val="00BD22F5"/>
    <w:rsid w:val="00BD2513"/>
    <w:rsid w:val="00BD291D"/>
    <w:rsid w:val="00BD2EAF"/>
    <w:rsid w:val="00BD31FC"/>
    <w:rsid w:val="00BD4C61"/>
    <w:rsid w:val="00BD6403"/>
    <w:rsid w:val="00BD6948"/>
    <w:rsid w:val="00BD6BFA"/>
    <w:rsid w:val="00BE0263"/>
    <w:rsid w:val="00BE0A50"/>
    <w:rsid w:val="00BE1002"/>
    <w:rsid w:val="00BE1DE6"/>
    <w:rsid w:val="00BE25C9"/>
    <w:rsid w:val="00BE2DAA"/>
    <w:rsid w:val="00BE337C"/>
    <w:rsid w:val="00BE542D"/>
    <w:rsid w:val="00BE5CBB"/>
    <w:rsid w:val="00BE5FE7"/>
    <w:rsid w:val="00BE617C"/>
    <w:rsid w:val="00BE7087"/>
    <w:rsid w:val="00BE7B44"/>
    <w:rsid w:val="00BF0CFA"/>
    <w:rsid w:val="00BF1A54"/>
    <w:rsid w:val="00BF1EA7"/>
    <w:rsid w:val="00BF2152"/>
    <w:rsid w:val="00BF4D73"/>
    <w:rsid w:val="00BF5A9D"/>
    <w:rsid w:val="00BF7858"/>
    <w:rsid w:val="00BF79C5"/>
    <w:rsid w:val="00BF7C6E"/>
    <w:rsid w:val="00C0088D"/>
    <w:rsid w:val="00C00CE4"/>
    <w:rsid w:val="00C01F12"/>
    <w:rsid w:val="00C0408A"/>
    <w:rsid w:val="00C04591"/>
    <w:rsid w:val="00C0460E"/>
    <w:rsid w:val="00C04AD5"/>
    <w:rsid w:val="00C04D72"/>
    <w:rsid w:val="00C05E3A"/>
    <w:rsid w:val="00C06F52"/>
    <w:rsid w:val="00C07445"/>
    <w:rsid w:val="00C07ADC"/>
    <w:rsid w:val="00C07F13"/>
    <w:rsid w:val="00C10CBB"/>
    <w:rsid w:val="00C10F72"/>
    <w:rsid w:val="00C116BE"/>
    <w:rsid w:val="00C11767"/>
    <w:rsid w:val="00C124EB"/>
    <w:rsid w:val="00C12C02"/>
    <w:rsid w:val="00C14B7E"/>
    <w:rsid w:val="00C178D3"/>
    <w:rsid w:val="00C20121"/>
    <w:rsid w:val="00C2065D"/>
    <w:rsid w:val="00C20747"/>
    <w:rsid w:val="00C20A37"/>
    <w:rsid w:val="00C20B16"/>
    <w:rsid w:val="00C20C0D"/>
    <w:rsid w:val="00C21361"/>
    <w:rsid w:val="00C22223"/>
    <w:rsid w:val="00C23F66"/>
    <w:rsid w:val="00C24CE6"/>
    <w:rsid w:val="00C25461"/>
    <w:rsid w:val="00C264A3"/>
    <w:rsid w:val="00C30F48"/>
    <w:rsid w:val="00C31652"/>
    <w:rsid w:val="00C3213A"/>
    <w:rsid w:val="00C330EC"/>
    <w:rsid w:val="00C3425B"/>
    <w:rsid w:val="00C34BD8"/>
    <w:rsid w:val="00C355C6"/>
    <w:rsid w:val="00C35BCC"/>
    <w:rsid w:val="00C35E84"/>
    <w:rsid w:val="00C35F65"/>
    <w:rsid w:val="00C360D9"/>
    <w:rsid w:val="00C362A8"/>
    <w:rsid w:val="00C37C12"/>
    <w:rsid w:val="00C4027C"/>
    <w:rsid w:val="00C40DDC"/>
    <w:rsid w:val="00C42308"/>
    <w:rsid w:val="00C42BDD"/>
    <w:rsid w:val="00C4364A"/>
    <w:rsid w:val="00C449D4"/>
    <w:rsid w:val="00C45840"/>
    <w:rsid w:val="00C45AD6"/>
    <w:rsid w:val="00C4655C"/>
    <w:rsid w:val="00C4676B"/>
    <w:rsid w:val="00C50E73"/>
    <w:rsid w:val="00C514CE"/>
    <w:rsid w:val="00C539A8"/>
    <w:rsid w:val="00C53ED3"/>
    <w:rsid w:val="00C54A41"/>
    <w:rsid w:val="00C5512E"/>
    <w:rsid w:val="00C56B81"/>
    <w:rsid w:val="00C57E47"/>
    <w:rsid w:val="00C603E2"/>
    <w:rsid w:val="00C60477"/>
    <w:rsid w:val="00C60BA6"/>
    <w:rsid w:val="00C62BDC"/>
    <w:rsid w:val="00C63C3F"/>
    <w:rsid w:val="00C659FB"/>
    <w:rsid w:val="00C666F9"/>
    <w:rsid w:val="00C73EC7"/>
    <w:rsid w:val="00C74C4E"/>
    <w:rsid w:val="00C75855"/>
    <w:rsid w:val="00C75A13"/>
    <w:rsid w:val="00C7701E"/>
    <w:rsid w:val="00C7754F"/>
    <w:rsid w:val="00C8169C"/>
    <w:rsid w:val="00C81DD8"/>
    <w:rsid w:val="00C81FEF"/>
    <w:rsid w:val="00C82B1C"/>
    <w:rsid w:val="00C83DE2"/>
    <w:rsid w:val="00C84790"/>
    <w:rsid w:val="00C84CEA"/>
    <w:rsid w:val="00C85BFF"/>
    <w:rsid w:val="00C85CF0"/>
    <w:rsid w:val="00C85DCE"/>
    <w:rsid w:val="00C86F3D"/>
    <w:rsid w:val="00C90278"/>
    <w:rsid w:val="00C90364"/>
    <w:rsid w:val="00C90F19"/>
    <w:rsid w:val="00C915FA"/>
    <w:rsid w:val="00C91702"/>
    <w:rsid w:val="00C91F98"/>
    <w:rsid w:val="00C9251C"/>
    <w:rsid w:val="00C928EB"/>
    <w:rsid w:val="00C929CA"/>
    <w:rsid w:val="00C92AA7"/>
    <w:rsid w:val="00C94B92"/>
    <w:rsid w:val="00C95C66"/>
    <w:rsid w:val="00C97012"/>
    <w:rsid w:val="00C97F7B"/>
    <w:rsid w:val="00CA01B2"/>
    <w:rsid w:val="00CA0570"/>
    <w:rsid w:val="00CA0EB1"/>
    <w:rsid w:val="00CA173F"/>
    <w:rsid w:val="00CA2842"/>
    <w:rsid w:val="00CA4170"/>
    <w:rsid w:val="00CA4762"/>
    <w:rsid w:val="00CA47BF"/>
    <w:rsid w:val="00CA4CCD"/>
    <w:rsid w:val="00CA4D2C"/>
    <w:rsid w:val="00CA4F48"/>
    <w:rsid w:val="00CA5283"/>
    <w:rsid w:val="00CA5A78"/>
    <w:rsid w:val="00CA6FA0"/>
    <w:rsid w:val="00CA789D"/>
    <w:rsid w:val="00CA78AE"/>
    <w:rsid w:val="00CB00DC"/>
    <w:rsid w:val="00CB14F7"/>
    <w:rsid w:val="00CB30E8"/>
    <w:rsid w:val="00CB32FA"/>
    <w:rsid w:val="00CB44D7"/>
    <w:rsid w:val="00CB4B7E"/>
    <w:rsid w:val="00CB65D2"/>
    <w:rsid w:val="00CB7608"/>
    <w:rsid w:val="00CB76AE"/>
    <w:rsid w:val="00CC00EC"/>
    <w:rsid w:val="00CC0D29"/>
    <w:rsid w:val="00CC1521"/>
    <w:rsid w:val="00CC1832"/>
    <w:rsid w:val="00CC23A0"/>
    <w:rsid w:val="00CC3609"/>
    <w:rsid w:val="00CC3D8D"/>
    <w:rsid w:val="00CC4F19"/>
    <w:rsid w:val="00CC5487"/>
    <w:rsid w:val="00CC60F5"/>
    <w:rsid w:val="00CC6242"/>
    <w:rsid w:val="00CC659C"/>
    <w:rsid w:val="00CD0677"/>
    <w:rsid w:val="00CD1F96"/>
    <w:rsid w:val="00CD4440"/>
    <w:rsid w:val="00CD48F3"/>
    <w:rsid w:val="00CD4CF7"/>
    <w:rsid w:val="00CD623F"/>
    <w:rsid w:val="00CE01CD"/>
    <w:rsid w:val="00CE04A0"/>
    <w:rsid w:val="00CE18B5"/>
    <w:rsid w:val="00CE3ED8"/>
    <w:rsid w:val="00CE65C7"/>
    <w:rsid w:val="00CE6BAB"/>
    <w:rsid w:val="00CE6BCE"/>
    <w:rsid w:val="00CE6FA0"/>
    <w:rsid w:val="00CE7204"/>
    <w:rsid w:val="00CE78CC"/>
    <w:rsid w:val="00CF0021"/>
    <w:rsid w:val="00CF0FF1"/>
    <w:rsid w:val="00CF20F3"/>
    <w:rsid w:val="00CF3B65"/>
    <w:rsid w:val="00CF3D00"/>
    <w:rsid w:val="00CF45B5"/>
    <w:rsid w:val="00CF6AF6"/>
    <w:rsid w:val="00CF7301"/>
    <w:rsid w:val="00CF7687"/>
    <w:rsid w:val="00D00342"/>
    <w:rsid w:val="00D0099E"/>
    <w:rsid w:val="00D02695"/>
    <w:rsid w:val="00D02FA7"/>
    <w:rsid w:val="00D037E2"/>
    <w:rsid w:val="00D03CB5"/>
    <w:rsid w:val="00D045D0"/>
    <w:rsid w:val="00D070B0"/>
    <w:rsid w:val="00D071E5"/>
    <w:rsid w:val="00D07C7F"/>
    <w:rsid w:val="00D11358"/>
    <w:rsid w:val="00D115C0"/>
    <w:rsid w:val="00D13774"/>
    <w:rsid w:val="00D13F53"/>
    <w:rsid w:val="00D1437D"/>
    <w:rsid w:val="00D14C2D"/>
    <w:rsid w:val="00D169D5"/>
    <w:rsid w:val="00D16ABA"/>
    <w:rsid w:val="00D1748C"/>
    <w:rsid w:val="00D1795B"/>
    <w:rsid w:val="00D20B8D"/>
    <w:rsid w:val="00D20DEA"/>
    <w:rsid w:val="00D22955"/>
    <w:rsid w:val="00D24295"/>
    <w:rsid w:val="00D2591F"/>
    <w:rsid w:val="00D26C49"/>
    <w:rsid w:val="00D273B5"/>
    <w:rsid w:val="00D27B5D"/>
    <w:rsid w:val="00D27D9D"/>
    <w:rsid w:val="00D311BB"/>
    <w:rsid w:val="00D3218E"/>
    <w:rsid w:val="00D32B49"/>
    <w:rsid w:val="00D33520"/>
    <w:rsid w:val="00D344AF"/>
    <w:rsid w:val="00D34E15"/>
    <w:rsid w:val="00D34FF1"/>
    <w:rsid w:val="00D35AFB"/>
    <w:rsid w:val="00D35B7E"/>
    <w:rsid w:val="00D35F58"/>
    <w:rsid w:val="00D375AC"/>
    <w:rsid w:val="00D3764B"/>
    <w:rsid w:val="00D376F2"/>
    <w:rsid w:val="00D413D3"/>
    <w:rsid w:val="00D437B2"/>
    <w:rsid w:val="00D4655A"/>
    <w:rsid w:val="00D46680"/>
    <w:rsid w:val="00D47F98"/>
    <w:rsid w:val="00D52454"/>
    <w:rsid w:val="00D53902"/>
    <w:rsid w:val="00D54B5C"/>
    <w:rsid w:val="00D5611D"/>
    <w:rsid w:val="00D56BB9"/>
    <w:rsid w:val="00D56C5E"/>
    <w:rsid w:val="00D56EBA"/>
    <w:rsid w:val="00D575A3"/>
    <w:rsid w:val="00D57F0E"/>
    <w:rsid w:val="00D60377"/>
    <w:rsid w:val="00D6047D"/>
    <w:rsid w:val="00D604D9"/>
    <w:rsid w:val="00D611FB"/>
    <w:rsid w:val="00D6197A"/>
    <w:rsid w:val="00D619A6"/>
    <w:rsid w:val="00D62136"/>
    <w:rsid w:val="00D623C9"/>
    <w:rsid w:val="00D627E8"/>
    <w:rsid w:val="00D62B65"/>
    <w:rsid w:val="00D630C5"/>
    <w:rsid w:val="00D64DD1"/>
    <w:rsid w:val="00D65DDC"/>
    <w:rsid w:val="00D6615F"/>
    <w:rsid w:val="00D66317"/>
    <w:rsid w:val="00D66D71"/>
    <w:rsid w:val="00D720DA"/>
    <w:rsid w:val="00D723A0"/>
    <w:rsid w:val="00D72748"/>
    <w:rsid w:val="00D73145"/>
    <w:rsid w:val="00D7391F"/>
    <w:rsid w:val="00D74EE5"/>
    <w:rsid w:val="00D752EE"/>
    <w:rsid w:val="00D75765"/>
    <w:rsid w:val="00D76920"/>
    <w:rsid w:val="00D80162"/>
    <w:rsid w:val="00D80459"/>
    <w:rsid w:val="00D81722"/>
    <w:rsid w:val="00D81822"/>
    <w:rsid w:val="00D81CF3"/>
    <w:rsid w:val="00D827F6"/>
    <w:rsid w:val="00D8323A"/>
    <w:rsid w:val="00D8444C"/>
    <w:rsid w:val="00D852ED"/>
    <w:rsid w:val="00D86FED"/>
    <w:rsid w:val="00D90AA4"/>
    <w:rsid w:val="00D918B4"/>
    <w:rsid w:val="00D92B02"/>
    <w:rsid w:val="00D9520D"/>
    <w:rsid w:val="00D95931"/>
    <w:rsid w:val="00D95C91"/>
    <w:rsid w:val="00DA0C3B"/>
    <w:rsid w:val="00DA3434"/>
    <w:rsid w:val="00DA344A"/>
    <w:rsid w:val="00DA44C0"/>
    <w:rsid w:val="00DA5C37"/>
    <w:rsid w:val="00DA61F4"/>
    <w:rsid w:val="00DA69C3"/>
    <w:rsid w:val="00DA7E7F"/>
    <w:rsid w:val="00DB0977"/>
    <w:rsid w:val="00DB1398"/>
    <w:rsid w:val="00DB1667"/>
    <w:rsid w:val="00DB1E9A"/>
    <w:rsid w:val="00DB2052"/>
    <w:rsid w:val="00DB207A"/>
    <w:rsid w:val="00DB2500"/>
    <w:rsid w:val="00DB3A45"/>
    <w:rsid w:val="00DB40F2"/>
    <w:rsid w:val="00DB525C"/>
    <w:rsid w:val="00DB59CA"/>
    <w:rsid w:val="00DB59EA"/>
    <w:rsid w:val="00DB64B4"/>
    <w:rsid w:val="00DB67C7"/>
    <w:rsid w:val="00DB68B4"/>
    <w:rsid w:val="00DC0C30"/>
    <w:rsid w:val="00DC19C6"/>
    <w:rsid w:val="00DC2063"/>
    <w:rsid w:val="00DC24B5"/>
    <w:rsid w:val="00DC306B"/>
    <w:rsid w:val="00DC30B9"/>
    <w:rsid w:val="00DC4B9A"/>
    <w:rsid w:val="00DC55F8"/>
    <w:rsid w:val="00DC6352"/>
    <w:rsid w:val="00DC6E62"/>
    <w:rsid w:val="00DC716E"/>
    <w:rsid w:val="00DC7801"/>
    <w:rsid w:val="00DD01A5"/>
    <w:rsid w:val="00DD1D5E"/>
    <w:rsid w:val="00DD3389"/>
    <w:rsid w:val="00DD35BF"/>
    <w:rsid w:val="00DD3DC0"/>
    <w:rsid w:val="00DD45A2"/>
    <w:rsid w:val="00DD5F8A"/>
    <w:rsid w:val="00DD68C3"/>
    <w:rsid w:val="00DD6E14"/>
    <w:rsid w:val="00DD730A"/>
    <w:rsid w:val="00DE0B0D"/>
    <w:rsid w:val="00DE151E"/>
    <w:rsid w:val="00DE25D1"/>
    <w:rsid w:val="00DE27B2"/>
    <w:rsid w:val="00DE4BAB"/>
    <w:rsid w:val="00DE4C92"/>
    <w:rsid w:val="00DE5F7F"/>
    <w:rsid w:val="00DE6695"/>
    <w:rsid w:val="00DE7A61"/>
    <w:rsid w:val="00DE7B99"/>
    <w:rsid w:val="00DF0B7F"/>
    <w:rsid w:val="00DF2850"/>
    <w:rsid w:val="00DF2FEE"/>
    <w:rsid w:val="00DF424A"/>
    <w:rsid w:val="00DF47C1"/>
    <w:rsid w:val="00DF486F"/>
    <w:rsid w:val="00DF57EA"/>
    <w:rsid w:val="00DF7652"/>
    <w:rsid w:val="00DF7E59"/>
    <w:rsid w:val="00E0008B"/>
    <w:rsid w:val="00E00B2D"/>
    <w:rsid w:val="00E0132F"/>
    <w:rsid w:val="00E0305F"/>
    <w:rsid w:val="00E04276"/>
    <w:rsid w:val="00E0490E"/>
    <w:rsid w:val="00E04CF0"/>
    <w:rsid w:val="00E06A59"/>
    <w:rsid w:val="00E07D59"/>
    <w:rsid w:val="00E1154C"/>
    <w:rsid w:val="00E13B2B"/>
    <w:rsid w:val="00E146D9"/>
    <w:rsid w:val="00E15600"/>
    <w:rsid w:val="00E158B2"/>
    <w:rsid w:val="00E20DFA"/>
    <w:rsid w:val="00E216A9"/>
    <w:rsid w:val="00E22563"/>
    <w:rsid w:val="00E23AA1"/>
    <w:rsid w:val="00E23D18"/>
    <w:rsid w:val="00E23E62"/>
    <w:rsid w:val="00E23E86"/>
    <w:rsid w:val="00E24630"/>
    <w:rsid w:val="00E2488C"/>
    <w:rsid w:val="00E251BA"/>
    <w:rsid w:val="00E26322"/>
    <w:rsid w:val="00E2777F"/>
    <w:rsid w:val="00E27861"/>
    <w:rsid w:val="00E3043F"/>
    <w:rsid w:val="00E31917"/>
    <w:rsid w:val="00E319AE"/>
    <w:rsid w:val="00E33978"/>
    <w:rsid w:val="00E33CAD"/>
    <w:rsid w:val="00E354A2"/>
    <w:rsid w:val="00E354C5"/>
    <w:rsid w:val="00E35B07"/>
    <w:rsid w:val="00E35E43"/>
    <w:rsid w:val="00E35FD7"/>
    <w:rsid w:val="00E364F0"/>
    <w:rsid w:val="00E379EF"/>
    <w:rsid w:val="00E37B90"/>
    <w:rsid w:val="00E37C6F"/>
    <w:rsid w:val="00E41545"/>
    <w:rsid w:val="00E41669"/>
    <w:rsid w:val="00E44A29"/>
    <w:rsid w:val="00E45F9E"/>
    <w:rsid w:val="00E466DB"/>
    <w:rsid w:val="00E46BB0"/>
    <w:rsid w:val="00E46EF0"/>
    <w:rsid w:val="00E50758"/>
    <w:rsid w:val="00E511BB"/>
    <w:rsid w:val="00E52129"/>
    <w:rsid w:val="00E528D2"/>
    <w:rsid w:val="00E53598"/>
    <w:rsid w:val="00E53B45"/>
    <w:rsid w:val="00E54145"/>
    <w:rsid w:val="00E54AC8"/>
    <w:rsid w:val="00E55311"/>
    <w:rsid w:val="00E553CE"/>
    <w:rsid w:val="00E5600D"/>
    <w:rsid w:val="00E56571"/>
    <w:rsid w:val="00E607E3"/>
    <w:rsid w:val="00E6168C"/>
    <w:rsid w:val="00E636FB"/>
    <w:rsid w:val="00E6470F"/>
    <w:rsid w:val="00E65012"/>
    <w:rsid w:val="00E70136"/>
    <w:rsid w:val="00E70E9F"/>
    <w:rsid w:val="00E716C7"/>
    <w:rsid w:val="00E7207B"/>
    <w:rsid w:val="00E75393"/>
    <w:rsid w:val="00E762ED"/>
    <w:rsid w:val="00E7693E"/>
    <w:rsid w:val="00E80FAC"/>
    <w:rsid w:val="00E812F9"/>
    <w:rsid w:val="00E829DF"/>
    <w:rsid w:val="00E83714"/>
    <w:rsid w:val="00E83E0C"/>
    <w:rsid w:val="00E84476"/>
    <w:rsid w:val="00E84DE3"/>
    <w:rsid w:val="00E90191"/>
    <w:rsid w:val="00E90422"/>
    <w:rsid w:val="00E910E7"/>
    <w:rsid w:val="00E927C5"/>
    <w:rsid w:val="00E929A8"/>
    <w:rsid w:val="00E949FB"/>
    <w:rsid w:val="00E95F95"/>
    <w:rsid w:val="00E96245"/>
    <w:rsid w:val="00E96298"/>
    <w:rsid w:val="00E977FD"/>
    <w:rsid w:val="00E9781A"/>
    <w:rsid w:val="00EA0BED"/>
    <w:rsid w:val="00EA1D68"/>
    <w:rsid w:val="00EA33E3"/>
    <w:rsid w:val="00EA3D73"/>
    <w:rsid w:val="00EA4B37"/>
    <w:rsid w:val="00EA68CD"/>
    <w:rsid w:val="00EA7797"/>
    <w:rsid w:val="00EA7B66"/>
    <w:rsid w:val="00EB1161"/>
    <w:rsid w:val="00EB3C49"/>
    <w:rsid w:val="00EB3CB9"/>
    <w:rsid w:val="00EB4268"/>
    <w:rsid w:val="00EB55B3"/>
    <w:rsid w:val="00EB585E"/>
    <w:rsid w:val="00EB60E6"/>
    <w:rsid w:val="00EC0CE9"/>
    <w:rsid w:val="00EC0F99"/>
    <w:rsid w:val="00EC33FA"/>
    <w:rsid w:val="00EC48F8"/>
    <w:rsid w:val="00EC5375"/>
    <w:rsid w:val="00EC7D60"/>
    <w:rsid w:val="00EC7E69"/>
    <w:rsid w:val="00ED074B"/>
    <w:rsid w:val="00ED07D5"/>
    <w:rsid w:val="00ED1CB3"/>
    <w:rsid w:val="00ED28C9"/>
    <w:rsid w:val="00ED2FE9"/>
    <w:rsid w:val="00ED3248"/>
    <w:rsid w:val="00ED37E9"/>
    <w:rsid w:val="00ED383F"/>
    <w:rsid w:val="00ED3C09"/>
    <w:rsid w:val="00ED4104"/>
    <w:rsid w:val="00ED50E3"/>
    <w:rsid w:val="00ED55F9"/>
    <w:rsid w:val="00ED5B75"/>
    <w:rsid w:val="00ED72BF"/>
    <w:rsid w:val="00ED779A"/>
    <w:rsid w:val="00EE0CF2"/>
    <w:rsid w:val="00EE14E9"/>
    <w:rsid w:val="00EE18F1"/>
    <w:rsid w:val="00EE19B5"/>
    <w:rsid w:val="00EE2398"/>
    <w:rsid w:val="00EE321F"/>
    <w:rsid w:val="00EE5DE3"/>
    <w:rsid w:val="00EE7A59"/>
    <w:rsid w:val="00EE7F79"/>
    <w:rsid w:val="00EF02E7"/>
    <w:rsid w:val="00EF059C"/>
    <w:rsid w:val="00EF1DE9"/>
    <w:rsid w:val="00EF25C1"/>
    <w:rsid w:val="00EF3A5C"/>
    <w:rsid w:val="00EF4098"/>
    <w:rsid w:val="00F003DC"/>
    <w:rsid w:val="00F016CE"/>
    <w:rsid w:val="00F01CC4"/>
    <w:rsid w:val="00F02B27"/>
    <w:rsid w:val="00F03BA1"/>
    <w:rsid w:val="00F04B13"/>
    <w:rsid w:val="00F053B0"/>
    <w:rsid w:val="00F0759B"/>
    <w:rsid w:val="00F10700"/>
    <w:rsid w:val="00F11959"/>
    <w:rsid w:val="00F12DCF"/>
    <w:rsid w:val="00F12E05"/>
    <w:rsid w:val="00F14B09"/>
    <w:rsid w:val="00F16A73"/>
    <w:rsid w:val="00F205D4"/>
    <w:rsid w:val="00F23B95"/>
    <w:rsid w:val="00F24111"/>
    <w:rsid w:val="00F268DE"/>
    <w:rsid w:val="00F2780E"/>
    <w:rsid w:val="00F27A95"/>
    <w:rsid w:val="00F27DED"/>
    <w:rsid w:val="00F30C28"/>
    <w:rsid w:val="00F31264"/>
    <w:rsid w:val="00F3141F"/>
    <w:rsid w:val="00F32740"/>
    <w:rsid w:val="00F32A81"/>
    <w:rsid w:val="00F338A4"/>
    <w:rsid w:val="00F33F7D"/>
    <w:rsid w:val="00F33FDF"/>
    <w:rsid w:val="00F34FAA"/>
    <w:rsid w:val="00F351DB"/>
    <w:rsid w:val="00F352F3"/>
    <w:rsid w:val="00F37364"/>
    <w:rsid w:val="00F37DAD"/>
    <w:rsid w:val="00F4115E"/>
    <w:rsid w:val="00F467F0"/>
    <w:rsid w:val="00F471BE"/>
    <w:rsid w:val="00F47D73"/>
    <w:rsid w:val="00F5055A"/>
    <w:rsid w:val="00F51BC9"/>
    <w:rsid w:val="00F523A8"/>
    <w:rsid w:val="00F52D15"/>
    <w:rsid w:val="00F539A1"/>
    <w:rsid w:val="00F54936"/>
    <w:rsid w:val="00F55236"/>
    <w:rsid w:val="00F5566C"/>
    <w:rsid w:val="00F55719"/>
    <w:rsid w:val="00F55A3B"/>
    <w:rsid w:val="00F55F08"/>
    <w:rsid w:val="00F56C1B"/>
    <w:rsid w:val="00F57B42"/>
    <w:rsid w:val="00F600C1"/>
    <w:rsid w:val="00F606D1"/>
    <w:rsid w:val="00F62C5D"/>
    <w:rsid w:val="00F65DDB"/>
    <w:rsid w:val="00F70324"/>
    <w:rsid w:val="00F71267"/>
    <w:rsid w:val="00F749F0"/>
    <w:rsid w:val="00F763F2"/>
    <w:rsid w:val="00F77D5C"/>
    <w:rsid w:val="00F80520"/>
    <w:rsid w:val="00F80666"/>
    <w:rsid w:val="00F807DC"/>
    <w:rsid w:val="00F80FEC"/>
    <w:rsid w:val="00F815FD"/>
    <w:rsid w:val="00F8235E"/>
    <w:rsid w:val="00F85AD0"/>
    <w:rsid w:val="00F866FA"/>
    <w:rsid w:val="00F8752C"/>
    <w:rsid w:val="00F9038B"/>
    <w:rsid w:val="00F91737"/>
    <w:rsid w:val="00F92449"/>
    <w:rsid w:val="00F93072"/>
    <w:rsid w:val="00F95249"/>
    <w:rsid w:val="00F967B2"/>
    <w:rsid w:val="00F9683B"/>
    <w:rsid w:val="00F972EE"/>
    <w:rsid w:val="00F97375"/>
    <w:rsid w:val="00F979EA"/>
    <w:rsid w:val="00F97D9C"/>
    <w:rsid w:val="00FA0DE3"/>
    <w:rsid w:val="00FA118E"/>
    <w:rsid w:val="00FA204D"/>
    <w:rsid w:val="00FA244D"/>
    <w:rsid w:val="00FA2C49"/>
    <w:rsid w:val="00FA342F"/>
    <w:rsid w:val="00FA6FC2"/>
    <w:rsid w:val="00FA742E"/>
    <w:rsid w:val="00FB08A7"/>
    <w:rsid w:val="00FB13BD"/>
    <w:rsid w:val="00FB1FAE"/>
    <w:rsid w:val="00FB3117"/>
    <w:rsid w:val="00FB39B4"/>
    <w:rsid w:val="00FB471A"/>
    <w:rsid w:val="00FB48A7"/>
    <w:rsid w:val="00FB5411"/>
    <w:rsid w:val="00FB57B1"/>
    <w:rsid w:val="00FB5B10"/>
    <w:rsid w:val="00FB6612"/>
    <w:rsid w:val="00FC0833"/>
    <w:rsid w:val="00FC0DDC"/>
    <w:rsid w:val="00FC1028"/>
    <w:rsid w:val="00FC1AE8"/>
    <w:rsid w:val="00FC1DCF"/>
    <w:rsid w:val="00FC28D4"/>
    <w:rsid w:val="00FC2965"/>
    <w:rsid w:val="00FC345D"/>
    <w:rsid w:val="00FC498A"/>
    <w:rsid w:val="00FC5541"/>
    <w:rsid w:val="00FC59F0"/>
    <w:rsid w:val="00FC5B30"/>
    <w:rsid w:val="00FC5BA9"/>
    <w:rsid w:val="00FC7CE1"/>
    <w:rsid w:val="00FD0073"/>
    <w:rsid w:val="00FD00FF"/>
    <w:rsid w:val="00FD03D7"/>
    <w:rsid w:val="00FD0AA3"/>
    <w:rsid w:val="00FD0DE1"/>
    <w:rsid w:val="00FD10A5"/>
    <w:rsid w:val="00FD1C16"/>
    <w:rsid w:val="00FD1CE9"/>
    <w:rsid w:val="00FD341A"/>
    <w:rsid w:val="00FD3917"/>
    <w:rsid w:val="00FD3FE0"/>
    <w:rsid w:val="00FD54C2"/>
    <w:rsid w:val="00FD5C20"/>
    <w:rsid w:val="00FD6B6A"/>
    <w:rsid w:val="00FD6DEF"/>
    <w:rsid w:val="00FE0644"/>
    <w:rsid w:val="00FE0871"/>
    <w:rsid w:val="00FE1463"/>
    <w:rsid w:val="00FE199A"/>
    <w:rsid w:val="00FE297E"/>
    <w:rsid w:val="00FE2CBD"/>
    <w:rsid w:val="00FE32F6"/>
    <w:rsid w:val="00FE39D0"/>
    <w:rsid w:val="00FE3C6B"/>
    <w:rsid w:val="00FE417C"/>
    <w:rsid w:val="00FE48F2"/>
    <w:rsid w:val="00FE4CFB"/>
    <w:rsid w:val="00FE6549"/>
    <w:rsid w:val="00FE6809"/>
    <w:rsid w:val="00FE6CFB"/>
    <w:rsid w:val="00FE6E32"/>
    <w:rsid w:val="00FF0482"/>
    <w:rsid w:val="00FF18B0"/>
    <w:rsid w:val="00FF2E0D"/>
    <w:rsid w:val="00FF44B0"/>
    <w:rsid w:val="00FF5BCD"/>
    <w:rsid w:val="00FF647C"/>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E2"/>
    <w:pPr>
      <w:spacing w:after="200" w:line="276" w:lineRule="auto"/>
      <w:jc w:val="both"/>
    </w:pPr>
    <w:rPr>
      <w:rFonts w:ascii="Cambria" w:eastAsia="Times New Roman" w:hAnsi="Cambria"/>
      <w:sz w:val="24"/>
      <w:szCs w:val="22"/>
      <w:lang w:eastAsia="en-US"/>
    </w:rPr>
  </w:style>
  <w:style w:type="paragraph" w:styleId="Heading1">
    <w:name w:val="heading 1"/>
    <w:basedOn w:val="Normal"/>
    <w:next w:val="Normal"/>
    <w:link w:val="Heading1Char"/>
    <w:uiPriority w:val="9"/>
    <w:qFormat/>
    <w:rsid w:val="00787F54"/>
    <w:pPr>
      <w:keepNext/>
      <w:keepLines/>
      <w:spacing w:before="240" w:after="240"/>
      <w:jc w:val="center"/>
      <w:outlineLvl w:val="0"/>
    </w:pPr>
    <w:rPr>
      <w:b/>
      <w:bCs/>
      <w:color w:val="365F91"/>
      <w:sz w:val="32"/>
      <w:szCs w:val="32"/>
    </w:rPr>
  </w:style>
  <w:style w:type="paragraph" w:styleId="Heading2">
    <w:name w:val="heading 2"/>
    <w:basedOn w:val="Normal"/>
    <w:next w:val="Normal"/>
    <w:link w:val="Heading2Char"/>
    <w:autoRedefine/>
    <w:uiPriority w:val="9"/>
    <w:unhideWhenUsed/>
    <w:qFormat/>
    <w:rsid w:val="00ED1CB3"/>
    <w:pPr>
      <w:tabs>
        <w:tab w:val="left" w:pos="709"/>
      </w:tabs>
      <w:spacing w:before="240" w:after="120"/>
      <w:jc w:val="left"/>
      <w:outlineLvl w:val="1"/>
    </w:pPr>
    <w:rPr>
      <w:rFonts w:eastAsia="Calibri"/>
      <w:b/>
      <w:bCs/>
      <w:szCs w:val="24"/>
      <w:lang w:val="en-US" w:eastAsia="en-AU"/>
    </w:rPr>
  </w:style>
  <w:style w:type="paragraph" w:styleId="Heading3">
    <w:name w:val="heading 3"/>
    <w:basedOn w:val="Normal"/>
    <w:next w:val="Normal"/>
    <w:link w:val="Heading3Char"/>
    <w:uiPriority w:val="9"/>
    <w:unhideWhenUsed/>
    <w:qFormat/>
    <w:rsid w:val="00AE205C"/>
    <w:pPr>
      <w:keepNext/>
      <w:spacing w:before="240" w:after="60"/>
      <w:outlineLvl w:val="2"/>
    </w:pPr>
    <w:rPr>
      <w:b/>
      <w:bCs/>
      <w:szCs w:val="26"/>
    </w:rPr>
  </w:style>
  <w:style w:type="paragraph" w:styleId="Heading4">
    <w:name w:val="heading 4"/>
    <w:basedOn w:val="Heading3"/>
    <w:next w:val="Normal"/>
    <w:link w:val="Heading4Char"/>
    <w:uiPriority w:val="9"/>
    <w:unhideWhenUsed/>
    <w:qFormat/>
    <w:rsid w:val="006F5CDE"/>
    <w:pPr>
      <w:outlineLvl w:val="3"/>
    </w:pPr>
    <w:rPr>
      <w:bCs w:val="0"/>
      <w:szCs w:val="28"/>
    </w:rPr>
  </w:style>
  <w:style w:type="paragraph" w:styleId="Heading5">
    <w:name w:val="heading 5"/>
    <w:basedOn w:val="Normal"/>
    <w:next w:val="Normal"/>
    <w:link w:val="Heading5Char"/>
    <w:uiPriority w:val="9"/>
    <w:unhideWhenUsed/>
    <w:qFormat/>
    <w:rsid w:val="00FF2E0D"/>
    <w:pPr>
      <w:spacing w:before="240" w:after="60"/>
      <w:outlineLvl w:val="4"/>
    </w:pPr>
    <w:rPr>
      <w:b/>
      <w:bCs/>
      <w:i/>
      <w:iCs/>
      <w:szCs w:val="26"/>
    </w:rPr>
  </w:style>
  <w:style w:type="paragraph" w:styleId="Heading6">
    <w:name w:val="heading 6"/>
    <w:basedOn w:val="Normal"/>
    <w:next w:val="Normal"/>
    <w:link w:val="Heading6Char"/>
    <w:uiPriority w:val="9"/>
    <w:unhideWhenUsed/>
    <w:qFormat/>
    <w:rsid w:val="00A64F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D1CB3"/>
    <w:rPr>
      <w:rFonts w:ascii="Cambria" w:hAnsi="Cambria"/>
      <w:b/>
      <w:bCs/>
      <w:sz w:val="24"/>
      <w:szCs w:val="24"/>
      <w:lang w:val="en-US"/>
    </w:rPr>
  </w:style>
  <w:style w:type="character" w:styleId="FootnoteReference">
    <w:name w:val="footnote reference"/>
    <w:uiPriority w:val="99"/>
    <w:unhideWhenUsed/>
    <w:rsid w:val="000E65B5"/>
    <w:rPr>
      <w:vertAlign w:val="superscript"/>
    </w:rPr>
  </w:style>
  <w:style w:type="paragraph" w:styleId="ListParagraph">
    <w:name w:val="List Paragraph"/>
    <w:basedOn w:val="Normal"/>
    <w:uiPriority w:val="34"/>
    <w:qFormat/>
    <w:rsid w:val="000E65B5"/>
    <w:pPr>
      <w:ind w:left="720"/>
      <w:contextualSpacing/>
    </w:pPr>
  </w:style>
  <w:style w:type="character" w:styleId="Hyperlink">
    <w:name w:val="Hyperlink"/>
    <w:uiPriority w:val="99"/>
    <w:unhideWhenUsed/>
    <w:rsid w:val="000E65B5"/>
    <w:rPr>
      <w:color w:val="0000FF"/>
      <w:u w:val="single"/>
    </w:rPr>
  </w:style>
  <w:style w:type="character" w:customStyle="1" w:styleId="Heading1Char">
    <w:name w:val="Heading 1 Char"/>
    <w:link w:val="Heading1"/>
    <w:uiPriority w:val="9"/>
    <w:rsid w:val="00787F54"/>
    <w:rPr>
      <w:rFonts w:ascii="Cambria" w:eastAsia="Times New Roman" w:hAnsi="Cambria"/>
      <w:b/>
      <w:bCs/>
      <w:color w:val="365F91"/>
      <w:sz w:val="32"/>
      <w:szCs w:val="32"/>
      <w:lang w:eastAsia="en-US"/>
    </w:rPr>
  </w:style>
  <w:style w:type="paragraph" w:styleId="TOCHeading">
    <w:name w:val="TOC Heading"/>
    <w:basedOn w:val="Heading1"/>
    <w:next w:val="Normal"/>
    <w:uiPriority w:val="39"/>
    <w:unhideWhenUsed/>
    <w:qFormat/>
    <w:rsid w:val="000E65B5"/>
    <w:pPr>
      <w:keepNext w:val="0"/>
      <w:keepLines w:val="0"/>
      <w:contextualSpacing/>
      <w:outlineLvl w:val="9"/>
    </w:pPr>
    <w:rPr>
      <w:color w:val="auto"/>
      <w:lang w:bidi="en-US"/>
    </w:rPr>
  </w:style>
  <w:style w:type="paragraph" w:styleId="TOC2">
    <w:name w:val="toc 2"/>
    <w:basedOn w:val="Normal"/>
    <w:next w:val="Normal"/>
    <w:autoRedefine/>
    <w:uiPriority w:val="39"/>
    <w:unhideWhenUsed/>
    <w:qFormat/>
    <w:rsid w:val="00EA1D68"/>
    <w:pPr>
      <w:tabs>
        <w:tab w:val="left" w:pos="-2694"/>
        <w:tab w:val="right" w:leader="dot" w:pos="9016"/>
      </w:tabs>
      <w:spacing w:after="120"/>
      <w:ind w:left="221"/>
    </w:pPr>
    <w:rPr>
      <w:noProof/>
    </w:rPr>
  </w:style>
  <w:style w:type="paragraph" w:styleId="BalloonText">
    <w:name w:val="Balloon Text"/>
    <w:basedOn w:val="Normal"/>
    <w:link w:val="BalloonTextChar"/>
    <w:uiPriority w:val="99"/>
    <w:semiHidden/>
    <w:unhideWhenUsed/>
    <w:rsid w:val="000E65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65B5"/>
    <w:rPr>
      <w:rFonts w:ascii="Tahoma" w:eastAsia="Times New Roman" w:hAnsi="Tahoma" w:cs="Tahoma"/>
      <w:sz w:val="16"/>
      <w:szCs w:val="16"/>
    </w:rPr>
  </w:style>
  <w:style w:type="paragraph" w:styleId="TOC1">
    <w:name w:val="toc 1"/>
    <w:basedOn w:val="Normal"/>
    <w:next w:val="Normal"/>
    <w:autoRedefine/>
    <w:uiPriority w:val="39"/>
    <w:unhideWhenUsed/>
    <w:qFormat/>
    <w:rsid w:val="00777F41"/>
    <w:pPr>
      <w:tabs>
        <w:tab w:val="right" w:leader="dot" w:pos="9016"/>
      </w:tabs>
      <w:jc w:val="left"/>
    </w:pPr>
    <w:rPr>
      <w:noProof/>
    </w:rPr>
  </w:style>
  <w:style w:type="character" w:customStyle="1" w:styleId="Heading3Char">
    <w:name w:val="Heading 3 Char"/>
    <w:link w:val="Heading3"/>
    <w:uiPriority w:val="9"/>
    <w:rsid w:val="00AE205C"/>
    <w:rPr>
      <w:rFonts w:ascii="Cambria" w:eastAsia="Times New Roman" w:hAnsi="Cambria"/>
      <w:b/>
      <w:bCs/>
      <w:sz w:val="24"/>
      <w:szCs w:val="26"/>
      <w:lang w:eastAsia="en-US"/>
    </w:rPr>
  </w:style>
  <w:style w:type="paragraph" w:styleId="TOC3">
    <w:name w:val="toc 3"/>
    <w:basedOn w:val="Normal"/>
    <w:next w:val="Normal"/>
    <w:autoRedefine/>
    <w:uiPriority w:val="39"/>
    <w:unhideWhenUsed/>
    <w:qFormat/>
    <w:rsid w:val="00134808"/>
    <w:pPr>
      <w:ind w:left="440"/>
    </w:pPr>
  </w:style>
  <w:style w:type="paragraph" w:styleId="NoSpacing">
    <w:name w:val="No Spacing"/>
    <w:uiPriority w:val="1"/>
    <w:qFormat/>
    <w:rsid w:val="00134808"/>
    <w:rPr>
      <w:rFonts w:ascii="Calibri" w:eastAsia="Times New Roman" w:hAnsi="Calibri"/>
      <w:sz w:val="22"/>
      <w:szCs w:val="22"/>
      <w:lang w:eastAsia="en-US"/>
    </w:rPr>
  </w:style>
  <w:style w:type="table" w:styleId="TableGrid">
    <w:name w:val="Table Grid"/>
    <w:basedOn w:val="TableNormal"/>
    <w:rsid w:val="009E1772"/>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5077D"/>
    <w:pPr>
      <w:tabs>
        <w:tab w:val="center" w:pos="4513"/>
        <w:tab w:val="right" w:pos="9026"/>
      </w:tabs>
    </w:pPr>
  </w:style>
  <w:style w:type="character" w:customStyle="1" w:styleId="HeaderChar">
    <w:name w:val="Header Char"/>
    <w:link w:val="Header"/>
    <w:rsid w:val="0025077D"/>
    <w:rPr>
      <w:rFonts w:ascii="Calibri" w:eastAsia="Times New Roman" w:hAnsi="Calibri"/>
      <w:sz w:val="22"/>
      <w:szCs w:val="22"/>
      <w:lang w:eastAsia="en-US"/>
    </w:rPr>
  </w:style>
  <w:style w:type="paragraph" w:styleId="Footer">
    <w:name w:val="footer"/>
    <w:basedOn w:val="Normal"/>
    <w:link w:val="FooterChar"/>
    <w:uiPriority w:val="99"/>
    <w:unhideWhenUsed/>
    <w:rsid w:val="0025077D"/>
    <w:pPr>
      <w:tabs>
        <w:tab w:val="center" w:pos="4513"/>
        <w:tab w:val="right" w:pos="9026"/>
      </w:tabs>
    </w:pPr>
  </w:style>
  <w:style w:type="character" w:customStyle="1" w:styleId="FooterChar">
    <w:name w:val="Footer Char"/>
    <w:link w:val="Footer"/>
    <w:uiPriority w:val="99"/>
    <w:rsid w:val="0025077D"/>
    <w:rPr>
      <w:rFonts w:ascii="Calibri" w:eastAsia="Times New Roman" w:hAnsi="Calibri"/>
      <w:sz w:val="22"/>
      <w:szCs w:val="22"/>
      <w:lang w:eastAsia="en-US"/>
    </w:rPr>
  </w:style>
  <w:style w:type="paragraph" w:customStyle="1" w:styleId="Default">
    <w:name w:val="Default"/>
    <w:rsid w:val="00BB2ABB"/>
    <w:pPr>
      <w:autoSpaceDE w:val="0"/>
      <w:autoSpaceDN w:val="0"/>
      <w:adjustRightInd w:val="0"/>
    </w:pPr>
    <w:rPr>
      <w:rFonts w:ascii="Calibri" w:hAnsi="Calibri" w:cs="Calibri"/>
      <w:color w:val="000000"/>
      <w:sz w:val="24"/>
      <w:szCs w:val="24"/>
    </w:rPr>
  </w:style>
  <w:style w:type="paragraph" w:customStyle="1" w:styleId="ReportSubtitle">
    <w:name w:val="Report Subtitle"/>
    <w:basedOn w:val="Normal"/>
    <w:rsid w:val="006135C1"/>
    <w:pPr>
      <w:spacing w:after="240" w:line="240" w:lineRule="auto"/>
      <w:ind w:left="720"/>
      <w:jc w:val="right"/>
    </w:pPr>
    <w:rPr>
      <w:rFonts w:ascii="Arial Bold" w:hAnsi="Arial Bold"/>
      <w:b/>
      <w:bCs/>
      <w:color w:val="000000"/>
      <w:sz w:val="40"/>
      <w:szCs w:val="20"/>
      <w:lang w:eastAsia="en-AU"/>
    </w:rPr>
  </w:style>
  <w:style w:type="paragraph" w:customStyle="1" w:styleId="p">
    <w:name w:val="p"/>
    <w:basedOn w:val="Normal"/>
    <w:rsid w:val="008F3B2B"/>
    <w:pPr>
      <w:spacing w:before="100" w:beforeAutospacing="1" w:after="100" w:afterAutospacing="1" w:line="240" w:lineRule="auto"/>
    </w:pPr>
    <w:rPr>
      <w:rFonts w:ascii="Times New Roman" w:hAnsi="Times New Roman"/>
      <w:szCs w:val="24"/>
      <w:lang w:eastAsia="en-AU"/>
    </w:rPr>
  </w:style>
  <w:style w:type="paragraph" w:styleId="NormalWeb">
    <w:name w:val="Normal (Web)"/>
    <w:basedOn w:val="Normal"/>
    <w:uiPriority w:val="99"/>
    <w:unhideWhenUsed/>
    <w:rsid w:val="008F3B2B"/>
    <w:pPr>
      <w:spacing w:before="100" w:beforeAutospacing="1" w:after="100" w:afterAutospacing="1" w:line="240" w:lineRule="auto"/>
    </w:pPr>
    <w:rPr>
      <w:rFonts w:ascii="Times New Roman" w:hAnsi="Times New Roman"/>
      <w:szCs w:val="24"/>
      <w:lang w:eastAsia="en-AU"/>
    </w:rPr>
  </w:style>
  <w:style w:type="paragraph" w:customStyle="1" w:styleId="eptext">
    <w:name w:val="eptext"/>
    <w:basedOn w:val="Normal"/>
    <w:rsid w:val="00AD7411"/>
    <w:pPr>
      <w:spacing w:before="140" w:after="140" w:line="336" w:lineRule="atLeast"/>
    </w:pPr>
    <w:rPr>
      <w:rFonts w:ascii="Arial" w:hAnsi="Arial" w:cs="Arial"/>
      <w:color w:val="333333"/>
      <w:sz w:val="18"/>
      <w:szCs w:val="18"/>
      <w:lang w:eastAsia="en-AU"/>
    </w:rPr>
  </w:style>
  <w:style w:type="paragraph" w:customStyle="1" w:styleId="BodyText1">
    <w:name w:val="Body Text1"/>
    <w:basedOn w:val="Normal"/>
    <w:uiPriority w:val="1"/>
    <w:qFormat/>
    <w:rsid w:val="009F0FA2"/>
    <w:pPr>
      <w:spacing w:before="120" w:after="120" w:line="260" w:lineRule="exact"/>
    </w:pPr>
    <w:rPr>
      <w:rFonts w:ascii="Arial" w:hAnsi="Arial" w:cs="Arial"/>
      <w:sz w:val="20"/>
      <w:szCs w:val="20"/>
      <w:lang w:eastAsia="en-AU"/>
    </w:rPr>
  </w:style>
  <w:style w:type="paragraph" w:customStyle="1" w:styleId="ListBullet1">
    <w:name w:val="List Bullet1"/>
    <w:basedOn w:val="BodyText1"/>
    <w:uiPriority w:val="5"/>
    <w:qFormat/>
    <w:rsid w:val="009F0FA2"/>
    <w:pPr>
      <w:numPr>
        <w:numId w:val="2"/>
      </w:numPr>
      <w:contextualSpacing/>
    </w:pPr>
  </w:style>
  <w:style w:type="character" w:customStyle="1" w:styleId="maintitlesearchterm">
    <w:name w:val="maintitlesearchterm"/>
    <w:rsid w:val="001A5DFD"/>
  </w:style>
  <w:style w:type="paragraph" w:styleId="Subtitle">
    <w:name w:val="Subtitle"/>
    <w:basedOn w:val="Normal"/>
    <w:next w:val="Normal"/>
    <w:link w:val="SubtitleChar"/>
    <w:uiPriority w:val="11"/>
    <w:qFormat/>
    <w:rsid w:val="00D344AF"/>
    <w:pPr>
      <w:spacing w:after="60"/>
      <w:jc w:val="center"/>
      <w:outlineLvl w:val="1"/>
    </w:pPr>
    <w:rPr>
      <w:szCs w:val="24"/>
    </w:rPr>
  </w:style>
  <w:style w:type="character" w:customStyle="1" w:styleId="SubtitleChar">
    <w:name w:val="Subtitle Char"/>
    <w:link w:val="Subtitle"/>
    <w:uiPriority w:val="11"/>
    <w:rsid w:val="00D344AF"/>
    <w:rPr>
      <w:rFonts w:ascii="Cambria" w:eastAsia="Times New Roman" w:hAnsi="Cambria" w:cs="Times New Roman"/>
      <w:sz w:val="24"/>
      <w:szCs w:val="24"/>
      <w:lang w:eastAsia="en-US"/>
    </w:rPr>
  </w:style>
  <w:style w:type="character" w:styleId="CommentReference">
    <w:name w:val="annotation reference"/>
    <w:uiPriority w:val="99"/>
    <w:unhideWhenUsed/>
    <w:rsid w:val="009E6401"/>
    <w:rPr>
      <w:sz w:val="16"/>
      <w:szCs w:val="16"/>
    </w:rPr>
  </w:style>
  <w:style w:type="paragraph" w:styleId="CommentText">
    <w:name w:val="annotation text"/>
    <w:basedOn w:val="Normal"/>
    <w:link w:val="CommentTextChar"/>
    <w:uiPriority w:val="99"/>
    <w:unhideWhenUsed/>
    <w:rsid w:val="009E6401"/>
    <w:rPr>
      <w:sz w:val="20"/>
      <w:szCs w:val="20"/>
    </w:rPr>
  </w:style>
  <w:style w:type="character" w:customStyle="1" w:styleId="CommentTextChar">
    <w:name w:val="Comment Text Char"/>
    <w:link w:val="CommentText"/>
    <w:uiPriority w:val="99"/>
    <w:rsid w:val="009E6401"/>
    <w:rPr>
      <w:rFonts w:ascii="Calibri" w:eastAsia="Times New Roman" w:hAnsi="Calibri"/>
      <w:lang w:eastAsia="en-US"/>
    </w:rPr>
  </w:style>
  <w:style w:type="paragraph" w:styleId="CommentSubject">
    <w:name w:val="annotation subject"/>
    <w:basedOn w:val="CommentText"/>
    <w:next w:val="CommentText"/>
    <w:link w:val="CommentSubjectChar"/>
    <w:uiPriority w:val="99"/>
    <w:semiHidden/>
    <w:unhideWhenUsed/>
    <w:rsid w:val="009E6401"/>
    <w:rPr>
      <w:b/>
      <w:bCs/>
    </w:rPr>
  </w:style>
  <w:style w:type="character" w:customStyle="1" w:styleId="CommentSubjectChar">
    <w:name w:val="Comment Subject Char"/>
    <w:link w:val="CommentSubject"/>
    <w:uiPriority w:val="99"/>
    <w:semiHidden/>
    <w:rsid w:val="009E6401"/>
    <w:rPr>
      <w:rFonts w:ascii="Calibri" w:eastAsia="Times New Roman" w:hAnsi="Calibri"/>
      <w:b/>
      <w:bCs/>
      <w:lang w:eastAsia="en-US"/>
    </w:rPr>
  </w:style>
  <w:style w:type="character" w:customStyle="1" w:styleId="Heading4Char">
    <w:name w:val="Heading 4 Char"/>
    <w:link w:val="Heading4"/>
    <w:uiPriority w:val="9"/>
    <w:rsid w:val="006F5CDE"/>
    <w:rPr>
      <w:rFonts w:ascii="Cambria" w:eastAsia="Times New Roman" w:hAnsi="Cambria"/>
      <w:b/>
      <w:sz w:val="24"/>
      <w:szCs w:val="28"/>
      <w:lang w:eastAsia="en-US"/>
    </w:rPr>
  </w:style>
  <w:style w:type="character" w:styleId="FollowedHyperlink">
    <w:name w:val="FollowedHyperlink"/>
    <w:uiPriority w:val="99"/>
    <w:semiHidden/>
    <w:unhideWhenUsed/>
    <w:rsid w:val="003D3B79"/>
    <w:rPr>
      <w:color w:val="800080"/>
      <w:u w:val="single"/>
    </w:rPr>
  </w:style>
  <w:style w:type="paragraph" w:styleId="FootnoteText">
    <w:name w:val="footnote text"/>
    <w:basedOn w:val="Normal"/>
    <w:link w:val="FootnoteTextChar"/>
    <w:uiPriority w:val="99"/>
    <w:unhideWhenUsed/>
    <w:rsid w:val="001E1D7B"/>
    <w:pPr>
      <w:spacing w:after="0" w:line="240" w:lineRule="auto"/>
    </w:pPr>
    <w:rPr>
      <w:rFonts w:ascii="Times New Roman" w:eastAsia="Calibri" w:hAnsi="Times New Roman"/>
      <w:sz w:val="20"/>
      <w:szCs w:val="20"/>
    </w:rPr>
  </w:style>
  <w:style w:type="character" w:customStyle="1" w:styleId="FootnoteTextChar">
    <w:name w:val="Footnote Text Char"/>
    <w:link w:val="FootnoteText"/>
    <w:uiPriority w:val="99"/>
    <w:rsid w:val="001E1D7B"/>
    <w:rPr>
      <w:lang w:eastAsia="en-US"/>
    </w:rPr>
  </w:style>
  <w:style w:type="table" w:styleId="MediumList2-Accent1">
    <w:name w:val="Medium List 2 Accent 1"/>
    <w:basedOn w:val="TableNormal"/>
    <w:uiPriority w:val="66"/>
    <w:rsid w:val="00964407"/>
    <w:rPr>
      <w:rFonts w:ascii="Cambria" w:eastAsia="MS Gothic" w:hAnsi="Cambria"/>
      <w:color w:val="000000"/>
      <w:sz w:val="22"/>
      <w:szCs w:val="22"/>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96440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9D46B0"/>
    <w:rPr>
      <w:sz w:val="20"/>
      <w:szCs w:val="20"/>
    </w:rPr>
  </w:style>
  <w:style w:type="character" w:customStyle="1" w:styleId="EndnoteTextChar">
    <w:name w:val="Endnote Text Char"/>
    <w:link w:val="EndnoteText"/>
    <w:uiPriority w:val="99"/>
    <w:semiHidden/>
    <w:rsid w:val="009D46B0"/>
    <w:rPr>
      <w:rFonts w:ascii="Cambria" w:eastAsia="Times New Roman" w:hAnsi="Cambria"/>
      <w:lang w:eastAsia="en-US"/>
    </w:rPr>
  </w:style>
  <w:style w:type="character" w:styleId="EndnoteReference">
    <w:name w:val="endnote reference"/>
    <w:uiPriority w:val="99"/>
    <w:semiHidden/>
    <w:unhideWhenUsed/>
    <w:rsid w:val="009D46B0"/>
    <w:rPr>
      <w:vertAlign w:val="superscript"/>
    </w:rPr>
  </w:style>
  <w:style w:type="character" w:styleId="Emphasis">
    <w:name w:val="Emphasis"/>
    <w:uiPriority w:val="20"/>
    <w:qFormat/>
    <w:rsid w:val="006C241D"/>
    <w:rPr>
      <w:i/>
      <w:iCs/>
    </w:rPr>
  </w:style>
  <w:style w:type="paragraph" w:styleId="Revision">
    <w:name w:val="Revision"/>
    <w:hidden/>
    <w:uiPriority w:val="99"/>
    <w:semiHidden/>
    <w:rsid w:val="003A4A3D"/>
    <w:rPr>
      <w:rFonts w:ascii="Cambria" w:eastAsia="Times New Roman" w:hAnsi="Cambria"/>
      <w:sz w:val="24"/>
      <w:szCs w:val="22"/>
      <w:lang w:eastAsia="en-US"/>
    </w:rPr>
  </w:style>
  <w:style w:type="character" w:styleId="Strong">
    <w:name w:val="Strong"/>
    <w:uiPriority w:val="22"/>
    <w:qFormat/>
    <w:rsid w:val="005250F3"/>
    <w:rPr>
      <w:b/>
      <w:bCs/>
    </w:rPr>
  </w:style>
  <w:style w:type="paragraph" w:styleId="TOC4">
    <w:name w:val="toc 4"/>
    <w:basedOn w:val="Normal"/>
    <w:next w:val="Normal"/>
    <w:autoRedefine/>
    <w:uiPriority w:val="39"/>
    <w:unhideWhenUsed/>
    <w:rsid w:val="00AD4FF5"/>
    <w:pPr>
      <w:spacing w:after="100"/>
      <w:ind w:left="660"/>
      <w:jc w:val="left"/>
    </w:pPr>
    <w:rPr>
      <w:rFonts w:ascii="Calibri" w:hAnsi="Calibri"/>
      <w:sz w:val="22"/>
      <w:lang w:eastAsia="en-AU"/>
    </w:rPr>
  </w:style>
  <w:style w:type="paragraph" w:styleId="TOC5">
    <w:name w:val="toc 5"/>
    <w:basedOn w:val="Normal"/>
    <w:next w:val="Normal"/>
    <w:autoRedefine/>
    <w:uiPriority w:val="39"/>
    <w:unhideWhenUsed/>
    <w:rsid w:val="00AD4FF5"/>
    <w:pPr>
      <w:spacing w:after="100"/>
      <w:ind w:left="880"/>
      <w:jc w:val="left"/>
    </w:pPr>
    <w:rPr>
      <w:rFonts w:ascii="Calibri" w:hAnsi="Calibri"/>
      <w:sz w:val="22"/>
      <w:lang w:eastAsia="en-AU"/>
    </w:rPr>
  </w:style>
  <w:style w:type="paragraph" w:styleId="TOC6">
    <w:name w:val="toc 6"/>
    <w:basedOn w:val="Normal"/>
    <w:next w:val="Normal"/>
    <w:autoRedefine/>
    <w:uiPriority w:val="39"/>
    <w:unhideWhenUsed/>
    <w:rsid w:val="00AD4FF5"/>
    <w:pPr>
      <w:spacing w:after="100"/>
      <w:ind w:left="1100"/>
      <w:jc w:val="left"/>
    </w:pPr>
    <w:rPr>
      <w:rFonts w:ascii="Calibri" w:hAnsi="Calibri"/>
      <w:sz w:val="22"/>
      <w:lang w:eastAsia="en-AU"/>
    </w:rPr>
  </w:style>
  <w:style w:type="paragraph" w:styleId="TOC7">
    <w:name w:val="toc 7"/>
    <w:basedOn w:val="Normal"/>
    <w:next w:val="Normal"/>
    <w:autoRedefine/>
    <w:uiPriority w:val="39"/>
    <w:unhideWhenUsed/>
    <w:rsid w:val="00AD4FF5"/>
    <w:pPr>
      <w:spacing w:after="100"/>
      <w:ind w:left="1320"/>
      <w:jc w:val="left"/>
    </w:pPr>
    <w:rPr>
      <w:rFonts w:ascii="Calibri" w:hAnsi="Calibri"/>
      <w:sz w:val="22"/>
      <w:lang w:eastAsia="en-AU"/>
    </w:rPr>
  </w:style>
  <w:style w:type="paragraph" w:styleId="TOC8">
    <w:name w:val="toc 8"/>
    <w:basedOn w:val="Normal"/>
    <w:next w:val="Normal"/>
    <w:autoRedefine/>
    <w:uiPriority w:val="39"/>
    <w:unhideWhenUsed/>
    <w:rsid w:val="00AD4FF5"/>
    <w:pPr>
      <w:spacing w:after="100"/>
      <w:ind w:left="1540"/>
      <w:jc w:val="left"/>
    </w:pPr>
    <w:rPr>
      <w:rFonts w:ascii="Calibri" w:hAnsi="Calibri"/>
      <w:sz w:val="22"/>
      <w:lang w:eastAsia="en-AU"/>
    </w:rPr>
  </w:style>
  <w:style w:type="paragraph" w:styleId="TOC9">
    <w:name w:val="toc 9"/>
    <w:basedOn w:val="Normal"/>
    <w:next w:val="Normal"/>
    <w:autoRedefine/>
    <w:uiPriority w:val="39"/>
    <w:unhideWhenUsed/>
    <w:rsid w:val="00AD4FF5"/>
    <w:pPr>
      <w:spacing w:after="100"/>
      <w:ind w:left="1760"/>
      <w:jc w:val="left"/>
    </w:pPr>
    <w:rPr>
      <w:rFonts w:ascii="Calibri" w:hAnsi="Calibri"/>
      <w:sz w:val="22"/>
      <w:lang w:eastAsia="en-AU"/>
    </w:rPr>
  </w:style>
  <w:style w:type="character" w:customStyle="1" w:styleId="Heading5Char">
    <w:name w:val="Heading 5 Char"/>
    <w:link w:val="Heading5"/>
    <w:uiPriority w:val="9"/>
    <w:rsid w:val="00FF2E0D"/>
    <w:rPr>
      <w:rFonts w:ascii="Cambria" w:eastAsia="Times New Roman" w:hAnsi="Cambria" w:cs="Times New Roman"/>
      <w:b/>
      <w:bCs/>
      <w:i/>
      <w:iCs/>
      <w:sz w:val="24"/>
      <w:szCs w:val="26"/>
      <w:lang w:eastAsia="en-US"/>
    </w:rPr>
  </w:style>
  <w:style w:type="table" w:customStyle="1" w:styleId="TableGrid1">
    <w:name w:val="Table Grid1"/>
    <w:basedOn w:val="TableNormal"/>
    <w:next w:val="TableGrid"/>
    <w:rsid w:val="002A5C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356EC"/>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3356EC"/>
    <w:rPr>
      <w:rFonts w:ascii="Lucida Grande" w:eastAsia="Times New Roman" w:hAnsi="Lucida Grande"/>
      <w:sz w:val="24"/>
      <w:szCs w:val="24"/>
      <w:lang w:eastAsia="en-US"/>
    </w:rPr>
  </w:style>
  <w:style w:type="character" w:customStyle="1" w:styleId="Heading6Char">
    <w:name w:val="Heading 6 Char"/>
    <w:basedOn w:val="DefaultParagraphFont"/>
    <w:link w:val="Heading6"/>
    <w:uiPriority w:val="9"/>
    <w:rsid w:val="00A64F27"/>
    <w:rPr>
      <w:rFonts w:asciiTheme="majorHAnsi" w:eastAsiaTheme="majorEastAsia" w:hAnsiTheme="majorHAnsi" w:cstheme="majorBidi"/>
      <w:i/>
      <w:iCs/>
      <w:color w:val="243F60" w:themeColor="accent1" w:themeShade="7F"/>
      <w:sz w:val="24"/>
      <w:szCs w:val="22"/>
      <w:lang w:eastAsia="en-US"/>
    </w:rPr>
  </w:style>
  <w:style w:type="paragraph" w:customStyle="1" w:styleId="CM18">
    <w:name w:val="CM18"/>
    <w:basedOn w:val="Normal"/>
    <w:next w:val="Normal"/>
    <w:uiPriority w:val="99"/>
    <w:rsid w:val="00A64F27"/>
    <w:pPr>
      <w:widowControl w:val="0"/>
      <w:autoSpaceDE w:val="0"/>
      <w:autoSpaceDN w:val="0"/>
      <w:adjustRightInd w:val="0"/>
      <w:spacing w:after="0" w:line="240" w:lineRule="auto"/>
      <w:jc w:val="left"/>
    </w:pPr>
    <w:rPr>
      <w:rFonts w:ascii="MuseeBold" w:eastAsiaTheme="minorEastAsia" w:hAnsi="MuseeBold" w:cstheme="minorBidi"/>
      <w:szCs w:val="24"/>
      <w:lang w:eastAsia="en-AU"/>
    </w:rPr>
  </w:style>
  <w:style w:type="paragraph" w:styleId="Title">
    <w:name w:val="Title"/>
    <w:basedOn w:val="Normal"/>
    <w:next w:val="Normal"/>
    <w:link w:val="TitleChar"/>
    <w:uiPriority w:val="10"/>
    <w:qFormat/>
    <w:rsid w:val="00C06F52"/>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F52"/>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6E2"/>
    <w:pPr>
      <w:spacing w:after="200" w:line="276" w:lineRule="auto"/>
      <w:jc w:val="both"/>
    </w:pPr>
    <w:rPr>
      <w:rFonts w:ascii="Cambria" w:eastAsia="Times New Roman" w:hAnsi="Cambria"/>
      <w:sz w:val="24"/>
      <w:szCs w:val="22"/>
      <w:lang w:eastAsia="en-US"/>
    </w:rPr>
  </w:style>
  <w:style w:type="paragraph" w:styleId="Heading1">
    <w:name w:val="heading 1"/>
    <w:basedOn w:val="Normal"/>
    <w:next w:val="Normal"/>
    <w:link w:val="Heading1Char"/>
    <w:uiPriority w:val="9"/>
    <w:qFormat/>
    <w:rsid w:val="00787F54"/>
    <w:pPr>
      <w:keepNext/>
      <w:keepLines/>
      <w:spacing w:before="240" w:after="240"/>
      <w:jc w:val="center"/>
      <w:outlineLvl w:val="0"/>
    </w:pPr>
    <w:rPr>
      <w:b/>
      <w:bCs/>
      <w:color w:val="365F91"/>
      <w:sz w:val="32"/>
      <w:szCs w:val="32"/>
    </w:rPr>
  </w:style>
  <w:style w:type="paragraph" w:styleId="Heading2">
    <w:name w:val="heading 2"/>
    <w:basedOn w:val="Normal"/>
    <w:next w:val="Normal"/>
    <w:link w:val="Heading2Char"/>
    <w:autoRedefine/>
    <w:uiPriority w:val="9"/>
    <w:unhideWhenUsed/>
    <w:qFormat/>
    <w:rsid w:val="00ED1CB3"/>
    <w:pPr>
      <w:tabs>
        <w:tab w:val="left" w:pos="709"/>
      </w:tabs>
      <w:spacing w:before="240" w:after="120"/>
      <w:jc w:val="left"/>
      <w:outlineLvl w:val="1"/>
    </w:pPr>
    <w:rPr>
      <w:rFonts w:eastAsia="Calibri"/>
      <w:b/>
      <w:bCs/>
      <w:szCs w:val="24"/>
      <w:lang w:val="en-US" w:eastAsia="en-AU"/>
    </w:rPr>
  </w:style>
  <w:style w:type="paragraph" w:styleId="Heading3">
    <w:name w:val="heading 3"/>
    <w:basedOn w:val="Normal"/>
    <w:next w:val="Normal"/>
    <w:link w:val="Heading3Char"/>
    <w:uiPriority w:val="9"/>
    <w:unhideWhenUsed/>
    <w:qFormat/>
    <w:rsid w:val="00AE205C"/>
    <w:pPr>
      <w:keepNext/>
      <w:spacing w:before="240" w:after="60"/>
      <w:outlineLvl w:val="2"/>
    </w:pPr>
    <w:rPr>
      <w:b/>
      <w:bCs/>
      <w:szCs w:val="26"/>
    </w:rPr>
  </w:style>
  <w:style w:type="paragraph" w:styleId="Heading4">
    <w:name w:val="heading 4"/>
    <w:basedOn w:val="Heading3"/>
    <w:next w:val="Normal"/>
    <w:link w:val="Heading4Char"/>
    <w:uiPriority w:val="9"/>
    <w:unhideWhenUsed/>
    <w:qFormat/>
    <w:rsid w:val="006F5CDE"/>
    <w:pPr>
      <w:outlineLvl w:val="3"/>
    </w:pPr>
    <w:rPr>
      <w:bCs w:val="0"/>
      <w:szCs w:val="28"/>
    </w:rPr>
  </w:style>
  <w:style w:type="paragraph" w:styleId="Heading5">
    <w:name w:val="heading 5"/>
    <w:basedOn w:val="Normal"/>
    <w:next w:val="Normal"/>
    <w:link w:val="Heading5Char"/>
    <w:uiPriority w:val="9"/>
    <w:unhideWhenUsed/>
    <w:qFormat/>
    <w:rsid w:val="00FF2E0D"/>
    <w:pPr>
      <w:spacing w:before="240" w:after="60"/>
      <w:outlineLvl w:val="4"/>
    </w:pPr>
    <w:rPr>
      <w:b/>
      <w:bCs/>
      <w:i/>
      <w:iCs/>
      <w:szCs w:val="26"/>
    </w:rPr>
  </w:style>
  <w:style w:type="paragraph" w:styleId="Heading6">
    <w:name w:val="heading 6"/>
    <w:basedOn w:val="Normal"/>
    <w:next w:val="Normal"/>
    <w:link w:val="Heading6Char"/>
    <w:uiPriority w:val="9"/>
    <w:unhideWhenUsed/>
    <w:qFormat/>
    <w:rsid w:val="00A64F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D1CB3"/>
    <w:rPr>
      <w:rFonts w:ascii="Cambria" w:hAnsi="Cambria"/>
      <w:b/>
      <w:bCs/>
      <w:sz w:val="24"/>
      <w:szCs w:val="24"/>
      <w:lang w:val="en-US"/>
    </w:rPr>
  </w:style>
  <w:style w:type="character" w:styleId="FootnoteReference">
    <w:name w:val="footnote reference"/>
    <w:uiPriority w:val="99"/>
    <w:unhideWhenUsed/>
    <w:rsid w:val="000E65B5"/>
    <w:rPr>
      <w:vertAlign w:val="superscript"/>
    </w:rPr>
  </w:style>
  <w:style w:type="paragraph" w:styleId="ListParagraph">
    <w:name w:val="List Paragraph"/>
    <w:basedOn w:val="Normal"/>
    <w:uiPriority w:val="34"/>
    <w:qFormat/>
    <w:rsid w:val="000E65B5"/>
    <w:pPr>
      <w:ind w:left="720"/>
      <w:contextualSpacing/>
    </w:pPr>
  </w:style>
  <w:style w:type="character" w:styleId="Hyperlink">
    <w:name w:val="Hyperlink"/>
    <w:uiPriority w:val="99"/>
    <w:unhideWhenUsed/>
    <w:rsid w:val="000E65B5"/>
    <w:rPr>
      <w:color w:val="0000FF"/>
      <w:u w:val="single"/>
    </w:rPr>
  </w:style>
  <w:style w:type="character" w:customStyle="1" w:styleId="Heading1Char">
    <w:name w:val="Heading 1 Char"/>
    <w:link w:val="Heading1"/>
    <w:uiPriority w:val="9"/>
    <w:rsid w:val="00787F54"/>
    <w:rPr>
      <w:rFonts w:ascii="Cambria" w:eastAsia="Times New Roman" w:hAnsi="Cambria"/>
      <w:b/>
      <w:bCs/>
      <w:color w:val="365F91"/>
      <w:sz w:val="32"/>
      <w:szCs w:val="32"/>
      <w:lang w:eastAsia="en-US"/>
    </w:rPr>
  </w:style>
  <w:style w:type="paragraph" w:styleId="TOCHeading">
    <w:name w:val="TOC Heading"/>
    <w:basedOn w:val="Heading1"/>
    <w:next w:val="Normal"/>
    <w:uiPriority w:val="39"/>
    <w:unhideWhenUsed/>
    <w:qFormat/>
    <w:rsid w:val="000E65B5"/>
    <w:pPr>
      <w:keepNext w:val="0"/>
      <w:keepLines w:val="0"/>
      <w:contextualSpacing/>
      <w:outlineLvl w:val="9"/>
    </w:pPr>
    <w:rPr>
      <w:color w:val="auto"/>
      <w:lang w:bidi="en-US"/>
    </w:rPr>
  </w:style>
  <w:style w:type="paragraph" w:styleId="TOC2">
    <w:name w:val="toc 2"/>
    <w:basedOn w:val="Normal"/>
    <w:next w:val="Normal"/>
    <w:autoRedefine/>
    <w:uiPriority w:val="39"/>
    <w:unhideWhenUsed/>
    <w:qFormat/>
    <w:rsid w:val="00EA1D68"/>
    <w:pPr>
      <w:tabs>
        <w:tab w:val="left" w:pos="-2694"/>
        <w:tab w:val="right" w:leader="dot" w:pos="9016"/>
      </w:tabs>
      <w:spacing w:after="120"/>
      <w:ind w:left="221"/>
    </w:pPr>
    <w:rPr>
      <w:noProof/>
    </w:rPr>
  </w:style>
  <w:style w:type="paragraph" w:styleId="BalloonText">
    <w:name w:val="Balloon Text"/>
    <w:basedOn w:val="Normal"/>
    <w:link w:val="BalloonTextChar"/>
    <w:uiPriority w:val="99"/>
    <w:semiHidden/>
    <w:unhideWhenUsed/>
    <w:rsid w:val="000E65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65B5"/>
    <w:rPr>
      <w:rFonts w:ascii="Tahoma" w:eastAsia="Times New Roman" w:hAnsi="Tahoma" w:cs="Tahoma"/>
      <w:sz w:val="16"/>
      <w:szCs w:val="16"/>
    </w:rPr>
  </w:style>
  <w:style w:type="paragraph" w:styleId="TOC1">
    <w:name w:val="toc 1"/>
    <w:basedOn w:val="Normal"/>
    <w:next w:val="Normal"/>
    <w:autoRedefine/>
    <w:uiPriority w:val="39"/>
    <w:unhideWhenUsed/>
    <w:qFormat/>
    <w:rsid w:val="00777F41"/>
    <w:pPr>
      <w:tabs>
        <w:tab w:val="right" w:leader="dot" w:pos="9016"/>
      </w:tabs>
      <w:jc w:val="left"/>
    </w:pPr>
    <w:rPr>
      <w:noProof/>
    </w:rPr>
  </w:style>
  <w:style w:type="character" w:customStyle="1" w:styleId="Heading3Char">
    <w:name w:val="Heading 3 Char"/>
    <w:link w:val="Heading3"/>
    <w:uiPriority w:val="9"/>
    <w:rsid w:val="00AE205C"/>
    <w:rPr>
      <w:rFonts w:ascii="Cambria" w:eastAsia="Times New Roman" w:hAnsi="Cambria"/>
      <w:b/>
      <w:bCs/>
      <w:sz w:val="24"/>
      <w:szCs w:val="26"/>
      <w:lang w:eastAsia="en-US"/>
    </w:rPr>
  </w:style>
  <w:style w:type="paragraph" w:styleId="TOC3">
    <w:name w:val="toc 3"/>
    <w:basedOn w:val="Normal"/>
    <w:next w:val="Normal"/>
    <w:autoRedefine/>
    <w:uiPriority w:val="39"/>
    <w:unhideWhenUsed/>
    <w:qFormat/>
    <w:rsid w:val="00134808"/>
    <w:pPr>
      <w:ind w:left="440"/>
    </w:pPr>
  </w:style>
  <w:style w:type="paragraph" w:styleId="NoSpacing">
    <w:name w:val="No Spacing"/>
    <w:uiPriority w:val="1"/>
    <w:qFormat/>
    <w:rsid w:val="00134808"/>
    <w:rPr>
      <w:rFonts w:ascii="Calibri" w:eastAsia="Times New Roman" w:hAnsi="Calibri"/>
      <w:sz w:val="22"/>
      <w:szCs w:val="22"/>
      <w:lang w:eastAsia="en-US"/>
    </w:rPr>
  </w:style>
  <w:style w:type="table" w:styleId="TableGrid">
    <w:name w:val="Table Grid"/>
    <w:basedOn w:val="TableNormal"/>
    <w:rsid w:val="009E1772"/>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5077D"/>
    <w:pPr>
      <w:tabs>
        <w:tab w:val="center" w:pos="4513"/>
        <w:tab w:val="right" w:pos="9026"/>
      </w:tabs>
    </w:pPr>
  </w:style>
  <w:style w:type="character" w:customStyle="1" w:styleId="HeaderChar">
    <w:name w:val="Header Char"/>
    <w:link w:val="Header"/>
    <w:rsid w:val="0025077D"/>
    <w:rPr>
      <w:rFonts w:ascii="Calibri" w:eastAsia="Times New Roman" w:hAnsi="Calibri"/>
      <w:sz w:val="22"/>
      <w:szCs w:val="22"/>
      <w:lang w:eastAsia="en-US"/>
    </w:rPr>
  </w:style>
  <w:style w:type="paragraph" w:styleId="Footer">
    <w:name w:val="footer"/>
    <w:basedOn w:val="Normal"/>
    <w:link w:val="FooterChar"/>
    <w:uiPriority w:val="99"/>
    <w:unhideWhenUsed/>
    <w:rsid w:val="0025077D"/>
    <w:pPr>
      <w:tabs>
        <w:tab w:val="center" w:pos="4513"/>
        <w:tab w:val="right" w:pos="9026"/>
      </w:tabs>
    </w:pPr>
  </w:style>
  <w:style w:type="character" w:customStyle="1" w:styleId="FooterChar">
    <w:name w:val="Footer Char"/>
    <w:link w:val="Footer"/>
    <w:uiPriority w:val="99"/>
    <w:rsid w:val="0025077D"/>
    <w:rPr>
      <w:rFonts w:ascii="Calibri" w:eastAsia="Times New Roman" w:hAnsi="Calibri"/>
      <w:sz w:val="22"/>
      <w:szCs w:val="22"/>
      <w:lang w:eastAsia="en-US"/>
    </w:rPr>
  </w:style>
  <w:style w:type="paragraph" w:customStyle="1" w:styleId="Default">
    <w:name w:val="Default"/>
    <w:rsid w:val="00BB2ABB"/>
    <w:pPr>
      <w:autoSpaceDE w:val="0"/>
      <w:autoSpaceDN w:val="0"/>
      <w:adjustRightInd w:val="0"/>
    </w:pPr>
    <w:rPr>
      <w:rFonts w:ascii="Calibri" w:hAnsi="Calibri" w:cs="Calibri"/>
      <w:color w:val="000000"/>
      <w:sz w:val="24"/>
      <w:szCs w:val="24"/>
    </w:rPr>
  </w:style>
  <w:style w:type="paragraph" w:customStyle="1" w:styleId="ReportSubtitle">
    <w:name w:val="Report Subtitle"/>
    <w:basedOn w:val="Normal"/>
    <w:rsid w:val="006135C1"/>
    <w:pPr>
      <w:spacing w:after="240" w:line="240" w:lineRule="auto"/>
      <w:ind w:left="720"/>
      <w:jc w:val="right"/>
    </w:pPr>
    <w:rPr>
      <w:rFonts w:ascii="Arial Bold" w:hAnsi="Arial Bold"/>
      <w:b/>
      <w:bCs/>
      <w:color w:val="000000"/>
      <w:sz w:val="40"/>
      <w:szCs w:val="20"/>
      <w:lang w:eastAsia="en-AU"/>
    </w:rPr>
  </w:style>
  <w:style w:type="paragraph" w:customStyle="1" w:styleId="p">
    <w:name w:val="p"/>
    <w:basedOn w:val="Normal"/>
    <w:rsid w:val="008F3B2B"/>
    <w:pPr>
      <w:spacing w:before="100" w:beforeAutospacing="1" w:after="100" w:afterAutospacing="1" w:line="240" w:lineRule="auto"/>
    </w:pPr>
    <w:rPr>
      <w:rFonts w:ascii="Times New Roman" w:hAnsi="Times New Roman"/>
      <w:szCs w:val="24"/>
      <w:lang w:eastAsia="en-AU"/>
    </w:rPr>
  </w:style>
  <w:style w:type="paragraph" w:styleId="NormalWeb">
    <w:name w:val="Normal (Web)"/>
    <w:basedOn w:val="Normal"/>
    <w:uiPriority w:val="99"/>
    <w:unhideWhenUsed/>
    <w:rsid w:val="008F3B2B"/>
    <w:pPr>
      <w:spacing w:before="100" w:beforeAutospacing="1" w:after="100" w:afterAutospacing="1" w:line="240" w:lineRule="auto"/>
    </w:pPr>
    <w:rPr>
      <w:rFonts w:ascii="Times New Roman" w:hAnsi="Times New Roman"/>
      <w:szCs w:val="24"/>
      <w:lang w:eastAsia="en-AU"/>
    </w:rPr>
  </w:style>
  <w:style w:type="paragraph" w:customStyle="1" w:styleId="eptext">
    <w:name w:val="eptext"/>
    <w:basedOn w:val="Normal"/>
    <w:rsid w:val="00AD7411"/>
    <w:pPr>
      <w:spacing w:before="140" w:after="140" w:line="336" w:lineRule="atLeast"/>
    </w:pPr>
    <w:rPr>
      <w:rFonts w:ascii="Arial" w:hAnsi="Arial" w:cs="Arial"/>
      <w:color w:val="333333"/>
      <w:sz w:val="18"/>
      <w:szCs w:val="18"/>
      <w:lang w:eastAsia="en-AU"/>
    </w:rPr>
  </w:style>
  <w:style w:type="paragraph" w:customStyle="1" w:styleId="BodyText1">
    <w:name w:val="Body Text1"/>
    <w:basedOn w:val="Normal"/>
    <w:uiPriority w:val="1"/>
    <w:qFormat/>
    <w:rsid w:val="009F0FA2"/>
    <w:pPr>
      <w:spacing w:before="120" w:after="120" w:line="260" w:lineRule="exact"/>
    </w:pPr>
    <w:rPr>
      <w:rFonts w:ascii="Arial" w:hAnsi="Arial" w:cs="Arial"/>
      <w:sz w:val="20"/>
      <w:szCs w:val="20"/>
      <w:lang w:eastAsia="en-AU"/>
    </w:rPr>
  </w:style>
  <w:style w:type="paragraph" w:customStyle="1" w:styleId="ListBullet1">
    <w:name w:val="List Bullet1"/>
    <w:basedOn w:val="BodyText1"/>
    <w:uiPriority w:val="5"/>
    <w:qFormat/>
    <w:rsid w:val="009F0FA2"/>
    <w:pPr>
      <w:numPr>
        <w:numId w:val="2"/>
      </w:numPr>
      <w:contextualSpacing/>
    </w:pPr>
  </w:style>
  <w:style w:type="character" w:customStyle="1" w:styleId="maintitlesearchterm">
    <w:name w:val="maintitlesearchterm"/>
    <w:rsid w:val="001A5DFD"/>
  </w:style>
  <w:style w:type="paragraph" w:styleId="Subtitle">
    <w:name w:val="Subtitle"/>
    <w:basedOn w:val="Normal"/>
    <w:next w:val="Normal"/>
    <w:link w:val="SubtitleChar"/>
    <w:uiPriority w:val="11"/>
    <w:qFormat/>
    <w:rsid w:val="00D344AF"/>
    <w:pPr>
      <w:spacing w:after="60"/>
      <w:jc w:val="center"/>
      <w:outlineLvl w:val="1"/>
    </w:pPr>
    <w:rPr>
      <w:szCs w:val="24"/>
    </w:rPr>
  </w:style>
  <w:style w:type="character" w:customStyle="1" w:styleId="SubtitleChar">
    <w:name w:val="Subtitle Char"/>
    <w:link w:val="Subtitle"/>
    <w:uiPriority w:val="11"/>
    <w:rsid w:val="00D344AF"/>
    <w:rPr>
      <w:rFonts w:ascii="Cambria" w:eastAsia="Times New Roman" w:hAnsi="Cambria" w:cs="Times New Roman"/>
      <w:sz w:val="24"/>
      <w:szCs w:val="24"/>
      <w:lang w:eastAsia="en-US"/>
    </w:rPr>
  </w:style>
  <w:style w:type="character" w:styleId="CommentReference">
    <w:name w:val="annotation reference"/>
    <w:uiPriority w:val="99"/>
    <w:unhideWhenUsed/>
    <w:rsid w:val="009E6401"/>
    <w:rPr>
      <w:sz w:val="16"/>
      <w:szCs w:val="16"/>
    </w:rPr>
  </w:style>
  <w:style w:type="paragraph" w:styleId="CommentText">
    <w:name w:val="annotation text"/>
    <w:basedOn w:val="Normal"/>
    <w:link w:val="CommentTextChar"/>
    <w:uiPriority w:val="99"/>
    <w:unhideWhenUsed/>
    <w:rsid w:val="009E6401"/>
    <w:rPr>
      <w:sz w:val="20"/>
      <w:szCs w:val="20"/>
    </w:rPr>
  </w:style>
  <w:style w:type="character" w:customStyle="1" w:styleId="CommentTextChar">
    <w:name w:val="Comment Text Char"/>
    <w:link w:val="CommentText"/>
    <w:uiPriority w:val="99"/>
    <w:rsid w:val="009E6401"/>
    <w:rPr>
      <w:rFonts w:ascii="Calibri" w:eastAsia="Times New Roman" w:hAnsi="Calibri"/>
      <w:lang w:eastAsia="en-US"/>
    </w:rPr>
  </w:style>
  <w:style w:type="paragraph" w:styleId="CommentSubject">
    <w:name w:val="annotation subject"/>
    <w:basedOn w:val="CommentText"/>
    <w:next w:val="CommentText"/>
    <w:link w:val="CommentSubjectChar"/>
    <w:uiPriority w:val="99"/>
    <w:semiHidden/>
    <w:unhideWhenUsed/>
    <w:rsid w:val="009E6401"/>
    <w:rPr>
      <w:b/>
      <w:bCs/>
    </w:rPr>
  </w:style>
  <w:style w:type="character" w:customStyle="1" w:styleId="CommentSubjectChar">
    <w:name w:val="Comment Subject Char"/>
    <w:link w:val="CommentSubject"/>
    <w:uiPriority w:val="99"/>
    <w:semiHidden/>
    <w:rsid w:val="009E6401"/>
    <w:rPr>
      <w:rFonts w:ascii="Calibri" w:eastAsia="Times New Roman" w:hAnsi="Calibri"/>
      <w:b/>
      <w:bCs/>
      <w:lang w:eastAsia="en-US"/>
    </w:rPr>
  </w:style>
  <w:style w:type="character" w:customStyle="1" w:styleId="Heading4Char">
    <w:name w:val="Heading 4 Char"/>
    <w:link w:val="Heading4"/>
    <w:uiPriority w:val="9"/>
    <w:rsid w:val="006F5CDE"/>
    <w:rPr>
      <w:rFonts w:ascii="Cambria" w:eastAsia="Times New Roman" w:hAnsi="Cambria"/>
      <w:b/>
      <w:sz w:val="24"/>
      <w:szCs w:val="28"/>
      <w:lang w:eastAsia="en-US"/>
    </w:rPr>
  </w:style>
  <w:style w:type="character" w:styleId="FollowedHyperlink">
    <w:name w:val="FollowedHyperlink"/>
    <w:uiPriority w:val="99"/>
    <w:semiHidden/>
    <w:unhideWhenUsed/>
    <w:rsid w:val="003D3B79"/>
    <w:rPr>
      <w:color w:val="800080"/>
      <w:u w:val="single"/>
    </w:rPr>
  </w:style>
  <w:style w:type="paragraph" w:styleId="FootnoteText">
    <w:name w:val="footnote text"/>
    <w:basedOn w:val="Normal"/>
    <w:link w:val="FootnoteTextChar"/>
    <w:uiPriority w:val="99"/>
    <w:unhideWhenUsed/>
    <w:rsid w:val="001E1D7B"/>
    <w:pPr>
      <w:spacing w:after="0" w:line="240" w:lineRule="auto"/>
    </w:pPr>
    <w:rPr>
      <w:rFonts w:ascii="Times New Roman" w:eastAsia="Calibri" w:hAnsi="Times New Roman"/>
      <w:sz w:val="20"/>
      <w:szCs w:val="20"/>
    </w:rPr>
  </w:style>
  <w:style w:type="character" w:customStyle="1" w:styleId="FootnoteTextChar">
    <w:name w:val="Footnote Text Char"/>
    <w:link w:val="FootnoteText"/>
    <w:uiPriority w:val="99"/>
    <w:rsid w:val="001E1D7B"/>
    <w:rPr>
      <w:lang w:eastAsia="en-US"/>
    </w:rPr>
  </w:style>
  <w:style w:type="table" w:styleId="MediumList2-Accent1">
    <w:name w:val="Medium List 2 Accent 1"/>
    <w:basedOn w:val="TableNormal"/>
    <w:uiPriority w:val="66"/>
    <w:rsid w:val="00964407"/>
    <w:rPr>
      <w:rFonts w:ascii="Cambria" w:eastAsia="MS Gothic" w:hAnsi="Cambria"/>
      <w:color w:val="000000"/>
      <w:sz w:val="22"/>
      <w:szCs w:val="22"/>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rsid w:val="0096440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9D46B0"/>
    <w:rPr>
      <w:sz w:val="20"/>
      <w:szCs w:val="20"/>
    </w:rPr>
  </w:style>
  <w:style w:type="character" w:customStyle="1" w:styleId="EndnoteTextChar">
    <w:name w:val="Endnote Text Char"/>
    <w:link w:val="EndnoteText"/>
    <w:uiPriority w:val="99"/>
    <w:semiHidden/>
    <w:rsid w:val="009D46B0"/>
    <w:rPr>
      <w:rFonts w:ascii="Cambria" w:eastAsia="Times New Roman" w:hAnsi="Cambria"/>
      <w:lang w:eastAsia="en-US"/>
    </w:rPr>
  </w:style>
  <w:style w:type="character" w:styleId="EndnoteReference">
    <w:name w:val="endnote reference"/>
    <w:uiPriority w:val="99"/>
    <w:semiHidden/>
    <w:unhideWhenUsed/>
    <w:rsid w:val="009D46B0"/>
    <w:rPr>
      <w:vertAlign w:val="superscript"/>
    </w:rPr>
  </w:style>
  <w:style w:type="character" w:styleId="Emphasis">
    <w:name w:val="Emphasis"/>
    <w:uiPriority w:val="20"/>
    <w:qFormat/>
    <w:rsid w:val="006C241D"/>
    <w:rPr>
      <w:i/>
      <w:iCs/>
    </w:rPr>
  </w:style>
  <w:style w:type="paragraph" w:styleId="Revision">
    <w:name w:val="Revision"/>
    <w:hidden/>
    <w:uiPriority w:val="99"/>
    <w:semiHidden/>
    <w:rsid w:val="003A4A3D"/>
    <w:rPr>
      <w:rFonts w:ascii="Cambria" w:eastAsia="Times New Roman" w:hAnsi="Cambria"/>
      <w:sz w:val="24"/>
      <w:szCs w:val="22"/>
      <w:lang w:eastAsia="en-US"/>
    </w:rPr>
  </w:style>
  <w:style w:type="character" w:styleId="Strong">
    <w:name w:val="Strong"/>
    <w:uiPriority w:val="22"/>
    <w:qFormat/>
    <w:rsid w:val="005250F3"/>
    <w:rPr>
      <w:b/>
      <w:bCs/>
    </w:rPr>
  </w:style>
  <w:style w:type="paragraph" w:styleId="TOC4">
    <w:name w:val="toc 4"/>
    <w:basedOn w:val="Normal"/>
    <w:next w:val="Normal"/>
    <w:autoRedefine/>
    <w:uiPriority w:val="39"/>
    <w:unhideWhenUsed/>
    <w:rsid w:val="00AD4FF5"/>
    <w:pPr>
      <w:spacing w:after="100"/>
      <w:ind w:left="660"/>
      <w:jc w:val="left"/>
    </w:pPr>
    <w:rPr>
      <w:rFonts w:ascii="Calibri" w:hAnsi="Calibri"/>
      <w:sz w:val="22"/>
      <w:lang w:eastAsia="en-AU"/>
    </w:rPr>
  </w:style>
  <w:style w:type="paragraph" w:styleId="TOC5">
    <w:name w:val="toc 5"/>
    <w:basedOn w:val="Normal"/>
    <w:next w:val="Normal"/>
    <w:autoRedefine/>
    <w:uiPriority w:val="39"/>
    <w:unhideWhenUsed/>
    <w:rsid w:val="00AD4FF5"/>
    <w:pPr>
      <w:spacing w:after="100"/>
      <w:ind w:left="880"/>
      <w:jc w:val="left"/>
    </w:pPr>
    <w:rPr>
      <w:rFonts w:ascii="Calibri" w:hAnsi="Calibri"/>
      <w:sz w:val="22"/>
      <w:lang w:eastAsia="en-AU"/>
    </w:rPr>
  </w:style>
  <w:style w:type="paragraph" w:styleId="TOC6">
    <w:name w:val="toc 6"/>
    <w:basedOn w:val="Normal"/>
    <w:next w:val="Normal"/>
    <w:autoRedefine/>
    <w:uiPriority w:val="39"/>
    <w:unhideWhenUsed/>
    <w:rsid w:val="00AD4FF5"/>
    <w:pPr>
      <w:spacing w:after="100"/>
      <w:ind w:left="1100"/>
      <w:jc w:val="left"/>
    </w:pPr>
    <w:rPr>
      <w:rFonts w:ascii="Calibri" w:hAnsi="Calibri"/>
      <w:sz w:val="22"/>
      <w:lang w:eastAsia="en-AU"/>
    </w:rPr>
  </w:style>
  <w:style w:type="paragraph" w:styleId="TOC7">
    <w:name w:val="toc 7"/>
    <w:basedOn w:val="Normal"/>
    <w:next w:val="Normal"/>
    <w:autoRedefine/>
    <w:uiPriority w:val="39"/>
    <w:unhideWhenUsed/>
    <w:rsid w:val="00AD4FF5"/>
    <w:pPr>
      <w:spacing w:after="100"/>
      <w:ind w:left="1320"/>
      <w:jc w:val="left"/>
    </w:pPr>
    <w:rPr>
      <w:rFonts w:ascii="Calibri" w:hAnsi="Calibri"/>
      <w:sz w:val="22"/>
      <w:lang w:eastAsia="en-AU"/>
    </w:rPr>
  </w:style>
  <w:style w:type="paragraph" w:styleId="TOC8">
    <w:name w:val="toc 8"/>
    <w:basedOn w:val="Normal"/>
    <w:next w:val="Normal"/>
    <w:autoRedefine/>
    <w:uiPriority w:val="39"/>
    <w:unhideWhenUsed/>
    <w:rsid w:val="00AD4FF5"/>
    <w:pPr>
      <w:spacing w:after="100"/>
      <w:ind w:left="1540"/>
      <w:jc w:val="left"/>
    </w:pPr>
    <w:rPr>
      <w:rFonts w:ascii="Calibri" w:hAnsi="Calibri"/>
      <w:sz w:val="22"/>
      <w:lang w:eastAsia="en-AU"/>
    </w:rPr>
  </w:style>
  <w:style w:type="paragraph" w:styleId="TOC9">
    <w:name w:val="toc 9"/>
    <w:basedOn w:val="Normal"/>
    <w:next w:val="Normal"/>
    <w:autoRedefine/>
    <w:uiPriority w:val="39"/>
    <w:unhideWhenUsed/>
    <w:rsid w:val="00AD4FF5"/>
    <w:pPr>
      <w:spacing w:after="100"/>
      <w:ind w:left="1760"/>
      <w:jc w:val="left"/>
    </w:pPr>
    <w:rPr>
      <w:rFonts w:ascii="Calibri" w:hAnsi="Calibri"/>
      <w:sz w:val="22"/>
      <w:lang w:eastAsia="en-AU"/>
    </w:rPr>
  </w:style>
  <w:style w:type="character" w:customStyle="1" w:styleId="Heading5Char">
    <w:name w:val="Heading 5 Char"/>
    <w:link w:val="Heading5"/>
    <w:uiPriority w:val="9"/>
    <w:rsid w:val="00FF2E0D"/>
    <w:rPr>
      <w:rFonts w:ascii="Cambria" w:eastAsia="Times New Roman" w:hAnsi="Cambria" w:cs="Times New Roman"/>
      <w:b/>
      <w:bCs/>
      <w:i/>
      <w:iCs/>
      <w:sz w:val="24"/>
      <w:szCs w:val="26"/>
      <w:lang w:eastAsia="en-US"/>
    </w:rPr>
  </w:style>
  <w:style w:type="table" w:customStyle="1" w:styleId="TableGrid1">
    <w:name w:val="Table Grid1"/>
    <w:basedOn w:val="TableNormal"/>
    <w:next w:val="TableGrid"/>
    <w:rsid w:val="002A5C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356EC"/>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3356EC"/>
    <w:rPr>
      <w:rFonts w:ascii="Lucida Grande" w:eastAsia="Times New Roman" w:hAnsi="Lucida Grande"/>
      <w:sz w:val="24"/>
      <w:szCs w:val="24"/>
      <w:lang w:eastAsia="en-US"/>
    </w:rPr>
  </w:style>
  <w:style w:type="character" w:customStyle="1" w:styleId="Heading6Char">
    <w:name w:val="Heading 6 Char"/>
    <w:basedOn w:val="DefaultParagraphFont"/>
    <w:link w:val="Heading6"/>
    <w:uiPriority w:val="9"/>
    <w:rsid w:val="00A64F27"/>
    <w:rPr>
      <w:rFonts w:asciiTheme="majorHAnsi" w:eastAsiaTheme="majorEastAsia" w:hAnsiTheme="majorHAnsi" w:cstheme="majorBidi"/>
      <w:i/>
      <w:iCs/>
      <w:color w:val="243F60" w:themeColor="accent1" w:themeShade="7F"/>
      <w:sz w:val="24"/>
      <w:szCs w:val="22"/>
      <w:lang w:eastAsia="en-US"/>
    </w:rPr>
  </w:style>
  <w:style w:type="paragraph" w:customStyle="1" w:styleId="CM18">
    <w:name w:val="CM18"/>
    <w:basedOn w:val="Normal"/>
    <w:next w:val="Normal"/>
    <w:uiPriority w:val="99"/>
    <w:rsid w:val="00A64F27"/>
    <w:pPr>
      <w:widowControl w:val="0"/>
      <w:autoSpaceDE w:val="0"/>
      <w:autoSpaceDN w:val="0"/>
      <w:adjustRightInd w:val="0"/>
      <w:spacing w:after="0" w:line="240" w:lineRule="auto"/>
      <w:jc w:val="left"/>
    </w:pPr>
    <w:rPr>
      <w:rFonts w:ascii="MuseeBold" w:eastAsiaTheme="minorEastAsia" w:hAnsi="MuseeBold" w:cstheme="minorBidi"/>
      <w:szCs w:val="24"/>
      <w:lang w:eastAsia="en-AU"/>
    </w:rPr>
  </w:style>
  <w:style w:type="paragraph" w:styleId="Title">
    <w:name w:val="Title"/>
    <w:basedOn w:val="Normal"/>
    <w:next w:val="Normal"/>
    <w:link w:val="TitleChar"/>
    <w:uiPriority w:val="10"/>
    <w:qFormat/>
    <w:rsid w:val="00C06F52"/>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F52"/>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434">
      <w:bodyDiv w:val="1"/>
      <w:marLeft w:val="0"/>
      <w:marRight w:val="0"/>
      <w:marTop w:val="0"/>
      <w:marBottom w:val="0"/>
      <w:divBdr>
        <w:top w:val="none" w:sz="0" w:space="0" w:color="auto"/>
        <w:left w:val="none" w:sz="0" w:space="0" w:color="auto"/>
        <w:bottom w:val="none" w:sz="0" w:space="0" w:color="auto"/>
        <w:right w:val="none" w:sz="0" w:space="0" w:color="auto"/>
      </w:divBdr>
      <w:divsChild>
        <w:div w:id="106193340">
          <w:marLeft w:val="0"/>
          <w:marRight w:val="0"/>
          <w:marTop w:val="0"/>
          <w:marBottom w:val="0"/>
          <w:divBdr>
            <w:top w:val="none" w:sz="0" w:space="0" w:color="auto"/>
            <w:left w:val="none" w:sz="0" w:space="0" w:color="auto"/>
            <w:bottom w:val="none" w:sz="0" w:space="0" w:color="auto"/>
            <w:right w:val="none" w:sz="0" w:space="0" w:color="auto"/>
          </w:divBdr>
          <w:divsChild>
            <w:div w:id="428814670">
              <w:marLeft w:val="0"/>
              <w:marRight w:val="0"/>
              <w:marTop w:val="210"/>
              <w:marBottom w:val="0"/>
              <w:divBdr>
                <w:top w:val="none" w:sz="0" w:space="0" w:color="auto"/>
                <w:left w:val="none" w:sz="0" w:space="0" w:color="auto"/>
                <w:bottom w:val="none" w:sz="0" w:space="0" w:color="auto"/>
                <w:right w:val="none" w:sz="0" w:space="0" w:color="auto"/>
              </w:divBdr>
              <w:divsChild>
                <w:div w:id="566766202">
                  <w:marLeft w:val="0"/>
                  <w:marRight w:val="0"/>
                  <w:marTop w:val="0"/>
                  <w:marBottom w:val="0"/>
                  <w:divBdr>
                    <w:top w:val="none" w:sz="0" w:space="0" w:color="auto"/>
                    <w:left w:val="none" w:sz="0" w:space="0" w:color="auto"/>
                    <w:bottom w:val="none" w:sz="0" w:space="0" w:color="auto"/>
                    <w:right w:val="none" w:sz="0" w:space="0" w:color="auto"/>
                  </w:divBdr>
                  <w:divsChild>
                    <w:div w:id="1769041488">
                      <w:marLeft w:val="0"/>
                      <w:marRight w:val="0"/>
                      <w:marTop w:val="0"/>
                      <w:marBottom w:val="0"/>
                      <w:divBdr>
                        <w:top w:val="none" w:sz="0" w:space="0" w:color="auto"/>
                        <w:left w:val="none" w:sz="0" w:space="0" w:color="auto"/>
                        <w:bottom w:val="none" w:sz="0" w:space="0" w:color="auto"/>
                        <w:right w:val="none" w:sz="0" w:space="0" w:color="auto"/>
                      </w:divBdr>
                      <w:divsChild>
                        <w:div w:id="1678801678">
                          <w:marLeft w:val="0"/>
                          <w:marRight w:val="0"/>
                          <w:marTop w:val="0"/>
                          <w:marBottom w:val="0"/>
                          <w:divBdr>
                            <w:top w:val="none" w:sz="0" w:space="0" w:color="auto"/>
                            <w:left w:val="none" w:sz="0" w:space="0" w:color="auto"/>
                            <w:bottom w:val="none" w:sz="0" w:space="0" w:color="auto"/>
                            <w:right w:val="none" w:sz="0" w:space="0" w:color="auto"/>
                          </w:divBdr>
                          <w:divsChild>
                            <w:div w:id="1139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82434">
      <w:bodyDiv w:val="1"/>
      <w:marLeft w:val="0"/>
      <w:marRight w:val="0"/>
      <w:marTop w:val="0"/>
      <w:marBottom w:val="0"/>
      <w:divBdr>
        <w:top w:val="none" w:sz="0" w:space="0" w:color="auto"/>
        <w:left w:val="none" w:sz="0" w:space="0" w:color="auto"/>
        <w:bottom w:val="none" w:sz="0" w:space="0" w:color="auto"/>
        <w:right w:val="none" w:sz="0" w:space="0" w:color="auto"/>
      </w:divBdr>
      <w:divsChild>
        <w:div w:id="349573098">
          <w:marLeft w:val="0"/>
          <w:marRight w:val="0"/>
          <w:marTop w:val="0"/>
          <w:marBottom w:val="0"/>
          <w:divBdr>
            <w:top w:val="none" w:sz="0" w:space="0" w:color="auto"/>
            <w:left w:val="none" w:sz="0" w:space="0" w:color="auto"/>
            <w:bottom w:val="none" w:sz="0" w:space="0" w:color="auto"/>
            <w:right w:val="none" w:sz="0" w:space="0" w:color="auto"/>
          </w:divBdr>
          <w:divsChild>
            <w:div w:id="1148208757">
              <w:marLeft w:val="0"/>
              <w:marRight w:val="0"/>
              <w:marTop w:val="210"/>
              <w:marBottom w:val="0"/>
              <w:divBdr>
                <w:top w:val="none" w:sz="0" w:space="0" w:color="auto"/>
                <w:left w:val="none" w:sz="0" w:space="0" w:color="auto"/>
                <w:bottom w:val="none" w:sz="0" w:space="0" w:color="auto"/>
                <w:right w:val="none" w:sz="0" w:space="0" w:color="auto"/>
              </w:divBdr>
              <w:divsChild>
                <w:div w:id="1152411503">
                  <w:marLeft w:val="0"/>
                  <w:marRight w:val="0"/>
                  <w:marTop w:val="0"/>
                  <w:marBottom w:val="0"/>
                  <w:divBdr>
                    <w:top w:val="none" w:sz="0" w:space="0" w:color="auto"/>
                    <w:left w:val="none" w:sz="0" w:space="0" w:color="auto"/>
                    <w:bottom w:val="none" w:sz="0" w:space="0" w:color="auto"/>
                    <w:right w:val="none" w:sz="0" w:space="0" w:color="auto"/>
                  </w:divBdr>
                  <w:divsChild>
                    <w:div w:id="1653289756">
                      <w:marLeft w:val="0"/>
                      <w:marRight w:val="0"/>
                      <w:marTop w:val="0"/>
                      <w:marBottom w:val="0"/>
                      <w:divBdr>
                        <w:top w:val="none" w:sz="0" w:space="0" w:color="auto"/>
                        <w:left w:val="none" w:sz="0" w:space="0" w:color="auto"/>
                        <w:bottom w:val="none" w:sz="0" w:space="0" w:color="auto"/>
                        <w:right w:val="none" w:sz="0" w:space="0" w:color="auto"/>
                      </w:divBdr>
                      <w:divsChild>
                        <w:div w:id="166138130">
                          <w:marLeft w:val="0"/>
                          <w:marRight w:val="0"/>
                          <w:marTop w:val="0"/>
                          <w:marBottom w:val="0"/>
                          <w:divBdr>
                            <w:top w:val="none" w:sz="0" w:space="0" w:color="auto"/>
                            <w:left w:val="none" w:sz="0" w:space="0" w:color="auto"/>
                            <w:bottom w:val="none" w:sz="0" w:space="0" w:color="auto"/>
                            <w:right w:val="none" w:sz="0" w:space="0" w:color="auto"/>
                          </w:divBdr>
                          <w:divsChild>
                            <w:div w:id="56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657">
      <w:bodyDiv w:val="1"/>
      <w:marLeft w:val="0"/>
      <w:marRight w:val="0"/>
      <w:marTop w:val="0"/>
      <w:marBottom w:val="0"/>
      <w:divBdr>
        <w:top w:val="none" w:sz="0" w:space="0" w:color="auto"/>
        <w:left w:val="none" w:sz="0" w:space="0" w:color="auto"/>
        <w:bottom w:val="none" w:sz="0" w:space="0" w:color="auto"/>
        <w:right w:val="none" w:sz="0" w:space="0" w:color="auto"/>
      </w:divBdr>
    </w:div>
    <w:div w:id="56704655">
      <w:bodyDiv w:val="1"/>
      <w:marLeft w:val="0"/>
      <w:marRight w:val="0"/>
      <w:marTop w:val="0"/>
      <w:marBottom w:val="0"/>
      <w:divBdr>
        <w:top w:val="none" w:sz="0" w:space="0" w:color="auto"/>
        <w:left w:val="none" w:sz="0" w:space="0" w:color="auto"/>
        <w:bottom w:val="none" w:sz="0" w:space="0" w:color="auto"/>
        <w:right w:val="none" w:sz="0" w:space="0" w:color="auto"/>
      </w:divBdr>
      <w:divsChild>
        <w:div w:id="468976737">
          <w:marLeft w:val="0"/>
          <w:marRight w:val="0"/>
          <w:marTop w:val="0"/>
          <w:marBottom w:val="0"/>
          <w:divBdr>
            <w:top w:val="none" w:sz="0" w:space="0" w:color="auto"/>
            <w:left w:val="none" w:sz="0" w:space="0" w:color="auto"/>
            <w:bottom w:val="none" w:sz="0" w:space="0" w:color="auto"/>
            <w:right w:val="none" w:sz="0" w:space="0" w:color="auto"/>
          </w:divBdr>
          <w:divsChild>
            <w:div w:id="1498810042">
              <w:marLeft w:val="0"/>
              <w:marRight w:val="0"/>
              <w:marTop w:val="0"/>
              <w:marBottom w:val="0"/>
              <w:divBdr>
                <w:top w:val="none" w:sz="0" w:space="0" w:color="auto"/>
                <w:left w:val="none" w:sz="0" w:space="0" w:color="auto"/>
                <w:bottom w:val="none" w:sz="0" w:space="0" w:color="auto"/>
                <w:right w:val="none" w:sz="0" w:space="0" w:color="auto"/>
              </w:divBdr>
              <w:divsChild>
                <w:div w:id="1465466803">
                  <w:marLeft w:val="0"/>
                  <w:marRight w:val="0"/>
                  <w:marTop w:val="0"/>
                  <w:marBottom w:val="0"/>
                  <w:divBdr>
                    <w:top w:val="none" w:sz="0" w:space="0" w:color="auto"/>
                    <w:left w:val="none" w:sz="0" w:space="0" w:color="auto"/>
                    <w:bottom w:val="none" w:sz="0" w:space="0" w:color="auto"/>
                    <w:right w:val="none" w:sz="0" w:space="0" w:color="auto"/>
                  </w:divBdr>
                  <w:divsChild>
                    <w:div w:id="15517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7394">
      <w:bodyDiv w:val="1"/>
      <w:marLeft w:val="0"/>
      <w:marRight w:val="0"/>
      <w:marTop w:val="0"/>
      <w:marBottom w:val="0"/>
      <w:divBdr>
        <w:top w:val="none" w:sz="0" w:space="0" w:color="auto"/>
        <w:left w:val="none" w:sz="0" w:space="0" w:color="auto"/>
        <w:bottom w:val="none" w:sz="0" w:space="0" w:color="auto"/>
        <w:right w:val="none" w:sz="0" w:space="0" w:color="auto"/>
      </w:divBdr>
      <w:divsChild>
        <w:div w:id="385837841">
          <w:marLeft w:val="0"/>
          <w:marRight w:val="0"/>
          <w:marTop w:val="0"/>
          <w:marBottom w:val="0"/>
          <w:divBdr>
            <w:top w:val="none" w:sz="0" w:space="0" w:color="auto"/>
            <w:left w:val="none" w:sz="0" w:space="0" w:color="auto"/>
            <w:bottom w:val="none" w:sz="0" w:space="0" w:color="auto"/>
            <w:right w:val="none" w:sz="0" w:space="0" w:color="auto"/>
          </w:divBdr>
          <w:divsChild>
            <w:div w:id="1836913022">
              <w:marLeft w:val="0"/>
              <w:marRight w:val="0"/>
              <w:marTop w:val="0"/>
              <w:marBottom w:val="0"/>
              <w:divBdr>
                <w:top w:val="none" w:sz="0" w:space="0" w:color="auto"/>
                <w:left w:val="none" w:sz="0" w:space="0" w:color="auto"/>
                <w:bottom w:val="none" w:sz="0" w:space="0" w:color="auto"/>
                <w:right w:val="none" w:sz="0" w:space="0" w:color="auto"/>
              </w:divBdr>
              <w:divsChild>
                <w:div w:id="687801487">
                  <w:marLeft w:val="0"/>
                  <w:marRight w:val="0"/>
                  <w:marTop w:val="0"/>
                  <w:marBottom w:val="0"/>
                  <w:divBdr>
                    <w:top w:val="none" w:sz="0" w:space="0" w:color="auto"/>
                    <w:left w:val="none" w:sz="0" w:space="0" w:color="auto"/>
                    <w:bottom w:val="none" w:sz="0" w:space="0" w:color="auto"/>
                    <w:right w:val="none" w:sz="0" w:space="0" w:color="auto"/>
                  </w:divBdr>
                  <w:divsChild>
                    <w:div w:id="14886727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182">
      <w:bodyDiv w:val="1"/>
      <w:marLeft w:val="0"/>
      <w:marRight w:val="0"/>
      <w:marTop w:val="0"/>
      <w:marBottom w:val="0"/>
      <w:divBdr>
        <w:top w:val="none" w:sz="0" w:space="0" w:color="auto"/>
        <w:left w:val="none" w:sz="0" w:space="0" w:color="auto"/>
        <w:bottom w:val="none" w:sz="0" w:space="0" w:color="auto"/>
        <w:right w:val="none" w:sz="0" w:space="0" w:color="auto"/>
      </w:divBdr>
    </w:div>
    <w:div w:id="106628218">
      <w:bodyDiv w:val="1"/>
      <w:marLeft w:val="0"/>
      <w:marRight w:val="0"/>
      <w:marTop w:val="0"/>
      <w:marBottom w:val="0"/>
      <w:divBdr>
        <w:top w:val="none" w:sz="0" w:space="0" w:color="auto"/>
        <w:left w:val="none" w:sz="0" w:space="0" w:color="auto"/>
        <w:bottom w:val="none" w:sz="0" w:space="0" w:color="auto"/>
        <w:right w:val="none" w:sz="0" w:space="0" w:color="auto"/>
      </w:divBdr>
    </w:div>
    <w:div w:id="163132095">
      <w:bodyDiv w:val="1"/>
      <w:marLeft w:val="0"/>
      <w:marRight w:val="0"/>
      <w:marTop w:val="0"/>
      <w:marBottom w:val="0"/>
      <w:divBdr>
        <w:top w:val="none" w:sz="0" w:space="0" w:color="auto"/>
        <w:left w:val="none" w:sz="0" w:space="0" w:color="auto"/>
        <w:bottom w:val="none" w:sz="0" w:space="0" w:color="auto"/>
        <w:right w:val="none" w:sz="0" w:space="0" w:color="auto"/>
      </w:divBdr>
    </w:div>
    <w:div w:id="271060388">
      <w:bodyDiv w:val="1"/>
      <w:marLeft w:val="0"/>
      <w:marRight w:val="0"/>
      <w:marTop w:val="0"/>
      <w:marBottom w:val="0"/>
      <w:divBdr>
        <w:top w:val="none" w:sz="0" w:space="0" w:color="auto"/>
        <w:left w:val="none" w:sz="0" w:space="0" w:color="auto"/>
        <w:bottom w:val="none" w:sz="0" w:space="0" w:color="auto"/>
        <w:right w:val="none" w:sz="0" w:space="0" w:color="auto"/>
      </w:divBdr>
      <w:divsChild>
        <w:div w:id="586964088">
          <w:marLeft w:val="0"/>
          <w:marRight w:val="0"/>
          <w:marTop w:val="0"/>
          <w:marBottom w:val="0"/>
          <w:divBdr>
            <w:top w:val="none" w:sz="0" w:space="0" w:color="auto"/>
            <w:left w:val="none" w:sz="0" w:space="0" w:color="auto"/>
            <w:bottom w:val="none" w:sz="0" w:space="0" w:color="auto"/>
            <w:right w:val="none" w:sz="0" w:space="0" w:color="auto"/>
          </w:divBdr>
          <w:divsChild>
            <w:div w:id="716584314">
              <w:marLeft w:val="0"/>
              <w:marRight w:val="0"/>
              <w:marTop w:val="0"/>
              <w:marBottom w:val="0"/>
              <w:divBdr>
                <w:top w:val="none" w:sz="0" w:space="0" w:color="auto"/>
                <w:left w:val="none" w:sz="0" w:space="0" w:color="auto"/>
                <w:bottom w:val="none" w:sz="0" w:space="0" w:color="auto"/>
                <w:right w:val="none" w:sz="0" w:space="0" w:color="auto"/>
              </w:divBdr>
              <w:divsChild>
                <w:div w:id="536430264">
                  <w:marLeft w:val="0"/>
                  <w:marRight w:val="0"/>
                  <w:marTop w:val="0"/>
                  <w:marBottom w:val="0"/>
                  <w:divBdr>
                    <w:top w:val="none" w:sz="0" w:space="0" w:color="auto"/>
                    <w:left w:val="none" w:sz="0" w:space="0" w:color="auto"/>
                    <w:bottom w:val="none" w:sz="0" w:space="0" w:color="auto"/>
                    <w:right w:val="none" w:sz="0" w:space="0" w:color="auto"/>
                  </w:divBdr>
                  <w:divsChild>
                    <w:div w:id="6404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38822">
      <w:bodyDiv w:val="1"/>
      <w:marLeft w:val="0"/>
      <w:marRight w:val="0"/>
      <w:marTop w:val="0"/>
      <w:marBottom w:val="0"/>
      <w:divBdr>
        <w:top w:val="none" w:sz="0" w:space="0" w:color="auto"/>
        <w:left w:val="none" w:sz="0" w:space="0" w:color="auto"/>
        <w:bottom w:val="none" w:sz="0" w:space="0" w:color="auto"/>
        <w:right w:val="none" w:sz="0" w:space="0" w:color="auto"/>
      </w:divBdr>
    </w:div>
    <w:div w:id="345795201">
      <w:bodyDiv w:val="1"/>
      <w:marLeft w:val="0"/>
      <w:marRight w:val="0"/>
      <w:marTop w:val="0"/>
      <w:marBottom w:val="0"/>
      <w:divBdr>
        <w:top w:val="none" w:sz="0" w:space="0" w:color="auto"/>
        <w:left w:val="none" w:sz="0" w:space="0" w:color="auto"/>
        <w:bottom w:val="none" w:sz="0" w:space="0" w:color="auto"/>
        <w:right w:val="none" w:sz="0" w:space="0" w:color="auto"/>
      </w:divBdr>
      <w:divsChild>
        <w:div w:id="592785235">
          <w:marLeft w:val="0"/>
          <w:marRight w:val="0"/>
          <w:marTop w:val="0"/>
          <w:marBottom w:val="0"/>
          <w:divBdr>
            <w:top w:val="none" w:sz="0" w:space="0" w:color="auto"/>
            <w:left w:val="none" w:sz="0" w:space="0" w:color="auto"/>
            <w:bottom w:val="none" w:sz="0" w:space="0" w:color="auto"/>
            <w:right w:val="none" w:sz="0" w:space="0" w:color="auto"/>
          </w:divBdr>
          <w:divsChild>
            <w:div w:id="679894160">
              <w:marLeft w:val="0"/>
              <w:marRight w:val="0"/>
              <w:marTop w:val="0"/>
              <w:marBottom w:val="0"/>
              <w:divBdr>
                <w:top w:val="none" w:sz="0" w:space="0" w:color="auto"/>
                <w:left w:val="none" w:sz="0" w:space="0" w:color="auto"/>
                <w:bottom w:val="none" w:sz="0" w:space="0" w:color="auto"/>
                <w:right w:val="none" w:sz="0" w:space="0" w:color="auto"/>
              </w:divBdr>
              <w:divsChild>
                <w:div w:id="234362956">
                  <w:marLeft w:val="0"/>
                  <w:marRight w:val="0"/>
                  <w:marTop w:val="0"/>
                  <w:marBottom w:val="0"/>
                  <w:divBdr>
                    <w:top w:val="none" w:sz="0" w:space="0" w:color="auto"/>
                    <w:left w:val="none" w:sz="0" w:space="0" w:color="auto"/>
                    <w:bottom w:val="none" w:sz="0" w:space="0" w:color="auto"/>
                    <w:right w:val="none" w:sz="0" w:space="0" w:color="auto"/>
                  </w:divBdr>
                  <w:divsChild>
                    <w:div w:id="9772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6010">
      <w:bodyDiv w:val="1"/>
      <w:marLeft w:val="0"/>
      <w:marRight w:val="0"/>
      <w:marTop w:val="0"/>
      <w:marBottom w:val="0"/>
      <w:divBdr>
        <w:top w:val="none" w:sz="0" w:space="0" w:color="auto"/>
        <w:left w:val="none" w:sz="0" w:space="0" w:color="auto"/>
        <w:bottom w:val="none" w:sz="0" w:space="0" w:color="auto"/>
        <w:right w:val="none" w:sz="0" w:space="0" w:color="auto"/>
      </w:divBdr>
      <w:divsChild>
        <w:div w:id="661205092">
          <w:marLeft w:val="0"/>
          <w:marRight w:val="0"/>
          <w:marTop w:val="0"/>
          <w:marBottom w:val="0"/>
          <w:divBdr>
            <w:top w:val="none" w:sz="0" w:space="0" w:color="auto"/>
            <w:left w:val="none" w:sz="0" w:space="0" w:color="auto"/>
            <w:bottom w:val="none" w:sz="0" w:space="0" w:color="auto"/>
            <w:right w:val="none" w:sz="0" w:space="0" w:color="auto"/>
          </w:divBdr>
          <w:divsChild>
            <w:div w:id="504520401">
              <w:marLeft w:val="0"/>
              <w:marRight w:val="0"/>
              <w:marTop w:val="210"/>
              <w:marBottom w:val="0"/>
              <w:divBdr>
                <w:top w:val="none" w:sz="0" w:space="0" w:color="auto"/>
                <w:left w:val="none" w:sz="0" w:space="0" w:color="auto"/>
                <w:bottom w:val="none" w:sz="0" w:space="0" w:color="auto"/>
                <w:right w:val="none" w:sz="0" w:space="0" w:color="auto"/>
              </w:divBdr>
              <w:divsChild>
                <w:div w:id="1505513418">
                  <w:marLeft w:val="0"/>
                  <w:marRight w:val="0"/>
                  <w:marTop w:val="0"/>
                  <w:marBottom w:val="0"/>
                  <w:divBdr>
                    <w:top w:val="none" w:sz="0" w:space="0" w:color="auto"/>
                    <w:left w:val="none" w:sz="0" w:space="0" w:color="auto"/>
                    <w:bottom w:val="none" w:sz="0" w:space="0" w:color="auto"/>
                    <w:right w:val="none" w:sz="0" w:space="0" w:color="auto"/>
                  </w:divBdr>
                  <w:divsChild>
                    <w:div w:id="1343318503">
                      <w:marLeft w:val="0"/>
                      <w:marRight w:val="0"/>
                      <w:marTop w:val="0"/>
                      <w:marBottom w:val="0"/>
                      <w:divBdr>
                        <w:top w:val="none" w:sz="0" w:space="0" w:color="auto"/>
                        <w:left w:val="none" w:sz="0" w:space="0" w:color="auto"/>
                        <w:bottom w:val="none" w:sz="0" w:space="0" w:color="auto"/>
                        <w:right w:val="none" w:sz="0" w:space="0" w:color="auto"/>
                      </w:divBdr>
                      <w:divsChild>
                        <w:div w:id="707025965">
                          <w:marLeft w:val="0"/>
                          <w:marRight w:val="0"/>
                          <w:marTop w:val="0"/>
                          <w:marBottom w:val="0"/>
                          <w:divBdr>
                            <w:top w:val="none" w:sz="0" w:space="0" w:color="auto"/>
                            <w:left w:val="none" w:sz="0" w:space="0" w:color="auto"/>
                            <w:bottom w:val="none" w:sz="0" w:space="0" w:color="auto"/>
                            <w:right w:val="none" w:sz="0" w:space="0" w:color="auto"/>
                          </w:divBdr>
                          <w:divsChild>
                            <w:div w:id="7537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962842">
      <w:bodyDiv w:val="1"/>
      <w:marLeft w:val="0"/>
      <w:marRight w:val="0"/>
      <w:marTop w:val="0"/>
      <w:marBottom w:val="0"/>
      <w:divBdr>
        <w:top w:val="none" w:sz="0" w:space="0" w:color="auto"/>
        <w:left w:val="none" w:sz="0" w:space="0" w:color="auto"/>
        <w:bottom w:val="none" w:sz="0" w:space="0" w:color="auto"/>
        <w:right w:val="none" w:sz="0" w:space="0" w:color="auto"/>
      </w:divBdr>
      <w:divsChild>
        <w:div w:id="988241470">
          <w:marLeft w:val="0"/>
          <w:marRight w:val="0"/>
          <w:marTop w:val="0"/>
          <w:marBottom w:val="0"/>
          <w:divBdr>
            <w:top w:val="none" w:sz="0" w:space="0" w:color="auto"/>
            <w:left w:val="none" w:sz="0" w:space="0" w:color="auto"/>
            <w:bottom w:val="none" w:sz="0" w:space="0" w:color="auto"/>
            <w:right w:val="none" w:sz="0" w:space="0" w:color="auto"/>
          </w:divBdr>
          <w:divsChild>
            <w:div w:id="345787395">
              <w:marLeft w:val="0"/>
              <w:marRight w:val="0"/>
              <w:marTop w:val="0"/>
              <w:marBottom w:val="0"/>
              <w:divBdr>
                <w:top w:val="none" w:sz="0" w:space="0" w:color="auto"/>
                <w:left w:val="none" w:sz="0" w:space="0" w:color="auto"/>
                <w:bottom w:val="none" w:sz="0" w:space="0" w:color="auto"/>
                <w:right w:val="none" w:sz="0" w:space="0" w:color="auto"/>
              </w:divBdr>
              <w:divsChild>
                <w:div w:id="1788155916">
                  <w:marLeft w:val="0"/>
                  <w:marRight w:val="0"/>
                  <w:marTop w:val="0"/>
                  <w:marBottom w:val="0"/>
                  <w:divBdr>
                    <w:top w:val="none" w:sz="0" w:space="0" w:color="auto"/>
                    <w:left w:val="none" w:sz="0" w:space="0" w:color="auto"/>
                    <w:bottom w:val="none" w:sz="0" w:space="0" w:color="auto"/>
                    <w:right w:val="none" w:sz="0" w:space="0" w:color="auto"/>
                  </w:divBdr>
                  <w:divsChild>
                    <w:div w:id="1702582985">
                      <w:marLeft w:val="0"/>
                      <w:marRight w:val="0"/>
                      <w:marTop w:val="0"/>
                      <w:marBottom w:val="0"/>
                      <w:divBdr>
                        <w:top w:val="none" w:sz="0" w:space="0" w:color="auto"/>
                        <w:left w:val="none" w:sz="0" w:space="0" w:color="auto"/>
                        <w:bottom w:val="none" w:sz="0" w:space="0" w:color="auto"/>
                        <w:right w:val="none" w:sz="0" w:space="0" w:color="auto"/>
                      </w:divBdr>
                      <w:divsChild>
                        <w:div w:id="218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039203">
      <w:bodyDiv w:val="1"/>
      <w:marLeft w:val="0"/>
      <w:marRight w:val="0"/>
      <w:marTop w:val="0"/>
      <w:marBottom w:val="0"/>
      <w:divBdr>
        <w:top w:val="none" w:sz="0" w:space="0" w:color="auto"/>
        <w:left w:val="none" w:sz="0" w:space="0" w:color="auto"/>
        <w:bottom w:val="none" w:sz="0" w:space="0" w:color="auto"/>
        <w:right w:val="none" w:sz="0" w:space="0" w:color="auto"/>
      </w:divBdr>
      <w:divsChild>
        <w:div w:id="166791199">
          <w:marLeft w:val="0"/>
          <w:marRight w:val="0"/>
          <w:marTop w:val="0"/>
          <w:marBottom w:val="0"/>
          <w:divBdr>
            <w:top w:val="none" w:sz="0" w:space="0" w:color="auto"/>
            <w:left w:val="none" w:sz="0" w:space="0" w:color="auto"/>
            <w:bottom w:val="none" w:sz="0" w:space="0" w:color="auto"/>
            <w:right w:val="none" w:sz="0" w:space="0" w:color="auto"/>
          </w:divBdr>
          <w:divsChild>
            <w:div w:id="71319423">
              <w:marLeft w:val="0"/>
              <w:marRight w:val="0"/>
              <w:marTop w:val="0"/>
              <w:marBottom w:val="0"/>
              <w:divBdr>
                <w:top w:val="none" w:sz="0" w:space="0" w:color="auto"/>
                <w:left w:val="none" w:sz="0" w:space="0" w:color="auto"/>
                <w:bottom w:val="none" w:sz="0" w:space="0" w:color="auto"/>
                <w:right w:val="none" w:sz="0" w:space="0" w:color="auto"/>
              </w:divBdr>
              <w:divsChild>
                <w:div w:id="419984839">
                  <w:marLeft w:val="0"/>
                  <w:marRight w:val="0"/>
                  <w:marTop w:val="0"/>
                  <w:marBottom w:val="0"/>
                  <w:divBdr>
                    <w:top w:val="none" w:sz="0" w:space="0" w:color="auto"/>
                    <w:left w:val="none" w:sz="0" w:space="0" w:color="auto"/>
                    <w:bottom w:val="none" w:sz="0" w:space="0" w:color="auto"/>
                    <w:right w:val="none" w:sz="0" w:space="0" w:color="auto"/>
                  </w:divBdr>
                  <w:divsChild>
                    <w:div w:id="21309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68510">
      <w:bodyDiv w:val="1"/>
      <w:marLeft w:val="0"/>
      <w:marRight w:val="0"/>
      <w:marTop w:val="0"/>
      <w:marBottom w:val="0"/>
      <w:divBdr>
        <w:top w:val="none" w:sz="0" w:space="0" w:color="auto"/>
        <w:left w:val="none" w:sz="0" w:space="0" w:color="auto"/>
        <w:bottom w:val="none" w:sz="0" w:space="0" w:color="auto"/>
        <w:right w:val="none" w:sz="0" w:space="0" w:color="auto"/>
      </w:divBdr>
    </w:div>
    <w:div w:id="463617421">
      <w:bodyDiv w:val="1"/>
      <w:marLeft w:val="0"/>
      <w:marRight w:val="0"/>
      <w:marTop w:val="0"/>
      <w:marBottom w:val="0"/>
      <w:divBdr>
        <w:top w:val="none" w:sz="0" w:space="0" w:color="auto"/>
        <w:left w:val="none" w:sz="0" w:space="0" w:color="auto"/>
        <w:bottom w:val="none" w:sz="0" w:space="0" w:color="auto"/>
        <w:right w:val="none" w:sz="0" w:space="0" w:color="auto"/>
      </w:divBdr>
    </w:div>
    <w:div w:id="466750471">
      <w:bodyDiv w:val="1"/>
      <w:marLeft w:val="0"/>
      <w:marRight w:val="0"/>
      <w:marTop w:val="0"/>
      <w:marBottom w:val="0"/>
      <w:divBdr>
        <w:top w:val="none" w:sz="0" w:space="0" w:color="auto"/>
        <w:left w:val="none" w:sz="0" w:space="0" w:color="auto"/>
        <w:bottom w:val="none" w:sz="0" w:space="0" w:color="auto"/>
        <w:right w:val="none" w:sz="0" w:space="0" w:color="auto"/>
      </w:divBdr>
    </w:div>
    <w:div w:id="488668082">
      <w:bodyDiv w:val="1"/>
      <w:marLeft w:val="0"/>
      <w:marRight w:val="0"/>
      <w:marTop w:val="0"/>
      <w:marBottom w:val="0"/>
      <w:divBdr>
        <w:top w:val="none" w:sz="0" w:space="0" w:color="auto"/>
        <w:left w:val="none" w:sz="0" w:space="0" w:color="auto"/>
        <w:bottom w:val="none" w:sz="0" w:space="0" w:color="auto"/>
        <w:right w:val="none" w:sz="0" w:space="0" w:color="auto"/>
      </w:divBdr>
      <w:divsChild>
        <w:div w:id="1574704057">
          <w:marLeft w:val="0"/>
          <w:marRight w:val="0"/>
          <w:marTop w:val="0"/>
          <w:marBottom w:val="0"/>
          <w:divBdr>
            <w:top w:val="none" w:sz="0" w:space="0" w:color="auto"/>
            <w:left w:val="none" w:sz="0" w:space="0" w:color="auto"/>
            <w:bottom w:val="none" w:sz="0" w:space="0" w:color="auto"/>
            <w:right w:val="none" w:sz="0" w:space="0" w:color="auto"/>
          </w:divBdr>
          <w:divsChild>
            <w:div w:id="924873588">
              <w:marLeft w:val="0"/>
              <w:marRight w:val="0"/>
              <w:marTop w:val="0"/>
              <w:marBottom w:val="0"/>
              <w:divBdr>
                <w:top w:val="none" w:sz="0" w:space="0" w:color="auto"/>
                <w:left w:val="none" w:sz="0" w:space="0" w:color="auto"/>
                <w:bottom w:val="none" w:sz="0" w:space="0" w:color="auto"/>
                <w:right w:val="none" w:sz="0" w:space="0" w:color="auto"/>
              </w:divBdr>
              <w:divsChild>
                <w:div w:id="1213423327">
                  <w:marLeft w:val="0"/>
                  <w:marRight w:val="0"/>
                  <w:marTop w:val="0"/>
                  <w:marBottom w:val="0"/>
                  <w:divBdr>
                    <w:top w:val="none" w:sz="0" w:space="0" w:color="auto"/>
                    <w:left w:val="none" w:sz="0" w:space="0" w:color="auto"/>
                    <w:bottom w:val="none" w:sz="0" w:space="0" w:color="auto"/>
                    <w:right w:val="none" w:sz="0" w:space="0" w:color="auto"/>
                  </w:divBdr>
                  <w:divsChild>
                    <w:div w:id="1240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1135">
      <w:bodyDiv w:val="1"/>
      <w:marLeft w:val="0"/>
      <w:marRight w:val="0"/>
      <w:marTop w:val="0"/>
      <w:marBottom w:val="0"/>
      <w:divBdr>
        <w:top w:val="none" w:sz="0" w:space="0" w:color="auto"/>
        <w:left w:val="none" w:sz="0" w:space="0" w:color="auto"/>
        <w:bottom w:val="none" w:sz="0" w:space="0" w:color="auto"/>
        <w:right w:val="none" w:sz="0" w:space="0" w:color="auto"/>
      </w:divBdr>
    </w:div>
    <w:div w:id="524950133">
      <w:bodyDiv w:val="1"/>
      <w:marLeft w:val="0"/>
      <w:marRight w:val="0"/>
      <w:marTop w:val="0"/>
      <w:marBottom w:val="0"/>
      <w:divBdr>
        <w:top w:val="none" w:sz="0" w:space="0" w:color="auto"/>
        <w:left w:val="none" w:sz="0" w:space="0" w:color="auto"/>
        <w:bottom w:val="none" w:sz="0" w:space="0" w:color="auto"/>
        <w:right w:val="none" w:sz="0" w:space="0" w:color="auto"/>
      </w:divBdr>
    </w:div>
    <w:div w:id="613247680">
      <w:bodyDiv w:val="1"/>
      <w:marLeft w:val="0"/>
      <w:marRight w:val="0"/>
      <w:marTop w:val="0"/>
      <w:marBottom w:val="0"/>
      <w:divBdr>
        <w:top w:val="none" w:sz="0" w:space="0" w:color="auto"/>
        <w:left w:val="none" w:sz="0" w:space="0" w:color="auto"/>
        <w:bottom w:val="none" w:sz="0" w:space="0" w:color="auto"/>
        <w:right w:val="none" w:sz="0" w:space="0" w:color="auto"/>
      </w:divBdr>
    </w:div>
    <w:div w:id="653609567">
      <w:bodyDiv w:val="1"/>
      <w:marLeft w:val="0"/>
      <w:marRight w:val="0"/>
      <w:marTop w:val="0"/>
      <w:marBottom w:val="0"/>
      <w:divBdr>
        <w:top w:val="none" w:sz="0" w:space="0" w:color="auto"/>
        <w:left w:val="none" w:sz="0" w:space="0" w:color="auto"/>
        <w:bottom w:val="none" w:sz="0" w:space="0" w:color="auto"/>
        <w:right w:val="none" w:sz="0" w:space="0" w:color="auto"/>
      </w:divBdr>
      <w:divsChild>
        <w:div w:id="2102528682">
          <w:marLeft w:val="0"/>
          <w:marRight w:val="0"/>
          <w:marTop w:val="0"/>
          <w:marBottom w:val="0"/>
          <w:divBdr>
            <w:top w:val="none" w:sz="0" w:space="0" w:color="auto"/>
            <w:left w:val="none" w:sz="0" w:space="0" w:color="auto"/>
            <w:bottom w:val="none" w:sz="0" w:space="0" w:color="auto"/>
            <w:right w:val="none" w:sz="0" w:space="0" w:color="auto"/>
          </w:divBdr>
          <w:divsChild>
            <w:div w:id="1498957637">
              <w:marLeft w:val="0"/>
              <w:marRight w:val="0"/>
              <w:marTop w:val="0"/>
              <w:marBottom w:val="0"/>
              <w:divBdr>
                <w:top w:val="none" w:sz="0" w:space="0" w:color="auto"/>
                <w:left w:val="none" w:sz="0" w:space="0" w:color="auto"/>
                <w:bottom w:val="none" w:sz="0" w:space="0" w:color="auto"/>
                <w:right w:val="none" w:sz="0" w:space="0" w:color="auto"/>
              </w:divBdr>
              <w:divsChild>
                <w:div w:id="169953461">
                  <w:marLeft w:val="0"/>
                  <w:marRight w:val="0"/>
                  <w:marTop w:val="0"/>
                  <w:marBottom w:val="0"/>
                  <w:divBdr>
                    <w:top w:val="none" w:sz="0" w:space="0" w:color="auto"/>
                    <w:left w:val="none" w:sz="0" w:space="0" w:color="auto"/>
                    <w:bottom w:val="none" w:sz="0" w:space="0" w:color="auto"/>
                    <w:right w:val="none" w:sz="0" w:space="0" w:color="auto"/>
                  </w:divBdr>
                  <w:divsChild>
                    <w:div w:id="1074428967">
                      <w:marLeft w:val="0"/>
                      <w:marRight w:val="0"/>
                      <w:marTop w:val="0"/>
                      <w:marBottom w:val="0"/>
                      <w:divBdr>
                        <w:top w:val="none" w:sz="0" w:space="0" w:color="auto"/>
                        <w:left w:val="none" w:sz="0" w:space="0" w:color="auto"/>
                        <w:bottom w:val="none" w:sz="0" w:space="0" w:color="auto"/>
                        <w:right w:val="none" w:sz="0" w:space="0" w:color="auto"/>
                      </w:divBdr>
                      <w:divsChild>
                        <w:div w:id="612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072986">
      <w:bodyDiv w:val="1"/>
      <w:marLeft w:val="0"/>
      <w:marRight w:val="0"/>
      <w:marTop w:val="0"/>
      <w:marBottom w:val="0"/>
      <w:divBdr>
        <w:top w:val="none" w:sz="0" w:space="0" w:color="auto"/>
        <w:left w:val="none" w:sz="0" w:space="0" w:color="auto"/>
        <w:bottom w:val="none" w:sz="0" w:space="0" w:color="auto"/>
        <w:right w:val="none" w:sz="0" w:space="0" w:color="auto"/>
      </w:divBdr>
    </w:div>
    <w:div w:id="708531350">
      <w:bodyDiv w:val="1"/>
      <w:marLeft w:val="0"/>
      <w:marRight w:val="0"/>
      <w:marTop w:val="0"/>
      <w:marBottom w:val="0"/>
      <w:divBdr>
        <w:top w:val="none" w:sz="0" w:space="0" w:color="auto"/>
        <w:left w:val="none" w:sz="0" w:space="0" w:color="auto"/>
        <w:bottom w:val="none" w:sz="0" w:space="0" w:color="auto"/>
        <w:right w:val="none" w:sz="0" w:space="0" w:color="auto"/>
      </w:divBdr>
      <w:divsChild>
        <w:div w:id="1584609675">
          <w:marLeft w:val="0"/>
          <w:marRight w:val="0"/>
          <w:marTop w:val="0"/>
          <w:marBottom w:val="0"/>
          <w:divBdr>
            <w:top w:val="none" w:sz="0" w:space="0" w:color="auto"/>
            <w:left w:val="none" w:sz="0" w:space="0" w:color="auto"/>
            <w:bottom w:val="none" w:sz="0" w:space="0" w:color="auto"/>
            <w:right w:val="none" w:sz="0" w:space="0" w:color="auto"/>
          </w:divBdr>
          <w:divsChild>
            <w:div w:id="1581066115">
              <w:marLeft w:val="0"/>
              <w:marRight w:val="0"/>
              <w:marTop w:val="0"/>
              <w:marBottom w:val="0"/>
              <w:divBdr>
                <w:top w:val="none" w:sz="0" w:space="0" w:color="auto"/>
                <w:left w:val="none" w:sz="0" w:space="0" w:color="auto"/>
                <w:bottom w:val="none" w:sz="0" w:space="0" w:color="auto"/>
                <w:right w:val="none" w:sz="0" w:space="0" w:color="auto"/>
              </w:divBdr>
              <w:divsChild>
                <w:div w:id="2053190168">
                  <w:marLeft w:val="0"/>
                  <w:marRight w:val="0"/>
                  <w:marTop w:val="0"/>
                  <w:marBottom w:val="0"/>
                  <w:divBdr>
                    <w:top w:val="none" w:sz="0" w:space="0" w:color="auto"/>
                    <w:left w:val="none" w:sz="0" w:space="0" w:color="auto"/>
                    <w:bottom w:val="none" w:sz="0" w:space="0" w:color="auto"/>
                    <w:right w:val="none" w:sz="0" w:space="0" w:color="auto"/>
                  </w:divBdr>
                  <w:divsChild>
                    <w:div w:id="2103261791">
                      <w:marLeft w:val="0"/>
                      <w:marRight w:val="0"/>
                      <w:marTop w:val="0"/>
                      <w:marBottom w:val="0"/>
                      <w:divBdr>
                        <w:top w:val="none" w:sz="0" w:space="0" w:color="auto"/>
                        <w:left w:val="none" w:sz="0" w:space="0" w:color="auto"/>
                        <w:bottom w:val="none" w:sz="0" w:space="0" w:color="auto"/>
                        <w:right w:val="none" w:sz="0" w:space="0" w:color="auto"/>
                      </w:divBdr>
                      <w:divsChild>
                        <w:div w:id="1361006020">
                          <w:marLeft w:val="0"/>
                          <w:marRight w:val="0"/>
                          <w:marTop w:val="0"/>
                          <w:marBottom w:val="0"/>
                          <w:divBdr>
                            <w:top w:val="none" w:sz="0" w:space="0" w:color="auto"/>
                            <w:left w:val="none" w:sz="0" w:space="0" w:color="auto"/>
                            <w:bottom w:val="none" w:sz="0" w:space="0" w:color="auto"/>
                            <w:right w:val="none" w:sz="0" w:space="0" w:color="auto"/>
                          </w:divBdr>
                          <w:divsChild>
                            <w:div w:id="279608704">
                              <w:marLeft w:val="0"/>
                              <w:marRight w:val="0"/>
                              <w:marTop w:val="0"/>
                              <w:marBottom w:val="0"/>
                              <w:divBdr>
                                <w:top w:val="none" w:sz="0" w:space="0" w:color="auto"/>
                                <w:left w:val="none" w:sz="0" w:space="0" w:color="auto"/>
                                <w:bottom w:val="none" w:sz="0" w:space="0" w:color="auto"/>
                                <w:right w:val="none" w:sz="0" w:space="0" w:color="auto"/>
                              </w:divBdr>
                              <w:divsChild>
                                <w:div w:id="1308516576">
                                  <w:marLeft w:val="0"/>
                                  <w:marRight w:val="0"/>
                                  <w:marTop w:val="0"/>
                                  <w:marBottom w:val="0"/>
                                  <w:divBdr>
                                    <w:top w:val="none" w:sz="0" w:space="0" w:color="auto"/>
                                    <w:left w:val="none" w:sz="0" w:space="0" w:color="auto"/>
                                    <w:bottom w:val="none" w:sz="0" w:space="0" w:color="auto"/>
                                    <w:right w:val="none" w:sz="0" w:space="0" w:color="auto"/>
                                  </w:divBdr>
                                  <w:divsChild>
                                    <w:div w:id="2061704683">
                                      <w:marLeft w:val="0"/>
                                      <w:marRight w:val="0"/>
                                      <w:marTop w:val="0"/>
                                      <w:marBottom w:val="0"/>
                                      <w:divBdr>
                                        <w:top w:val="none" w:sz="0" w:space="0" w:color="auto"/>
                                        <w:left w:val="none" w:sz="0" w:space="0" w:color="auto"/>
                                        <w:bottom w:val="none" w:sz="0" w:space="0" w:color="auto"/>
                                        <w:right w:val="none" w:sz="0" w:space="0" w:color="auto"/>
                                      </w:divBdr>
                                      <w:divsChild>
                                        <w:div w:id="1602450300">
                                          <w:marLeft w:val="0"/>
                                          <w:marRight w:val="0"/>
                                          <w:marTop w:val="0"/>
                                          <w:marBottom w:val="0"/>
                                          <w:divBdr>
                                            <w:top w:val="none" w:sz="0" w:space="0" w:color="auto"/>
                                            <w:left w:val="none" w:sz="0" w:space="0" w:color="auto"/>
                                            <w:bottom w:val="none" w:sz="0" w:space="0" w:color="auto"/>
                                            <w:right w:val="none" w:sz="0" w:space="0" w:color="auto"/>
                                          </w:divBdr>
                                          <w:divsChild>
                                            <w:div w:id="62413502">
                                              <w:marLeft w:val="0"/>
                                              <w:marRight w:val="0"/>
                                              <w:marTop w:val="0"/>
                                              <w:marBottom w:val="0"/>
                                              <w:divBdr>
                                                <w:top w:val="none" w:sz="0" w:space="0" w:color="auto"/>
                                                <w:left w:val="none" w:sz="0" w:space="0" w:color="auto"/>
                                                <w:bottom w:val="none" w:sz="0" w:space="0" w:color="auto"/>
                                                <w:right w:val="none" w:sz="0" w:space="0" w:color="auto"/>
                                              </w:divBdr>
                                              <w:divsChild>
                                                <w:div w:id="11618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316445">
      <w:bodyDiv w:val="1"/>
      <w:marLeft w:val="0"/>
      <w:marRight w:val="0"/>
      <w:marTop w:val="0"/>
      <w:marBottom w:val="0"/>
      <w:divBdr>
        <w:top w:val="none" w:sz="0" w:space="0" w:color="auto"/>
        <w:left w:val="none" w:sz="0" w:space="0" w:color="auto"/>
        <w:bottom w:val="none" w:sz="0" w:space="0" w:color="auto"/>
        <w:right w:val="none" w:sz="0" w:space="0" w:color="auto"/>
      </w:divBdr>
      <w:divsChild>
        <w:div w:id="1061177300">
          <w:marLeft w:val="0"/>
          <w:marRight w:val="0"/>
          <w:marTop w:val="0"/>
          <w:marBottom w:val="0"/>
          <w:divBdr>
            <w:top w:val="none" w:sz="0" w:space="0" w:color="auto"/>
            <w:left w:val="none" w:sz="0" w:space="0" w:color="auto"/>
            <w:bottom w:val="none" w:sz="0" w:space="0" w:color="auto"/>
            <w:right w:val="none" w:sz="0" w:space="0" w:color="auto"/>
          </w:divBdr>
          <w:divsChild>
            <w:div w:id="1889683846">
              <w:marLeft w:val="0"/>
              <w:marRight w:val="0"/>
              <w:marTop w:val="210"/>
              <w:marBottom w:val="0"/>
              <w:divBdr>
                <w:top w:val="none" w:sz="0" w:space="0" w:color="auto"/>
                <w:left w:val="none" w:sz="0" w:space="0" w:color="auto"/>
                <w:bottom w:val="none" w:sz="0" w:space="0" w:color="auto"/>
                <w:right w:val="none" w:sz="0" w:space="0" w:color="auto"/>
              </w:divBdr>
              <w:divsChild>
                <w:div w:id="833834339">
                  <w:marLeft w:val="0"/>
                  <w:marRight w:val="0"/>
                  <w:marTop w:val="0"/>
                  <w:marBottom w:val="0"/>
                  <w:divBdr>
                    <w:top w:val="none" w:sz="0" w:space="0" w:color="auto"/>
                    <w:left w:val="none" w:sz="0" w:space="0" w:color="auto"/>
                    <w:bottom w:val="none" w:sz="0" w:space="0" w:color="auto"/>
                    <w:right w:val="none" w:sz="0" w:space="0" w:color="auto"/>
                  </w:divBdr>
                  <w:divsChild>
                    <w:div w:id="382947241">
                      <w:marLeft w:val="0"/>
                      <w:marRight w:val="0"/>
                      <w:marTop w:val="0"/>
                      <w:marBottom w:val="0"/>
                      <w:divBdr>
                        <w:top w:val="none" w:sz="0" w:space="0" w:color="auto"/>
                        <w:left w:val="none" w:sz="0" w:space="0" w:color="auto"/>
                        <w:bottom w:val="none" w:sz="0" w:space="0" w:color="auto"/>
                        <w:right w:val="none" w:sz="0" w:space="0" w:color="auto"/>
                      </w:divBdr>
                      <w:divsChild>
                        <w:div w:id="998384923">
                          <w:marLeft w:val="0"/>
                          <w:marRight w:val="0"/>
                          <w:marTop w:val="0"/>
                          <w:marBottom w:val="0"/>
                          <w:divBdr>
                            <w:top w:val="none" w:sz="0" w:space="0" w:color="auto"/>
                            <w:left w:val="none" w:sz="0" w:space="0" w:color="auto"/>
                            <w:bottom w:val="none" w:sz="0" w:space="0" w:color="auto"/>
                            <w:right w:val="none" w:sz="0" w:space="0" w:color="auto"/>
                          </w:divBdr>
                          <w:divsChild>
                            <w:div w:id="8990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793638">
      <w:bodyDiv w:val="1"/>
      <w:marLeft w:val="0"/>
      <w:marRight w:val="0"/>
      <w:marTop w:val="0"/>
      <w:marBottom w:val="0"/>
      <w:divBdr>
        <w:top w:val="none" w:sz="0" w:space="0" w:color="auto"/>
        <w:left w:val="none" w:sz="0" w:space="0" w:color="auto"/>
        <w:bottom w:val="none" w:sz="0" w:space="0" w:color="auto"/>
        <w:right w:val="none" w:sz="0" w:space="0" w:color="auto"/>
      </w:divBdr>
    </w:div>
    <w:div w:id="725840454">
      <w:bodyDiv w:val="1"/>
      <w:marLeft w:val="0"/>
      <w:marRight w:val="0"/>
      <w:marTop w:val="0"/>
      <w:marBottom w:val="0"/>
      <w:divBdr>
        <w:top w:val="none" w:sz="0" w:space="0" w:color="auto"/>
        <w:left w:val="none" w:sz="0" w:space="0" w:color="auto"/>
        <w:bottom w:val="none" w:sz="0" w:space="0" w:color="auto"/>
        <w:right w:val="none" w:sz="0" w:space="0" w:color="auto"/>
      </w:divBdr>
    </w:div>
    <w:div w:id="774983387">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800078978">
      <w:bodyDiv w:val="1"/>
      <w:marLeft w:val="0"/>
      <w:marRight w:val="0"/>
      <w:marTop w:val="0"/>
      <w:marBottom w:val="0"/>
      <w:divBdr>
        <w:top w:val="none" w:sz="0" w:space="0" w:color="auto"/>
        <w:left w:val="none" w:sz="0" w:space="0" w:color="auto"/>
        <w:bottom w:val="none" w:sz="0" w:space="0" w:color="auto"/>
        <w:right w:val="none" w:sz="0" w:space="0" w:color="auto"/>
      </w:divBdr>
    </w:div>
    <w:div w:id="811406641">
      <w:bodyDiv w:val="1"/>
      <w:marLeft w:val="0"/>
      <w:marRight w:val="0"/>
      <w:marTop w:val="0"/>
      <w:marBottom w:val="0"/>
      <w:divBdr>
        <w:top w:val="none" w:sz="0" w:space="0" w:color="auto"/>
        <w:left w:val="none" w:sz="0" w:space="0" w:color="auto"/>
        <w:bottom w:val="none" w:sz="0" w:space="0" w:color="auto"/>
        <w:right w:val="none" w:sz="0" w:space="0" w:color="auto"/>
      </w:divBdr>
      <w:divsChild>
        <w:div w:id="361253270">
          <w:marLeft w:val="0"/>
          <w:marRight w:val="0"/>
          <w:marTop w:val="0"/>
          <w:marBottom w:val="0"/>
          <w:divBdr>
            <w:top w:val="none" w:sz="0" w:space="0" w:color="auto"/>
            <w:left w:val="none" w:sz="0" w:space="0" w:color="auto"/>
            <w:bottom w:val="none" w:sz="0" w:space="0" w:color="auto"/>
            <w:right w:val="none" w:sz="0" w:space="0" w:color="auto"/>
          </w:divBdr>
          <w:divsChild>
            <w:div w:id="2078815820">
              <w:marLeft w:val="0"/>
              <w:marRight w:val="0"/>
              <w:marTop w:val="0"/>
              <w:marBottom w:val="0"/>
              <w:divBdr>
                <w:top w:val="none" w:sz="0" w:space="0" w:color="auto"/>
                <w:left w:val="none" w:sz="0" w:space="0" w:color="auto"/>
                <w:bottom w:val="none" w:sz="0" w:space="0" w:color="auto"/>
                <w:right w:val="none" w:sz="0" w:space="0" w:color="auto"/>
              </w:divBdr>
              <w:divsChild>
                <w:div w:id="1012420029">
                  <w:marLeft w:val="0"/>
                  <w:marRight w:val="0"/>
                  <w:marTop w:val="0"/>
                  <w:marBottom w:val="0"/>
                  <w:divBdr>
                    <w:top w:val="none" w:sz="0" w:space="0" w:color="auto"/>
                    <w:left w:val="none" w:sz="0" w:space="0" w:color="auto"/>
                    <w:bottom w:val="none" w:sz="0" w:space="0" w:color="auto"/>
                    <w:right w:val="none" w:sz="0" w:space="0" w:color="auto"/>
                  </w:divBdr>
                  <w:divsChild>
                    <w:div w:id="821703155">
                      <w:marLeft w:val="0"/>
                      <w:marRight w:val="0"/>
                      <w:marTop w:val="0"/>
                      <w:marBottom w:val="0"/>
                      <w:divBdr>
                        <w:top w:val="none" w:sz="0" w:space="0" w:color="auto"/>
                        <w:left w:val="none" w:sz="0" w:space="0" w:color="auto"/>
                        <w:bottom w:val="none" w:sz="0" w:space="0" w:color="auto"/>
                        <w:right w:val="none" w:sz="0" w:space="0" w:color="auto"/>
                      </w:divBdr>
                      <w:divsChild>
                        <w:div w:id="622343957">
                          <w:marLeft w:val="0"/>
                          <w:marRight w:val="0"/>
                          <w:marTop w:val="0"/>
                          <w:marBottom w:val="0"/>
                          <w:divBdr>
                            <w:top w:val="none" w:sz="0" w:space="0" w:color="auto"/>
                            <w:left w:val="none" w:sz="0" w:space="0" w:color="auto"/>
                            <w:bottom w:val="none" w:sz="0" w:space="0" w:color="auto"/>
                            <w:right w:val="none" w:sz="0" w:space="0" w:color="auto"/>
                          </w:divBdr>
                          <w:divsChild>
                            <w:div w:id="1179736408">
                              <w:marLeft w:val="0"/>
                              <w:marRight w:val="0"/>
                              <w:marTop w:val="0"/>
                              <w:marBottom w:val="0"/>
                              <w:divBdr>
                                <w:top w:val="none" w:sz="0" w:space="0" w:color="auto"/>
                                <w:left w:val="none" w:sz="0" w:space="0" w:color="auto"/>
                                <w:bottom w:val="none" w:sz="0" w:space="0" w:color="auto"/>
                                <w:right w:val="none" w:sz="0" w:space="0" w:color="auto"/>
                              </w:divBdr>
                              <w:divsChild>
                                <w:div w:id="193739305">
                                  <w:marLeft w:val="0"/>
                                  <w:marRight w:val="0"/>
                                  <w:marTop w:val="0"/>
                                  <w:marBottom w:val="0"/>
                                  <w:divBdr>
                                    <w:top w:val="none" w:sz="0" w:space="0" w:color="auto"/>
                                    <w:left w:val="none" w:sz="0" w:space="0" w:color="auto"/>
                                    <w:bottom w:val="none" w:sz="0" w:space="0" w:color="auto"/>
                                    <w:right w:val="none" w:sz="0" w:space="0" w:color="auto"/>
                                  </w:divBdr>
                                  <w:divsChild>
                                    <w:div w:id="963274603">
                                      <w:marLeft w:val="0"/>
                                      <w:marRight w:val="0"/>
                                      <w:marTop w:val="0"/>
                                      <w:marBottom w:val="0"/>
                                      <w:divBdr>
                                        <w:top w:val="none" w:sz="0" w:space="0" w:color="auto"/>
                                        <w:left w:val="none" w:sz="0" w:space="0" w:color="auto"/>
                                        <w:bottom w:val="none" w:sz="0" w:space="0" w:color="auto"/>
                                        <w:right w:val="none" w:sz="0" w:space="0" w:color="auto"/>
                                      </w:divBdr>
                                      <w:divsChild>
                                        <w:div w:id="867639403">
                                          <w:marLeft w:val="0"/>
                                          <w:marRight w:val="0"/>
                                          <w:marTop w:val="0"/>
                                          <w:marBottom w:val="0"/>
                                          <w:divBdr>
                                            <w:top w:val="none" w:sz="0" w:space="0" w:color="auto"/>
                                            <w:left w:val="none" w:sz="0" w:space="0" w:color="auto"/>
                                            <w:bottom w:val="none" w:sz="0" w:space="0" w:color="auto"/>
                                            <w:right w:val="none" w:sz="0" w:space="0" w:color="auto"/>
                                          </w:divBdr>
                                          <w:divsChild>
                                            <w:div w:id="1420710032">
                                              <w:marLeft w:val="0"/>
                                              <w:marRight w:val="0"/>
                                              <w:marTop w:val="0"/>
                                              <w:marBottom w:val="0"/>
                                              <w:divBdr>
                                                <w:top w:val="none" w:sz="0" w:space="0" w:color="auto"/>
                                                <w:left w:val="none" w:sz="0" w:space="0" w:color="auto"/>
                                                <w:bottom w:val="none" w:sz="0" w:space="0" w:color="auto"/>
                                                <w:right w:val="none" w:sz="0" w:space="0" w:color="auto"/>
                                              </w:divBdr>
                                              <w:divsChild>
                                                <w:div w:id="1863321713">
                                                  <w:marLeft w:val="0"/>
                                                  <w:marRight w:val="0"/>
                                                  <w:marTop w:val="0"/>
                                                  <w:marBottom w:val="0"/>
                                                  <w:divBdr>
                                                    <w:top w:val="none" w:sz="0" w:space="0" w:color="auto"/>
                                                    <w:left w:val="none" w:sz="0" w:space="0" w:color="auto"/>
                                                    <w:bottom w:val="none" w:sz="0" w:space="0" w:color="auto"/>
                                                    <w:right w:val="none" w:sz="0" w:space="0" w:color="auto"/>
                                                  </w:divBdr>
                                                  <w:divsChild>
                                                    <w:div w:id="15285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385400">
      <w:bodyDiv w:val="1"/>
      <w:marLeft w:val="0"/>
      <w:marRight w:val="0"/>
      <w:marTop w:val="0"/>
      <w:marBottom w:val="0"/>
      <w:divBdr>
        <w:top w:val="none" w:sz="0" w:space="0" w:color="auto"/>
        <w:left w:val="none" w:sz="0" w:space="0" w:color="auto"/>
        <w:bottom w:val="none" w:sz="0" w:space="0" w:color="auto"/>
        <w:right w:val="none" w:sz="0" w:space="0" w:color="auto"/>
      </w:divBdr>
      <w:divsChild>
        <w:div w:id="314531067">
          <w:marLeft w:val="0"/>
          <w:marRight w:val="0"/>
          <w:marTop w:val="0"/>
          <w:marBottom w:val="0"/>
          <w:divBdr>
            <w:top w:val="none" w:sz="0" w:space="0" w:color="auto"/>
            <w:left w:val="none" w:sz="0" w:space="0" w:color="auto"/>
            <w:bottom w:val="none" w:sz="0" w:space="0" w:color="auto"/>
            <w:right w:val="none" w:sz="0" w:space="0" w:color="auto"/>
          </w:divBdr>
          <w:divsChild>
            <w:div w:id="686909985">
              <w:marLeft w:val="0"/>
              <w:marRight w:val="0"/>
              <w:marTop w:val="0"/>
              <w:marBottom w:val="0"/>
              <w:divBdr>
                <w:top w:val="none" w:sz="0" w:space="0" w:color="auto"/>
                <w:left w:val="none" w:sz="0" w:space="0" w:color="auto"/>
                <w:bottom w:val="none" w:sz="0" w:space="0" w:color="auto"/>
                <w:right w:val="none" w:sz="0" w:space="0" w:color="auto"/>
              </w:divBdr>
              <w:divsChild>
                <w:div w:id="1075783076">
                  <w:marLeft w:val="0"/>
                  <w:marRight w:val="0"/>
                  <w:marTop w:val="0"/>
                  <w:marBottom w:val="0"/>
                  <w:divBdr>
                    <w:top w:val="none" w:sz="0" w:space="0" w:color="auto"/>
                    <w:left w:val="none" w:sz="0" w:space="0" w:color="auto"/>
                    <w:bottom w:val="none" w:sz="0" w:space="0" w:color="auto"/>
                    <w:right w:val="none" w:sz="0" w:space="0" w:color="auto"/>
                  </w:divBdr>
                  <w:divsChild>
                    <w:div w:id="8206609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59346">
      <w:bodyDiv w:val="1"/>
      <w:marLeft w:val="0"/>
      <w:marRight w:val="0"/>
      <w:marTop w:val="0"/>
      <w:marBottom w:val="0"/>
      <w:divBdr>
        <w:top w:val="none" w:sz="0" w:space="0" w:color="auto"/>
        <w:left w:val="none" w:sz="0" w:space="0" w:color="auto"/>
        <w:bottom w:val="none" w:sz="0" w:space="0" w:color="auto"/>
        <w:right w:val="none" w:sz="0" w:space="0" w:color="auto"/>
      </w:divBdr>
    </w:div>
    <w:div w:id="895970015">
      <w:bodyDiv w:val="1"/>
      <w:marLeft w:val="0"/>
      <w:marRight w:val="0"/>
      <w:marTop w:val="0"/>
      <w:marBottom w:val="0"/>
      <w:divBdr>
        <w:top w:val="none" w:sz="0" w:space="0" w:color="auto"/>
        <w:left w:val="none" w:sz="0" w:space="0" w:color="auto"/>
        <w:bottom w:val="none" w:sz="0" w:space="0" w:color="auto"/>
        <w:right w:val="none" w:sz="0" w:space="0" w:color="auto"/>
      </w:divBdr>
    </w:div>
    <w:div w:id="896821821">
      <w:bodyDiv w:val="1"/>
      <w:marLeft w:val="0"/>
      <w:marRight w:val="0"/>
      <w:marTop w:val="0"/>
      <w:marBottom w:val="0"/>
      <w:divBdr>
        <w:top w:val="none" w:sz="0" w:space="0" w:color="auto"/>
        <w:left w:val="none" w:sz="0" w:space="0" w:color="auto"/>
        <w:bottom w:val="none" w:sz="0" w:space="0" w:color="auto"/>
        <w:right w:val="none" w:sz="0" w:space="0" w:color="auto"/>
      </w:divBdr>
      <w:divsChild>
        <w:div w:id="423378643">
          <w:marLeft w:val="0"/>
          <w:marRight w:val="0"/>
          <w:marTop w:val="0"/>
          <w:marBottom w:val="0"/>
          <w:divBdr>
            <w:top w:val="none" w:sz="0" w:space="0" w:color="auto"/>
            <w:left w:val="none" w:sz="0" w:space="0" w:color="auto"/>
            <w:bottom w:val="none" w:sz="0" w:space="0" w:color="auto"/>
            <w:right w:val="none" w:sz="0" w:space="0" w:color="auto"/>
          </w:divBdr>
          <w:divsChild>
            <w:div w:id="16162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9052">
      <w:bodyDiv w:val="1"/>
      <w:marLeft w:val="0"/>
      <w:marRight w:val="0"/>
      <w:marTop w:val="0"/>
      <w:marBottom w:val="0"/>
      <w:divBdr>
        <w:top w:val="none" w:sz="0" w:space="0" w:color="auto"/>
        <w:left w:val="none" w:sz="0" w:space="0" w:color="auto"/>
        <w:bottom w:val="none" w:sz="0" w:space="0" w:color="auto"/>
        <w:right w:val="none" w:sz="0" w:space="0" w:color="auto"/>
      </w:divBdr>
    </w:div>
    <w:div w:id="943465310">
      <w:bodyDiv w:val="1"/>
      <w:marLeft w:val="0"/>
      <w:marRight w:val="0"/>
      <w:marTop w:val="0"/>
      <w:marBottom w:val="0"/>
      <w:divBdr>
        <w:top w:val="none" w:sz="0" w:space="0" w:color="auto"/>
        <w:left w:val="none" w:sz="0" w:space="0" w:color="auto"/>
        <w:bottom w:val="none" w:sz="0" w:space="0" w:color="auto"/>
        <w:right w:val="none" w:sz="0" w:space="0" w:color="auto"/>
      </w:divBdr>
      <w:divsChild>
        <w:div w:id="188565480">
          <w:marLeft w:val="0"/>
          <w:marRight w:val="0"/>
          <w:marTop w:val="0"/>
          <w:marBottom w:val="0"/>
          <w:divBdr>
            <w:top w:val="none" w:sz="0" w:space="0" w:color="auto"/>
            <w:left w:val="none" w:sz="0" w:space="0" w:color="auto"/>
            <w:bottom w:val="none" w:sz="0" w:space="0" w:color="auto"/>
            <w:right w:val="none" w:sz="0" w:space="0" w:color="auto"/>
          </w:divBdr>
          <w:divsChild>
            <w:div w:id="636686874">
              <w:marLeft w:val="300"/>
              <w:marRight w:val="300"/>
              <w:marTop w:val="0"/>
              <w:marBottom w:val="0"/>
              <w:divBdr>
                <w:top w:val="none" w:sz="0" w:space="0" w:color="auto"/>
                <w:left w:val="none" w:sz="0" w:space="0" w:color="auto"/>
                <w:bottom w:val="none" w:sz="0" w:space="0" w:color="auto"/>
                <w:right w:val="none" w:sz="0" w:space="0" w:color="auto"/>
              </w:divBdr>
              <w:divsChild>
                <w:div w:id="5365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3179">
      <w:bodyDiv w:val="1"/>
      <w:marLeft w:val="0"/>
      <w:marRight w:val="0"/>
      <w:marTop w:val="0"/>
      <w:marBottom w:val="0"/>
      <w:divBdr>
        <w:top w:val="none" w:sz="0" w:space="0" w:color="auto"/>
        <w:left w:val="none" w:sz="0" w:space="0" w:color="auto"/>
        <w:bottom w:val="none" w:sz="0" w:space="0" w:color="auto"/>
        <w:right w:val="none" w:sz="0" w:space="0" w:color="auto"/>
      </w:divBdr>
    </w:div>
    <w:div w:id="993023052">
      <w:bodyDiv w:val="1"/>
      <w:marLeft w:val="0"/>
      <w:marRight w:val="0"/>
      <w:marTop w:val="0"/>
      <w:marBottom w:val="0"/>
      <w:divBdr>
        <w:top w:val="none" w:sz="0" w:space="0" w:color="auto"/>
        <w:left w:val="none" w:sz="0" w:space="0" w:color="auto"/>
        <w:bottom w:val="none" w:sz="0" w:space="0" w:color="auto"/>
        <w:right w:val="none" w:sz="0" w:space="0" w:color="auto"/>
      </w:divBdr>
      <w:divsChild>
        <w:div w:id="1769302959">
          <w:marLeft w:val="0"/>
          <w:marRight w:val="0"/>
          <w:marTop w:val="0"/>
          <w:marBottom w:val="0"/>
          <w:divBdr>
            <w:top w:val="none" w:sz="0" w:space="0" w:color="auto"/>
            <w:left w:val="none" w:sz="0" w:space="0" w:color="auto"/>
            <w:bottom w:val="none" w:sz="0" w:space="0" w:color="auto"/>
            <w:right w:val="none" w:sz="0" w:space="0" w:color="auto"/>
          </w:divBdr>
          <w:divsChild>
            <w:div w:id="7469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549">
      <w:bodyDiv w:val="1"/>
      <w:marLeft w:val="0"/>
      <w:marRight w:val="0"/>
      <w:marTop w:val="0"/>
      <w:marBottom w:val="0"/>
      <w:divBdr>
        <w:top w:val="none" w:sz="0" w:space="0" w:color="auto"/>
        <w:left w:val="none" w:sz="0" w:space="0" w:color="auto"/>
        <w:bottom w:val="none" w:sz="0" w:space="0" w:color="auto"/>
        <w:right w:val="none" w:sz="0" w:space="0" w:color="auto"/>
      </w:divBdr>
    </w:div>
    <w:div w:id="1080638068">
      <w:bodyDiv w:val="1"/>
      <w:marLeft w:val="0"/>
      <w:marRight w:val="0"/>
      <w:marTop w:val="0"/>
      <w:marBottom w:val="0"/>
      <w:divBdr>
        <w:top w:val="none" w:sz="0" w:space="0" w:color="auto"/>
        <w:left w:val="none" w:sz="0" w:space="0" w:color="auto"/>
        <w:bottom w:val="none" w:sz="0" w:space="0" w:color="auto"/>
        <w:right w:val="none" w:sz="0" w:space="0" w:color="auto"/>
      </w:divBdr>
    </w:div>
    <w:div w:id="1101334772">
      <w:bodyDiv w:val="1"/>
      <w:marLeft w:val="0"/>
      <w:marRight w:val="0"/>
      <w:marTop w:val="0"/>
      <w:marBottom w:val="0"/>
      <w:divBdr>
        <w:top w:val="none" w:sz="0" w:space="0" w:color="auto"/>
        <w:left w:val="none" w:sz="0" w:space="0" w:color="auto"/>
        <w:bottom w:val="none" w:sz="0" w:space="0" w:color="auto"/>
        <w:right w:val="none" w:sz="0" w:space="0" w:color="auto"/>
      </w:divBdr>
      <w:divsChild>
        <w:div w:id="2065567223">
          <w:marLeft w:val="0"/>
          <w:marRight w:val="0"/>
          <w:marTop w:val="0"/>
          <w:marBottom w:val="0"/>
          <w:divBdr>
            <w:top w:val="none" w:sz="0" w:space="0" w:color="auto"/>
            <w:left w:val="none" w:sz="0" w:space="0" w:color="auto"/>
            <w:bottom w:val="none" w:sz="0" w:space="0" w:color="auto"/>
            <w:right w:val="none" w:sz="0" w:space="0" w:color="auto"/>
          </w:divBdr>
          <w:divsChild>
            <w:div w:id="400298011">
              <w:marLeft w:val="0"/>
              <w:marRight w:val="0"/>
              <w:marTop w:val="0"/>
              <w:marBottom w:val="0"/>
              <w:divBdr>
                <w:top w:val="none" w:sz="0" w:space="0" w:color="auto"/>
                <w:left w:val="none" w:sz="0" w:space="0" w:color="auto"/>
                <w:bottom w:val="none" w:sz="0" w:space="0" w:color="auto"/>
                <w:right w:val="none" w:sz="0" w:space="0" w:color="auto"/>
              </w:divBdr>
              <w:divsChild>
                <w:div w:id="18960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5424">
      <w:bodyDiv w:val="1"/>
      <w:marLeft w:val="0"/>
      <w:marRight w:val="0"/>
      <w:marTop w:val="0"/>
      <w:marBottom w:val="0"/>
      <w:divBdr>
        <w:top w:val="none" w:sz="0" w:space="0" w:color="auto"/>
        <w:left w:val="none" w:sz="0" w:space="0" w:color="auto"/>
        <w:bottom w:val="none" w:sz="0" w:space="0" w:color="auto"/>
        <w:right w:val="none" w:sz="0" w:space="0" w:color="auto"/>
      </w:divBdr>
      <w:divsChild>
        <w:div w:id="652879823">
          <w:marLeft w:val="0"/>
          <w:marRight w:val="0"/>
          <w:marTop w:val="0"/>
          <w:marBottom w:val="0"/>
          <w:divBdr>
            <w:top w:val="none" w:sz="0" w:space="0" w:color="auto"/>
            <w:left w:val="none" w:sz="0" w:space="0" w:color="auto"/>
            <w:bottom w:val="none" w:sz="0" w:space="0" w:color="auto"/>
            <w:right w:val="none" w:sz="0" w:space="0" w:color="auto"/>
          </w:divBdr>
          <w:divsChild>
            <w:div w:id="1559783412">
              <w:marLeft w:val="0"/>
              <w:marRight w:val="0"/>
              <w:marTop w:val="0"/>
              <w:marBottom w:val="0"/>
              <w:divBdr>
                <w:top w:val="none" w:sz="0" w:space="0" w:color="auto"/>
                <w:left w:val="none" w:sz="0" w:space="0" w:color="auto"/>
                <w:bottom w:val="none" w:sz="0" w:space="0" w:color="auto"/>
                <w:right w:val="none" w:sz="0" w:space="0" w:color="auto"/>
              </w:divBdr>
              <w:divsChild>
                <w:div w:id="1461067210">
                  <w:marLeft w:val="0"/>
                  <w:marRight w:val="0"/>
                  <w:marTop w:val="0"/>
                  <w:marBottom w:val="0"/>
                  <w:divBdr>
                    <w:top w:val="none" w:sz="0" w:space="0" w:color="auto"/>
                    <w:left w:val="none" w:sz="0" w:space="0" w:color="auto"/>
                    <w:bottom w:val="none" w:sz="0" w:space="0" w:color="auto"/>
                    <w:right w:val="none" w:sz="0" w:space="0" w:color="auto"/>
                  </w:divBdr>
                  <w:divsChild>
                    <w:div w:id="533664324">
                      <w:marLeft w:val="0"/>
                      <w:marRight w:val="0"/>
                      <w:marTop w:val="0"/>
                      <w:marBottom w:val="0"/>
                      <w:divBdr>
                        <w:top w:val="none" w:sz="0" w:space="0" w:color="auto"/>
                        <w:left w:val="none" w:sz="0" w:space="0" w:color="auto"/>
                        <w:bottom w:val="none" w:sz="0" w:space="0" w:color="auto"/>
                        <w:right w:val="none" w:sz="0" w:space="0" w:color="auto"/>
                      </w:divBdr>
                      <w:divsChild>
                        <w:div w:id="898977011">
                          <w:marLeft w:val="0"/>
                          <w:marRight w:val="0"/>
                          <w:marTop w:val="0"/>
                          <w:marBottom w:val="0"/>
                          <w:divBdr>
                            <w:top w:val="none" w:sz="0" w:space="0" w:color="auto"/>
                            <w:left w:val="none" w:sz="0" w:space="0" w:color="auto"/>
                            <w:bottom w:val="none" w:sz="0" w:space="0" w:color="auto"/>
                            <w:right w:val="none" w:sz="0" w:space="0" w:color="auto"/>
                          </w:divBdr>
                          <w:divsChild>
                            <w:div w:id="666399737">
                              <w:marLeft w:val="0"/>
                              <w:marRight w:val="0"/>
                              <w:marTop w:val="0"/>
                              <w:marBottom w:val="0"/>
                              <w:divBdr>
                                <w:top w:val="none" w:sz="0" w:space="0" w:color="auto"/>
                                <w:left w:val="none" w:sz="0" w:space="0" w:color="auto"/>
                                <w:bottom w:val="none" w:sz="0" w:space="0" w:color="auto"/>
                                <w:right w:val="none" w:sz="0" w:space="0" w:color="auto"/>
                              </w:divBdr>
                              <w:divsChild>
                                <w:div w:id="156196775">
                                  <w:marLeft w:val="0"/>
                                  <w:marRight w:val="0"/>
                                  <w:marTop w:val="0"/>
                                  <w:marBottom w:val="0"/>
                                  <w:divBdr>
                                    <w:top w:val="none" w:sz="0" w:space="0" w:color="auto"/>
                                    <w:left w:val="none" w:sz="0" w:space="0" w:color="auto"/>
                                    <w:bottom w:val="none" w:sz="0" w:space="0" w:color="auto"/>
                                    <w:right w:val="none" w:sz="0" w:space="0" w:color="auto"/>
                                  </w:divBdr>
                                  <w:divsChild>
                                    <w:div w:id="1791583796">
                                      <w:marLeft w:val="0"/>
                                      <w:marRight w:val="0"/>
                                      <w:marTop w:val="0"/>
                                      <w:marBottom w:val="0"/>
                                      <w:divBdr>
                                        <w:top w:val="none" w:sz="0" w:space="0" w:color="auto"/>
                                        <w:left w:val="none" w:sz="0" w:space="0" w:color="auto"/>
                                        <w:bottom w:val="none" w:sz="0" w:space="0" w:color="auto"/>
                                        <w:right w:val="none" w:sz="0" w:space="0" w:color="auto"/>
                                      </w:divBdr>
                                      <w:divsChild>
                                        <w:div w:id="11715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30480">
                                  <w:marLeft w:val="0"/>
                                  <w:marRight w:val="0"/>
                                  <w:marTop w:val="0"/>
                                  <w:marBottom w:val="0"/>
                                  <w:divBdr>
                                    <w:top w:val="none" w:sz="0" w:space="0" w:color="auto"/>
                                    <w:left w:val="none" w:sz="0" w:space="0" w:color="auto"/>
                                    <w:bottom w:val="none" w:sz="0" w:space="0" w:color="auto"/>
                                    <w:right w:val="none" w:sz="0" w:space="0" w:color="auto"/>
                                  </w:divBdr>
                                  <w:divsChild>
                                    <w:div w:id="88233779">
                                      <w:marLeft w:val="0"/>
                                      <w:marRight w:val="0"/>
                                      <w:marTop w:val="0"/>
                                      <w:marBottom w:val="0"/>
                                      <w:divBdr>
                                        <w:top w:val="none" w:sz="0" w:space="0" w:color="auto"/>
                                        <w:left w:val="none" w:sz="0" w:space="0" w:color="auto"/>
                                        <w:bottom w:val="none" w:sz="0" w:space="0" w:color="auto"/>
                                        <w:right w:val="none" w:sz="0" w:space="0" w:color="auto"/>
                                      </w:divBdr>
                                      <w:divsChild>
                                        <w:div w:id="1113666490">
                                          <w:marLeft w:val="0"/>
                                          <w:marRight w:val="0"/>
                                          <w:marTop w:val="0"/>
                                          <w:marBottom w:val="0"/>
                                          <w:divBdr>
                                            <w:top w:val="none" w:sz="0" w:space="0" w:color="auto"/>
                                            <w:left w:val="none" w:sz="0" w:space="0" w:color="auto"/>
                                            <w:bottom w:val="none" w:sz="0" w:space="0" w:color="auto"/>
                                            <w:right w:val="none" w:sz="0" w:space="0" w:color="auto"/>
                                          </w:divBdr>
                                          <w:divsChild>
                                            <w:div w:id="2840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11637">
      <w:bodyDiv w:val="1"/>
      <w:marLeft w:val="0"/>
      <w:marRight w:val="0"/>
      <w:marTop w:val="0"/>
      <w:marBottom w:val="0"/>
      <w:divBdr>
        <w:top w:val="none" w:sz="0" w:space="0" w:color="auto"/>
        <w:left w:val="none" w:sz="0" w:space="0" w:color="auto"/>
        <w:bottom w:val="none" w:sz="0" w:space="0" w:color="auto"/>
        <w:right w:val="none" w:sz="0" w:space="0" w:color="auto"/>
      </w:divBdr>
      <w:divsChild>
        <w:div w:id="227347091">
          <w:marLeft w:val="0"/>
          <w:marRight w:val="0"/>
          <w:marTop w:val="0"/>
          <w:marBottom w:val="0"/>
          <w:divBdr>
            <w:top w:val="none" w:sz="0" w:space="0" w:color="auto"/>
            <w:left w:val="none" w:sz="0" w:space="0" w:color="auto"/>
            <w:bottom w:val="none" w:sz="0" w:space="0" w:color="auto"/>
            <w:right w:val="none" w:sz="0" w:space="0" w:color="auto"/>
          </w:divBdr>
          <w:divsChild>
            <w:div w:id="209805135">
              <w:marLeft w:val="0"/>
              <w:marRight w:val="0"/>
              <w:marTop w:val="0"/>
              <w:marBottom w:val="0"/>
              <w:divBdr>
                <w:top w:val="none" w:sz="0" w:space="0" w:color="auto"/>
                <w:left w:val="none" w:sz="0" w:space="0" w:color="auto"/>
                <w:bottom w:val="none" w:sz="0" w:space="0" w:color="auto"/>
                <w:right w:val="none" w:sz="0" w:space="0" w:color="auto"/>
              </w:divBdr>
              <w:divsChild>
                <w:div w:id="558059192">
                  <w:marLeft w:val="0"/>
                  <w:marRight w:val="0"/>
                  <w:marTop w:val="0"/>
                  <w:marBottom w:val="0"/>
                  <w:divBdr>
                    <w:top w:val="none" w:sz="0" w:space="0" w:color="auto"/>
                    <w:left w:val="none" w:sz="0" w:space="0" w:color="auto"/>
                    <w:bottom w:val="none" w:sz="0" w:space="0" w:color="auto"/>
                    <w:right w:val="none" w:sz="0" w:space="0" w:color="auto"/>
                  </w:divBdr>
                  <w:divsChild>
                    <w:div w:id="57521248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43325">
      <w:bodyDiv w:val="1"/>
      <w:marLeft w:val="0"/>
      <w:marRight w:val="0"/>
      <w:marTop w:val="0"/>
      <w:marBottom w:val="0"/>
      <w:divBdr>
        <w:top w:val="none" w:sz="0" w:space="0" w:color="auto"/>
        <w:left w:val="none" w:sz="0" w:space="0" w:color="auto"/>
        <w:bottom w:val="none" w:sz="0" w:space="0" w:color="auto"/>
        <w:right w:val="none" w:sz="0" w:space="0" w:color="auto"/>
      </w:divBdr>
      <w:divsChild>
        <w:div w:id="798768744">
          <w:marLeft w:val="0"/>
          <w:marRight w:val="0"/>
          <w:marTop w:val="0"/>
          <w:marBottom w:val="0"/>
          <w:divBdr>
            <w:top w:val="none" w:sz="0" w:space="0" w:color="auto"/>
            <w:left w:val="none" w:sz="0" w:space="0" w:color="auto"/>
            <w:bottom w:val="none" w:sz="0" w:space="0" w:color="auto"/>
            <w:right w:val="none" w:sz="0" w:space="0" w:color="auto"/>
          </w:divBdr>
          <w:divsChild>
            <w:div w:id="953750968">
              <w:marLeft w:val="0"/>
              <w:marRight w:val="0"/>
              <w:marTop w:val="0"/>
              <w:marBottom w:val="0"/>
              <w:divBdr>
                <w:top w:val="none" w:sz="0" w:space="0" w:color="auto"/>
                <w:left w:val="none" w:sz="0" w:space="0" w:color="auto"/>
                <w:bottom w:val="none" w:sz="0" w:space="0" w:color="auto"/>
                <w:right w:val="none" w:sz="0" w:space="0" w:color="auto"/>
              </w:divBdr>
              <w:divsChild>
                <w:div w:id="1788815311">
                  <w:marLeft w:val="0"/>
                  <w:marRight w:val="0"/>
                  <w:marTop w:val="0"/>
                  <w:marBottom w:val="0"/>
                  <w:divBdr>
                    <w:top w:val="none" w:sz="0" w:space="0" w:color="auto"/>
                    <w:left w:val="none" w:sz="0" w:space="0" w:color="auto"/>
                    <w:bottom w:val="none" w:sz="0" w:space="0" w:color="auto"/>
                    <w:right w:val="none" w:sz="0" w:space="0" w:color="auto"/>
                  </w:divBdr>
                  <w:divsChild>
                    <w:div w:id="11816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40405">
      <w:bodyDiv w:val="1"/>
      <w:marLeft w:val="0"/>
      <w:marRight w:val="0"/>
      <w:marTop w:val="0"/>
      <w:marBottom w:val="0"/>
      <w:divBdr>
        <w:top w:val="none" w:sz="0" w:space="0" w:color="auto"/>
        <w:left w:val="none" w:sz="0" w:space="0" w:color="auto"/>
        <w:bottom w:val="none" w:sz="0" w:space="0" w:color="auto"/>
        <w:right w:val="none" w:sz="0" w:space="0" w:color="auto"/>
      </w:divBdr>
      <w:divsChild>
        <w:div w:id="1695111026">
          <w:marLeft w:val="0"/>
          <w:marRight w:val="0"/>
          <w:marTop w:val="0"/>
          <w:marBottom w:val="0"/>
          <w:divBdr>
            <w:top w:val="none" w:sz="0" w:space="0" w:color="auto"/>
            <w:left w:val="none" w:sz="0" w:space="0" w:color="auto"/>
            <w:bottom w:val="none" w:sz="0" w:space="0" w:color="auto"/>
            <w:right w:val="none" w:sz="0" w:space="0" w:color="auto"/>
          </w:divBdr>
          <w:divsChild>
            <w:div w:id="230309057">
              <w:marLeft w:val="0"/>
              <w:marRight w:val="0"/>
              <w:marTop w:val="0"/>
              <w:marBottom w:val="0"/>
              <w:divBdr>
                <w:top w:val="none" w:sz="0" w:space="0" w:color="auto"/>
                <w:left w:val="none" w:sz="0" w:space="0" w:color="auto"/>
                <w:bottom w:val="none" w:sz="0" w:space="0" w:color="auto"/>
                <w:right w:val="none" w:sz="0" w:space="0" w:color="auto"/>
              </w:divBdr>
              <w:divsChild>
                <w:div w:id="1150368656">
                  <w:marLeft w:val="0"/>
                  <w:marRight w:val="0"/>
                  <w:marTop w:val="0"/>
                  <w:marBottom w:val="0"/>
                  <w:divBdr>
                    <w:top w:val="none" w:sz="0" w:space="0" w:color="auto"/>
                    <w:left w:val="none" w:sz="0" w:space="0" w:color="auto"/>
                    <w:bottom w:val="none" w:sz="0" w:space="0" w:color="auto"/>
                    <w:right w:val="none" w:sz="0" w:space="0" w:color="auto"/>
                  </w:divBdr>
                  <w:divsChild>
                    <w:div w:id="11363362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964921">
      <w:bodyDiv w:val="1"/>
      <w:marLeft w:val="0"/>
      <w:marRight w:val="0"/>
      <w:marTop w:val="0"/>
      <w:marBottom w:val="0"/>
      <w:divBdr>
        <w:top w:val="none" w:sz="0" w:space="0" w:color="auto"/>
        <w:left w:val="none" w:sz="0" w:space="0" w:color="auto"/>
        <w:bottom w:val="none" w:sz="0" w:space="0" w:color="auto"/>
        <w:right w:val="none" w:sz="0" w:space="0" w:color="auto"/>
      </w:divBdr>
    </w:div>
    <w:div w:id="1363945744">
      <w:bodyDiv w:val="1"/>
      <w:marLeft w:val="0"/>
      <w:marRight w:val="0"/>
      <w:marTop w:val="0"/>
      <w:marBottom w:val="0"/>
      <w:divBdr>
        <w:top w:val="none" w:sz="0" w:space="0" w:color="auto"/>
        <w:left w:val="none" w:sz="0" w:space="0" w:color="auto"/>
        <w:bottom w:val="none" w:sz="0" w:space="0" w:color="auto"/>
        <w:right w:val="none" w:sz="0" w:space="0" w:color="auto"/>
      </w:divBdr>
    </w:div>
    <w:div w:id="1364866823">
      <w:bodyDiv w:val="1"/>
      <w:marLeft w:val="0"/>
      <w:marRight w:val="0"/>
      <w:marTop w:val="0"/>
      <w:marBottom w:val="0"/>
      <w:divBdr>
        <w:top w:val="none" w:sz="0" w:space="0" w:color="auto"/>
        <w:left w:val="none" w:sz="0" w:space="0" w:color="auto"/>
        <w:bottom w:val="none" w:sz="0" w:space="0" w:color="auto"/>
        <w:right w:val="none" w:sz="0" w:space="0" w:color="auto"/>
      </w:divBdr>
    </w:div>
    <w:div w:id="1376000249">
      <w:bodyDiv w:val="1"/>
      <w:marLeft w:val="0"/>
      <w:marRight w:val="0"/>
      <w:marTop w:val="0"/>
      <w:marBottom w:val="0"/>
      <w:divBdr>
        <w:top w:val="none" w:sz="0" w:space="0" w:color="auto"/>
        <w:left w:val="none" w:sz="0" w:space="0" w:color="auto"/>
        <w:bottom w:val="none" w:sz="0" w:space="0" w:color="auto"/>
        <w:right w:val="none" w:sz="0" w:space="0" w:color="auto"/>
      </w:divBdr>
    </w:div>
    <w:div w:id="1445615572">
      <w:bodyDiv w:val="1"/>
      <w:marLeft w:val="0"/>
      <w:marRight w:val="0"/>
      <w:marTop w:val="0"/>
      <w:marBottom w:val="0"/>
      <w:divBdr>
        <w:top w:val="none" w:sz="0" w:space="0" w:color="auto"/>
        <w:left w:val="none" w:sz="0" w:space="0" w:color="auto"/>
        <w:bottom w:val="none" w:sz="0" w:space="0" w:color="auto"/>
        <w:right w:val="none" w:sz="0" w:space="0" w:color="auto"/>
      </w:divBdr>
    </w:div>
    <w:div w:id="1468813912">
      <w:bodyDiv w:val="1"/>
      <w:marLeft w:val="0"/>
      <w:marRight w:val="0"/>
      <w:marTop w:val="0"/>
      <w:marBottom w:val="0"/>
      <w:divBdr>
        <w:top w:val="none" w:sz="0" w:space="0" w:color="auto"/>
        <w:left w:val="none" w:sz="0" w:space="0" w:color="auto"/>
        <w:bottom w:val="none" w:sz="0" w:space="0" w:color="auto"/>
        <w:right w:val="none" w:sz="0" w:space="0" w:color="auto"/>
      </w:divBdr>
    </w:div>
    <w:div w:id="14968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846875">
          <w:marLeft w:val="0"/>
          <w:marRight w:val="0"/>
          <w:marTop w:val="0"/>
          <w:marBottom w:val="0"/>
          <w:divBdr>
            <w:top w:val="none" w:sz="0" w:space="0" w:color="auto"/>
            <w:left w:val="none" w:sz="0" w:space="0" w:color="auto"/>
            <w:bottom w:val="none" w:sz="0" w:space="0" w:color="auto"/>
            <w:right w:val="none" w:sz="0" w:space="0" w:color="auto"/>
          </w:divBdr>
          <w:divsChild>
            <w:div w:id="1021586418">
              <w:marLeft w:val="0"/>
              <w:marRight w:val="0"/>
              <w:marTop w:val="0"/>
              <w:marBottom w:val="0"/>
              <w:divBdr>
                <w:top w:val="none" w:sz="0" w:space="0" w:color="auto"/>
                <w:left w:val="none" w:sz="0" w:space="0" w:color="auto"/>
                <w:bottom w:val="none" w:sz="0" w:space="0" w:color="auto"/>
                <w:right w:val="none" w:sz="0" w:space="0" w:color="auto"/>
              </w:divBdr>
              <w:divsChild>
                <w:div w:id="554396341">
                  <w:marLeft w:val="0"/>
                  <w:marRight w:val="0"/>
                  <w:marTop w:val="0"/>
                  <w:marBottom w:val="0"/>
                  <w:divBdr>
                    <w:top w:val="none" w:sz="0" w:space="0" w:color="auto"/>
                    <w:left w:val="none" w:sz="0" w:space="0" w:color="auto"/>
                    <w:bottom w:val="none" w:sz="0" w:space="0" w:color="auto"/>
                    <w:right w:val="none" w:sz="0" w:space="0" w:color="auto"/>
                  </w:divBdr>
                  <w:divsChild>
                    <w:div w:id="1189492894">
                      <w:marLeft w:val="0"/>
                      <w:marRight w:val="0"/>
                      <w:marTop w:val="0"/>
                      <w:marBottom w:val="0"/>
                      <w:divBdr>
                        <w:top w:val="none" w:sz="0" w:space="0" w:color="auto"/>
                        <w:left w:val="none" w:sz="0" w:space="0" w:color="auto"/>
                        <w:bottom w:val="none" w:sz="0" w:space="0" w:color="auto"/>
                        <w:right w:val="none" w:sz="0" w:space="0" w:color="auto"/>
                      </w:divBdr>
                      <w:divsChild>
                        <w:div w:id="1824005808">
                          <w:marLeft w:val="0"/>
                          <w:marRight w:val="0"/>
                          <w:marTop w:val="0"/>
                          <w:marBottom w:val="0"/>
                          <w:divBdr>
                            <w:top w:val="none" w:sz="0" w:space="0" w:color="auto"/>
                            <w:left w:val="none" w:sz="0" w:space="0" w:color="auto"/>
                            <w:bottom w:val="none" w:sz="0" w:space="0" w:color="auto"/>
                            <w:right w:val="none" w:sz="0" w:space="0" w:color="auto"/>
                          </w:divBdr>
                          <w:divsChild>
                            <w:div w:id="907812328">
                              <w:marLeft w:val="0"/>
                              <w:marRight w:val="0"/>
                              <w:marTop w:val="0"/>
                              <w:marBottom w:val="0"/>
                              <w:divBdr>
                                <w:top w:val="none" w:sz="0" w:space="0" w:color="auto"/>
                                <w:left w:val="none" w:sz="0" w:space="0" w:color="auto"/>
                                <w:bottom w:val="none" w:sz="0" w:space="0" w:color="auto"/>
                                <w:right w:val="none" w:sz="0" w:space="0" w:color="auto"/>
                              </w:divBdr>
                              <w:divsChild>
                                <w:div w:id="1906602197">
                                  <w:marLeft w:val="0"/>
                                  <w:marRight w:val="0"/>
                                  <w:marTop w:val="0"/>
                                  <w:marBottom w:val="0"/>
                                  <w:divBdr>
                                    <w:top w:val="none" w:sz="0" w:space="0" w:color="auto"/>
                                    <w:left w:val="none" w:sz="0" w:space="0" w:color="auto"/>
                                    <w:bottom w:val="none" w:sz="0" w:space="0" w:color="auto"/>
                                    <w:right w:val="none" w:sz="0" w:space="0" w:color="auto"/>
                                  </w:divBdr>
                                  <w:divsChild>
                                    <w:div w:id="14954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12674">
      <w:bodyDiv w:val="1"/>
      <w:marLeft w:val="0"/>
      <w:marRight w:val="0"/>
      <w:marTop w:val="0"/>
      <w:marBottom w:val="0"/>
      <w:divBdr>
        <w:top w:val="none" w:sz="0" w:space="0" w:color="auto"/>
        <w:left w:val="none" w:sz="0" w:space="0" w:color="auto"/>
        <w:bottom w:val="none" w:sz="0" w:space="0" w:color="auto"/>
        <w:right w:val="none" w:sz="0" w:space="0" w:color="auto"/>
      </w:divBdr>
      <w:divsChild>
        <w:div w:id="1669626724">
          <w:marLeft w:val="0"/>
          <w:marRight w:val="0"/>
          <w:marTop w:val="0"/>
          <w:marBottom w:val="0"/>
          <w:divBdr>
            <w:top w:val="none" w:sz="0" w:space="0" w:color="auto"/>
            <w:left w:val="none" w:sz="0" w:space="0" w:color="auto"/>
            <w:bottom w:val="none" w:sz="0" w:space="0" w:color="auto"/>
            <w:right w:val="none" w:sz="0" w:space="0" w:color="auto"/>
          </w:divBdr>
          <w:divsChild>
            <w:div w:id="1052774404">
              <w:marLeft w:val="0"/>
              <w:marRight w:val="0"/>
              <w:marTop w:val="0"/>
              <w:marBottom w:val="0"/>
              <w:divBdr>
                <w:top w:val="none" w:sz="0" w:space="0" w:color="auto"/>
                <w:left w:val="none" w:sz="0" w:space="0" w:color="auto"/>
                <w:bottom w:val="none" w:sz="0" w:space="0" w:color="auto"/>
                <w:right w:val="none" w:sz="0" w:space="0" w:color="auto"/>
              </w:divBdr>
              <w:divsChild>
                <w:div w:id="1494177870">
                  <w:marLeft w:val="0"/>
                  <w:marRight w:val="0"/>
                  <w:marTop w:val="0"/>
                  <w:marBottom w:val="0"/>
                  <w:divBdr>
                    <w:top w:val="none" w:sz="0" w:space="0" w:color="auto"/>
                    <w:left w:val="none" w:sz="0" w:space="0" w:color="auto"/>
                    <w:bottom w:val="none" w:sz="0" w:space="0" w:color="auto"/>
                    <w:right w:val="none" w:sz="0" w:space="0" w:color="auto"/>
                  </w:divBdr>
                  <w:divsChild>
                    <w:div w:id="2569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8363">
      <w:bodyDiv w:val="1"/>
      <w:marLeft w:val="0"/>
      <w:marRight w:val="0"/>
      <w:marTop w:val="0"/>
      <w:marBottom w:val="0"/>
      <w:divBdr>
        <w:top w:val="none" w:sz="0" w:space="0" w:color="auto"/>
        <w:left w:val="none" w:sz="0" w:space="0" w:color="auto"/>
        <w:bottom w:val="none" w:sz="0" w:space="0" w:color="auto"/>
        <w:right w:val="none" w:sz="0" w:space="0" w:color="auto"/>
      </w:divBdr>
    </w:div>
    <w:div w:id="1543638404">
      <w:bodyDiv w:val="1"/>
      <w:marLeft w:val="0"/>
      <w:marRight w:val="0"/>
      <w:marTop w:val="0"/>
      <w:marBottom w:val="0"/>
      <w:divBdr>
        <w:top w:val="none" w:sz="0" w:space="0" w:color="auto"/>
        <w:left w:val="none" w:sz="0" w:space="0" w:color="auto"/>
        <w:bottom w:val="none" w:sz="0" w:space="0" w:color="auto"/>
        <w:right w:val="none" w:sz="0" w:space="0" w:color="auto"/>
      </w:divBdr>
      <w:divsChild>
        <w:div w:id="564605748">
          <w:marLeft w:val="0"/>
          <w:marRight w:val="0"/>
          <w:marTop w:val="0"/>
          <w:marBottom w:val="0"/>
          <w:divBdr>
            <w:top w:val="none" w:sz="0" w:space="0" w:color="auto"/>
            <w:left w:val="none" w:sz="0" w:space="0" w:color="auto"/>
            <w:bottom w:val="none" w:sz="0" w:space="0" w:color="auto"/>
            <w:right w:val="none" w:sz="0" w:space="0" w:color="auto"/>
          </w:divBdr>
          <w:divsChild>
            <w:div w:id="21882588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570578020">
      <w:bodyDiv w:val="1"/>
      <w:marLeft w:val="0"/>
      <w:marRight w:val="0"/>
      <w:marTop w:val="0"/>
      <w:marBottom w:val="0"/>
      <w:divBdr>
        <w:top w:val="none" w:sz="0" w:space="0" w:color="auto"/>
        <w:left w:val="none" w:sz="0" w:space="0" w:color="auto"/>
        <w:bottom w:val="none" w:sz="0" w:space="0" w:color="auto"/>
        <w:right w:val="none" w:sz="0" w:space="0" w:color="auto"/>
      </w:divBdr>
      <w:divsChild>
        <w:div w:id="1733774664">
          <w:marLeft w:val="0"/>
          <w:marRight w:val="0"/>
          <w:marTop w:val="0"/>
          <w:marBottom w:val="0"/>
          <w:divBdr>
            <w:top w:val="none" w:sz="0" w:space="0" w:color="auto"/>
            <w:left w:val="none" w:sz="0" w:space="0" w:color="auto"/>
            <w:bottom w:val="none" w:sz="0" w:space="0" w:color="auto"/>
            <w:right w:val="none" w:sz="0" w:space="0" w:color="auto"/>
          </w:divBdr>
          <w:divsChild>
            <w:div w:id="218133468">
              <w:marLeft w:val="0"/>
              <w:marRight w:val="0"/>
              <w:marTop w:val="0"/>
              <w:marBottom w:val="0"/>
              <w:divBdr>
                <w:top w:val="none" w:sz="0" w:space="0" w:color="auto"/>
                <w:left w:val="none" w:sz="0" w:space="0" w:color="auto"/>
                <w:bottom w:val="none" w:sz="0" w:space="0" w:color="auto"/>
                <w:right w:val="none" w:sz="0" w:space="0" w:color="auto"/>
              </w:divBdr>
              <w:divsChild>
                <w:div w:id="2125924783">
                  <w:marLeft w:val="0"/>
                  <w:marRight w:val="0"/>
                  <w:marTop w:val="0"/>
                  <w:marBottom w:val="0"/>
                  <w:divBdr>
                    <w:top w:val="none" w:sz="0" w:space="0" w:color="auto"/>
                    <w:left w:val="none" w:sz="0" w:space="0" w:color="auto"/>
                    <w:bottom w:val="none" w:sz="0" w:space="0" w:color="auto"/>
                    <w:right w:val="none" w:sz="0" w:space="0" w:color="auto"/>
                  </w:divBdr>
                  <w:divsChild>
                    <w:div w:id="1744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69066">
      <w:bodyDiv w:val="1"/>
      <w:marLeft w:val="0"/>
      <w:marRight w:val="0"/>
      <w:marTop w:val="0"/>
      <w:marBottom w:val="0"/>
      <w:divBdr>
        <w:top w:val="none" w:sz="0" w:space="0" w:color="auto"/>
        <w:left w:val="none" w:sz="0" w:space="0" w:color="auto"/>
        <w:bottom w:val="none" w:sz="0" w:space="0" w:color="auto"/>
        <w:right w:val="none" w:sz="0" w:space="0" w:color="auto"/>
      </w:divBdr>
    </w:div>
    <w:div w:id="1628853751">
      <w:bodyDiv w:val="1"/>
      <w:marLeft w:val="0"/>
      <w:marRight w:val="0"/>
      <w:marTop w:val="0"/>
      <w:marBottom w:val="0"/>
      <w:divBdr>
        <w:top w:val="none" w:sz="0" w:space="0" w:color="auto"/>
        <w:left w:val="none" w:sz="0" w:space="0" w:color="auto"/>
        <w:bottom w:val="none" w:sz="0" w:space="0" w:color="auto"/>
        <w:right w:val="none" w:sz="0" w:space="0" w:color="auto"/>
      </w:divBdr>
    </w:div>
    <w:div w:id="1666397825">
      <w:bodyDiv w:val="1"/>
      <w:marLeft w:val="0"/>
      <w:marRight w:val="0"/>
      <w:marTop w:val="0"/>
      <w:marBottom w:val="0"/>
      <w:divBdr>
        <w:top w:val="none" w:sz="0" w:space="0" w:color="auto"/>
        <w:left w:val="none" w:sz="0" w:space="0" w:color="auto"/>
        <w:bottom w:val="none" w:sz="0" w:space="0" w:color="auto"/>
        <w:right w:val="none" w:sz="0" w:space="0" w:color="auto"/>
      </w:divBdr>
    </w:div>
    <w:div w:id="1680572089">
      <w:bodyDiv w:val="1"/>
      <w:marLeft w:val="0"/>
      <w:marRight w:val="0"/>
      <w:marTop w:val="0"/>
      <w:marBottom w:val="0"/>
      <w:divBdr>
        <w:top w:val="none" w:sz="0" w:space="0" w:color="auto"/>
        <w:left w:val="none" w:sz="0" w:space="0" w:color="auto"/>
        <w:bottom w:val="none" w:sz="0" w:space="0" w:color="auto"/>
        <w:right w:val="none" w:sz="0" w:space="0" w:color="auto"/>
      </w:divBdr>
    </w:div>
    <w:div w:id="1705397091">
      <w:bodyDiv w:val="1"/>
      <w:marLeft w:val="0"/>
      <w:marRight w:val="0"/>
      <w:marTop w:val="0"/>
      <w:marBottom w:val="0"/>
      <w:divBdr>
        <w:top w:val="none" w:sz="0" w:space="0" w:color="auto"/>
        <w:left w:val="none" w:sz="0" w:space="0" w:color="auto"/>
        <w:bottom w:val="none" w:sz="0" w:space="0" w:color="auto"/>
        <w:right w:val="none" w:sz="0" w:space="0" w:color="auto"/>
      </w:divBdr>
      <w:divsChild>
        <w:div w:id="990912493">
          <w:marLeft w:val="0"/>
          <w:marRight w:val="0"/>
          <w:marTop w:val="0"/>
          <w:marBottom w:val="0"/>
          <w:divBdr>
            <w:top w:val="none" w:sz="0" w:space="0" w:color="auto"/>
            <w:left w:val="none" w:sz="0" w:space="0" w:color="auto"/>
            <w:bottom w:val="none" w:sz="0" w:space="0" w:color="auto"/>
            <w:right w:val="none" w:sz="0" w:space="0" w:color="auto"/>
          </w:divBdr>
          <w:divsChild>
            <w:div w:id="1769234927">
              <w:marLeft w:val="0"/>
              <w:marRight w:val="0"/>
              <w:marTop w:val="0"/>
              <w:marBottom w:val="0"/>
              <w:divBdr>
                <w:top w:val="none" w:sz="0" w:space="0" w:color="auto"/>
                <w:left w:val="none" w:sz="0" w:space="0" w:color="auto"/>
                <w:bottom w:val="none" w:sz="0" w:space="0" w:color="auto"/>
                <w:right w:val="none" w:sz="0" w:space="0" w:color="auto"/>
              </w:divBdr>
              <w:divsChild>
                <w:div w:id="897280664">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2444">
      <w:bodyDiv w:val="1"/>
      <w:marLeft w:val="0"/>
      <w:marRight w:val="0"/>
      <w:marTop w:val="0"/>
      <w:marBottom w:val="0"/>
      <w:divBdr>
        <w:top w:val="none" w:sz="0" w:space="0" w:color="auto"/>
        <w:left w:val="none" w:sz="0" w:space="0" w:color="auto"/>
        <w:bottom w:val="none" w:sz="0" w:space="0" w:color="auto"/>
        <w:right w:val="none" w:sz="0" w:space="0" w:color="auto"/>
      </w:divBdr>
      <w:divsChild>
        <w:div w:id="1902137369">
          <w:marLeft w:val="15"/>
          <w:marRight w:val="0"/>
          <w:marTop w:val="645"/>
          <w:marBottom w:val="0"/>
          <w:divBdr>
            <w:top w:val="single" w:sz="2" w:space="6" w:color="999999"/>
            <w:left w:val="single" w:sz="6" w:space="7" w:color="999999"/>
            <w:bottom w:val="single" w:sz="2" w:space="6" w:color="999999"/>
            <w:right w:val="single" w:sz="6" w:space="7" w:color="999999"/>
          </w:divBdr>
          <w:divsChild>
            <w:div w:id="1921985689">
              <w:marLeft w:val="0"/>
              <w:marRight w:val="0"/>
              <w:marTop w:val="0"/>
              <w:marBottom w:val="0"/>
              <w:divBdr>
                <w:top w:val="none" w:sz="0" w:space="0" w:color="auto"/>
                <w:left w:val="none" w:sz="0" w:space="0" w:color="auto"/>
                <w:bottom w:val="none" w:sz="0" w:space="0" w:color="auto"/>
                <w:right w:val="none" w:sz="0" w:space="0" w:color="auto"/>
              </w:divBdr>
              <w:divsChild>
                <w:div w:id="18673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7298">
      <w:bodyDiv w:val="1"/>
      <w:marLeft w:val="0"/>
      <w:marRight w:val="0"/>
      <w:marTop w:val="0"/>
      <w:marBottom w:val="0"/>
      <w:divBdr>
        <w:top w:val="none" w:sz="0" w:space="0" w:color="auto"/>
        <w:left w:val="none" w:sz="0" w:space="0" w:color="auto"/>
        <w:bottom w:val="none" w:sz="0" w:space="0" w:color="auto"/>
        <w:right w:val="none" w:sz="0" w:space="0" w:color="auto"/>
      </w:divBdr>
      <w:divsChild>
        <w:div w:id="1131166296">
          <w:marLeft w:val="0"/>
          <w:marRight w:val="0"/>
          <w:marTop w:val="0"/>
          <w:marBottom w:val="0"/>
          <w:divBdr>
            <w:top w:val="none" w:sz="0" w:space="0" w:color="auto"/>
            <w:left w:val="none" w:sz="0" w:space="0" w:color="auto"/>
            <w:bottom w:val="none" w:sz="0" w:space="0" w:color="auto"/>
            <w:right w:val="none" w:sz="0" w:space="0" w:color="auto"/>
          </w:divBdr>
          <w:divsChild>
            <w:div w:id="1350327471">
              <w:marLeft w:val="0"/>
              <w:marRight w:val="0"/>
              <w:marTop w:val="0"/>
              <w:marBottom w:val="0"/>
              <w:divBdr>
                <w:top w:val="none" w:sz="0" w:space="0" w:color="auto"/>
                <w:left w:val="none" w:sz="0" w:space="0" w:color="auto"/>
                <w:bottom w:val="none" w:sz="0" w:space="0" w:color="auto"/>
                <w:right w:val="none" w:sz="0" w:space="0" w:color="auto"/>
              </w:divBdr>
              <w:divsChild>
                <w:div w:id="850685922">
                  <w:marLeft w:val="0"/>
                  <w:marRight w:val="0"/>
                  <w:marTop w:val="0"/>
                  <w:marBottom w:val="0"/>
                  <w:divBdr>
                    <w:top w:val="none" w:sz="0" w:space="0" w:color="auto"/>
                    <w:left w:val="none" w:sz="0" w:space="0" w:color="auto"/>
                    <w:bottom w:val="none" w:sz="0" w:space="0" w:color="auto"/>
                    <w:right w:val="none" w:sz="0" w:space="0" w:color="auto"/>
                  </w:divBdr>
                  <w:divsChild>
                    <w:div w:id="167919512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46760">
      <w:bodyDiv w:val="1"/>
      <w:marLeft w:val="0"/>
      <w:marRight w:val="0"/>
      <w:marTop w:val="0"/>
      <w:marBottom w:val="0"/>
      <w:divBdr>
        <w:top w:val="none" w:sz="0" w:space="0" w:color="auto"/>
        <w:left w:val="none" w:sz="0" w:space="0" w:color="auto"/>
        <w:bottom w:val="none" w:sz="0" w:space="0" w:color="auto"/>
        <w:right w:val="none" w:sz="0" w:space="0" w:color="auto"/>
      </w:divBdr>
      <w:divsChild>
        <w:div w:id="494953205">
          <w:marLeft w:val="0"/>
          <w:marRight w:val="0"/>
          <w:marTop w:val="0"/>
          <w:marBottom w:val="0"/>
          <w:divBdr>
            <w:top w:val="none" w:sz="0" w:space="0" w:color="auto"/>
            <w:left w:val="none" w:sz="0" w:space="0" w:color="auto"/>
            <w:bottom w:val="none" w:sz="0" w:space="0" w:color="auto"/>
            <w:right w:val="none" w:sz="0" w:space="0" w:color="auto"/>
          </w:divBdr>
          <w:divsChild>
            <w:div w:id="269044699">
              <w:marLeft w:val="0"/>
              <w:marRight w:val="0"/>
              <w:marTop w:val="150"/>
              <w:marBottom w:val="0"/>
              <w:divBdr>
                <w:top w:val="none" w:sz="0" w:space="0" w:color="auto"/>
                <w:left w:val="none" w:sz="0" w:space="0" w:color="auto"/>
                <w:bottom w:val="none" w:sz="0" w:space="0" w:color="auto"/>
                <w:right w:val="none" w:sz="0" w:space="0" w:color="auto"/>
              </w:divBdr>
              <w:divsChild>
                <w:div w:id="1462189447">
                  <w:marLeft w:val="0"/>
                  <w:marRight w:val="0"/>
                  <w:marTop w:val="0"/>
                  <w:marBottom w:val="0"/>
                  <w:divBdr>
                    <w:top w:val="none" w:sz="0" w:space="0" w:color="auto"/>
                    <w:left w:val="none" w:sz="0" w:space="0" w:color="auto"/>
                    <w:bottom w:val="none" w:sz="0" w:space="0" w:color="auto"/>
                    <w:right w:val="none" w:sz="0" w:space="0" w:color="auto"/>
                  </w:divBdr>
                  <w:divsChild>
                    <w:div w:id="2137597486">
                      <w:marLeft w:val="0"/>
                      <w:marRight w:val="0"/>
                      <w:marTop w:val="0"/>
                      <w:marBottom w:val="0"/>
                      <w:divBdr>
                        <w:top w:val="none" w:sz="0" w:space="0" w:color="auto"/>
                        <w:left w:val="none" w:sz="0" w:space="0" w:color="auto"/>
                        <w:bottom w:val="none" w:sz="0" w:space="0" w:color="auto"/>
                        <w:right w:val="none" w:sz="0" w:space="0" w:color="auto"/>
                      </w:divBdr>
                      <w:divsChild>
                        <w:div w:id="624699528">
                          <w:marLeft w:val="0"/>
                          <w:marRight w:val="0"/>
                          <w:marTop w:val="0"/>
                          <w:marBottom w:val="0"/>
                          <w:divBdr>
                            <w:top w:val="none" w:sz="0" w:space="0" w:color="auto"/>
                            <w:left w:val="none" w:sz="0" w:space="0" w:color="auto"/>
                            <w:bottom w:val="none" w:sz="0" w:space="0" w:color="auto"/>
                            <w:right w:val="none" w:sz="0" w:space="0" w:color="auto"/>
                          </w:divBdr>
                          <w:divsChild>
                            <w:div w:id="949969728">
                              <w:marLeft w:val="0"/>
                              <w:marRight w:val="0"/>
                              <w:marTop w:val="0"/>
                              <w:marBottom w:val="0"/>
                              <w:divBdr>
                                <w:top w:val="none" w:sz="0" w:space="0" w:color="auto"/>
                                <w:left w:val="none" w:sz="0" w:space="0" w:color="auto"/>
                                <w:bottom w:val="none" w:sz="0" w:space="0" w:color="auto"/>
                                <w:right w:val="none" w:sz="0" w:space="0" w:color="auto"/>
                              </w:divBdr>
                              <w:divsChild>
                                <w:div w:id="424769466">
                                  <w:marLeft w:val="0"/>
                                  <w:marRight w:val="0"/>
                                  <w:marTop w:val="0"/>
                                  <w:marBottom w:val="0"/>
                                  <w:divBdr>
                                    <w:top w:val="none" w:sz="0" w:space="0" w:color="auto"/>
                                    <w:left w:val="none" w:sz="0" w:space="0" w:color="auto"/>
                                    <w:bottom w:val="none" w:sz="0" w:space="0" w:color="auto"/>
                                    <w:right w:val="none" w:sz="0" w:space="0" w:color="auto"/>
                                  </w:divBdr>
                                  <w:divsChild>
                                    <w:div w:id="1723290173">
                                      <w:marLeft w:val="0"/>
                                      <w:marRight w:val="0"/>
                                      <w:marTop w:val="0"/>
                                      <w:marBottom w:val="0"/>
                                      <w:divBdr>
                                        <w:top w:val="none" w:sz="0" w:space="0" w:color="auto"/>
                                        <w:left w:val="none" w:sz="0" w:space="0" w:color="auto"/>
                                        <w:bottom w:val="none" w:sz="0" w:space="0" w:color="auto"/>
                                        <w:right w:val="none" w:sz="0" w:space="0" w:color="auto"/>
                                      </w:divBdr>
                                      <w:divsChild>
                                        <w:div w:id="1712269864">
                                          <w:marLeft w:val="0"/>
                                          <w:marRight w:val="0"/>
                                          <w:marTop w:val="0"/>
                                          <w:marBottom w:val="0"/>
                                          <w:divBdr>
                                            <w:top w:val="none" w:sz="0" w:space="0" w:color="auto"/>
                                            <w:left w:val="none" w:sz="0" w:space="0" w:color="auto"/>
                                            <w:bottom w:val="none" w:sz="0" w:space="0" w:color="auto"/>
                                            <w:right w:val="none" w:sz="0" w:space="0" w:color="auto"/>
                                          </w:divBdr>
                                          <w:divsChild>
                                            <w:div w:id="986938269">
                                              <w:marLeft w:val="0"/>
                                              <w:marRight w:val="0"/>
                                              <w:marTop w:val="0"/>
                                              <w:marBottom w:val="0"/>
                                              <w:divBdr>
                                                <w:top w:val="none" w:sz="0" w:space="0" w:color="auto"/>
                                                <w:left w:val="none" w:sz="0" w:space="0" w:color="auto"/>
                                                <w:bottom w:val="none" w:sz="0" w:space="0" w:color="auto"/>
                                                <w:right w:val="none" w:sz="0" w:space="0" w:color="auto"/>
                                              </w:divBdr>
                                              <w:divsChild>
                                                <w:div w:id="2096895559">
                                                  <w:marLeft w:val="0"/>
                                                  <w:marRight w:val="0"/>
                                                  <w:marTop w:val="0"/>
                                                  <w:marBottom w:val="0"/>
                                                  <w:divBdr>
                                                    <w:top w:val="none" w:sz="0" w:space="0" w:color="auto"/>
                                                    <w:left w:val="none" w:sz="0" w:space="0" w:color="auto"/>
                                                    <w:bottom w:val="none" w:sz="0" w:space="0" w:color="auto"/>
                                                    <w:right w:val="none" w:sz="0" w:space="0" w:color="auto"/>
                                                  </w:divBdr>
                                                  <w:divsChild>
                                                    <w:div w:id="21267264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104355">
      <w:bodyDiv w:val="1"/>
      <w:marLeft w:val="0"/>
      <w:marRight w:val="0"/>
      <w:marTop w:val="0"/>
      <w:marBottom w:val="0"/>
      <w:divBdr>
        <w:top w:val="none" w:sz="0" w:space="0" w:color="auto"/>
        <w:left w:val="none" w:sz="0" w:space="0" w:color="auto"/>
        <w:bottom w:val="none" w:sz="0" w:space="0" w:color="auto"/>
        <w:right w:val="none" w:sz="0" w:space="0" w:color="auto"/>
      </w:divBdr>
    </w:div>
    <w:div w:id="1767000588">
      <w:bodyDiv w:val="1"/>
      <w:marLeft w:val="0"/>
      <w:marRight w:val="0"/>
      <w:marTop w:val="0"/>
      <w:marBottom w:val="0"/>
      <w:divBdr>
        <w:top w:val="none" w:sz="0" w:space="0" w:color="auto"/>
        <w:left w:val="none" w:sz="0" w:space="0" w:color="auto"/>
        <w:bottom w:val="none" w:sz="0" w:space="0" w:color="auto"/>
        <w:right w:val="none" w:sz="0" w:space="0" w:color="auto"/>
      </w:divBdr>
      <w:divsChild>
        <w:div w:id="186454166">
          <w:marLeft w:val="0"/>
          <w:marRight w:val="0"/>
          <w:marTop w:val="0"/>
          <w:marBottom w:val="0"/>
          <w:divBdr>
            <w:top w:val="none" w:sz="0" w:space="0" w:color="auto"/>
            <w:left w:val="none" w:sz="0" w:space="0" w:color="auto"/>
            <w:bottom w:val="none" w:sz="0" w:space="0" w:color="auto"/>
            <w:right w:val="none" w:sz="0" w:space="0" w:color="auto"/>
          </w:divBdr>
          <w:divsChild>
            <w:div w:id="1441996806">
              <w:marLeft w:val="0"/>
              <w:marRight w:val="0"/>
              <w:marTop w:val="0"/>
              <w:marBottom w:val="0"/>
              <w:divBdr>
                <w:top w:val="none" w:sz="0" w:space="0" w:color="auto"/>
                <w:left w:val="none" w:sz="0" w:space="0" w:color="auto"/>
                <w:bottom w:val="none" w:sz="0" w:space="0" w:color="auto"/>
                <w:right w:val="none" w:sz="0" w:space="0" w:color="auto"/>
              </w:divBdr>
              <w:divsChild>
                <w:div w:id="1501963319">
                  <w:marLeft w:val="0"/>
                  <w:marRight w:val="0"/>
                  <w:marTop w:val="0"/>
                  <w:marBottom w:val="0"/>
                  <w:divBdr>
                    <w:top w:val="none" w:sz="0" w:space="0" w:color="auto"/>
                    <w:left w:val="none" w:sz="0" w:space="0" w:color="auto"/>
                    <w:bottom w:val="none" w:sz="0" w:space="0" w:color="auto"/>
                    <w:right w:val="none" w:sz="0" w:space="0" w:color="auto"/>
                  </w:divBdr>
                  <w:divsChild>
                    <w:div w:id="16420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5056">
      <w:bodyDiv w:val="1"/>
      <w:marLeft w:val="0"/>
      <w:marRight w:val="0"/>
      <w:marTop w:val="0"/>
      <w:marBottom w:val="0"/>
      <w:divBdr>
        <w:top w:val="none" w:sz="0" w:space="0" w:color="auto"/>
        <w:left w:val="none" w:sz="0" w:space="0" w:color="auto"/>
        <w:bottom w:val="none" w:sz="0" w:space="0" w:color="auto"/>
        <w:right w:val="none" w:sz="0" w:space="0" w:color="auto"/>
      </w:divBdr>
    </w:div>
    <w:div w:id="1778669554">
      <w:bodyDiv w:val="1"/>
      <w:marLeft w:val="0"/>
      <w:marRight w:val="0"/>
      <w:marTop w:val="0"/>
      <w:marBottom w:val="0"/>
      <w:divBdr>
        <w:top w:val="none" w:sz="0" w:space="0" w:color="auto"/>
        <w:left w:val="none" w:sz="0" w:space="0" w:color="auto"/>
        <w:bottom w:val="none" w:sz="0" w:space="0" w:color="auto"/>
        <w:right w:val="none" w:sz="0" w:space="0" w:color="auto"/>
      </w:divBdr>
      <w:divsChild>
        <w:div w:id="510724513">
          <w:marLeft w:val="0"/>
          <w:marRight w:val="0"/>
          <w:marTop w:val="0"/>
          <w:marBottom w:val="0"/>
          <w:divBdr>
            <w:top w:val="none" w:sz="0" w:space="0" w:color="auto"/>
            <w:left w:val="none" w:sz="0" w:space="0" w:color="auto"/>
            <w:bottom w:val="none" w:sz="0" w:space="0" w:color="auto"/>
            <w:right w:val="none" w:sz="0" w:space="0" w:color="auto"/>
          </w:divBdr>
          <w:divsChild>
            <w:div w:id="21280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2417">
      <w:bodyDiv w:val="1"/>
      <w:marLeft w:val="0"/>
      <w:marRight w:val="0"/>
      <w:marTop w:val="0"/>
      <w:marBottom w:val="0"/>
      <w:divBdr>
        <w:top w:val="none" w:sz="0" w:space="0" w:color="auto"/>
        <w:left w:val="none" w:sz="0" w:space="0" w:color="auto"/>
        <w:bottom w:val="none" w:sz="0" w:space="0" w:color="auto"/>
        <w:right w:val="none" w:sz="0" w:space="0" w:color="auto"/>
      </w:divBdr>
    </w:div>
    <w:div w:id="1856530496">
      <w:bodyDiv w:val="1"/>
      <w:marLeft w:val="0"/>
      <w:marRight w:val="0"/>
      <w:marTop w:val="0"/>
      <w:marBottom w:val="0"/>
      <w:divBdr>
        <w:top w:val="none" w:sz="0" w:space="0" w:color="auto"/>
        <w:left w:val="none" w:sz="0" w:space="0" w:color="auto"/>
        <w:bottom w:val="none" w:sz="0" w:space="0" w:color="auto"/>
        <w:right w:val="none" w:sz="0" w:space="0" w:color="auto"/>
      </w:divBdr>
      <w:divsChild>
        <w:div w:id="543713086">
          <w:marLeft w:val="0"/>
          <w:marRight w:val="0"/>
          <w:marTop w:val="0"/>
          <w:marBottom w:val="0"/>
          <w:divBdr>
            <w:top w:val="none" w:sz="0" w:space="0" w:color="auto"/>
            <w:left w:val="none" w:sz="0" w:space="0" w:color="auto"/>
            <w:bottom w:val="none" w:sz="0" w:space="0" w:color="auto"/>
            <w:right w:val="none" w:sz="0" w:space="0" w:color="auto"/>
          </w:divBdr>
        </w:div>
      </w:divsChild>
    </w:div>
    <w:div w:id="1886286132">
      <w:bodyDiv w:val="1"/>
      <w:marLeft w:val="0"/>
      <w:marRight w:val="0"/>
      <w:marTop w:val="0"/>
      <w:marBottom w:val="0"/>
      <w:divBdr>
        <w:top w:val="none" w:sz="0" w:space="0" w:color="auto"/>
        <w:left w:val="none" w:sz="0" w:space="0" w:color="auto"/>
        <w:bottom w:val="none" w:sz="0" w:space="0" w:color="auto"/>
        <w:right w:val="none" w:sz="0" w:space="0" w:color="auto"/>
      </w:divBdr>
    </w:div>
    <w:div w:id="1895310250">
      <w:bodyDiv w:val="1"/>
      <w:marLeft w:val="0"/>
      <w:marRight w:val="0"/>
      <w:marTop w:val="0"/>
      <w:marBottom w:val="0"/>
      <w:divBdr>
        <w:top w:val="none" w:sz="0" w:space="0" w:color="auto"/>
        <w:left w:val="none" w:sz="0" w:space="0" w:color="auto"/>
        <w:bottom w:val="none" w:sz="0" w:space="0" w:color="auto"/>
        <w:right w:val="none" w:sz="0" w:space="0" w:color="auto"/>
      </w:divBdr>
      <w:divsChild>
        <w:div w:id="1307852273">
          <w:marLeft w:val="0"/>
          <w:marRight w:val="0"/>
          <w:marTop w:val="0"/>
          <w:marBottom w:val="0"/>
          <w:divBdr>
            <w:top w:val="none" w:sz="0" w:space="0" w:color="auto"/>
            <w:left w:val="none" w:sz="0" w:space="0" w:color="auto"/>
            <w:bottom w:val="none" w:sz="0" w:space="0" w:color="auto"/>
            <w:right w:val="none" w:sz="0" w:space="0" w:color="auto"/>
          </w:divBdr>
          <w:divsChild>
            <w:div w:id="1991398711">
              <w:marLeft w:val="0"/>
              <w:marRight w:val="0"/>
              <w:marTop w:val="0"/>
              <w:marBottom w:val="0"/>
              <w:divBdr>
                <w:top w:val="none" w:sz="0" w:space="0" w:color="auto"/>
                <w:left w:val="none" w:sz="0" w:space="0" w:color="auto"/>
                <w:bottom w:val="none" w:sz="0" w:space="0" w:color="auto"/>
                <w:right w:val="none" w:sz="0" w:space="0" w:color="auto"/>
              </w:divBdr>
              <w:divsChild>
                <w:div w:id="1305739647">
                  <w:marLeft w:val="0"/>
                  <w:marRight w:val="0"/>
                  <w:marTop w:val="0"/>
                  <w:marBottom w:val="0"/>
                  <w:divBdr>
                    <w:top w:val="none" w:sz="0" w:space="0" w:color="auto"/>
                    <w:left w:val="none" w:sz="0" w:space="0" w:color="auto"/>
                    <w:bottom w:val="none" w:sz="0" w:space="0" w:color="auto"/>
                    <w:right w:val="none" w:sz="0" w:space="0" w:color="auto"/>
                  </w:divBdr>
                  <w:divsChild>
                    <w:div w:id="1176513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168">
      <w:bodyDiv w:val="1"/>
      <w:marLeft w:val="0"/>
      <w:marRight w:val="0"/>
      <w:marTop w:val="0"/>
      <w:marBottom w:val="0"/>
      <w:divBdr>
        <w:top w:val="none" w:sz="0" w:space="0" w:color="auto"/>
        <w:left w:val="none" w:sz="0" w:space="0" w:color="auto"/>
        <w:bottom w:val="none" w:sz="0" w:space="0" w:color="auto"/>
        <w:right w:val="none" w:sz="0" w:space="0" w:color="auto"/>
      </w:divBdr>
    </w:div>
    <w:div w:id="1932859157">
      <w:bodyDiv w:val="1"/>
      <w:marLeft w:val="0"/>
      <w:marRight w:val="0"/>
      <w:marTop w:val="0"/>
      <w:marBottom w:val="0"/>
      <w:divBdr>
        <w:top w:val="none" w:sz="0" w:space="0" w:color="auto"/>
        <w:left w:val="none" w:sz="0" w:space="0" w:color="auto"/>
        <w:bottom w:val="none" w:sz="0" w:space="0" w:color="auto"/>
        <w:right w:val="none" w:sz="0" w:space="0" w:color="auto"/>
      </w:divBdr>
      <w:divsChild>
        <w:div w:id="937954962">
          <w:marLeft w:val="0"/>
          <w:marRight w:val="0"/>
          <w:marTop w:val="0"/>
          <w:marBottom w:val="0"/>
          <w:divBdr>
            <w:top w:val="none" w:sz="0" w:space="0" w:color="auto"/>
            <w:left w:val="none" w:sz="0" w:space="0" w:color="auto"/>
            <w:bottom w:val="none" w:sz="0" w:space="0" w:color="auto"/>
            <w:right w:val="none" w:sz="0" w:space="0" w:color="auto"/>
          </w:divBdr>
          <w:divsChild>
            <w:div w:id="1597329498">
              <w:marLeft w:val="0"/>
              <w:marRight w:val="0"/>
              <w:marTop w:val="0"/>
              <w:marBottom w:val="0"/>
              <w:divBdr>
                <w:top w:val="none" w:sz="0" w:space="0" w:color="auto"/>
                <w:left w:val="none" w:sz="0" w:space="0" w:color="auto"/>
                <w:bottom w:val="none" w:sz="0" w:space="0" w:color="auto"/>
                <w:right w:val="none" w:sz="0" w:space="0" w:color="auto"/>
              </w:divBdr>
              <w:divsChild>
                <w:div w:id="1078751549">
                  <w:marLeft w:val="0"/>
                  <w:marRight w:val="0"/>
                  <w:marTop w:val="0"/>
                  <w:marBottom w:val="0"/>
                  <w:divBdr>
                    <w:top w:val="none" w:sz="0" w:space="0" w:color="auto"/>
                    <w:left w:val="none" w:sz="0" w:space="0" w:color="auto"/>
                    <w:bottom w:val="none" w:sz="0" w:space="0" w:color="auto"/>
                    <w:right w:val="none" w:sz="0" w:space="0" w:color="auto"/>
                  </w:divBdr>
                  <w:divsChild>
                    <w:div w:id="13197247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82548">
      <w:bodyDiv w:val="1"/>
      <w:marLeft w:val="0"/>
      <w:marRight w:val="0"/>
      <w:marTop w:val="0"/>
      <w:marBottom w:val="0"/>
      <w:divBdr>
        <w:top w:val="none" w:sz="0" w:space="0" w:color="auto"/>
        <w:left w:val="none" w:sz="0" w:space="0" w:color="auto"/>
        <w:bottom w:val="none" w:sz="0" w:space="0" w:color="auto"/>
        <w:right w:val="none" w:sz="0" w:space="0" w:color="auto"/>
      </w:divBdr>
    </w:div>
    <w:div w:id="1989626779">
      <w:bodyDiv w:val="1"/>
      <w:marLeft w:val="0"/>
      <w:marRight w:val="0"/>
      <w:marTop w:val="0"/>
      <w:marBottom w:val="0"/>
      <w:divBdr>
        <w:top w:val="none" w:sz="0" w:space="0" w:color="auto"/>
        <w:left w:val="none" w:sz="0" w:space="0" w:color="auto"/>
        <w:bottom w:val="none" w:sz="0" w:space="0" w:color="auto"/>
        <w:right w:val="none" w:sz="0" w:space="0" w:color="auto"/>
      </w:divBdr>
    </w:div>
    <w:div w:id="2030255817">
      <w:bodyDiv w:val="1"/>
      <w:marLeft w:val="0"/>
      <w:marRight w:val="0"/>
      <w:marTop w:val="0"/>
      <w:marBottom w:val="0"/>
      <w:divBdr>
        <w:top w:val="none" w:sz="0" w:space="0" w:color="auto"/>
        <w:left w:val="none" w:sz="0" w:space="0" w:color="auto"/>
        <w:bottom w:val="none" w:sz="0" w:space="0" w:color="auto"/>
        <w:right w:val="none" w:sz="0" w:space="0" w:color="auto"/>
      </w:divBdr>
    </w:div>
    <w:div w:id="2058312862">
      <w:bodyDiv w:val="1"/>
      <w:marLeft w:val="0"/>
      <w:marRight w:val="0"/>
      <w:marTop w:val="0"/>
      <w:marBottom w:val="0"/>
      <w:divBdr>
        <w:top w:val="none" w:sz="0" w:space="0" w:color="auto"/>
        <w:left w:val="none" w:sz="0" w:space="0" w:color="auto"/>
        <w:bottom w:val="none" w:sz="0" w:space="0" w:color="auto"/>
        <w:right w:val="none" w:sz="0" w:space="0" w:color="auto"/>
      </w:divBdr>
    </w:div>
    <w:div w:id="2128307622">
      <w:bodyDiv w:val="1"/>
      <w:marLeft w:val="0"/>
      <w:marRight w:val="0"/>
      <w:marTop w:val="0"/>
      <w:marBottom w:val="0"/>
      <w:divBdr>
        <w:top w:val="none" w:sz="0" w:space="0" w:color="auto"/>
        <w:left w:val="none" w:sz="0" w:space="0" w:color="auto"/>
        <w:bottom w:val="none" w:sz="0" w:space="0" w:color="auto"/>
        <w:right w:val="none" w:sz="0" w:space="0" w:color="auto"/>
      </w:divBdr>
      <w:divsChild>
        <w:div w:id="2113355643">
          <w:marLeft w:val="0"/>
          <w:marRight w:val="0"/>
          <w:marTop w:val="0"/>
          <w:marBottom w:val="0"/>
          <w:divBdr>
            <w:top w:val="none" w:sz="0" w:space="0" w:color="auto"/>
            <w:left w:val="none" w:sz="0" w:space="0" w:color="auto"/>
            <w:bottom w:val="none" w:sz="0" w:space="0" w:color="auto"/>
            <w:right w:val="none" w:sz="0" w:space="0" w:color="auto"/>
          </w:divBdr>
          <w:divsChild>
            <w:div w:id="1189637544">
              <w:marLeft w:val="0"/>
              <w:marRight w:val="0"/>
              <w:marTop w:val="0"/>
              <w:marBottom w:val="0"/>
              <w:divBdr>
                <w:top w:val="none" w:sz="0" w:space="0" w:color="auto"/>
                <w:left w:val="none" w:sz="0" w:space="0" w:color="auto"/>
                <w:bottom w:val="none" w:sz="0" w:space="0" w:color="auto"/>
                <w:right w:val="none" w:sz="0" w:space="0" w:color="auto"/>
              </w:divBdr>
              <w:divsChild>
                <w:div w:id="102767913">
                  <w:marLeft w:val="0"/>
                  <w:marRight w:val="0"/>
                  <w:marTop w:val="0"/>
                  <w:marBottom w:val="0"/>
                  <w:divBdr>
                    <w:top w:val="none" w:sz="0" w:space="0" w:color="auto"/>
                    <w:left w:val="none" w:sz="0" w:space="0" w:color="auto"/>
                    <w:bottom w:val="none" w:sz="0" w:space="0" w:color="auto"/>
                    <w:right w:val="none" w:sz="0" w:space="0" w:color="auto"/>
                  </w:divBdr>
                  <w:divsChild>
                    <w:div w:id="16309388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s.gov.au/info/reviews/diabetes" TargetMode="External"/><Relationship Id="rId18" Type="http://schemas.openxmlformats.org/officeDocument/2006/relationships/header" Target="header1.xml"/><Relationship Id="rId26" Type="http://schemas.openxmlformats.org/officeDocument/2006/relationships/chart" Target="charts/chart4.xml"/><Relationship Id="rId39" Type="http://schemas.openxmlformats.org/officeDocument/2006/relationships/hyperlink" Target="http://www.ato.gov.au/Individuals/Medicare-levy/Medicare-levy-surcharge/" TargetMode="External"/><Relationship Id="rId21" Type="http://schemas.openxmlformats.org/officeDocument/2006/relationships/footer" Target="footer2.xml"/><Relationship Id="rId34" Type="http://schemas.openxmlformats.org/officeDocument/2006/relationships/hyperlink" Target="http://www.aihw.gov.au/publication-detail/?id=6442468075" TargetMode="External"/><Relationship Id="rId42" Type="http://schemas.openxmlformats.org/officeDocument/2006/relationships/hyperlink" Target="http://www.diabetesaustralia.com.au/en/Living-with-Diabetes/Type-1-Diabetes/Managing-Type-1-Diabetes/Insulin/" TargetMode="External"/><Relationship Id="rId47" Type="http://schemas.openxmlformats.org/officeDocument/2006/relationships/hyperlink" Target="http://www.health.gov.au/internet/main/publishing.nsf/Content/EC52EB2B75C19C49CA257BF0002063C5/$File/plguidept1Oct10.pdf" TargetMode="External"/><Relationship Id="rId50" Type="http://schemas.openxmlformats.org/officeDocument/2006/relationships/hyperlink" Target="http://www.humanservices.gov.au/customer/enablers/centrelink/family-tax-benefit-part-a-part-b/ftb-a-income-test" TargetMode="External"/><Relationship Id="rId55" Type="http://schemas.openxmlformats.org/officeDocument/2006/relationships/hyperlink" Target="http://www.clinicalguidelines.gov.au/about.php" TargetMode="External"/><Relationship Id="rId63" Type="http://schemas.openxmlformats.org/officeDocument/2006/relationships/hyperlink" Target="http://www.google.com.au/url?sa=t&amp;rct=j&amp;q=&amp;esrc=s&amp;frm=1&amp;source=web&amp;cd=2&amp;ved=0CC8QFjAB&amp;url=http%3A%2F%2Fwww.yhpho.org.uk%2Fresource%2Fview.aspx%3FRID%3D9909&amp;ei=d0XoUpCBM8-okgWunoC4CQ&amp;usg=AFQjCNFTw7sO-SnlNvIVvm0wA2FO9rYm5g&amp;bvm=bv.60157871,d.dGI" TargetMode="External"/><Relationship Id="rId68" Type="http://schemas.openxmlformats.org/officeDocument/2006/relationships/hyperlink" Target="http://www.clinicalguidelines.gov.au/search.php?pageType=2&amp;fldglrID=1532&amp;"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clinicalguidelines.gov.au/browse.php?treePath=C.D004700.D003920&amp;pageType=2&amp;fldglrID=1957&amp;" TargetMode="Externa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www.nps.org.au/conditions-and-topics/conditions/hormones-metabolism-and-nutritional-problems/diabetes-type-1/for-individuals/medicines-and-treatments/insulin/insulin-pumps" TargetMode="External"/><Relationship Id="rId11" Type="http://schemas.openxmlformats.org/officeDocument/2006/relationships/hyperlink" Target="http://www.pbs.gov.au/info/reviews/subsidised-medicines-reviews" TargetMode="External"/><Relationship Id="rId24" Type="http://schemas.openxmlformats.org/officeDocument/2006/relationships/chart" Target="charts/chart2.xml"/><Relationship Id="rId32" Type="http://schemas.openxmlformats.org/officeDocument/2006/relationships/hyperlink" Target="http://www.abs.gov.au/ausstats/abs@.nsf/Lookup/1A8F3DE217DE1057CA257B82001792F4?opendocument" TargetMode="External"/><Relationship Id="rId37" Type="http://schemas.openxmlformats.org/officeDocument/2006/relationships/hyperlink" Target="http://www.aihw.gov.au/publication-detail/?id=10737422448" TargetMode="External"/><Relationship Id="rId40" Type="http://schemas.openxmlformats.org/officeDocument/2006/relationships/hyperlink" Target="http://www.closingtheloop.com.au/omnipod.html" TargetMode="External"/><Relationship Id="rId45" Type="http://schemas.openxmlformats.org/officeDocument/2006/relationships/hyperlink" Target="http://www.diabetesvic.org.au/images/stories/PDF_files/representing%20connecting%20informing.pdf" TargetMode="External"/><Relationship Id="rId53" Type="http://schemas.openxmlformats.org/officeDocument/2006/relationships/hyperlink" Target="http://www.medtronic-diabetes.com.au/wcm/groups/mdtcom_sg/@mdt/@ap/@au/@diabetes/documents/documents/contrib_107959.pdf" TargetMode="External"/><Relationship Id="rId58" Type="http://schemas.openxmlformats.org/officeDocument/2006/relationships/hyperlink" Target="http://www.privatehealth.gov.au/dynamic/compare.aspx" TargetMode="External"/><Relationship Id="rId66" Type="http://schemas.openxmlformats.org/officeDocument/2006/relationships/hyperlink" Target="http://www.clinicalguidelines.gov.au/search.php?pageType=2&amp;fldglrID=1859&amp;" TargetMode="External"/><Relationship Id="rId7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pbs.gov.au/pbs/home" TargetMode="External"/><Relationship Id="rId23" Type="http://schemas.openxmlformats.org/officeDocument/2006/relationships/footer" Target="footer3.xml"/><Relationship Id="rId28" Type="http://schemas.openxmlformats.org/officeDocument/2006/relationships/hyperlink" Target="http://www.clinicalguidelines.gov.au/" TargetMode="External"/><Relationship Id="rId36" Type="http://schemas.openxmlformats.org/officeDocument/2006/relationships/hyperlink" Target="http://www.aihw.gov.au/publication-detail/?id=60129542306" TargetMode="External"/><Relationship Id="rId49" Type="http://schemas.openxmlformats.org/officeDocument/2006/relationships/hyperlink" Target="http://www.health.gov.au/internet/main/publishing.nsf/Content/prostheses-list-pdf.htm" TargetMode="External"/><Relationship Id="rId57" Type="http://schemas.openxmlformats.org/officeDocument/2006/relationships/hyperlink" Target="http://www.nps.org.au/conditions-and-topics/conditions/hormones-metabolism-and-nutritional-problems/diabetes-type-1/for-individuals/medicines-and-treatments/insulin/insulin-pumps" TargetMode="External"/><Relationship Id="rId61" Type="http://schemas.openxmlformats.org/officeDocument/2006/relationships/hyperlink" Target="http://www.diabetesccre.unimelb.edu.au/professionals/documents/CSIIguidelinesJuly2009-FINAL.pdf" TargetMode="External"/><Relationship Id="rId10" Type="http://schemas.openxmlformats.org/officeDocument/2006/relationships/hyperlink" Target="http://www.pbs.gov.au/info/reviews/diabetes" TargetMode="External"/><Relationship Id="rId19" Type="http://schemas.openxmlformats.org/officeDocument/2006/relationships/header" Target="header2.xml"/><Relationship Id="rId31" Type="http://schemas.openxmlformats.org/officeDocument/2006/relationships/hyperlink" Target="http://www.abs.gov.au/ausstats/abs@.nsf/mf/6302.0" TargetMode="External"/><Relationship Id="rId44" Type="http://schemas.openxmlformats.org/officeDocument/2006/relationships/hyperlink" Target="http://www.diabetesaustralia.com.au/en/Living-with-Diabetes/Gestational-Diabetes/" TargetMode="External"/><Relationship Id="rId52" Type="http://schemas.openxmlformats.org/officeDocument/2006/relationships/hyperlink" Target="http://www.idf.org/regions/EUR/policypuzzle" TargetMode="External"/><Relationship Id="rId60" Type="http://schemas.openxmlformats.org/officeDocument/2006/relationships/hyperlink" Target="http://www.medicare.gov/pubs/pdf/11022.pdf" TargetMode="External"/><Relationship Id="rId65" Type="http://schemas.openxmlformats.org/officeDocument/2006/relationships/footer" Target="footer4.xml"/><Relationship Id="rId73"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pbs.gov.au/info/reviews/subsidised-medicines-reviews" TargetMode="External"/><Relationship Id="rId14" Type="http://schemas.openxmlformats.org/officeDocument/2006/relationships/hyperlink" Target="http://www.pbs.gov.au/info/reviews/diabetes" TargetMode="External"/><Relationship Id="rId22" Type="http://schemas.openxmlformats.org/officeDocument/2006/relationships/header" Target="header3.xml"/><Relationship Id="rId27" Type="http://schemas.openxmlformats.org/officeDocument/2006/relationships/chart" Target="charts/chart5.xml"/><Relationship Id="rId30" Type="http://schemas.openxmlformats.org/officeDocument/2006/relationships/hyperlink" Target="http://www.amsl.com.au/media/documents/AN12-1677A_AUS_NZ_675681_v4a.pdf" TargetMode="External"/><Relationship Id="rId35" Type="http://schemas.openxmlformats.org/officeDocument/2006/relationships/hyperlink" Target="http://www.aihw.gov.au/publication-detail/?id=10737419239" TargetMode="External"/><Relationship Id="rId43" Type="http://schemas.openxmlformats.org/officeDocument/2006/relationships/hyperlink" Target="http://www.diabetesaustralia.com.au/en/Understanding-Diabetes/What-is-Diabetes/Hypoglycaemia/" TargetMode="External"/><Relationship Id="rId48" Type="http://schemas.openxmlformats.org/officeDocument/2006/relationships/hyperlink" Target="http://www.pbs.gov.au/info/industry/listing/elements/pbac-guidelines" TargetMode="External"/><Relationship Id="rId56" Type="http://schemas.openxmlformats.org/officeDocument/2006/relationships/hyperlink" Target="http://www.nzssd.org.nz/position_statements/insulinpump.html" TargetMode="External"/><Relationship Id="rId64" Type="http://schemas.openxmlformats.org/officeDocument/2006/relationships/header" Target="header4.xml"/><Relationship Id="rId69" Type="http://schemas.openxmlformats.org/officeDocument/2006/relationships/hyperlink" Target="http://www.clinicalguidelines.gov.au/search.php?pageType=2&amp;fldglrID=1998&amp;" TargetMode="External"/><Relationship Id="rId8" Type="http://schemas.openxmlformats.org/officeDocument/2006/relationships/endnotes" Target="endnotes.xml"/><Relationship Id="rId51" Type="http://schemas.openxmlformats.org/officeDocument/2006/relationships/hyperlink" Target="http://www.humanservices.gov.au/customer/services/centrelink/health-care-card" TargetMode="External"/><Relationship Id="rId72" Type="http://schemas.openxmlformats.org/officeDocument/2006/relationships/hyperlink" Target="http://www.clinicalguidelines.gov.au/browse.php?treePath=C.D004700.D003920&amp;pageType=2&amp;fldglrID=2100&amp;" TargetMode="External"/><Relationship Id="rId3" Type="http://schemas.openxmlformats.org/officeDocument/2006/relationships/styles" Target="styles.xml"/><Relationship Id="rId12" Type="http://schemas.openxmlformats.org/officeDocument/2006/relationships/hyperlink" Target="http://www.pbs.gov.au" TargetMode="External"/><Relationship Id="rId17" Type="http://schemas.openxmlformats.org/officeDocument/2006/relationships/hyperlink" Target="http://www.comlaw.gov.au/Details/C2007A00031" TargetMode="External"/><Relationship Id="rId25" Type="http://schemas.openxmlformats.org/officeDocument/2006/relationships/chart" Target="charts/chart3.xml"/><Relationship Id="rId33" Type="http://schemas.openxmlformats.org/officeDocument/2006/relationships/hyperlink" Target="http://www.diabetessociety.com.au/downloads/positionstatements/HbA1ctargets.pdf" TargetMode="External"/><Relationship Id="rId38" Type="http://schemas.openxmlformats.org/officeDocument/2006/relationships/hyperlink" Target="http://www.aihw.gov.au/diabetes/incidence/" TargetMode="External"/><Relationship Id="rId46" Type="http://schemas.openxmlformats.org/officeDocument/2006/relationships/hyperlink" Target="http://www.diabetesqld.org.au/media/23569/i_am_considering_an_insulin_pump.pdf" TargetMode="External"/><Relationship Id="rId59" Type="http://schemas.openxmlformats.org/officeDocument/2006/relationships/hyperlink" Target="http://www.sign.ac.uk/pdf/sign116.pdf" TargetMode="External"/><Relationship Id="rId67" Type="http://schemas.openxmlformats.org/officeDocument/2006/relationships/hyperlink" Target="http://www.clinicalguidelines.gov.au/search.php?pageType=2&amp;fldglrID=1724&amp;" TargetMode="External"/><Relationship Id="rId20" Type="http://schemas.openxmlformats.org/officeDocument/2006/relationships/footer" Target="footer1.xml"/><Relationship Id="rId41" Type="http://schemas.openxmlformats.org/officeDocument/2006/relationships/hyperlink" Target="http://www.nhmrc.gov.au/_files_nhmrc/publications/attachments/ext004_type1_diabetes_children_adolescents_adults.pdf" TargetMode="External"/><Relationship Id="rId54" Type="http://schemas.openxmlformats.org/officeDocument/2006/relationships/hyperlink" Target="http://www.nice.org.uk/media/37C/67/290312_Insulin_Pumps_cmg_update_for_PDF.pdf" TargetMode="External"/><Relationship Id="rId62" Type="http://schemas.openxmlformats.org/officeDocument/2006/relationships/hyperlink" Target="http://www.who.int/mediacentre/factsheets/fs312/en/index.html" TargetMode="External"/><Relationship Id="rId70" Type="http://schemas.openxmlformats.org/officeDocument/2006/relationships/hyperlink" Target="http://www.clinicalguidelines.gov.au/search.php?pageType=2&amp;fldglrID=1686&am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baxchl\AppData\Roaming\Kapish\TRIM%20Explorer\A7\1\2\3\4\5\Copay%20and%20Subsidy%20graphs%20(D13-234921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D:\Users\baxchl\AppData\Roaming\Kapish\TRIM%20Explorer\A7\1\Final%2031%20Mar%2013%20Masterlist%20for%20DoHA%20(D13-7835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6819647539446633"/>
          <c:y val="3.5079051137565168E-2"/>
          <c:w val="0.75896273571743023"/>
          <c:h val="0.75529205440229064"/>
        </c:manualLayout>
      </c:layout>
      <c:scatterChart>
        <c:scatterStyle val="lineMarker"/>
        <c:varyColors val="0"/>
        <c:ser>
          <c:idx val="0"/>
          <c:order val="0"/>
          <c:tx>
            <c:strRef>
              <c:f>Sheet2!$B$1</c:f>
              <c:strCache>
                <c:ptCount val="1"/>
                <c:pt idx="0">
                  <c:v>Maximum Government Subsidy</c:v>
                </c:pt>
              </c:strCache>
            </c:strRef>
          </c:tx>
          <c:dLbls>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xVal>
            <c:numRef>
              <c:f>(Sheet2!$A$2,Sheet2!$A$10,Sheet2!$A$13)</c:f>
              <c:numCache>
                <c:formatCode>_("$"* #,##0.00_);_("$"* \(#,##0.00\);_("$"* "-"??_);_(@_)</c:formatCode>
                <c:ptCount val="3"/>
                <c:pt idx="0">
                  <c:v>0</c:v>
                </c:pt>
                <c:pt idx="1">
                  <c:v>74874.815905743744</c:v>
                </c:pt>
                <c:pt idx="2">
                  <c:v>101653</c:v>
                </c:pt>
              </c:numCache>
            </c:numRef>
          </c:xVal>
          <c:yVal>
            <c:numRef>
              <c:f>(Sheet2!$B$2,Sheet2!$B$10,Sheet2!$B$13)</c:f>
              <c:numCache>
                <c:formatCode>_("$"* #,##0.00_);_("$"* \(#,##0.00\);_("$"* "-"??_);_(@_)</c:formatCode>
                <c:ptCount val="3"/>
                <c:pt idx="0">
                  <c:v>6400</c:v>
                </c:pt>
                <c:pt idx="1">
                  <c:v>6400</c:v>
                </c:pt>
                <c:pt idx="2">
                  <c:v>950</c:v>
                </c:pt>
              </c:numCache>
            </c:numRef>
          </c:yVal>
          <c:smooth val="0"/>
        </c:ser>
        <c:ser>
          <c:idx val="1"/>
          <c:order val="1"/>
          <c:tx>
            <c:strRef>
              <c:f>Sheet2!$C$1</c:f>
              <c:strCache>
                <c:ptCount val="1"/>
                <c:pt idx="0">
                  <c:v>Maximum Patient Copay</c:v>
                </c:pt>
              </c:strCache>
            </c:strRef>
          </c:tx>
          <c:dLbls>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xVal>
            <c:numRef>
              <c:f>(Sheet2!$A$2,Sheet2!$A$10,Sheet2!$A$13)</c:f>
              <c:numCache>
                <c:formatCode>_("$"* #,##0.00_);_("$"* \(#,##0.00\);_("$"* "-"??_);_(@_)</c:formatCode>
                <c:ptCount val="3"/>
                <c:pt idx="0">
                  <c:v>0</c:v>
                </c:pt>
                <c:pt idx="1">
                  <c:v>74874.815905743744</c:v>
                </c:pt>
                <c:pt idx="2">
                  <c:v>101653</c:v>
                </c:pt>
              </c:numCache>
            </c:numRef>
          </c:xVal>
          <c:yVal>
            <c:numRef>
              <c:f>(Sheet2!$C$2,Sheet2!$C$10,Sheet2!$C$13)</c:f>
              <c:numCache>
                <c:formatCode>_("$"* #,##0.00_);_("$"* \(#,##0.00\);_("$"* "-"??_);_(@_)</c:formatCode>
                <c:ptCount val="3"/>
                <c:pt idx="0">
                  <c:v>3100</c:v>
                </c:pt>
                <c:pt idx="1">
                  <c:v>3100</c:v>
                </c:pt>
                <c:pt idx="2">
                  <c:v>8550</c:v>
                </c:pt>
              </c:numCache>
            </c:numRef>
          </c:yVal>
          <c:smooth val="0"/>
        </c:ser>
        <c:dLbls>
          <c:showLegendKey val="0"/>
          <c:showVal val="0"/>
          <c:showCatName val="0"/>
          <c:showSerName val="0"/>
          <c:showPercent val="0"/>
          <c:showBubbleSize val="0"/>
        </c:dLbls>
        <c:axId val="85803392"/>
        <c:axId val="85805312"/>
      </c:scatterChart>
      <c:valAx>
        <c:axId val="85803392"/>
        <c:scaling>
          <c:orientation val="minMax"/>
        </c:scaling>
        <c:delete val="0"/>
        <c:axPos val="b"/>
        <c:title>
          <c:tx>
            <c:rich>
              <a:bodyPr/>
              <a:lstStyle/>
              <a:p>
                <a:pPr>
                  <a:defRPr/>
                </a:pPr>
                <a:r>
                  <a:rPr lang="en-US" sz="1050"/>
                  <a:t>Family Income</a:t>
                </a:r>
              </a:p>
            </c:rich>
          </c:tx>
          <c:overlay val="0"/>
        </c:title>
        <c:numFmt formatCode="_(&quot;$&quot;* #,##0.00_);_(&quot;$&quot;* \(#,##0.00\);_(&quot;$&quot;* &quot;-&quot;??_);_(@_)" sourceLinked="1"/>
        <c:majorTickMark val="out"/>
        <c:minorTickMark val="none"/>
        <c:tickLblPos val="nextTo"/>
        <c:crossAx val="85805312"/>
        <c:crosses val="autoZero"/>
        <c:crossBetween val="midCat"/>
        <c:minorUnit val="5000"/>
      </c:valAx>
      <c:valAx>
        <c:axId val="85805312"/>
        <c:scaling>
          <c:orientation val="minMax"/>
        </c:scaling>
        <c:delete val="0"/>
        <c:axPos val="l"/>
        <c:majorGridlines/>
        <c:title>
          <c:tx>
            <c:rich>
              <a:bodyPr rot="-5400000" vert="horz"/>
              <a:lstStyle/>
              <a:p>
                <a:pPr>
                  <a:defRPr/>
                </a:pPr>
                <a:r>
                  <a:rPr lang="en-US" sz="1050"/>
                  <a:t>Subsidy or Co-pay</a:t>
                </a:r>
              </a:p>
            </c:rich>
          </c:tx>
          <c:layout>
            <c:manualLayout>
              <c:xMode val="edge"/>
              <c:yMode val="edge"/>
              <c:x val="1.2850471046831492E-2"/>
              <c:y val="0.34915676449534733"/>
            </c:manualLayout>
          </c:layout>
          <c:overlay val="0"/>
        </c:title>
        <c:numFmt formatCode="_(&quot;$&quot;* #,##0.00_);_(&quot;$&quot;* \(#,##0.00\);_(&quot;$&quot;* &quot;-&quot;??_);_(@_)" sourceLinked="1"/>
        <c:majorTickMark val="out"/>
        <c:minorTickMark val="none"/>
        <c:tickLblPos val="nextTo"/>
        <c:crossAx val="85803392"/>
        <c:crosses val="autoZero"/>
        <c:crossBetween val="midCat"/>
      </c:valAx>
    </c:plotArea>
    <c:legend>
      <c:legendPos val="r"/>
      <c:layout>
        <c:manualLayout>
          <c:xMode val="edge"/>
          <c:yMode val="edge"/>
          <c:x val="4.195805270616295E-2"/>
          <c:y val="0.91096301598663776"/>
          <c:w val="0.92949883821290769"/>
          <c:h val="6.3285729540766722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8221941306397"/>
          <c:y val="4.4994960045578736E-2"/>
          <c:w val="0.82029082693149624"/>
          <c:h val="0.7252723409573798"/>
        </c:manualLayout>
      </c:layout>
      <c:barChart>
        <c:barDir val="col"/>
        <c:grouping val="clustered"/>
        <c:varyColors val="0"/>
        <c:ser>
          <c:idx val="0"/>
          <c:order val="0"/>
          <c:tx>
            <c:strRef>
              <c:f>Sheet7!$B$2</c:f>
              <c:strCache>
                <c:ptCount val="1"/>
                <c:pt idx="0">
                  <c:v>2008-09</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Sheet7!$B$3:$B$11</c:f>
              <c:numCache>
                <c:formatCode>General</c:formatCode>
                <c:ptCount val="9"/>
                <c:pt idx="1">
                  <c:v>1</c:v>
                </c:pt>
                <c:pt idx="2">
                  <c:v>9</c:v>
                </c:pt>
                <c:pt idx="4">
                  <c:v>2</c:v>
                </c:pt>
                <c:pt idx="5">
                  <c:v>6</c:v>
                </c:pt>
                <c:pt idx="6">
                  <c:v>13</c:v>
                </c:pt>
              </c:numCache>
            </c:numRef>
          </c:val>
        </c:ser>
        <c:ser>
          <c:idx val="1"/>
          <c:order val="1"/>
          <c:tx>
            <c:strRef>
              <c:f>Sheet7!$C$2</c:f>
              <c:strCache>
                <c:ptCount val="1"/>
                <c:pt idx="0">
                  <c:v>2009-10</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Sheet7!$C$3:$C$11</c:f>
              <c:numCache>
                <c:formatCode>General</c:formatCode>
                <c:ptCount val="9"/>
                <c:pt idx="2">
                  <c:v>18</c:v>
                </c:pt>
                <c:pt idx="5">
                  <c:v>1</c:v>
                </c:pt>
                <c:pt idx="6">
                  <c:v>3</c:v>
                </c:pt>
                <c:pt idx="7">
                  <c:v>1</c:v>
                </c:pt>
                <c:pt idx="8">
                  <c:v>10</c:v>
                </c:pt>
              </c:numCache>
            </c:numRef>
          </c:val>
        </c:ser>
        <c:ser>
          <c:idx val="2"/>
          <c:order val="2"/>
          <c:tx>
            <c:strRef>
              <c:f>Sheet7!$D$2</c:f>
              <c:strCache>
                <c:ptCount val="1"/>
                <c:pt idx="0">
                  <c:v>2010-11</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Sheet7!$D$3:$D$11</c:f>
              <c:numCache>
                <c:formatCode>General</c:formatCode>
                <c:ptCount val="9"/>
                <c:pt idx="0">
                  <c:v>9</c:v>
                </c:pt>
                <c:pt idx="2">
                  <c:v>15</c:v>
                </c:pt>
                <c:pt idx="7">
                  <c:v>28</c:v>
                </c:pt>
                <c:pt idx="8">
                  <c:v>65</c:v>
                </c:pt>
              </c:numCache>
            </c:numRef>
          </c:val>
        </c:ser>
        <c:ser>
          <c:idx val="3"/>
          <c:order val="3"/>
          <c:tx>
            <c:strRef>
              <c:f>Sheet7!$E$2</c:f>
              <c:strCache>
                <c:ptCount val="1"/>
                <c:pt idx="0">
                  <c:v>2011-12</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Sheet7!$E$3:$E$11</c:f>
              <c:numCache>
                <c:formatCode>General</c:formatCode>
                <c:ptCount val="9"/>
                <c:pt idx="0">
                  <c:v>31</c:v>
                </c:pt>
                <c:pt idx="2">
                  <c:v>20</c:v>
                </c:pt>
                <c:pt idx="3">
                  <c:v>3</c:v>
                </c:pt>
                <c:pt idx="7">
                  <c:v>31</c:v>
                </c:pt>
                <c:pt idx="8">
                  <c:v>93</c:v>
                </c:pt>
              </c:numCache>
            </c:numRef>
          </c:val>
        </c:ser>
        <c:ser>
          <c:idx val="4"/>
          <c:order val="4"/>
          <c:tx>
            <c:strRef>
              <c:f>Sheet7!$F$2</c:f>
              <c:strCache>
                <c:ptCount val="1"/>
                <c:pt idx="0">
                  <c:v>2012-13</c:v>
                </c:pt>
              </c:strCache>
            </c:strRef>
          </c:tx>
          <c:invertIfNegative val="0"/>
          <c:cat>
            <c:strRef>
              <c:f>Sheet7!$A$3:$A$11</c:f>
              <c:strCache>
                <c:ptCount val="9"/>
                <c:pt idx="0">
                  <c:v>Accu-Chek Combo System</c:v>
                </c:pt>
                <c:pt idx="1">
                  <c:v>Accu-Chek Spirit</c:v>
                </c:pt>
                <c:pt idx="2">
                  <c:v>Animas 2020</c:v>
                </c:pt>
                <c:pt idx="3">
                  <c:v>Animas Vibe</c:v>
                </c:pt>
                <c:pt idx="4">
                  <c:v>Deltec Cozmo</c:v>
                </c:pt>
                <c:pt idx="5">
                  <c:v>Medtronic Paradigm 522</c:v>
                </c:pt>
                <c:pt idx="6">
                  <c:v>Medtronic Paradigm 722</c:v>
                </c:pt>
                <c:pt idx="7">
                  <c:v>Medtronic Paradigm Veo 554</c:v>
                </c:pt>
                <c:pt idx="8">
                  <c:v>Medtronic Paradigm Veo 754</c:v>
                </c:pt>
              </c:strCache>
            </c:strRef>
          </c:cat>
          <c:val>
            <c:numRef>
              <c:f>Sheet7!$F$3:$F$11</c:f>
              <c:numCache>
                <c:formatCode>General</c:formatCode>
                <c:ptCount val="9"/>
                <c:pt idx="0">
                  <c:v>8</c:v>
                </c:pt>
                <c:pt idx="3">
                  <c:v>15</c:v>
                </c:pt>
                <c:pt idx="7">
                  <c:v>7</c:v>
                </c:pt>
                <c:pt idx="8">
                  <c:v>46</c:v>
                </c:pt>
              </c:numCache>
            </c:numRef>
          </c:val>
        </c:ser>
        <c:dLbls>
          <c:showLegendKey val="0"/>
          <c:showVal val="0"/>
          <c:showCatName val="0"/>
          <c:showSerName val="0"/>
          <c:showPercent val="0"/>
          <c:showBubbleSize val="0"/>
        </c:dLbls>
        <c:gapWidth val="150"/>
        <c:axId val="85829120"/>
        <c:axId val="85831040"/>
      </c:barChart>
      <c:catAx>
        <c:axId val="85829120"/>
        <c:scaling>
          <c:orientation val="minMax"/>
        </c:scaling>
        <c:delete val="0"/>
        <c:axPos val="b"/>
        <c:title>
          <c:tx>
            <c:rich>
              <a:bodyPr/>
              <a:lstStyle/>
              <a:p>
                <a:pPr>
                  <a:defRPr sz="1097" b="1" i="0" u="none" strike="noStrike" baseline="0">
                    <a:solidFill>
                      <a:srgbClr val="000000"/>
                    </a:solidFill>
                    <a:latin typeface="Cambria"/>
                    <a:ea typeface="Cambria"/>
                    <a:cs typeface="Cambria"/>
                  </a:defRPr>
                </a:pPr>
                <a:r>
                  <a:rPr lang="en-AU"/>
                  <a:t>Insulin Pump Brand</a:t>
                </a:r>
              </a:p>
            </c:rich>
          </c:tx>
          <c:layout>
            <c:manualLayout>
              <c:xMode val="edge"/>
              <c:yMode val="edge"/>
              <c:x val="0.39297450521387534"/>
              <c:y val="0.90943576647513702"/>
            </c:manualLayout>
          </c:layout>
          <c:overlay val="0"/>
        </c:title>
        <c:numFmt formatCode="General" sourceLinked="1"/>
        <c:majorTickMark val="out"/>
        <c:minorTickMark val="none"/>
        <c:tickLblPos val="nextTo"/>
        <c:txPr>
          <a:bodyPr rot="0" vert="horz"/>
          <a:lstStyle/>
          <a:p>
            <a:pPr>
              <a:defRPr sz="897" b="0" i="0" u="none" strike="noStrike" baseline="0">
                <a:solidFill>
                  <a:srgbClr val="000000"/>
                </a:solidFill>
                <a:latin typeface="Cambria"/>
                <a:ea typeface="Cambria"/>
                <a:cs typeface="Cambria"/>
              </a:defRPr>
            </a:pPr>
            <a:endParaRPr lang="en-US"/>
          </a:p>
        </c:txPr>
        <c:crossAx val="85831040"/>
        <c:crosses val="autoZero"/>
        <c:auto val="1"/>
        <c:lblAlgn val="ctr"/>
        <c:lblOffset val="100"/>
        <c:noMultiLvlLbl val="0"/>
      </c:catAx>
      <c:valAx>
        <c:axId val="85831040"/>
        <c:scaling>
          <c:orientation val="minMax"/>
          <c:max val="95"/>
          <c:min val="0"/>
        </c:scaling>
        <c:delete val="0"/>
        <c:axPos val="l"/>
        <c:majorGridlines/>
        <c:title>
          <c:tx>
            <c:rich>
              <a:bodyPr/>
              <a:lstStyle/>
              <a:p>
                <a:pPr>
                  <a:defRPr sz="1197" b="1" i="0" u="none" strike="noStrike" baseline="0">
                    <a:solidFill>
                      <a:srgbClr val="000000"/>
                    </a:solidFill>
                    <a:latin typeface="Cambria"/>
                    <a:ea typeface="Cambria"/>
                    <a:cs typeface="Cambria"/>
                  </a:defRPr>
                </a:pPr>
                <a:r>
                  <a:rPr lang="en-AU"/>
                  <a:t>No. Insulin Pumps</a:t>
                </a:r>
              </a:p>
            </c:rich>
          </c:tx>
          <c:layout>
            <c:manualLayout>
              <c:xMode val="edge"/>
              <c:yMode val="edge"/>
              <c:x val="3.3506533304958487E-2"/>
              <c:y val="0.30990593743349598"/>
            </c:manualLayout>
          </c:layout>
          <c:overlay val="0"/>
        </c:title>
        <c:numFmt formatCode="General" sourceLinked="1"/>
        <c:majorTickMark val="out"/>
        <c:minorTickMark val="none"/>
        <c:tickLblPos val="nextTo"/>
        <c:txPr>
          <a:bodyPr rot="0" vert="horz"/>
          <a:lstStyle/>
          <a:p>
            <a:pPr>
              <a:defRPr sz="997" b="0" i="0" u="none" strike="noStrike" baseline="0">
                <a:solidFill>
                  <a:srgbClr val="000000"/>
                </a:solidFill>
                <a:latin typeface="Calibri"/>
                <a:ea typeface="Calibri"/>
                <a:cs typeface="Calibri"/>
              </a:defRPr>
            </a:pPr>
            <a:endParaRPr lang="en-US"/>
          </a:p>
        </c:txPr>
        <c:crossAx val="85829120"/>
        <c:crosses val="autoZero"/>
        <c:crossBetween val="between"/>
      </c:valAx>
    </c:plotArea>
    <c:legend>
      <c:legendPos val="r"/>
      <c:layout>
        <c:manualLayout>
          <c:xMode val="edge"/>
          <c:yMode val="edge"/>
          <c:x val="0.58148150670355381"/>
          <c:y val="0.10302901326523403"/>
          <c:w val="0.11193190040434101"/>
          <c:h val="0.34438845144357011"/>
        </c:manualLayout>
      </c:layout>
      <c:overlay val="0"/>
      <c:txPr>
        <a:bodyPr/>
        <a:lstStyle/>
        <a:p>
          <a:pPr>
            <a:defRPr sz="917" b="0" i="0" u="none" strike="noStrike" baseline="0">
              <a:solidFill>
                <a:srgbClr val="000000"/>
              </a:solidFill>
              <a:latin typeface="Cambria"/>
              <a:ea typeface="Cambria"/>
              <a:cs typeface="Cambria"/>
            </a:defRPr>
          </a:pPr>
          <a:endParaRPr lang="en-US"/>
        </a:p>
      </c:txPr>
    </c:legend>
    <c:plotVisOnly val="1"/>
    <c:dispBlanksAs val="gap"/>
    <c:showDLblsOverMax val="0"/>
  </c:chart>
  <c:txPr>
    <a:bodyPr/>
    <a:lstStyle/>
    <a:p>
      <a:pPr>
        <a:defRPr sz="997"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470881898095"/>
          <c:y val="6.5077256647266907E-2"/>
          <c:w val="0.81031491916590981"/>
          <c:h val="0.7500296814673072"/>
        </c:manualLayout>
      </c:layout>
      <c:barChart>
        <c:barDir val="col"/>
        <c:grouping val="clustered"/>
        <c:varyColors val="0"/>
        <c:ser>
          <c:idx val="0"/>
          <c:order val="0"/>
          <c:tx>
            <c:v>Insulin Pumps administered under Program</c:v>
          </c:tx>
          <c:invertIfNegative val="0"/>
          <c:cat>
            <c:strRef>
              <c:f>Sheet1!$M$2:$Q$2</c:f>
              <c:strCache>
                <c:ptCount val="5"/>
                <c:pt idx="0">
                  <c:v>2008-09</c:v>
                </c:pt>
                <c:pt idx="1">
                  <c:v>2009-10</c:v>
                </c:pt>
                <c:pt idx="2">
                  <c:v>2010-11</c:v>
                </c:pt>
                <c:pt idx="3">
                  <c:v>2011-12</c:v>
                </c:pt>
                <c:pt idx="4">
                  <c:v>2012-13</c:v>
                </c:pt>
              </c:strCache>
            </c:strRef>
          </c:cat>
          <c:val>
            <c:numRef>
              <c:f>Sheet1!$M$3:$Q$3</c:f>
              <c:numCache>
                <c:formatCode>General</c:formatCode>
                <c:ptCount val="5"/>
                <c:pt idx="0">
                  <c:v>31</c:v>
                </c:pt>
                <c:pt idx="1">
                  <c:v>36</c:v>
                </c:pt>
                <c:pt idx="2">
                  <c:v>118</c:v>
                </c:pt>
                <c:pt idx="3">
                  <c:v>178</c:v>
                </c:pt>
                <c:pt idx="4">
                  <c:v>76</c:v>
                </c:pt>
              </c:numCache>
            </c:numRef>
          </c:val>
        </c:ser>
        <c:dLbls>
          <c:showLegendKey val="0"/>
          <c:showVal val="0"/>
          <c:showCatName val="0"/>
          <c:showSerName val="0"/>
          <c:showPercent val="0"/>
          <c:showBubbleSize val="0"/>
        </c:dLbls>
        <c:gapWidth val="150"/>
        <c:axId val="83385728"/>
        <c:axId val="83387904"/>
      </c:barChart>
      <c:catAx>
        <c:axId val="83385728"/>
        <c:scaling>
          <c:orientation val="minMax"/>
        </c:scaling>
        <c:delete val="0"/>
        <c:axPos val="b"/>
        <c:title>
          <c:tx>
            <c:rich>
              <a:bodyPr/>
              <a:lstStyle/>
              <a:p>
                <a:pPr>
                  <a:defRPr sz="1196" b="1" i="0" u="none" strike="noStrike" baseline="0">
                    <a:solidFill>
                      <a:srgbClr val="000000"/>
                    </a:solidFill>
                    <a:latin typeface="Cambria"/>
                    <a:ea typeface="Cambria"/>
                    <a:cs typeface="Cambria"/>
                  </a:defRPr>
                </a:pPr>
                <a:r>
                  <a:rPr lang="en-AU"/>
                  <a:t>Financial Year</a:t>
                </a:r>
              </a:p>
            </c:rich>
          </c:tx>
          <c:layout>
            <c:manualLayout>
              <c:xMode val="edge"/>
              <c:yMode val="edge"/>
              <c:x val="0.46710112145072791"/>
              <c:y val="0.89381181475862204"/>
            </c:manualLayout>
          </c:layout>
          <c:overlay val="0"/>
        </c:title>
        <c:numFmt formatCode="General" sourceLinked="1"/>
        <c:majorTickMark val="out"/>
        <c:minorTickMark val="none"/>
        <c:tickLblPos val="nextTo"/>
        <c:txPr>
          <a:bodyPr rot="0" vert="horz"/>
          <a:lstStyle/>
          <a:p>
            <a:pPr>
              <a:defRPr sz="1047" b="0" i="0" u="none" strike="noStrike" baseline="0">
                <a:solidFill>
                  <a:srgbClr val="000000"/>
                </a:solidFill>
                <a:latin typeface="Cambria"/>
                <a:ea typeface="Cambria"/>
                <a:cs typeface="Cambria"/>
              </a:defRPr>
            </a:pPr>
            <a:endParaRPr lang="en-US"/>
          </a:p>
        </c:txPr>
        <c:crossAx val="83387904"/>
        <c:crosses val="autoZero"/>
        <c:auto val="1"/>
        <c:lblAlgn val="ctr"/>
        <c:lblOffset val="100"/>
        <c:noMultiLvlLbl val="0"/>
      </c:catAx>
      <c:valAx>
        <c:axId val="83387904"/>
        <c:scaling>
          <c:orientation val="minMax"/>
          <c:max val="180"/>
        </c:scaling>
        <c:delete val="0"/>
        <c:axPos val="l"/>
        <c:majorGridlines/>
        <c:title>
          <c:tx>
            <c:rich>
              <a:bodyPr/>
              <a:lstStyle/>
              <a:p>
                <a:pPr>
                  <a:defRPr sz="1196" b="1" i="0" u="none" strike="noStrike" baseline="0">
                    <a:solidFill>
                      <a:srgbClr val="000000"/>
                    </a:solidFill>
                    <a:latin typeface="Cambria"/>
                    <a:ea typeface="Cambria"/>
                    <a:cs typeface="Cambria"/>
                  </a:defRPr>
                </a:pPr>
                <a:r>
                  <a:rPr lang="en-AU"/>
                  <a:t>No. of Insulin Pumps</a:t>
                </a:r>
              </a:p>
            </c:rich>
          </c:tx>
          <c:layout>
            <c:manualLayout>
              <c:xMode val="edge"/>
              <c:yMode val="edge"/>
              <c:x val="2.6510904318778301E-2"/>
              <c:y val="0.28045528212265713"/>
            </c:manualLayout>
          </c:layout>
          <c:overlay val="0"/>
        </c:title>
        <c:numFmt formatCode="General" sourceLinked="1"/>
        <c:majorTickMark val="out"/>
        <c:minorTickMark val="none"/>
        <c:tickLblPos val="nextTo"/>
        <c:txPr>
          <a:bodyPr rot="0" vert="horz"/>
          <a:lstStyle/>
          <a:p>
            <a:pPr>
              <a:defRPr sz="1047" b="0" i="0" u="none" strike="noStrike" baseline="0">
                <a:solidFill>
                  <a:srgbClr val="000000"/>
                </a:solidFill>
                <a:latin typeface="Cambria"/>
                <a:ea typeface="Cambria"/>
                <a:cs typeface="Cambria"/>
              </a:defRPr>
            </a:pPr>
            <a:endParaRPr lang="en-US"/>
          </a:p>
        </c:txPr>
        <c:crossAx val="83385728"/>
        <c:crosses val="autoZero"/>
        <c:crossBetween val="between"/>
      </c:valAx>
    </c:plotArea>
    <c:plotVisOnly val="1"/>
    <c:dispBlanksAs val="gap"/>
    <c:showDLblsOverMax val="0"/>
  </c:chart>
  <c:txPr>
    <a:bodyPr/>
    <a:lstStyle/>
    <a:p>
      <a:pPr>
        <a:defRPr sz="997"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07174103237106"/>
          <c:y val="4.6551445220290782E-2"/>
          <c:w val="0.78337270341207299"/>
          <c:h val="0.74778124432559145"/>
        </c:manualLayout>
      </c:layout>
      <c:barChart>
        <c:barDir val="col"/>
        <c:grouping val="clustered"/>
        <c:varyColors val="0"/>
        <c:ser>
          <c:idx val="0"/>
          <c:order val="0"/>
          <c:tx>
            <c:strRef>
              <c:f>Sheet1!$C$464</c:f>
              <c:strCache>
                <c:ptCount val="1"/>
                <c:pt idx="0">
                  <c:v>Number</c:v>
                </c:pt>
              </c:strCache>
            </c:strRef>
          </c:tx>
          <c:invertIfNegative val="0"/>
          <c:cat>
            <c:strRef>
              <c:f>Sheet1!$B$465:$B$467</c:f>
              <c:strCache>
                <c:ptCount val="3"/>
                <c:pt idx="0">
                  <c:v>Age 1-5</c:v>
                </c:pt>
                <c:pt idx="1">
                  <c:v>Age 6-12</c:v>
                </c:pt>
                <c:pt idx="2">
                  <c:v>Age 13-18</c:v>
                </c:pt>
              </c:strCache>
            </c:strRef>
          </c:cat>
          <c:val>
            <c:numRef>
              <c:f>Sheet1!$C$465:$C$467</c:f>
              <c:numCache>
                <c:formatCode>0</c:formatCode>
                <c:ptCount val="3"/>
                <c:pt idx="0">
                  <c:v>51</c:v>
                </c:pt>
                <c:pt idx="1">
                  <c:v>192</c:v>
                </c:pt>
                <c:pt idx="2">
                  <c:v>196</c:v>
                </c:pt>
              </c:numCache>
            </c:numRef>
          </c:val>
        </c:ser>
        <c:dLbls>
          <c:showLegendKey val="0"/>
          <c:showVal val="0"/>
          <c:showCatName val="0"/>
          <c:showSerName val="0"/>
          <c:showPercent val="0"/>
          <c:showBubbleSize val="0"/>
        </c:dLbls>
        <c:gapWidth val="150"/>
        <c:axId val="83809408"/>
        <c:axId val="83811328"/>
      </c:barChart>
      <c:catAx>
        <c:axId val="83809408"/>
        <c:scaling>
          <c:orientation val="minMax"/>
        </c:scaling>
        <c:delete val="0"/>
        <c:axPos val="b"/>
        <c:title>
          <c:tx>
            <c:rich>
              <a:bodyPr/>
              <a:lstStyle/>
              <a:p>
                <a:pPr>
                  <a:defRPr sz="1100" b="1" i="0" u="none" strike="noStrike" baseline="0">
                    <a:solidFill>
                      <a:srgbClr val="000000"/>
                    </a:solidFill>
                    <a:latin typeface="Cambria"/>
                    <a:ea typeface="Cambria"/>
                    <a:cs typeface="Cambria"/>
                  </a:defRPr>
                </a:pPr>
                <a:r>
                  <a:rPr lang="en-AU"/>
                  <a:t>Age of Insulin Pump Recipient</a:t>
                </a:r>
              </a:p>
            </c:rich>
          </c:tx>
          <c:layout>
            <c:manualLayout>
              <c:xMode val="edge"/>
              <c:yMode val="edge"/>
              <c:x val="0.38092477801976926"/>
              <c:y val="0.88679244639874621"/>
            </c:manualLayout>
          </c:layout>
          <c:overlay val="0"/>
        </c:title>
        <c:numFmt formatCode="General" sourceLinked="1"/>
        <c:majorTickMark val="out"/>
        <c:minorTickMark val="none"/>
        <c:tickLblPos val="nextTo"/>
        <c:crossAx val="83811328"/>
        <c:crosses val="autoZero"/>
        <c:auto val="1"/>
        <c:lblAlgn val="ctr"/>
        <c:lblOffset val="100"/>
        <c:noMultiLvlLbl val="0"/>
      </c:catAx>
      <c:valAx>
        <c:axId val="83811328"/>
        <c:scaling>
          <c:orientation val="minMax"/>
          <c:max val="200"/>
        </c:scaling>
        <c:delete val="0"/>
        <c:axPos val="l"/>
        <c:majorGridlines/>
        <c:title>
          <c:tx>
            <c:rich>
              <a:bodyPr/>
              <a:lstStyle/>
              <a:p>
                <a:pPr>
                  <a:defRPr sz="1100" b="1" i="0" u="none" strike="noStrike" baseline="0">
                    <a:solidFill>
                      <a:srgbClr val="000000"/>
                    </a:solidFill>
                    <a:latin typeface="Cambria"/>
                    <a:ea typeface="Cambria"/>
                    <a:cs typeface="Cambria"/>
                  </a:defRPr>
                </a:pPr>
                <a:r>
                  <a:rPr lang="en-AU"/>
                  <a:t>No. Insulin Pumps</a:t>
                </a:r>
              </a:p>
            </c:rich>
          </c:tx>
          <c:layout>
            <c:manualLayout>
              <c:xMode val="edge"/>
              <c:yMode val="edge"/>
              <c:x val="4.9430502038309114E-2"/>
              <c:y val="0.27162661485496115"/>
            </c:manualLayout>
          </c:layout>
          <c:overlay val="0"/>
        </c:title>
        <c:numFmt formatCode="0" sourceLinked="1"/>
        <c:majorTickMark val="out"/>
        <c:minorTickMark val="none"/>
        <c:tickLblPos val="nextTo"/>
        <c:crossAx val="83809408"/>
        <c:crosses val="autoZero"/>
        <c:crossBetween val="between"/>
      </c:valAx>
    </c:plotArea>
    <c:plotVisOnly val="1"/>
    <c:dispBlanksAs val="gap"/>
    <c:showDLblsOverMax val="0"/>
  </c:chart>
  <c:txPr>
    <a:bodyPr/>
    <a:lstStyle/>
    <a:p>
      <a:pPr>
        <a:defRPr sz="1100">
          <a:latin typeface="+mj-lt"/>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1749910017258"/>
          <c:y val="0.12768499787328955"/>
          <c:w val="0.79871789936155546"/>
          <c:h val="0.68687352816075853"/>
        </c:manualLayout>
      </c:layout>
      <c:barChart>
        <c:barDir val="col"/>
        <c:grouping val="clustered"/>
        <c:varyColors val="0"/>
        <c:ser>
          <c:idx val="0"/>
          <c:order val="0"/>
          <c:invertIfNegative val="0"/>
          <c:dLbls>
            <c:dLbl>
              <c:idx val="1"/>
              <c:layout>
                <c:manualLayout>
                  <c:x val="0"/>
                  <c:y val="7.905138339920948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'Raw data IPP'!$N$13:$N$16</c:f>
              <c:strCache>
                <c:ptCount val="4"/>
                <c:pt idx="0">
                  <c:v>Not available</c:v>
                </c:pt>
                <c:pt idx="1">
                  <c:v>0-52,000</c:v>
                </c:pt>
                <c:pt idx="2">
                  <c:v>52,000-71,230</c:v>
                </c:pt>
                <c:pt idx="3">
                  <c:v>71,230-101,653</c:v>
                </c:pt>
              </c:strCache>
            </c:strRef>
          </c:cat>
          <c:val>
            <c:numRef>
              <c:f>'Raw data IPP'!$O$13:$O$16</c:f>
              <c:numCache>
                <c:formatCode>General</c:formatCode>
                <c:ptCount val="4"/>
                <c:pt idx="0">
                  <c:v>10</c:v>
                </c:pt>
                <c:pt idx="1">
                  <c:v>283</c:v>
                </c:pt>
                <c:pt idx="2">
                  <c:v>109</c:v>
                </c:pt>
                <c:pt idx="3">
                  <c:v>30</c:v>
                </c:pt>
              </c:numCache>
            </c:numRef>
          </c:val>
        </c:ser>
        <c:dLbls>
          <c:showLegendKey val="0"/>
          <c:showVal val="0"/>
          <c:showCatName val="0"/>
          <c:showSerName val="0"/>
          <c:showPercent val="0"/>
          <c:showBubbleSize val="0"/>
        </c:dLbls>
        <c:gapWidth val="150"/>
        <c:axId val="126638720"/>
        <c:axId val="85988096"/>
      </c:barChart>
      <c:catAx>
        <c:axId val="126638720"/>
        <c:scaling>
          <c:orientation val="minMax"/>
        </c:scaling>
        <c:delete val="0"/>
        <c:axPos val="b"/>
        <c:title>
          <c:tx>
            <c:rich>
              <a:bodyPr/>
              <a:lstStyle/>
              <a:p>
                <a:pPr>
                  <a:defRPr/>
                </a:pPr>
                <a:r>
                  <a:rPr lang="en-AU" sz="1200" baseline="0">
                    <a:latin typeface="+mj-lt"/>
                  </a:rPr>
                  <a:t>Income Range ($)</a:t>
                </a:r>
              </a:p>
            </c:rich>
          </c:tx>
          <c:layout>
            <c:manualLayout>
              <c:xMode val="edge"/>
              <c:yMode val="edge"/>
              <c:x val="0.41764599192542795"/>
              <c:y val="0.89690562376385408"/>
            </c:manualLayout>
          </c:layout>
          <c:overlay val="0"/>
        </c:title>
        <c:majorTickMark val="out"/>
        <c:minorTickMark val="none"/>
        <c:tickLblPos val="nextTo"/>
        <c:txPr>
          <a:bodyPr/>
          <a:lstStyle/>
          <a:p>
            <a:pPr>
              <a:defRPr sz="1000">
                <a:latin typeface="+mj-lt"/>
              </a:defRPr>
            </a:pPr>
            <a:endParaRPr lang="en-US"/>
          </a:p>
        </c:txPr>
        <c:crossAx val="85988096"/>
        <c:crosses val="autoZero"/>
        <c:auto val="1"/>
        <c:lblAlgn val="ctr"/>
        <c:lblOffset val="100"/>
        <c:noMultiLvlLbl val="0"/>
      </c:catAx>
      <c:valAx>
        <c:axId val="8598809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sz="1200">
                    <a:latin typeface="+mj-lt"/>
                  </a:rPr>
                  <a:t>No.</a:t>
                </a:r>
                <a:r>
                  <a:rPr lang="en-AU" sz="1200" baseline="0">
                    <a:latin typeface="+mj-lt"/>
                  </a:rPr>
                  <a:t> of Recipients</a:t>
                </a:r>
                <a:endParaRPr lang="en-AU" sz="1200">
                  <a:latin typeface="+mj-lt"/>
                </a:endParaRPr>
              </a:p>
            </c:rich>
          </c:tx>
          <c:layout>
            <c:manualLayout>
              <c:xMode val="edge"/>
              <c:yMode val="edge"/>
              <c:x val="3.1308293813414718E-2"/>
              <c:y val="0.30010062971377588"/>
            </c:manualLayout>
          </c:layout>
          <c:overlay val="0"/>
        </c:title>
        <c:numFmt formatCode="General" sourceLinked="1"/>
        <c:majorTickMark val="out"/>
        <c:minorTickMark val="none"/>
        <c:tickLblPos val="nextTo"/>
        <c:crossAx val="1266387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4A32-2EE8-4679-8A53-89BE6572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5377</TotalTime>
  <Pages>92</Pages>
  <Words>33434</Words>
  <Characters>190579</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223566</CharactersWithSpaces>
  <SharedDoc>false</SharedDoc>
  <HLinks>
    <vt:vector size="882" baseType="variant">
      <vt:variant>
        <vt:i4>1114136</vt:i4>
      </vt:variant>
      <vt:variant>
        <vt:i4>744</vt:i4>
      </vt:variant>
      <vt:variant>
        <vt:i4>0</vt:i4>
      </vt:variant>
      <vt:variant>
        <vt:i4>5</vt:i4>
      </vt:variant>
      <vt:variant>
        <vt:lpwstr>http://www.clinicalguidelines.gov.au/browse.php?treePath=C.D004700.D003920&amp;pageType=2&amp;fldglrID=2100&amp;</vt:lpwstr>
      </vt:variant>
      <vt:variant>
        <vt:lpwstr/>
      </vt:variant>
      <vt:variant>
        <vt:i4>1507351</vt:i4>
      </vt:variant>
      <vt:variant>
        <vt:i4>741</vt:i4>
      </vt:variant>
      <vt:variant>
        <vt:i4>0</vt:i4>
      </vt:variant>
      <vt:variant>
        <vt:i4>5</vt:i4>
      </vt:variant>
      <vt:variant>
        <vt:lpwstr>http://www.clinicalguidelines.gov.au/browse.php?treePath=C.D004700.D003920&amp;pageType=2&amp;fldglrID=1957&amp;</vt:lpwstr>
      </vt:variant>
      <vt:variant>
        <vt:lpwstr/>
      </vt:variant>
      <vt:variant>
        <vt:i4>4980737</vt:i4>
      </vt:variant>
      <vt:variant>
        <vt:i4>738</vt:i4>
      </vt:variant>
      <vt:variant>
        <vt:i4>0</vt:i4>
      </vt:variant>
      <vt:variant>
        <vt:i4>5</vt:i4>
      </vt:variant>
      <vt:variant>
        <vt:lpwstr>http://www.clinicalguidelines.gov.au/search.php?pageType=2&amp;fldglrID=1686&amp;</vt:lpwstr>
      </vt:variant>
      <vt:variant>
        <vt:lpwstr/>
      </vt:variant>
      <vt:variant>
        <vt:i4>5046272</vt:i4>
      </vt:variant>
      <vt:variant>
        <vt:i4>735</vt:i4>
      </vt:variant>
      <vt:variant>
        <vt:i4>0</vt:i4>
      </vt:variant>
      <vt:variant>
        <vt:i4>5</vt:i4>
      </vt:variant>
      <vt:variant>
        <vt:lpwstr>http://www.clinicalguidelines.gov.au/search.php?pageType=2&amp;fldglrID=1998&amp;</vt:lpwstr>
      </vt:variant>
      <vt:variant>
        <vt:lpwstr/>
      </vt:variant>
      <vt:variant>
        <vt:i4>4915210</vt:i4>
      </vt:variant>
      <vt:variant>
        <vt:i4>732</vt:i4>
      </vt:variant>
      <vt:variant>
        <vt:i4>0</vt:i4>
      </vt:variant>
      <vt:variant>
        <vt:i4>5</vt:i4>
      </vt:variant>
      <vt:variant>
        <vt:lpwstr>http://www.clinicalguidelines.gov.au/search.php?pageType=2&amp;fldglrID=1532&amp;</vt:lpwstr>
      </vt:variant>
      <vt:variant>
        <vt:lpwstr/>
      </vt:variant>
      <vt:variant>
        <vt:i4>5177355</vt:i4>
      </vt:variant>
      <vt:variant>
        <vt:i4>729</vt:i4>
      </vt:variant>
      <vt:variant>
        <vt:i4>0</vt:i4>
      </vt:variant>
      <vt:variant>
        <vt:i4>5</vt:i4>
      </vt:variant>
      <vt:variant>
        <vt:lpwstr>http://www.clinicalguidelines.gov.au/search.php?pageType=2&amp;fldglrID=1724&amp;</vt:lpwstr>
      </vt:variant>
      <vt:variant>
        <vt:lpwstr/>
      </vt:variant>
      <vt:variant>
        <vt:i4>5046284</vt:i4>
      </vt:variant>
      <vt:variant>
        <vt:i4>726</vt:i4>
      </vt:variant>
      <vt:variant>
        <vt:i4>0</vt:i4>
      </vt:variant>
      <vt:variant>
        <vt:i4>5</vt:i4>
      </vt:variant>
      <vt:variant>
        <vt:lpwstr>http://www.clinicalguidelines.gov.au/search.php?pageType=2&amp;fldglrID=1859&amp;</vt:lpwstr>
      </vt:variant>
      <vt:variant>
        <vt:lpwstr/>
      </vt:variant>
      <vt:variant>
        <vt:i4>7667794</vt:i4>
      </vt:variant>
      <vt:variant>
        <vt:i4>723</vt:i4>
      </vt:variant>
      <vt:variant>
        <vt:i4>0</vt:i4>
      </vt:variant>
      <vt:variant>
        <vt:i4>5</vt:i4>
      </vt:variant>
      <vt:variant>
        <vt:lpwstr/>
      </vt:variant>
      <vt:variant>
        <vt:lpwstr>_Attachment_A_–</vt:lpwstr>
      </vt:variant>
      <vt:variant>
        <vt:i4>7667792</vt:i4>
      </vt:variant>
      <vt:variant>
        <vt:i4>720</vt:i4>
      </vt:variant>
      <vt:variant>
        <vt:i4>0</vt:i4>
      </vt:variant>
      <vt:variant>
        <vt:i4>5</vt:i4>
      </vt:variant>
      <vt:variant>
        <vt:lpwstr/>
      </vt:variant>
      <vt:variant>
        <vt:lpwstr>_Attachment_C_–</vt:lpwstr>
      </vt:variant>
      <vt:variant>
        <vt:i4>2760769</vt:i4>
      </vt:variant>
      <vt:variant>
        <vt:i4>717</vt:i4>
      </vt:variant>
      <vt:variant>
        <vt:i4>0</vt:i4>
      </vt:variant>
      <vt:variant>
        <vt:i4>5</vt:i4>
      </vt:variant>
      <vt:variant>
        <vt:lpwstr/>
      </vt:variant>
      <vt:variant>
        <vt:lpwstr>_Attachment_A_–_1</vt:lpwstr>
      </vt:variant>
      <vt:variant>
        <vt:i4>589852</vt:i4>
      </vt:variant>
      <vt:variant>
        <vt:i4>711</vt:i4>
      </vt:variant>
      <vt:variant>
        <vt:i4>0</vt:i4>
      </vt:variant>
      <vt:variant>
        <vt:i4>5</vt:i4>
      </vt:variant>
      <vt:variant>
        <vt:lpwstr>http://www.who.int/mediacentre/factsheets/fs312/en/index.html</vt:lpwstr>
      </vt:variant>
      <vt:variant>
        <vt:lpwstr/>
      </vt:variant>
      <vt:variant>
        <vt:i4>655486</vt:i4>
      </vt:variant>
      <vt:variant>
        <vt:i4>708</vt:i4>
      </vt:variant>
      <vt:variant>
        <vt:i4>0</vt:i4>
      </vt:variant>
      <vt:variant>
        <vt:i4>5</vt:i4>
      </vt:variant>
      <vt:variant>
        <vt:lpwstr>http://www.nzssd.org.nz/position_statements/insulinpump.html</vt:lpwstr>
      </vt:variant>
      <vt:variant>
        <vt:lpwstr/>
      </vt:variant>
      <vt:variant>
        <vt:i4>3014707</vt:i4>
      </vt:variant>
      <vt:variant>
        <vt:i4>705</vt:i4>
      </vt:variant>
      <vt:variant>
        <vt:i4>0</vt:i4>
      </vt:variant>
      <vt:variant>
        <vt:i4>5</vt:i4>
      </vt:variant>
      <vt:variant>
        <vt:lpwstr>http://www.clinicalguidelines.gov.au/about.php</vt:lpwstr>
      </vt:variant>
      <vt:variant>
        <vt:lpwstr/>
      </vt:variant>
      <vt:variant>
        <vt:i4>7340077</vt:i4>
      </vt:variant>
      <vt:variant>
        <vt:i4>702</vt:i4>
      </vt:variant>
      <vt:variant>
        <vt:i4>0</vt:i4>
      </vt:variant>
      <vt:variant>
        <vt:i4>5</vt:i4>
      </vt:variant>
      <vt:variant>
        <vt:lpwstr>http://www.nice.org.uk/media/37C/67/290312_Insulin_Pumps_cmg_update_for_PDF.pdf</vt:lpwstr>
      </vt:variant>
      <vt:variant>
        <vt:lpwstr/>
      </vt:variant>
      <vt:variant>
        <vt:i4>1572954</vt:i4>
      </vt:variant>
      <vt:variant>
        <vt:i4>699</vt:i4>
      </vt:variant>
      <vt:variant>
        <vt:i4>0</vt:i4>
      </vt:variant>
      <vt:variant>
        <vt:i4>5</vt:i4>
      </vt:variant>
      <vt:variant>
        <vt:lpwstr>http://www.health.gov.au/internet/main/publishing.nsf/Content/BD94DFD828DDFA6BCA2575EF000F806A/$File/plguidept1Oct10.pdf</vt:lpwstr>
      </vt:variant>
      <vt:variant>
        <vt:lpwstr/>
      </vt:variant>
      <vt:variant>
        <vt:i4>5636097</vt:i4>
      </vt:variant>
      <vt:variant>
        <vt:i4>696</vt:i4>
      </vt:variant>
      <vt:variant>
        <vt:i4>0</vt:i4>
      </vt:variant>
      <vt:variant>
        <vt:i4>5</vt:i4>
      </vt:variant>
      <vt:variant>
        <vt:lpwstr>http://www.health.gov.au/internet/main/publishing.nsf/Content/prostheses-list-pdf.htm</vt:lpwstr>
      </vt:variant>
      <vt:variant>
        <vt:lpwstr/>
      </vt:variant>
      <vt:variant>
        <vt:i4>3407940</vt:i4>
      </vt:variant>
      <vt:variant>
        <vt:i4>693</vt:i4>
      </vt:variant>
      <vt:variant>
        <vt:i4>0</vt:i4>
      </vt:variant>
      <vt:variant>
        <vt:i4>5</vt:i4>
      </vt:variant>
      <vt:variant>
        <vt:lpwstr>https://www.diabetesqld.org.au/media/23569/i_am_considering_an_insulin_pump.pdf</vt:lpwstr>
      </vt:variant>
      <vt:variant>
        <vt:lpwstr/>
      </vt:variant>
      <vt:variant>
        <vt:i4>6029370</vt:i4>
      </vt:variant>
      <vt:variant>
        <vt:i4>690</vt:i4>
      </vt:variant>
      <vt:variant>
        <vt:i4>0</vt:i4>
      </vt:variant>
      <vt:variant>
        <vt:i4>5</vt:i4>
      </vt:variant>
      <vt:variant>
        <vt:lpwstr>http://www.diabetesvic.org.au/images/stories/PDF_files/representing connecting informing.pdf</vt:lpwstr>
      </vt:variant>
      <vt:variant>
        <vt:lpwstr/>
      </vt:variant>
      <vt:variant>
        <vt:i4>983104</vt:i4>
      </vt:variant>
      <vt:variant>
        <vt:i4>687</vt:i4>
      </vt:variant>
      <vt:variant>
        <vt:i4>0</vt:i4>
      </vt:variant>
      <vt:variant>
        <vt:i4>5</vt:i4>
      </vt:variant>
      <vt:variant>
        <vt:lpwstr>http://www.diabetesaustralia.com.au/en/Understanding-Diabetes/What-is-Diabetes/Hypoglycaemia/</vt:lpwstr>
      </vt:variant>
      <vt:variant>
        <vt:lpwstr/>
      </vt:variant>
      <vt:variant>
        <vt:i4>5570651</vt:i4>
      </vt:variant>
      <vt:variant>
        <vt:i4>684</vt:i4>
      </vt:variant>
      <vt:variant>
        <vt:i4>0</vt:i4>
      </vt:variant>
      <vt:variant>
        <vt:i4>5</vt:i4>
      </vt:variant>
      <vt:variant>
        <vt:lpwstr>http://www.diabetesaustralia.com.au/en/Living-with-Diabetes/Gestational-Diabetes/</vt:lpwstr>
      </vt:variant>
      <vt:variant>
        <vt:lpwstr/>
      </vt:variant>
      <vt:variant>
        <vt:i4>4718630</vt:i4>
      </vt:variant>
      <vt:variant>
        <vt:i4>681</vt:i4>
      </vt:variant>
      <vt:variant>
        <vt:i4>0</vt:i4>
      </vt:variant>
      <vt:variant>
        <vt:i4>5</vt:i4>
      </vt:variant>
      <vt:variant>
        <vt:lpwstr>http://www.nhmrc.gov.au/_files_nhmrc/publications/attachments/ext004_type1_diabetes_children_adolescents_adults.pdf</vt:lpwstr>
      </vt:variant>
      <vt:variant>
        <vt:lpwstr/>
      </vt:variant>
      <vt:variant>
        <vt:i4>6029436</vt:i4>
      </vt:variant>
      <vt:variant>
        <vt:i4>678</vt:i4>
      </vt:variant>
      <vt:variant>
        <vt:i4>0</vt:i4>
      </vt:variant>
      <vt:variant>
        <vt:i4>5</vt:i4>
      </vt:variant>
      <vt:variant>
        <vt:lpwstr>http://www.abs.gov.au/ausstats/abs@.nsf/mf/6302.0</vt:lpwstr>
      </vt:variant>
      <vt:variant>
        <vt:lpwstr/>
      </vt:variant>
      <vt:variant>
        <vt:i4>4784235</vt:i4>
      </vt:variant>
      <vt:variant>
        <vt:i4>675</vt:i4>
      </vt:variant>
      <vt:variant>
        <vt:i4>0</vt:i4>
      </vt:variant>
      <vt:variant>
        <vt:i4>5</vt:i4>
      </vt:variant>
      <vt:variant>
        <vt:lpwstr>http://www.abs.gov.au/ausstats/abs@.nsf/Lookup/4364.0.55.001main+features12011-12</vt:lpwstr>
      </vt:variant>
      <vt:variant>
        <vt:lpwstr/>
      </vt:variant>
      <vt:variant>
        <vt:i4>1441843</vt:i4>
      </vt:variant>
      <vt:variant>
        <vt:i4>672</vt:i4>
      </vt:variant>
      <vt:variant>
        <vt:i4>0</vt:i4>
      </vt:variant>
      <vt:variant>
        <vt:i4>5</vt:i4>
      </vt:variant>
      <vt:variant>
        <vt:lpwstr/>
      </vt:variant>
      <vt:variant>
        <vt:lpwstr>_Appendix_E_-</vt:lpwstr>
      </vt:variant>
      <vt:variant>
        <vt:i4>1441843</vt:i4>
      </vt:variant>
      <vt:variant>
        <vt:i4>669</vt:i4>
      </vt:variant>
      <vt:variant>
        <vt:i4>0</vt:i4>
      </vt:variant>
      <vt:variant>
        <vt:i4>5</vt:i4>
      </vt:variant>
      <vt:variant>
        <vt:lpwstr/>
      </vt:variant>
      <vt:variant>
        <vt:lpwstr>_Appendix_E_-</vt:lpwstr>
      </vt:variant>
      <vt:variant>
        <vt:i4>1441843</vt:i4>
      </vt:variant>
      <vt:variant>
        <vt:i4>666</vt:i4>
      </vt:variant>
      <vt:variant>
        <vt:i4>0</vt:i4>
      </vt:variant>
      <vt:variant>
        <vt:i4>5</vt:i4>
      </vt:variant>
      <vt:variant>
        <vt:lpwstr/>
      </vt:variant>
      <vt:variant>
        <vt:lpwstr>_Appendix_E_-</vt:lpwstr>
      </vt:variant>
      <vt:variant>
        <vt:i4>1441843</vt:i4>
      </vt:variant>
      <vt:variant>
        <vt:i4>663</vt:i4>
      </vt:variant>
      <vt:variant>
        <vt:i4>0</vt:i4>
      </vt:variant>
      <vt:variant>
        <vt:i4>5</vt:i4>
      </vt:variant>
      <vt:variant>
        <vt:lpwstr/>
      </vt:variant>
      <vt:variant>
        <vt:lpwstr>_Appendix_E_-</vt:lpwstr>
      </vt:variant>
      <vt:variant>
        <vt:i4>1441840</vt:i4>
      </vt:variant>
      <vt:variant>
        <vt:i4>660</vt:i4>
      </vt:variant>
      <vt:variant>
        <vt:i4>0</vt:i4>
      </vt:variant>
      <vt:variant>
        <vt:i4>5</vt:i4>
      </vt:variant>
      <vt:variant>
        <vt:lpwstr/>
      </vt:variant>
      <vt:variant>
        <vt:lpwstr>_Appendix_F_-</vt:lpwstr>
      </vt:variant>
      <vt:variant>
        <vt:i4>6225970</vt:i4>
      </vt:variant>
      <vt:variant>
        <vt:i4>657</vt:i4>
      </vt:variant>
      <vt:variant>
        <vt:i4>0</vt:i4>
      </vt:variant>
      <vt:variant>
        <vt:i4>5</vt:i4>
      </vt:variant>
      <vt:variant>
        <vt:lpwstr/>
      </vt:variant>
      <vt:variant>
        <vt:lpwstr>_2.6_Type_1</vt:lpwstr>
      </vt:variant>
      <vt:variant>
        <vt:i4>2949131</vt:i4>
      </vt:variant>
      <vt:variant>
        <vt:i4>654</vt:i4>
      </vt:variant>
      <vt:variant>
        <vt:i4>0</vt:i4>
      </vt:variant>
      <vt:variant>
        <vt:i4>5</vt:i4>
      </vt:variant>
      <vt:variant>
        <vt:lpwstr/>
      </vt:variant>
      <vt:variant>
        <vt:lpwstr>_4.2.13_The_Insulin</vt:lpwstr>
      </vt:variant>
      <vt:variant>
        <vt:i4>1441841</vt:i4>
      </vt:variant>
      <vt:variant>
        <vt:i4>651</vt:i4>
      </vt:variant>
      <vt:variant>
        <vt:i4>0</vt:i4>
      </vt:variant>
      <vt:variant>
        <vt:i4>5</vt:i4>
      </vt:variant>
      <vt:variant>
        <vt:lpwstr/>
      </vt:variant>
      <vt:variant>
        <vt:lpwstr>_Appendix_G_-</vt:lpwstr>
      </vt:variant>
      <vt:variant>
        <vt:i4>1441840</vt:i4>
      </vt:variant>
      <vt:variant>
        <vt:i4>648</vt:i4>
      </vt:variant>
      <vt:variant>
        <vt:i4>0</vt:i4>
      </vt:variant>
      <vt:variant>
        <vt:i4>5</vt:i4>
      </vt:variant>
      <vt:variant>
        <vt:lpwstr/>
      </vt:variant>
      <vt:variant>
        <vt:lpwstr>_Appendix_F_–</vt:lpwstr>
      </vt:variant>
      <vt:variant>
        <vt:i4>1441843</vt:i4>
      </vt:variant>
      <vt:variant>
        <vt:i4>645</vt:i4>
      </vt:variant>
      <vt:variant>
        <vt:i4>0</vt:i4>
      </vt:variant>
      <vt:variant>
        <vt:i4>5</vt:i4>
      </vt:variant>
      <vt:variant>
        <vt:lpwstr/>
      </vt:variant>
      <vt:variant>
        <vt:lpwstr>_Appendix_E_-</vt:lpwstr>
      </vt:variant>
      <vt:variant>
        <vt:i4>7667798</vt:i4>
      </vt:variant>
      <vt:variant>
        <vt:i4>642</vt:i4>
      </vt:variant>
      <vt:variant>
        <vt:i4>0</vt:i4>
      </vt:variant>
      <vt:variant>
        <vt:i4>5</vt:i4>
      </vt:variant>
      <vt:variant>
        <vt:lpwstr/>
      </vt:variant>
      <vt:variant>
        <vt:lpwstr>_Attachment_E_-</vt:lpwstr>
      </vt:variant>
      <vt:variant>
        <vt:i4>6225970</vt:i4>
      </vt:variant>
      <vt:variant>
        <vt:i4>621</vt:i4>
      </vt:variant>
      <vt:variant>
        <vt:i4>0</vt:i4>
      </vt:variant>
      <vt:variant>
        <vt:i4>5</vt:i4>
      </vt:variant>
      <vt:variant>
        <vt:lpwstr/>
      </vt:variant>
      <vt:variant>
        <vt:lpwstr>_2.6_Type_1</vt:lpwstr>
      </vt:variant>
      <vt:variant>
        <vt:i4>6225970</vt:i4>
      </vt:variant>
      <vt:variant>
        <vt:i4>618</vt:i4>
      </vt:variant>
      <vt:variant>
        <vt:i4>0</vt:i4>
      </vt:variant>
      <vt:variant>
        <vt:i4>5</vt:i4>
      </vt:variant>
      <vt:variant>
        <vt:lpwstr/>
      </vt:variant>
      <vt:variant>
        <vt:lpwstr>_2.6_Type_1</vt:lpwstr>
      </vt:variant>
      <vt:variant>
        <vt:i4>1441845</vt:i4>
      </vt:variant>
      <vt:variant>
        <vt:i4>615</vt:i4>
      </vt:variant>
      <vt:variant>
        <vt:i4>0</vt:i4>
      </vt:variant>
      <vt:variant>
        <vt:i4>5</vt:i4>
      </vt:variant>
      <vt:variant>
        <vt:lpwstr/>
      </vt:variant>
      <vt:variant>
        <vt:lpwstr>_Appendix_C_–</vt:lpwstr>
      </vt:variant>
      <vt:variant>
        <vt:i4>1441847</vt:i4>
      </vt:variant>
      <vt:variant>
        <vt:i4>612</vt:i4>
      </vt:variant>
      <vt:variant>
        <vt:i4>0</vt:i4>
      </vt:variant>
      <vt:variant>
        <vt:i4>5</vt:i4>
      </vt:variant>
      <vt:variant>
        <vt:lpwstr/>
      </vt:variant>
      <vt:variant>
        <vt:lpwstr>_Appendix_A_–</vt:lpwstr>
      </vt:variant>
      <vt:variant>
        <vt:i4>7798824</vt:i4>
      </vt:variant>
      <vt:variant>
        <vt:i4>609</vt:i4>
      </vt:variant>
      <vt:variant>
        <vt:i4>0</vt:i4>
      </vt:variant>
      <vt:variant>
        <vt:i4>5</vt:i4>
      </vt:variant>
      <vt:variant>
        <vt:lpwstr>http://www.pbs.gov.au/</vt:lpwstr>
      </vt:variant>
      <vt:variant>
        <vt:lpwstr/>
      </vt:variant>
      <vt:variant>
        <vt:i4>1441845</vt:i4>
      </vt:variant>
      <vt:variant>
        <vt:i4>606</vt:i4>
      </vt:variant>
      <vt:variant>
        <vt:i4>0</vt:i4>
      </vt:variant>
      <vt:variant>
        <vt:i4>5</vt:i4>
      </vt:variant>
      <vt:variant>
        <vt:lpwstr/>
      </vt:variant>
      <vt:variant>
        <vt:lpwstr>_Appendix_C_–</vt:lpwstr>
      </vt:variant>
      <vt:variant>
        <vt:i4>1441847</vt:i4>
      </vt:variant>
      <vt:variant>
        <vt:i4>603</vt:i4>
      </vt:variant>
      <vt:variant>
        <vt:i4>0</vt:i4>
      </vt:variant>
      <vt:variant>
        <vt:i4>5</vt:i4>
      </vt:variant>
      <vt:variant>
        <vt:lpwstr/>
      </vt:variant>
      <vt:variant>
        <vt:lpwstr>_Appendix_A_–</vt:lpwstr>
      </vt:variant>
      <vt:variant>
        <vt:i4>7798824</vt:i4>
      </vt:variant>
      <vt:variant>
        <vt:i4>600</vt:i4>
      </vt:variant>
      <vt:variant>
        <vt:i4>0</vt:i4>
      </vt:variant>
      <vt:variant>
        <vt:i4>5</vt:i4>
      </vt:variant>
      <vt:variant>
        <vt:lpwstr>http://www.pbs.gov.au/</vt:lpwstr>
      </vt:variant>
      <vt:variant>
        <vt:lpwstr/>
      </vt:variant>
      <vt:variant>
        <vt:i4>7798824</vt:i4>
      </vt:variant>
      <vt:variant>
        <vt:i4>597</vt:i4>
      </vt:variant>
      <vt:variant>
        <vt:i4>0</vt:i4>
      </vt:variant>
      <vt:variant>
        <vt:i4>5</vt:i4>
      </vt:variant>
      <vt:variant>
        <vt:lpwstr>http://www.pbs.gov.au/</vt:lpwstr>
      </vt:variant>
      <vt:variant>
        <vt:lpwstr/>
      </vt:variant>
      <vt:variant>
        <vt:i4>65628</vt:i4>
      </vt:variant>
      <vt:variant>
        <vt:i4>594</vt:i4>
      </vt:variant>
      <vt:variant>
        <vt:i4>0</vt:i4>
      </vt:variant>
      <vt:variant>
        <vt:i4>5</vt:i4>
      </vt:variant>
      <vt:variant>
        <vt:lpwstr>http://www.comlaw.gov.au/Details/C2007A00031</vt:lpwstr>
      </vt:variant>
      <vt:variant>
        <vt:lpwstr/>
      </vt:variant>
      <vt:variant>
        <vt:i4>7208960</vt:i4>
      </vt:variant>
      <vt:variant>
        <vt:i4>591</vt:i4>
      </vt:variant>
      <vt:variant>
        <vt:i4>0</vt:i4>
      </vt:variant>
      <vt:variant>
        <vt:i4>5</vt:i4>
      </vt:variant>
      <vt:variant>
        <vt:lpwstr/>
      </vt:variant>
      <vt:variant>
        <vt:lpwstr>_4.2.7__</vt:lpwstr>
      </vt:variant>
      <vt:variant>
        <vt:i4>6103149</vt:i4>
      </vt:variant>
      <vt:variant>
        <vt:i4>588</vt:i4>
      </vt:variant>
      <vt:variant>
        <vt:i4>0</vt:i4>
      </vt:variant>
      <vt:variant>
        <vt:i4>5</vt:i4>
      </vt:variant>
      <vt:variant>
        <vt:lpwstr/>
      </vt:variant>
      <vt:variant>
        <vt:lpwstr>_Part_4_–_1</vt:lpwstr>
      </vt:variant>
      <vt:variant>
        <vt:i4>131198</vt:i4>
      </vt:variant>
      <vt:variant>
        <vt:i4>585</vt:i4>
      </vt:variant>
      <vt:variant>
        <vt:i4>0</vt:i4>
      </vt:variant>
      <vt:variant>
        <vt:i4>5</vt:i4>
      </vt:variant>
      <vt:variant>
        <vt:lpwstr/>
      </vt:variant>
      <vt:variant>
        <vt:lpwstr>_Part_4_–</vt:lpwstr>
      </vt:variant>
      <vt:variant>
        <vt:i4>2883672</vt:i4>
      </vt:variant>
      <vt:variant>
        <vt:i4>582</vt:i4>
      </vt:variant>
      <vt:variant>
        <vt:i4>0</vt:i4>
      </vt:variant>
      <vt:variant>
        <vt:i4>5</vt:i4>
      </vt:variant>
      <vt:variant>
        <vt:lpwstr/>
      </vt:variant>
      <vt:variant>
        <vt:lpwstr>_2.7_Prostheses_list,</vt:lpwstr>
      </vt:variant>
      <vt:variant>
        <vt:i4>1441844</vt:i4>
      </vt:variant>
      <vt:variant>
        <vt:i4>579</vt:i4>
      </vt:variant>
      <vt:variant>
        <vt:i4>0</vt:i4>
      </vt:variant>
      <vt:variant>
        <vt:i4>5</vt:i4>
      </vt:variant>
      <vt:variant>
        <vt:lpwstr/>
      </vt:variant>
      <vt:variant>
        <vt:lpwstr>_Appendix_B_–</vt:lpwstr>
      </vt:variant>
      <vt:variant>
        <vt:i4>2424905</vt:i4>
      </vt:variant>
      <vt:variant>
        <vt:i4>576</vt:i4>
      </vt:variant>
      <vt:variant>
        <vt:i4>0</vt:i4>
      </vt:variant>
      <vt:variant>
        <vt:i4>5</vt:i4>
      </vt:variant>
      <vt:variant>
        <vt:lpwstr/>
      </vt:variant>
      <vt:variant>
        <vt:lpwstr>_4.2.4_Results_from</vt:lpwstr>
      </vt:variant>
      <vt:variant>
        <vt:i4>1441847</vt:i4>
      </vt:variant>
      <vt:variant>
        <vt:i4>573</vt:i4>
      </vt:variant>
      <vt:variant>
        <vt:i4>0</vt:i4>
      </vt:variant>
      <vt:variant>
        <vt:i4>5</vt:i4>
      </vt:variant>
      <vt:variant>
        <vt:lpwstr/>
      </vt:variant>
      <vt:variant>
        <vt:lpwstr>_Appendix_A_–</vt:lpwstr>
      </vt:variant>
      <vt:variant>
        <vt:i4>7798824</vt:i4>
      </vt:variant>
      <vt:variant>
        <vt:i4>570</vt:i4>
      </vt:variant>
      <vt:variant>
        <vt:i4>0</vt:i4>
      </vt:variant>
      <vt:variant>
        <vt:i4>5</vt:i4>
      </vt:variant>
      <vt:variant>
        <vt:lpwstr>http://www.pbs.gov.au/</vt:lpwstr>
      </vt:variant>
      <vt:variant>
        <vt:lpwstr/>
      </vt:variant>
      <vt:variant>
        <vt:i4>7274524</vt:i4>
      </vt:variant>
      <vt:variant>
        <vt:i4>567</vt:i4>
      </vt:variant>
      <vt:variant>
        <vt:i4>0</vt:i4>
      </vt:variant>
      <vt:variant>
        <vt:i4>5</vt:i4>
      </vt:variant>
      <vt:variant>
        <vt:lpwstr/>
      </vt:variant>
      <vt:variant>
        <vt:lpwstr>_4.2.2_Type_1</vt:lpwstr>
      </vt:variant>
      <vt:variant>
        <vt:i4>2031675</vt:i4>
      </vt:variant>
      <vt:variant>
        <vt:i4>560</vt:i4>
      </vt:variant>
      <vt:variant>
        <vt:i4>0</vt:i4>
      </vt:variant>
      <vt:variant>
        <vt:i4>5</vt:i4>
      </vt:variant>
      <vt:variant>
        <vt:lpwstr/>
      </vt:variant>
      <vt:variant>
        <vt:lpwstr>_Toc360710996</vt:lpwstr>
      </vt:variant>
      <vt:variant>
        <vt:i4>2031675</vt:i4>
      </vt:variant>
      <vt:variant>
        <vt:i4>554</vt:i4>
      </vt:variant>
      <vt:variant>
        <vt:i4>0</vt:i4>
      </vt:variant>
      <vt:variant>
        <vt:i4>5</vt:i4>
      </vt:variant>
      <vt:variant>
        <vt:lpwstr/>
      </vt:variant>
      <vt:variant>
        <vt:lpwstr>_Toc360710995</vt:lpwstr>
      </vt:variant>
      <vt:variant>
        <vt:i4>2031675</vt:i4>
      </vt:variant>
      <vt:variant>
        <vt:i4>548</vt:i4>
      </vt:variant>
      <vt:variant>
        <vt:i4>0</vt:i4>
      </vt:variant>
      <vt:variant>
        <vt:i4>5</vt:i4>
      </vt:variant>
      <vt:variant>
        <vt:lpwstr/>
      </vt:variant>
      <vt:variant>
        <vt:lpwstr>_Toc360710994</vt:lpwstr>
      </vt:variant>
      <vt:variant>
        <vt:i4>2031675</vt:i4>
      </vt:variant>
      <vt:variant>
        <vt:i4>542</vt:i4>
      </vt:variant>
      <vt:variant>
        <vt:i4>0</vt:i4>
      </vt:variant>
      <vt:variant>
        <vt:i4>5</vt:i4>
      </vt:variant>
      <vt:variant>
        <vt:lpwstr/>
      </vt:variant>
      <vt:variant>
        <vt:lpwstr>_Toc360710993</vt:lpwstr>
      </vt:variant>
      <vt:variant>
        <vt:i4>2031675</vt:i4>
      </vt:variant>
      <vt:variant>
        <vt:i4>536</vt:i4>
      </vt:variant>
      <vt:variant>
        <vt:i4>0</vt:i4>
      </vt:variant>
      <vt:variant>
        <vt:i4>5</vt:i4>
      </vt:variant>
      <vt:variant>
        <vt:lpwstr/>
      </vt:variant>
      <vt:variant>
        <vt:lpwstr>_Toc360710992</vt:lpwstr>
      </vt:variant>
      <vt:variant>
        <vt:i4>2031675</vt:i4>
      </vt:variant>
      <vt:variant>
        <vt:i4>530</vt:i4>
      </vt:variant>
      <vt:variant>
        <vt:i4>0</vt:i4>
      </vt:variant>
      <vt:variant>
        <vt:i4>5</vt:i4>
      </vt:variant>
      <vt:variant>
        <vt:lpwstr/>
      </vt:variant>
      <vt:variant>
        <vt:lpwstr>_Toc360710991</vt:lpwstr>
      </vt:variant>
      <vt:variant>
        <vt:i4>2031675</vt:i4>
      </vt:variant>
      <vt:variant>
        <vt:i4>524</vt:i4>
      </vt:variant>
      <vt:variant>
        <vt:i4>0</vt:i4>
      </vt:variant>
      <vt:variant>
        <vt:i4>5</vt:i4>
      </vt:variant>
      <vt:variant>
        <vt:lpwstr/>
      </vt:variant>
      <vt:variant>
        <vt:lpwstr>_Toc360710990</vt:lpwstr>
      </vt:variant>
      <vt:variant>
        <vt:i4>1966139</vt:i4>
      </vt:variant>
      <vt:variant>
        <vt:i4>518</vt:i4>
      </vt:variant>
      <vt:variant>
        <vt:i4>0</vt:i4>
      </vt:variant>
      <vt:variant>
        <vt:i4>5</vt:i4>
      </vt:variant>
      <vt:variant>
        <vt:lpwstr/>
      </vt:variant>
      <vt:variant>
        <vt:lpwstr>_Toc360710989</vt:lpwstr>
      </vt:variant>
      <vt:variant>
        <vt:i4>1966139</vt:i4>
      </vt:variant>
      <vt:variant>
        <vt:i4>512</vt:i4>
      </vt:variant>
      <vt:variant>
        <vt:i4>0</vt:i4>
      </vt:variant>
      <vt:variant>
        <vt:i4>5</vt:i4>
      </vt:variant>
      <vt:variant>
        <vt:lpwstr/>
      </vt:variant>
      <vt:variant>
        <vt:lpwstr>_Toc360710988</vt:lpwstr>
      </vt:variant>
      <vt:variant>
        <vt:i4>1966139</vt:i4>
      </vt:variant>
      <vt:variant>
        <vt:i4>506</vt:i4>
      </vt:variant>
      <vt:variant>
        <vt:i4>0</vt:i4>
      </vt:variant>
      <vt:variant>
        <vt:i4>5</vt:i4>
      </vt:variant>
      <vt:variant>
        <vt:lpwstr/>
      </vt:variant>
      <vt:variant>
        <vt:lpwstr>_Toc360710987</vt:lpwstr>
      </vt:variant>
      <vt:variant>
        <vt:i4>1966139</vt:i4>
      </vt:variant>
      <vt:variant>
        <vt:i4>500</vt:i4>
      </vt:variant>
      <vt:variant>
        <vt:i4>0</vt:i4>
      </vt:variant>
      <vt:variant>
        <vt:i4>5</vt:i4>
      </vt:variant>
      <vt:variant>
        <vt:lpwstr/>
      </vt:variant>
      <vt:variant>
        <vt:lpwstr>_Toc360710986</vt:lpwstr>
      </vt:variant>
      <vt:variant>
        <vt:i4>1966139</vt:i4>
      </vt:variant>
      <vt:variant>
        <vt:i4>494</vt:i4>
      </vt:variant>
      <vt:variant>
        <vt:i4>0</vt:i4>
      </vt:variant>
      <vt:variant>
        <vt:i4>5</vt:i4>
      </vt:variant>
      <vt:variant>
        <vt:lpwstr/>
      </vt:variant>
      <vt:variant>
        <vt:lpwstr>_Toc360710985</vt:lpwstr>
      </vt:variant>
      <vt:variant>
        <vt:i4>1966139</vt:i4>
      </vt:variant>
      <vt:variant>
        <vt:i4>488</vt:i4>
      </vt:variant>
      <vt:variant>
        <vt:i4>0</vt:i4>
      </vt:variant>
      <vt:variant>
        <vt:i4>5</vt:i4>
      </vt:variant>
      <vt:variant>
        <vt:lpwstr/>
      </vt:variant>
      <vt:variant>
        <vt:lpwstr>_Toc360710984</vt:lpwstr>
      </vt:variant>
      <vt:variant>
        <vt:i4>1966139</vt:i4>
      </vt:variant>
      <vt:variant>
        <vt:i4>482</vt:i4>
      </vt:variant>
      <vt:variant>
        <vt:i4>0</vt:i4>
      </vt:variant>
      <vt:variant>
        <vt:i4>5</vt:i4>
      </vt:variant>
      <vt:variant>
        <vt:lpwstr/>
      </vt:variant>
      <vt:variant>
        <vt:lpwstr>_Toc360710983</vt:lpwstr>
      </vt:variant>
      <vt:variant>
        <vt:i4>1966139</vt:i4>
      </vt:variant>
      <vt:variant>
        <vt:i4>476</vt:i4>
      </vt:variant>
      <vt:variant>
        <vt:i4>0</vt:i4>
      </vt:variant>
      <vt:variant>
        <vt:i4>5</vt:i4>
      </vt:variant>
      <vt:variant>
        <vt:lpwstr/>
      </vt:variant>
      <vt:variant>
        <vt:lpwstr>_Toc360710982</vt:lpwstr>
      </vt:variant>
      <vt:variant>
        <vt:i4>1966139</vt:i4>
      </vt:variant>
      <vt:variant>
        <vt:i4>470</vt:i4>
      </vt:variant>
      <vt:variant>
        <vt:i4>0</vt:i4>
      </vt:variant>
      <vt:variant>
        <vt:i4>5</vt:i4>
      </vt:variant>
      <vt:variant>
        <vt:lpwstr/>
      </vt:variant>
      <vt:variant>
        <vt:lpwstr>_Toc360710981</vt:lpwstr>
      </vt:variant>
      <vt:variant>
        <vt:i4>1966139</vt:i4>
      </vt:variant>
      <vt:variant>
        <vt:i4>464</vt:i4>
      </vt:variant>
      <vt:variant>
        <vt:i4>0</vt:i4>
      </vt:variant>
      <vt:variant>
        <vt:i4>5</vt:i4>
      </vt:variant>
      <vt:variant>
        <vt:lpwstr/>
      </vt:variant>
      <vt:variant>
        <vt:lpwstr>_Toc360710980</vt:lpwstr>
      </vt:variant>
      <vt:variant>
        <vt:i4>1114171</vt:i4>
      </vt:variant>
      <vt:variant>
        <vt:i4>458</vt:i4>
      </vt:variant>
      <vt:variant>
        <vt:i4>0</vt:i4>
      </vt:variant>
      <vt:variant>
        <vt:i4>5</vt:i4>
      </vt:variant>
      <vt:variant>
        <vt:lpwstr/>
      </vt:variant>
      <vt:variant>
        <vt:lpwstr>_Toc360710979</vt:lpwstr>
      </vt:variant>
      <vt:variant>
        <vt:i4>1114171</vt:i4>
      </vt:variant>
      <vt:variant>
        <vt:i4>452</vt:i4>
      </vt:variant>
      <vt:variant>
        <vt:i4>0</vt:i4>
      </vt:variant>
      <vt:variant>
        <vt:i4>5</vt:i4>
      </vt:variant>
      <vt:variant>
        <vt:lpwstr/>
      </vt:variant>
      <vt:variant>
        <vt:lpwstr>_Toc360710978</vt:lpwstr>
      </vt:variant>
      <vt:variant>
        <vt:i4>1114171</vt:i4>
      </vt:variant>
      <vt:variant>
        <vt:i4>446</vt:i4>
      </vt:variant>
      <vt:variant>
        <vt:i4>0</vt:i4>
      </vt:variant>
      <vt:variant>
        <vt:i4>5</vt:i4>
      </vt:variant>
      <vt:variant>
        <vt:lpwstr/>
      </vt:variant>
      <vt:variant>
        <vt:lpwstr>_Toc360710977</vt:lpwstr>
      </vt:variant>
      <vt:variant>
        <vt:i4>1114171</vt:i4>
      </vt:variant>
      <vt:variant>
        <vt:i4>440</vt:i4>
      </vt:variant>
      <vt:variant>
        <vt:i4>0</vt:i4>
      </vt:variant>
      <vt:variant>
        <vt:i4>5</vt:i4>
      </vt:variant>
      <vt:variant>
        <vt:lpwstr/>
      </vt:variant>
      <vt:variant>
        <vt:lpwstr>_Toc360710976</vt:lpwstr>
      </vt:variant>
      <vt:variant>
        <vt:i4>1114171</vt:i4>
      </vt:variant>
      <vt:variant>
        <vt:i4>434</vt:i4>
      </vt:variant>
      <vt:variant>
        <vt:i4>0</vt:i4>
      </vt:variant>
      <vt:variant>
        <vt:i4>5</vt:i4>
      </vt:variant>
      <vt:variant>
        <vt:lpwstr/>
      </vt:variant>
      <vt:variant>
        <vt:lpwstr>_Toc360710975</vt:lpwstr>
      </vt:variant>
      <vt:variant>
        <vt:i4>1114171</vt:i4>
      </vt:variant>
      <vt:variant>
        <vt:i4>428</vt:i4>
      </vt:variant>
      <vt:variant>
        <vt:i4>0</vt:i4>
      </vt:variant>
      <vt:variant>
        <vt:i4>5</vt:i4>
      </vt:variant>
      <vt:variant>
        <vt:lpwstr/>
      </vt:variant>
      <vt:variant>
        <vt:lpwstr>_Toc360710974</vt:lpwstr>
      </vt:variant>
      <vt:variant>
        <vt:i4>1114171</vt:i4>
      </vt:variant>
      <vt:variant>
        <vt:i4>422</vt:i4>
      </vt:variant>
      <vt:variant>
        <vt:i4>0</vt:i4>
      </vt:variant>
      <vt:variant>
        <vt:i4>5</vt:i4>
      </vt:variant>
      <vt:variant>
        <vt:lpwstr/>
      </vt:variant>
      <vt:variant>
        <vt:lpwstr>_Toc360710973</vt:lpwstr>
      </vt:variant>
      <vt:variant>
        <vt:i4>1114171</vt:i4>
      </vt:variant>
      <vt:variant>
        <vt:i4>416</vt:i4>
      </vt:variant>
      <vt:variant>
        <vt:i4>0</vt:i4>
      </vt:variant>
      <vt:variant>
        <vt:i4>5</vt:i4>
      </vt:variant>
      <vt:variant>
        <vt:lpwstr/>
      </vt:variant>
      <vt:variant>
        <vt:lpwstr>_Toc360710972</vt:lpwstr>
      </vt:variant>
      <vt:variant>
        <vt:i4>1114171</vt:i4>
      </vt:variant>
      <vt:variant>
        <vt:i4>410</vt:i4>
      </vt:variant>
      <vt:variant>
        <vt:i4>0</vt:i4>
      </vt:variant>
      <vt:variant>
        <vt:i4>5</vt:i4>
      </vt:variant>
      <vt:variant>
        <vt:lpwstr/>
      </vt:variant>
      <vt:variant>
        <vt:lpwstr>_Toc360710971</vt:lpwstr>
      </vt:variant>
      <vt:variant>
        <vt:i4>1114171</vt:i4>
      </vt:variant>
      <vt:variant>
        <vt:i4>404</vt:i4>
      </vt:variant>
      <vt:variant>
        <vt:i4>0</vt:i4>
      </vt:variant>
      <vt:variant>
        <vt:i4>5</vt:i4>
      </vt:variant>
      <vt:variant>
        <vt:lpwstr/>
      </vt:variant>
      <vt:variant>
        <vt:lpwstr>_Toc360710970</vt:lpwstr>
      </vt:variant>
      <vt:variant>
        <vt:i4>1048635</vt:i4>
      </vt:variant>
      <vt:variant>
        <vt:i4>398</vt:i4>
      </vt:variant>
      <vt:variant>
        <vt:i4>0</vt:i4>
      </vt:variant>
      <vt:variant>
        <vt:i4>5</vt:i4>
      </vt:variant>
      <vt:variant>
        <vt:lpwstr/>
      </vt:variant>
      <vt:variant>
        <vt:lpwstr>_Toc360710969</vt:lpwstr>
      </vt:variant>
      <vt:variant>
        <vt:i4>1048635</vt:i4>
      </vt:variant>
      <vt:variant>
        <vt:i4>392</vt:i4>
      </vt:variant>
      <vt:variant>
        <vt:i4>0</vt:i4>
      </vt:variant>
      <vt:variant>
        <vt:i4>5</vt:i4>
      </vt:variant>
      <vt:variant>
        <vt:lpwstr/>
      </vt:variant>
      <vt:variant>
        <vt:lpwstr>_Toc360710968</vt:lpwstr>
      </vt:variant>
      <vt:variant>
        <vt:i4>1048635</vt:i4>
      </vt:variant>
      <vt:variant>
        <vt:i4>386</vt:i4>
      </vt:variant>
      <vt:variant>
        <vt:i4>0</vt:i4>
      </vt:variant>
      <vt:variant>
        <vt:i4>5</vt:i4>
      </vt:variant>
      <vt:variant>
        <vt:lpwstr/>
      </vt:variant>
      <vt:variant>
        <vt:lpwstr>_Toc360710967</vt:lpwstr>
      </vt:variant>
      <vt:variant>
        <vt:i4>1048635</vt:i4>
      </vt:variant>
      <vt:variant>
        <vt:i4>380</vt:i4>
      </vt:variant>
      <vt:variant>
        <vt:i4>0</vt:i4>
      </vt:variant>
      <vt:variant>
        <vt:i4>5</vt:i4>
      </vt:variant>
      <vt:variant>
        <vt:lpwstr/>
      </vt:variant>
      <vt:variant>
        <vt:lpwstr>_Toc360710966</vt:lpwstr>
      </vt:variant>
      <vt:variant>
        <vt:i4>1048635</vt:i4>
      </vt:variant>
      <vt:variant>
        <vt:i4>374</vt:i4>
      </vt:variant>
      <vt:variant>
        <vt:i4>0</vt:i4>
      </vt:variant>
      <vt:variant>
        <vt:i4>5</vt:i4>
      </vt:variant>
      <vt:variant>
        <vt:lpwstr/>
      </vt:variant>
      <vt:variant>
        <vt:lpwstr>_Toc360710965</vt:lpwstr>
      </vt:variant>
      <vt:variant>
        <vt:i4>1048635</vt:i4>
      </vt:variant>
      <vt:variant>
        <vt:i4>368</vt:i4>
      </vt:variant>
      <vt:variant>
        <vt:i4>0</vt:i4>
      </vt:variant>
      <vt:variant>
        <vt:i4>5</vt:i4>
      </vt:variant>
      <vt:variant>
        <vt:lpwstr/>
      </vt:variant>
      <vt:variant>
        <vt:lpwstr>_Toc360710964</vt:lpwstr>
      </vt:variant>
      <vt:variant>
        <vt:i4>1048635</vt:i4>
      </vt:variant>
      <vt:variant>
        <vt:i4>362</vt:i4>
      </vt:variant>
      <vt:variant>
        <vt:i4>0</vt:i4>
      </vt:variant>
      <vt:variant>
        <vt:i4>5</vt:i4>
      </vt:variant>
      <vt:variant>
        <vt:lpwstr/>
      </vt:variant>
      <vt:variant>
        <vt:lpwstr>_Toc360710963</vt:lpwstr>
      </vt:variant>
      <vt:variant>
        <vt:i4>1048635</vt:i4>
      </vt:variant>
      <vt:variant>
        <vt:i4>356</vt:i4>
      </vt:variant>
      <vt:variant>
        <vt:i4>0</vt:i4>
      </vt:variant>
      <vt:variant>
        <vt:i4>5</vt:i4>
      </vt:variant>
      <vt:variant>
        <vt:lpwstr/>
      </vt:variant>
      <vt:variant>
        <vt:lpwstr>_Toc360710962</vt:lpwstr>
      </vt:variant>
      <vt:variant>
        <vt:i4>1048635</vt:i4>
      </vt:variant>
      <vt:variant>
        <vt:i4>350</vt:i4>
      </vt:variant>
      <vt:variant>
        <vt:i4>0</vt:i4>
      </vt:variant>
      <vt:variant>
        <vt:i4>5</vt:i4>
      </vt:variant>
      <vt:variant>
        <vt:lpwstr/>
      </vt:variant>
      <vt:variant>
        <vt:lpwstr>_Toc360710961</vt:lpwstr>
      </vt:variant>
      <vt:variant>
        <vt:i4>1048635</vt:i4>
      </vt:variant>
      <vt:variant>
        <vt:i4>344</vt:i4>
      </vt:variant>
      <vt:variant>
        <vt:i4>0</vt:i4>
      </vt:variant>
      <vt:variant>
        <vt:i4>5</vt:i4>
      </vt:variant>
      <vt:variant>
        <vt:lpwstr/>
      </vt:variant>
      <vt:variant>
        <vt:lpwstr>_Toc360710960</vt:lpwstr>
      </vt:variant>
      <vt:variant>
        <vt:i4>1245243</vt:i4>
      </vt:variant>
      <vt:variant>
        <vt:i4>338</vt:i4>
      </vt:variant>
      <vt:variant>
        <vt:i4>0</vt:i4>
      </vt:variant>
      <vt:variant>
        <vt:i4>5</vt:i4>
      </vt:variant>
      <vt:variant>
        <vt:lpwstr/>
      </vt:variant>
      <vt:variant>
        <vt:lpwstr>_Toc360710959</vt:lpwstr>
      </vt:variant>
      <vt:variant>
        <vt:i4>1245243</vt:i4>
      </vt:variant>
      <vt:variant>
        <vt:i4>332</vt:i4>
      </vt:variant>
      <vt:variant>
        <vt:i4>0</vt:i4>
      </vt:variant>
      <vt:variant>
        <vt:i4>5</vt:i4>
      </vt:variant>
      <vt:variant>
        <vt:lpwstr/>
      </vt:variant>
      <vt:variant>
        <vt:lpwstr>_Toc360710958</vt:lpwstr>
      </vt:variant>
      <vt:variant>
        <vt:i4>1245243</vt:i4>
      </vt:variant>
      <vt:variant>
        <vt:i4>326</vt:i4>
      </vt:variant>
      <vt:variant>
        <vt:i4>0</vt:i4>
      </vt:variant>
      <vt:variant>
        <vt:i4>5</vt:i4>
      </vt:variant>
      <vt:variant>
        <vt:lpwstr/>
      </vt:variant>
      <vt:variant>
        <vt:lpwstr>_Toc360710957</vt:lpwstr>
      </vt:variant>
      <vt:variant>
        <vt:i4>1245243</vt:i4>
      </vt:variant>
      <vt:variant>
        <vt:i4>320</vt:i4>
      </vt:variant>
      <vt:variant>
        <vt:i4>0</vt:i4>
      </vt:variant>
      <vt:variant>
        <vt:i4>5</vt:i4>
      </vt:variant>
      <vt:variant>
        <vt:lpwstr/>
      </vt:variant>
      <vt:variant>
        <vt:lpwstr>_Toc360710956</vt:lpwstr>
      </vt:variant>
      <vt:variant>
        <vt:i4>1245243</vt:i4>
      </vt:variant>
      <vt:variant>
        <vt:i4>314</vt:i4>
      </vt:variant>
      <vt:variant>
        <vt:i4>0</vt:i4>
      </vt:variant>
      <vt:variant>
        <vt:i4>5</vt:i4>
      </vt:variant>
      <vt:variant>
        <vt:lpwstr/>
      </vt:variant>
      <vt:variant>
        <vt:lpwstr>_Toc360710955</vt:lpwstr>
      </vt:variant>
      <vt:variant>
        <vt:i4>1245243</vt:i4>
      </vt:variant>
      <vt:variant>
        <vt:i4>308</vt:i4>
      </vt:variant>
      <vt:variant>
        <vt:i4>0</vt:i4>
      </vt:variant>
      <vt:variant>
        <vt:i4>5</vt:i4>
      </vt:variant>
      <vt:variant>
        <vt:lpwstr/>
      </vt:variant>
      <vt:variant>
        <vt:lpwstr>_Toc360710954</vt:lpwstr>
      </vt:variant>
      <vt:variant>
        <vt:i4>1245243</vt:i4>
      </vt:variant>
      <vt:variant>
        <vt:i4>302</vt:i4>
      </vt:variant>
      <vt:variant>
        <vt:i4>0</vt:i4>
      </vt:variant>
      <vt:variant>
        <vt:i4>5</vt:i4>
      </vt:variant>
      <vt:variant>
        <vt:lpwstr/>
      </vt:variant>
      <vt:variant>
        <vt:lpwstr>_Toc360710953</vt:lpwstr>
      </vt:variant>
      <vt:variant>
        <vt:i4>1245243</vt:i4>
      </vt:variant>
      <vt:variant>
        <vt:i4>296</vt:i4>
      </vt:variant>
      <vt:variant>
        <vt:i4>0</vt:i4>
      </vt:variant>
      <vt:variant>
        <vt:i4>5</vt:i4>
      </vt:variant>
      <vt:variant>
        <vt:lpwstr/>
      </vt:variant>
      <vt:variant>
        <vt:lpwstr>_Toc360710952</vt:lpwstr>
      </vt:variant>
      <vt:variant>
        <vt:i4>1245243</vt:i4>
      </vt:variant>
      <vt:variant>
        <vt:i4>290</vt:i4>
      </vt:variant>
      <vt:variant>
        <vt:i4>0</vt:i4>
      </vt:variant>
      <vt:variant>
        <vt:i4>5</vt:i4>
      </vt:variant>
      <vt:variant>
        <vt:lpwstr/>
      </vt:variant>
      <vt:variant>
        <vt:lpwstr>_Toc360710951</vt:lpwstr>
      </vt:variant>
      <vt:variant>
        <vt:i4>1245243</vt:i4>
      </vt:variant>
      <vt:variant>
        <vt:i4>284</vt:i4>
      </vt:variant>
      <vt:variant>
        <vt:i4>0</vt:i4>
      </vt:variant>
      <vt:variant>
        <vt:i4>5</vt:i4>
      </vt:variant>
      <vt:variant>
        <vt:lpwstr/>
      </vt:variant>
      <vt:variant>
        <vt:lpwstr>_Toc360710950</vt:lpwstr>
      </vt:variant>
      <vt:variant>
        <vt:i4>1179707</vt:i4>
      </vt:variant>
      <vt:variant>
        <vt:i4>278</vt:i4>
      </vt:variant>
      <vt:variant>
        <vt:i4>0</vt:i4>
      </vt:variant>
      <vt:variant>
        <vt:i4>5</vt:i4>
      </vt:variant>
      <vt:variant>
        <vt:lpwstr/>
      </vt:variant>
      <vt:variant>
        <vt:lpwstr>_Toc360710949</vt:lpwstr>
      </vt:variant>
      <vt:variant>
        <vt:i4>1179707</vt:i4>
      </vt:variant>
      <vt:variant>
        <vt:i4>272</vt:i4>
      </vt:variant>
      <vt:variant>
        <vt:i4>0</vt:i4>
      </vt:variant>
      <vt:variant>
        <vt:i4>5</vt:i4>
      </vt:variant>
      <vt:variant>
        <vt:lpwstr/>
      </vt:variant>
      <vt:variant>
        <vt:lpwstr>_Toc360710948</vt:lpwstr>
      </vt:variant>
      <vt:variant>
        <vt:i4>1179707</vt:i4>
      </vt:variant>
      <vt:variant>
        <vt:i4>266</vt:i4>
      </vt:variant>
      <vt:variant>
        <vt:i4>0</vt:i4>
      </vt:variant>
      <vt:variant>
        <vt:i4>5</vt:i4>
      </vt:variant>
      <vt:variant>
        <vt:lpwstr/>
      </vt:variant>
      <vt:variant>
        <vt:lpwstr>_Toc360710947</vt:lpwstr>
      </vt:variant>
      <vt:variant>
        <vt:i4>1179707</vt:i4>
      </vt:variant>
      <vt:variant>
        <vt:i4>260</vt:i4>
      </vt:variant>
      <vt:variant>
        <vt:i4>0</vt:i4>
      </vt:variant>
      <vt:variant>
        <vt:i4>5</vt:i4>
      </vt:variant>
      <vt:variant>
        <vt:lpwstr/>
      </vt:variant>
      <vt:variant>
        <vt:lpwstr>_Toc360710946</vt:lpwstr>
      </vt:variant>
      <vt:variant>
        <vt:i4>1179707</vt:i4>
      </vt:variant>
      <vt:variant>
        <vt:i4>254</vt:i4>
      </vt:variant>
      <vt:variant>
        <vt:i4>0</vt:i4>
      </vt:variant>
      <vt:variant>
        <vt:i4>5</vt:i4>
      </vt:variant>
      <vt:variant>
        <vt:lpwstr/>
      </vt:variant>
      <vt:variant>
        <vt:lpwstr>_Toc360710945</vt:lpwstr>
      </vt:variant>
      <vt:variant>
        <vt:i4>1179707</vt:i4>
      </vt:variant>
      <vt:variant>
        <vt:i4>248</vt:i4>
      </vt:variant>
      <vt:variant>
        <vt:i4>0</vt:i4>
      </vt:variant>
      <vt:variant>
        <vt:i4>5</vt:i4>
      </vt:variant>
      <vt:variant>
        <vt:lpwstr/>
      </vt:variant>
      <vt:variant>
        <vt:lpwstr>_Toc360710944</vt:lpwstr>
      </vt:variant>
      <vt:variant>
        <vt:i4>1179707</vt:i4>
      </vt:variant>
      <vt:variant>
        <vt:i4>242</vt:i4>
      </vt:variant>
      <vt:variant>
        <vt:i4>0</vt:i4>
      </vt:variant>
      <vt:variant>
        <vt:i4>5</vt:i4>
      </vt:variant>
      <vt:variant>
        <vt:lpwstr/>
      </vt:variant>
      <vt:variant>
        <vt:lpwstr>_Toc360710943</vt:lpwstr>
      </vt:variant>
      <vt:variant>
        <vt:i4>1179707</vt:i4>
      </vt:variant>
      <vt:variant>
        <vt:i4>236</vt:i4>
      </vt:variant>
      <vt:variant>
        <vt:i4>0</vt:i4>
      </vt:variant>
      <vt:variant>
        <vt:i4>5</vt:i4>
      </vt:variant>
      <vt:variant>
        <vt:lpwstr/>
      </vt:variant>
      <vt:variant>
        <vt:lpwstr>_Toc360710942</vt:lpwstr>
      </vt:variant>
      <vt:variant>
        <vt:i4>1179707</vt:i4>
      </vt:variant>
      <vt:variant>
        <vt:i4>230</vt:i4>
      </vt:variant>
      <vt:variant>
        <vt:i4>0</vt:i4>
      </vt:variant>
      <vt:variant>
        <vt:i4>5</vt:i4>
      </vt:variant>
      <vt:variant>
        <vt:lpwstr/>
      </vt:variant>
      <vt:variant>
        <vt:lpwstr>_Toc360710941</vt:lpwstr>
      </vt:variant>
      <vt:variant>
        <vt:i4>1179707</vt:i4>
      </vt:variant>
      <vt:variant>
        <vt:i4>224</vt:i4>
      </vt:variant>
      <vt:variant>
        <vt:i4>0</vt:i4>
      </vt:variant>
      <vt:variant>
        <vt:i4>5</vt:i4>
      </vt:variant>
      <vt:variant>
        <vt:lpwstr/>
      </vt:variant>
      <vt:variant>
        <vt:lpwstr>_Toc360710940</vt:lpwstr>
      </vt:variant>
      <vt:variant>
        <vt:i4>1376315</vt:i4>
      </vt:variant>
      <vt:variant>
        <vt:i4>218</vt:i4>
      </vt:variant>
      <vt:variant>
        <vt:i4>0</vt:i4>
      </vt:variant>
      <vt:variant>
        <vt:i4>5</vt:i4>
      </vt:variant>
      <vt:variant>
        <vt:lpwstr/>
      </vt:variant>
      <vt:variant>
        <vt:lpwstr>_Toc360710939</vt:lpwstr>
      </vt:variant>
      <vt:variant>
        <vt:i4>1376315</vt:i4>
      </vt:variant>
      <vt:variant>
        <vt:i4>212</vt:i4>
      </vt:variant>
      <vt:variant>
        <vt:i4>0</vt:i4>
      </vt:variant>
      <vt:variant>
        <vt:i4>5</vt:i4>
      </vt:variant>
      <vt:variant>
        <vt:lpwstr/>
      </vt:variant>
      <vt:variant>
        <vt:lpwstr>_Toc360710938</vt:lpwstr>
      </vt:variant>
      <vt:variant>
        <vt:i4>1376315</vt:i4>
      </vt:variant>
      <vt:variant>
        <vt:i4>206</vt:i4>
      </vt:variant>
      <vt:variant>
        <vt:i4>0</vt:i4>
      </vt:variant>
      <vt:variant>
        <vt:i4>5</vt:i4>
      </vt:variant>
      <vt:variant>
        <vt:lpwstr/>
      </vt:variant>
      <vt:variant>
        <vt:lpwstr>_Toc360710937</vt:lpwstr>
      </vt:variant>
      <vt:variant>
        <vt:i4>1376315</vt:i4>
      </vt:variant>
      <vt:variant>
        <vt:i4>200</vt:i4>
      </vt:variant>
      <vt:variant>
        <vt:i4>0</vt:i4>
      </vt:variant>
      <vt:variant>
        <vt:i4>5</vt:i4>
      </vt:variant>
      <vt:variant>
        <vt:lpwstr/>
      </vt:variant>
      <vt:variant>
        <vt:lpwstr>_Toc360710936</vt:lpwstr>
      </vt:variant>
      <vt:variant>
        <vt:i4>1376315</vt:i4>
      </vt:variant>
      <vt:variant>
        <vt:i4>194</vt:i4>
      </vt:variant>
      <vt:variant>
        <vt:i4>0</vt:i4>
      </vt:variant>
      <vt:variant>
        <vt:i4>5</vt:i4>
      </vt:variant>
      <vt:variant>
        <vt:lpwstr/>
      </vt:variant>
      <vt:variant>
        <vt:lpwstr>_Toc360710935</vt:lpwstr>
      </vt:variant>
      <vt:variant>
        <vt:i4>1376315</vt:i4>
      </vt:variant>
      <vt:variant>
        <vt:i4>188</vt:i4>
      </vt:variant>
      <vt:variant>
        <vt:i4>0</vt:i4>
      </vt:variant>
      <vt:variant>
        <vt:i4>5</vt:i4>
      </vt:variant>
      <vt:variant>
        <vt:lpwstr/>
      </vt:variant>
      <vt:variant>
        <vt:lpwstr>_Toc360710934</vt:lpwstr>
      </vt:variant>
      <vt:variant>
        <vt:i4>1376315</vt:i4>
      </vt:variant>
      <vt:variant>
        <vt:i4>182</vt:i4>
      </vt:variant>
      <vt:variant>
        <vt:i4>0</vt:i4>
      </vt:variant>
      <vt:variant>
        <vt:i4>5</vt:i4>
      </vt:variant>
      <vt:variant>
        <vt:lpwstr/>
      </vt:variant>
      <vt:variant>
        <vt:lpwstr>_Toc360710933</vt:lpwstr>
      </vt:variant>
      <vt:variant>
        <vt:i4>1376315</vt:i4>
      </vt:variant>
      <vt:variant>
        <vt:i4>176</vt:i4>
      </vt:variant>
      <vt:variant>
        <vt:i4>0</vt:i4>
      </vt:variant>
      <vt:variant>
        <vt:i4>5</vt:i4>
      </vt:variant>
      <vt:variant>
        <vt:lpwstr/>
      </vt:variant>
      <vt:variant>
        <vt:lpwstr>_Toc360710932</vt:lpwstr>
      </vt:variant>
      <vt:variant>
        <vt:i4>1376315</vt:i4>
      </vt:variant>
      <vt:variant>
        <vt:i4>170</vt:i4>
      </vt:variant>
      <vt:variant>
        <vt:i4>0</vt:i4>
      </vt:variant>
      <vt:variant>
        <vt:i4>5</vt:i4>
      </vt:variant>
      <vt:variant>
        <vt:lpwstr/>
      </vt:variant>
      <vt:variant>
        <vt:lpwstr>_Toc360710931</vt:lpwstr>
      </vt:variant>
      <vt:variant>
        <vt:i4>1376315</vt:i4>
      </vt:variant>
      <vt:variant>
        <vt:i4>164</vt:i4>
      </vt:variant>
      <vt:variant>
        <vt:i4>0</vt:i4>
      </vt:variant>
      <vt:variant>
        <vt:i4>5</vt:i4>
      </vt:variant>
      <vt:variant>
        <vt:lpwstr/>
      </vt:variant>
      <vt:variant>
        <vt:lpwstr>_Toc360710930</vt:lpwstr>
      </vt:variant>
      <vt:variant>
        <vt:i4>1310779</vt:i4>
      </vt:variant>
      <vt:variant>
        <vt:i4>158</vt:i4>
      </vt:variant>
      <vt:variant>
        <vt:i4>0</vt:i4>
      </vt:variant>
      <vt:variant>
        <vt:i4>5</vt:i4>
      </vt:variant>
      <vt:variant>
        <vt:lpwstr/>
      </vt:variant>
      <vt:variant>
        <vt:lpwstr>_Toc360710929</vt:lpwstr>
      </vt:variant>
      <vt:variant>
        <vt:i4>1310779</vt:i4>
      </vt:variant>
      <vt:variant>
        <vt:i4>152</vt:i4>
      </vt:variant>
      <vt:variant>
        <vt:i4>0</vt:i4>
      </vt:variant>
      <vt:variant>
        <vt:i4>5</vt:i4>
      </vt:variant>
      <vt:variant>
        <vt:lpwstr/>
      </vt:variant>
      <vt:variant>
        <vt:lpwstr>_Toc360710928</vt:lpwstr>
      </vt:variant>
      <vt:variant>
        <vt:i4>1310779</vt:i4>
      </vt:variant>
      <vt:variant>
        <vt:i4>146</vt:i4>
      </vt:variant>
      <vt:variant>
        <vt:i4>0</vt:i4>
      </vt:variant>
      <vt:variant>
        <vt:i4>5</vt:i4>
      </vt:variant>
      <vt:variant>
        <vt:lpwstr/>
      </vt:variant>
      <vt:variant>
        <vt:lpwstr>_Toc360710927</vt:lpwstr>
      </vt:variant>
      <vt:variant>
        <vt:i4>1310779</vt:i4>
      </vt:variant>
      <vt:variant>
        <vt:i4>140</vt:i4>
      </vt:variant>
      <vt:variant>
        <vt:i4>0</vt:i4>
      </vt:variant>
      <vt:variant>
        <vt:i4>5</vt:i4>
      </vt:variant>
      <vt:variant>
        <vt:lpwstr/>
      </vt:variant>
      <vt:variant>
        <vt:lpwstr>_Toc360710926</vt:lpwstr>
      </vt:variant>
      <vt:variant>
        <vt:i4>1310779</vt:i4>
      </vt:variant>
      <vt:variant>
        <vt:i4>134</vt:i4>
      </vt:variant>
      <vt:variant>
        <vt:i4>0</vt:i4>
      </vt:variant>
      <vt:variant>
        <vt:i4>5</vt:i4>
      </vt:variant>
      <vt:variant>
        <vt:lpwstr/>
      </vt:variant>
      <vt:variant>
        <vt:lpwstr>_Toc360710925</vt:lpwstr>
      </vt:variant>
      <vt:variant>
        <vt:i4>1310779</vt:i4>
      </vt:variant>
      <vt:variant>
        <vt:i4>128</vt:i4>
      </vt:variant>
      <vt:variant>
        <vt:i4>0</vt:i4>
      </vt:variant>
      <vt:variant>
        <vt:i4>5</vt:i4>
      </vt:variant>
      <vt:variant>
        <vt:lpwstr/>
      </vt:variant>
      <vt:variant>
        <vt:lpwstr>_Toc360710924</vt:lpwstr>
      </vt:variant>
      <vt:variant>
        <vt:i4>1310779</vt:i4>
      </vt:variant>
      <vt:variant>
        <vt:i4>122</vt:i4>
      </vt:variant>
      <vt:variant>
        <vt:i4>0</vt:i4>
      </vt:variant>
      <vt:variant>
        <vt:i4>5</vt:i4>
      </vt:variant>
      <vt:variant>
        <vt:lpwstr/>
      </vt:variant>
      <vt:variant>
        <vt:lpwstr>_Toc360710923</vt:lpwstr>
      </vt:variant>
      <vt:variant>
        <vt:i4>1310779</vt:i4>
      </vt:variant>
      <vt:variant>
        <vt:i4>116</vt:i4>
      </vt:variant>
      <vt:variant>
        <vt:i4>0</vt:i4>
      </vt:variant>
      <vt:variant>
        <vt:i4>5</vt:i4>
      </vt:variant>
      <vt:variant>
        <vt:lpwstr/>
      </vt:variant>
      <vt:variant>
        <vt:lpwstr>_Toc360710922</vt:lpwstr>
      </vt:variant>
      <vt:variant>
        <vt:i4>1310779</vt:i4>
      </vt:variant>
      <vt:variant>
        <vt:i4>110</vt:i4>
      </vt:variant>
      <vt:variant>
        <vt:i4>0</vt:i4>
      </vt:variant>
      <vt:variant>
        <vt:i4>5</vt:i4>
      </vt:variant>
      <vt:variant>
        <vt:lpwstr/>
      </vt:variant>
      <vt:variant>
        <vt:lpwstr>_Toc360710921</vt:lpwstr>
      </vt:variant>
      <vt:variant>
        <vt:i4>1310779</vt:i4>
      </vt:variant>
      <vt:variant>
        <vt:i4>104</vt:i4>
      </vt:variant>
      <vt:variant>
        <vt:i4>0</vt:i4>
      </vt:variant>
      <vt:variant>
        <vt:i4>5</vt:i4>
      </vt:variant>
      <vt:variant>
        <vt:lpwstr/>
      </vt:variant>
      <vt:variant>
        <vt:lpwstr>_Toc360710920</vt:lpwstr>
      </vt:variant>
      <vt:variant>
        <vt:i4>1507387</vt:i4>
      </vt:variant>
      <vt:variant>
        <vt:i4>98</vt:i4>
      </vt:variant>
      <vt:variant>
        <vt:i4>0</vt:i4>
      </vt:variant>
      <vt:variant>
        <vt:i4>5</vt:i4>
      </vt:variant>
      <vt:variant>
        <vt:lpwstr/>
      </vt:variant>
      <vt:variant>
        <vt:lpwstr>_Toc360710919</vt:lpwstr>
      </vt:variant>
      <vt:variant>
        <vt:i4>1507387</vt:i4>
      </vt:variant>
      <vt:variant>
        <vt:i4>92</vt:i4>
      </vt:variant>
      <vt:variant>
        <vt:i4>0</vt:i4>
      </vt:variant>
      <vt:variant>
        <vt:i4>5</vt:i4>
      </vt:variant>
      <vt:variant>
        <vt:lpwstr/>
      </vt:variant>
      <vt:variant>
        <vt:lpwstr>_Toc360710918</vt:lpwstr>
      </vt:variant>
      <vt:variant>
        <vt:i4>1507387</vt:i4>
      </vt:variant>
      <vt:variant>
        <vt:i4>86</vt:i4>
      </vt:variant>
      <vt:variant>
        <vt:i4>0</vt:i4>
      </vt:variant>
      <vt:variant>
        <vt:i4>5</vt:i4>
      </vt:variant>
      <vt:variant>
        <vt:lpwstr/>
      </vt:variant>
      <vt:variant>
        <vt:lpwstr>_Toc360710917</vt:lpwstr>
      </vt:variant>
      <vt:variant>
        <vt:i4>1507387</vt:i4>
      </vt:variant>
      <vt:variant>
        <vt:i4>80</vt:i4>
      </vt:variant>
      <vt:variant>
        <vt:i4>0</vt:i4>
      </vt:variant>
      <vt:variant>
        <vt:i4>5</vt:i4>
      </vt:variant>
      <vt:variant>
        <vt:lpwstr/>
      </vt:variant>
      <vt:variant>
        <vt:lpwstr>_Toc360710916</vt:lpwstr>
      </vt:variant>
      <vt:variant>
        <vt:i4>1507387</vt:i4>
      </vt:variant>
      <vt:variant>
        <vt:i4>74</vt:i4>
      </vt:variant>
      <vt:variant>
        <vt:i4>0</vt:i4>
      </vt:variant>
      <vt:variant>
        <vt:i4>5</vt:i4>
      </vt:variant>
      <vt:variant>
        <vt:lpwstr/>
      </vt:variant>
      <vt:variant>
        <vt:lpwstr>_Toc360710915</vt:lpwstr>
      </vt:variant>
      <vt:variant>
        <vt:i4>1507387</vt:i4>
      </vt:variant>
      <vt:variant>
        <vt:i4>68</vt:i4>
      </vt:variant>
      <vt:variant>
        <vt:i4>0</vt:i4>
      </vt:variant>
      <vt:variant>
        <vt:i4>5</vt:i4>
      </vt:variant>
      <vt:variant>
        <vt:lpwstr/>
      </vt:variant>
      <vt:variant>
        <vt:lpwstr>_Toc360710914</vt:lpwstr>
      </vt:variant>
      <vt:variant>
        <vt:i4>1507387</vt:i4>
      </vt:variant>
      <vt:variant>
        <vt:i4>62</vt:i4>
      </vt:variant>
      <vt:variant>
        <vt:i4>0</vt:i4>
      </vt:variant>
      <vt:variant>
        <vt:i4>5</vt:i4>
      </vt:variant>
      <vt:variant>
        <vt:lpwstr/>
      </vt:variant>
      <vt:variant>
        <vt:lpwstr>_Toc360710913</vt:lpwstr>
      </vt:variant>
      <vt:variant>
        <vt:i4>1507387</vt:i4>
      </vt:variant>
      <vt:variant>
        <vt:i4>56</vt:i4>
      </vt:variant>
      <vt:variant>
        <vt:i4>0</vt:i4>
      </vt:variant>
      <vt:variant>
        <vt:i4>5</vt:i4>
      </vt:variant>
      <vt:variant>
        <vt:lpwstr/>
      </vt:variant>
      <vt:variant>
        <vt:lpwstr>_Toc360710912</vt:lpwstr>
      </vt:variant>
      <vt:variant>
        <vt:i4>1507387</vt:i4>
      </vt:variant>
      <vt:variant>
        <vt:i4>50</vt:i4>
      </vt:variant>
      <vt:variant>
        <vt:i4>0</vt:i4>
      </vt:variant>
      <vt:variant>
        <vt:i4>5</vt:i4>
      </vt:variant>
      <vt:variant>
        <vt:lpwstr/>
      </vt:variant>
      <vt:variant>
        <vt:lpwstr>_Toc360710911</vt:lpwstr>
      </vt:variant>
      <vt:variant>
        <vt:i4>1507387</vt:i4>
      </vt:variant>
      <vt:variant>
        <vt:i4>44</vt:i4>
      </vt:variant>
      <vt:variant>
        <vt:i4>0</vt:i4>
      </vt:variant>
      <vt:variant>
        <vt:i4>5</vt:i4>
      </vt:variant>
      <vt:variant>
        <vt:lpwstr/>
      </vt:variant>
      <vt:variant>
        <vt:lpwstr>_Toc360710910</vt:lpwstr>
      </vt:variant>
      <vt:variant>
        <vt:i4>1441851</vt:i4>
      </vt:variant>
      <vt:variant>
        <vt:i4>38</vt:i4>
      </vt:variant>
      <vt:variant>
        <vt:i4>0</vt:i4>
      </vt:variant>
      <vt:variant>
        <vt:i4>5</vt:i4>
      </vt:variant>
      <vt:variant>
        <vt:lpwstr/>
      </vt:variant>
      <vt:variant>
        <vt:lpwstr>_Toc360710909</vt:lpwstr>
      </vt:variant>
      <vt:variant>
        <vt:i4>1441851</vt:i4>
      </vt:variant>
      <vt:variant>
        <vt:i4>32</vt:i4>
      </vt:variant>
      <vt:variant>
        <vt:i4>0</vt:i4>
      </vt:variant>
      <vt:variant>
        <vt:i4>5</vt:i4>
      </vt:variant>
      <vt:variant>
        <vt:lpwstr/>
      </vt:variant>
      <vt:variant>
        <vt:lpwstr>_Toc360710908</vt:lpwstr>
      </vt:variant>
      <vt:variant>
        <vt:i4>1441851</vt:i4>
      </vt:variant>
      <vt:variant>
        <vt:i4>26</vt:i4>
      </vt:variant>
      <vt:variant>
        <vt:i4>0</vt:i4>
      </vt:variant>
      <vt:variant>
        <vt:i4>5</vt:i4>
      </vt:variant>
      <vt:variant>
        <vt:lpwstr/>
      </vt:variant>
      <vt:variant>
        <vt:lpwstr>_Toc360710907</vt:lpwstr>
      </vt:variant>
      <vt:variant>
        <vt:i4>1441851</vt:i4>
      </vt:variant>
      <vt:variant>
        <vt:i4>20</vt:i4>
      </vt:variant>
      <vt:variant>
        <vt:i4>0</vt:i4>
      </vt:variant>
      <vt:variant>
        <vt:i4>5</vt:i4>
      </vt:variant>
      <vt:variant>
        <vt:lpwstr/>
      </vt:variant>
      <vt:variant>
        <vt:lpwstr>_Toc360710906</vt:lpwstr>
      </vt:variant>
      <vt:variant>
        <vt:i4>1441851</vt:i4>
      </vt:variant>
      <vt:variant>
        <vt:i4>14</vt:i4>
      </vt:variant>
      <vt:variant>
        <vt:i4>0</vt:i4>
      </vt:variant>
      <vt:variant>
        <vt:i4>5</vt:i4>
      </vt:variant>
      <vt:variant>
        <vt:lpwstr/>
      </vt:variant>
      <vt:variant>
        <vt:lpwstr>_Toc360710905</vt:lpwstr>
      </vt:variant>
      <vt:variant>
        <vt:i4>1441851</vt:i4>
      </vt:variant>
      <vt:variant>
        <vt:i4>8</vt:i4>
      </vt:variant>
      <vt:variant>
        <vt:i4>0</vt:i4>
      </vt:variant>
      <vt:variant>
        <vt:i4>5</vt:i4>
      </vt:variant>
      <vt:variant>
        <vt:lpwstr/>
      </vt:variant>
      <vt:variant>
        <vt:lpwstr>_Toc360710904</vt:lpwstr>
      </vt:variant>
      <vt:variant>
        <vt:i4>1441851</vt:i4>
      </vt:variant>
      <vt:variant>
        <vt:i4>2</vt:i4>
      </vt:variant>
      <vt:variant>
        <vt:i4>0</vt:i4>
      </vt:variant>
      <vt:variant>
        <vt:i4>5</vt:i4>
      </vt:variant>
      <vt:variant>
        <vt:lpwstr/>
      </vt:variant>
      <vt:variant>
        <vt:lpwstr>_Toc360710903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Alice;Chloe Baxter</dc:creator>
  <cp:lastModifiedBy>Williams Shaiyena</cp:lastModifiedBy>
  <cp:revision>107</cp:revision>
  <cp:lastPrinted>2014-05-15T02:36:00Z</cp:lastPrinted>
  <dcterms:created xsi:type="dcterms:W3CDTF">2014-01-15T23:29:00Z</dcterms:created>
  <dcterms:modified xsi:type="dcterms:W3CDTF">2014-06-17T01:41:00Z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