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20" w:rsidRPr="00C04220" w:rsidRDefault="00C04220" w:rsidP="00C04220">
      <w:pPr>
        <w:pStyle w:val="Heading1"/>
        <w:rPr>
          <w:rFonts w:ascii="Arial" w:hAnsi="Arial" w:cs="Arial"/>
          <w:sz w:val="24"/>
          <w:szCs w:val="24"/>
        </w:rPr>
      </w:pPr>
      <w:bookmarkStart w:id="0" w:name="_GoBack"/>
      <w:bookmarkEnd w:id="0"/>
      <w:r w:rsidRPr="00C04220">
        <w:rPr>
          <w:rFonts w:ascii="Arial" w:hAnsi="Arial" w:cs="Arial"/>
          <w:sz w:val="24"/>
          <w:szCs w:val="24"/>
        </w:rPr>
        <w:t>Ratified Minutes August 2013 PBAC Special Meeting</w:t>
      </w:r>
    </w:p>
    <w:p w:rsidR="00C04220" w:rsidRPr="00C04220" w:rsidRDefault="00C04220" w:rsidP="00AB2F89"/>
    <w:p w:rsidR="00C04220" w:rsidRPr="00C04220" w:rsidRDefault="00C04220" w:rsidP="00C04220">
      <w:pPr>
        <w:pStyle w:val="Heading1"/>
        <w:rPr>
          <w:rFonts w:ascii="Arial" w:hAnsi="Arial" w:cs="Arial"/>
          <w:sz w:val="24"/>
          <w:szCs w:val="24"/>
        </w:rPr>
      </w:pPr>
      <w:r w:rsidRPr="00C04220">
        <w:rPr>
          <w:rFonts w:ascii="Arial" w:hAnsi="Arial" w:cs="Arial"/>
          <w:sz w:val="24"/>
          <w:szCs w:val="24"/>
        </w:rPr>
        <w:t>Item 15 - Post-market review of products used in the management of diabetes, Pharmaceutical Policy Branch</w:t>
      </w:r>
    </w:p>
    <w:p w:rsidR="00C04220" w:rsidRPr="00C04220" w:rsidRDefault="00C04220" w:rsidP="00AB2F89"/>
    <w:p w:rsidR="00C04220" w:rsidRPr="00C04220" w:rsidRDefault="00C04220" w:rsidP="00C04220">
      <w:pPr>
        <w:pStyle w:val="Heading1"/>
        <w:rPr>
          <w:rFonts w:ascii="Arial" w:hAnsi="Arial" w:cs="Arial"/>
          <w:sz w:val="24"/>
          <w:szCs w:val="24"/>
        </w:rPr>
      </w:pPr>
      <w:r w:rsidRPr="00C04220">
        <w:rPr>
          <w:rFonts w:ascii="Arial" w:hAnsi="Arial" w:cs="Arial"/>
          <w:sz w:val="24"/>
          <w:szCs w:val="24"/>
        </w:rPr>
        <w:t>Part 1: Blood Glucose Test Strips in People with Type 2 Diabetes Not Using Insulin</w:t>
      </w:r>
    </w:p>
    <w:p w:rsidR="00C04220" w:rsidRPr="003261E3" w:rsidRDefault="00C04220" w:rsidP="00C04220">
      <w:pPr>
        <w:pStyle w:val="MincoHeading"/>
        <w:rPr>
          <w:rFonts w:ascii="Arial" w:hAnsi="Arial" w:cs="Arial"/>
          <w:sz w:val="28"/>
          <w:szCs w:val="28"/>
        </w:rPr>
      </w:pPr>
    </w:p>
    <w:p w:rsidR="00C04220" w:rsidRPr="00C04220" w:rsidRDefault="00C04220" w:rsidP="00C04220">
      <w:pPr>
        <w:pStyle w:val="Heading2"/>
      </w:pPr>
      <w:r w:rsidRPr="00C04220">
        <w:t xml:space="preserve">Purpose of Item </w:t>
      </w:r>
    </w:p>
    <w:p w:rsidR="00C04220" w:rsidRPr="003261E3" w:rsidRDefault="00C04220" w:rsidP="00C04220">
      <w:pPr>
        <w:jc w:val="both"/>
        <w:rPr>
          <w:rFonts w:ascii="Arial" w:hAnsi="Arial" w:cs="Arial"/>
          <w:b/>
          <w:szCs w:val="24"/>
        </w:rPr>
      </w:pPr>
    </w:p>
    <w:p w:rsidR="00C04220" w:rsidRPr="003261E3" w:rsidRDefault="00C04220" w:rsidP="00C04220">
      <w:pPr>
        <w:pStyle w:val="ListParagraph"/>
        <w:numPr>
          <w:ilvl w:val="1"/>
          <w:numId w:val="2"/>
        </w:numPr>
        <w:jc w:val="both"/>
        <w:rPr>
          <w:rFonts w:ascii="Arial" w:hAnsi="Arial" w:cs="Arial"/>
        </w:rPr>
      </w:pPr>
      <w:r w:rsidRPr="003261E3">
        <w:rPr>
          <w:rFonts w:ascii="Arial" w:hAnsi="Arial" w:cs="Arial"/>
        </w:rPr>
        <w:t>The Department  requested the PBAC to:</w:t>
      </w:r>
    </w:p>
    <w:p w:rsidR="00C04220" w:rsidRPr="003261E3" w:rsidRDefault="00C04220" w:rsidP="00C04220">
      <w:pPr>
        <w:pStyle w:val="ListParagraph"/>
        <w:numPr>
          <w:ilvl w:val="0"/>
          <w:numId w:val="4"/>
        </w:numPr>
        <w:jc w:val="both"/>
        <w:rPr>
          <w:rFonts w:ascii="Arial" w:hAnsi="Arial" w:cs="Arial"/>
        </w:rPr>
      </w:pPr>
      <w:r w:rsidRPr="003261E3">
        <w:rPr>
          <w:rFonts w:ascii="Arial" w:hAnsi="Arial" w:cs="Arial"/>
        </w:rPr>
        <w:t>Not</w:t>
      </w:r>
      <w:r w:rsidRPr="003261E3">
        <w:rPr>
          <w:rFonts w:ascii="Arial" w:hAnsi="Arial" w:cs="Arial"/>
          <w:bCs/>
        </w:rPr>
        <w:t>e the final Report</w:t>
      </w:r>
      <w:r>
        <w:rPr>
          <w:rFonts w:ascii="Arial" w:hAnsi="Arial" w:cs="Arial"/>
          <w:bCs/>
        </w:rPr>
        <w:t xml:space="preserve"> </w:t>
      </w:r>
      <w:r w:rsidRPr="003261E3">
        <w:rPr>
          <w:rFonts w:ascii="Arial" w:hAnsi="Arial" w:cs="Arial"/>
          <w:bCs/>
        </w:rPr>
        <w:t xml:space="preserve">for Stage 1 of the </w:t>
      </w:r>
      <w:r>
        <w:rPr>
          <w:rFonts w:ascii="Arial" w:hAnsi="Arial" w:cs="Arial"/>
          <w:bCs/>
        </w:rPr>
        <w:t>“</w:t>
      </w:r>
      <w:r w:rsidRPr="003261E3">
        <w:rPr>
          <w:rFonts w:ascii="Arial" w:hAnsi="Arial" w:cs="Arial"/>
          <w:bCs/>
        </w:rPr>
        <w:t>Post-Market Review of Products Used in the Management of Diabetes</w:t>
      </w:r>
      <w:r>
        <w:rPr>
          <w:rFonts w:ascii="Arial" w:hAnsi="Arial" w:cs="Arial"/>
          <w:bCs/>
        </w:rPr>
        <w:t>”</w:t>
      </w:r>
      <w:r w:rsidRPr="003261E3">
        <w:rPr>
          <w:rFonts w:ascii="Arial" w:hAnsi="Arial" w:cs="Arial"/>
          <w:bCs/>
        </w:rPr>
        <w:t>, wh</w:t>
      </w:r>
      <w:r>
        <w:rPr>
          <w:rFonts w:ascii="Arial" w:hAnsi="Arial" w:cs="Arial"/>
          <w:bCs/>
        </w:rPr>
        <w:t>ich focused</w:t>
      </w:r>
      <w:r w:rsidRPr="003261E3">
        <w:rPr>
          <w:rFonts w:ascii="Arial" w:hAnsi="Arial" w:cs="Arial"/>
          <w:bCs/>
        </w:rPr>
        <w:t xml:space="preserve"> on the use of </w:t>
      </w:r>
      <w:r w:rsidRPr="003261E3">
        <w:rPr>
          <w:rFonts w:ascii="Arial" w:hAnsi="Arial" w:cs="Arial"/>
        </w:rPr>
        <w:t>blood glucose test strips (BGTS) in people with type 2 diabetes not using insulin.</w:t>
      </w:r>
    </w:p>
    <w:p w:rsidR="00C04220" w:rsidRPr="003261E3" w:rsidRDefault="00C04220" w:rsidP="00C04220">
      <w:pPr>
        <w:pStyle w:val="ListParagraph"/>
        <w:numPr>
          <w:ilvl w:val="0"/>
          <w:numId w:val="4"/>
        </w:numPr>
        <w:jc w:val="both"/>
        <w:rPr>
          <w:rFonts w:ascii="Arial" w:hAnsi="Arial" w:cs="Arial"/>
        </w:rPr>
      </w:pPr>
      <w:r w:rsidRPr="003261E3">
        <w:rPr>
          <w:rFonts w:ascii="Arial" w:hAnsi="Arial" w:cs="Arial"/>
        </w:rPr>
        <w:t xml:space="preserve">Note the preference of the </w:t>
      </w:r>
      <w:r w:rsidRPr="003261E3">
        <w:rPr>
          <w:rFonts w:ascii="Arial" w:hAnsi="Arial" w:cs="Arial"/>
          <w:bCs/>
        </w:rPr>
        <w:t xml:space="preserve">Diabetes Review </w:t>
      </w:r>
      <w:r w:rsidRPr="003261E3">
        <w:rPr>
          <w:rFonts w:ascii="Arial" w:hAnsi="Arial" w:cs="Arial"/>
        </w:rPr>
        <w:t xml:space="preserve">Reference Group for Option 2, which provides up to 12 months access to test strips for people with type </w:t>
      </w:r>
      <w:proofErr w:type="gramStart"/>
      <w:r w:rsidRPr="003261E3">
        <w:rPr>
          <w:rFonts w:ascii="Arial" w:hAnsi="Arial" w:cs="Arial"/>
        </w:rPr>
        <w:t>2 diabetes not using insulin who are initiating or changing diabetes management, while maintaining ongoing access for a range of other sub-groups, such as people using insulin</w:t>
      </w:r>
      <w:proofErr w:type="gramEnd"/>
      <w:r>
        <w:rPr>
          <w:rFonts w:ascii="Arial" w:hAnsi="Arial" w:cs="Arial"/>
        </w:rPr>
        <w:t>.</w:t>
      </w:r>
    </w:p>
    <w:p w:rsidR="00C04220" w:rsidRPr="003261E3" w:rsidRDefault="00C04220" w:rsidP="00C04220">
      <w:pPr>
        <w:pStyle w:val="ListParagraph"/>
        <w:numPr>
          <w:ilvl w:val="0"/>
          <w:numId w:val="4"/>
        </w:numPr>
        <w:jc w:val="both"/>
        <w:rPr>
          <w:rFonts w:ascii="Arial" w:hAnsi="Arial" w:cs="Arial"/>
        </w:rPr>
      </w:pPr>
      <w:r w:rsidRPr="003261E3">
        <w:rPr>
          <w:rFonts w:ascii="Arial" w:hAnsi="Arial" w:cs="Arial"/>
        </w:rPr>
        <w:t>P</w:t>
      </w:r>
      <w:r w:rsidRPr="003261E3">
        <w:rPr>
          <w:rFonts w:ascii="Arial" w:hAnsi="Arial" w:cs="Arial"/>
          <w:bCs/>
        </w:rPr>
        <w:t xml:space="preserve">rovide a recommendation considering the options provided in the Report to alter </w:t>
      </w:r>
      <w:r>
        <w:rPr>
          <w:rFonts w:ascii="Arial" w:hAnsi="Arial" w:cs="Arial"/>
          <w:bCs/>
        </w:rPr>
        <w:t>Pharmaceutical Benefits Scheme (</w:t>
      </w:r>
      <w:r w:rsidRPr="003261E3">
        <w:rPr>
          <w:rFonts w:ascii="Arial" w:hAnsi="Arial" w:cs="Arial"/>
          <w:bCs/>
        </w:rPr>
        <w:t>PBS</w:t>
      </w:r>
      <w:r>
        <w:rPr>
          <w:rFonts w:ascii="Arial" w:hAnsi="Arial" w:cs="Arial"/>
          <w:bCs/>
        </w:rPr>
        <w:t>)</w:t>
      </w:r>
      <w:r w:rsidRPr="003261E3">
        <w:rPr>
          <w:rFonts w:ascii="Arial" w:hAnsi="Arial" w:cs="Arial"/>
          <w:bCs/>
        </w:rPr>
        <w:t xml:space="preserve"> restrictions for B</w:t>
      </w:r>
      <w:r>
        <w:rPr>
          <w:rFonts w:ascii="Arial" w:hAnsi="Arial" w:cs="Arial"/>
          <w:bCs/>
        </w:rPr>
        <w:t>GT</w:t>
      </w:r>
      <w:r w:rsidRPr="003261E3">
        <w:rPr>
          <w:rFonts w:ascii="Arial" w:hAnsi="Arial" w:cs="Arial"/>
          <w:bCs/>
        </w:rPr>
        <w:t>S.</w:t>
      </w:r>
    </w:p>
    <w:p w:rsidR="00C04220" w:rsidRPr="003261E3" w:rsidRDefault="00C04220" w:rsidP="00C04220">
      <w:pPr>
        <w:pStyle w:val="MincoHeading"/>
        <w:jc w:val="both"/>
        <w:rPr>
          <w:rFonts w:ascii="Arial" w:hAnsi="Arial" w:cs="Arial"/>
          <w:sz w:val="28"/>
          <w:szCs w:val="28"/>
        </w:rPr>
      </w:pPr>
    </w:p>
    <w:p w:rsidR="00C04220" w:rsidRPr="003261E3" w:rsidRDefault="00C04220" w:rsidP="00C04220">
      <w:pPr>
        <w:jc w:val="both"/>
        <w:rPr>
          <w:rFonts w:ascii="Arial" w:hAnsi="Arial" w:cs="Arial"/>
          <w:b/>
          <w:sz w:val="28"/>
          <w:szCs w:val="28"/>
        </w:rPr>
      </w:pPr>
      <w:r w:rsidRPr="003261E3">
        <w:rPr>
          <w:rFonts w:ascii="Arial" w:hAnsi="Arial" w:cs="Arial"/>
          <w:b/>
          <w:sz w:val="28"/>
          <w:szCs w:val="28"/>
        </w:rPr>
        <w:t>2</w:t>
      </w:r>
      <w:r w:rsidRPr="003261E3">
        <w:rPr>
          <w:rFonts w:ascii="Arial" w:hAnsi="Arial" w:cs="Arial"/>
          <w:b/>
          <w:sz w:val="28"/>
          <w:szCs w:val="28"/>
        </w:rPr>
        <w:tab/>
      </w:r>
      <w:r w:rsidRPr="003A36B4">
        <w:rPr>
          <w:rStyle w:val="Heading2Char"/>
        </w:rPr>
        <w:t>Background</w:t>
      </w:r>
    </w:p>
    <w:p w:rsidR="00C04220" w:rsidRPr="003261E3" w:rsidRDefault="00C04220" w:rsidP="00C04220">
      <w:pPr>
        <w:jc w:val="both"/>
        <w:rPr>
          <w:rFonts w:ascii="Arial" w:hAnsi="Arial" w:cs="Arial"/>
          <w:b/>
          <w:szCs w:val="24"/>
        </w:rPr>
      </w:pPr>
    </w:p>
    <w:p w:rsidR="00C04220" w:rsidRPr="003261E3" w:rsidRDefault="00C04220" w:rsidP="00C04220">
      <w:pPr>
        <w:ind w:left="720" w:hanging="720"/>
        <w:jc w:val="both"/>
        <w:rPr>
          <w:rFonts w:ascii="Arial" w:hAnsi="Arial" w:cs="Arial"/>
          <w:bCs/>
          <w:szCs w:val="24"/>
        </w:rPr>
      </w:pPr>
      <w:r w:rsidRPr="003261E3">
        <w:rPr>
          <w:rFonts w:ascii="Arial" w:hAnsi="Arial" w:cs="Arial"/>
          <w:bCs/>
          <w:szCs w:val="24"/>
        </w:rPr>
        <w:t>2.1</w:t>
      </w:r>
      <w:r w:rsidRPr="003261E3">
        <w:rPr>
          <w:rFonts w:ascii="Arial" w:hAnsi="Arial" w:cs="Arial"/>
          <w:bCs/>
          <w:szCs w:val="24"/>
        </w:rPr>
        <w:tab/>
        <w:t xml:space="preserve">In August 2012, the PBAC endorsed the following Terms of Reference (5-7) for the Diabetes Review: </w:t>
      </w:r>
    </w:p>
    <w:p w:rsidR="00C04220" w:rsidRPr="003261E3" w:rsidRDefault="00C04220" w:rsidP="00C04220">
      <w:pPr>
        <w:pStyle w:val="ListParagraph"/>
        <w:numPr>
          <w:ilvl w:val="2"/>
          <w:numId w:val="1"/>
        </w:numPr>
        <w:jc w:val="both"/>
        <w:rPr>
          <w:rFonts w:ascii="Arial" w:hAnsi="Arial" w:cs="Arial"/>
          <w:bCs/>
        </w:rPr>
      </w:pPr>
      <w:r w:rsidRPr="003261E3">
        <w:rPr>
          <w:rFonts w:ascii="Arial" w:hAnsi="Arial" w:cs="Arial"/>
          <w:bCs/>
          <w:lang w:val="en-US"/>
        </w:rPr>
        <w:t>Describ</w:t>
      </w:r>
      <w:r>
        <w:rPr>
          <w:rFonts w:ascii="Arial" w:hAnsi="Arial" w:cs="Arial"/>
          <w:bCs/>
          <w:lang w:val="en-US"/>
        </w:rPr>
        <w:t>e</w:t>
      </w:r>
      <w:r w:rsidRPr="003261E3">
        <w:rPr>
          <w:rFonts w:ascii="Arial" w:hAnsi="Arial" w:cs="Arial"/>
          <w:bCs/>
          <w:lang w:val="en-US"/>
        </w:rPr>
        <w:t xml:space="preserve"> the </w:t>
      </w:r>
      <w:proofErr w:type="spellStart"/>
      <w:r w:rsidRPr="003261E3">
        <w:rPr>
          <w:rFonts w:ascii="Arial" w:hAnsi="Arial" w:cs="Arial"/>
          <w:bCs/>
          <w:lang w:val="en-US"/>
        </w:rPr>
        <w:t>utilisation</w:t>
      </w:r>
      <w:proofErr w:type="spellEnd"/>
      <w:r w:rsidRPr="003261E3">
        <w:rPr>
          <w:rFonts w:ascii="Arial" w:hAnsi="Arial" w:cs="Arial"/>
          <w:bCs/>
          <w:lang w:val="en-US"/>
        </w:rPr>
        <w:t xml:space="preserve"> and patterns of use of self-monitoring of blood glucose (SMBG) for people with </w:t>
      </w:r>
      <w:r>
        <w:rPr>
          <w:rFonts w:ascii="Arial" w:hAnsi="Arial" w:cs="Arial"/>
          <w:bCs/>
          <w:lang w:val="en-US"/>
        </w:rPr>
        <w:t>t</w:t>
      </w:r>
      <w:r w:rsidRPr="003261E3">
        <w:rPr>
          <w:rFonts w:ascii="Arial" w:hAnsi="Arial" w:cs="Arial"/>
          <w:bCs/>
          <w:lang w:val="en-US"/>
        </w:rPr>
        <w:t>ype 2 diabetes</w:t>
      </w:r>
      <w:r>
        <w:rPr>
          <w:rFonts w:ascii="Arial" w:hAnsi="Arial" w:cs="Arial"/>
          <w:bCs/>
          <w:lang w:val="en-US"/>
        </w:rPr>
        <w:t>;</w:t>
      </w:r>
    </w:p>
    <w:p w:rsidR="00C04220" w:rsidRPr="003261E3" w:rsidRDefault="00C04220" w:rsidP="00C04220">
      <w:pPr>
        <w:pStyle w:val="ListParagraph"/>
        <w:numPr>
          <w:ilvl w:val="2"/>
          <w:numId w:val="1"/>
        </w:numPr>
        <w:jc w:val="both"/>
        <w:rPr>
          <w:rFonts w:ascii="Arial" w:hAnsi="Arial" w:cs="Arial"/>
          <w:bCs/>
        </w:rPr>
      </w:pPr>
      <w:r w:rsidRPr="003261E3">
        <w:rPr>
          <w:rFonts w:ascii="Arial" w:hAnsi="Arial" w:cs="Arial"/>
          <w:bCs/>
          <w:lang w:val="en-US"/>
        </w:rPr>
        <w:t>Determin</w:t>
      </w:r>
      <w:r>
        <w:rPr>
          <w:rFonts w:ascii="Arial" w:hAnsi="Arial" w:cs="Arial"/>
          <w:bCs/>
          <w:lang w:val="en-US"/>
        </w:rPr>
        <w:t>e</w:t>
      </w:r>
      <w:r w:rsidRPr="003261E3">
        <w:rPr>
          <w:rFonts w:ascii="Arial" w:hAnsi="Arial" w:cs="Arial"/>
          <w:bCs/>
          <w:lang w:val="en-US"/>
        </w:rPr>
        <w:t xml:space="preserve"> the clinical outcomes and benefits (e.g. HbA1C) of SMBG relative to HbA1C monitoring alone for people with </w:t>
      </w:r>
      <w:r>
        <w:rPr>
          <w:rFonts w:ascii="Arial" w:hAnsi="Arial" w:cs="Arial"/>
          <w:bCs/>
          <w:lang w:val="en-US"/>
        </w:rPr>
        <w:t>t</w:t>
      </w:r>
      <w:r w:rsidRPr="003261E3">
        <w:rPr>
          <w:rFonts w:ascii="Arial" w:hAnsi="Arial" w:cs="Arial"/>
          <w:bCs/>
          <w:lang w:val="en-US"/>
        </w:rPr>
        <w:t>ype 2 diabetes not treated with insulin</w:t>
      </w:r>
      <w:r>
        <w:rPr>
          <w:rFonts w:ascii="Arial" w:hAnsi="Arial" w:cs="Arial"/>
          <w:bCs/>
          <w:lang w:val="en-US"/>
        </w:rPr>
        <w:t>;</w:t>
      </w:r>
      <w:r w:rsidRPr="003261E3">
        <w:rPr>
          <w:rFonts w:ascii="Arial" w:hAnsi="Arial" w:cs="Arial"/>
          <w:bCs/>
          <w:lang w:val="en-US"/>
        </w:rPr>
        <w:t xml:space="preserve"> and</w:t>
      </w:r>
    </w:p>
    <w:p w:rsidR="00C04220" w:rsidRPr="003261E3" w:rsidRDefault="00C04220" w:rsidP="00C04220">
      <w:pPr>
        <w:pStyle w:val="ListParagraph"/>
        <w:numPr>
          <w:ilvl w:val="2"/>
          <w:numId w:val="1"/>
        </w:numPr>
        <w:jc w:val="both"/>
        <w:rPr>
          <w:rFonts w:ascii="Arial" w:hAnsi="Arial" w:cs="Arial"/>
          <w:bCs/>
        </w:rPr>
      </w:pPr>
      <w:r w:rsidRPr="003261E3">
        <w:rPr>
          <w:rFonts w:ascii="Arial" w:hAnsi="Arial" w:cs="Arial"/>
          <w:bCs/>
          <w:lang w:val="en-US"/>
        </w:rPr>
        <w:t xml:space="preserve">Consider the clinical criteria for eligibility for </w:t>
      </w:r>
      <w:proofErr w:type="spellStart"/>
      <w:r w:rsidRPr="003261E3">
        <w:rPr>
          <w:rFonts w:ascii="Arial" w:hAnsi="Arial" w:cs="Arial"/>
          <w:bCs/>
          <w:lang w:val="en-US"/>
        </w:rPr>
        <w:t>subsidised</w:t>
      </w:r>
      <w:proofErr w:type="spellEnd"/>
      <w:r w:rsidRPr="003261E3">
        <w:rPr>
          <w:rFonts w:ascii="Arial" w:hAnsi="Arial" w:cs="Arial"/>
          <w:bCs/>
          <w:lang w:val="en-US"/>
        </w:rPr>
        <w:t xml:space="preserve"> access to </w:t>
      </w:r>
      <w:r>
        <w:rPr>
          <w:rFonts w:ascii="Arial" w:hAnsi="Arial" w:cs="Arial"/>
          <w:bCs/>
          <w:lang w:val="en-US"/>
        </w:rPr>
        <w:t xml:space="preserve">BGTS </w:t>
      </w:r>
      <w:r w:rsidRPr="003261E3">
        <w:rPr>
          <w:rFonts w:ascii="Arial" w:hAnsi="Arial" w:cs="Arial"/>
          <w:bCs/>
          <w:lang w:val="en-US"/>
        </w:rPr>
        <w:t xml:space="preserve">under the PBS and </w:t>
      </w:r>
      <w:r w:rsidRPr="00767C20">
        <w:rPr>
          <w:rFonts w:ascii="Arial" w:hAnsi="Arial" w:cs="Arial"/>
          <w:bCs/>
          <w:lang w:val="en-US"/>
        </w:rPr>
        <w:t>National Diabetes Services Scheme (NDSS)</w:t>
      </w:r>
      <w:r w:rsidRPr="003261E3">
        <w:rPr>
          <w:rFonts w:ascii="Arial" w:hAnsi="Arial" w:cs="Arial"/>
          <w:bCs/>
          <w:lang w:val="en-US"/>
        </w:rPr>
        <w:t>, accounting for clinical benefits offered through SMBG compared to regular HbA1C monitoring</w:t>
      </w:r>
      <w:r w:rsidRPr="003261E3">
        <w:rPr>
          <w:rFonts w:ascii="Arial" w:hAnsi="Arial" w:cs="Arial"/>
          <w:bCs/>
        </w:rPr>
        <w:t>.</w:t>
      </w:r>
    </w:p>
    <w:p w:rsidR="00C04220" w:rsidRPr="003261E3" w:rsidRDefault="00C04220" w:rsidP="00C04220">
      <w:pPr>
        <w:pStyle w:val="ListParagraph"/>
        <w:jc w:val="both"/>
        <w:rPr>
          <w:rFonts w:ascii="Arial" w:hAnsi="Arial" w:cs="Arial"/>
          <w:bCs/>
        </w:rPr>
      </w:pPr>
      <w:r w:rsidRPr="003261E3">
        <w:rPr>
          <w:rFonts w:ascii="Arial" w:hAnsi="Arial" w:cs="Arial"/>
          <w:bCs/>
        </w:rPr>
        <w:t xml:space="preserve"> </w:t>
      </w:r>
    </w:p>
    <w:p w:rsidR="00C04220" w:rsidRPr="003261E3" w:rsidRDefault="00C04220" w:rsidP="00C04220">
      <w:pPr>
        <w:ind w:left="720" w:hanging="720"/>
        <w:jc w:val="both"/>
        <w:rPr>
          <w:rFonts w:ascii="Arial" w:hAnsi="Arial" w:cs="Arial"/>
          <w:szCs w:val="24"/>
        </w:rPr>
      </w:pPr>
      <w:r w:rsidRPr="003261E3">
        <w:rPr>
          <w:rFonts w:ascii="Arial" w:hAnsi="Arial" w:cs="Arial"/>
          <w:bCs/>
          <w:szCs w:val="24"/>
        </w:rPr>
        <w:t>2.2</w:t>
      </w:r>
      <w:r w:rsidRPr="003261E3">
        <w:rPr>
          <w:rFonts w:ascii="Arial" w:hAnsi="Arial" w:cs="Arial"/>
          <w:bCs/>
          <w:szCs w:val="24"/>
        </w:rPr>
        <w:tab/>
        <w:t xml:space="preserve">The PBAC noted the focus of this final </w:t>
      </w:r>
      <w:r>
        <w:rPr>
          <w:rFonts w:ascii="Arial" w:hAnsi="Arial" w:cs="Arial"/>
          <w:bCs/>
          <w:szCs w:val="24"/>
        </w:rPr>
        <w:t>R</w:t>
      </w:r>
      <w:r w:rsidRPr="003261E3">
        <w:rPr>
          <w:rFonts w:ascii="Arial" w:hAnsi="Arial" w:cs="Arial"/>
          <w:bCs/>
          <w:szCs w:val="24"/>
        </w:rPr>
        <w:t>eport was on the use of BGTS in people with type 2 diabetes, not using insulin.</w:t>
      </w:r>
      <w:r>
        <w:rPr>
          <w:rFonts w:ascii="Arial" w:hAnsi="Arial" w:cs="Arial"/>
          <w:bCs/>
          <w:szCs w:val="24"/>
        </w:rPr>
        <w:t xml:space="preserve"> T</w:t>
      </w:r>
      <w:r w:rsidRPr="003261E3">
        <w:rPr>
          <w:rFonts w:ascii="Arial" w:hAnsi="Arial" w:cs="Arial"/>
          <w:szCs w:val="24"/>
        </w:rPr>
        <w:t xml:space="preserve">he PBAC </w:t>
      </w:r>
      <w:r>
        <w:rPr>
          <w:rFonts w:ascii="Arial" w:hAnsi="Arial" w:cs="Arial"/>
          <w:szCs w:val="24"/>
        </w:rPr>
        <w:t xml:space="preserve">noted a </w:t>
      </w:r>
      <w:r w:rsidRPr="003261E3">
        <w:rPr>
          <w:rFonts w:ascii="Arial" w:hAnsi="Arial" w:cs="Arial"/>
          <w:szCs w:val="24"/>
        </w:rPr>
        <w:t xml:space="preserve">trend towards higher use of test strips in </w:t>
      </w:r>
      <w:r>
        <w:rPr>
          <w:rFonts w:ascii="Arial" w:hAnsi="Arial" w:cs="Arial"/>
          <w:szCs w:val="24"/>
        </w:rPr>
        <w:t xml:space="preserve">the </w:t>
      </w:r>
      <w:r w:rsidRPr="003261E3">
        <w:rPr>
          <w:rFonts w:ascii="Arial" w:hAnsi="Arial" w:cs="Arial"/>
          <w:szCs w:val="24"/>
        </w:rPr>
        <w:t>older age groups, peaking at 75–79 year olds, where 35.5%</w:t>
      </w:r>
      <w:r>
        <w:rPr>
          <w:rFonts w:ascii="Arial" w:hAnsi="Arial" w:cs="Arial"/>
          <w:szCs w:val="24"/>
        </w:rPr>
        <w:t xml:space="preserve"> had</w:t>
      </w:r>
      <w:r w:rsidRPr="003261E3">
        <w:rPr>
          <w:rFonts w:ascii="Arial" w:hAnsi="Arial" w:cs="Arial"/>
          <w:szCs w:val="24"/>
        </w:rPr>
        <w:t xml:space="preserve"> use</w:t>
      </w:r>
      <w:r>
        <w:rPr>
          <w:rFonts w:ascii="Arial" w:hAnsi="Arial" w:cs="Arial"/>
          <w:szCs w:val="24"/>
        </w:rPr>
        <w:t>d</w:t>
      </w:r>
      <w:r w:rsidRPr="003261E3">
        <w:rPr>
          <w:rFonts w:ascii="Arial" w:hAnsi="Arial" w:cs="Arial"/>
          <w:szCs w:val="24"/>
        </w:rPr>
        <w:t xml:space="preserve"> four or more packs of test strips</w:t>
      </w:r>
      <w:r>
        <w:rPr>
          <w:rFonts w:ascii="Arial" w:hAnsi="Arial" w:cs="Arial"/>
          <w:szCs w:val="24"/>
        </w:rPr>
        <w:t xml:space="preserve"> per year, </w:t>
      </w:r>
      <w:r>
        <w:rPr>
          <w:rFonts w:ascii="Arial" w:hAnsi="Arial" w:cs="Arial"/>
          <w:bCs/>
          <w:szCs w:val="24"/>
        </w:rPr>
        <w:t>as illustrated below:</w:t>
      </w:r>
    </w:p>
    <w:p w:rsidR="00C04220" w:rsidRPr="003261E3" w:rsidRDefault="00C04220" w:rsidP="00C04220">
      <w:pPr>
        <w:jc w:val="right"/>
        <w:rPr>
          <w:rFonts w:ascii="Arial" w:hAnsi="Arial" w:cs="Arial"/>
          <w:b/>
          <w:szCs w:val="24"/>
        </w:rPr>
      </w:pPr>
      <w:r w:rsidRPr="003261E3">
        <w:rPr>
          <w:rFonts w:ascii="Arial" w:hAnsi="Arial" w:cs="Arial"/>
          <w:noProof/>
          <w:szCs w:val="24"/>
        </w:rPr>
        <w:lastRenderedPageBreak/>
        <w:drawing>
          <wp:inline distT="0" distB="0" distL="0" distR="0" wp14:anchorId="6C2178EF" wp14:editId="5B295325">
            <wp:extent cx="5001370" cy="2846567"/>
            <wp:effectExtent l="0" t="0" r="27940" b="11430"/>
            <wp:docPr id="1" name="Chart 1" descr="Title: NDSS Test Strip Packs by Ag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4220" w:rsidRPr="003261E3" w:rsidRDefault="00C04220" w:rsidP="00C04220">
      <w:pPr>
        <w:ind w:left="720" w:hanging="720"/>
        <w:jc w:val="both"/>
        <w:rPr>
          <w:rFonts w:ascii="Arial" w:hAnsi="Arial" w:cs="Arial"/>
          <w:szCs w:val="24"/>
        </w:rPr>
      </w:pPr>
    </w:p>
    <w:p w:rsidR="00C04220" w:rsidRPr="003261E3" w:rsidRDefault="00C04220" w:rsidP="00C04220">
      <w:pPr>
        <w:ind w:left="720" w:hanging="720"/>
        <w:jc w:val="both"/>
        <w:rPr>
          <w:rFonts w:ascii="Arial" w:hAnsi="Arial" w:cs="Arial"/>
          <w:szCs w:val="24"/>
        </w:rPr>
      </w:pPr>
      <w:r w:rsidRPr="003261E3">
        <w:rPr>
          <w:rFonts w:ascii="Arial" w:hAnsi="Arial" w:cs="Arial"/>
          <w:szCs w:val="24"/>
        </w:rPr>
        <w:t xml:space="preserve">2.3 </w:t>
      </w:r>
      <w:r w:rsidRPr="003261E3">
        <w:rPr>
          <w:rFonts w:ascii="Arial" w:hAnsi="Arial" w:cs="Arial"/>
          <w:szCs w:val="24"/>
        </w:rPr>
        <w:tab/>
        <w:t>The PBAC noted an increase</w:t>
      </w:r>
      <w:r>
        <w:rPr>
          <w:rFonts w:ascii="Arial" w:hAnsi="Arial" w:cs="Arial"/>
          <w:szCs w:val="24"/>
        </w:rPr>
        <w:t xml:space="preserve"> in</w:t>
      </w:r>
      <w:r w:rsidRPr="003261E3">
        <w:rPr>
          <w:rFonts w:ascii="Arial" w:hAnsi="Arial" w:cs="Arial"/>
          <w:szCs w:val="24"/>
        </w:rPr>
        <w:t xml:space="preserve"> net growth of 6.3%</w:t>
      </w:r>
      <w:r>
        <w:rPr>
          <w:rFonts w:ascii="Arial" w:hAnsi="Arial" w:cs="Arial"/>
          <w:szCs w:val="24"/>
        </w:rPr>
        <w:t xml:space="preserve"> per </w:t>
      </w:r>
      <w:r w:rsidRPr="003261E3">
        <w:rPr>
          <w:rFonts w:ascii="Arial" w:hAnsi="Arial" w:cs="Arial"/>
          <w:szCs w:val="24"/>
        </w:rPr>
        <w:t>year of test strip</w:t>
      </w:r>
      <w:r>
        <w:rPr>
          <w:rFonts w:ascii="Arial" w:hAnsi="Arial" w:cs="Arial"/>
          <w:szCs w:val="24"/>
        </w:rPr>
        <w:t>s</w:t>
      </w:r>
      <w:r w:rsidRPr="003261E3">
        <w:rPr>
          <w:rFonts w:ascii="Arial" w:hAnsi="Arial" w:cs="Arial"/>
          <w:szCs w:val="24"/>
        </w:rPr>
        <w:t xml:space="preserve">, </w:t>
      </w:r>
      <w:r>
        <w:rPr>
          <w:rFonts w:ascii="Arial" w:hAnsi="Arial" w:cs="Arial"/>
          <w:szCs w:val="24"/>
        </w:rPr>
        <w:t>and the</w:t>
      </w:r>
      <w:r w:rsidRPr="003261E3">
        <w:rPr>
          <w:rFonts w:ascii="Arial" w:hAnsi="Arial" w:cs="Arial"/>
          <w:szCs w:val="24"/>
        </w:rPr>
        <w:t xml:space="preserve"> trend</w:t>
      </w:r>
      <w:r>
        <w:rPr>
          <w:rFonts w:ascii="Arial" w:hAnsi="Arial" w:cs="Arial"/>
          <w:szCs w:val="24"/>
        </w:rPr>
        <w:t>s</w:t>
      </w:r>
      <w:r w:rsidRPr="003261E3">
        <w:rPr>
          <w:rFonts w:ascii="Arial" w:hAnsi="Arial" w:cs="Arial"/>
          <w:szCs w:val="24"/>
        </w:rPr>
        <w:t xml:space="preserve"> in the increasing suppl</w:t>
      </w:r>
      <w:r>
        <w:rPr>
          <w:rFonts w:ascii="Arial" w:hAnsi="Arial" w:cs="Arial"/>
          <w:szCs w:val="24"/>
        </w:rPr>
        <w:t>y</w:t>
      </w:r>
      <w:r w:rsidRPr="003261E3">
        <w:rPr>
          <w:rFonts w:ascii="Arial" w:hAnsi="Arial" w:cs="Arial"/>
          <w:szCs w:val="24"/>
        </w:rPr>
        <w:t xml:space="preserve"> from </w:t>
      </w:r>
      <w:r>
        <w:rPr>
          <w:rFonts w:ascii="Arial" w:hAnsi="Arial" w:cs="Arial"/>
          <w:szCs w:val="24"/>
        </w:rPr>
        <w:t xml:space="preserve">the </w:t>
      </w:r>
      <w:r w:rsidRPr="003261E3">
        <w:rPr>
          <w:rFonts w:ascii="Arial" w:hAnsi="Arial" w:cs="Arial"/>
          <w:szCs w:val="24"/>
        </w:rPr>
        <w:t>NDSS and a declining use on the PBS.</w:t>
      </w:r>
      <w:r>
        <w:rPr>
          <w:rFonts w:ascii="Arial" w:hAnsi="Arial" w:cs="Arial"/>
          <w:szCs w:val="24"/>
        </w:rPr>
        <w:t xml:space="preserve"> </w:t>
      </w:r>
      <w:r w:rsidRPr="003261E3">
        <w:rPr>
          <w:rFonts w:ascii="Arial" w:hAnsi="Arial" w:cs="Arial"/>
        </w:rPr>
        <w:t xml:space="preserve">The average number of packs supplied per year per person with </w:t>
      </w:r>
      <w:r>
        <w:rPr>
          <w:rFonts w:ascii="Arial" w:hAnsi="Arial" w:cs="Arial"/>
        </w:rPr>
        <w:t xml:space="preserve">type </w:t>
      </w:r>
      <w:proofErr w:type="gramStart"/>
      <w:r>
        <w:rPr>
          <w:rFonts w:ascii="Arial" w:hAnsi="Arial" w:cs="Arial"/>
        </w:rPr>
        <w:t>2 diabetes</w:t>
      </w:r>
      <w:r w:rsidRPr="003261E3">
        <w:rPr>
          <w:rFonts w:ascii="Arial" w:hAnsi="Arial" w:cs="Arial"/>
        </w:rPr>
        <w:t xml:space="preserve"> not using insulin</w:t>
      </w:r>
      <w:proofErr w:type="gramEnd"/>
      <w:r w:rsidRPr="003261E3">
        <w:rPr>
          <w:rFonts w:ascii="Arial" w:hAnsi="Arial" w:cs="Arial"/>
        </w:rPr>
        <w:t xml:space="preserve"> was 3.06 in 2008–09, 3.08 in 2009–10, 3.09 in 2010–11 and 3.11 in 2011–12. </w:t>
      </w:r>
    </w:p>
    <w:p w:rsidR="00C04220" w:rsidRPr="003261E3" w:rsidRDefault="00C04220" w:rsidP="00C04220">
      <w:pPr>
        <w:jc w:val="both"/>
        <w:rPr>
          <w:rFonts w:ascii="Arial" w:hAnsi="Arial" w:cs="Arial"/>
          <w:b/>
          <w:szCs w:val="24"/>
        </w:rPr>
      </w:pPr>
    </w:p>
    <w:p w:rsidR="00C04220" w:rsidRPr="003261E3" w:rsidRDefault="00C04220" w:rsidP="00C04220">
      <w:pPr>
        <w:ind w:left="720" w:hanging="720"/>
        <w:jc w:val="both"/>
        <w:rPr>
          <w:rFonts w:ascii="Arial" w:hAnsi="Arial" w:cs="Arial"/>
          <w:szCs w:val="24"/>
        </w:rPr>
      </w:pPr>
      <w:r w:rsidRPr="003261E3">
        <w:rPr>
          <w:rFonts w:ascii="Arial" w:hAnsi="Arial" w:cs="Arial"/>
          <w:bCs/>
          <w:szCs w:val="24"/>
        </w:rPr>
        <w:t>2.</w:t>
      </w:r>
      <w:r>
        <w:rPr>
          <w:rFonts w:ascii="Arial" w:hAnsi="Arial" w:cs="Arial"/>
          <w:bCs/>
          <w:szCs w:val="24"/>
        </w:rPr>
        <w:t>4</w:t>
      </w:r>
      <w:r w:rsidRPr="003261E3">
        <w:rPr>
          <w:rFonts w:ascii="Arial" w:hAnsi="Arial" w:cs="Arial"/>
          <w:bCs/>
          <w:szCs w:val="24"/>
        </w:rPr>
        <w:tab/>
        <w:t>The PBAC acknowledged the st</w:t>
      </w:r>
      <w:r>
        <w:rPr>
          <w:rFonts w:ascii="Arial" w:hAnsi="Arial" w:cs="Arial"/>
          <w:bCs/>
          <w:szCs w:val="24"/>
        </w:rPr>
        <w:t>akeholders’ feedback and input o</w:t>
      </w:r>
      <w:r w:rsidRPr="003261E3">
        <w:rPr>
          <w:rFonts w:ascii="Arial" w:hAnsi="Arial" w:cs="Arial"/>
          <w:bCs/>
          <w:szCs w:val="24"/>
        </w:rPr>
        <w:t xml:space="preserve">n the draft </w:t>
      </w:r>
      <w:r>
        <w:rPr>
          <w:rFonts w:ascii="Arial" w:hAnsi="Arial" w:cs="Arial"/>
          <w:bCs/>
          <w:szCs w:val="24"/>
        </w:rPr>
        <w:t>R</w:t>
      </w:r>
      <w:r w:rsidRPr="003261E3">
        <w:rPr>
          <w:rFonts w:ascii="Arial" w:hAnsi="Arial" w:cs="Arial"/>
          <w:bCs/>
          <w:szCs w:val="24"/>
        </w:rPr>
        <w:t xml:space="preserve">eport and noted </w:t>
      </w:r>
      <w:r>
        <w:rPr>
          <w:rFonts w:ascii="Arial" w:hAnsi="Arial" w:cs="Arial"/>
          <w:bCs/>
          <w:szCs w:val="24"/>
        </w:rPr>
        <w:t xml:space="preserve">they included: </w:t>
      </w:r>
      <w:r w:rsidRPr="003261E3">
        <w:rPr>
          <w:rFonts w:ascii="Arial" w:hAnsi="Arial" w:cs="Arial"/>
          <w:bCs/>
          <w:szCs w:val="24"/>
        </w:rPr>
        <w:t>Diabetes Australia</w:t>
      </w:r>
      <w:r>
        <w:rPr>
          <w:rFonts w:ascii="Arial" w:hAnsi="Arial" w:cs="Arial"/>
          <w:bCs/>
          <w:szCs w:val="24"/>
        </w:rPr>
        <w:t>, t</w:t>
      </w:r>
      <w:r w:rsidRPr="003261E3">
        <w:rPr>
          <w:rFonts w:ascii="Arial" w:hAnsi="Arial" w:cs="Arial"/>
          <w:szCs w:val="24"/>
        </w:rPr>
        <w:t>he Australian</w:t>
      </w:r>
      <w:r>
        <w:rPr>
          <w:rFonts w:ascii="Arial" w:hAnsi="Arial" w:cs="Arial"/>
          <w:szCs w:val="24"/>
        </w:rPr>
        <w:t xml:space="preserve"> Diabetes Educators Association, </w:t>
      </w:r>
      <w:r w:rsidRPr="003261E3">
        <w:rPr>
          <w:rFonts w:ascii="Arial" w:hAnsi="Arial" w:cs="Arial"/>
          <w:szCs w:val="24"/>
        </w:rPr>
        <w:t>Roche Dia</w:t>
      </w:r>
      <w:r>
        <w:rPr>
          <w:rFonts w:ascii="Arial" w:hAnsi="Arial" w:cs="Arial"/>
          <w:szCs w:val="24"/>
        </w:rPr>
        <w:t xml:space="preserve">gnostics, Abbott Diabetes Care, </w:t>
      </w:r>
      <w:r w:rsidRPr="003261E3">
        <w:rPr>
          <w:rFonts w:ascii="Arial" w:hAnsi="Arial" w:cs="Arial"/>
          <w:szCs w:val="24"/>
        </w:rPr>
        <w:t>IVD Australia</w:t>
      </w:r>
      <w:r>
        <w:rPr>
          <w:rFonts w:ascii="Arial" w:hAnsi="Arial" w:cs="Arial"/>
          <w:szCs w:val="24"/>
        </w:rPr>
        <w:t xml:space="preserve">, the </w:t>
      </w:r>
      <w:r w:rsidRPr="003261E3">
        <w:rPr>
          <w:rFonts w:ascii="Arial" w:hAnsi="Arial" w:cs="Arial"/>
          <w:szCs w:val="24"/>
        </w:rPr>
        <w:t>Consumer</w:t>
      </w:r>
      <w:r>
        <w:rPr>
          <w:rFonts w:ascii="Arial" w:hAnsi="Arial" w:cs="Arial"/>
          <w:szCs w:val="24"/>
        </w:rPr>
        <w:t>s</w:t>
      </w:r>
      <w:r w:rsidRPr="003261E3">
        <w:rPr>
          <w:rFonts w:ascii="Arial" w:hAnsi="Arial" w:cs="Arial"/>
          <w:szCs w:val="24"/>
        </w:rPr>
        <w:t xml:space="preserve"> Health Forum</w:t>
      </w:r>
      <w:r>
        <w:rPr>
          <w:rFonts w:ascii="Arial" w:hAnsi="Arial" w:cs="Arial"/>
          <w:szCs w:val="24"/>
        </w:rPr>
        <w:t xml:space="preserve"> of Australia,</w:t>
      </w:r>
      <w:r w:rsidRPr="003261E3">
        <w:rPr>
          <w:rFonts w:ascii="Arial" w:hAnsi="Arial" w:cs="Arial"/>
          <w:szCs w:val="24"/>
        </w:rPr>
        <w:t xml:space="preserve"> </w:t>
      </w:r>
      <w:r>
        <w:rPr>
          <w:rFonts w:ascii="Arial" w:hAnsi="Arial" w:cs="Arial"/>
          <w:szCs w:val="24"/>
        </w:rPr>
        <w:t xml:space="preserve">and the </w:t>
      </w:r>
      <w:r w:rsidRPr="003261E3">
        <w:rPr>
          <w:rFonts w:ascii="Arial" w:hAnsi="Arial" w:cs="Arial"/>
          <w:szCs w:val="24"/>
        </w:rPr>
        <w:t>Australian Institute of Health and Welfare (AIHW)</w:t>
      </w:r>
      <w:r>
        <w:rPr>
          <w:rFonts w:ascii="Arial" w:hAnsi="Arial" w:cs="Arial"/>
          <w:szCs w:val="24"/>
        </w:rPr>
        <w:t>.</w:t>
      </w:r>
    </w:p>
    <w:p w:rsidR="00C04220" w:rsidRPr="003261E3" w:rsidRDefault="00C04220" w:rsidP="00C04220">
      <w:pPr>
        <w:pStyle w:val="NormalWeb"/>
        <w:spacing w:before="0" w:beforeAutospacing="0" w:after="0" w:afterAutospacing="0"/>
        <w:ind w:left="714"/>
        <w:rPr>
          <w:rFonts w:ascii="Arial" w:hAnsi="Arial" w:cs="Arial"/>
        </w:rPr>
      </w:pPr>
    </w:p>
    <w:p w:rsidR="00C04220" w:rsidRPr="00406A3B" w:rsidRDefault="00C04220" w:rsidP="00C04220">
      <w:pPr>
        <w:keepNext/>
        <w:keepLines/>
        <w:ind w:left="720" w:hanging="720"/>
        <w:jc w:val="both"/>
        <w:rPr>
          <w:rFonts w:ascii="Arial" w:hAnsi="Arial" w:cs="Arial"/>
          <w:szCs w:val="24"/>
        </w:rPr>
      </w:pPr>
      <w:r>
        <w:rPr>
          <w:rFonts w:ascii="Arial" w:hAnsi="Arial" w:cs="Arial"/>
          <w:szCs w:val="24"/>
        </w:rPr>
        <w:t>2.5</w:t>
      </w:r>
      <w:r w:rsidRPr="003261E3">
        <w:rPr>
          <w:rFonts w:ascii="Arial" w:hAnsi="Arial" w:cs="Arial"/>
          <w:szCs w:val="24"/>
        </w:rPr>
        <w:tab/>
      </w:r>
      <w:r w:rsidRPr="003261E3">
        <w:rPr>
          <w:rFonts w:ascii="Arial" w:hAnsi="Arial" w:cs="Arial"/>
          <w:bCs/>
          <w:szCs w:val="24"/>
        </w:rPr>
        <w:t xml:space="preserve">The PBAC </w:t>
      </w:r>
      <w:r>
        <w:rPr>
          <w:rFonts w:ascii="Arial" w:hAnsi="Arial" w:cs="Arial"/>
          <w:bCs/>
          <w:szCs w:val="24"/>
        </w:rPr>
        <w:t>noted</w:t>
      </w:r>
      <w:r w:rsidRPr="003261E3">
        <w:rPr>
          <w:rFonts w:ascii="Arial" w:hAnsi="Arial" w:cs="Arial"/>
          <w:bCs/>
          <w:szCs w:val="24"/>
        </w:rPr>
        <w:t xml:space="preserve"> neither </w:t>
      </w:r>
      <w:r>
        <w:rPr>
          <w:rFonts w:ascii="Arial" w:hAnsi="Arial" w:cs="Arial"/>
          <w:bCs/>
          <w:szCs w:val="24"/>
        </w:rPr>
        <w:t xml:space="preserve">of the </w:t>
      </w:r>
      <w:r w:rsidRPr="003261E3">
        <w:rPr>
          <w:rFonts w:ascii="Arial" w:hAnsi="Arial" w:cs="Arial"/>
          <w:bCs/>
          <w:szCs w:val="24"/>
        </w:rPr>
        <w:t xml:space="preserve">options proposed would change </w:t>
      </w:r>
      <w:r>
        <w:rPr>
          <w:rFonts w:ascii="Arial" w:hAnsi="Arial" w:cs="Arial"/>
          <w:bCs/>
          <w:szCs w:val="24"/>
        </w:rPr>
        <w:t xml:space="preserve">the </w:t>
      </w:r>
      <w:r w:rsidRPr="003261E3">
        <w:rPr>
          <w:rFonts w:ascii="Arial" w:hAnsi="Arial" w:cs="Arial"/>
          <w:bCs/>
          <w:szCs w:val="24"/>
        </w:rPr>
        <w:t>current access arrangements for</w:t>
      </w:r>
      <w:r>
        <w:rPr>
          <w:rFonts w:ascii="Arial" w:hAnsi="Arial" w:cs="Arial"/>
          <w:bCs/>
          <w:szCs w:val="24"/>
        </w:rPr>
        <w:t xml:space="preserve"> </w:t>
      </w:r>
      <w:r w:rsidRPr="003261E3">
        <w:rPr>
          <w:rFonts w:ascii="Arial" w:hAnsi="Arial" w:cs="Arial"/>
          <w:szCs w:val="24"/>
        </w:rPr>
        <w:t xml:space="preserve">people with diabetes using insulin, people with gestational diabetes, people with inter-current illness, or those receiving treatment with a concomitant medicine that may adversely affect blood glucose control (e.g. corticosteroids, sulfonylureas). </w:t>
      </w:r>
    </w:p>
    <w:p w:rsidR="00C04220" w:rsidRDefault="00C04220" w:rsidP="00C04220">
      <w:pPr>
        <w:ind w:left="720" w:hanging="720"/>
        <w:jc w:val="both"/>
        <w:rPr>
          <w:rFonts w:ascii="Arial" w:hAnsi="Arial" w:cs="Arial"/>
          <w:bCs/>
          <w:szCs w:val="24"/>
        </w:rPr>
      </w:pPr>
    </w:p>
    <w:p w:rsidR="00C04220" w:rsidRPr="003261E3" w:rsidRDefault="00C04220" w:rsidP="00C04220">
      <w:pPr>
        <w:ind w:left="720" w:hanging="720"/>
        <w:jc w:val="both"/>
        <w:rPr>
          <w:rFonts w:ascii="Arial" w:hAnsi="Arial" w:cs="Arial"/>
          <w:bCs/>
          <w:szCs w:val="24"/>
        </w:rPr>
      </w:pPr>
      <w:r w:rsidRPr="003261E3">
        <w:rPr>
          <w:rFonts w:ascii="Arial" w:hAnsi="Arial" w:cs="Arial"/>
          <w:bCs/>
          <w:szCs w:val="24"/>
        </w:rPr>
        <w:t>2.</w:t>
      </w:r>
      <w:r>
        <w:rPr>
          <w:rFonts w:ascii="Arial" w:hAnsi="Arial" w:cs="Arial"/>
          <w:bCs/>
          <w:szCs w:val="24"/>
        </w:rPr>
        <w:t>6</w:t>
      </w:r>
      <w:r w:rsidRPr="003261E3">
        <w:rPr>
          <w:rFonts w:ascii="Arial" w:hAnsi="Arial" w:cs="Arial"/>
          <w:bCs/>
          <w:szCs w:val="24"/>
        </w:rPr>
        <w:tab/>
        <w:t>The PBAC</w:t>
      </w:r>
      <w:r>
        <w:rPr>
          <w:rFonts w:ascii="Arial" w:hAnsi="Arial" w:cs="Arial"/>
          <w:bCs/>
          <w:szCs w:val="24"/>
        </w:rPr>
        <w:t xml:space="preserve"> noted that</w:t>
      </w:r>
      <w:r w:rsidRPr="003261E3">
        <w:rPr>
          <w:rFonts w:ascii="Arial" w:hAnsi="Arial" w:cs="Arial"/>
          <w:bCs/>
          <w:szCs w:val="24"/>
        </w:rPr>
        <w:t xml:space="preserve"> access to BGTS for patients outside the categories above would be limited to those who are init</w:t>
      </w:r>
      <w:r>
        <w:rPr>
          <w:rFonts w:ascii="Arial" w:hAnsi="Arial" w:cs="Arial"/>
          <w:bCs/>
          <w:szCs w:val="24"/>
        </w:rPr>
        <w:t>iating, or have had a change in</w:t>
      </w:r>
      <w:r w:rsidRPr="003261E3">
        <w:rPr>
          <w:rFonts w:ascii="Arial" w:hAnsi="Arial" w:cs="Arial"/>
          <w:bCs/>
          <w:szCs w:val="24"/>
        </w:rPr>
        <w:t xml:space="preserve"> diabetes management (e.g. treatment or lifestyle change)</w:t>
      </w:r>
      <w:r>
        <w:rPr>
          <w:rFonts w:ascii="Arial" w:hAnsi="Arial" w:cs="Arial"/>
          <w:bCs/>
          <w:szCs w:val="24"/>
        </w:rPr>
        <w:t>,</w:t>
      </w:r>
      <w:r w:rsidRPr="003261E3">
        <w:rPr>
          <w:rFonts w:ascii="Arial" w:hAnsi="Arial" w:cs="Arial"/>
          <w:bCs/>
          <w:szCs w:val="24"/>
        </w:rPr>
        <w:t xml:space="preserve"> to:</w:t>
      </w:r>
    </w:p>
    <w:p w:rsidR="00C04220" w:rsidRPr="003261E3" w:rsidRDefault="00C04220" w:rsidP="00C04220">
      <w:pPr>
        <w:pStyle w:val="ListParagraph"/>
        <w:numPr>
          <w:ilvl w:val="0"/>
          <w:numId w:val="3"/>
        </w:numPr>
        <w:jc w:val="both"/>
        <w:rPr>
          <w:rFonts w:ascii="Arial" w:hAnsi="Arial" w:cs="Arial"/>
          <w:bCs/>
        </w:rPr>
      </w:pPr>
      <w:r w:rsidRPr="003261E3">
        <w:rPr>
          <w:rFonts w:ascii="Arial" w:hAnsi="Arial" w:cs="Arial"/>
          <w:bCs/>
        </w:rPr>
        <w:t>Option 1: 3 months</w:t>
      </w:r>
      <w:r>
        <w:rPr>
          <w:rFonts w:ascii="Arial" w:hAnsi="Arial" w:cs="Arial"/>
          <w:bCs/>
        </w:rPr>
        <w:t>’</w:t>
      </w:r>
      <w:r w:rsidRPr="003261E3">
        <w:rPr>
          <w:rFonts w:ascii="Arial" w:hAnsi="Arial" w:cs="Arial"/>
          <w:bCs/>
        </w:rPr>
        <w:t xml:space="preserve"> access (100 strips, max </w:t>
      </w:r>
      <w:proofErr w:type="spellStart"/>
      <w:r w:rsidRPr="003261E3">
        <w:rPr>
          <w:rFonts w:ascii="Arial" w:hAnsi="Arial" w:cs="Arial"/>
          <w:bCs/>
        </w:rPr>
        <w:t>qty</w:t>
      </w:r>
      <w:proofErr w:type="spellEnd"/>
      <w:r w:rsidRPr="003261E3">
        <w:rPr>
          <w:rFonts w:ascii="Arial" w:hAnsi="Arial" w:cs="Arial"/>
          <w:bCs/>
        </w:rPr>
        <w:t xml:space="preserve"> 1, no. of repeats 2)</w:t>
      </w:r>
    </w:p>
    <w:p w:rsidR="00C04220" w:rsidRPr="003261E3" w:rsidRDefault="00C04220" w:rsidP="00C04220">
      <w:pPr>
        <w:pStyle w:val="ListParagraph"/>
        <w:numPr>
          <w:ilvl w:val="0"/>
          <w:numId w:val="3"/>
        </w:numPr>
        <w:jc w:val="both"/>
        <w:rPr>
          <w:rFonts w:ascii="Arial" w:hAnsi="Arial" w:cs="Arial"/>
          <w:bCs/>
        </w:rPr>
      </w:pPr>
      <w:r w:rsidRPr="003261E3">
        <w:rPr>
          <w:rFonts w:ascii="Arial" w:hAnsi="Arial" w:cs="Arial"/>
          <w:bCs/>
        </w:rPr>
        <w:t>Option 2: 6 months</w:t>
      </w:r>
      <w:r>
        <w:rPr>
          <w:rFonts w:ascii="Arial" w:hAnsi="Arial" w:cs="Arial"/>
          <w:bCs/>
        </w:rPr>
        <w:t>’</w:t>
      </w:r>
      <w:r w:rsidRPr="003261E3">
        <w:rPr>
          <w:rFonts w:ascii="Arial" w:hAnsi="Arial" w:cs="Arial"/>
          <w:bCs/>
        </w:rPr>
        <w:t xml:space="preserve"> access (100 strips, max </w:t>
      </w:r>
      <w:proofErr w:type="spellStart"/>
      <w:r w:rsidRPr="003261E3">
        <w:rPr>
          <w:rFonts w:ascii="Arial" w:hAnsi="Arial" w:cs="Arial"/>
          <w:bCs/>
        </w:rPr>
        <w:t>qty</w:t>
      </w:r>
      <w:proofErr w:type="spellEnd"/>
      <w:r w:rsidRPr="003261E3">
        <w:rPr>
          <w:rFonts w:ascii="Arial" w:hAnsi="Arial" w:cs="Arial"/>
          <w:bCs/>
        </w:rPr>
        <w:t xml:space="preserve"> 1, no. of repeats 5), with an option for an additional 6 months access at the prescriber’s discretion.</w:t>
      </w:r>
    </w:p>
    <w:p w:rsidR="00C04220" w:rsidRPr="003261E3" w:rsidRDefault="00C04220" w:rsidP="00C04220">
      <w:pPr>
        <w:tabs>
          <w:tab w:val="left" w:pos="1985"/>
        </w:tabs>
        <w:overflowPunct w:val="0"/>
        <w:autoSpaceDE w:val="0"/>
        <w:autoSpaceDN w:val="0"/>
        <w:adjustRightInd w:val="0"/>
        <w:jc w:val="both"/>
        <w:textAlignment w:val="baseline"/>
        <w:rPr>
          <w:rFonts w:ascii="Arial" w:hAnsi="Arial" w:cs="Arial"/>
          <w:bCs/>
          <w:szCs w:val="24"/>
        </w:rPr>
      </w:pPr>
    </w:p>
    <w:p w:rsidR="00C04220" w:rsidRDefault="00C04220" w:rsidP="00C04220">
      <w:pPr>
        <w:tabs>
          <w:tab w:val="left" w:pos="709"/>
        </w:tabs>
        <w:overflowPunct w:val="0"/>
        <w:autoSpaceDE w:val="0"/>
        <w:autoSpaceDN w:val="0"/>
        <w:adjustRightInd w:val="0"/>
        <w:ind w:left="705" w:hanging="705"/>
        <w:jc w:val="both"/>
        <w:textAlignment w:val="baseline"/>
        <w:rPr>
          <w:rFonts w:ascii="Arial" w:hAnsi="Arial" w:cs="Arial"/>
          <w:bCs/>
          <w:szCs w:val="24"/>
        </w:rPr>
      </w:pPr>
      <w:r w:rsidRPr="003261E3">
        <w:rPr>
          <w:rFonts w:ascii="Arial" w:hAnsi="Arial" w:cs="Arial"/>
          <w:bCs/>
          <w:szCs w:val="24"/>
        </w:rPr>
        <w:t>2.7</w:t>
      </w:r>
      <w:r w:rsidRPr="003261E3">
        <w:rPr>
          <w:rFonts w:ascii="Arial" w:hAnsi="Arial" w:cs="Arial"/>
          <w:bCs/>
          <w:szCs w:val="24"/>
        </w:rPr>
        <w:tab/>
        <w:t xml:space="preserve">The PBAC noted </w:t>
      </w:r>
      <w:r w:rsidRPr="003261E3">
        <w:rPr>
          <w:rFonts w:ascii="Arial" w:hAnsi="Arial" w:cs="Arial"/>
          <w:szCs w:val="24"/>
        </w:rPr>
        <w:t>the preference of the Diabetes Review Reference Group for Option 2,</w:t>
      </w:r>
      <w:r w:rsidRPr="003261E3">
        <w:rPr>
          <w:rFonts w:ascii="Arial" w:hAnsi="Arial" w:cs="Arial"/>
          <w:bCs/>
          <w:szCs w:val="24"/>
        </w:rPr>
        <w:t xml:space="preserve"> as it balanced the findings of the review with the clinical need for patients to access BGTS in a range of sub-groups</w:t>
      </w:r>
      <w:r>
        <w:rPr>
          <w:rFonts w:ascii="Arial" w:hAnsi="Arial" w:cs="Arial"/>
          <w:bCs/>
          <w:szCs w:val="24"/>
        </w:rPr>
        <w:t xml:space="preserve"> such as patients on dietary management only or patients treated with oral medications only</w:t>
      </w:r>
      <w:r w:rsidRPr="003261E3">
        <w:rPr>
          <w:rFonts w:ascii="Arial" w:hAnsi="Arial" w:cs="Arial"/>
          <w:bCs/>
          <w:szCs w:val="24"/>
        </w:rPr>
        <w:t xml:space="preserve">. It was noted that the </w:t>
      </w:r>
      <w:r>
        <w:rPr>
          <w:rFonts w:ascii="Arial" w:hAnsi="Arial" w:cs="Arial"/>
          <w:bCs/>
          <w:szCs w:val="24"/>
        </w:rPr>
        <w:t>R</w:t>
      </w:r>
      <w:r w:rsidRPr="003261E3">
        <w:rPr>
          <w:rFonts w:ascii="Arial" w:hAnsi="Arial" w:cs="Arial"/>
          <w:bCs/>
          <w:szCs w:val="24"/>
        </w:rPr>
        <w:t xml:space="preserve">eference </w:t>
      </w:r>
      <w:r>
        <w:rPr>
          <w:rFonts w:ascii="Arial" w:hAnsi="Arial" w:cs="Arial"/>
          <w:bCs/>
          <w:szCs w:val="24"/>
        </w:rPr>
        <w:t>G</w:t>
      </w:r>
      <w:r w:rsidRPr="003261E3">
        <w:rPr>
          <w:rFonts w:ascii="Arial" w:hAnsi="Arial" w:cs="Arial"/>
          <w:bCs/>
          <w:szCs w:val="24"/>
        </w:rPr>
        <w:t xml:space="preserve">roup also preferred </w:t>
      </w:r>
      <w:r>
        <w:rPr>
          <w:rFonts w:ascii="Arial" w:hAnsi="Arial" w:cs="Arial"/>
          <w:bCs/>
          <w:szCs w:val="24"/>
        </w:rPr>
        <w:t xml:space="preserve">an </w:t>
      </w:r>
      <w:r w:rsidRPr="003261E3">
        <w:rPr>
          <w:rFonts w:ascii="Arial" w:hAnsi="Arial" w:cs="Arial"/>
          <w:bCs/>
          <w:szCs w:val="24"/>
        </w:rPr>
        <w:t xml:space="preserve">Authority Required </w:t>
      </w:r>
      <w:r>
        <w:rPr>
          <w:rFonts w:ascii="Arial" w:hAnsi="Arial" w:cs="Arial"/>
          <w:bCs/>
          <w:szCs w:val="24"/>
        </w:rPr>
        <w:t>(</w:t>
      </w:r>
      <w:r w:rsidRPr="003261E3">
        <w:rPr>
          <w:rFonts w:ascii="Arial" w:hAnsi="Arial" w:cs="Arial"/>
          <w:bCs/>
          <w:szCs w:val="24"/>
        </w:rPr>
        <w:t>S</w:t>
      </w:r>
      <w:r>
        <w:rPr>
          <w:rFonts w:ascii="Arial" w:hAnsi="Arial" w:cs="Arial"/>
          <w:bCs/>
          <w:szCs w:val="24"/>
        </w:rPr>
        <w:t>TREAMLINED) restriction</w:t>
      </w:r>
      <w:r w:rsidRPr="003261E3">
        <w:rPr>
          <w:rFonts w:ascii="Arial" w:hAnsi="Arial" w:cs="Arial"/>
          <w:bCs/>
          <w:szCs w:val="24"/>
        </w:rPr>
        <w:t xml:space="preserve">. </w:t>
      </w:r>
    </w:p>
    <w:p w:rsidR="00C04220" w:rsidRDefault="00C04220" w:rsidP="00C04220">
      <w:pPr>
        <w:tabs>
          <w:tab w:val="left" w:pos="709"/>
        </w:tabs>
        <w:overflowPunct w:val="0"/>
        <w:autoSpaceDE w:val="0"/>
        <w:autoSpaceDN w:val="0"/>
        <w:adjustRightInd w:val="0"/>
        <w:jc w:val="both"/>
        <w:textAlignment w:val="baseline"/>
        <w:rPr>
          <w:rFonts w:ascii="Arial" w:hAnsi="Arial" w:cs="Arial"/>
          <w:bCs/>
          <w:szCs w:val="24"/>
        </w:rPr>
      </w:pPr>
    </w:p>
    <w:p w:rsidR="00C04220" w:rsidRPr="003261E3" w:rsidRDefault="00C04220" w:rsidP="00C04220">
      <w:pPr>
        <w:ind w:left="705" w:hanging="705"/>
        <w:jc w:val="both"/>
        <w:rPr>
          <w:rFonts w:ascii="Arial" w:hAnsi="Arial" w:cs="Arial"/>
          <w:szCs w:val="24"/>
        </w:rPr>
      </w:pPr>
      <w:r w:rsidRPr="003261E3">
        <w:rPr>
          <w:rFonts w:ascii="Arial" w:hAnsi="Arial" w:cs="Arial"/>
          <w:szCs w:val="24"/>
        </w:rPr>
        <w:t>2.8</w:t>
      </w:r>
      <w:r w:rsidRPr="003261E3">
        <w:rPr>
          <w:rFonts w:ascii="Arial" w:hAnsi="Arial" w:cs="Arial"/>
          <w:szCs w:val="24"/>
        </w:rPr>
        <w:tab/>
        <w:t xml:space="preserve">The PBAC noted </w:t>
      </w:r>
      <w:r>
        <w:rPr>
          <w:rFonts w:ascii="Arial" w:hAnsi="Arial" w:cs="Arial"/>
          <w:szCs w:val="24"/>
        </w:rPr>
        <w:t>O</w:t>
      </w:r>
      <w:r w:rsidRPr="003261E3">
        <w:rPr>
          <w:rFonts w:ascii="Arial" w:hAnsi="Arial" w:cs="Arial"/>
          <w:szCs w:val="24"/>
        </w:rPr>
        <w:t>ption 2 rec</w:t>
      </w:r>
      <w:r>
        <w:rPr>
          <w:rFonts w:ascii="Arial" w:hAnsi="Arial" w:cs="Arial"/>
          <w:szCs w:val="24"/>
        </w:rPr>
        <w:t>ommended an initial restriction where t</w:t>
      </w:r>
      <w:r w:rsidRPr="003261E3">
        <w:rPr>
          <w:rFonts w:ascii="Arial" w:hAnsi="Arial" w:cs="Arial"/>
          <w:szCs w:val="24"/>
        </w:rPr>
        <w:t>he patient will be able to access up to six months’ supply.  A ‘continuing’ supply for another six months would be available if the prescriber determines that the person would benefit from further monitoring. After 12 months’ supply, only people requiring additional SMBG when further changes to diabetes management are made would be eligible to access test strips through the ‘initial’ restriction pathway.</w:t>
      </w:r>
      <w:r>
        <w:rPr>
          <w:rFonts w:ascii="Arial" w:hAnsi="Arial" w:cs="Arial"/>
          <w:szCs w:val="24"/>
        </w:rPr>
        <w:t xml:space="preserve"> This recommendation was</w:t>
      </w:r>
      <w:r w:rsidRPr="003261E3">
        <w:rPr>
          <w:rFonts w:ascii="Arial" w:hAnsi="Arial" w:cs="Arial"/>
          <w:szCs w:val="24"/>
        </w:rPr>
        <w:t xml:space="preserve"> consistent with the findings of the Cochrane Review (2012) that indicate a minimal clinical benefit in improving blood glucose control</w:t>
      </w:r>
      <w:r>
        <w:rPr>
          <w:rFonts w:ascii="Arial" w:hAnsi="Arial" w:cs="Arial"/>
          <w:szCs w:val="24"/>
        </w:rPr>
        <w:t xml:space="preserve"> at six months, which disappeared</w:t>
      </w:r>
      <w:r w:rsidRPr="003261E3">
        <w:rPr>
          <w:rFonts w:ascii="Arial" w:hAnsi="Arial" w:cs="Arial"/>
          <w:szCs w:val="24"/>
        </w:rPr>
        <w:t xml:space="preserve"> after 12 months</w:t>
      </w:r>
      <w:r>
        <w:rPr>
          <w:rFonts w:ascii="Arial" w:hAnsi="Arial" w:cs="Arial"/>
          <w:szCs w:val="24"/>
        </w:rPr>
        <w:t>’</w:t>
      </w:r>
      <w:r w:rsidRPr="003261E3">
        <w:rPr>
          <w:rFonts w:ascii="Arial" w:hAnsi="Arial" w:cs="Arial"/>
          <w:szCs w:val="24"/>
        </w:rPr>
        <w:t xml:space="preserve"> follow-up</w:t>
      </w:r>
      <w:r>
        <w:rPr>
          <w:rFonts w:ascii="Arial" w:hAnsi="Arial" w:cs="Arial"/>
          <w:szCs w:val="24"/>
        </w:rPr>
        <w:t>.</w:t>
      </w:r>
    </w:p>
    <w:p w:rsidR="00C04220" w:rsidRDefault="00C04220" w:rsidP="00C04220">
      <w:pPr>
        <w:jc w:val="both"/>
        <w:rPr>
          <w:rFonts w:ascii="Arial" w:hAnsi="Arial" w:cs="Arial"/>
          <w:szCs w:val="24"/>
        </w:rPr>
      </w:pPr>
    </w:p>
    <w:p w:rsidR="00C04220" w:rsidRPr="003261E3" w:rsidRDefault="00C04220" w:rsidP="00C04220">
      <w:pPr>
        <w:jc w:val="both"/>
        <w:rPr>
          <w:rFonts w:ascii="Arial" w:hAnsi="Arial" w:cs="Arial"/>
          <w:b/>
          <w:sz w:val="28"/>
          <w:szCs w:val="28"/>
        </w:rPr>
      </w:pPr>
      <w:r w:rsidRPr="003261E3">
        <w:rPr>
          <w:rFonts w:ascii="Arial" w:hAnsi="Arial" w:cs="Arial"/>
          <w:b/>
          <w:sz w:val="28"/>
          <w:szCs w:val="28"/>
        </w:rPr>
        <w:t>3</w:t>
      </w:r>
      <w:r w:rsidRPr="003261E3">
        <w:rPr>
          <w:rFonts w:ascii="Arial" w:hAnsi="Arial" w:cs="Arial"/>
          <w:b/>
          <w:sz w:val="28"/>
          <w:szCs w:val="28"/>
        </w:rPr>
        <w:tab/>
      </w:r>
      <w:r w:rsidRPr="003A36B4">
        <w:rPr>
          <w:rStyle w:val="Heading2Char"/>
        </w:rPr>
        <w:t>PBAC Outcomes</w:t>
      </w:r>
      <w:r w:rsidRPr="003261E3">
        <w:rPr>
          <w:rFonts w:ascii="Arial" w:hAnsi="Arial" w:cs="Arial"/>
          <w:b/>
          <w:sz w:val="28"/>
          <w:szCs w:val="28"/>
        </w:rPr>
        <w:t xml:space="preserve"> </w:t>
      </w:r>
    </w:p>
    <w:p w:rsidR="00C04220" w:rsidRPr="003261E3" w:rsidRDefault="00C04220" w:rsidP="00C04220">
      <w:pPr>
        <w:ind w:left="720" w:hanging="720"/>
        <w:jc w:val="both"/>
        <w:rPr>
          <w:rFonts w:ascii="Arial" w:hAnsi="Arial" w:cs="Arial"/>
          <w:szCs w:val="24"/>
        </w:rPr>
      </w:pPr>
    </w:p>
    <w:p w:rsidR="00C04220" w:rsidRPr="003261E3" w:rsidRDefault="00C04220" w:rsidP="00C04220">
      <w:pPr>
        <w:ind w:left="720" w:hanging="720"/>
        <w:jc w:val="both"/>
        <w:rPr>
          <w:rFonts w:ascii="Arial" w:hAnsi="Arial" w:cs="Arial"/>
          <w:szCs w:val="24"/>
        </w:rPr>
      </w:pPr>
      <w:r w:rsidRPr="003261E3">
        <w:rPr>
          <w:rFonts w:ascii="Arial" w:hAnsi="Arial" w:cs="Arial"/>
          <w:szCs w:val="24"/>
        </w:rPr>
        <w:t>3.1</w:t>
      </w:r>
      <w:r w:rsidRPr="003261E3">
        <w:rPr>
          <w:rFonts w:ascii="Arial" w:hAnsi="Arial" w:cs="Arial"/>
          <w:szCs w:val="24"/>
        </w:rPr>
        <w:tab/>
        <w:t xml:space="preserve">The PBAC considered </w:t>
      </w:r>
      <w:r>
        <w:rPr>
          <w:rFonts w:ascii="Arial" w:hAnsi="Arial" w:cs="Arial"/>
          <w:szCs w:val="24"/>
        </w:rPr>
        <w:t>that O</w:t>
      </w:r>
      <w:r w:rsidRPr="003261E3">
        <w:rPr>
          <w:rFonts w:ascii="Arial" w:hAnsi="Arial" w:cs="Arial"/>
          <w:szCs w:val="24"/>
        </w:rPr>
        <w:t>ption 2</w:t>
      </w:r>
      <w:r>
        <w:rPr>
          <w:rFonts w:ascii="Arial" w:hAnsi="Arial" w:cs="Arial"/>
          <w:szCs w:val="24"/>
        </w:rPr>
        <w:t xml:space="preserve"> </w:t>
      </w:r>
      <w:r w:rsidRPr="003261E3">
        <w:rPr>
          <w:rFonts w:ascii="Arial" w:hAnsi="Arial" w:cs="Arial"/>
          <w:szCs w:val="24"/>
        </w:rPr>
        <w:t xml:space="preserve">provided people with </w:t>
      </w:r>
      <w:r>
        <w:rPr>
          <w:rFonts w:ascii="Arial" w:hAnsi="Arial" w:cs="Arial"/>
          <w:szCs w:val="24"/>
        </w:rPr>
        <w:t xml:space="preserve">type 2 diabetes </w:t>
      </w:r>
      <w:r w:rsidRPr="003261E3">
        <w:rPr>
          <w:rFonts w:ascii="Arial" w:hAnsi="Arial" w:cs="Arial"/>
          <w:szCs w:val="24"/>
        </w:rPr>
        <w:t>not using insulin who are initiating or require changes to existing diabetes management</w:t>
      </w:r>
      <w:r>
        <w:rPr>
          <w:rFonts w:ascii="Arial" w:hAnsi="Arial" w:cs="Arial"/>
          <w:szCs w:val="24"/>
        </w:rPr>
        <w:t>,</w:t>
      </w:r>
      <w:r w:rsidRPr="003261E3">
        <w:rPr>
          <w:rFonts w:ascii="Arial" w:hAnsi="Arial" w:cs="Arial"/>
          <w:szCs w:val="24"/>
        </w:rPr>
        <w:t xml:space="preserve"> access </w:t>
      </w:r>
      <w:r>
        <w:rPr>
          <w:rFonts w:ascii="Arial" w:hAnsi="Arial" w:cs="Arial"/>
          <w:szCs w:val="24"/>
        </w:rPr>
        <w:t>of</w:t>
      </w:r>
      <w:r w:rsidRPr="003261E3">
        <w:rPr>
          <w:rFonts w:ascii="Arial" w:hAnsi="Arial" w:cs="Arial"/>
          <w:szCs w:val="24"/>
        </w:rPr>
        <w:t xml:space="preserve"> </w:t>
      </w:r>
      <w:r>
        <w:rPr>
          <w:rFonts w:ascii="Arial" w:hAnsi="Arial" w:cs="Arial"/>
          <w:szCs w:val="24"/>
        </w:rPr>
        <w:t>up to 6 months’ supply of test strips with the option to access an additional 6 months’ supply under a continuing restriction at the prescriber’s discretion if the patient will benefit from further monitoring</w:t>
      </w:r>
      <w:r w:rsidRPr="003261E3">
        <w:rPr>
          <w:rFonts w:ascii="Arial" w:hAnsi="Arial" w:cs="Arial"/>
          <w:szCs w:val="24"/>
        </w:rPr>
        <w:t xml:space="preserve">. </w:t>
      </w:r>
      <w:r>
        <w:rPr>
          <w:rFonts w:ascii="Arial" w:hAnsi="Arial" w:cs="Arial"/>
          <w:szCs w:val="24"/>
        </w:rPr>
        <w:t xml:space="preserve">The PBAC therefore recommended Option 2 as it appropriately balances clinical need with the findings of the Diabetes Review. </w:t>
      </w:r>
    </w:p>
    <w:p w:rsidR="00C04220" w:rsidRPr="003261E3" w:rsidRDefault="00C04220" w:rsidP="00C04220">
      <w:pPr>
        <w:ind w:left="720" w:hanging="720"/>
        <w:jc w:val="both"/>
        <w:rPr>
          <w:rFonts w:ascii="Arial" w:hAnsi="Arial" w:cs="Arial"/>
          <w:szCs w:val="24"/>
        </w:rPr>
      </w:pPr>
    </w:p>
    <w:p w:rsidR="00C04220" w:rsidRDefault="00C04220" w:rsidP="00C04220">
      <w:pPr>
        <w:ind w:left="720" w:hanging="720"/>
        <w:jc w:val="both"/>
        <w:rPr>
          <w:rFonts w:ascii="Arial" w:hAnsi="Arial" w:cs="Arial"/>
          <w:szCs w:val="24"/>
        </w:rPr>
      </w:pPr>
      <w:r w:rsidRPr="003261E3">
        <w:rPr>
          <w:rFonts w:ascii="Arial" w:hAnsi="Arial" w:cs="Arial"/>
          <w:szCs w:val="24"/>
        </w:rPr>
        <w:t>3.2</w:t>
      </w:r>
      <w:r w:rsidRPr="003261E3">
        <w:rPr>
          <w:rFonts w:ascii="Arial" w:hAnsi="Arial" w:cs="Arial"/>
          <w:szCs w:val="24"/>
        </w:rPr>
        <w:tab/>
      </w:r>
      <w:r w:rsidRPr="003261E3">
        <w:rPr>
          <w:rFonts w:ascii="Arial" w:eastAsia="Calibri" w:hAnsi="Arial" w:cs="Arial"/>
          <w:szCs w:val="24"/>
        </w:rPr>
        <w:t>The PBAC considered that given the volume of prescriptions</w:t>
      </w:r>
      <w:r>
        <w:rPr>
          <w:rFonts w:ascii="Arial" w:eastAsia="Calibri" w:hAnsi="Arial" w:cs="Arial"/>
          <w:szCs w:val="24"/>
        </w:rPr>
        <w:t>,</w:t>
      </w:r>
      <w:r w:rsidRPr="003261E3">
        <w:rPr>
          <w:rFonts w:ascii="Arial" w:eastAsia="Calibri" w:hAnsi="Arial" w:cs="Arial"/>
          <w:szCs w:val="24"/>
        </w:rPr>
        <w:t xml:space="preserve"> changing the res</w:t>
      </w:r>
      <w:r>
        <w:rPr>
          <w:rFonts w:ascii="Arial" w:eastAsia="Calibri" w:hAnsi="Arial" w:cs="Arial"/>
          <w:szCs w:val="24"/>
        </w:rPr>
        <w:t xml:space="preserve">triction to ‘Authority </w:t>
      </w:r>
      <w:proofErr w:type="gramStart"/>
      <w:r>
        <w:rPr>
          <w:rFonts w:ascii="Arial" w:eastAsia="Calibri" w:hAnsi="Arial" w:cs="Arial"/>
          <w:szCs w:val="24"/>
        </w:rPr>
        <w:t>Required</w:t>
      </w:r>
      <w:proofErr w:type="gramEnd"/>
      <w:r>
        <w:rPr>
          <w:rFonts w:ascii="Arial" w:eastAsia="Calibri" w:hAnsi="Arial" w:cs="Arial"/>
          <w:szCs w:val="24"/>
        </w:rPr>
        <w:t>’ and requiring</w:t>
      </w:r>
      <w:r w:rsidRPr="003261E3">
        <w:rPr>
          <w:rFonts w:ascii="Arial" w:eastAsia="Calibri" w:hAnsi="Arial" w:cs="Arial"/>
          <w:szCs w:val="24"/>
        </w:rPr>
        <w:t xml:space="preserve"> prescribers to phone </w:t>
      </w:r>
      <w:r>
        <w:rPr>
          <w:rFonts w:ascii="Arial" w:eastAsia="Calibri" w:hAnsi="Arial" w:cs="Arial"/>
          <w:szCs w:val="24"/>
        </w:rPr>
        <w:t xml:space="preserve">the </w:t>
      </w:r>
      <w:r w:rsidRPr="003261E3">
        <w:rPr>
          <w:rFonts w:ascii="Arial" w:eastAsia="Calibri" w:hAnsi="Arial" w:cs="Arial"/>
          <w:szCs w:val="24"/>
        </w:rPr>
        <w:t>D</w:t>
      </w:r>
      <w:r>
        <w:rPr>
          <w:rFonts w:ascii="Arial" w:eastAsia="Calibri" w:hAnsi="Arial" w:cs="Arial"/>
          <w:szCs w:val="24"/>
        </w:rPr>
        <w:t xml:space="preserve">epartment of </w:t>
      </w:r>
      <w:r w:rsidRPr="003261E3">
        <w:rPr>
          <w:rFonts w:ascii="Arial" w:eastAsia="Calibri" w:hAnsi="Arial" w:cs="Arial"/>
          <w:szCs w:val="24"/>
        </w:rPr>
        <w:t>H</w:t>
      </w:r>
      <w:r>
        <w:rPr>
          <w:rFonts w:ascii="Arial" w:eastAsia="Calibri" w:hAnsi="Arial" w:cs="Arial"/>
          <w:szCs w:val="24"/>
        </w:rPr>
        <w:t xml:space="preserve">uman </w:t>
      </w:r>
      <w:r w:rsidRPr="003261E3">
        <w:rPr>
          <w:rFonts w:ascii="Arial" w:eastAsia="Calibri" w:hAnsi="Arial" w:cs="Arial"/>
          <w:szCs w:val="24"/>
        </w:rPr>
        <w:t>S</w:t>
      </w:r>
      <w:r>
        <w:rPr>
          <w:rFonts w:ascii="Arial" w:eastAsia="Calibri" w:hAnsi="Arial" w:cs="Arial"/>
          <w:szCs w:val="24"/>
        </w:rPr>
        <w:t>ervices (DHS)</w:t>
      </w:r>
      <w:r w:rsidRPr="003261E3">
        <w:rPr>
          <w:rFonts w:ascii="Arial" w:eastAsia="Calibri" w:hAnsi="Arial" w:cs="Arial"/>
          <w:szCs w:val="24"/>
        </w:rPr>
        <w:t xml:space="preserve"> for an authority approva</w:t>
      </w:r>
      <w:r>
        <w:rPr>
          <w:rFonts w:ascii="Arial" w:eastAsia="Calibri" w:hAnsi="Arial" w:cs="Arial"/>
          <w:szCs w:val="24"/>
        </w:rPr>
        <w:t>l number</w:t>
      </w:r>
      <w:r w:rsidRPr="003261E3">
        <w:rPr>
          <w:rFonts w:ascii="Arial" w:eastAsia="Calibri" w:hAnsi="Arial" w:cs="Arial"/>
          <w:szCs w:val="24"/>
        </w:rPr>
        <w:t xml:space="preserve"> would create substantial administrative</w:t>
      </w:r>
      <w:r>
        <w:rPr>
          <w:rFonts w:ascii="Arial" w:eastAsia="Calibri" w:hAnsi="Arial" w:cs="Arial"/>
          <w:szCs w:val="24"/>
        </w:rPr>
        <w:t xml:space="preserve"> burden for DHS and prescribers</w:t>
      </w:r>
      <w:r w:rsidRPr="003261E3">
        <w:rPr>
          <w:rFonts w:ascii="Arial" w:eastAsia="Calibri" w:hAnsi="Arial" w:cs="Arial"/>
          <w:szCs w:val="24"/>
        </w:rPr>
        <w:t xml:space="preserve">. </w:t>
      </w:r>
      <w:r w:rsidRPr="003261E3">
        <w:rPr>
          <w:rFonts w:ascii="Arial" w:hAnsi="Arial" w:cs="Arial"/>
          <w:szCs w:val="24"/>
        </w:rPr>
        <w:t>The PBAC recommended an Authority Required (STREAMLINED) restriction, to balance</w:t>
      </w:r>
      <w:r>
        <w:rPr>
          <w:rFonts w:ascii="Arial" w:hAnsi="Arial" w:cs="Arial"/>
          <w:szCs w:val="24"/>
        </w:rPr>
        <w:t xml:space="preserve"> the need for</w:t>
      </w:r>
      <w:r w:rsidRPr="003261E3">
        <w:rPr>
          <w:rFonts w:ascii="Arial" w:hAnsi="Arial" w:cs="Arial"/>
          <w:szCs w:val="24"/>
        </w:rPr>
        <w:t xml:space="preserve"> compliance with administrative burden.</w:t>
      </w:r>
    </w:p>
    <w:p w:rsidR="00C04220" w:rsidRDefault="00C04220" w:rsidP="00C04220">
      <w:pPr>
        <w:ind w:left="720" w:hanging="720"/>
        <w:jc w:val="both"/>
        <w:rPr>
          <w:rFonts w:ascii="Arial" w:hAnsi="Arial" w:cs="Arial"/>
          <w:szCs w:val="24"/>
        </w:rPr>
      </w:pPr>
    </w:p>
    <w:p w:rsidR="00C04220" w:rsidRPr="003261E3" w:rsidRDefault="00C04220" w:rsidP="00C04220">
      <w:pPr>
        <w:ind w:left="720" w:hanging="720"/>
        <w:jc w:val="both"/>
        <w:rPr>
          <w:rFonts w:ascii="Arial" w:hAnsi="Arial" w:cs="Arial"/>
          <w:szCs w:val="24"/>
        </w:rPr>
      </w:pPr>
      <w:r>
        <w:rPr>
          <w:rFonts w:ascii="Arial" w:hAnsi="Arial" w:cs="Arial"/>
          <w:szCs w:val="24"/>
        </w:rPr>
        <w:t>3.3</w:t>
      </w:r>
      <w:r>
        <w:rPr>
          <w:rFonts w:ascii="Arial" w:hAnsi="Arial" w:cs="Arial"/>
          <w:szCs w:val="24"/>
        </w:rPr>
        <w:tab/>
      </w:r>
      <w:r w:rsidRPr="003261E3">
        <w:rPr>
          <w:rFonts w:ascii="Arial" w:eastAsia="Calibri" w:hAnsi="Arial" w:cs="Arial"/>
          <w:szCs w:val="24"/>
        </w:rPr>
        <w:t>The PBAC</w:t>
      </w:r>
      <w:r>
        <w:rPr>
          <w:rFonts w:ascii="Arial" w:eastAsia="Calibri" w:hAnsi="Arial" w:cs="Arial"/>
          <w:szCs w:val="24"/>
        </w:rPr>
        <w:t xml:space="preserve"> recommended</w:t>
      </w:r>
      <w:r w:rsidRPr="003261E3">
        <w:rPr>
          <w:rFonts w:ascii="Arial" w:eastAsia="Calibri" w:hAnsi="Arial" w:cs="Arial"/>
          <w:szCs w:val="24"/>
        </w:rPr>
        <w:t xml:space="preserve"> the possibility of making test strips</w:t>
      </w:r>
      <w:r>
        <w:rPr>
          <w:rFonts w:ascii="Arial" w:eastAsia="Calibri" w:hAnsi="Arial" w:cs="Arial"/>
          <w:szCs w:val="24"/>
        </w:rPr>
        <w:t xml:space="preserve"> available</w:t>
      </w:r>
      <w:r w:rsidRPr="003261E3">
        <w:rPr>
          <w:rFonts w:ascii="Arial" w:eastAsia="Calibri" w:hAnsi="Arial" w:cs="Arial"/>
          <w:szCs w:val="24"/>
        </w:rPr>
        <w:t xml:space="preserve"> in smaller pack sizes (e.g. 50 strips) to reduce potential wastage and provide additional access for short-term use, such as during periods of inter-current illness. </w:t>
      </w:r>
      <w:r w:rsidRPr="003261E3">
        <w:rPr>
          <w:rFonts w:ascii="Arial" w:hAnsi="Arial" w:cs="Arial"/>
          <w:szCs w:val="24"/>
        </w:rPr>
        <w:t>Overall, the proposed changes to the current PBS listing will remove the unrestricted listing for test strips and provide more guidance to the prescriber on</w:t>
      </w:r>
      <w:r>
        <w:rPr>
          <w:rFonts w:ascii="Arial" w:hAnsi="Arial" w:cs="Arial"/>
          <w:szCs w:val="24"/>
        </w:rPr>
        <w:t xml:space="preserve"> the</w:t>
      </w:r>
      <w:r w:rsidRPr="003261E3">
        <w:rPr>
          <w:rFonts w:ascii="Arial" w:hAnsi="Arial" w:cs="Arial"/>
          <w:szCs w:val="24"/>
        </w:rPr>
        <w:t xml:space="preserve"> targeted use</w:t>
      </w:r>
      <w:r>
        <w:rPr>
          <w:rFonts w:ascii="Arial" w:hAnsi="Arial" w:cs="Arial"/>
          <w:szCs w:val="24"/>
        </w:rPr>
        <w:t xml:space="preserve"> of the strips</w:t>
      </w:r>
      <w:r w:rsidRPr="003261E3">
        <w:rPr>
          <w:rFonts w:ascii="Arial" w:hAnsi="Arial" w:cs="Arial"/>
          <w:szCs w:val="24"/>
        </w:rPr>
        <w:t xml:space="preserve"> in specific groups of patients</w:t>
      </w:r>
      <w:r>
        <w:rPr>
          <w:rFonts w:ascii="Arial" w:hAnsi="Arial" w:cs="Arial"/>
          <w:szCs w:val="24"/>
        </w:rPr>
        <w:t>.</w:t>
      </w:r>
    </w:p>
    <w:p w:rsidR="00C04220" w:rsidRPr="003261E3" w:rsidRDefault="00C04220" w:rsidP="00C04220">
      <w:pPr>
        <w:ind w:left="720" w:hanging="720"/>
        <w:jc w:val="both"/>
        <w:rPr>
          <w:rFonts w:ascii="Arial" w:hAnsi="Arial" w:cs="Arial"/>
          <w:szCs w:val="24"/>
        </w:rPr>
      </w:pPr>
    </w:p>
    <w:p w:rsidR="00C04220" w:rsidRPr="003261E3" w:rsidRDefault="00C04220" w:rsidP="00C04220">
      <w:pPr>
        <w:ind w:left="720" w:hanging="720"/>
        <w:jc w:val="both"/>
        <w:rPr>
          <w:rFonts w:ascii="Arial" w:hAnsi="Arial" w:cs="Arial"/>
          <w:szCs w:val="24"/>
        </w:rPr>
      </w:pPr>
      <w:r w:rsidRPr="003261E3">
        <w:rPr>
          <w:rFonts w:ascii="Arial" w:hAnsi="Arial" w:cs="Arial"/>
          <w:szCs w:val="24"/>
        </w:rPr>
        <w:t>3</w:t>
      </w:r>
      <w:r>
        <w:rPr>
          <w:rFonts w:ascii="Arial" w:hAnsi="Arial" w:cs="Arial"/>
          <w:szCs w:val="24"/>
        </w:rPr>
        <w:t>.4</w:t>
      </w:r>
      <w:r w:rsidRPr="003261E3">
        <w:rPr>
          <w:rFonts w:ascii="Arial" w:hAnsi="Arial" w:cs="Arial"/>
          <w:szCs w:val="24"/>
        </w:rPr>
        <w:tab/>
        <w:t xml:space="preserve">The PBAC suggested that changes to the current PBS restrictions should </w:t>
      </w:r>
      <w:r>
        <w:rPr>
          <w:rFonts w:ascii="Arial" w:hAnsi="Arial" w:cs="Arial"/>
          <w:szCs w:val="24"/>
        </w:rPr>
        <w:t xml:space="preserve">be reflected in </w:t>
      </w:r>
      <w:r w:rsidRPr="003261E3">
        <w:rPr>
          <w:rFonts w:ascii="Arial" w:hAnsi="Arial" w:cs="Arial"/>
          <w:szCs w:val="24"/>
        </w:rPr>
        <w:t>the NDS</w:t>
      </w:r>
      <w:r>
        <w:rPr>
          <w:rFonts w:ascii="Arial" w:hAnsi="Arial" w:cs="Arial"/>
          <w:szCs w:val="24"/>
        </w:rPr>
        <w:t xml:space="preserve">S. The PBAC noted this restriction change </w:t>
      </w:r>
      <w:r w:rsidRPr="003261E3">
        <w:rPr>
          <w:rFonts w:ascii="Arial" w:hAnsi="Arial" w:cs="Arial"/>
          <w:szCs w:val="24"/>
        </w:rPr>
        <w:t>may t</w:t>
      </w:r>
      <w:r>
        <w:rPr>
          <w:rFonts w:ascii="Arial" w:hAnsi="Arial" w:cs="Arial"/>
          <w:szCs w:val="24"/>
        </w:rPr>
        <w:t>ake longer to implement than other</w:t>
      </w:r>
      <w:r w:rsidRPr="003261E3">
        <w:rPr>
          <w:rFonts w:ascii="Arial" w:hAnsi="Arial" w:cs="Arial"/>
          <w:szCs w:val="24"/>
        </w:rPr>
        <w:t xml:space="preserve"> changes to the PBS</w:t>
      </w:r>
      <w:r>
        <w:rPr>
          <w:rFonts w:ascii="Arial" w:hAnsi="Arial" w:cs="Arial"/>
          <w:szCs w:val="24"/>
        </w:rPr>
        <w:t xml:space="preserve"> because the NDSS operates on a different IT platform which does not include authorities or prescriptions. The NDSS would </w:t>
      </w:r>
      <w:r w:rsidRPr="003261E3">
        <w:rPr>
          <w:rFonts w:ascii="Arial" w:hAnsi="Arial" w:cs="Arial"/>
          <w:szCs w:val="24"/>
        </w:rPr>
        <w:t xml:space="preserve">require system and </w:t>
      </w:r>
      <w:r>
        <w:rPr>
          <w:rFonts w:ascii="Arial" w:hAnsi="Arial" w:cs="Arial"/>
          <w:szCs w:val="24"/>
        </w:rPr>
        <w:t xml:space="preserve">IT </w:t>
      </w:r>
      <w:r w:rsidRPr="003261E3">
        <w:rPr>
          <w:rFonts w:ascii="Arial" w:hAnsi="Arial" w:cs="Arial"/>
          <w:szCs w:val="24"/>
        </w:rPr>
        <w:t>changes</w:t>
      </w:r>
      <w:r>
        <w:rPr>
          <w:rFonts w:ascii="Arial" w:hAnsi="Arial" w:cs="Arial"/>
          <w:szCs w:val="24"/>
        </w:rPr>
        <w:t>.</w:t>
      </w:r>
    </w:p>
    <w:p w:rsidR="00C04220" w:rsidRPr="003261E3" w:rsidRDefault="00C04220" w:rsidP="00C04220">
      <w:pPr>
        <w:ind w:left="720" w:hanging="720"/>
        <w:jc w:val="both"/>
        <w:rPr>
          <w:rFonts w:ascii="Arial" w:hAnsi="Arial" w:cs="Arial"/>
          <w:szCs w:val="24"/>
        </w:rPr>
      </w:pPr>
    </w:p>
    <w:p w:rsidR="00C04220" w:rsidRPr="003261E3" w:rsidRDefault="00C04220" w:rsidP="00C04220">
      <w:pPr>
        <w:tabs>
          <w:tab w:val="num" w:pos="2160"/>
        </w:tabs>
        <w:ind w:left="720" w:hanging="720"/>
        <w:jc w:val="both"/>
        <w:rPr>
          <w:rFonts w:ascii="Arial" w:hAnsi="Arial" w:cs="Arial"/>
          <w:szCs w:val="24"/>
        </w:rPr>
      </w:pPr>
      <w:r w:rsidRPr="003261E3">
        <w:rPr>
          <w:rFonts w:ascii="Arial" w:hAnsi="Arial" w:cs="Arial"/>
          <w:szCs w:val="24"/>
        </w:rPr>
        <w:t>3.</w:t>
      </w:r>
      <w:r>
        <w:rPr>
          <w:rFonts w:ascii="Arial" w:hAnsi="Arial" w:cs="Arial"/>
          <w:szCs w:val="24"/>
        </w:rPr>
        <w:t>5</w:t>
      </w:r>
      <w:r w:rsidRPr="003261E3">
        <w:rPr>
          <w:rFonts w:ascii="Arial" w:hAnsi="Arial" w:cs="Arial"/>
          <w:szCs w:val="24"/>
        </w:rPr>
        <w:tab/>
        <w:t>The PBAC recommended that any chang</w:t>
      </w:r>
      <w:r>
        <w:rPr>
          <w:rFonts w:ascii="Arial" w:hAnsi="Arial" w:cs="Arial"/>
          <w:szCs w:val="24"/>
        </w:rPr>
        <w:t xml:space="preserve">es to the PBS or NDSS should be communicated to stakeholders </w:t>
      </w:r>
      <w:r w:rsidRPr="003261E3">
        <w:rPr>
          <w:rFonts w:ascii="Arial" w:hAnsi="Arial" w:cs="Arial"/>
          <w:szCs w:val="24"/>
        </w:rPr>
        <w:t xml:space="preserve">including NPS </w:t>
      </w:r>
      <w:proofErr w:type="spellStart"/>
      <w:r w:rsidRPr="003261E3">
        <w:rPr>
          <w:rFonts w:ascii="Arial" w:hAnsi="Arial" w:cs="Arial"/>
          <w:szCs w:val="24"/>
        </w:rPr>
        <w:t>MedicineWise</w:t>
      </w:r>
      <w:proofErr w:type="spellEnd"/>
      <w:r w:rsidRPr="003261E3">
        <w:rPr>
          <w:rFonts w:ascii="Arial" w:hAnsi="Arial" w:cs="Arial"/>
          <w:szCs w:val="24"/>
        </w:rPr>
        <w:t xml:space="preserve">, Diabetes Australia and the Royal Australian College of General Practitioners (RACGP), </w:t>
      </w:r>
      <w:r w:rsidRPr="003261E3">
        <w:rPr>
          <w:rFonts w:ascii="Arial" w:hAnsi="Arial" w:cs="Arial"/>
          <w:szCs w:val="24"/>
          <w:lang w:val="en-US"/>
        </w:rPr>
        <w:t>the Australian College of Rural and Remote Medicine, Australian Diabetes Educators Association, Australian Diabetes Society and to Aboriginal and Torres Strait Islanders populations.</w:t>
      </w:r>
    </w:p>
    <w:p w:rsidR="004D51C8" w:rsidRPr="00C540A8" w:rsidRDefault="004D51C8">
      <w:pPr>
        <w:rPr>
          <w:szCs w:val="24"/>
        </w:rPr>
      </w:pPr>
    </w:p>
    <w:sectPr w:rsidR="004D51C8" w:rsidRPr="00C540A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6C" w:rsidRDefault="0007726C">
      <w:r>
        <w:separator/>
      </w:r>
    </w:p>
  </w:endnote>
  <w:endnote w:type="continuationSeparator" w:id="0">
    <w:p w:rsidR="0007726C" w:rsidRDefault="000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1FB" w:rsidRDefault="0007726C">
    <w:pPr>
      <w:pStyle w:val="Footer"/>
    </w:pPr>
  </w:p>
  <w:p w:rsidR="001C61FB" w:rsidRDefault="0007726C">
    <w:pPr>
      <w:pStyle w:val="Footer"/>
    </w:pPr>
  </w:p>
  <w:p w:rsidR="001C61FB" w:rsidRDefault="00077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6C" w:rsidRDefault="0007726C">
      <w:r>
        <w:separator/>
      </w:r>
    </w:p>
  </w:footnote>
  <w:footnote w:type="continuationSeparator" w:id="0">
    <w:p w:rsidR="0007726C" w:rsidRDefault="0007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55F"/>
    <w:multiLevelType w:val="hybridMultilevel"/>
    <w:tmpl w:val="084EF4B0"/>
    <w:lvl w:ilvl="0" w:tplc="98683520">
      <w:start w:val="1"/>
      <w:numFmt w:val="lowerRoman"/>
      <w:lvlText w:val="%1."/>
      <w:lvlJc w:val="left"/>
      <w:pPr>
        <w:ind w:left="1495" w:hanging="360"/>
      </w:pPr>
      <w:rPr>
        <w:rFonts w:ascii="Arial" w:eastAsia="Times New Roman" w:hAnsi="Arial" w:cs="Arial"/>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
    <w:nsid w:val="46091BC5"/>
    <w:multiLevelType w:val="hybridMultilevel"/>
    <w:tmpl w:val="8FD43C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F160796">
      <w:start w:val="1"/>
      <w:numFmt w:val="lowerRoman"/>
      <w:lvlText w:val="%3."/>
      <w:lvlJc w:val="left"/>
      <w:pPr>
        <w:ind w:left="1495" w:hanging="360"/>
      </w:pPr>
      <w:rPr>
        <w:rFonts w:ascii="Arial" w:eastAsia="Times New Roman" w:hAnsi="Arial" w:cs="Arial"/>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885C03"/>
    <w:multiLevelType w:val="hybridMultilevel"/>
    <w:tmpl w:val="32BCCB92"/>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71896684"/>
    <w:multiLevelType w:val="multilevel"/>
    <w:tmpl w:val="FBFC8D94"/>
    <w:lvl w:ilvl="0">
      <w:start w:val="1"/>
      <w:numFmt w:val="decimal"/>
      <w:pStyle w:val="Heading2"/>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20"/>
    <w:rsid w:val="0007726C"/>
    <w:rsid w:val="003F226D"/>
    <w:rsid w:val="004D51C8"/>
    <w:rsid w:val="00AB2F89"/>
    <w:rsid w:val="00C04220"/>
    <w:rsid w:val="00C540A8"/>
    <w:rsid w:val="00D759FF"/>
    <w:rsid w:val="00E734B0"/>
    <w:rsid w:val="00EB1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2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C04220"/>
    <w:pPr>
      <w:keepNext/>
      <w:keepLines/>
      <w:jc w:val="center"/>
      <w:outlineLvl w:val="0"/>
    </w:pPr>
    <w:rPr>
      <w:rFonts w:asciiTheme="majorHAnsi" w:eastAsiaTheme="majorEastAsia" w:hAnsiTheme="majorHAnsi" w:cstheme="majorBidi"/>
      <w:b/>
      <w:bCs/>
      <w:sz w:val="28"/>
      <w:szCs w:val="28"/>
    </w:rPr>
  </w:style>
  <w:style w:type="paragraph" w:styleId="Heading2">
    <w:name w:val="heading 2"/>
    <w:basedOn w:val="ListParagraph"/>
    <w:next w:val="Normal"/>
    <w:link w:val="Heading2Char"/>
    <w:autoRedefine/>
    <w:uiPriority w:val="9"/>
    <w:unhideWhenUsed/>
    <w:qFormat/>
    <w:rsid w:val="00C04220"/>
    <w:pPr>
      <w:numPr>
        <w:numId w:val="2"/>
      </w:numPr>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220"/>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C04220"/>
    <w:rPr>
      <w:rFonts w:ascii="Arial" w:eastAsia="Times New Roman" w:hAnsi="Arial" w:cs="Arial"/>
      <w:b/>
      <w:sz w:val="24"/>
      <w:szCs w:val="24"/>
      <w:lang w:eastAsia="en-AU"/>
    </w:rPr>
  </w:style>
  <w:style w:type="paragraph" w:styleId="ListParagraph">
    <w:name w:val="List Paragraph"/>
    <w:basedOn w:val="Normal"/>
    <w:uiPriority w:val="34"/>
    <w:qFormat/>
    <w:rsid w:val="00C04220"/>
    <w:pPr>
      <w:ind w:left="720"/>
      <w:contextualSpacing/>
    </w:pPr>
    <w:rPr>
      <w:szCs w:val="24"/>
    </w:rPr>
  </w:style>
  <w:style w:type="paragraph" w:styleId="Footer">
    <w:name w:val="footer"/>
    <w:basedOn w:val="Normal"/>
    <w:link w:val="FooterChar"/>
    <w:uiPriority w:val="99"/>
    <w:unhideWhenUsed/>
    <w:rsid w:val="00C04220"/>
    <w:pPr>
      <w:tabs>
        <w:tab w:val="center" w:pos="4513"/>
        <w:tab w:val="right" w:pos="9026"/>
      </w:tabs>
    </w:pPr>
  </w:style>
  <w:style w:type="character" w:customStyle="1" w:styleId="FooterChar">
    <w:name w:val="Footer Char"/>
    <w:basedOn w:val="DefaultParagraphFont"/>
    <w:link w:val="Footer"/>
    <w:uiPriority w:val="99"/>
    <w:rsid w:val="00C04220"/>
    <w:rPr>
      <w:rFonts w:ascii="Times New Roman" w:eastAsia="Times New Roman" w:hAnsi="Times New Roman" w:cs="Times New Roman"/>
      <w:sz w:val="24"/>
      <w:szCs w:val="20"/>
      <w:lang w:eastAsia="en-AU"/>
    </w:rPr>
  </w:style>
  <w:style w:type="paragraph" w:customStyle="1" w:styleId="MincoHeading">
    <w:name w:val="Minco Heading"/>
    <w:basedOn w:val="Normal"/>
    <w:rsid w:val="00C04220"/>
    <w:pPr>
      <w:overflowPunct w:val="0"/>
      <w:autoSpaceDE w:val="0"/>
      <w:autoSpaceDN w:val="0"/>
      <w:adjustRightInd w:val="0"/>
      <w:jc w:val="center"/>
      <w:textAlignment w:val="baseline"/>
    </w:pPr>
    <w:rPr>
      <w:b/>
      <w:bCs/>
      <w:szCs w:val="24"/>
      <w:lang w:eastAsia="en-US"/>
    </w:rPr>
  </w:style>
  <w:style w:type="paragraph" w:styleId="NormalWeb">
    <w:name w:val="Normal (Web)"/>
    <w:basedOn w:val="Normal"/>
    <w:uiPriority w:val="99"/>
    <w:unhideWhenUsed/>
    <w:rsid w:val="00C04220"/>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04220"/>
    <w:rPr>
      <w:rFonts w:ascii="Tahoma" w:hAnsi="Tahoma" w:cs="Tahoma"/>
      <w:sz w:val="16"/>
      <w:szCs w:val="16"/>
    </w:rPr>
  </w:style>
  <w:style w:type="character" w:customStyle="1" w:styleId="BalloonTextChar">
    <w:name w:val="Balloon Text Char"/>
    <w:basedOn w:val="DefaultParagraphFont"/>
    <w:link w:val="BalloonText"/>
    <w:uiPriority w:val="99"/>
    <w:semiHidden/>
    <w:rsid w:val="00C04220"/>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2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C04220"/>
    <w:pPr>
      <w:keepNext/>
      <w:keepLines/>
      <w:jc w:val="center"/>
      <w:outlineLvl w:val="0"/>
    </w:pPr>
    <w:rPr>
      <w:rFonts w:asciiTheme="majorHAnsi" w:eastAsiaTheme="majorEastAsia" w:hAnsiTheme="majorHAnsi" w:cstheme="majorBidi"/>
      <w:b/>
      <w:bCs/>
      <w:sz w:val="28"/>
      <w:szCs w:val="28"/>
    </w:rPr>
  </w:style>
  <w:style w:type="paragraph" w:styleId="Heading2">
    <w:name w:val="heading 2"/>
    <w:basedOn w:val="ListParagraph"/>
    <w:next w:val="Normal"/>
    <w:link w:val="Heading2Char"/>
    <w:autoRedefine/>
    <w:uiPriority w:val="9"/>
    <w:unhideWhenUsed/>
    <w:qFormat/>
    <w:rsid w:val="00C04220"/>
    <w:pPr>
      <w:numPr>
        <w:numId w:val="2"/>
      </w:numPr>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220"/>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C04220"/>
    <w:rPr>
      <w:rFonts w:ascii="Arial" w:eastAsia="Times New Roman" w:hAnsi="Arial" w:cs="Arial"/>
      <w:b/>
      <w:sz w:val="24"/>
      <w:szCs w:val="24"/>
      <w:lang w:eastAsia="en-AU"/>
    </w:rPr>
  </w:style>
  <w:style w:type="paragraph" w:styleId="ListParagraph">
    <w:name w:val="List Paragraph"/>
    <w:basedOn w:val="Normal"/>
    <w:uiPriority w:val="34"/>
    <w:qFormat/>
    <w:rsid w:val="00C04220"/>
    <w:pPr>
      <w:ind w:left="720"/>
      <w:contextualSpacing/>
    </w:pPr>
    <w:rPr>
      <w:szCs w:val="24"/>
    </w:rPr>
  </w:style>
  <w:style w:type="paragraph" w:styleId="Footer">
    <w:name w:val="footer"/>
    <w:basedOn w:val="Normal"/>
    <w:link w:val="FooterChar"/>
    <w:uiPriority w:val="99"/>
    <w:unhideWhenUsed/>
    <w:rsid w:val="00C04220"/>
    <w:pPr>
      <w:tabs>
        <w:tab w:val="center" w:pos="4513"/>
        <w:tab w:val="right" w:pos="9026"/>
      </w:tabs>
    </w:pPr>
  </w:style>
  <w:style w:type="character" w:customStyle="1" w:styleId="FooterChar">
    <w:name w:val="Footer Char"/>
    <w:basedOn w:val="DefaultParagraphFont"/>
    <w:link w:val="Footer"/>
    <w:uiPriority w:val="99"/>
    <w:rsid w:val="00C04220"/>
    <w:rPr>
      <w:rFonts w:ascii="Times New Roman" w:eastAsia="Times New Roman" w:hAnsi="Times New Roman" w:cs="Times New Roman"/>
      <w:sz w:val="24"/>
      <w:szCs w:val="20"/>
      <w:lang w:eastAsia="en-AU"/>
    </w:rPr>
  </w:style>
  <w:style w:type="paragraph" w:customStyle="1" w:styleId="MincoHeading">
    <w:name w:val="Minco Heading"/>
    <w:basedOn w:val="Normal"/>
    <w:rsid w:val="00C04220"/>
    <w:pPr>
      <w:overflowPunct w:val="0"/>
      <w:autoSpaceDE w:val="0"/>
      <w:autoSpaceDN w:val="0"/>
      <w:adjustRightInd w:val="0"/>
      <w:jc w:val="center"/>
      <w:textAlignment w:val="baseline"/>
    </w:pPr>
    <w:rPr>
      <w:b/>
      <w:bCs/>
      <w:szCs w:val="24"/>
      <w:lang w:eastAsia="en-US"/>
    </w:rPr>
  </w:style>
  <w:style w:type="paragraph" w:styleId="NormalWeb">
    <w:name w:val="Normal (Web)"/>
    <w:basedOn w:val="Normal"/>
    <w:uiPriority w:val="99"/>
    <w:unhideWhenUsed/>
    <w:rsid w:val="00C04220"/>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04220"/>
    <w:rPr>
      <w:rFonts w:ascii="Tahoma" w:hAnsi="Tahoma" w:cs="Tahoma"/>
      <w:sz w:val="16"/>
      <w:szCs w:val="16"/>
    </w:rPr>
  </w:style>
  <w:style w:type="character" w:customStyle="1" w:styleId="BalloonTextChar">
    <w:name w:val="Balloon Text Char"/>
    <w:basedOn w:val="DefaultParagraphFont"/>
    <w:link w:val="BalloonText"/>
    <w:uiPriority w:val="99"/>
    <w:semiHidden/>
    <w:rsid w:val="00C04220"/>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georga\AppData\Local\Temp\4\notes720319\SUMMARY%20NDSS%20Analysis%20-%20July%20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200"/>
              <a:t>Proportion of People with Type 2 Diabetes Not Using Insulin Supplied with Test Strips by Age</a:t>
            </a:r>
          </a:p>
        </c:rich>
      </c:tx>
      <c:overlay val="0"/>
    </c:title>
    <c:autoTitleDeleted val="0"/>
    <c:plotArea>
      <c:layout/>
      <c:lineChart>
        <c:grouping val="standard"/>
        <c:varyColors val="0"/>
        <c:ser>
          <c:idx val="0"/>
          <c:order val="0"/>
          <c:tx>
            <c:strRef>
              <c:f>'Graph AGE'!$B$28</c:f>
              <c:strCache>
                <c:ptCount val="1"/>
                <c:pt idx="0">
                  <c:v>&gt; or = 4 Packs/year</c:v>
                </c:pt>
              </c:strCache>
            </c:strRef>
          </c:tx>
          <c:marker>
            <c:symbol val="none"/>
          </c:marker>
          <c:cat>
            <c:strRef>
              <c:f>'Graph AGE'!$A$29:$A$46</c:f>
              <c:strCache>
                <c:ptCount val="18"/>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75-79</c:v>
                </c:pt>
                <c:pt idx="14">
                  <c:v>80-84</c:v>
                </c:pt>
                <c:pt idx="15">
                  <c:v>85-89</c:v>
                </c:pt>
                <c:pt idx="16">
                  <c:v>90-94</c:v>
                </c:pt>
                <c:pt idx="17">
                  <c:v>95 and Over</c:v>
                </c:pt>
              </c:strCache>
            </c:strRef>
          </c:cat>
          <c:val>
            <c:numRef>
              <c:f>'Graph AGE'!$B$29:$B$46</c:f>
              <c:numCache>
                <c:formatCode>0.0%</c:formatCode>
                <c:ptCount val="18"/>
                <c:pt idx="0">
                  <c:v>0.20454545454545456</c:v>
                </c:pt>
                <c:pt idx="1">
                  <c:v>0.18124999999999999</c:v>
                </c:pt>
                <c:pt idx="2">
                  <c:v>0.22012578616352202</c:v>
                </c:pt>
                <c:pt idx="3">
                  <c:v>0.18340611353711792</c:v>
                </c:pt>
                <c:pt idx="4">
                  <c:v>0.20496083550913838</c:v>
                </c:pt>
                <c:pt idx="5">
                  <c:v>0.20268914308649408</c:v>
                </c:pt>
                <c:pt idx="6">
                  <c:v>0.19793855698989293</c:v>
                </c:pt>
                <c:pt idx="7">
                  <c:v>0.20952326446517483</c:v>
                </c:pt>
                <c:pt idx="8">
                  <c:v>0.2287218484937116</c:v>
                </c:pt>
                <c:pt idx="9">
                  <c:v>0.25385172164202252</c:v>
                </c:pt>
                <c:pt idx="10">
                  <c:v>0.28281084474437951</c:v>
                </c:pt>
                <c:pt idx="11">
                  <c:v>0.33104555266507996</c:v>
                </c:pt>
                <c:pt idx="12">
                  <c:v>0.34850230414746541</c:v>
                </c:pt>
                <c:pt idx="13">
                  <c:v>0.35436781902020226</c:v>
                </c:pt>
                <c:pt idx="14">
                  <c:v>0.3410795705250772</c:v>
                </c:pt>
                <c:pt idx="15">
                  <c:v>0.32473398147439331</c:v>
                </c:pt>
                <c:pt idx="16">
                  <c:v>0.31192660550458717</c:v>
                </c:pt>
                <c:pt idx="17">
                  <c:v>0.32646592709984151</c:v>
                </c:pt>
              </c:numCache>
            </c:numRef>
          </c:val>
          <c:smooth val="0"/>
        </c:ser>
        <c:ser>
          <c:idx val="1"/>
          <c:order val="1"/>
          <c:tx>
            <c:strRef>
              <c:f>'Graph AGE'!$C$28</c:f>
              <c:strCache>
                <c:ptCount val="1"/>
                <c:pt idx="0">
                  <c:v>&lt; 4 packs/year</c:v>
                </c:pt>
              </c:strCache>
            </c:strRef>
          </c:tx>
          <c:marker>
            <c:symbol val="none"/>
          </c:marker>
          <c:cat>
            <c:strRef>
              <c:f>'Graph AGE'!$A$29:$A$46</c:f>
              <c:strCache>
                <c:ptCount val="18"/>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75-79</c:v>
                </c:pt>
                <c:pt idx="14">
                  <c:v>80-84</c:v>
                </c:pt>
                <c:pt idx="15">
                  <c:v>85-89</c:v>
                </c:pt>
                <c:pt idx="16">
                  <c:v>90-94</c:v>
                </c:pt>
                <c:pt idx="17">
                  <c:v>95 and Over</c:v>
                </c:pt>
              </c:strCache>
            </c:strRef>
          </c:cat>
          <c:val>
            <c:numRef>
              <c:f>'Graph AGE'!$C$29:$C$46</c:f>
              <c:numCache>
                <c:formatCode>0.0%</c:formatCode>
                <c:ptCount val="18"/>
                <c:pt idx="0">
                  <c:v>0.79545454545454541</c:v>
                </c:pt>
                <c:pt idx="1">
                  <c:v>0.81874999999999998</c:v>
                </c:pt>
                <c:pt idx="2">
                  <c:v>0.77987421383647804</c:v>
                </c:pt>
                <c:pt idx="3">
                  <c:v>0.81659388646288211</c:v>
                </c:pt>
                <c:pt idx="4">
                  <c:v>0.79503916449086165</c:v>
                </c:pt>
                <c:pt idx="5">
                  <c:v>0.79731085691350589</c:v>
                </c:pt>
                <c:pt idx="6">
                  <c:v>0.80206144301010707</c:v>
                </c:pt>
                <c:pt idx="7">
                  <c:v>0.79047673553482511</c:v>
                </c:pt>
                <c:pt idx="8">
                  <c:v>0.77127815150628842</c:v>
                </c:pt>
                <c:pt idx="9">
                  <c:v>0.74614827835797748</c:v>
                </c:pt>
                <c:pt idx="10">
                  <c:v>0.71718915525562055</c:v>
                </c:pt>
                <c:pt idx="11">
                  <c:v>0.66895444733492004</c:v>
                </c:pt>
                <c:pt idx="12">
                  <c:v>0.65149769585253459</c:v>
                </c:pt>
                <c:pt idx="13">
                  <c:v>0.64563218097979769</c:v>
                </c:pt>
                <c:pt idx="14">
                  <c:v>0.6589204294749228</c:v>
                </c:pt>
                <c:pt idx="15">
                  <c:v>0.67526601852560664</c:v>
                </c:pt>
                <c:pt idx="16">
                  <c:v>0.68807339449541283</c:v>
                </c:pt>
                <c:pt idx="17">
                  <c:v>0.67353407290015843</c:v>
                </c:pt>
              </c:numCache>
            </c:numRef>
          </c:val>
          <c:smooth val="0"/>
        </c:ser>
        <c:dLbls>
          <c:showLegendKey val="0"/>
          <c:showVal val="0"/>
          <c:showCatName val="0"/>
          <c:showSerName val="0"/>
          <c:showPercent val="0"/>
          <c:showBubbleSize val="0"/>
        </c:dLbls>
        <c:marker val="1"/>
        <c:smooth val="0"/>
        <c:axId val="80779520"/>
        <c:axId val="80789888"/>
      </c:lineChart>
      <c:catAx>
        <c:axId val="80779520"/>
        <c:scaling>
          <c:orientation val="minMax"/>
        </c:scaling>
        <c:delete val="0"/>
        <c:axPos val="b"/>
        <c:title>
          <c:tx>
            <c:rich>
              <a:bodyPr/>
              <a:lstStyle/>
              <a:p>
                <a:pPr>
                  <a:defRPr/>
                </a:pPr>
                <a:r>
                  <a:rPr lang="en-AU"/>
                  <a:t>Age Group</a:t>
                </a:r>
              </a:p>
            </c:rich>
          </c:tx>
          <c:overlay val="0"/>
        </c:title>
        <c:majorTickMark val="none"/>
        <c:minorTickMark val="none"/>
        <c:tickLblPos val="nextTo"/>
        <c:crossAx val="80789888"/>
        <c:crosses val="autoZero"/>
        <c:auto val="1"/>
        <c:lblAlgn val="ctr"/>
        <c:lblOffset val="100"/>
        <c:noMultiLvlLbl val="0"/>
      </c:catAx>
      <c:valAx>
        <c:axId val="80789888"/>
        <c:scaling>
          <c:orientation val="minMax"/>
        </c:scaling>
        <c:delete val="0"/>
        <c:axPos val="l"/>
        <c:majorGridlines/>
        <c:title>
          <c:tx>
            <c:rich>
              <a:bodyPr/>
              <a:lstStyle/>
              <a:p>
                <a:pPr>
                  <a:defRPr/>
                </a:pPr>
                <a:r>
                  <a:rPr lang="en-AU" sz="1000" b="1" i="0" baseline="0">
                    <a:effectLst/>
                  </a:rPr>
                  <a:t>Percentage of Total Population  of people with type 2 diabetes not using insulin</a:t>
                </a:r>
                <a:endParaRPr lang="en-AU" sz="1000">
                  <a:effectLst/>
                </a:endParaRPr>
              </a:p>
            </c:rich>
          </c:tx>
          <c:layout>
            <c:manualLayout>
              <c:xMode val="edge"/>
              <c:yMode val="edge"/>
              <c:x val="2.7932960893854747E-2"/>
              <c:y val="0.15351414406532518"/>
            </c:manualLayout>
          </c:layout>
          <c:overlay val="0"/>
        </c:title>
        <c:numFmt formatCode="0.0%" sourceLinked="1"/>
        <c:majorTickMark val="none"/>
        <c:minorTickMark val="none"/>
        <c:tickLblPos val="nextTo"/>
        <c:crossAx val="80779520"/>
        <c:crosses val="autoZero"/>
        <c:crossBetween val="between"/>
      </c:valAx>
    </c:plotArea>
    <c:legend>
      <c:legendPos val="r"/>
      <c:overlay val="0"/>
    </c:legend>
    <c:plotVisOnly val="1"/>
    <c:dispBlanksAs val="gap"/>
    <c:showDLblsOverMax val="0"/>
  </c:chart>
  <c:txPr>
    <a:bodyPr/>
    <a:lstStyle/>
    <a:p>
      <a:pPr>
        <a:defRPr baseline="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Shaiyena</dc:creator>
  <cp:lastModifiedBy>Williams Shaiyena</cp:lastModifiedBy>
  <cp:revision>3</cp:revision>
  <cp:lastPrinted>2015-03-27T01:47:00Z</cp:lastPrinted>
  <dcterms:created xsi:type="dcterms:W3CDTF">2015-05-28T06:01:00Z</dcterms:created>
  <dcterms:modified xsi:type="dcterms:W3CDTF">2015-05-28T06:02:00Z</dcterms:modified>
</cp:coreProperties>
</file>