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ED0A" w14:textId="77777777" w:rsidR="00383E1F" w:rsidRPr="00AE0DD0" w:rsidRDefault="00383E1F" w:rsidP="00383E1F">
      <w:pPr>
        <w:pStyle w:val="Default"/>
        <w:rPr>
          <w:rFonts w:asciiTheme="minorHAnsi" w:hAnsiTheme="minorHAnsi" w:cstheme="minorHAnsi"/>
          <w:b/>
          <w:bCs/>
          <w:szCs w:val="23"/>
        </w:rPr>
      </w:pPr>
      <w:r w:rsidRPr="008B7F88">
        <w:rPr>
          <w:rFonts w:asciiTheme="minorHAnsi" w:hAnsiTheme="minorHAnsi" w:cstheme="minorHAnsi"/>
          <w:b/>
          <w:bCs/>
          <w:szCs w:val="23"/>
        </w:rPr>
        <w:t xml:space="preserve">Terms of Reference – Review of the Efficient Funding of Chemotherapy arrangements </w:t>
      </w:r>
    </w:p>
    <w:p w14:paraId="59998E45" w14:textId="77777777" w:rsidR="00383E1F" w:rsidRPr="008B7F88" w:rsidRDefault="00383E1F" w:rsidP="00383E1F">
      <w:pPr>
        <w:pStyle w:val="Default"/>
        <w:rPr>
          <w:rFonts w:asciiTheme="minorHAnsi" w:hAnsiTheme="minorHAnsi" w:cstheme="minorHAnsi"/>
          <w:szCs w:val="23"/>
        </w:rPr>
      </w:pPr>
    </w:p>
    <w:p w14:paraId="72F3CDA5" w14:textId="77777777" w:rsidR="00383E1F" w:rsidRPr="008B7F88" w:rsidRDefault="00383E1F" w:rsidP="00383E1F">
      <w:pPr>
        <w:pStyle w:val="Default"/>
        <w:rPr>
          <w:rFonts w:asciiTheme="minorHAnsi" w:hAnsiTheme="minorHAnsi" w:cstheme="minorHAnsi"/>
          <w:szCs w:val="23"/>
        </w:rPr>
      </w:pPr>
      <w:r w:rsidRPr="008B7F88">
        <w:rPr>
          <w:rFonts w:asciiTheme="minorHAnsi" w:hAnsiTheme="minorHAnsi" w:cstheme="minorHAnsi"/>
          <w:szCs w:val="23"/>
        </w:rPr>
        <w:t xml:space="preserve">Chemotherapy medicines listed on the Pharmaceutical Benefits Scheme (PBS) are supplied </w:t>
      </w:r>
      <w:r>
        <w:rPr>
          <w:rFonts w:asciiTheme="minorHAnsi" w:hAnsiTheme="minorHAnsi" w:cstheme="minorHAnsi"/>
          <w:szCs w:val="23"/>
        </w:rPr>
        <w:t xml:space="preserve">as a specialty service </w:t>
      </w:r>
      <w:r w:rsidRPr="008B7F88">
        <w:rPr>
          <w:rFonts w:asciiTheme="minorHAnsi" w:hAnsiTheme="minorHAnsi" w:cstheme="minorHAnsi"/>
          <w:szCs w:val="23"/>
        </w:rPr>
        <w:t>through public and private treatment settings in Australia. Remuneration for chemotherapy medicines is paid to the supplying pharmac</w:t>
      </w:r>
      <w:r>
        <w:rPr>
          <w:rFonts w:asciiTheme="minorHAnsi" w:hAnsiTheme="minorHAnsi" w:cstheme="minorHAnsi"/>
          <w:szCs w:val="23"/>
        </w:rPr>
        <w:t>y</w:t>
      </w:r>
      <w:r w:rsidRPr="008B7F88">
        <w:rPr>
          <w:rFonts w:asciiTheme="minorHAnsi" w:hAnsiTheme="minorHAnsi" w:cstheme="minorHAnsi"/>
          <w:szCs w:val="23"/>
        </w:rPr>
        <w:t xml:space="preserve"> in accordance with the Efficient Funding of Chemotherapy (EFC) measure, which was established in 2011. Generally, chemotherapy medicines are prescribed, compounded and administered at a specific dose calculated for each </w:t>
      </w:r>
      <w:bookmarkStart w:id="0" w:name="_GoBack"/>
      <w:bookmarkEnd w:id="0"/>
      <w:r w:rsidRPr="008B7F88">
        <w:rPr>
          <w:rFonts w:asciiTheme="minorHAnsi" w:hAnsiTheme="minorHAnsi" w:cstheme="minorHAnsi"/>
          <w:szCs w:val="23"/>
        </w:rPr>
        <w:t xml:space="preserve">individual patient to ensure optimum outcomes. </w:t>
      </w:r>
    </w:p>
    <w:p w14:paraId="0E253851" w14:textId="77777777" w:rsidR="00383E1F" w:rsidRPr="008A14F1" w:rsidRDefault="00383E1F" w:rsidP="00383E1F">
      <w:pPr>
        <w:pStyle w:val="Default"/>
        <w:rPr>
          <w:rFonts w:asciiTheme="minorHAnsi" w:hAnsiTheme="minorHAnsi" w:cstheme="minorHAnsi"/>
          <w:szCs w:val="23"/>
        </w:rPr>
      </w:pPr>
    </w:p>
    <w:p w14:paraId="44EE3B31" w14:textId="77777777" w:rsidR="00383E1F" w:rsidRPr="008A14F1" w:rsidRDefault="00383E1F" w:rsidP="00383E1F">
      <w:pPr>
        <w:pStyle w:val="Default"/>
        <w:rPr>
          <w:rFonts w:asciiTheme="minorHAnsi" w:hAnsiTheme="minorHAnsi" w:cstheme="minorHAnsi"/>
          <w:szCs w:val="23"/>
        </w:rPr>
      </w:pPr>
      <w:r w:rsidRPr="008A14F1">
        <w:rPr>
          <w:rFonts w:asciiTheme="minorHAnsi" w:hAnsiTheme="minorHAnsi" w:cstheme="minorHAnsi"/>
          <w:szCs w:val="23"/>
        </w:rPr>
        <w:t xml:space="preserve">Since the establishment of the EFC measure, and increasingly in recent years, stakeholders have expressed varying views regarding the: </w:t>
      </w:r>
    </w:p>
    <w:p w14:paraId="02619062" w14:textId="77777777" w:rsidR="00383E1F" w:rsidRPr="008A14F1" w:rsidRDefault="00383E1F" w:rsidP="00383E1F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Cs w:val="23"/>
        </w:rPr>
      </w:pPr>
      <w:r w:rsidRPr="008A14F1">
        <w:rPr>
          <w:rFonts w:asciiTheme="minorHAnsi" w:hAnsiTheme="minorHAnsi" w:cstheme="minorHAnsi"/>
          <w:szCs w:val="23"/>
        </w:rPr>
        <w:t>Appropriateness of the compounding fees provided compared to the cost of compounding (including operational costs in relation to compounding in T</w:t>
      </w:r>
      <w:r>
        <w:rPr>
          <w:rFonts w:asciiTheme="minorHAnsi" w:hAnsiTheme="minorHAnsi" w:cstheme="minorHAnsi"/>
          <w:szCs w:val="23"/>
        </w:rPr>
        <w:t xml:space="preserve">herapeutic </w:t>
      </w:r>
      <w:r w:rsidRPr="008A14F1">
        <w:rPr>
          <w:rFonts w:asciiTheme="minorHAnsi" w:hAnsiTheme="minorHAnsi" w:cstheme="minorHAnsi"/>
          <w:szCs w:val="23"/>
        </w:rPr>
        <w:t>G</w:t>
      </w:r>
      <w:r>
        <w:rPr>
          <w:rFonts w:asciiTheme="minorHAnsi" w:hAnsiTheme="minorHAnsi" w:cstheme="minorHAnsi"/>
          <w:szCs w:val="23"/>
        </w:rPr>
        <w:t xml:space="preserve">oods </w:t>
      </w:r>
      <w:r w:rsidRPr="008A14F1">
        <w:rPr>
          <w:rFonts w:asciiTheme="minorHAnsi" w:hAnsiTheme="minorHAnsi" w:cstheme="minorHAnsi"/>
          <w:szCs w:val="23"/>
        </w:rPr>
        <w:t>A</w:t>
      </w:r>
      <w:r>
        <w:rPr>
          <w:rFonts w:asciiTheme="minorHAnsi" w:hAnsiTheme="minorHAnsi" w:cstheme="minorHAnsi"/>
          <w:szCs w:val="23"/>
        </w:rPr>
        <w:t xml:space="preserve">dministration (TGA) </w:t>
      </w:r>
      <w:r w:rsidRPr="008A14F1">
        <w:rPr>
          <w:rFonts w:asciiTheme="minorHAnsi" w:hAnsiTheme="minorHAnsi" w:cstheme="minorHAnsi"/>
          <w:szCs w:val="23"/>
        </w:rPr>
        <w:t>l</w:t>
      </w:r>
      <w:r>
        <w:rPr>
          <w:rFonts w:asciiTheme="minorHAnsi" w:hAnsiTheme="minorHAnsi" w:cstheme="minorHAnsi"/>
          <w:szCs w:val="23"/>
        </w:rPr>
        <w:t>icenced production facilities)</w:t>
      </w:r>
    </w:p>
    <w:p w14:paraId="73ECC150" w14:textId="77777777" w:rsidR="00383E1F" w:rsidRPr="008A14F1" w:rsidRDefault="00383E1F" w:rsidP="00383E1F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Cs w:val="23"/>
        </w:rPr>
      </w:pPr>
      <w:r w:rsidRPr="008A14F1">
        <w:rPr>
          <w:rFonts w:asciiTheme="minorHAnsi" w:hAnsiTheme="minorHAnsi" w:cstheme="minorHAnsi"/>
          <w:szCs w:val="23"/>
        </w:rPr>
        <w:t>Administrative burden associated with the claiming and receiving payment for chemotherapy medicines dispensed from a range of pharmacy settings</w:t>
      </w:r>
      <w:r>
        <w:rPr>
          <w:rFonts w:asciiTheme="minorHAnsi" w:hAnsiTheme="minorHAnsi" w:cstheme="minorHAnsi"/>
          <w:szCs w:val="23"/>
        </w:rPr>
        <w:t>,</w:t>
      </w:r>
      <w:r w:rsidRPr="008A14F1">
        <w:rPr>
          <w:rFonts w:asciiTheme="minorHAnsi" w:hAnsiTheme="minorHAnsi" w:cstheme="minorHAnsi"/>
          <w:szCs w:val="23"/>
        </w:rPr>
        <w:t xml:space="preserve"> </w:t>
      </w:r>
      <w:r>
        <w:rPr>
          <w:rFonts w:asciiTheme="minorHAnsi" w:hAnsiTheme="minorHAnsi" w:cstheme="minorHAnsi"/>
          <w:szCs w:val="23"/>
        </w:rPr>
        <w:t>and</w:t>
      </w:r>
    </w:p>
    <w:p w14:paraId="5CC0FF5E" w14:textId="77777777" w:rsidR="00383E1F" w:rsidRPr="008A14F1" w:rsidRDefault="00383E1F" w:rsidP="00383E1F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Cs w:val="23"/>
        </w:rPr>
      </w:pPr>
      <w:r w:rsidRPr="008A14F1">
        <w:rPr>
          <w:rFonts w:asciiTheme="minorHAnsi" w:hAnsiTheme="minorHAnsi" w:cstheme="minorHAnsi"/>
          <w:szCs w:val="23"/>
        </w:rPr>
        <w:t xml:space="preserve">Appropriateness of the current EFC approach in ensuring all participants in the chemotherapy medicines supply chain are reimbursed fairly and appropriately. </w:t>
      </w:r>
    </w:p>
    <w:p w14:paraId="731199E1" w14:textId="77777777" w:rsidR="00383E1F" w:rsidRDefault="00383E1F" w:rsidP="00383E1F">
      <w:pPr>
        <w:pStyle w:val="Default"/>
        <w:rPr>
          <w:rFonts w:asciiTheme="minorHAnsi" w:hAnsiTheme="minorHAnsi" w:cstheme="minorHAnsi"/>
          <w:szCs w:val="23"/>
        </w:rPr>
      </w:pPr>
    </w:p>
    <w:p w14:paraId="054939B0" w14:textId="77777777" w:rsidR="00383E1F" w:rsidRDefault="00383E1F" w:rsidP="00383E1F">
      <w:pPr>
        <w:pStyle w:val="Default"/>
        <w:rPr>
          <w:rFonts w:asciiTheme="minorHAnsi" w:hAnsiTheme="minorHAnsi" w:cstheme="minorHAnsi"/>
          <w:szCs w:val="23"/>
        </w:rPr>
      </w:pPr>
      <w:r w:rsidRPr="008B7F88">
        <w:rPr>
          <w:rFonts w:asciiTheme="minorHAnsi" w:hAnsiTheme="minorHAnsi" w:cstheme="minorHAnsi"/>
          <w:szCs w:val="23"/>
        </w:rPr>
        <w:t>As part of the 2020-21 Budget, the</w:t>
      </w:r>
      <w:r>
        <w:rPr>
          <w:rFonts w:asciiTheme="minorHAnsi" w:hAnsiTheme="minorHAnsi" w:cstheme="minorHAnsi"/>
          <w:szCs w:val="23"/>
        </w:rPr>
        <w:t xml:space="preserve"> Australian</w:t>
      </w:r>
      <w:r w:rsidRPr="008B7F88">
        <w:rPr>
          <w:rFonts w:asciiTheme="minorHAnsi" w:hAnsiTheme="minorHAnsi" w:cstheme="minorHAnsi"/>
          <w:szCs w:val="23"/>
        </w:rPr>
        <w:t xml:space="preserve"> Government agreed to a review of current EFC arrangements. </w:t>
      </w:r>
      <w:r>
        <w:rPr>
          <w:rFonts w:asciiTheme="minorHAnsi" w:hAnsiTheme="minorHAnsi" w:cstheme="minorHAnsi"/>
          <w:szCs w:val="23"/>
        </w:rPr>
        <w:t xml:space="preserve"> </w:t>
      </w:r>
      <w:r w:rsidRPr="008B7F88">
        <w:rPr>
          <w:rFonts w:asciiTheme="minorHAnsi" w:hAnsiTheme="minorHAnsi" w:cstheme="minorHAnsi"/>
          <w:szCs w:val="23"/>
        </w:rPr>
        <w:t>The</w:t>
      </w:r>
      <w:r>
        <w:rPr>
          <w:rFonts w:asciiTheme="minorHAnsi" w:hAnsiTheme="minorHAnsi" w:cstheme="minorHAnsi"/>
          <w:szCs w:val="23"/>
        </w:rPr>
        <w:t xml:space="preserve"> EFC</w:t>
      </w:r>
      <w:r w:rsidRPr="008B7F88">
        <w:rPr>
          <w:rFonts w:asciiTheme="minorHAnsi" w:hAnsiTheme="minorHAnsi" w:cstheme="minorHAnsi"/>
          <w:szCs w:val="23"/>
        </w:rPr>
        <w:t xml:space="preserve"> review will look at the impact and </w:t>
      </w:r>
      <w:r>
        <w:rPr>
          <w:rFonts w:asciiTheme="minorHAnsi" w:hAnsiTheme="minorHAnsi" w:cstheme="minorHAnsi"/>
          <w:szCs w:val="23"/>
        </w:rPr>
        <w:t>continuing suitability</w:t>
      </w:r>
      <w:r w:rsidRPr="008B7F88">
        <w:rPr>
          <w:rFonts w:asciiTheme="minorHAnsi" w:hAnsiTheme="minorHAnsi" w:cstheme="minorHAnsi"/>
          <w:szCs w:val="23"/>
        </w:rPr>
        <w:t xml:space="preserve"> of current EFC </w:t>
      </w:r>
      <w:r>
        <w:rPr>
          <w:rFonts w:asciiTheme="minorHAnsi" w:hAnsiTheme="minorHAnsi" w:cstheme="minorHAnsi"/>
          <w:szCs w:val="23"/>
        </w:rPr>
        <w:t>arrangements</w:t>
      </w:r>
      <w:r w:rsidRPr="008B7F88">
        <w:rPr>
          <w:rFonts w:asciiTheme="minorHAnsi" w:hAnsiTheme="minorHAnsi" w:cstheme="minorHAnsi"/>
          <w:szCs w:val="23"/>
        </w:rPr>
        <w:t xml:space="preserve"> and associated practices within the supply chain</w:t>
      </w:r>
      <w:r>
        <w:rPr>
          <w:rFonts w:asciiTheme="minorHAnsi" w:hAnsiTheme="minorHAnsi" w:cstheme="minorHAnsi"/>
          <w:szCs w:val="23"/>
        </w:rPr>
        <w:t xml:space="preserve"> </w:t>
      </w:r>
      <w:r w:rsidRPr="008B7F88">
        <w:rPr>
          <w:rFonts w:asciiTheme="minorHAnsi" w:hAnsiTheme="minorHAnsi" w:cstheme="minorHAnsi"/>
          <w:szCs w:val="23"/>
        </w:rPr>
        <w:t xml:space="preserve">to ensure continuing access to </w:t>
      </w:r>
      <w:r>
        <w:rPr>
          <w:rFonts w:asciiTheme="minorHAnsi" w:hAnsiTheme="minorHAnsi" w:cstheme="minorHAnsi"/>
          <w:szCs w:val="23"/>
        </w:rPr>
        <w:t>these</w:t>
      </w:r>
      <w:r w:rsidRPr="008B7F88">
        <w:rPr>
          <w:rFonts w:asciiTheme="minorHAnsi" w:hAnsiTheme="minorHAnsi" w:cstheme="minorHAnsi"/>
          <w:szCs w:val="23"/>
        </w:rPr>
        <w:t xml:space="preserve"> medicines. </w:t>
      </w:r>
    </w:p>
    <w:p w14:paraId="6536CC9B" w14:textId="77777777" w:rsidR="00383E1F" w:rsidRPr="008B7F88" w:rsidRDefault="00383E1F" w:rsidP="00383E1F">
      <w:pPr>
        <w:pStyle w:val="Default"/>
        <w:rPr>
          <w:rFonts w:asciiTheme="minorHAnsi" w:hAnsiTheme="minorHAnsi" w:cstheme="minorHAnsi"/>
          <w:szCs w:val="23"/>
        </w:rPr>
      </w:pPr>
    </w:p>
    <w:p w14:paraId="025454F1" w14:textId="77777777" w:rsidR="00383E1F" w:rsidRDefault="00383E1F" w:rsidP="00383E1F">
      <w:pPr>
        <w:pStyle w:val="Default"/>
        <w:rPr>
          <w:rFonts w:asciiTheme="minorHAnsi" w:hAnsiTheme="minorHAnsi" w:cstheme="minorHAnsi"/>
          <w:szCs w:val="23"/>
        </w:rPr>
      </w:pPr>
      <w:r w:rsidRPr="008B7F88">
        <w:rPr>
          <w:rFonts w:asciiTheme="minorHAnsi" w:hAnsiTheme="minorHAnsi" w:cstheme="minorHAnsi"/>
          <w:szCs w:val="23"/>
        </w:rPr>
        <w:t xml:space="preserve">In conducting </w:t>
      </w:r>
      <w:r>
        <w:rPr>
          <w:rFonts w:asciiTheme="minorHAnsi" w:hAnsiTheme="minorHAnsi" w:cstheme="minorHAnsi"/>
          <w:szCs w:val="23"/>
        </w:rPr>
        <w:t>the EFC</w:t>
      </w:r>
      <w:r w:rsidRPr="008B7F88">
        <w:rPr>
          <w:rFonts w:asciiTheme="minorHAnsi" w:hAnsiTheme="minorHAnsi" w:cstheme="minorHAnsi"/>
          <w:szCs w:val="23"/>
        </w:rPr>
        <w:t xml:space="preserve"> review, the Government will examine whether the EFC </w:t>
      </w:r>
      <w:r>
        <w:rPr>
          <w:rFonts w:asciiTheme="minorHAnsi" w:hAnsiTheme="minorHAnsi" w:cstheme="minorHAnsi"/>
          <w:szCs w:val="23"/>
        </w:rPr>
        <w:t>P</w:t>
      </w:r>
      <w:r w:rsidRPr="008B7F88">
        <w:rPr>
          <w:rFonts w:asciiTheme="minorHAnsi" w:hAnsiTheme="minorHAnsi" w:cstheme="minorHAnsi"/>
          <w:szCs w:val="23"/>
        </w:rPr>
        <w:t>rogram</w:t>
      </w:r>
      <w:r>
        <w:rPr>
          <w:rFonts w:asciiTheme="minorHAnsi" w:hAnsiTheme="minorHAnsi" w:cstheme="minorHAnsi"/>
          <w:szCs w:val="23"/>
        </w:rPr>
        <w:t xml:space="preserve"> </w:t>
      </w:r>
      <w:r w:rsidRPr="008B7F88">
        <w:rPr>
          <w:rFonts w:asciiTheme="minorHAnsi" w:hAnsiTheme="minorHAnsi" w:cstheme="minorHAnsi"/>
          <w:szCs w:val="23"/>
        </w:rPr>
        <w:t>supports patient access to chemotherapy medicines in an efficient and cost-effective manner</w:t>
      </w:r>
      <w:r>
        <w:rPr>
          <w:rFonts w:asciiTheme="minorHAnsi" w:hAnsiTheme="minorHAnsi" w:cstheme="minorHAnsi"/>
          <w:szCs w:val="23"/>
        </w:rPr>
        <w:t>.</w:t>
      </w:r>
      <w:r w:rsidRPr="008B7F88">
        <w:rPr>
          <w:rFonts w:asciiTheme="minorHAnsi" w:hAnsiTheme="minorHAnsi" w:cstheme="minorHAnsi"/>
          <w:szCs w:val="23"/>
        </w:rPr>
        <w:t xml:space="preserve"> The Government </w:t>
      </w:r>
      <w:r>
        <w:rPr>
          <w:rFonts w:asciiTheme="minorHAnsi" w:hAnsiTheme="minorHAnsi" w:cstheme="minorHAnsi"/>
          <w:szCs w:val="23"/>
        </w:rPr>
        <w:t>may</w:t>
      </w:r>
      <w:r w:rsidRPr="008B7F88">
        <w:rPr>
          <w:rFonts w:asciiTheme="minorHAnsi" w:hAnsiTheme="minorHAnsi" w:cstheme="minorHAnsi"/>
          <w:szCs w:val="23"/>
        </w:rPr>
        <w:t xml:space="preserve"> also consider whether a new or adjusted reimbursement framework is required to ensure </w:t>
      </w:r>
      <w:r>
        <w:rPr>
          <w:rFonts w:asciiTheme="minorHAnsi" w:hAnsiTheme="minorHAnsi" w:cstheme="minorHAnsi"/>
          <w:szCs w:val="23"/>
        </w:rPr>
        <w:t xml:space="preserve">ongoing </w:t>
      </w:r>
      <w:r w:rsidRPr="008B7F88">
        <w:rPr>
          <w:rFonts w:asciiTheme="minorHAnsi" w:hAnsiTheme="minorHAnsi" w:cstheme="minorHAnsi"/>
          <w:szCs w:val="23"/>
        </w:rPr>
        <w:t xml:space="preserve">access to </w:t>
      </w:r>
      <w:r>
        <w:rPr>
          <w:rFonts w:asciiTheme="minorHAnsi" w:hAnsiTheme="minorHAnsi" w:cstheme="minorHAnsi"/>
          <w:szCs w:val="23"/>
        </w:rPr>
        <w:t>these</w:t>
      </w:r>
      <w:r w:rsidRPr="008B7F88">
        <w:rPr>
          <w:rFonts w:asciiTheme="minorHAnsi" w:hAnsiTheme="minorHAnsi" w:cstheme="minorHAnsi"/>
          <w:szCs w:val="23"/>
        </w:rPr>
        <w:t xml:space="preserve"> medicines</w:t>
      </w:r>
      <w:r>
        <w:rPr>
          <w:rFonts w:asciiTheme="minorHAnsi" w:hAnsiTheme="minorHAnsi" w:cstheme="minorHAnsi"/>
          <w:szCs w:val="23"/>
        </w:rPr>
        <w:t xml:space="preserve"> and whether a new or adjusted framework may </w:t>
      </w:r>
      <w:r w:rsidRPr="008B7F88">
        <w:rPr>
          <w:rFonts w:asciiTheme="minorHAnsi" w:hAnsiTheme="minorHAnsi" w:cstheme="minorHAnsi"/>
          <w:szCs w:val="23"/>
        </w:rPr>
        <w:t xml:space="preserve">encourage innovation and collaboration </w:t>
      </w:r>
      <w:r>
        <w:rPr>
          <w:rFonts w:asciiTheme="minorHAnsi" w:hAnsiTheme="minorHAnsi" w:cstheme="minorHAnsi"/>
          <w:szCs w:val="23"/>
        </w:rPr>
        <w:t>across</w:t>
      </w:r>
      <w:r w:rsidRPr="008B7F88">
        <w:rPr>
          <w:rFonts w:asciiTheme="minorHAnsi" w:hAnsiTheme="minorHAnsi" w:cstheme="minorHAnsi"/>
          <w:szCs w:val="23"/>
        </w:rPr>
        <w:t xml:space="preserve"> the EFC supply chain. </w:t>
      </w:r>
    </w:p>
    <w:p w14:paraId="784B53F9" w14:textId="77777777" w:rsidR="00383E1F" w:rsidRPr="008B7F88" w:rsidRDefault="00383E1F" w:rsidP="00383E1F">
      <w:pPr>
        <w:pStyle w:val="Default"/>
        <w:rPr>
          <w:rFonts w:asciiTheme="minorHAnsi" w:hAnsiTheme="minorHAnsi" w:cstheme="minorHAnsi"/>
          <w:szCs w:val="23"/>
        </w:rPr>
      </w:pPr>
    </w:p>
    <w:p w14:paraId="7CE18106" w14:textId="77777777" w:rsidR="00383E1F" w:rsidRDefault="00383E1F" w:rsidP="00383E1F">
      <w:pPr>
        <w:rPr>
          <w:rFonts w:asciiTheme="minorHAnsi" w:hAnsiTheme="minorHAnsi" w:cstheme="minorHAnsi"/>
          <w:szCs w:val="23"/>
        </w:rPr>
      </w:pPr>
      <w:r w:rsidRPr="008B7F88">
        <w:rPr>
          <w:rFonts w:asciiTheme="minorHAnsi" w:hAnsiTheme="minorHAnsi" w:cstheme="minorHAnsi"/>
          <w:szCs w:val="23"/>
        </w:rPr>
        <w:t>The</w:t>
      </w:r>
      <w:r>
        <w:rPr>
          <w:rFonts w:asciiTheme="minorHAnsi" w:hAnsiTheme="minorHAnsi" w:cstheme="minorHAnsi"/>
          <w:szCs w:val="23"/>
        </w:rPr>
        <w:t xml:space="preserve"> EFC</w:t>
      </w:r>
      <w:r w:rsidRPr="008B7F88">
        <w:rPr>
          <w:rFonts w:asciiTheme="minorHAnsi" w:hAnsiTheme="minorHAnsi" w:cstheme="minorHAnsi"/>
          <w:szCs w:val="23"/>
        </w:rPr>
        <w:t xml:space="preserve"> review will produce </w:t>
      </w:r>
      <w:r>
        <w:rPr>
          <w:rFonts w:asciiTheme="minorHAnsi" w:hAnsiTheme="minorHAnsi" w:cstheme="minorHAnsi"/>
          <w:szCs w:val="23"/>
        </w:rPr>
        <w:t>a final</w:t>
      </w:r>
      <w:r w:rsidRPr="008B7F88">
        <w:rPr>
          <w:rFonts w:asciiTheme="minorHAnsi" w:hAnsiTheme="minorHAnsi" w:cstheme="minorHAnsi"/>
          <w:szCs w:val="23"/>
        </w:rPr>
        <w:t xml:space="preserve"> report for consideration </w:t>
      </w:r>
      <w:r>
        <w:rPr>
          <w:rFonts w:asciiTheme="minorHAnsi" w:hAnsiTheme="minorHAnsi" w:cstheme="minorHAnsi"/>
          <w:szCs w:val="23"/>
        </w:rPr>
        <w:t xml:space="preserve">by </w:t>
      </w:r>
      <w:r w:rsidRPr="008B7F88">
        <w:rPr>
          <w:rFonts w:asciiTheme="minorHAnsi" w:hAnsiTheme="minorHAnsi" w:cstheme="minorHAnsi"/>
          <w:szCs w:val="23"/>
        </w:rPr>
        <w:t>the Minister for Health</w:t>
      </w:r>
      <w:r>
        <w:rPr>
          <w:rFonts w:asciiTheme="minorHAnsi" w:hAnsiTheme="minorHAnsi" w:cstheme="minorHAnsi"/>
          <w:szCs w:val="23"/>
        </w:rPr>
        <w:t xml:space="preserve"> and Aged Care</w:t>
      </w:r>
      <w:r w:rsidRPr="008B7F88">
        <w:rPr>
          <w:rFonts w:asciiTheme="minorHAnsi" w:hAnsiTheme="minorHAnsi" w:cstheme="minorHAnsi"/>
          <w:szCs w:val="23"/>
        </w:rPr>
        <w:t xml:space="preserve"> </w:t>
      </w:r>
      <w:r>
        <w:rPr>
          <w:rFonts w:asciiTheme="minorHAnsi" w:hAnsiTheme="minorHAnsi" w:cstheme="minorHAnsi"/>
          <w:szCs w:val="23"/>
        </w:rPr>
        <w:t xml:space="preserve">no later than </w:t>
      </w:r>
      <w:r w:rsidRPr="008B7F88">
        <w:rPr>
          <w:rFonts w:asciiTheme="minorHAnsi" w:hAnsiTheme="minorHAnsi" w:cstheme="minorHAnsi"/>
          <w:szCs w:val="23"/>
        </w:rPr>
        <w:t>30</w:t>
      </w:r>
      <w:r>
        <w:rPr>
          <w:rFonts w:asciiTheme="minorHAnsi" w:hAnsiTheme="minorHAnsi" w:cstheme="minorHAnsi"/>
          <w:szCs w:val="23"/>
        </w:rPr>
        <w:t> </w:t>
      </w:r>
      <w:r w:rsidRPr="008B7F88">
        <w:rPr>
          <w:rFonts w:asciiTheme="minorHAnsi" w:hAnsiTheme="minorHAnsi" w:cstheme="minorHAnsi"/>
          <w:szCs w:val="23"/>
        </w:rPr>
        <w:t>June 2022.</w:t>
      </w:r>
      <w:r>
        <w:rPr>
          <w:rFonts w:asciiTheme="minorHAnsi" w:hAnsiTheme="minorHAnsi" w:cstheme="minorHAnsi"/>
          <w:szCs w:val="23"/>
        </w:rPr>
        <w:t xml:space="preserve"> </w:t>
      </w:r>
    </w:p>
    <w:p w14:paraId="721FC6FA" w14:textId="77777777" w:rsidR="00383E1F" w:rsidRDefault="00383E1F" w:rsidP="00383E1F">
      <w:pPr>
        <w:spacing w:after="0" w:line="240" w:lineRule="auto"/>
        <w:rPr>
          <w:rFonts w:asciiTheme="minorHAnsi" w:hAnsiTheme="minorHAnsi" w:cstheme="minorHAnsi"/>
        </w:rPr>
      </w:pPr>
      <w:r w:rsidRPr="008163F9">
        <w:rPr>
          <w:rFonts w:asciiTheme="minorHAnsi" w:hAnsiTheme="minorHAnsi" w:cstheme="minorHAnsi"/>
        </w:rPr>
        <w:t>In making its recommendations, the</w:t>
      </w:r>
      <w:r>
        <w:rPr>
          <w:rFonts w:asciiTheme="minorHAnsi" w:hAnsiTheme="minorHAnsi" w:cstheme="minorHAnsi"/>
        </w:rPr>
        <w:t xml:space="preserve"> EFC</w:t>
      </w:r>
      <w:r w:rsidRPr="008163F9">
        <w:rPr>
          <w:rFonts w:asciiTheme="minorHAnsi" w:hAnsiTheme="minorHAnsi" w:cstheme="minorHAnsi"/>
        </w:rPr>
        <w:t xml:space="preserve"> review will </w:t>
      </w:r>
      <w:r>
        <w:rPr>
          <w:rFonts w:asciiTheme="minorHAnsi" w:hAnsiTheme="minorHAnsi" w:cstheme="minorHAnsi"/>
        </w:rPr>
        <w:t>consider</w:t>
      </w:r>
      <w:r w:rsidRPr="008163F9">
        <w:rPr>
          <w:rFonts w:asciiTheme="minorHAnsi" w:hAnsiTheme="minorHAnsi" w:cstheme="minorHAnsi"/>
        </w:rPr>
        <w:t>:</w:t>
      </w:r>
    </w:p>
    <w:p w14:paraId="48215224" w14:textId="77777777" w:rsidR="00383E1F" w:rsidRPr="001667D7" w:rsidRDefault="00383E1F" w:rsidP="00383E1F">
      <w:pPr>
        <w:spacing w:after="0" w:line="240" w:lineRule="auto"/>
        <w:rPr>
          <w:rFonts w:asciiTheme="minorHAnsi" w:hAnsiTheme="minorHAnsi" w:cstheme="minorHAnsi"/>
          <w:szCs w:val="23"/>
        </w:rPr>
      </w:pPr>
    </w:p>
    <w:p w14:paraId="41590984" w14:textId="77777777" w:rsidR="00383E1F" w:rsidRDefault="00383E1F" w:rsidP="00383E1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8B7F88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patient</w:t>
      </w:r>
      <w:r w:rsidRPr="008B7F88">
        <w:rPr>
          <w:rFonts w:asciiTheme="minorHAnsi" w:hAnsiTheme="minorHAnsi" w:cstheme="minorHAnsi"/>
        </w:rPr>
        <w:t xml:space="preserve"> experience, including expectations, priorities and experiences related to accessing EFC medicines </w:t>
      </w:r>
      <w:r>
        <w:rPr>
          <w:rFonts w:asciiTheme="minorHAnsi" w:hAnsiTheme="minorHAnsi" w:cstheme="minorHAnsi"/>
        </w:rPr>
        <w:t>across different States and Territories</w:t>
      </w:r>
    </w:p>
    <w:p w14:paraId="0FCEF003" w14:textId="77777777" w:rsidR="00383E1F" w:rsidRPr="008A14F1" w:rsidRDefault="00383E1F" w:rsidP="00383E1F">
      <w:pPr>
        <w:pStyle w:val="ListParagraph"/>
        <w:numPr>
          <w:ilvl w:val="0"/>
          <w:numId w:val="3"/>
        </w:numPr>
        <w:spacing w:after="0" w:line="240" w:lineRule="auto"/>
      </w:pPr>
      <w:r w:rsidRPr="008B7F88">
        <w:rPr>
          <w:rFonts w:asciiTheme="minorHAnsi" w:hAnsiTheme="minorHAnsi" w:cstheme="minorHAnsi"/>
        </w:rPr>
        <w:t xml:space="preserve">The activities </w:t>
      </w:r>
      <w:r>
        <w:rPr>
          <w:rFonts w:asciiTheme="minorHAnsi" w:hAnsiTheme="minorHAnsi" w:cstheme="minorHAnsi"/>
        </w:rPr>
        <w:t xml:space="preserve">and experiences of the </w:t>
      </w:r>
      <w:r w:rsidRPr="008B7F88">
        <w:rPr>
          <w:rFonts w:asciiTheme="minorHAnsi" w:hAnsiTheme="minorHAnsi" w:cstheme="minorHAnsi"/>
        </w:rPr>
        <w:t>participants in the EFC supply chain</w:t>
      </w:r>
      <w:r>
        <w:rPr>
          <w:rFonts w:asciiTheme="minorHAnsi" w:hAnsiTheme="minorHAnsi" w:cstheme="minorHAnsi"/>
        </w:rPr>
        <w:t xml:space="preserve"> in </w:t>
      </w:r>
      <w:r w:rsidRPr="008B7F88">
        <w:rPr>
          <w:rFonts w:asciiTheme="minorHAnsi" w:hAnsiTheme="minorHAnsi" w:cstheme="minorHAnsi"/>
        </w:rPr>
        <w:t xml:space="preserve">supporting patient access to chemotherapy medicines and related pharmaceutical benefits as defined in the </w:t>
      </w:r>
      <w:r w:rsidRPr="008A14F1">
        <w:rPr>
          <w:rFonts w:asciiTheme="minorHAnsi" w:hAnsiTheme="minorHAnsi" w:cstheme="minorHAnsi"/>
          <w:i/>
        </w:rPr>
        <w:t>National Health (Efficient Funding of Chemotherapy) Special Arrangement 2011</w:t>
      </w:r>
      <w:r w:rsidRPr="008B7F88">
        <w:rPr>
          <w:rFonts w:asciiTheme="minorHAnsi" w:hAnsiTheme="minorHAnsi" w:cstheme="minorHAnsi"/>
        </w:rPr>
        <w:t>, including</w:t>
      </w:r>
      <w:r>
        <w:rPr>
          <w:rFonts w:asciiTheme="minorHAnsi" w:hAnsiTheme="minorHAnsi" w:cstheme="minorHAnsi"/>
        </w:rPr>
        <w:t>:</w:t>
      </w:r>
    </w:p>
    <w:p w14:paraId="10DA5B84" w14:textId="77777777" w:rsidR="00383E1F" w:rsidRPr="008A14F1" w:rsidRDefault="00383E1F" w:rsidP="00383E1F">
      <w:pPr>
        <w:pStyle w:val="ListParagraph"/>
        <w:numPr>
          <w:ilvl w:val="1"/>
          <w:numId w:val="3"/>
        </w:numPr>
        <w:spacing w:after="0" w:line="240" w:lineRule="auto"/>
      </w:pPr>
      <w:r>
        <w:rPr>
          <w:rFonts w:asciiTheme="minorHAnsi" w:hAnsiTheme="minorHAnsi" w:cstheme="minorHAnsi"/>
        </w:rPr>
        <w:t>C</w:t>
      </w:r>
      <w:r w:rsidRPr="008B7F88">
        <w:rPr>
          <w:rFonts w:asciiTheme="minorHAnsi" w:hAnsiTheme="minorHAnsi" w:cstheme="minorHAnsi"/>
        </w:rPr>
        <w:t xml:space="preserve">urrent arrangements and models of delivery that support access for Australians in rural and regional areas, Aboriginal and/or Torres Strait Islander </w:t>
      </w:r>
      <w:r>
        <w:rPr>
          <w:rFonts w:asciiTheme="minorHAnsi" w:hAnsiTheme="minorHAnsi" w:cstheme="minorHAnsi"/>
        </w:rPr>
        <w:t>p</w:t>
      </w:r>
      <w:r w:rsidRPr="008B7F88">
        <w:rPr>
          <w:rFonts w:asciiTheme="minorHAnsi" w:hAnsiTheme="minorHAnsi" w:cstheme="minorHAnsi"/>
        </w:rPr>
        <w:t>eoples, and older Australians</w:t>
      </w:r>
      <w:r>
        <w:rPr>
          <w:rFonts w:asciiTheme="minorHAnsi" w:hAnsiTheme="minorHAnsi" w:cstheme="minorHAnsi"/>
        </w:rPr>
        <w:t>, and</w:t>
      </w:r>
    </w:p>
    <w:p w14:paraId="23F581D0" w14:textId="77777777" w:rsidR="00383E1F" w:rsidRDefault="00383E1F" w:rsidP="00383E1F">
      <w:pPr>
        <w:pStyle w:val="ListParagraph"/>
        <w:numPr>
          <w:ilvl w:val="1"/>
          <w:numId w:val="3"/>
        </w:numPr>
        <w:spacing w:after="0" w:line="240" w:lineRule="auto"/>
      </w:pPr>
      <w:r>
        <w:rPr>
          <w:rFonts w:asciiTheme="minorHAnsi" w:hAnsiTheme="minorHAnsi" w:cstheme="minorHAnsi"/>
          <w:szCs w:val="23"/>
        </w:rPr>
        <w:t xml:space="preserve">PBS prescribing, claims processing and the administrative burden </w:t>
      </w:r>
      <w:r w:rsidRPr="008B7F88">
        <w:rPr>
          <w:rFonts w:asciiTheme="minorHAnsi" w:hAnsiTheme="minorHAnsi" w:cstheme="minorHAnsi"/>
          <w:szCs w:val="23"/>
        </w:rPr>
        <w:t xml:space="preserve">associated with </w:t>
      </w:r>
      <w:r>
        <w:rPr>
          <w:rFonts w:asciiTheme="minorHAnsi" w:hAnsiTheme="minorHAnsi" w:cstheme="minorHAnsi"/>
          <w:szCs w:val="23"/>
        </w:rPr>
        <w:t xml:space="preserve">providing access to </w:t>
      </w:r>
      <w:r w:rsidRPr="008B7F88">
        <w:rPr>
          <w:rFonts w:asciiTheme="minorHAnsi" w:hAnsiTheme="minorHAnsi" w:cstheme="minorHAnsi"/>
          <w:szCs w:val="23"/>
        </w:rPr>
        <w:t>chemotherapy medicines</w:t>
      </w:r>
      <w:r>
        <w:rPr>
          <w:rFonts w:asciiTheme="minorHAnsi" w:hAnsiTheme="minorHAnsi" w:cstheme="minorHAnsi"/>
          <w:szCs w:val="23"/>
        </w:rPr>
        <w:t>.</w:t>
      </w:r>
    </w:p>
    <w:p w14:paraId="1C81DE82" w14:textId="77777777" w:rsidR="00383E1F" w:rsidRDefault="00383E1F" w:rsidP="00383E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D41E1D1" w14:textId="77777777" w:rsidR="00383E1F" w:rsidRPr="008B7F88" w:rsidRDefault="00383E1F" w:rsidP="00383E1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8B7F88">
        <w:rPr>
          <w:rFonts w:asciiTheme="minorHAnsi" w:hAnsiTheme="minorHAnsi" w:cstheme="minorHAnsi"/>
        </w:rPr>
        <w:lastRenderedPageBreak/>
        <w:t>The distribution of costs and Government remuneration through the EFC supply chain, including:</w:t>
      </w:r>
    </w:p>
    <w:p w14:paraId="2380D86F" w14:textId="77777777" w:rsidR="00383E1F" w:rsidRDefault="00383E1F" w:rsidP="00383E1F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3"/>
        </w:rPr>
        <w:t xml:space="preserve">Current remuneration structures that support the provision of </w:t>
      </w:r>
      <w:r w:rsidRPr="008B7F88">
        <w:rPr>
          <w:rFonts w:asciiTheme="minorHAnsi" w:hAnsiTheme="minorHAnsi" w:cstheme="minorHAnsi"/>
          <w:szCs w:val="23"/>
        </w:rPr>
        <w:t>products and services by the EFC supply chain</w:t>
      </w:r>
    </w:p>
    <w:p w14:paraId="20FBD512" w14:textId="77777777" w:rsidR="00383E1F" w:rsidRPr="008B7F88" w:rsidRDefault="00383E1F" w:rsidP="00383E1F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Whether</w:t>
      </w:r>
      <w:r w:rsidRPr="008B7F88">
        <w:rPr>
          <w:rFonts w:asciiTheme="minorHAnsi" w:hAnsiTheme="minorHAnsi" w:cstheme="minorHAnsi"/>
        </w:rPr>
        <w:t xml:space="preserve"> all participants in the supply chain are funded effectively and equitably</w:t>
      </w:r>
      <w:r>
        <w:rPr>
          <w:rFonts w:asciiTheme="minorHAnsi" w:hAnsiTheme="minorHAnsi" w:cstheme="minorHAnsi"/>
        </w:rPr>
        <w:t xml:space="preserve"> to provide products and services to patients while meeting regulatory and compliance requirements</w:t>
      </w:r>
    </w:p>
    <w:p w14:paraId="7829D699" w14:textId="77777777" w:rsidR="00383E1F" w:rsidRDefault="00383E1F" w:rsidP="00383E1F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8B7F88">
        <w:rPr>
          <w:rFonts w:asciiTheme="minorHAnsi" w:hAnsiTheme="minorHAnsi" w:cstheme="minorHAnsi"/>
        </w:rPr>
        <w:t>Opportunities to promote market competition and innovation within the EFC supply chain</w:t>
      </w:r>
      <w:r>
        <w:rPr>
          <w:rFonts w:asciiTheme="minorHAnsi" w:hAnsiTheme="minorHAnsi" w:cstheme="minorHAnsi"/>
        </w:rPr>
        <w:t>, and</w:t>
      </w:r>
    </w:p>
    <w:p w14:paraId="781A9B39" w14:textId="77777777" w:rsidR="00383E1F" w:rsidRPr="008A14F1" w:rsidRDefault="00383E1F" w:rsidP="00383E1F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8A14F1">
        <w:rPr>
          <w:rFonts w:asciiTheme="minorHAnsi" w:hAnsiTheme="minorHAnsi" w:cstheme="minorHAnsi"/>
        </w:rPr>
        <w:t xml:space="preserve">Options for alternative </w:t>
      </w:r>
      <w:r>
        <w:rPr>
          <w:rFonts w:asciiTheme="minorHAnsi" w:hAnsiTheme="minorHAnsi" w:cstheme="minorHAnsi"/>
        </w:rPr>
        <w:t>funding</w:t>
      </w:r>
      <w:r w:rsidRPr="008A14F1">
        <w:rPr>
          <w:rFonts w:asciiTheme="minorHAnsi" w:hAnsiTheme="minorHAnsi" w:cstheme="minorHAnsi"/>
        </w:rPr>
        <w:t xml:space="preserve"> mechanisms </w:t>
      </w:r>
      <w:r>
        <w:rPr>
          <w:rFonts w:asciiTheme="minorHAnsi" w:hAnsiTheme="minorHAnsi" w:cstheme="minorHAnsi"/>
        </w:rPr>
        <w:t xml:space="preserve">to </w:t>
      </w:r>
      <w:r w:rsidRPr="008A14F1">
        <w:rPr>
          <w:rFonts w:asciiTheme="minorHAnsi" w:hAnsiTheme="minorHAnsi" w:cstheme="minorHAnsi"/>
        </w:rPr>
        <w:t xml:space="preserve">support access for Australians in rural and regional areas, Aboriginal and/or Torres Strait Islander </w:t>
      </w:r>
      <w:r>
        <w:rPr>
          <w:rFonts w:asciiTheme="minorHAnsi" w:hAnsiTheme="minorHAnsi" w:cstheme="minorHAnsi"/>
        </w:rPr>
        <w:t>p</w:t>
      </w:r>
      <w:r w:rsidRPr="008A14F1">
        <w:rPr>
          <w:rFonts w:asciiTheme="minorHAnsi" w:hAnsiTheme="minorHAnsi" w:cstheme="minorHAnsi"/>
        </w:rPr>
        <w:t>eoples and older Australians</w:t>
      </w:r>
      <w:r>
        <w:rPr>
          <w:rFonts w:asciiTheme="minorHAnsi" w:hAnsiTheme="minorHAnsi" w:cstheme="minorHAnsi"/>
        </w:rPr>
        <w:t>.</w:t>
      </w:r>
      <w:r w:rsidRPr="008A14F1">
        <w:rPr>
          <w:rFonts w:asciiTheme="minorHAnsi" w:hAnsiTheme="minorHAnsi" w:cstheme="minorHAnsi"/>
        </w:rPr>
        <w:t xml:space="preserve"> </w:t>
      </w:r>
    </w:p>
    <w:p w14:paraId="2FC1CC6C" w14:textId="77777777" w:rsidR="00383E1F" w:rsidRPr="008A14F1" w:rsidRDefault="00383E1F" w:rsidP="00383E1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B40730">
        <w:rPr>
          <w:rFonts w:asciiTheme="minorHAnsi" w:hAnsiTheme="minorHAnsi" w:cstheme="minorHAnsi"/>
        </w:rPr>
        <w:t>How</w:t>
      </w:r>
      <w:r w:rsidRPr="008A14F1">
        <w:rPr>
          <w:rFonts w:asciiTheme="minorHAnsi" w:hAnsiTheme="minorHAnsi" w:cstheme="minorHAnsi"/>
        </w:rPr>
        <w:t xml:space="preserve"> appropriate transparency of product flow and funding may be supported, including through systems and data flows used by Government and supply chain participants</w:t>
      </w:r>
    </w:p>
    <w:p w14:paraId="38CC28AC" w14:textId="77777777" w:rsidR="00383E1F" w:rsidRPr="008B7F88" w:rsidRDefault="00383E1F" w:rsidP="00383E1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outcomes of current Commonwealth reviews into national standards, policies and guidelines of relevance to EFC medicines supply and access, such as the National Medicines Policy and the TGA PIC/S9 Guide to Good Manufacturing Practice for Medicinal Products</w:t>
      </w:r>
    </w:p>
    <w:p w14:paraId="0B41155F" w14:textId="77777777" w:rsidR="00383E1F" w:rsidRPr="008B7F88" w:rsidRDefault="00383E1F" w:rsidP="00383E1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8B7F88">
        <w:rPr>
          <w:rFonts w:asciiTheme="minorHAnsi" w:hAnsiTheme="minorHAnsi" w:cstheme="minorHAnsi"/>
        </w:rPr>
        <w:t xml:space="preserve">The possible impact of new and/or emerging technologies on </w:t>
      </w:r>
      <w:r>
        <w:rPr>
          <w:rFonts w:asciiTheme="minorHAnsi" w:hAnsiTheme="minorHAnsi" w:cstheme="minorHAnsi"/>
        </w:rPr>
        <w:t xml:space="preserve">future </w:t>
      </w:r>
      <w:r w:rsidRPr="008B7F88">
        <w:rPr>
          <w:rFonts w:asciiTheme="minorHAnsi" w:hAnsiTheme="minorHAnsi" w:cstheme="minorHAnsi"/>
        </w:rPr>
        <w:t xml:space="preserve">operation </w:t>
      </w:r>
      <w:r>
        <w:rPr>
          <w:rFonts w:asciiTheme="minorHAnsi" w:hAnsiTheme="minorHAnsi" w:cstheme="minorHAnsi"/>
        </w:rPr>
        <w:t xml:space="preserve">and funding </w:t>
      </w:r>
      <w:r w:rsidRPr="008B7F88">
        <w:rPr>
          <w:rFonts w:asciiTheme="minorHAnsi" w:hAnsiTheme="minorHAnsi" w:cstheme="minorHAnsi"/>
        </w:rPr>
        <w:t xml:space="preserve">of EFC arrangements </w:t>
      </w:r>
    </w:p>
    <w:p w14:paraId="5ADD8A8B" w14:textId="77777777" w:rsidR="00383E1F" w:rsidRDefault="00383E1F" w:rsidP="00383E1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access to chemotherapy medicines is provided globally, and whether these international models could be incorporated appropriately in the Australian context, and</w:t>
      </w:r>
    </w:p>
    <w:p w14:paraId="0018D6B5" w14:textId="77777777" w:rsidR="00383E1F" w:rsidRPr="005C3CEF" w:rsidRDefault="00383E1F" w:rsidP="00383E1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3"/>
        </w:rPr>
        <w:t xml:space="preserve">The </w:t>
      </w:r>
      <w:r w:rsidRPr="004A4D1C">
        <w:rPr>
          <w:rFonts w:asciiTheme="minorHAnsi" w:hAnsiTheme="minorHAnsi" w:cstheme="minorHAnsi"/>
          <w:szCs w:val="23"/>
        </w:rPr>
        <w:t xml:space="preserve">classification of items </w:t>
      </w:r>
      <w:r>
        <w:rPr>
          <w:rFonts w:asciiTheme="minorHAnsi" w:hAnsiTheme="minorHAnsi" w:cstheme="minorHAnsi"/>
          <w:szCs w:val="23"/>
        </w:rPr>
        <w:t xml:space="preserve">listed in </w:t>
      </w:r>
      <w:r w:rsidRPr="004A4D1C">
        <w:rPr>
          <w:rFonts w:asciiTheme="minorHAnsi" w:hAnsiTheme="minorHAnsi" w:cstheme="minorHAnsi"/>
          <w:szCs w:val="23"/>
        </w:rPr>
        <w:t xml:space="preserve">the EFC </w:t>
      </w:r>
      <w:r>
        <w:rPr>
          <w:rFonts w:asciiTheme="minorHAnsi" w:hAnsiTheme="minorHAnsi" w:cstheme="minorHAnsi"/>
          <w:szCs w:val="23"/>
        </w:rPr>
        <w:t xml:space="preserve">Instrument </w:t>
      </w:r>
      <w:r w:rsidRPr="004A4D1C">
        <w:rPr>
          <w:rFonts w:asciiTheme="minorHAnsi" w:hAnsiTheme="minorHAnsi" w:cstheme="minorHAnsi"/>
          <w:szCs w:val="23"/>
        </w:rPr>
        <w:t xml:space="preserve">and </w:t>
      </w:r>
      <w:r>
        <w:rPr>
          <w:rFonts w:asciiTheme="minorHAnsi" w:hAnsiTheme="minorHAnsi" w:cstheme="minorHAnsi"/>
          <w:szCs w:val="23"/>
        </w:rPr>
        <w:t xml:space="preserve">on the general </w:t>
      </w:r>
      <w:r w:rsidRPr="004A4D1C">
        <w:rPr>
          <w:rFonts w:asciiTheme="minorHAnsi" w:hAnsiTheme="minorHAnsi" w:cstheme="minorHAnsi"/>
          <w:szCs w:val="23"/>
        </w:rPr>
        <w:t xml:space="preserve">PBS </w:t>
      </w:r>
      <w:r>
        <w:rPr>
          <w:rFonts w:asciiTheme="minorHAnsi" w:hAnsiTheme="minorHAnsi" w:cstheme="minorHAnsi"/>
          <w:szCs w:val="23"/>
        </w:rPr>
        <w:t>S</w:t>
      </w:r>
      <w:r w:rsidRPr="004A4D1C">
        <w:rPr>
          <w:rFonts w:asciiTheme="minorHAnsi" w:hAnsiTheme="minorHAnsi" w:cstheme="minorHAnsi"/>
          <w:szCs w:val="23"/>
        </w:rPr>
        <w:t>chedule</w:t>
      </w:r>
      <w:r>
        <w:rPr>
          <w:rFonts w:asciiTheme="minorHAnsi" w:hAnsiTheme="minorHAnsi" w:cstheme="minorHAnsi"/>
          <w:szCs w:val="23"/>
        </w:rPr>
        <w:t>, including potential for adjustments to improve the patient and health professional experience.</w:t>
      </w:r>
    </w:p>
    <w:p w14:paraId="53F199EC" w14:textId="77777777" w:rsidR="00383E1F" w:rsidRDefault="00383E1F" w:rsidP="00383E1F">
      <w:pPr>
        <w:pStyle w:val="ListParagraph"/>
        <w:spacing w:after="0" w:line="240" w:lineRule="auto"/>
        <w:ind w:left="0"/>
        <w:rPr>
          <w:rFonts w:asciiTheme="minorHAnsi" w:hAnsiTheme="minorHAnsi" w:cstheme="minorHAnsi"/>
        </w:rPr>
      </w:pPr>
    </w:p>
    <w:p w14:paraId="76AAC71A" w14:textId="77777777" w:rsidR="00383E1F" w:rsidRDefault="00383E1F" w:rsidP="00383E1F">
      <w:pPr>
        <w:pStyle w:val="ListParagraph"/>
        <w:spacing w:after="0" w:line="240" w:lineRule="auto"/>
        <w:ind w:left="0"/>
        <w:rPr>
          <w:rFonts w:asciiTheme="minorHAnsi" w:hAnsiTheme="minorHAnsi" w:cstheme="minorHAnsi"/>
        </w:rPr>
      </w:pPr>
      <w:r w:rsidRPr="008B7F88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>conducting</w:t>
      </w:r>
      <w:r w:rsidRPr="008B7F88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>EFC r</w:t>
      </w:r>
      <w:r w:rsidRPr="008B7F88">
        <w:rPr>
          <w:rFonts w:asciiTheme="minorHAnsi" w:hAnsiTheme="minorHAnsi" w:cstheme="minorHAnsi"/>
        </w:rPr>
        <w:t>eview, the following will be undertaken at a minimum:</w:t>
      </w:r>
    </w:p>
    <w:p w14:paraId="10A52C28" w14:textId="77777777" w:rsidR="00383E1F" w:rsidRPr="008B7F88" w:rsidRDefault="00383E1F" w:rsidP="00383E1F">
      <w:pPr>
        <w:pStyle w:val="ListParagraph"/>
        <w:spacing w:after="0" w:line="240" w:lineRule="auto"/>
        <w:ind w:left="0"/>
        <w:rPr>
          <w:rFonts w:asciiTheme="minorHAnsi" w:hAnsiTheme="minorHAnsi" w:cstheme="minorHAnsi"/>
        </w:rPr>
      </w:pPr>
    </w:p>
    <w:p w14:paraId="2B9BA9D0" w14:textId="77777777" w:rsidR="00383E1F" w:rsidRPr="008B7F88" w:rsidRDefault="00383E1F" w:rsidP="00383E1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8B7F88">
        <w:rPr>
          <w:rFonts w:asciiTheme="minorHAnsi" w:hAnsiTheme="minorHAnsi" w:cstheme="minorHAnsi"/>
        </w:rPr>
        <w:t>Call for public submissions</w:t>
      </w:r>
    </w:p>
    <w:p w14:paraId="0DCE5BA5" w14:textId="77777777" w:rsidR="00383E1F" w:rsidRPr="008B7F88" w:rsidRDefault="00383E1F" w:rsidP="00383E1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8B7F88">
        <w:rPr>
          <w:rFonts w:asciiTheme="minorHAnsi" w:hAnsiTheme="minorHAnsi" w:cstheme="minorHAnsi"/>
        </w:rPr>
        <w:t>Consultation with stakeholders</w:t>
      </w:r>
      <w:r>
        <w:rPr>
          <w:rFonts w:asciiTheme="minorHAnsi" w:hAnsiTheme="minorHAnsi" w:cstheme="minorHAnsi"/>
        </w:rPr>
        <w:t xml:space="preserve"> on discussion papers and an interim report</w:t>
      </w:r>
    </w:p>
    <w:p w14:paraId="409E7C91" w14:textId="77777777" w:rsidR="00383E1F" w:rsidRPr="008B7F88" w:rsidRDefault="00383E1F" w:rsidP="00383E1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8B7F88">
        <w:rPr>
          <w:rFonts w:asciiTheme="minorHAnsi" w:hAnsiTheme="minorHAnsi" w:cstheme="minorHAnsi"/>
        </w:rPr>
        <w:t xml:space="preserve">Consideration of approaches to funding of chemotherapy </w:t>
      </w:r>
      <w:r>
        <w:rPr>
          <w:rFonts w:asciiTheme="minorHAnsi" w:hAnsiTheme="minorHAnsi" w:cstheme="minorHAnsi"/>
        </w:rPr>
        <w:t xml:space="preserve">across all </w:t>
      </w:r>
      <w:r w:rsidRPr="008B7F88">
        <w:rPr>
          <w:rFonts w:asciiTheme="minorHAnsi" w:hAnsiTheme="minorHAnsi" w:cstheme="minorHAnsi"/>
        </w:rPr>
        <w:t>jurisdictions</w:t>
      </w:r>
    </w:p>
    <w:p w14:paraId="1B1DA649" w14:textId="77777777" w:rsidR="00383E1F" w:rsidRPr="008B7F88" w:rsidRDefault="00383E1F" w:rsidP="00383E1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8B7F88">
        <w:rPr>
          <w:rFonts w:asciiTheme="minorHAnsi" w:hAnsiTheme="minorHAnsi" w:cstheme="minorHAnsi"/>
        </w:rPr>
        <w:t>Analysis of costs incurred in the manufacture, logistics, handling, compounding and dispensing of chemotherapy medicines</w:t>
      </w:r>
      <w:r>
        <w:rPr>
          <w:rFonts w:asciiTheme="minorHAnsi" w:hAnsiTheme="minorHAnsi" w:cstheme="minorHAnsi"/>
        </w:rPr>
        <w:t>,</w:t>
      </w:r>
      <w:r w:rsidRPr="008B7F88">
        <w:rPr>
          <w:rFonts w:asciiTheme="minorHAnsi" w:hAnsiTheme="minorHAnsi" w:cstheme="minorHAnsi"/>
        </w:rPr>
        <w:t xml:space="preserve"> and</w:t>
      </w:r>
    </w:p>
    <w:p w14:paraId="5B810FAA" w14:textId="77777777" w:rsidR="00383E1F" w:rsidRPr="008B7F88" w:rsidRDefault="00383E1F" w:rsidP="00383E1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8B7F88">
        <w:rPr>
          <w:rFonts w:asciiTheme="minorHAnsi" w:hAnsiTheme="minorHAnsi" w:cstheme="minorHAnsi"/>
        </w:rPr>
        <w:t>Examination of new and emerging technologies associated with the manufacture, logistics, handling, compounding and dispensing of chemotherapy medicines.</w:t>
      </w:r>
    </w:p>
    <w:p w14:paraId="0142E21A" w14:textId="77777777" w:rsidR="00383E1F" w:rsidRDefault="00383E1F" w:rsidP="00383E1F">
      <w:pPr>
        <w:spacing w:after="0" w:line="240" w:lineRule="auto"/>
        <w:rPr>
          <w:rFonts w:asciiTheme="minorHAnsi" w:hAnsiTheme="minorHAnsi" w:cstheme="minorHAnsi"/>
        </w:rPr>
      </w:pPr>
    </w:p>
    <w:p w14:paraId="7DE89DCA" w14:textId="77777777" w:rsidR="00383E1F" w:rsidRPr="008163F9" w:rsidRDefault="00383E1F" w:rsidP="00383E1F">
      <w:pPr>
        <w:spacing w:after="0" w:line="240" w:lineRule="auto"/>
        <w:rPr>
          <w:rFonts w:asciiTheme="minorHAnsi" w:hAnsiTheme="minorHAnsi" w:cstheme="minorHAnsi"/>
        </w:rPr>
      </w:pPr>
      <w:r w:rsidRPr="008163F9">
        <w:rPr>
          <w:rFonts w:asciiTheme="minorHAnsi" w:hAnsiTheme="minorHAnsi" w:cstheme="minorHAnsi"/>
        </w:rPr>
        <w:t>Matters to be considered out of scope for the EFC review include:</w:t>
      </w:r>
    </w:p>
    <w:p w14:paraId="5FFA3DE0" w14:textId="77777777" w:rsidR="00383E1F" w:rsidRDefault="00383E1F" w:rsidP="00383E1F">
      <w:pPr>
        <w:spacing w:after="0" w:line="240" w:lineRule="auto"/>
        <w:rPr>
          <w:rFonts w:asciiTheme="minorHAnsi" w:hAnsiTheme="minorHAnsi" w:cstheme="minorHAnsi"/>
        </w:rPr>
      </w:pPr>
    </w:p>
    <w:p w14:paraId="1E24AA8C" w14:textId="77777777" w:rsidR="00383E1F" w:rsidRPr="008163F9" w:rsidRDefault="00383E1F" w:rsidP="00383E1F">
      <w:pPr>
        <w:spacing w:after="0" w:line="240" w:lineRule="auto"/>
        <w:rPr>
          <w:rFonts w:asciiTheme="minorHAnsi" w:hAnsiTheme="minorHAnsi" w:cstheme="minorHAnsi"/>
        </w:rPr>
      </w:pPr>
      <w:r w:rsidRPr="008163F9">
        <w:rPr>
          <w:rFonts w:asciiTheme="minorHAnsi" w:hAnsiTheme="minorHAnsi" w:cstheme="minorHAnsi"/>
        </w:rPr>
        <w:t>a) Considerations relating to ancillary cancer treatment costs (such as travel and accommodation);</w:t>
      </w:r>
    </w:p>
    <w:p w14:paraId="65921E11" w14:textId="0BF1631B" w:rsidR="00742584" w:rsidRPr="00FB75F9" w:rsidRDefault="00383E1F" w:rsidP="00FB75F9">
      <w:pPr>
        <w:spacing w:after="0" w:line="240" w:lineRule="auto"/>
        <w:rPr>
          <w:rFonts w:asciiTheme="minorHAnsi" w:hAnsiTheme="minorHAnsi" w:cstheme="minorHAnsi"/>
        </w:rPr>
      </w:pPr>
      <w:r w:rsidRPr="008163F9">
        <w:rPr>
          <w:rFonts w:asciiTheme="minorHAnsi" w:hAnsiTheme="minorHAnsi" w:cstheme="minorHAnsi"/>
        </w:rPr>
        <w:t>b) Costs and access arrangements for non-EFC listed cancer treatments (e.g. oral chemotherapy medicines and non-PBS medicines).</w:t>
      </w:r>
    </w:p>
    <w:sectPr w:rsidR="00742584" w:rsidRPr="00FB75F9" w:rsidSect="008163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819"/>
    <w:multiLevelType w:val="hybridMultilevel"/>
    <w:tmpl w:val="E1BA3652"/>
    <w:lvl w:ilvl="0" w:tplc="B560AE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33032"/>
    <w:multiLevelType w:val="hybridMultilevel"/>
    <w:tmpl w:val="2C5663FC"/>
    <w:lvl w:ilvl="0" w:tplc="7F80C7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73A7"/>
    <w:multiLevelType w:val="hybridMultilevel"/>
    <w:tmpl w:val="1EF88E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275A"/>
    <w:multiLevelType w:val="hybridMultilevel"/>
    <w:tmpl w:val="14C8856E"/>
    <w:lvl w:ilvl="0" w:tplc="C5248F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C7B69"/>
    <w:multiLevelType w:val="hybridMultilevel"/>
    <w:tmpl w:val="96C6A3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66D00"/>
    <w:multiLevelType w:val="hybridMultilevel"/>
    <w:tmpl w:val="BC90670E"/>
    <w:lvl w:ilvl="0" w:tplc="7F80C7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2F0D"/>
    <w:multiLevelType w:val="hybridMultilevel"/>
    <w:tmpl w:val="F822E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B2E3E"/>
    <w:multiLevelType w:val="hybridMultilevel"/>
    <w:tmpl w:val="80A00B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3118D"/>
    <w:multiLevelType w:val="hybridMultilevel"/>
    <w:tmpl w:val="FFEC8848"/>
    <w:lvl w:ilvl="0" w:tplc="FF54F2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775E8"/>
    <w:multiLevelType w:val="hybridMultilevel"/>
    <w:tmpl w:val="E0FA72C6"/>
    <w:lvl w:ilvl="0" w:tplc="474CA6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DA03DB"/>
    <w:multiLevelType w:val="hybridMultilevel"/>
    <w:tmpl w:val="72E42268"/>
    <w:lvl w:ilvl="0" w:tplc="108AC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43B1E"/>
    <w:multiLevelType w:val="hybridMultilevel"/>
    <w:tmpl w:val="239A3F46"/>
    <w:lvl w:ilvl="0" w:tplc="7F80C7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97DE5"/>
    <w:multiLevelType w:val="hybridMultilevel"/>
    <w:tmpl w:val="4044F81C"/>
    <w:lvl w:ilvl="0" w:tplc="C5248F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4667E"/>
    <w:multiLevelType w:val="hybridMultilevel"/>
    <w:tmpl w:val="57F4BEF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F9"/>
    <w:rsid w:val="0001308F"/>
    <w:rsid w:val="000B3476"/>
    <w:rsid w:val="000C0BE9"/>
    <w:rsid w:val="000D0D32"/>
    <w:rsid w:val="00137DA3"/>
    <w:rsid w:val="001667D7"/>
    <w:rsid w:val="00184DAA"/>
    <w:rsid w:val="00210569"/>
    <w:rsid w:val="00255804"/>
    <w:rsid w:val="00280050"/>
    <w:rsid w:val="00355150"/>
    <w:rsid w:val="00363E58"/>
    <w:rsid w:val="00383E1F"/>
    <w:rsid w:val="00397D5F"/>
    <w:rsid w:val="003F0126"/>
    <w:rsid w:val="003F01E9"/>
    <w:rsid w:val="004104CB"/>
    <w:rsid w:val="00424A05"/>
    <w:rsid w:val="00440177"/>
    <w:rsid w:val="004550E7"/>
    <w:rsid w:val="00466225"/>
    <w:rsid w:val="004958EA"/>
    <w:rsid w:val="004A4D1C"/>
    <w:rsid w:val="00534180"/>
    <w:rsid w:val="005351BC"/>
    <w:rsid w:val="005B0EDD"/>
    <w:rsid w:val="005C2FE2"/>
    <w:rsid w:val="005C3CEF"/>
    <w:rsid w:val="005D3000"/>
    <w:rsid w:val="005D32C3"/>
    <w:rsid w:val="005E26F7"/>
    <w:rsid w:val="00623478"/>
    <w:rsid w:val="0066145F"/>
    <w:rsid w:val="006B4994"/>
    <w:rsid w:val="006E364D"/>
    <w:rsid w:val="006E4118"/>
    <w:rsid w:val="0070385A"/>
    <w:rsid w:val="00703FB6"/>
    <w:rsid w:val="00742584"/>
    <w:rsid w:val="007C1C49"/>
    <w:rsid w:val="007E3729"/>
    <w:rsid w:val="008163F9"/>
    <w:rsid w:val="0084620C"/>
    <w:rsid w:val="008A14F1"/>
    <w:rsid w:val="008B7F88"/>
    <w:rsid w:val="009563F8"/>
    <w:rsid w:val="009C68C7"/>
    <w:rsid w:val="00A00D2D"/>
    <w:rsid w:val="00A25601"/>
    <w:rsid w:val="00A61CE0"/>
    <w:rsid w:val="00AE0DD0"/>
    <w:rsid w:val="00B175D8"/>
    <w:rsid w:val="00B30224"/>
    <w:rsid w:val="00B40730"/>
    <w:rsid w:val="00C6682E"/>
    <w:rsid w:val="00C672E6"/>
    <w:rsid w:val="00C8388B"/>
    <w:rsid w:val="00C927A3"/>
    <w:rsid w:val="00E05B51"/>
    <w:rsid w:val="00E61940"/>
    <w:rsid w:val="00E63953"/>
    <w:rsid w:val="00EA6F23"/>
    <w:rsid w:val="00ED20BF"/>
    <w:rsid w:val="00EE63A9"/>
    <w:rsid w:val="00EF5BC5"/>
    <w:rsid w:val="00F14D6C"/>
    <w:rsid w:val="00F77C6D"/>
    <w:rsid w:val="00FB75F9"/>
    <w:rsid w:val="00F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D67C"/>
  <w15:chartTrackingRefBased/>
  <w15:docId w15:val="{659B61E3-4EBA-4028-BFCA-1ECEF414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3F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49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5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A411-5CD7-48C5-AD70-13763199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HUA, Beth</dc:creator>
  <cp:keywords/>
  <dc:description/>
  <cp:lastModifiedBy>BOLAND, Jerome</cp:lastModifiedBy>
  <cp:revision>2</cp:revision>
  <cp:lastPrinted>2021-04-29T03:44:00Z</cp:lastPrinted>
  <dcterms:created xsi:type="dcterms:W3CDTF">2021-04-29T03:47:00Z</dcterms:created>
  <dcterms:modified xsi:type="dcterms:W3CDTF">2021-04-29T03:47:00Z</dcterms:modified>
</cp:coreProperties>
</file>