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C95F5" w14:textId="77777777" w:rsidR="0000686B" w:rsidRPr="001869BF" w:rsidRDefault="0000686B" w:rsidP="00947AFC">
      <w:pPr>
        <w:spacing w:before="4000" w:after="240" w:line="240" w:lineRule="auto"/>
        <w:jc w:val="center"/>
        <w:rPr>
          <w:rFonts w:asciiTheme="minorHAnsi" w:hAnsiTheme="minorHAnsi"/>
          <w:b/>
          <w:sz w:val="52"/>
          <w:szCs w:val="52"/>
        </w:rPr>
      </w:pPr>
      <w:r w:rsidRPr="001869BF">
        <w:rPr>
          <w:rFonts w:asciiTheme="minorHAnsi" w:hAnsiTheme="minorHAnsi"/>
          <w:b/>
          <w:sz w:val="52"/>
          <w:szCs w:val="52"/>
        </w:rPr>
        <w:t>Pharmaceutical Benefits Scheme</w:t>
      </w:r>
    </w:p>
    <w:p w14:paraId="3251BF8E" w14:textId="77777777" w:rsidR="0000686B" w:rsidRPr="001869BF" w:rsidRDefault="0000686B" w:rsidP="00947AFC">
      <w:pPr>
        <w:spacing w:before="480" w:after="240" w:line="240" w:lineRule="auto"/>
        <w:jc w:val="center"/>
        <w:rPr>
          <w:rFonts w:asciiTheme="minorHAnsi" w:hAnsiTheme="minorHAnsi"/>
          <w:b/>
          <w:sz w:val="40"/>
          <w:szCs w:val="40"/>
        </w:rPr>
      </w:pPr>
      <w:r w:rsidRPr="001869BF">
        <w:rPr>
          <w:rFonts w:asciiTheme="minorHAnsi" w:hAnsiTheme="minorHAnsi"/>
          <w:b/>
          <w:sz w:val="40"/>
          <w:szCs w:val="40"/>
        </w:rPr>
        <w:t>Post-market Review</w:t>
      </w:r>
    </w:p>
    <w:p w14:paraId="052E857A" w14:textId="77777777" w:rsidR="0000686B" w:rsidRPr="001869BF" w:rsidRDefault="0000686B" w:rsidP="00947AFC">
      <w:pPr>
        <w:spacing w:before="240" w:line="240" w:lineRule="auto"/>
        <w:jc w:val="center"/>
        <w:rPr>
          <w:rFonts w:asciiTheme="minorHAnsi" w:hAnsiTheme="minorHAnsi"/>
          <w:b/>
          <w:color w:val="365F91" w:themeColor="accent1" w:themeShade="BF"/>
          <w:sz w:val="32"/>
          <w:szCs w:val="32"/>
        </w:rPr>
      </w:pPr>
      <w:r w:rsidRPr="007C496D">
        <w:rPr>
          <w:rFonts w:asciiTheme="minorHAnsi" w:hAnsiTheme="minorHAnsi"/>
          <w:b/>
          <w:color w:val="365F91" w:themeColor="accent1" w:themeShade="BF"/>
          <w:sz w:val="32"/>
          <w:szCs w:val="32"/>
        </w:rPr>
        <w:t>Ezetimibe</w:t>
      </w:r>
      <w:r>
        <w:rPr>
          <w:rFonts w:asciiTheme="minorHAnsi" w:hAnsiTheme="minorHAnsi"/>
          <w:b/>
          <w:color w:val="365F91" w:themeColor="accent1" w:themeShade="BF"/>
          <w:sz w:val="32"/>
          <w:szCs w:val="32"/>
        </w:rPr>
        <w:t xml:space="preserve"> Review</w:t>
      </w:r>
    </w:p>
    <w:p w14:paraId="64C35975" w14:textId="77777777" w:rsidR="0000686B" w:rsidRPr="004B11B2" w:rsidRDefault="0000686B" w:rsidP="00947AFC">
      <w:pPr>
        <w:spacing w:before="240" w:line="240" w:lineRule="auto"/>
        <w:jc w:val="center"/>
        <w:rPr>
          <w:rFonts w:asciiTheme="majorHAnsi" w:hAnsiTheme="majorHAnsi"/>
        </w:rPr>
      </w:pPr>
      <w:bookmarkStart w:id="0" w:name="_Toc341175223"/>
      <w:bookmarkStart w:id="1" w:name="_Toc341180114"/>
      <w:bookmarkStart w:id="2" w:name="_Toc341718010"/>
      <w:bookmarkStart w:id="3" w:name="_Toc341946998"/>
      <w:bookmarkStart w:id="4" w:name="_Toc341964940"/>
      <w:bookmarkStart w:id="5" w:name="_Toc342478568"/>
      <w:bookmarkStart w:id="6" w:name="_Toc342558104"/>
      <w:bookmarkStart w:id="7" w:name="_Toc351967067"/>
      <w:bookmarkStart w:id="8" w:name="_Toc359831559"/>
      <w:bookmarkStart w:id="9" w:name="_Toc359914389"/>
      <w:bookmarkStart w:id="10" w:name="_Toc360710900"/>
      <w:bookmarkStart w:id="11" w:name="_Toc368383244"/>
      <w:bookmarkStart w:id="12" w:name="_Toc371521186"/>
      <w:r w:rsidRPr="001869BF">
        <w:rPr>
          <w:rFonts w:asciiTheme="minorHAnsi" w:hAnsiTheme="minorHAnsi"/>
          <w:b/>
          <w:i/>
          <w:color w:val="365F91" w:themeColor="accent1" w:themeShade="BF"/>
          <w:sz w:val="28"/>
          <w:szCs w:val="28"/>
        </w:rPr>
        <w:t xml:space="preserve">Report to </w:t>
      </w:r>
      <w:bookmarkEnd w:id="0"/>
      <w:bookmarkEnd w:id="1"/>
      <w:bookmarkEnd w:id="2"/>
      <w:bookmarkEnd w:id="3"/>
      <w:bookmarkEnd w:id="4"/>
      <w:bookmarkEnd w:id="5"/>
      <w:bookmarkEnd w:id="6"/>
      <w:bookmarkEnd w:id="7"/>
      <w:bookmarkEnd w:id="8"/>
      <w:bookmarkEnd w:id="9"/>
      <w:bookmarkEnd w:id="10"/>
      <w:bookmarkEnd w:id="11"/>
      <w:bookmarkEnd w:id="12"/>
      <w:r>
        <w:rPr>
          <w:rFonts w:asciiTheme="minorHAnsi" w:hAnsiTheme="minorHAnsi"/>
          <w:b/>
          <w:i/>
          <w:color w:val="365F91" w:themeColor="accent1" w:themeShade="BF"/>
          <w:sz w:val="28"/>
          <w:szCs w:val="28"/>
        </w:rPr>
        <w:t xml:space="preserve">the </w:t>
      </w:r>
      <w:r w:rsidRPr="001869BF">
        <w:rPr>
          <w:rFonts w:asciiTheme="minorHAnsi" w:hAnsiTheme="minorHAnsi"/>
          <w:b/>
          <w:i/>
          <w:color w:val="365F91" w:themeColor="accent1" w:themeShade="BF"/>
          <w:sz w:val="28"/>
          <w:szCs w:val="28"/>
        </w:rPr>
        <w:t>P</w:t>
      </w:r>
      <w:r>
        <w:rPr>
          <w:rFonts w:asciiTheme="minorHAnsi" w:hAnsiTheme="minorHAnsi"/>
          <w:b/>
          <w:i/>
          <w:color w:val="365F91" w:themeColor="accent1" w:themeShade="BF"/>
          <w:sz w:val="28"/>
          <w:szCs w:val="28"/>
        </w:rPr>
        <w:t xml:space="preserve">harmaceutical </w:t>
      </w:r>
      <w:r w:rsidRPr="001869BF">
        <w:rPr>
          <w:rFonts w:asciiTheme="minorHAnsi" w:hAnsiTheme="minorHAnsi"/>
          <w:b/>
          <w:i/>
          <w:color w:val="365F91" w:themeColor="accent1" w:themeShade="BF"/>
          <w:sz w:val="28"/>
          <w:szCs w:val="28"/>
        </w:rPr>
        <w:t>B</w:t>
      </w:r>
      <w:r>
        <w:rPr>
          <w:rFonts w:asciiTheme="minorHAnsi" w:hAnsiTheme="minorHAnsi"/>
          <w:b/>
          <w:i/>
          <w:color w:val="365F91" w:themeColor="accent1" w:themeShade="BF"/>
          <w:sz w:val="28"/>
          <w:szCs w:val="28"/>
        </w:rPr>
        <w:t xml:space="preserve">enefits </w:t>
      </w:r>
      <w:r w:rsidRPr="001869BF">
        <w:rPr>
          <w:rFonts w:asciiTheme="minorHAnsi" w:hAnsiTheme="minorHAnsi"/>
          <w:b/>
          <w:i/>
          <w:color w:val="365F91" w:themeColor="accent1" w:themeShade="BF"/>
          <w:sz w:val="28"/>
          <w:szCs w:val="28"/>
        </w:rPr>
        <w:t>A</w:t>
      </w:r>
      <w:r>
        <w:rPr>
          <w:rFonts w:asciiTheme="minorHAnsi" w:hAnsiTheme="minorHAnsi"/>
          <w:b/>
          <w:i/>
          <w:color w:val="365F91" w:themeColor="accent1" w:themeShade="BF"/>
          <w:sz w:val="28"/>
          <w:szCs w:val="28"/>
        </w:rPr>
        <w:t xml:space="preserve">dvisory </w:t>
      </w:r>
      <w:r w:rsidRPr="001869BF">
        <w:rPr>
          <w:rFonts w:asciiTheme="minorHAnsi" w:hAnsiTheme="minorHAnsi"/>
          <w:b/>
          <w:i/>
          <w:color w:val="365F91" w:themeColor="accent1" w:themeShade="BF"/>
          <w:sz w:val="28"/>
          <w:szCs w:val="28"/>
        </w:rPr>
        <w:t>C</w:t>
      </w:r>
      <w:r>
        <w:rPr>
          <w:rFonts w:asciiTheme="minorHAnsi" w:hAnsiTheme="minorHAnsi"/>
          <w:b/>
          <w:i/>
          <w:color w:val="365F91" w:themeColor="accent1" w:themeShade="BF"/>
          <w:sz w:val="28"/>
          <w:szCs w:val="28"/>
        </w:rPr>
        <w:t>ommittee</w:t>
      </w:r>
    </w:p>
    <w:p w14:paraId="354BC9ED" w14:textId="77777777" w:rsidR="0000686B" w:rsidRPr="00F53453" w:rsidRDefault="0000686B" w:rsidP="00947AFC">
      <w:pPr>
        <w:spacing w:before="1000" w:line="240" w:lineRule="auto"/>
        <w:jc w:val="center"/>
        <w:rPr>
          <w:rFonts w:asciiTheme="minorHAnsi" w:hAnsiTheme="minorHAnsi"/>
          <w:b/>
          <w:i/>
          <w:color w:val="365F91" w:themeColor="accent1" w:themeShade="BF"/>
          <w:sz w:val="28"/>
          <w:szCs w:val="28"/>
          <w:highlight w:val="yellow"/>
        </w:rPr>
      </w:pPr>
    </w:p>
    <w:p w14:paraId="378E5C92" w14:textId="394D3EDA" w:rsidR="0000686B" w:rsidRPr="001869BF" w:rsidRDefault="004F4EDD" w:rsidP="00947AFC">
      <w:pPr>
        <w:spacing w:before="240" w:line="240" w:lineRule="auto"/>
        <w:jc w:val="center"/>
        <w:rPr>
          <w:rFonts w:asciiTheme="minorHAnsi" w:hAnsiTheme="minorHAnsi"/>
          <w:b/>
          <w:i/>
          <w:color w:val="365F91" w:themeColor="accent1" w:themeShade="BF"/>
          <w:sz w:val="28"/>
          <w:szCs w:val="28"/>
        </w:rPr>
      </w:pPr>
      <w:r>
        <w:rPr>
          <w:rFonts w:asciiTheme="minorHAnsi" w:hAnsiTheme="minorHAnsi"/>
          <w:b/>
          <w:i/>
          <w:color w:val="365F91" w:themeColor="accent1" w:themeShade="BF"/>
          <w:sz w:val="28"/>
          <w:szCs w:val="28"/>
        </w:rPr>
        <w:t>AUGUST</w:t>
      </w:r>
      <w:r w:rsidR="00F53453" w:rsidRPr="005869C5">
        <w:rPr>
          <w:rFonts w:asciiTheme="minorHAnsi" w:hAnsiTheme="minorHAnsi"/>
          <w:b/>
          <w:i/>
          <w:color w:val="365F91" w:themeColor="accent1" w:themeShade="BF"/>
          <w:sz w:val="28"/>
          <w:szCs w:val="28"/>
        </w:rPr>
        <w:t xml:space="preserve"> </w:t>
      </w:r>
      <w:r w:rsidR="0000686B" w:rsidRPr="005869C5">
        <w:rPr>
          <w:rFonts w:asciiTheme="minorHAnsi" w:hAnsiTheme="minorHAnsi"/>
          <w:b/>
          <w:i/>
          <w:color w:val="365F91" w:themeColor="accent1" w:themeShade="BF"/>
          <w:sz w:val="28"/>
          <w:szCs w:val="28"/>
        </w:rPr>
        <w:t>201</w:t>
      </w:r>
      <w:r w:rsidR="0082069A" w:rsidRPr="005869C5">
        <w:rPr>
          <w:rFonts w:asciiTheme="minorHAnsi" w:hAnsiTheme="minorHAnsi"/>
          <w:b/>
          <w:i/>
          <w:color w:val="365F91" w:themeColor="accent1" w:themeShade="BF"/>
          <w:sz w:val="28"/>
          <w:szCs w:val="28"/>
        </w:rPr>
        <w:t>7</w:t>
      </w:r>
    </w:p>
    <w:p w14:paraId="6B820DDA" w14:textId="77777777" w:rsidR="0000686B" w:rsidRPr="004B11B2" w:rsidRDefault="0000686B" w:rsidP="00514129">
      <w:pPr>
        <w:rPr>
          <w:rFonts w:asciiTheme="majorHAnsi" w:hAnsiTheme="majorHAnsi"/>
          <w:b/>
          <w:bCs/>
        </w:rPr>
      </w:pPr>
      <w:r w:rsidRPr="004B11B2">
        <w:rPr>
          <w:rFonts w:asciiTheme="majorHAnsi" w:hAnsiTheme="majorHAnsi"/>
        </w:rPr>
        <w:br w:type="page"/>
      </w:r>
    </w:p>
    <w:p w14:paraId="775A429A" w14:textId="77777777" w:rsidR="008A37F9" w:rsidRPr="00E47B35" w:rsidRDefault="0000686B" w:rsidP="00920324">
      <w:pPr>
        <w:pStyle w:val="Heading1"/>
      </w:pPr>
      <w:bookmarkStart w:id="13" w:name="_Toc500510182"/>
      <w:r w:rsidRPr="00E47B35">
        <w:lastRenderedPageBreak/>
        <w:t>Contents</w:t>
      </w:r>
      <w:bookmarkEnd w:id="13"/>
    </w:p>
    <w:sdt>
      <w:sdtPr>
        <w:rPr>
          <w:rFonts w:ascii="Cambria" w:eastAsiaTheme="minorHAnsi" w:hAnsi="Cambria" w:cstheme="minorBidi"/>
          <w:b w:val="0"/>
          <w:bCs w:val="0"/>
          <w:color w:val="auto"/>
          <w:sz w:val="24"/>
          <w:szCs w:val="22"/>
          <w:lang w:val="en-AU" w:eastAsia="en-US"/>
        </w:rPr>
        <w:id w:val="1378356718"/>
        <w:docPartObj>
          <w:docPartGallery w:val="Table of Contents"/>
          <w:docPartUnique/>
        </w:docPartObj>
      </w:sdtPr>
      <w:sdtEndPr>
        <w:rPr>
          <w:noProof/>
          <w:highlight w:val="yellow"/>
        </w:rPr>
      </w:sdtEndPr>
      <w:sdtContent>
        <w:p w14:paraId="5CBA090D" w14:textId="77777777" w:rsidR="008A37F9" w:rsidRPr="007C496D" w:rsidRDefault="008A37F9" w:rsidP="00514129">
          <w:pPr>
            <w:pStyle w:val="TOCHeading"/>
            <w:jc w:val="both"/>
            <w:rPr>
              <w:color w:val="365F91" w:themeColor="accent1" w:themeShade="BF"/>
              <w:sz w:val="16"/>
              <w:szCs w:val="16"/>
            </w:rPr>
          </w:pPr>
        </w:p>
        <w:p w14:paraId="7CEAF7D3" w14:textId="77777777" w:rsidR="004F4EDD" w:rsidRDefault="008A37F9">
          <w:pPr>
            <w:pStyle w:val="TOC1"/>
            <w:tabs>
              <w:tab w:val="right" w:leader="dot" w:pos="8296"/>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500510182" w:history="1">
            <w:r w:rsidR="004F4EDD" w:rsidRPr="003F423D">
              <w:rPr>
                <w:rStyle w:val="Hyperlink"/>
                <w:noProof/>
              </w:rPr>
              <w:t>Contents</w:t>
            </w:r>
            <w:r w:rsidR="004F4EDD">
              <w:rPr>
                <w:noProof/>
                <w:webHidden/>
              </w:rPr>
              <w:tab/>
            </w:r>
            <w:r w:rsidR="004F4EDD">
              <w:rPr>
                <w:noProof/>
                <w:webHidden/>
              </w:rPr>
              <w:fldChar w:fldCharType="begin"/>
            </w:r>
            <w:r w:rsidR="004F4EDD">
              <w:rPr>
                <w:noProof/>
                <w:webHidden/>
              </w:rPr>
              <w:instrText xml:space="preserve"> PAGEREF _Toc500510182 \h </w:instrText>
            </w:r>
            <w:r w:rsidR="004F4EDD">
              <w:rPr>
                <w:noProof/>
                <w:webHidden/>
              </w:rPr>
            </w:r>
            <w:r w:rsidR="004F4EDD">
              <w:rPr>
                <w:noProof/>
                <w:webHidden/>
              </w:rPr>
              <w:fldChar w:fldCharType="separate"/>
            </w:r>
            <w:r w:rsidR="00C605C8">
              <w:rPr>
                <w:noProof/>
                <w:webHidden/>
              </w:rPr>
              <w:t>2</w:t>
            </w:r>
            <w:r w:rsidR="004F4EDD">
              <w:rPr>
                <w:noProof/>
                <w:webHidden/>
              </w:rPr>
              <w:fldChar w:fldCharType="end"/>
            </w:r>
          </w:hyperlink>
        </w:p>
        <w:p w14:paraId="5D324579" w14:textId="77777777" w:rsidR="004F4EDD" w:rsidRDefault="003435B0">
          <w:pPr>
            <w:pStyle w:val="TOC1"/>
            <w:tabs>
              <w:tab w:val="right" w:leader="dot" w:pos="8296"/>
            </w:tabs>
            <w:rPr>
              <w:rFonts w:asciiTheme="minorHAnsi" w:eastAsiaTheme="minorEastAsia" w:hAnsiTheme="minorHAnsi"/>
              <w:noProof/>
              <w:sz w:val="22"/>
              <w:lang w:eastAsia="en-AU"/>
            </w:rPr>
          </w:pPr>
          <w:hyperlink w:anchor="_Toc500510183" w:history="1">
            <w:r w:rsidR="004F4EDD" w:rsidRPr="003F423D">
              <w:rPr>
                <w:rStyle w:val="Hyperlink"/>
                <w:noProof/>
              </w:rPr>
              <w:t>Abbreviations</w:t>
            </w:r>
            <w:r w:rsidR="004F4EDD">
              <w:rPr>
                <w:noProof/>
                <w:webHidden/>
              </w:rPr>
              <w:tab/>
            </w:r>
            <w:r w:rsidR="004F4EDD">
              <w:rPr>
                <w:noProof/>
                <w:webHidden/>
              </w:rPr>
              <w:fldChar w:fldCharType="begin"/>
            </w:r>
            <w:r w:rsidR="004F4EDD">
              <w:rPr>
                <w:noProof/>
                <w:webHidden/>
              </w:rPr>
              <w:instrText xml:space="preserve"> PAGEREF _Toc500510183 \h </w:instrText>
            </w:r>
            <w:r w:rsidR="004F4EDD">
              <w:rPr>
                <w:noProof/>
                <w:webHidden/>
              </w:rPr>
            </w:r>
            <w:r w:rsidR="004F4EDD">
              <w:rPr>
                <w:noProof/>
                <w:webHidden/>
              </w:rPr>
              <w:fldChar w:fldCharType="separate"/>
            </w:r>
            <w:r w:rsidR="00C605C8">
              <w:rPr>
                <w:noProof/>
                <w:webHidden/>
              </w:rPr>
              <w:t>5</w:t>
            </w:r>
            <w:r w:rsidR="004F4EDD">
              <w:rPr>
                <w:noProof/>
                <w:webHidden/>
              </w:rPr>
              <w:fldChar w:fldCharType="end"/>
            </w:r>
          </w:hyperlink>
        </w:p>
        <w:p w14:paraId="6CA01B7B" w14:textId="77777777" w:rsidR="004F4EDD" w:rsidRDefault="003435B0">
          <w:pPr>
            <w:pStyle w:val="TOC1"/>
            <w:tabs>
              <w:tab w:val="right" w:leader="dot" w:pos="8296"/>
            </w:tabs>
            <w:rPr>
              <w:rFonts w:asciiTheme="minorHAnsi" w:eastAsiaTheme="minorEastAsia" w:hAnsiTheme="minorHAnsi"/>
              <w:noProof/>
              <w:sz w:val="22"/>
              <w:lang w:eastAsia="en-AU"/>
            </w:rPr>
          </w:pPr>
          <w:hyperlink w:anchor="_Toc500510184" w:history="1">
            <w:r w:rsidR="004F4EDD" w:rsidRPr="003F423D">
              <w:rPr>
                <w:rStyle w:val="Hyperlink"/>
                <w:noProof/>
              </w:rPr>
              <w:t>Glossary</w:t>
            </w:r>
            <w:r w:rsidR="004F4EDD">
              <w:rPr>
                <w:noProof/>
                <w:webHidden/>
              </w:rPr>
              <w:tab/>
            </w:r>
            <w:r w:rsidR="004F4EDD">
              <w:rPr>
                <w:noProof/>
                <w:webHidden/>
              </w:rPr>
              <w:fldChar w:fldCharType="begin"/>
            </w:r>
            <w:r w:rsidR="004F4EDD">
              <w:rPr>
                <w:noProof/>
                <w:webHidden/>
              </w:rPr>
              <w:instrText xml:space="preserve"> PAGEREF _Toc500510184 \h </w:instrText>
            </w:r>
            <w:r w:rsidR="004F4EDD">
              <w:rPr>
                <w:noProof/>
                <w:webHidden/>
              </w:rPr>
            </w:r>
            <w:r w:rsidR="004F4EDD">
              <w:rPr>
                <w:noProof/>
                <w:webHidden/>
              </w:rPr>
              <w:fldChar w:fldCharType="separate"/>
            </w:r>
            <w:r w:rsidR="00C605C8">
              <w:rPr>
                <w:noProof/>
                <w:webHidden/>
              </w:rPr>
              <w:t>6</w:t>
            </w:r>
            <w:r w:rsidR="004F4EDD">
              <w:rPr>
                <w:noProof/>
                <w:webHidden/>
              </w:rPr>
              <w:fldChar w:fldCharType="end"/>
            </w:r>
          </w:hyperlink>
        </w:p>
        <w:p w14:paraId="554B266F" w14:textId="77777777" w:rsidR="004F4EDD" w:rsidRDefault="003435B0">
          <w:pPr>
            <w:pStyle w:val="TOC1"/>
            <w:tabs>
              <w:tab w:val="right" w:leader="dot" w:pos="8296"/>
            </w:tabs>
            <w:rPr>
              <w:rFonts w:asciiTheme="minorHAnsi" w:eastAsiaTheme="minorEastAsia" w:hAnsiTheme="minorHAnsi"/>
              <w:noProof/>
              <w:sz w:val="22"/>
              <w:lang w:eastAsia="en-AU"/>
            </w:rPr>
          </w:pPr>
          <w:hyperlink w:anchor="_Toc500510185" w:history="1">
            <w:r w:rsidR="004F4EDD" w:rsidRPr="003F423D">
              <w:rPr>
                <w:rStyle w:val="Hyperlink"/>
                <w:noProof/>
              </w:rPr>
              <w:t>Overview</w:t>
            </w:r>
            <w:r w:rsidR="004F4EDD">
              <w:rPr>
                <w:noProof/>
                <w:webHidden/>
              </w:rPr>
              <w:tab/>
            </w:r>
            <w:r w:rsidR="004F4EDD">
              <w:rPr>
                <w:noProof/>
                <w:webHidden/>
              </w:rPr>
              <w:fldChar w:fldCharType="begin"/>
            </w:r>
            <w:r w:rsidR="004F4EDD">
              <w:rPr>
                <w:noProof/>
                <w:webHidden/>
              </w:rPr>
              <w:instrText xml:space="preserve"> PAGEREF _Toc500510185 \h </w:instrText>
            </w:r>
            <w:r w:rsidR="004F4EDD">
              <w:rPr>
                <w:noProof/>
                <w:webHidden/>
              </w:rPr>
            </w:r>
            <w:r w:rsidR="004F4EDD">
              <w:rPr>
                <w:noProof/>
                <w:webHidden/>
              </w:rPr>
              <w:fldChar w:fldCharType="separate"/>
            </w:r>
            <w:r w:rsidR="00C605C8">
              <w:rPr>
                <w:noProof/>
                <w:webHidden/>
              </w:rPr>
              <w:t>9</w:t>
            </w:r>
            <w:r w:rsidR="004F4EDD">
              <w:rPr>
                <w:noProof/>
                <w:webHidden/>
              </w:rPr>
              <w:fldChar w:fldCharType="end"/>
            </w:r>
          </w:hyperlink>
        </w:p>
        <w:p w14:paraId="3F0E479E" w14:textId="77777777" w:rsidR="004F4EDD" w:rsidRDefault="003435B0">
          <w:pPr>
            <w:pStyle w:val="TOC1"/>
            <w:tabs>
              <w:tab w:val="right" w:leader="dot" w:pos="8296"/>
            </w:tabs>
            <w:rPr>
              <w:rFonts w:asciiTheme="minorHAnsi" w:eastAsiaTheme="minorEastAsia" w:hAnsiTheme="minorHAnsi"/>
              <w:noProof/>
              <w:sz w:val="22"/>
              <w:lang w:eastAsia="en-AU"/>
            </w:rPr>
          </w:pPr>
          <w:hyperlink w:anchor="_Toc500510186" w:history="1">
            <w:r w:rsidR="004F4EDD" w:rsidRPr="003F423D">
              <w:rPr>
                <w:rStyle w:val="Hyperlink"/>
                <w:noProof/>
              </w:rPr>
              <w:t>Executive Summary</w:t>
            </w:r>
            <w:r w:rsidR="004F4EDD">
              <w:rPr>
                <w:noProof/>
                <w:webHidden/>
              </w:rPr>
              <w:tab/>
            </w:r>
            <w:r w:rsidR="004F4EDD">
              <w:rPr>
                <w:noProof/>
                <w:webHidden/>
              </w:rPr>
              <w:fldChar w:fldCharType="begin"/>
            </w:r>
            <w:r w:rsidR="004F4EDD">
              <w:rPr>
                <w:noProof/>
                <w:webHidden/>
              </w:rPr>
              <w:instrText xml:space="preserve"> PAGEREF _Toc500510186 \h </w:instrText>
            </w:r>
            <w:r w:rsidR="004F4EDD">
              <w:rPr>
                <w:noProof/>
                <w:webHidden/>
              </w:rPr>
            </w:r>
            <w:r w:rsidR="004F4EDD">
              <w:rPr>
                <w:noProof/>
                <w:webHidden/>
              </w:rPr>
              <w:fldChar w:fldCharType="separate"/>
            </w:r>
            <w:r w:rsidR="00C605C8">
              <w:rPr>
                <w:noProof/>
                <w:webHidden/>
              </w:rPr>
              <w:t>11</w:t>
            </w:r>
            <w:r w:rsidR="004F4EDD">
              <w:rPr>
                <w:noProof/>
                <w:webHidden/>
              </w:rPr>
              <w:fldChar w:fldCharType="end"/>
            </w:r>
          </w:hyperlink>
        </w:p>
        <w:p w14:paraId="21DE4354"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187" w:history="1">
            <w:r w:rsidR="004F4EDD" w:rsidRPr="003F423D">
              <w:rPr>
                <w:rStyle w:val="Hyperlink"/>
                <w:noProof/>
              </w:rPr>
              <w:t xml:space="preserve">Term of Reference 1: </w:t>
            </w:r>
            <w:r w:rsidR="004F4EDD" w:rsidRPr="003F423D">
              <w:rPr>
                <w:rStyle w:val="Hyperlink"/>
                <w:noProof/>
                <w:lang w:eastAsia="en-AU"/>
              </w:rPr>
              <w:t>Utilisation</w:t>
            </w:r>
            <w:r w:rsidR="004F4EDD">
              <w:rPr>
                <w:noProof/>
                <w:webHidden/>
              </w:rPr>
              <w:tab/>
            </w:r>
            <w:r w:rsidR="004F4EDD">
              <w:rPr>
                <w:noProof/>
                <w:webHidden/>
              </w:rPr>
              <w:fldChar w:fldCharType="begin"/>
            </w:r>
            <w:r w:rsidR="004F4EDD">
              <w:rPr>
                <w:noProof/>
                <w:webHidden/>
              </w:rPr>
              <w:instrText xml:space="preserve"> PAGEREF _Toc500510187 \h </w:instrText>
            </w:r>
            <w:r w:rsidR="004F4EDD">
              <w:rPr>
                <w:noProof/>
                <w:webHidden/>
              </w:rPr>
            </w:r>
            <w:r w:rsidR="004F4EDD">
              <w:rPr>
                <w:noProof/>
                <w:webHidden/>
              </w:rPr>
              <w:fldChar w:fldCharType="separate"/>
            </w:r>
            <w:r w:rsidR="00C605C8">
              <w:rPr>
                <w:noProof/>
                <w:webHidden/>
              </w:rPr>
              <w:t>12</w:t>
            </w:r>
            <w:r w:rsidR="004F4EDD">
              <w:rPr>
                <w:noProof/>
                <w:webHidden/>
              </w:rPr>
              <w:fldChar w:fldCharType="end"/>
            </w:r>
          </w:hyperlink>
        </w:p>
        <w:p w14:paraId="66C9B991" w14:textId="77777777" w:rsidR="004F4EDD" w:rsidRDefault="003435B0">
          <w:pPr>
            <w:pStyle w:val="TOC3"/>
            <w:tabs>
              <w:tab w:val="right" w:leader="dot" w:pos="8296"/>
            </w:tabs>
            <w:rPr>
              <w:rFonts w:asciiTheme="minorHAnsi" w:eastAsiaTheme="minorEastAsia" w:hAnsiTheme="minorHAnsi"/>
              <w:noProof/>
              <w:sz w:val="22"/>
              <w:lang w:eastAsia="en-AU"/>
            </w:rPr>
          </w:pPr>
          <w:hyperlink w:anchor="_Toc500510188" w:history="1">
            <w:r w:rsidR="004F4EDD" w:rsidRPr="003F423D">
              <w:rPr>
                <w:rStyle w:val="Hyperlink"/>
                <w:noProof/>
              </w:rPr>
              <w:t>Review advice to the PBAC</w:t>
            </w:r>
            <w:r w:rsidR="004F4EDD">
              <w:rPr>
                <w:noProof/>
                <w:webHidden/>
              </w:rPr>
              <w:tab/>
            </w:r>
            <w:r w:rsidR="004F4EDD">
              <w:rPr>
                <w:noProof/>
                <w:webHidden/>
              </w:rPr>
              <w:fldChar w:fldCharType="begin"/>
            </w:r>
            <w:r w:rsidR="004F4EDD">
              <w:rPr>
                <w:noProof/>
                <w:webHidden/>
              </w:rPr>
              <w:instrText xml:space="preserve"> PAGEREF _Toc500510188 \h </w:instrText>
            </w:r>
            <w:r w:rsidR="004F4EDD">
              <w:rPr>
                <w:noProof/>
                <w:webHidden/>
              </w:rPr>
            </w:r>
            <w:r w:rsidR="004F4EDD">
              <w:rPr>
                <w:noProof/>
                <w:webHidden/>
              </w:rPr>
              <w:fldChar w:fldCharType="separate"/>
            </w:r>
            <w:r w:rsidR="00C605C8">
              <w:rPr>
                <w:noProof/>
                <w:webHidden/>
              </w:rPr>
              <w:t>14</w:t>
            </w:r>
            <w:r w:rsidR="004F4EDD">
              <w:rPr>
                <w:noProof/>
                <w:webHidden/>
              </w:rPr>
              <w:fldChar w:fldCharType="end"/>
            </w:r>
          </w:hyperlink>
        </w:p>
        <w:p w14:paraId="63E0D786"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189" w:history="1">
            <w:r w:rsidR="004F4EDD" w:rsidRPr="003F423D">
              <w:rPr>
                <w:rStyle w:val="Hyperlink"/>
                <w:noProof/>
              </w:rPr>
              <w:t xml:space="preserve">Term of Reference 2: </w:t>
            </w:r>
            <w:r w:rsidR="004F4EDD" w:rsidRPr="003F423D">
              <w:rPr>
                <w:rStyle w:val="Hyperlink"/>
                <w:noProof/>
                <w:lang w:eastAsia="en-AU"/>
              </w:rPr>
              <w:t>Clinical guidelines and PBS restrictions</w:t>
            </w:r>
            <w:r w:rsidR="004F4EDD">
              <w:rPr>
                <w:noProof/>
                <w:webHidden/>
              </w:rPr>
              <w:tab/>
            </w:r>
            <w:r w:rsidR="004F4EDD">
              <w:rPr>
                <w:noProof/>
                <w:webHidden/>
              </w:rPr>
              <w:fldChar w:fldCharType="begin"/>
            </w:r>
            <w:r w:rsidR="004F4EDD">
              <w:rPr>
                <w:noProof/>
                <w:webHidden/>
              </w:rPr>
              <w:instrText xml:space="preserve"> PAGEREF _Toc500510189 \h </w:instrText>
            </w:r>
            <w:r w:rsidR="004F4EDD">
              <w:rPr>
                <w:noProof/>
                <w:webHidden/>
              </w:rPr>
            </w:r>
            <w:r w:rsidR="004F4EDD">
              <w:rPr>
                <w:noProof/>
                <w:webHidden/>
              </w:rPr>
              <w:fldChar w:fldCharType="separate"/>
            </w:r>
            <w:r w:rsidR="00C605C8">
              <w:rPr>
                <w:noProof/>
                <w:webHidden/>
              </w:rPr>
              <w:t>15</w:t>
            </w:r>
            <w:r w:rsidR="004F4EDD">
              <w:rPr>
                <w:noProof/>
                <w:webHidden/>
              </w:rPr>
              <w:fldChar w:fldCharType="end"/>
            </w:r>
          </w:hyperlink>
        </w:p>
        <w:p w14:paraId="43B92671" w14:textId="77777777" w:rsidR="004F4EDD" w:rsidRDefault="003435B0">
          <w:pPr>
            <w:pStyle w:val="TOC3"/>
            <w:tabs>
              <w:tab w:val="right" w:leader="dot" w:pos="8296"/>
            </w:tabs>
            <w:rPr>
              <w:rFonts w:asciiTheme="minorHAnsi" w:eastAsiaTheme="minorEastAsia" w:hAnsiTheme="minorHAnsi"/>
              <w:noProof/>
              <w:sz w:val="22"/>
              <w:lang w:eastAsia="en-AU"/>
            </w:rPr>
          </w:pPr>
          <w:hyperlink w:anchor="_Toc500510190" w:history="1">
            <w:r w:rsidR="004F4EDD" w:rsidRPr="003F423D">
              <w:rPr>
                <w:rStyle w:val="Hyperlink"/>
                <w:noProof/>
              </w:rPr>
              <w:t>Review advice to the PBAC</w:t>
            </w:r>
            <w:r w:rsidR="004F4EDD">
              <w:rPr>
                <w:noProof/>
                <w:webHidden/>
              </w:rPr>
              <w:tab/>
            </w:r>
            <w:r w:rsidR="004F4EDD">
              <w:rPr>
                <w:noProof/>
                <w:webHidden/>
              </w:rPr>
              <w:fldChar w:fldCharType="begin"/>
            </w:r>
            <w:r w:rsidR="004F4EDD">
              <w:rPr>
                <w:noProof/>
                <w:webHidden/>
              </w:rPr>
              <w:instrText xml:space="preserve"> PAGEREF _Toc500510190 \h </w:instrText>
            </w:r>
            <w:r w:rsidR="004F4EDD">
              <w:rPr>
                <w:noProof/>
                <w:webHidden/>
              </w:rPr>
            </w:r>
            <w:r w:rsidR="004F4EDD">
              <w:rPr>
                <w:noProof/>
                <w:webHidden/>
              </w:rPr>
              <w:fldChar w:fldCharType="separate"/>
            </w:r>
            <w:r w:rsidR="00C605C8">
              <w:rPr>
                <w:noProof/>
                <w:webHidden/>
              </w:rPr>
              <w:t>16</w:t>
            </w:r>
            <w:r w:rsidR="004F4EDD">
              <w:rPr>
                <w:noProof/>
                <w:webHidden/>
              </w:rPr>
              <w:fldChar w:fldCharType="end"/>
            </w:r>
          </w:hyperlink>
        </w:p>
        <w:p w14:paraId="31049312"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191" w:history="1">
            <w:r w:rsidR="004F4EDD" w:rsidRPr="003F423D">
              <w:rPr>
                <w:rStyle w:val="Hyperlink"/>
                <w:noProof/>
              </w:rPr>
              <w:t xml:space="preserve">Term of Reference 3: </w:t>
            </w:r>
            <w:r w:rsidR="004F4EDD" w:rsidRPr="003F423D">
              <w:rPr>
                <w:rStyle w:val="Hyperlink"/>
                <w:noProof/>
                <w:lang w:eastAsia="en-AU"/>
              </w:rPr>
              <w:t>Recent evidence and review of cost-effectiveness</w:t>
            </w:r>
            <w:r w:rsidR="004F4EDD">
              <w:rPr>
                <w:noProof/>
                <w:webHidden/>
              </w:rPr>
              <w:tab/>
            </w:r>
            <w:r w:rsidR="004F4EDD">
              <w:rPr>
                <w:noProof/>
                <w:webHidden/>
              </w:rPr>
              <w:fldChar w:fldCharType="begin"/>
            </w:r>
            <w:r w:rsidR="004F4EDD">
              <w:rPr>
                <w:noProof/>
                <w:webHidden/>
              </w:rPr>
              <w:instrText xml:space="preserve"> PAGEREF _Toc500510191 \h </w:instrText>
            </w:r>
            <w:r w:rsidR="004F4EDD">
              <w:rPr>
                <w:noProof/>
                <w:webHidden/>
              </w:rPr>
            </w:r>
            <w:r w:rsidR="004F4EDD">
              <w:rPr>
                <w:noProof/>
                <w:webHidden/>
              </w:rPr>
              <w:fldChar w:fldCharType="separate"/>
            </w:r>
            <w:r w:rsidR="00C605C8">
              <w:rPr>
                <w:noProof/>
                <w:webHidden/>
              </w:rPr>
              <w:t>18</w:t>
            </w:r>
            <w:r w:rsidR="004F4EDD">
              <w:rPr>
                <w:noProof/>
                <w:webHidden/>
              </w:rPr>
              <w:fldChar w:fldCharType="end"/>
            </w:r>
          </w:hyperlink>
        </w:p>
        <w:p w14:paraId="178AE119" w14:textId="77777777" w:rsidR="004F4EDD" w:rsidRDefault="003435B0">
          <w:pPr>
            <w:pStyle w:val="TOC3"/>
            <w:tabs>
              <w:tab w:val="right" w:leader="dot" w:pos="8296"/>
            </w:tabs>
            <w:rPr>
              <w:rFonts w:asciiTheme="minorHAnsi" w:eastAsiaTheme="minorEastAsia" w:hAnsiTheme="minorHAnsi"/>
              <w:noProof/>
              <w:sz w:val="22"/>
              <w:lang w:eastAsia="en-AU"/>
            </w:rPr>
          </w:pPr>
          <w:hyperlink w:anchor="_Toc500510192" w:history="1">
            <w:r w:rsidR="004F4EDD" w:rsidRPr="003F423D">
              <w:rPr>
                <w:rStyle w:val="Hyperlink"/>
                <w:noProof/>
              </w:rPr>
              <w:t>Review advice to the PBAC</w:t>
            </w:r>
            <w:r w:rsidR="004F4EDD">
              <w:rPr>
                <w:noProof/>
                <w:webHidden/>
              </w:rPr>
              <w:tab/>
            </w:r>
            <w:r w:rsidR="004F4EDD">
              <w:rPr>
                <w:noProof/>
                <w:webHidden/>
              </w:rPr>
              <w:fldChar w:fldCharType="begin"/>
            </w:r>
            <w:r w:rsidR="004F4EDD">
              <w:rPr>
                <w:noProof/>
                <w:webHidden/>
              </w:rPr>
              <w:instrText xml:space="preserve"> PAGEREF _Toc500510192 \h </w:instrText>
            </w:r>
            <w:r w:rsidR="004F4EDD">
              <w:rPr>
                <w:noProof/>
                <w:webHidden/>
              </w:rPr>
            </w:r>
            <w:r w:rsidR="004F4EDD">
              <w:rPr>
                <w:noProof/>
                <w:webHidden/>
              </w:rPr>
              <w:fldChar w:fldCharType="separate"/>
            </w:r>
            <w:r w:rsidR="00C605C8">
              <w:rPr>
                <w:noProof/>
                <w:webHidden/>
              </w:rPr>
              <w:t>20</w:t>
            </w:r>
            <w:r w:rsidR="004F4EDD">
              <w:rPr>
                <w:noProof/>
                <w:webHidden/>
              </w:rPr>
              <w:fldChar w:fldCharType="end"/>
            </w:r>
          </w:hyperlink>
        </w:p>
        <w:p w14:paraId="45EA4177" w14:textId="77777777" w:rsidR="004F4EDD" w:rsidRDefault="003435B0">
          <w:pPr>
            <w:pStyle w:val="TOC1"/>
            <w:tabs>
              <w:tab w:val="right" w:leader="dot" w:pos="8296"/>
            </w:tabs>
            <w:rPr>
              <w:rFonts w:asciiTheme="minorHAnsi" w:eastAsiaTheme="minorEastAsia" w:hAnsiTheme="minorHAnsi"/>
              <w:noProof/>
              <w:sz w:val="22"/>
              <w:lang w:eastAsia="en-AU"/>
            </w:rPr>
          </w:pPr>
          <w:hyperlink w:anchor="_Toc500510193" w:history="1">
            <w:r w:rsidR="004F4EDD" w:rsidRPr="003F423D">
              <w:rPr>
                <w:rStyle w:val="Hyperlink"/>
                <w:noProof/>
              </w:rPr>
              <w:t>Report Structure</w:t>
            </w:r>
            <w:r w:rsidR="004F4EDD">
              <w:rPr>
                <w:noProof/>
                <w:webHidden/>
              </w:rPr>
              <w:tab/>
            </w:r>
            <w:r w:rsidR="004F4EDD">
              <w:rPr>
                <w:noProof/>
                <w:webHidden/>
              </w:rPr>
              <w:fldChar w:fldCharType="begin"/>
            </w:r>
            <w:r w:rsidR="004F4EDD">
              <w:rPr>
                <w:noProof/>
                <w:webHidden/>
              </w:rPr>
              <w:instrText xml:space="preserve"> PAGEREF _Toc500510193 \h </w:instrText>
            </w:r>
            <w:r w:rsidR="004F4EDD">
              <w:rPr>
                <w:noProof/>
                <w:webHidden/>
              </w:rPr>
            </w:r>
            <w:r w:rsidR="004F4EDD">
              <w:rPr>
                <w:noProof/>
                <w:webHidden/>
              </w:rPr>
              <w:fldChar w:fldCharType="separate"/>
            </w:r>
            <w:r w:rsidR="00C605C8">
              <w:rPr>
                <w:noProof/>
                <w:webHidden/>
              </w:rPr>
              <w:t>22</w:t>
            </w:r>
            <w:r w:rsidR="004F4EDD">
              <w:rPr>
                <w:noProof/>
                <w:webHidden/>
              </w:rPr>
              <w:fldChar w:fldCharType="end"/>
            </w:r>
          </w:hyperlink>
        </w:p>
        <w:p w14:paraId="46DE53B6" w14:textId="77777777" w:rsidR="004F4EDD" w:rsidRDefault="003435B0">
          <w:pPr>
            <w:pStyle w:val="TOC1"/>
            <w:tabs>
              <w:tab w:val="right" w:leader="dot" w:pos="8296"/>
            </w:tabs>
            <w:rPr>
              <w:rFonts w:asciiTheme="minorHAnsi" w:eastAsiaTheme="minorEastAsia" w:hAnsiTheme="minorHAnsi"/>
              <w:noProof/>
              <w:sz w:val="22"/>
              <w:lang w:eastAsia="en-AU"/>
            </w:rPr>
          </w:pPr>
          <w:hyperlink w:anchor="_Toc500510194" w:history="1">
            <w:r w:rsidR="004F4EDD" w:rsidRPr="003F423D">
              <w:rPr>
                <w:rStyle w:val="Hyperlink"/>
                <w:noProof/>
              </w:rPr>
              <w:t>Background</w:t>
            </w:r>
            <w:r w:rsidR="004F4EDD">
              <w:rPr>
                <w:noProof/>
                <w:webHidden/>
              </w:rPr>
              <w:tab/>
            </w:r>
            <w:r w:rsidR="004F4EDD">
              <w:rPr>
                <w:noProof/>
                <w:webHidden/>
              </w:rPr>
              <w:fldChar w:fldCharType="begin"/>
            </w:r>
            <w:r w:rsidR="004F4EDD">
              <w:rPr>
                <w:noProof/>
                <w:webHidden/>
              </w:rPr>
              <w:instrText xml:space="preserve"> PAGEREF _Toc500510194 \h </w:instrText>
            </w:r>
            <w:r w:rsidR="004F4EDD">
              <w:rPr>
                <w:noProof/>
                <w:webHidden/>
              </w:rPr>
            </w:r>
            <w:r w:rsidR="004F4EDD">
              <w:rPr>
                <w:noProof/>
                <w:webHidden/>
              </w:rPr>
              <w:fldChar w:fldCharType="separate"/>
            </w:r>
            <w:r w:rsidR="00C605C8">
              <w:rPr>
                <w:noProof/>
                <w:webHidden/>
              </w:rPr>
              <w:t>23</w:t>
            </w:r>
            <w:r w:rsidR="004F4EDD">
              <w:rPr>
                <w:noProof/>
                <w:webHidden/>
              </w:rPr>
              <w:fldChar w:fldCharType="end"/>
            </w:r>
          </w:hyperlink>
        </w:p>
        <w:p w14:paraId="5A3E5305"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195" w:history="1">
            <w:r w:rsidR="004F4EDD" w:rsidRPr="003F423D">
              <w:rPr>
                <w:rStyle w:val="Hyperlink"/>
                <w:noProof/>
              </w:rPr>
              <w:t>B.1</w:t>
            </w:r>
            <w:r w:rsidR="004F4EDD">
              <w:rPr>
                <w:rFonts w:asciiTheme="minorHAnsi" w:eastAsiaTheme="minorEastAsia" w:hAnsiTheme="minorHAnsi"/>
                <w:noProof/>
                <w:sz w:val="22"/>
                <w:lang w:eastAsia="en-AU"/>
              </w:rPr>
              <w:tab/>
            </w:r>
            <w:r w:rsidR="004F4EDD" w:rsidRPr="003F423D">
              <w:rPr>
                <w:rStyle w:val="Hyperlink"/>
                <w:noProof/>
              </w:rPr>
              <w:t>Context for a post-market review</w:t>
            </w:r>
            <w:r w:rsidR="004F4EDD">
              <w:rPr>
                <w:noProof/>
                <w:webHidden/>
              </w:rPr>
              <w:tab/>
            </w:r>
            <w:r w:rsidR="004F4EDD">
              <w:rPr>
                <w:noProof/>
                <w:webHidden/>
              </w:rPr>
              <w:fldChar w:fldCharType="begin"/>
            </w:r>
            <w:r w:rsidR="004F4EDD">
              <w:rPr>
                <w:noProof/>
                <w:webHidden/>
              </w:rPr>
              <w:instrText xml:space="preserve"> PAGEREF _Toc500510195 \h </w:instrText>
            </w:r>
            <w:r w:rsidR="004F4EDD">
              <w:rPr>
                <w:noProof/>
                <w:webHidden/>
              </w:rPr>
            </w:r>
            <w:r w:rsidR="004F4EDD">
              <w:rPr>
                <w:noProof/>
                <w:webHidden/>
              </w:rPr>
              <w:fldChar w:fldCharType="separate"/>
            </w:r>
            <w:r w:rsidR="00C605C8">
              <w:rPr>
                <w:noProof/>
                <w:webHidden/>
              </w:rPr>
              <w:t>23</w:t>
            </w:r>
            <w:r w:rsidR="004F4EDD">
              <w:rPr>
                <w:noProof/>
                <w:webHidden/>
              </w:rPr>
              <w:fldChar w:fldCharType="end"/>
            </w:r>
          </w:hyperlink>
        </w:p>
        <w:p w14:paraId="2403C1DB"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196" w:history="1">
            <w:r w:rsidR="004F4EDD" w:rsidRPr="003F423D">
              <w:rPr>
                <w:rStyle w:val="Hyperlink"/>
                <w:noProof/>
              </w:rPr>
              <w:t>B.</w:t>
            </w:r>
            <w:r w:rsidR="004F4EDD" w:rsidRPr="003F423D">
              <w:rPr>
                <w:rStyle w:val="Hyperlink"/>
                <w:iCs/>
                <w:noProof/>
              </w:rPr>
              <w:t>1.1</w:t>
            </w:r>
            <w:r w:rsidR="004F4EDD">
              <w:rPr>
                <w:rFonts w:asciiTheme="minorHAnsi" w:eastAsiaTheme="minorEastAsia" w:hAnsiTheme="minorHAnsi"/>
                <w:noProof/>
                <w:sz w:val="22"/>
                <w:lang w:eastAsia="en-AU"/>
              </w:rPr>
              <w:tab/>
            </w:r>
            <w:r w:rsidR="004F4EDD" w:rsidRPr="003F423D">
              <w:rPr>
                <w:rStyle w:val="Hyperlink"/>
                <w:iCs/>
                <w:noProof/>
              </w:rPr>
              <w:t>National Medicines Policy (NMP)</w:t>
            </w:r>
            <w:r w:rsidR="004F4EDD">
              <w:rPr>
                <w:noProof/>
                <w:webHidden/>
              </w:rPr>
              <w:tab/>
            </w:r>
            <w:r w:rsidR="004F4EDD">
              <w:rPr>
                <w:noProof/>
                <w:webHidden/>
              </w:rPr>
              <w:fldChar w:fldCharType="begin"/>
            </w:r>
            <w:r w:rsidR="004F4EDD">
              <w:rPr>
                <w:noProof/>
                <w:webHidden/>
              </w:rPr>
              <w:instrText xml:space="preserve"> PAGEREF _Toc500510196 \h </w:instrText>
            </w:r>
            <w:r w:rsidR="004F4EDD">
              <w:rPr>
                <w:noProof/>
                <w:webHidden/>
              </w:rPr>
            </w:r>
            <w:r w:rsidR="004F4EDD">
              <w:rPr>
                <w:noProof/>
                <w:webHidden/>
              </w:rPr>
              <w:fldChar w:fldCharType="separate"/>
            </w:r>
            <w:r w:rsidR="00C605C8">
              <w:rPr>
                <w:noProof/>
                <w:webHidden/>
              </w:rPr>
              <w:t>23</w:t>
            </w:r>
            <w:r w:rsidR="004F4EDD">
              <w:rPr>
                <w:noProof/>
                <w:webHidden/>
              </w:rPr>
              <w:fldChar w:fldCharType="end"/>
            </w:r>
          </w:hyperlink>
        </w:p>
        <w:p w14:paraId="3F30BCA2"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197" w:history="1">
            <w:r w:rsidR="004F4EDD" w:rsidRPr="003F423D">
              <w:rPr>
                <w:rStyle w:val="Hyperlink"/>
                <w:noProof/>
              </w:rPr>
              <w:t>B.1.2</w:t>
            </w:r>
            <w:r w:rsidR="004F4EDD">
              <w:rPr>
                <w:rFonts w:asciiTheme="minorHAnsi" w:eastAsiaTheme="minorEastAsia" w:hAnsiTheme="minorHAnsi"/>
                <w:noProof/>
                <w:sz w:val="22"/>
                <w:lang w:eastAsia="en-AU"/>
              </w:rPr>
              <w:tab/>
            </w:r>
            <w:r w:rsidR="004F4EDD" w:rsidRPr="003F423D">
              <w:rPr>
                <w:rStyle w:val="Hyperlink"/>
                <w:noProof/>
              </w:rPr>
              <w:t>Australian Commission on Safety and Quality in Health Care (ACSQHC)</w:t>
            </w:r>
            <w:r w:rsidR="004F4EDD">
              <w:rPr>
                <w:noProof/>
                <w:webHidden/>
              </w:rPr>
              <w:tab/>
            </w:r>
            <w:r w:rsidR="004F4EDD">
              <w:rPr>
                <w:noProof/>
                <w:webHidden/>
              </w:rPr>
              <w:fldChar w:fldCharType="begin"/>
            </w:r>
            <w:r w:rsidR="004F4EDD">
              <w:rPr>
                <w:noProof/>
                <w:webHidden/>
              </w:rPr>
              <w:instrText xml:space="preserve"> PAGEREF _Toc500510197 \h </w:instrText>
            </w:r>
            <w:r w:rsidR="004F4EDD">
              <w:rPr>
                <w:noProof/>
                <w:webHidden/>
              </w:rPr>
            </w:r>
            <w:r w:rsidR="004F4EDD">
              <w:rPr>
                <w:noProof/>
                <w:webHidden/>
              </w:rPr>
              <w:fldChar w:fldCharType="separate"/>
            </w:r>
            <w:r w:rsidR="00C605C8">
              <w:rPr>
                <w:noProof/>
                <w:webHidden/>
              </w:rPr>
              <w:t>23</w:t>
            </w:r>
            <w:r w:rsidR="004F4EDD">
              <w:rPr>
                <w:noProof/>
                <w:webHidden/>
              </w:rPr>
              <w:fldChar w:fldCharType="end"/>
            </w:r>
          </w:hyperlink>
        </w:p>
        <w:p w14:paraId="4BC17708"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198" w:history="1">
            <w:r w:rsidR="004F4EDD" w:rsidRPr="003F423D">
              <w:rPr>
                <w:rStyle w:val="Hyperlink"/>
                <w:noProof/>
              </w:rPr>
              <w:t>B.</w:t>
            </w:r>
            <w:r w:rsidR="004F4EDD" w:rsidRPr="003F423D">
              <w:rPr>
                <w:rStyle w:val="Hyperlink"/>
                <w:iCs/>
                <w:noProof/>
              </w:rPr>
              <w:t>1.3</w:t>
            </w:r>
            <w:r w:rsidR="004F4EDD">
              <w:rPr>
                <w:rFonts w:asciiTheme="minorHAnsi" w:eastAsiaTheme="minorEastAsia" w:hAnsiTheme="minorHAnsi"/>
                <w:noProof/>
                <w:sz w:val="22"/>
                <w:lang w:eastAsia="en-AU"/>
              </w:rPr>
              <w:tab/>
            </w:r>
            <w:r w:rsidR="004F4EDD" w:rsidRPr="003F423D">
              <w:rPr>
                <w:rStyle w:val="Hyperlink"/>
                <w:iCs/>
                <w:noProof/>
              </w:rPr>
              <w:t>Pharmaceutical Benefits Scheme (PBS)</w:t>
            </w:r>
            <w:r w:rsidR="004F4EDD">
              <w:rPr>
                <w:noProof/>
                <w:webHidden/>
              </w:rPr>
              <w:tab/>
            </w:r>
            <w:r w:rsidR="004F4EDD">
              <w:rPr>
                <w:noProof/>
                <w:webHidden/>
              </w:rPr>
              <w:fldChar w:fldCharType="begin"/>
            </w:r>
            <w:r w:rsidR="004F4EDD">
              <w:rPr>
                <w:noProof/>
                <w:webHidden/>
              </w:rPr>
              <w:instrText xml:space="preserve"> PAGEREF _Toc500510198 \h </w:instrText>
            </w:r>
            <w:r w:rsidR="004F4EDD">
              <w:rPr>
                <w:noProof/>
                <w:webHidden/>
              </w:rPr>
            </w:r>
            <w:r w:rsidR="004F4EDD">
              <w:rPr>
                <w:noProof/>
                <w:webHidden/>
              </w:rPr>
              <w:fldChar w:fldCharType="separate"/>
            </w:r>
            <w:r w:rsidR="00C605C8">
              <w:rPr>
                <w:noProof/>
                <w:webHidden/>
              </w:rPr>
              <w:t>24</w:t>
            </w:r>
            <w:r w:rsidR="004F4EDD">
              <w:rPr>
                <w:noProof/>
                <w:webHidden/>
              </w:rPr>
              <w:fldChar w:fldCharType="end"/>
            </w:r>
          </w:hyperlink>
        </w:p>
        <w:p w14:paraId="58004220"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199" w:history="1">
            <w:r w:rsidR="004F4EDD" w:rsidRPr="003F423D">
              <w:rPr>
                <w:rStyle w:val="Hyperlink"/>
                <w:noProof/>
              </w:rPr>
              <w:t>B.</w:t>
            </w:r>
            <w:r w:rsidR="004F4EDD" w:rsidRPr="003F423D">
              <w:rPr>
                <w:rStyle w:val="Hyperlink"/>
                <w:iCs/>
                <w:noProof/>
              </w:rPr>
              <w:t>1.4</w:t>
            </w:r>
            <w:r w:rsidR="004F4EDD">
              <w:rPr>
                <w:rFonts w:asciiTheme="minorHAnsi" w:eastAsiaTheme="minorEastAsia" w:hAnsiTheme="minorHAnsi"/>
                <w:noProof/>
                <w:sz w:val="22"/>
                <w:lang w:eastAsia="en-AU"/>
              </w:rPr>
              <w:tab/>
            </w:r>
            <w:r w:rsidR="004F4EDD" w:rsidRPr="003F423D">
              <w:rPr>
                <w:rStyle w:val="Hyperlink"/>
                <w:iCs/>
                <w:noProof/>
              </w:rPr>
              <w:t>Pharmaceutical Benefits Advisory Committee (PBAC)</w:t>
            </w:r>
            <w:r w:rsidR="004F4EDD">
              <w:rPr>
                <w:noProof/>
                <w:webHidden/>
              </w:rPr>
              <w:tab/>
            </w:r>
            <w:r w:rsidR="004F4EDD">
              <w:rPr>
                <w:noProof/>
                <w:webHidden/>
              </w:rPr>
              <w:fldChar w:fldCharType="begin"/>
            </w:r>
            <w:r w:rsidR="004F4EDD">
              <w:rPr>
                <w:noProof/>
                <w:webHidden/>
              </w:rPr>
              <w:instrText xml:space="preserve"> PAGEREF _Toc500510199 \h </w:instrText>
            </w:r>
            <w:r w:rsidR="004F4EDD">
              <w:rPr>
                <w:noProof/>
                <w:webHidden/>
              </w:rPr>
            </w:r>
            <w:r w:rsidR="004F4EDD">
              <w:rPr>
                <w:noProof/>
                <w:webHidden/>
              </w:rPr>
              <w:fldChar w:fldCharType="separate"/>
            </w:r>
            <w:r w:rsidR="00C605C8">
              <w:rPr>
                <w:noProof/>
                <w:webHidden/>
              </w:rPr>
              <w:t>24</w:t>
            </w:r>
            <w:r w:rsidR="004F4EDD">
              <w:rPr>
                <w:noProof/>
                <w:webHidden/>
              </w:rPr>
              <w:fldChar w:fldCharType="end"/>
            </w:r>
          </w:hyperlink>
        </w:p>
        <w:p w14:paraId="1CF5A5C3"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00" w:history="1">
            <w:r w:rsidR="004F4EDD" w:rsidRPr="003F423D">
              <w:rPr>
                <w:rStyle w:val="Hyperlink"/>
                <w:noProof/>
              </w:rPr>
              <w:t>B.</w:t>
            </w:r>
            <w:r w:rsidR="004F4EDD" w:rsidRPr="003F423D">
              <w:rPr>
                <w:rStyle w:val="Hyperlink"/>
                <w:iCs/>
                <w:noProof/>
              </w:rPr>
              <w:t>1.5</w:t>
            </w:r>
            <w:r w:rsidR="004F4EDD">
              <w:rPr>
                <w:rFonts w:asciiTheme="minorHAnsi" w:eastAsiaTheme="minorEastAsia" w:hAnsiTheme="minorHAnsi"/>
                <w:noProof/>
                <w:sz w:val="22"/>
                <w:lang w:eastAsia="en-AU"/>
              </w:rPr>
              <w:tab/>
            </w:r>
            <w:r w:rsidR="004F4EDD" w:rsidRPr="003F423D">
              <w:rPr>
                <w:rStyle w:val="Hyperlink"/>
                <w:iCs/>
                <w:noProof/>
              </w:rPr>
              <w:t>Post-market monitoring</w:t>
            </w:r>
            <w:r w:rsidR="004F4EDD">
              <w:rPr>
                <w:noProof/>
                <w:webHidden/>
              </w:rPr>
              <w:tab/>
            </w:r>
            <w:r w:rsidR="004F4EDD">
              <w:rPr>
                <w:noProof/>
                <w:webHidden/>
              </w:rPr>
              <w:fldChar w:fldCharType="begin"/>
            </w:r>
            <w:r w:rsidR="004F4EDD">
              <w:rPr>
                <w:noProof/>
                <w:webHidden/>
              </w:rPr>
              <w:instrText xml:space="preserve"> PAGEREF _Toc500510200 \h </w:instrText>
            </w:r>
            <w:r w:rsidR="004F4EDD">
              <w:rPr>
                <w:noProof/>
                <w:webHidden/>
              </w:rPr>
            </w:r>
            <w:r w:rsidR="004F4EDD">
              <w:rPr>
                <w:noProof/>
                <w:webHidden/>
              </w:rPr>
              <w:fldChar w:fldCharType="separate"/>
            </w:r>
            <w:r w:rsidR="00C605C8">
              <w:rPr>
                <w:noProof/>
                <w:webHidden/>
              </w:rPr>
              <w:t>25</w:t>
            </w:r>
            <w:r w:rsidR="004F4EDD">
              <w:rPr>
                <w:noProof/>
                <w:webHidden/>
              </w:rPr>
              <w:fldChar w:fldCharType="end"/>
            </w:r>
          </w:hyperlink>
        </w:p>
        <w:p w14:paraId="16E4DF0B"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01" w:history="1">
            <w:r w:rsidR="004F4EDD" w:rsidRPr="003F423D">
              <w:rPr>
                <w:rStyle w:val="Hyperlink"/>
                <w:noProof/>
              </w:rPr>
              <w:t>B.2</w:t>
            </w:r>
            <w:r w:rsidR="004F4EDD">
              <w:rPr>
                <w:rFonts w:asciiTheme="minorHAnsi" w:eastAsiaTheme="minorEastAsia" w:hAnsiTheme="minorHAnsi"/>
                <w:noProof/>
                <w:sz w:val="22"/>
                <w:lang w:eastAsia="en-AU"/>
              </w:rPr>
              <w:tab/>
            </w:r>
            <w:r w:rsidR="004F4EDD" w:rsidRPr="003F423D">
              <w:rPr>
                <w:rStyle w:val="Hyperlink"/>
                <w:noProof/>
              </w:rPr>
              <w:t>Overview of the Review Process</w:t>
            </w:r>
            <w:r w:rsidR="004F4EDD">
              <w:rPr>
                <w:noProof/>
                <w:webHidden/>
              </w:rPr>
              <w:tab/>
            </w:r>
            <w:r w:rsidR="004F4EDD">
              <w:rPr>
                <w:noProof/>
                <w:webHidden/>
              </w:rPr>
              <w:fldChar w:fldCharType="begin"/>
            </w:r>
            <w:r w:rsidR="004F4EDD">
              <w:rPr>
                <w:noProof/>
                <w:webHidden/>
              </w:rPr>
              <w:instrText xml:space="preserve"> PAGEREF _Toc500510201 \h </w:instrText>
            </w:r>
            <w:r w:rsidR="004F4EDD">
              <w:rPr>
                <w:noProof/>
                <w:webHidden/>
              </w:rPr>
            </w:r>
            <w:r w:rsidR="004F4EDD">
              <w:rPr>
                <w:noProof/>
                <w:webHidden/>
              </w:rPr>
              <w:fldChar w:fldCharType="separate"/>
            </w:r>
            <w:r w:rsidR="00C605C8">
              <w:rPr>
                <w:noProof/>
                <w:webHidden/>
              </w:rPr>
              <w:t>25</w:t>
            </w:r>
            <w:r w:rsidR="004F4EDD">
              <w:rPr>
                <w:noProof/>
                <w:webHidden/>
              </w:rPr>
              <w:fldChar w:fldCharType="end"/>
            </w:r>
          </w:hyperlink>
        </w:p>
        <w:p w14:paraId="654D5B1F"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02" w:history="1">
            <w:r w:rsidR="004F4EDD" w:rsidRPr="003F423D">
              <w:rPr>
                <w:rStyle w:val="Hyperlink"/>
                <w:noProof/>
              </w:rPr>
              <w:t>B.2.1</w:t>
            </w:r>
            <w:r w:rsidR="004F4EDD">
              <w:rPr>
                <w:rFonts w:asciiTheme="minorHAnsi" w:eastAsiaTheme="minorEastAsia" w:hAnsiTheme="minorHAnsi"/>
                <w:noProof/>
                <w:sz w:val="22"/>
                <w:lang w:eastAsia="en-AU"/>
              </w:rPr>
              <w:tab/>
            </w:r>
            <w:r w:rsidR="004F4EDD" w:rsidRPr="003F423D">
              <w:rPr>
                <w:rStyle w:val="Hyperlink"/>
                <w:noProof/>
              </w:rPr>
              <w:t>Review Reference Group</w:t>
            </w:r>
            <w:r w:rsidR="004F4EDD">
              <w:rPr>
                <w:noProof/>
                <w:webHidden/>
              </w:rPr>
              <w:tab/>
            </w:r>
            <w:r w:rsidR="004F4EDD">
              <w:rPr>
                <w:noProof/>
                <w:webHidden/>
              </w:rPr>
              <w:fldChar w:fldCharType="begin"/>
            </w:r>
            <w:r w:rsidR="004F4EDD">
              <w:rPr>
                <w:noProof/>
                <w:webHidden/>
              </w:rPr>
              <w:instrText xml:space="preserve"> PAGEREF _Toc500510202 \h </w:instrText>
            </w:r>
            <w:r w:rsidR="004F4EDD">
              <w:rPr>
                <w:noProof/>
                <w:webHidden/>
              </w:rPr>
            </w:r>
            <w:r w:rsidR="004F4EDD">
              <w:rPr>
                <w:noProof/>
                <w:webHidden/>
              </w:rPr>
              <w:fldChar w:fldCharType="separate"/>
            </w:r>
            <w:r w:rsidR="00C605C8">
              <w:rPr>
                <w:noProof/>
                <w:webHidden/>
              </w:rPr>
              <w:t>26</w:t>
            </w:r>
            <w:r w:rsidR="004F4EDD">
              <w:rPr>
                <w:noProof/>
                <w:webHidden/>
              </w:rPr>
              <w:fldChar w:fldCharType="end"/>
            </w:r>
          </w:hyperlink>
        </w:p>
        <w:p w14:paraId="63ADA1F4"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03" w:history="1">
            <w:r w:rsidR="004F4EDD" w:rsidRPr="003F423D">
              <w:rPr>
                <w:rStyle w:val="Hyperlink"/>
                <w:noProof/>
              </w:rPr>
              <w:t>B.2.2</w:t>
            </w:r>
            <w:r w:rsidR="004F4EDD">
              <w:rPr>
                <w:rFonts w:asciiTheme="minorHAnsi" w:eastAsiaTheme="minorEastAsia" w:hAnsiTheme="minorHAnsi"/>
                <w:noProof/>
                <w:sz w:val="22"/>
                <w:lang w:eastAsia="en-AU"/>
              </w:rPr>
              <w:tab/>
            </w:r>
            <w:r w:rsidR="004F4EDD" w:rsidRPr="003F423D">
              <w:rPr>
                <w:rStyle w:val="Hyperlink"/>
                <w:noProof/>
              </w:rPr>
              <w:t>Report Sources</w:t>
            </w:r>
            <w:r w:rsidR="004F4EDD">
              <w:rPr>
                <w:noProof/>
                <w:webHidden/>
              </w:rPr>
              <w:tab/>
            </w:r>
            <w:r w:rsidR="004F4EDD">
              <w:rPr>
                <w:noProof/>
                <w:webHidden/>
              </w:rPr>
              <w:fldChar w:fldCharType="begin"/>
            </w:r>
            <w:r w:rsidR="004F4EDD">
              <w:rPr>
                <w:noProof/>
                <w:webHidden/>
              </w:rPr>
              <w:instrText xml:space="preserve"> PAGEREF _Toc500510203 \h </w:instrText>
            </w:r>
            <w:r w:rsidR="004F4EDD">
              <w:rPr>
                <w:noProof/>
                <w:webHidden/>
              </w:rPr>
            </w:r>
            <w:r w:rsidR="004F4EDD">
              <w:rPr>
                <w:noProof/>
                <w:webHidden/>
              </w:rPr>
              <w:fldChar w:fldCharType="separate"/>
            </w:r>
            <w:r w:rsidR="00C605C8">
              <w:rPr>
                <w:noProof/>
                <w:webHidden/>
              </w:rPr>
              <w:t>26</w:t>
            </w:r>
            <w:r w:rsidR="004F4EDD">
              <w:rPr>
                <w:noProof/>
                <w:webHidden/>
              </w:rPr>
              <w:fldChar w:fldCharType="end"/>
            </w:r>
          </w:hyperlink>
        </w:p>
        <w:p w14:paraId="172B0AD9"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204" w:history="1">
            <w:r w:rsidR="004F4EDD" w:rsidRPr="003F423D">
              <w:rPr>
                <w:rStyle w:val="Hyperlink"/>
                <w:noProof/>
              </w:rPr>
              <w:t>B.3 About the Ezetimibe Post-market Review</w:t>
            </w:r>
            <w:r w:rsidR="004F4EDD">
              <w:rPr>
                <w:noProof/>
                <w:webHidden/>
              </w:rPr>
              <w:tab/>
            </w:r>
            <w:r w:rsidR="004F4EDD">
              <w:rPr>
                <w:noProof/>
                <w:webHidden/>
              </w:rPr>
              <w:fldChar w:fldCharType="begin"/>
            </w:r>
            <w:r w:rsidR="004F4EDD">
              <w:rPr>
                <w:noProof/>
                <w:webHidden/>
              </w:rPr>
              <w:instrText xml:space="preserve"> PAGEREF _Toc500510204 \h </w:instrText>
            </w:r>
            <w:r w:rsidR="004F4EDD">
              <w:rPr>
                <w:noProof/>
                <w:webHidden/>
              </w:rPr>
            </w:r>
            <w:r w:rsidR="004F4EDD">
              <w:rPr>
                <w:noProof/>
                <w:webHidden/>
              </w:rPr>
              <w:fldChar w:fldCharType="separate"/>
            </w:r>
            <w:r w:rsidR="00C605C8">
              <w:rPr>
                <w:noProof/>
                <w:webHidden/>
              </w:rPr>
              <w:t>26</w:t>
            </w:r>
            <w:r w:rsidR="004F4EDD">
              <w:rPr>
                <w:noProof/>
                <w:webHidden/>
              </w:rPr>
              <w:fldChar w:fldCharType="end"/>
            </w:r>
          </w:hyperlink>
        </w:p>
        <w:p w14:paraId="694BEE50"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05" w:history="1">
            <w:r w:rsidR="004F4EDD" w:rsidRPr="003F423D">
              <w:rPr>
                <w:rStyle w:val="Hyperlink"/>
                <w:noProof/>
              </w:rPr>
              <w:t>B.3.1</w:t>
            </w:r>
            <w:r w:rsidR="004F4EDD">
              <w:rPr>
                <w:rFonts w:asciiTheme="minorHAnsi" w:eastAsiaTheme="minorEastAsia" w:hAnsiTheme="minorHAnsi"/>
                <w:noProof/>
                <w:sz w:val="22"/>
                <w:lang w:eastAsia="en-AU"/>
              </w:rPr>
              <w:tab/>
            </w:r>
            <w:r w:rsidR="004F4EDD" w:rsidRPr="003F423D">
              <w:rPr>
                <w:rStyle w:val="Hyperlink"/>
                <w:noProof/>
              </w:rPr>
              <w:t>Why review ezetimibe?</w:t>
            </w:r>
            <w:r w:rsidR="004F4EDD">
              <w:rPr>
                <w:noProof/>
                <w:webHidden/>
              </w:rPr>
              <w:tab/>
            </w:r>
            <w:r w:rsidR="004F4EDD">
              <w:rPr>
                <w:noProof/>
                <w:webHidden/>
              </w:rPr>
              <w:fldChar w:fldCharType="begin"/>
            </w:r>
            <w:r w:rsidR="004F4EDD">
              <w:rPr>
                <w:noProof/>
                <w:webHidden/>
              </w:rPr>
              <w:instrText xml:space="preserve"> PAGEREF _Toc500510205 \h </w:instrText>
            </w:r>
            <w:r w:rsidR="004F4EDD">
              <w:rPr>
                <w:noProof/>
                <w:webHidden/>
              </w:rPr>
            </w:r>
            <w:r w:rsidR="004F4EDD">
              <w:rPr>
                <w:noProof/>
                <w:webHidden/>
              </w:rPr>
              <w:fldChar w:fldCharType="separate"/>
            </w:r>
            <w:r w:rsidR="00C605C8">
              <w:rPr>
                <w:noProof/>
                <w:webHidden/>
              </w:rPr>
              <w:t>29</w:t>
            </w:r>
            <w:r w:rsidR="004F4EDD">
              <w:rPr>
                <w:noProof/>
                <w:webHidden/>
              </w:rPr>
              <w:fldChar w:fldCharType="end"/>
            </w:r>
          </w:hyperlink>
        </w:p>
        <w:p w14:paraId="210257D8"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06" w:history="1">
            <w:r w:rsidR="004F4EDD" w:rsidRPr="003F423D">
              <w:rPr>
                <w:rStyle w:val="Hyperlink"/>
                <w:noProof/>
              </w:rPr>
              <w:t>B.3.2</w:t>
            </w:r>
            <w:r w:rsidR="004F4EDD">
              <w:rPr>
                <w:rFonts w:asciiTheme="minorHAnsi" w:eastAsiaTheme="minorEastAsia" w:hAnsiTheme="minorHAnsi"/>
                <w:noProof/>
                <w:sz w:val="22"/>
                <w:lang w:eastAsia="en-AU"/>
              </w:rPr>
              <w:tab/>
            </w:r>
            <w:r w:rsidR="004F4EDD" w:rsidRPr="003F423D">
              <w:rPr>
                <w:rStyle w:val="Hyperlink"/>
                <w:noProof/>
              </w:rPr>
              <w:t>PBAC recommendation</w:t>
            </w:r>
            <w:r w:rsidR="004F4EDD">
              <w:rPr>
                <w:noProof/>
                <w:webHidden/>
              </w:rPr>
              <w:tab/>
            </w:r>
            <w:r w:rsidR="004F4EDD">
              <w:rPr>
                <w:noProof/>
                <w:webHidden/>
              </w:rPr>
              <w:fldChar w:fldCharType="begin"/>
            </w:r>
            <w:r w:rsidR="004F4EDD">
              <w:rPr>
                <w:noProof/>
                <w:webHidden/>
              </w:rPr>
              <w:instrText xml:space="preserve"> PAGEREF _Toc500510206 \h </w:instrText>
            </w:r>
            <w:r w:rsidR="004F4EDD">
              <w:rPr>
                <w:noProof/>
                <w:webHidden/>
              </w:rPr>
            </w:r>
            <w:r w:rsidR="004F4EDD">
              <w:rPr>
                <w:noProof/>
                <w:webHidden/>
              </w:rPr>
              <w:fldChar w:fldCharType="separate"/>
            </w:r>
            <w:r w:rsidR="00C605C8">
              <w:rPr>
                <w:noProof/>
                <w:webHidden/>
              </w:rPr>
              <w:t>30</w:t>
            </w:r>
            <w:r w:rsidR="004F4EDD">
              <w:rPr>
                <w:noProof/>
                <w:webHidden/>
              </w:rPr>
              <w:fldChar w:fldCharType="end"/>
            </w:r>
          </w:hyperlink>
        </w:p>
        <w:p w14:paraId="71F0B8B5"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07" w:history="1">
            <w:r w:rsidR="004F4EDD" w:rsidRPr="003F423D">
              <w:rPr>
                <w:rStyle w:val="Hyperlink"/>
                <w:noProof/>
              </w:rPr>
              <w:t>B.3.3</w:t>
            </w:r>
            <w:r w:rsidR="004F4EDD">
              <w:rPr>
                <w:rFonts w:asciiTheme="minorHAnsi" w:eastAsiaTheme="minorEastAsia" w:hAnsiTheme="minorHAnsi"/>
                <w:noProof/>
                <w:sz w:val="22"/>
                <w:lang w:eastAsia="en-AU"/>
              </w:rPr>
              <w:tab/>
            </w:r>
            <w:r w:rsidR="004F4EDD" w:rsidRPr="003F423D">
              <w:rPr>
                <w:rStyle w:val="Hyperlink"/>
                <w:noProof/>
              </w:rPr>
              <w:t>Undertaking the Review</w:t>
            </w:r>
            <w:r w:rsidR="004F4EDD">
              <w:rPr>
                <w:noProof/>
                <w:webHidden/>
              </w:rPr>
              <w:tab/>
            </w:r>
            <w:r w:rsidR="004F4EDD">
              <w:rPr>
                <w:noProof/>
                <w:webHidden/>
              </w:rPr>
              <w:fldChar w:fldCharType="begin"/>
            </w:r>
            <w:r w:rsidR="004F4EDD">
              <w:rPr>
                <w:noProof/>
                <w:webHidden/>
              </w:rPr>
              <w:instrText xml:space="preserve"> PAGEREF _Toc500510207 \h </w:instrText>
            </w:r>
            <w:r w:rsidR="004F4EDD">
              <w:rPr>
                <w:noProof/>
                <w:webHidden/>
              </w:rPr>
            </w:r>
            <w:r w:rsidR="004F4EDD">
              <w:rPr>
                <w:noProof/>
                <w:webHidden/>
              </w:rPr>
              <w:fldChar w:fldCharType="separate"/>
            </w:r>
            <w:r w:rsidR="00C605C8">
              <w:rPr>
                <w:noProof/>
                <w:webHidden/>
              </w:rPr>
              <w:t>31</w:t>
            </w:r>
            <w:r w:rsidR="004F4EDD">
              <w:rPr>
                <w:noProof/>
                <w:webHidden/>
              </w:rPr>
              <w:fldChar w:fldCharType="end"/>
            </w:r>
          </w:hyperlink>
        </w:p>
        <w:p w14:paraId="3AEADD48"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08" w:history="1">
            <w:r w:rsidR="004F4EDD" w:rsidRPr="003F423D">
              <w:rPr>
                <w:rStyle w:val="Hyperlink"/>
                <w:noProof/>
              </w:rPr>
              <w:t xml:space="preserve">B.4 </w:t>
            </w:r>
            <w:r w:rsidR="004F4EDD">
              <w:rPr>
                <w:rFonts w:asciiTheme="minorHAnsi" w:eastAsiaTheme="minorEastAsia" w:hAnsiTheme="minorHAnsi"/>
                <w:noProof/>
                <w:sz w:val="22"/>
                <w:lang w:eastAsia="en-AU"/>
              </w:rPr>
              <w:tab/>
            </w:r>
            <w:r w:rsidR="004F4EDD" w:rsidRPr="003F423D">
              <w:rPr>
                <w:rStyle w:val="Hyperlink"/>
                <w:noProof/>
              </w:rPr>
              <w:t>Epidemiology of hypercholesterolemia</w:t>
            </w:r>
            <w:r w:rsidR="004F4EDD">
              <w:rPr>
                <w:noProof/>
                <w:webHidden/>
              </w:rPr>
              <w:tab/>
            </w:r>
            <w:r w:rsidR="004F4EDD">
              <w:rPr>
                <w:noProof/>
                <w:webHidden/>
              </w:rPr>
              <w:fldChar w:fldCharType="begin"/>
            </w:r>
            <w:r w:rsidR="004F4EDD">
              <w:rPr>
                <w:noProof/>
                <w:webHidden/>
              </w:rPr>
              <w:instrText xml:space="preserve"> PAGEREF _Toc500510208 \h </w:instrText>
            </w:r>
            <w:r w:rsidR="004F4EDD">
              <w:rPr>
                <w:noProof/>
                <w:webHidden/>
              </w:rPr>
            </w:r>
            <w:r w:rsidR="004F4EDD">
              <w:rPr>
                <w:noProof/>
                <w:webHidden/>
              </w:rPr>
              <w:fldChar w:fldCharType="separate"/>
            </w:r>
            <w:r w:rsidR="00C605C8">
              <w:rPr>
                <w:noProof/>
                <w:webHidden/>
              </w:rPr>
              <w:t>31</w:t>
            </w:r>
            <w:r w:rsidR="004F4EDD">
              <w:rPr>
                <w:noProof/>
                <w:webHidden/>
              </w:rPr>
              <w:fldChar w:fldCharType="end"/>
            </w:r>
          </w:hyperlink>
        </w:p>
        <w:p w14:paraId="5F37F1CA"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09" w:history="1">
            <w:r w:rsidR="004F4EDD" w:rsidRPr="003F423D">
              <w:rPr>
                <w:rStyle w:val="Hyperlink"/>
                <w:noProof/>
              </w:rPr>
              <w:t>B.4.1</w:t>
            </w:r>
            <w:r w:rsidR="004F4EDD">
              <w:rPr>
                <w:rFonts w:asciiTheme="minorHAnsi" w:eastAsiaTheme="minorEastAsia" w:hAnsiTheme="minorHAnsi"/>
                <w:noProof/>
                <w:sz w:val="22"/>
                <w:lang w:eastAsia="en-AU"/>
              </w:rPr>
              <w:tab/>
            </w:r>
            <w:r w:rsidR="004F4EDD" w:rsidRPr="003F423D">
              <w:rPr>
                <w:rStyle w:val="Hyperlink"/>
                <w:noProof/>
              </w:rPr>
              <w:t>What are cardiovascular disease risk factors?</w:t>
            </w:r>
            <w:r w:rsidR="004F4EDD">
              <w:rPr>
                <w:noProof/>
                <w:webHidden/>
              </w:rPr>
              <w:tab/>
            </w:r>
            <w:r w:rsidR="004F4EDD">
              <w:rPr>
                <w:noProof/>
                <w:webHidden/>
              </w:rPr>
              <w:fldChar w:fldCharType="begin"/>
            </w:r>
            <w:r w:rsidR="004F4EDD">
              <w:rPr>
                <w:noProof/>
                <w:webHidden/>
              </w:rPr>
              <w:instrText xml:space="preserve"> PAGEREF _Toc500510209 \h </w:instrText>
            </w:r>
            <w:r w:rsidR="004F4EDD">
              <w:rPr>
                <w:noProof/>
                <w:webHidden/>
              </w:rPr>
            </w:r>
            <w:r w:rsidR="004F4EDD">
              <w:rPr>
                <w:noProof/>
                <w:webHidden/>
              </w:rPr>
              <w:fldChar w:fldCharType="separate"/>
            </w:r>
            <w:r w:rsidR="00C605C8">
              <w:rPr>
                <w:noProof/>
                <w:webHidden/>
              </w:rPr>
              <w:t>32</w:t>
            </w:r>
            <w:r w:rsidR="004F4EDD">
              <w:rPr>
                <w:noProof/>
                <w:webHidden/>
              </w:rPr>
              <w:fldChar w:fldCharType="end"/>
            </w:r>
          </w:hyperlink>
        </w:p>
        <w:p w14:paraId="0043BC09"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10" w:history="1">
            <w:r w:rsidR="004F4EDD" w:rsidRPr="003F423D">
              <w:rPr>
                <w:rStyle w:val="Hyperlink"/>
                <w:noProof/>
              </w:rPr>
              <w:t>B.4.2</w:t>
            </w:r>
            <w:r w:rsidR="004F4EDD">
              <w:rPr>
                <w:rFonts w:asciiTheme="minorHAnsi" w:eastAsiaTheme="minorEastAsia" w:hAnsiTheme="minorHAnsi"/>
                <w:noProof/>
                <w:sz w:val="22"/>
                <w:lang w:eastAsia="en-AU"/>
              </w:rPr>
              <w:tab/>
            </w:r>
            <w:r w:rsidR="004F4EDD" w:rsidRPr="003F423D">
              <w:rPr>
                <w:rStyle w:val="Hyperlink"/>
                <w:noProof/>
              </w:rPr>
              <w:t>What is dyslipidaemia?</w:t>
            </w:r>
            <w:r w:rsidR="004F4EDD">
              <w:rPr>
                <w:noProof/>
                <w:webHidden/>
              </w:rPr>
              <w:tab/>
            </w:r>
            <w:r w:rsidR="004F4EDD">
              <w:rPr>
                <w:noProof/>
                <w:webHidden/>
              </w:rPr>
              <w:fldChar w:fldCharType="begin"/>
            </w:r>
            <w:r w:rsidR="004F4EDD">
              <w:rPr>
                <w:noProof/>
                <w:webHidden/>
              </w:rPr>
              <w:instrText xml:space="preserve"> PAGEREF _Toc500510210 \h </w:instrText>
            </w:r>
            <w:r w:rsidR="004F4EDD">
              <w:rPr>
                <w:noProof/>
                <w:webHidden/>
              </w:rPr>
            </w:r>
            <w:r w:rsidR="004F4EDD">
              <w:rPr>
                <w:noProof/>
                <w:webHidden/>
              </w:rPr>
              <w:fldChar w:fldCharType="separate"/>
            </w:r>
            <w:r w:rsidR="00C605C8">
              <w:rPr>
                <w:noProof/>
                <w:webHidden/>
              </w:rPr>
              <w:t>33</w:t>
            </w:r>
            <w:r w:rsidR="004F4EDD">
              <w:rPr>
                <w:noProof/>
                <w:webHidden/>
              </w:rPr>
              <w:fldChar w:fldCharType="end"/>
            </w:r>
          </w:hyperlink>
        </w:p>
        <w:p w14:paraId="41915D17"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11" w:history="1">
            <w:r w:rsidR="004F4EDD" w:rsidRPr="003F423D">
              <w:rPr>
                <w:rStyle w:val="Hyperlink"/>
                <w:noProof/>
              </w:rPr>
              <w:t>B.4.3</w:t>
            </w:r>
            <w:r w:rsidR="004F4EDD">
              <w:rPr>
                <w:rFonts w:asciiTheme="minorHAnsi" w:eastAsiaTheme="minorEastAsia" w:hAnsiTheme="minorHAnsi"/>
                <w:noProof/>
                <w:sz w:val="22"/>
                <w:lang w:eastAsia="en-AU"/>
              </w:rPr>
              <w:tab/>
            </w:r>
            <w:r w:rsidR="004F4EDD" w:rsidRPr="003F423D">
              <w:rPr>
                <w:rStyle w:val="Hyperlink"/>
                <w:noProof/>
              </w:rPr>
              <w:t>What is familial hypercholesterolaemia?</w:t>
            </w:r>
            <w:r w:rsidR="004F4EDD">
              <w:rPr>
                <w:noProof/>
                <w:webHidden/>
              </w:rPr>
              <w:tab/>
            </w:r>
            <w:r w:rsidR="004F4EDD">
              <w:rPr>
                <w:noProof/>
                <w:webHidden/>
              </w:rPr>
              <w:fldChar w:fldCharType="begin"/>
            </w:r>
            <w:r w:rsidR="004F4EDD">
              <w:rPr>
                <w:noProof/>
                <w:webHidden/>
              </w:rPr>
              <w:instrText xml:space="preserve"> PAGEREF _Toc500510211 \h </w:instrText>
            </w:r>
            <w:r w:rsidR="004F4EDD">
              <w:rPr>
                <w:noProof/>
                <w:webHidden/>
              </w:rPr>
            </w:r>
            <w:r w:rsidR="004F4EDD">
              <w:rPr>
                <w:noProof/>
                <w:webHidden/>
              </w:rPr>
              <w:fldChar w:fldCharType="separate"/>
            </w:r>
            <w:r w:rsidR="00C605C8">
              <w:rPr>
                <w:noProof/>
                <w:webHidden/>
              </w:rPr>
              <w:t>33</w:t>
            </w:r>
            <w:r w:rsidR="004F4EDD">
              <w:rPr>
                <w:noProof/>
                <w:webHidden/>
              </w:rPr>
              <w:fldChar w:fldCharType="end"/>
            </w:r>
          </w:hyperlink>
        </w:p>
        <w:p w14:paraId="00AD2190"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12" w:history="1">
            <w:r w:rsidR="004F4EDD" w:rsidRPr="003F423D">
              <w:rPr>
                <w:rStyle w:val="Hyperlink"/>
                <w:noProof/>
              </w:rPr>
              <w:t>B.4.4</w:t>
            </w:r>
            <w:r w:rsidR="004F4EDD">
              <w:rPr>
                <w:rFonts w:asciiTheme="minorHAnsi" w:eastAsiaTheme="minorEastAsia" w:hAnsiTheme="minorHAnsi"/>
                <w:noProof/>
                <w:sz w:val="22"/>
                <w:lang w:eastAsia="en-AU"/>
              </w:rPr>
              <w:tab/>
            </w:r>
            <w:r w:rsidR="004F4EDD" w:rsidRPr="003F423D">
              <w:rPr>
                <w:rStyle w:val="Hyperlink"/>
                <w:noProof/>
              </w:rPr>
              <w:t>Use of algorithms to estimate absolute risk of cardiovascular disease?</w:t>
            </w:r>
            <w:r w:rsidR="004F4EDD">
              <w:rPr>
                <w:noProof/>
                <w:webHidden/>
              </w:rPr>
              <w:tab/>
            </w:r>
            <w:r w:rsidR="004F4EDD">
              <w:rPr>
                <w:noProof/>
                <w:webHidden/>
              </w:rPr>
              <w:fldChar w:fldCharType="begin"/>
            </w:r>
            <w:r w:rsidR="004F4EDD">
              <w:rPr>
                <w:noProof/>
                <w:webHidden/>
              </w:rPr>
              <w:instrText xml:space="preserve"> PAGEREF _Toc500510212 \h </w:instrText>
            </w:r>
            <w:r w:rsidR="004F4EDD">
              <w:rPr>
                <w:noProof/>
                <w:webHidden/>
              </w:rPr>
            </w:r>
            <w:r w:rsidR="004F4EDD">
              <w:rPr>
                <w:noProof/>
                <w:webHidden/>
              </w:rPr>
              <w:fldChar w:fldCharType="separate"/>
            </w:r>
            <w:r w:rsidR="00C605C8">
              <w:rPr>
                <w:noProof/>
                <w:webHidden/>
              </w:rPr>
              <w:t>33</w:t>
            </w:r>
            <w:r w:rsidR="004F4EDD">
              <w:rPr>
                <w:noProof/>
                <w:webHidden/>
              </w:rPr>
              <w:fldChar w:fldCharType="end"/>
            </w:r>
          </w:hyperlink>
        </w:p>
        <w:p w14:paraId="0CED49E3"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13" w:history="1">
            <w:r w:rsidR="004F4EDD" w:rsidRPr="003F423D">
              <w:rPr>
                <w:rStyle w:val="Hyperlink"/>
                <w:noProof/>
              </w:rPr>
              <w:t>B.4.5</w:t>
            </w:r>
            <w:r w:rsidR="004F4EDD">
              <w:rPr>
                <w:rFonts w:asciiTheme="minorHAnsi" w:eastAsiaTheme="minorEastAsia" w:hAnsiTheme="minorHAnsi"/>
                <w:noProof/>
                <w:sz w:val="22"/>
                <w:lang w:eastAsia="en-AU"/>
              </w:rPr>
              <w:tab/>
            </w:r>
            <w:r w:rsidR="004F4EDD" w:rsidRPr="003F423D">
              <w:rPr>
                <w:rStyle w:val="Hyperlink"/>
                <w:noProof/>
              </w:rPr>
              <w:t>Treatment guidelines</w:t>
            </w:r>
            <w:r w:rsidR="004F4EDD">
              <w:rPr>
                <w:noProof/>
                <w:webHidden/>
              </w:rPr>
              <w:tab/>
            </w:r>
            <w:r w:rsidR="004F4EDD">
              <w:rPr>
                <w:noProof/>
                <w:webHidden/>
              </w:rPr>
              <w:fldChar w:fldCharType="begin"/>
            </w:r>
            <w:r w:rsidR="004F4EDD">
              <w:rPr>
                <w:noProof/>
                <w:webHidden/>
              </w:rPr>
              <w:instrText xml:space="preserve"> PAGEREF _Toc500510213 \h </w:instrText>
            </w:r>
            <w:r w:rsidR="004F4EDD">
              <w:rPr>
                <w:noProof/>
                <w:webHidden/>
              </w:rPr>
            </w:r>
            <w:r w:rsidR="004F4EDD">
              <w:rPr>
                <w:noProof/>
                <w:webHidden/>
              </w:rPr>
              <w:fldChar w:fldCharType="separate"/>
            </w:r>
            <w:r w:rsidR="00C605C8">
              <w:rPr>
                <w:noProof/>
                <w:webHidden/>
              </w:rPr>
              <w:t>33</w:t>
            </w:r>
            <w:r w:rsidR="004F4EDD">
              <w:rPr>
                <w:noProof/>
                <w:webHidden/>
              </w:rPr>
              <w:fldChar w:fldCharType="end"/>
            </w:r>
          </w:hyperlink>
        </w:p>
        <w:p w14:paraId="06384244" w14:textId="77777777" w:rsidR="004F4EDD" w:rsidRDefault="003435B0">
          <w:pPr>
            <w:pStyle w:val="TOC1"/>
            <w:tabs>
              <w:tab w:val="right" w:leader="dot" w:pos="8296"/>
            </w:tabs>
            <w:rPr>
              <w:rFonts w:asciiTheme="minorHAnsi" w:eastAsiaTheme="minorEastAsia" w:hAnsiTheme="minorHAnsi"/>
              <w:noProof/>
              <w:sz w:val="22"/>
              <w:lang w:eastAsia="en-AU"/>
            </w:rPr>
          </w:pPr>
          <w:hyperlink w:anchor="_Toc500510214" w:history="1">
            <w:r w:rsidR="004F4EDD" w:rsidRPr="003F423D">
              <w:rPr>
                <w:rStyle w:val="Hyperlink"/>
                <w:noProof/>
              </w:rPr>
              <w:t>Section 1: TOR 1 Utilisation of ezetimibe</w:t>
            </w:r>
            <w:r w:rsidR="004F4EDD">
              <w:rPr>
                <w:noProof/>
                <w:webHidden/>
              </w:rPr>
              <w:tab/>
            </w:r>
            <w:r w:rsidR="004F4EDD">
              <w:rPr>
                <w:noProof/>
                <w:webHidden/>
              </w:rPr>
              <w:fldChar w:fldCharType="begin"/>
            </w:r>
            <w:r w:rsidR="004F4EDD">
              <w:rPr>
                <w:noProof/>
                <w:webHidden/>
              </w:rPr>
              <w:instrText xml:space="preserve"> PAGEREF _Toc500510214 \h </w:instrText>
            </w:r>
            <w:r w:rsidR="004F4EDD">
              <w:rPr>
                <w:noProof/>
                <w:webHidden/>
              </w:rPr>
            </w:r>
            <w:r w:rsidR="004F4EDD">
              <w:rPr>
                <w:noProof/>
                <w:webHidden/>
              </w:rPr>
              <w:fldChar w:fldCharType="separate"/>
            </w:r>
            <w:r w:rsidR="00C605C8">
              <w:rPr>
                <w:noProof/>
                <w:webHidden/>
              </w:rPr>
              <w:t>34</w:t>
            </w:r>
            <w:r w:rsidR="004F4EDD">
              <w:rPr>
                <w:noProof/>
                <w:webHidden/>
              </w:rPr>
              <w:fldChar w:fldCharType="end"/>
            </w:r>
          </w:hyperlink>
        </w:p>
        <w:p w14:paraId="3752DD8B"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15" w:history="1">
            <w:r w:rsidR="004F4EDD" w:rsidRPr="003F423D">
              <w:rPr>
                <w:rStyle w:val="Hyperlink"/>
                <w:noProof/>
              </w:rPr>
              <w:t>1.1</w:t>
            </w:r>
            <w:r w:rsidR="004F4EDD">
              <w:rPr>
                <w:rFonts w:asciiTheme="minorHAnsi" w:eastAsiaTheme="minorEastAsia" w:hAnsiTheme="minorHAnsi"/>
                <w:noProof/>
                <w:sz w:val="22"/>
                <w:lang w:eastAsia="en-AU"/>
              </w:rPr>
              <w:tab/>
            </w:r>
            <w:r w:rsidR="004F4EDD" w:rsidRPr="003F423D">
              <w:rPr>
                <w:rStyle w:val="Hyperlink"/>
                <w:noProof/>
              </w:rPr>
              <w:t>Key findings for TOR 1</w:t>
            </w:r>
            <w:r w:rsidR="004F4EDD">
              <w:rPr>
                <w:noProof/>
                <w:webHidden/>
              </w:rPr>
              <w:tab/>
            </w:r>
            <w:r w:rsidR="004F4EDD">
              <w:rPr>
                <w:noProof/>
                <w:webHidden/>
              </w:rPr>
              <w:fldChar w:fldCharType="begin"/>
            </w:r>
            <w:r w:rsidR="004F4EDD">
              <w:rPr>
                <w:noProof/>
                <w:webHidden/>
              </w:rPr>
              <w:instrText xml:space="preserve"> PAGEREF _Toc500510215 \h </w:instrText>
            </w:r>
            <w:r w:rsidR="004F4EDD">
              <w:rPr>
                <w:noProof/>
                <w:webHidden/>
              </w:rPr>
            </w:r>
            <w:r w:rsidR="004F4EDD">
              <w:rPr>
                <w:noProof/>
                <w:webHidden/>
              </w:rPr>
              <w:fldChar w:fldCharType="separate"/>
            </w:r>
            <w:r w:rsidR="00C605C8">
              <w:rPr>
                <w:noProof/>
                <w:webHidden/>
              </w:rPr>
              <w:t>34</w:t>
            </w:r>
            <w:r w:rsidR="004F4EDD">
              <w:rPr>
                <w:noProof/>
                <w:webHidden/>
              </w:rPr>
              <w:fldChar w:fldCharType="end"/>
            </w:r>
          </w:hyperlink>
        </w:p>
        <w:p w14:paraId="0109ED7C"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16" w:history="1">
            <w:r w:rsidR="004F4EDD" w:rsidRPr="003F423D">
              <w:rPr>
                <w:rStyle w:val="Hyperlink"/>
                <w:noProof/>
              </w:rPr>
              <w:t>1.2</w:t>
            </w:r>
            <w:r w:rsidR="004F4EDD">
              <w:rPr>
                <w:rFonts w:asciiTheme="minorHAnsi" w:eastAsiaTheme="minorEastAsia" w:hAnsiTheme="minorHAnsi"/>
                <w:noProof/>
                <w:sz w:val="22"/>
                <w:lang w:eastAsia="en-AU"/>
              </w:rPr>
              <w:tab/>
            </w:r>
            <w:r w:rsidR="004F4EDD" w:rsidRPr="003F423D">
              <w:rPr>
                <w:rStyle w:val="Hyperlink"/>
                <w:noProof/>
              </w:rPr>
              <w:t>Summary of Ezetimibe Utilisation Analysis</w:t>
            </w:r>
            <w:r w:rsidR="004F4EDD">
              <w:rPr>
                <w:noProof/>
                <w:webHidden/>
              </w:rPr>
              <w:tab/>
            </w:r>
            <w:r w:rsidR="004F4EDD">
              <w:rPr>
                <w:noProof/>
                <w:webHidden/>
              </w:rPr>
              <w:fldChar w:fldCharType="begin"/>
            </w:r>
            <w:r w:rsidR="004F4EDD">
              <w:rPr>
                <w:noProof/>
                <w:webHidden/>
              </w:rPr>
              <w:instrText xml:space="preserve"> PAGEREF _Toc500510216 \h </w:instrText>
            </w:r>
            <w:r w:rsidR="004F4EDD">
              <w:rPr>
                <w:noProof/>
                <w:webHidden/>
              </w:rPr>
            </w:r>
            <w:r w:rsidR="004F4EDD">
              <w:rPr>
                <w:noProof/>
                <w:webHidden/>
              </w:rPr>
              <w:fldChar w:fldCharType="separate"/>
            </w:r>
            <w:r w:rsidR="00C605C8">
              <w:rPr>
                <w:noProof/>
                <w:webHidden/>
              </w:rPr>
              <w:t>35</w:t>
            </w:r>
            <w:r w:rsidR="004F4EDD">
              <w:rPr>
                <w:noProof/>
                <w:webHidden/>
              </w:rPr>
              <w:fldChar w:fldCharType="end"/>
            </w:r>
          </w:hyperlink>
        </w:p>
        <w:p w14:paraId="74E870F4"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17" w:history="1">
            <w:r w:rsidR="004F4EDD" w:rsidRPr="003F423D">
              <w:rPr>
                <w:rStyle w:val="Hyperlink"/>
                <w:noProof/>
              </w:rPr>
              <w:t>1.2.1</w:t>
            </w:r>
            <w:r w:rsidR="004F4EDD">
              <w:rPr>
                <w:rFonts w:asciiTheme="minorHAnsi" w:eastAsiaTheme="minorEastAsia" w:hAnsiTheme="minorHAnsi"/>
                <w:noProof/>
                <w:sz w:val="22"/>
                <w:lang w:eastAsia="en-AU"/>
              </w:rPr>
              <w:tab/>
            </w:r>
            <w:r w:rsidR="004F4EDD" w:rsidRPr="003F423D">
              <w:rPr>
                <w:rStyle w:val="Hyperlink"/>
                <w:noProof/>
              </w:rPr>
              <w:t xml:space="preserve"> Methods – </w:t>
            </w:r>
            <w:r w:rsidR="004F4EDD" w:rsidRPr="003F423D">
              <w:rPr>
                <w:rStyle w:val="Hyperlink"/>
                <w:rFonts w:eastAsia="Calibri" w:cs="Times New Roman"/>
                <w:noProof/>
              </w:rPr>
              <w:t>December 2016 analysis</w:t>
            </w:r>
            <w:r w:rsidR="004F4EDD">
              <w:rPr>
                <w:noProof/>
                <w:webHidden/>
              </w:rPr>
              <w:tab/>
            </w:r>
            <w:r w:rsidR="004F4EDD">
              <w:rPr>
                <w:noProof/>
                <w:webHidden/>
              </w:rPr>
              <w:fldChar w:fldCharType="begin"/>
            </w:r>
            <w:r w:rsidR="004F4EDD">
              <w:rPr>
                <w:noProof/>
                <w:webHidden/>
              </w:rPr>
              <w:instrText xml:space="preserve"> PAGEREF _Toc500510217 \h </w:instrText>
            </w:r>
            <w:r w:rsidR="004F4EDD">
              <w:rPr>
                <w:noProof/>
                <w:webHidden/>
              </w:rPr>
            </w:r>
            <w:r w:rsidR="004F4EDD">
              <w:rPr>
                <w:noProof/>
                <w:webHidden/>
              </w:rPr>
              <w:fldChar w:fldCharType="separate"/>
            </w:r>
            <w:r w:rsidR="00C605C8">
              <w:rPr>
                <w:noProof/>
                <w:webHidden/>
              </w:rPr>
              <w:t>35</w:t>
            </w:r>
            <w:r w:rsidR="004F4EDD">
              <w:rPr>
                <w:noProof/>
                <w:webHidden/>
              </w:rPr>
              <w:fldChar w:fldCharType="end"/>
            </w:r>
          </w:hyperlink>
        </w:p>
        <w:p w14:paraId="144248B7"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18" w:history="1">
            <w:r w:rsidR="004F4EDD" w:rsidRPr="003F423D">
              <w:rPr>
                <w:rStyle w:val="Hyperlink"/>
                <w:noProof/>
              </w:rPr>
              <w:t>1.2.2</w:t>
            </w:r>
            <w:r w:rsidR="004F4EDD">
              <w:rPr>
                <w:rFonts w:asciiTheme="minorHAnsi" w:eastAsiaTheme="minorEastAsia" w:hAnsiTheme="minorHAnsi"/>
                <w:noProof/>
                <w:sz w:val="22"/>
                <w:lang w:eastAsia="en-AU"/>
              </w:rPr>
              <w:tab/>
            </w:r>
            <w:r w:rsidR="004F4EDD" w:rsidRPr="003F423D">
              <w:rPr>
                <w:rStyle w:val="Hyperlink"/>
                <w:noProof/>
              </w:rPr>
              <w:t xml:space="preserve">Results - </w:t>
            </w:r>
            <w:r w:rsidR="004F4EDD" w:rsidRPr="003F423D">
              <w:rPr>
                <w:rStyle w:val="Hyperlink"/>
                <w:rFonts w:eastAsia="Calibri" w:cs="Times New Roman"/>
                <w:noProof/>
              </w:rPr>
              <w:t>December 2016 analysis</w:t>
            </w:r>
            <w:r w:rsidR="004F4EDD">
              <w:rPr>
                <w:noProof/>
                <w:webHidden/>
              </w:rPr>
              <w:tab/>
            </w:r>
            <w:r w:rsidR="004F4EDD">
              <w:rPr>
                <w:noProof/>
                <w:webHidden/>
              </w:rPr>
              <w:fldChar w:fldCharType="begin"/>
            </w:r>
            <w:r w:rsidR="004F4EDD">
              <w:rPr>
                <w:noProof/>
                <w:webHidden/>
              </w:rPr>
              <w:instrText xml:space="preserve"> PAGEREF _Toc500510218 \h </w:instrText>
            </w:r>
            <w:r w:rsidR="004F4EDD">
              <w:rPr>
                <w:noProof/>
                <w:webHidden/>
              </w:rPr>
            </w:r>
            <w:r w:rsidR="004F4EDD">
              <w:rPr>
                <w:noProof/>
                <w:webHidden/>
              </w:rPr>
              <w:fldChar w:fldCharType="separate"/>
            </w:r>
            <w:r w:rsidR="00C605C8">
              <w:rPr>
                <w:noProof/>
                <w:webHidden/>
              </w:rPr>
              <w:t>36</w:t>
            </w:r>
            <w:r w:rsidR="004F4EDD">
              <w:rPr>
                <w:noProof/>
                <w:webHidden/>
              </w:rPr>
              <w:fldChar w:fldCharType="end"/>
            </w:r>
          </w:hyperlink>
        </w:p>
        <w:p w14:paraId="4DEC4E1A"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19" w:history="1">
            <w:r w:rsidR="004F4EDD" w:rsidRPr="003F423D">
              <w:rPr>
                <w:rStyle w:val="Hyperlink"/>
                <w:noProof/>
              </w:rPr>
              <w:t>1.2.3</w:t>
            </w:r>
            <w:r w:rsidR="004F4EDD">
              <w:rPr>
                <w:rFonts w:asciiTheme="minorHAnsi" w:eastAsiaTheme="minorEastAsia" w:hAnsiTheme="minorHAnsi"/>
                <w:noProof/>
                <w:sz w:val="22"/>
                <w:lang w:eastAsia="en-AU"/>
              </w:rPr>
              <w:tab/>
            </w:r>
            <w:r w:rsidR="004F4EDD" w:rsidRPr="003F423D">
              <w:rPr>
                <w:rStyle w:val="Hyperlink"/>
                <w:noProof/>
              </w:rPr>
              <w:t>Background - March 2017 analysis</w:t>
            </w:r>
            <w:r w:rsidR="004F4EDD">
              <w:rPr>
                <w:noProof/>
                <w:webHidden/>
              </w:rPr>
              <w:tab/>
            </w:r>
            <w:r w:rsidR="004F4EDD">
              <w:rPr>
                <w:noProof/>
                <w:webHidden/>
              </w:rPr>
              <w:fldChar w:fldCharType="begin"/>
            </w:r>
            <w:r w:rsidR="004F4EDD">
              <w:rPr>
                <w:noProof/>
                <w:webHidden/>
              </w:rPr>
              <w:instrText xml:space="preserve"> PAGEREF _Toc500510219 \h </w:instrText>
            </w:r>
            <w:r w:rsidR="004F4EDD">
              <w:rPr>
                <w:noProof/>
                <w:webHidden/>
              </w:rPr>
            </w:r>
            <w:r w:rsidR="004F4EDD">
              <w:rPr>
                <w:noProof/>
                <w:webHidden/>
              </w:rPr>
              <w:fldChar w:fldCharType="separate"/>
            </w:r>
            <w:r w:rsidR="00C605C8">
              <w:rPr>
                <w:noProof/>
                <w:webHidden/>
              </w:rPr>
              <w:t>39</w:t>
            </w:r>
            <w:r w:rsidR="004F4EDD">
              <w:rPr>
                <w:noProof/>
                <w:webHidden/>
              </w:rPr>
              <w:fldChar w:fldCharType="end"/>
            </w:r>
          </w:hyperlink>
        </w:p>
        <w:p w14:paraId="7D7D0911"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20" w:history="1">
            <w:r w:rsidR="004F4EDD" w:rsidRPr="003F423D">
              <w:rPr>
                <w:rStyle w:val="Hyperlink"/>
                <w:noProof/>
              </w:rPr>
              <w:t>1.2.4</w:t>
            </w:r>
            <w:r w:rsidR="004F4EDD">
              <w:rPr>
                <w:rFonts w:asciiTheme="minorHAnsi" w:eastAsiaTheme="minorEastAsia" w:hAnsiTheme="minorHAnsi"/>
                <w:noProof/>
                <w:sz w:val="22"/>
                <w:lang w:eastAsia="en-AU"/>
              </w:rPr>
              <w:tab/>
            </w:r>
            <w:r w:rsidR="004F4EDD" w:rsidRPr="003F423D">
              <w:rPr>
                <w:rStyle w:val="Hyperlink"/>
                <w:noProof/>
              </w:rPr>
              <w:t xml:space="preserve"> Methods - March 2017 analysis</w:t>
            </w:r>
            <w:r w:rsidR="004F4EDD">
              <w:rPr>
                <w:noProof/>
                <w:webHidden/>
              </w:rPr>
              <w:tab/>
            </w:r>
            <w:r w:rsidR="004F4EDD">
              <w:rPr>
                <w:noProof/>
                <w:webHidden/>
              </w:rPr>
              <w:fldChar w:fldCharType="begin"/>
            </w:r>
            <w:r w:rsidR="004F4EDD">
              <w:rPr>
                <w:noProof/>
                <w:webHidden/>
              </w:rPr>
              <w:instrText xml:space="preserve"> PAGEREF _Toc500510220 \h </w:instrText>
            </w:r>
            <w:r w:rsidR="004F4EDD">
              <w:rPr>
                <w:noProof/>
                <w:webHidden/>
              </w:rPr>
            </w:r>
            <w:r w:rsidR="004F4EDD">
              <w:rPr>
                <w:noProof/>
                <w:webHidden/>
              </w:rPr>
              <w:fldChar w:fldCharType="separate"/>
            </w:r>
            <w:r w:rsidR="00C605C8">
              <w:rPr>
                <w:noProof/>
                <w:webHidden/>
              </w:rPr>
              <w:t>39</w:t>
            </w:r>
            <w:r w:rsidR="004F4EDD">
              <w:rPr>
                <w:noProof/>
                <w:webHidden/>
              </w:rPr>
              <w:fldChar w:fldCharType="end"/>
            </w:r>
          </w:hyperlink>
        </w:p>
        <w:p w14:paraId="40D1D846"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21" w:history="1">
            <w:r w:rsidR="004F4EDD" w:rsidRPr="003F423D">
              <w:rPr>
                <w:rStyle w:val="Hyperlink"/>
                <w:noProof/>
              </w:rPr>
              <w:t>1.3</w:t>
            </w:r>
            <w:r w:rsidR="004F4EDD">
              <w:rPr>
                <w:rFonts w:asciiTheme="minorHAnsi" w:eastAsiaTheme="minorEastAsia" w:hAnsiTheme="minorHAnsi"/>
                <w:noProof/>
                <w:sz w:val="22"/>
                <w:lang w:eastAsia="en-AU"/>
              </w:rPr>
              <w:tab/>
            </w:r>
            <w:r w:rsidR="004F4EDD" w:rsidRPr="003F423D">
              <w:rPr>
                <w:rStyle w:val="Hyperlink"/>
                <w:noProof/>
              </w:rPr>
              <w:t>Key issues raised by stakeholders on TOR 1</w:t>
            </w:r>
            <w:r w:rsidR="004F4EDD">
              <w:rPr>
                <w:noProof/>
                <w:webHidden/>
              </w:rPr>
              <w:tab/>
            </w:r>
            <w:r w:rsidR="004F4EDD">
              <w:rPr>
                <w:noProof/>
                <w:webHidden/>
              </w:rPr>
              <w:fldChar w:fldCharType="begin"/>
            </w:r>
            <w:r w:rsidR="004F4EDD">
              <w:rPr>
                <w:noProof/>
                <w:webHidden/>
              </w:rPr>
              <w:instrText xml:space="preserve"> PAGEREF _Toc500510221 \h </w:instrText>
            </w:r>
            <w:r w:rsidR="004F4EDD">
              <w:rPr>
                <w:noProof/>
                <w:webHidden/>
              </w:rPr>
            </w:r>
            <w:r w:rsidR="004F4EDD">
              <w:rPr>
                <w:noProof/>
                <w:webHidden/>
              </w:rPr>
              <w:fldChar w:fldCharType="separate"/>
            </w:r>
            <w:r w:rsidR="00C605C8">
              <w:rPr>
                <w:noProof/>
                <w:webHidden/>
              </w:rPr>
              <w:t>45</w:t>
            </w:r>
            <w:r w:rsidR="004F4EDD">
              <w:rPr>
                <w:noProof/>
                <w:webHidden/>
              </w:rPr>
              <w:fldChar w:fldCharType="end"/>
            </w:r>
          </w:hyperlink>
        </w:p>
        <w:p w14:paraId="4D62BC16"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22" w:history="1">
            <w:r w:rsidR="004F4EDD" w:rsidRPr="003F423D">
              <w:rPr>
                <w:rStyle w:val="Hyperlink"/>
                <w:noProof/>
              </w:rPr>
              <w:t>1.3.1</w:t>
            </w:r>
            <w:r w:rsidR="004F4EDD">
              <w:rPr>
                <w:rFonts w:asciiTheme="minorHAnsi" w:eastAsiaTheme="minorEastAsia" w:hAnsiTheme="minorHAnsi"/>
                <w:noProof/>
                <w:sz w:val="22"/>
                <w:lang w:eastAsia="en-AU"/>
              </w:rPr>
              <w:tab/>
            </w:r>
            <w:r w:rsidR="004F4EDD" w:rsidRPr="003F423D">
              <w:rPr>
                <w:rStyle w:val="Hyperlink"/>
                <w:noProof/>
              </w:rPr>
              <w:t>Submissions to the Review</w:t>
            </w:r>
            <w:r w:rsidR="004F4EDD">
              <w:rPr>
                <w:noProof/>
                <w:webHidden/>
              </w:rPr>
              <w:tab/>
            </w:r>
            <w:r w:rsidR="004F4EDD">
              <w:rPr>
                <w:noProof/>
                <w:webHidden/>
              </w:rPr>
              <w:fldChar w:fldCharType="begin"/>
            </w:r>
            <w:r w:rsidR="004F4EDD">
              <w:rPr>
                <w:noProof/>
                <w:webHidden/>
              </w:rPr>
              <w:instrText xml:space="preserve"> PAGEREF _Toc500510222 \h </w:instrText>
            </w:r>
            <w:r w:rsidR="004F4EDD">
              <w:rPr>
                <w:noProof/>
                <w:webHidden/>
              </w:rPr>
            </w:r>
            <w:r w:rsidR="004F4EDD">
              <w:rPr>
                <w:noProof/>
                <w:webHidden/>
              </w:rPr>
              <w:fldChar w:fldCharType="separate"/>
            </w:r>
            <w:r w:rsidR="00C605C8">
              <w:rPr>
                <w:noProof/>
                <w:webHidden/>
              </w:rPr>
              <w:t>45</w:t>
            </w:r>
            <w:r w:rsidR="004F4EDD">
              <w:rPr>
                <w:noProof/>
                <w:webHidden/>
              </w:rPr>
              <w:fldChar w:fldCharType="end"/>
            </w:r>
          </w:hyperlink>
        </w:p>
        <w:p w14:paraId="5FD67CD8"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23" w:history="1">
            <w:r w:rsidR="004F4EDD" w:rsidRPr="003F423D">
              <w:rPr>
                <w:rStyle w:val="Hyperlink"/>
                <w:noProof/>
              </w:rPr>
              <w:t>1.3.2</w:t>
            </w:r>
            <w:r w:rsidR="004F4EDD">
              <w:rPr>
                <w:rFonts w:asciiTheme="minorHAnsi" w:eastAsiaTheme="minorEastAsia" w:hAnsiTheme="minorHAnsi"/>
                <w:noProof/>
                <w:sz w:val="22"/>
                <w:lang w:eastAsia="en-AU"/>
              </w:rPr>
              <w:tab/>
            </w:r>
            <w:r w:rsidR="004F4EDD" w:rsidRPr="003F423D">
              <w:rPr>
                <w:rStyle w:val="Hyperlink"/>
                <w:noProof/>
              </w:rPr>
              <w:t>Outcomes from the stakeholder forum</w:t>
            </w:r>
            <w:r w:rsidR="004F4EDD">
              <w:rPr>
                <w:noProof/>
                <w:webHidden/>
              </w:rPr>
              <w:tab/>
            </w:r>
            <w:r w:rsidR="004F4EDD">
              <w:rPr>
                <w:noProof/>
                <w:webHidden/>
              </w:rPr>
              <w:fldChar w:fldCharType="begin"/>
            </w:r>
            <w:r w:rsidR="004F4EDD">
              <w:rPr>
                <w:noProof/>
                <w:webHidden/>
              </w:rPr>
              <w:instrText xml:space="preserve"> PAGEREF _Toc500510223 \h </w:instrText>
            </w:r>
            <w:r w:rsidR="004F4EDD">
              <w:rPr>
                <w:noProof/>
                <w:webHidden/>
              </w:rPr>
            </w:r>
            <w:r w:rsidR="004F4EDD">
              <w:rPr>
                <w:noProof/>
                <w:webHidden/>
              </w:rPr>
              <w:fldChar w:fldCharType="separate"/>
            </w:r>
            <w:r w:rsidR="00C605C8">
              <w:rPr>
                <w:noProof/>
                <w:webHidden/>
              </w:rPr>
              <w:t>45</w:t>
            </w:r>
            <w:r w:rsidR="004F4EDD">
              <w:rPr>
                <w:noProof/>
                <w:webHidden/>
              </w:rPr>
              <w:fldChar w:fldCharType="end"/>
            </w:r>
          </w:hyperlink>
        </w:p>
        <w:p w14:paraId="4280570A"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24" w:history="1">
            <w:r w:rsidR="004F4EDD" w:rsidRPr="003F423D">
              <w:rPr>
                <w:rStyle w:val="Hyperlink"/>
                <w:noProof/>
              </w:rPr>
              <w:t>1.3.3</w:t>
            </w:r>
            <w:r w:rsidR="004F4EDD">
              <w:rPr>
                <w:rFonts w:asciiTheme="minorHAnsi" w:eastAsiaTheme="minorEastAsia" w:hAnsiTheme="minorHAnsi"/>
                <w:noProof/>
                <w:sz w:val="22"/>
                <w:lang w:eastAsia="en-AU"/>
              </w:rPr>
              <w:tab/>
            </w:r>
            <w:r w:rsidR="004F4EDD" w:rsidRPr="003F423D">
              <w:rPr>
                <w:rStyle w:val="Hyperlink"/>
                <w:noProof/>
              </w:rPr>
              <w:t>Stakeholder submissions to the draft Report</w:t>
            </w:r>
            <w:r w:rsidR="004F4EDD">
              <w:rPr>
                <w:noProof/>
                <w:webHidden/>
              </w:rPr>
              <w:tab/>
            </w:r>
            <w:r w:rsidR="004F4EDD">
              <w:rPr>
                <w:noProof/>
                <w:webHidden/>
              </w:rPr>
              <w:fldChar w:fldCharType="begin"/>
            </w:r>
            <w:r w:rsidR="004F4EDD">
              <w:rPr>
                <w:noProof/>
                <w:webHidden/>
              </w:rPr>
              <w:instrText xml:space="preserve"> PAGEREF _Toc500510224 \h </w:instrText>
            </w:r>
            <w:r w:rsidR="004F4EDD">
              <w:rPr>
                <w:noProof/>
                <w:webHidden/>
              </w:rPr>
            </w:r>
            <w:r w:rsidR="004F4EDD">
              <w:rPr>
                <w:noProof/>
                <w:webHidden/>
              </w:rPr>
              <w:fldChar w:fldCharType="separate"/>
            </w:r>
            <w:r w:rsidR="00C605C8">
              <w:rPr>
                <w:noProof/>
                <w:webHidden/>
              </w:rPr>
              <w:t>46</w:t>
            </w:r>
            <w:r w:rsidR="004F4EDD">
              <w:rPr>
                <w:noProof/>
                <w:webHidden/>
              </w:rPr>
              <w:fldChar w:fldCharType="end"/>
            </w:r>
          </w:hyperlink>
        </w:p>
        <w:p w14:paraId="5097FC0A"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25" w:history="1">
            <w:r w:rsidR="004F4EDD" w:rsidRPr="003F423D">
              <w:rPr>
                <w:rStyle w:val="Hyperlink"/>
                <w:noProof/>
              </w:rPr>
              <w:t>1.4</w:t>
            </w:r>
            <w:r w:rsidR="004F4EDD">
              <w:rPr>
                <w:rFonts w:asciiTheme="minorHAnsi" w:eastAsiaTheme="minorEastAsia" w:hAnsiTheme="minorHAnsi"/>
                <w:noProof/>
                <w:sz w:val="22"/>
                <w:lang w:eastAsia="en-AU"/>
              </w:rPr>
              <w:tab/>
            </w:r>
            <w:r w:rsidR="004F4EDD" w:rsidRPr="003F423D">
              <w:rPr>
                <w:rStyle w:val="Hyperlink"/>
                <w:noProof/>
              </w:rPr>
              <w:t>Reference Group consideration</w:t>
            </w:r>
            <w:r w:rsidR="004F4EDD">
              <w:rPr>
                <w:noProof/>
                <w:webHidden/>
              </w:rPr>
              <w:tab/>
            </w:r>
            <w:r w:rsidR="004F4EDD">
              <w:rPr>
                <w:noProof/>
                <w:webHidden/>
              </w:rPr>
              <w:fldChar w:fldCharType="begin"/>
            </w:r>
            <w:r w:rsidR="004F4EDD">
              <w:rPr>
                <w:noProof/>
                <w:webHidden/>
              </w:rPr>
              <w:instrText xml:space="preserve"> PAGEREF _Toc500510225 \h </w:instrText>
            </w:r>
            <w:r w:rsidR="004F4EDD">
              <w:rPr>
                <w:noProof/>
                <w:webHidden/>
              </w:rPr>
            </w:r>
            <w:r w:rsidR="004F4EDD">
              <w:rPr>
                <w:noProof/>
                <w:webHidden/>
              </w:rPr>
              <w:fldChar w:fldCharType="separate"/>
            </w:r>
            <w:r w:rsidR="00C605C8">
              <w:rPr>
                <w:noProof/>
                <w:webHidden/>
              </w:rPr>
              <w:t>47</w:t>
            </w:r>
            <w:r w:rsidR="004F4EDD">
              <w:rPr>
                <w:noProof/>
                <w:webHidden/>
              </w:rPr>
              <w:fldChar w:fldCharType="end"/>
            </w:r>
          </w:hyperlink>
        </w:p>
        <w:p w14:paraId="71ACEA90"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26" w:history="1">
            <w:r w:rsidR="004F4EDD" w:rsidRPr="003F423D">
              <w:rPr>
                <w:rStyle w:val="Hyperlink"/>
                <w:noProof/>
              </w:rPr>
              <w:t>1.4.1</w:t>
            </w:r>
            <w:r w:rsidR="004F4EDD">
              <w:rPr>
                <w:rFonts w:asciiTheme="minorHAnsi" w:eastAsiaTheme="minorEastAsia" w:hAnsiTheme="minorHAnsi"/>
                <w:noProof/>
                <w:sz w:val="22"/>
                <w:lang w:eastAsia="en-AU"/>
              </w:rPr>
              <w:tab/>
            </w:r>
            <w:r w:rsidR="004F4EDD" w:rsidRPr="003F423D">
              <w:rPr>
                <w:rStyle w:val="Hyperlink"/>
                <w:noProof/>
              </w:rPr>
              <w:t>Compliance with PBS restrictions</w:t>
            </w:r>
            <w:r w:rsidR="004F4EDD">
              <w:rPr>
                <w:noProof/>
                <w:webHidden/>
              </w:rPr>
              <w:tab/>
            </w:r>
            <w:r w:rsidR="004F4EDD">
              <w:rPr>
                <w:noProof/>
                <w:webHidden/>
              </w:rPr>
              <w:fldChar w:fldCharType="begin"/>
            </w:r>
            <w:r w:rsidR="004F4EDD">
              <w:rPr>
                <w:noProof/>
                <w:webHidden/>
              </w:rPr>
              <w:instrText xml:space="preserve"> PAGEREF _Toc500510226 \h </w:instrText>
            </w:r>
            <w:r w:rsidR="004F4EDD">
              <w:rPr>
                <w:noProof/>
                <w:webHidden/>
              </w:rPr>
            </w:r>
            <w:r w:rsidR="004F4EDD">
              <w:rPr>
                <w:noProof/>
                <w:webHidden/>
              </w:rPr>
              <w:fldChar w:fldCharType="separate"/>
            </w:r>
            <w:r w:rsidR="00C605C8">
              <w:rPr>
                <w:noProof/>
                <w:webHidden/>
              </w:rPr>
              <w:t>47</w:t>
            </w:r>
            <w:r w:rsidR="004F4EDD">
              <w:rPr>
                <w:noProof/>
                <w:webHidden/>
              </w:rPr>
              <w:fldChar w:fldCharType="end"/>
            </w:r>
          </w:hyperlink>
        </w:p>
        <w:p w14:paraId="11AF9BD6"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27" w:history="1">
            <w:r w:rsidR="004F4EDD" w:rsidRPr="003F423D">
              <w:rPr>
                <w:rStyle w:val="Hyperlink"/>
                <w:noProof/>
              </w:rPr>
              <w:t>1.4.2</w:t>
            </w:r>
            <w:r w:rsidR="004F4EDD">
              <w:rPr>
                <w:rFonts w:asciiTheme="minorHAnsi" w:eastAsiaTheme="minorEastAsia" w:hAnsiTheme="minorHAnsi"/>
                <w:noProof/>
                <w:sz w:val="22"/>
                <w:lang w:eastAsia="en-AU"/>
              </w:rPr>
              <w:tab/>
            </w:r>
            <w:r w:rsidR="004F4EDD" w:rsidRPr="003F423D">
              <w:rPr>
                <w:rStyle w:val="Hyperlink"/>
                <w:noProof/>
              </w:rPr>
              <w:t>Adherence and persistence to LLT pre and post initiation of ezetimibe therapy</w:t>
            </w:r>
            <w:r w:rsidR="004F4EDD">
              <w:rPr>
                <w:noProof/>
                <w:webHidden/>
              </w:rPr>
              <w:tab/>
            </w:r>
            <w:r w:rsidR="004F4EDD">
              <w:rPr>
                <w:noProof/>
                <w:webHidden/>
              </w:rPr>
              <w:fldChar w:fldCharType="begin"/>
            </w:r>
            <w:r w:rsidR="004F4EDD">
              <w:rPr>
                <w:noProof/>
                <w:webHidden/>
              </w:rPr>
              <w:instrText xml:space="preserve"> PAGEREF _Toc500510227 \h </w:instrText>
            </w:r>
            <w:r w:rsidR="004F4EDD">
              <w:rPr>
                <w:noProof/>
                <w:webHidden/>
              </w:rPr>
            </w:r>
            <w:r w:rsidR="004F4EDD">
              <w:rPr>
                <w:noProof/>
                <w:webHidden/>
              </w:rPr>
              <w:fldChar w:fldCharType="separate"/>
            </w:r>
            <w:r w:rsidR="00C605C8">
              <w:rPr>
                <w:noProof/>
                <w:webHidden/>
              </w:rPr>
              <w:t>48</w:t>
            </w:r>
            <w:r w:rsidR="004F4EDD">
              <w:rPr>
                <w:noProof/>
                <w:webHidden/>
              </w:rPr>
              <w:fldChar w:fldCharType="end"/>
            </w:r>
          </w:hyperlink>
        </w:p>
        <w:p w14:paraId="18FA2E72" w14:textId="77777777" w:rsidR="004F4EDD" w:rsidRDefault="003435B0">
          <w:pPr>
            <w:pStyle w:val="TOC1"/>
            <w:tabs>
              <w:tab w:val="right" w:leader="dot" w:pos="8296"/>
            </w:tabs>
            <w:rPr>
              <w:rFonts w:asciiTheme="minorHAnsi" w:eastAsiaTheme="minorEastAsia" w:hAnsiTheme="minorHAnsi"/>
              <w:noProof/>
              <w:sz w:val="22"/>
              <w:lang w:eastAsia="en-AU"/>
            </w:rPr>
          </w:pPr>
          <w:hyperlink w:anchor="_Toc500510228" w:history="1">
            <w:r w:rsidR="004F4EDD" w:rsidRPr="003F423D">
              <w:rPr>
                <w:rStyle w:val="Hyperlink"/>
                <w:noProof/>
              </w:rPr>
              <w:t>Section 2: TOR 2 Clinical guidelines for the use of ezetimibe</w:t>
            </w:r>
            <w:r w:rsidR="004F4EDD">
              <w:rPr>
                <w:noProof/>
                <w:webHidden/>
              </w:rPr>
              <w:tab/>
            </w:r>
            <w:r w:rsidR="004F4EDD">
              <w:rPr>
                <w:noProof/>
                <w:webHidden/>
              </w:rPr>
              <w:fldChar w:fldCharType="begin"/>
            </w:r>
            <w:r w:rsidR="004F4EDD">
              <w:rPr>
                <w:noProof/>
                <w:webHidden/>
              </w:rPr>
              <w:instrText xml:space="preserve"> PAGEREF _Toc500510228 \h </w:instrText>
            </w:r>
            <w:r w:rsidR="004F4EDD">
              <w:rPr>
                <w:noProof/>
                <w:webHidden/>
              </w:rPr>
            </w:r>
            <w:r w:rsidR="004F4EDD">
              <w:rPr>
                <w:noProof/>
                <w:webHidden/>
              </w:rPr>
              <w:fldChar w:fldCharType="separate"/>
            </w:r>
            <w:r w:rsidR="00C605C8">
              <w:rPr>
                <w:noProof/>
                <w:webHidden/>
              </w:rPr>
              <w:t>49</w:t>
            </w:r>
            <w:r w:rsidR="004F4EDD">
              <w:rPr>
                <w:noProof/>
                <w:webHidden/>
              </w:rPr>
              <w:fldChar w:fldCharType="end"/>
            </w:r>
          </w:hyperlink>
        </w:p>
        <w:p w14:paraId="50D48CC0"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29" w:history="1">
            <w:r w:rsidR="004F4EDD" w:rsidRPr="003F423D">
              <w:rPr>
                <w:rStyle w:val="Hyperlink"/>
                <w:noProof/>
              </w:rPr>
              <w:t>2.1</w:t>
            </w:r>
            <w:r w:rsidR="004F4EDD">
              <w:rPr>
                <w:rFonts w:asciiTheme="minorHAnsi" w:eastAsiaTheme="minorEastAsia" w:hAnsiTheme="minorHAnsi"/>
                <w:noProof/>
                <w:sz w:val="22"/>
                <w:lang w:eastAsia="en-AU"/>
              </w:rPr>
              <w:tab/>
            </w:r>
            <w:r w:rsidR="004F4EDD" w:rsidRPr="003F423D">
              <w:rPr>
                <w:rStyle w:val="Hyperlink"/>
                <w:noProof/>
              </w:rPr>
              <w:t>Key findings for TOR 2</w:t>
            </w:r>
            <w:r w:rsidR="004F4EDD">
              <w:rPr>
                <w:noProof/>
                <w:webHidden/>
              </w:rPr>
              <w:tab/>
            </w:r>
            <w:r w:rsidR="004F4EDD">
              <w:rPr>
                <w:noProof/>
                <w:webHidden/>
              </w:rPr>
              <w:fldChar w:fldCharType="begin"/>
            </w:r>
            <w:r w:rsidR="004F4EDD">
              <w:rPr>
                <w:noProof/>
                <w:webHidden/>
              </w:rPr>
              <w:instrText xml:space="preserve"> PAGEREF _Toc500510229 \h </w:instrText>
            </w:r>
            <w:r w:rsidR="004F4EDD">
              <w:rPr>
                <w:noProof/>
                <w:webHidden/>
              </w:rPr>
            </w:r>
            <w:r w:rsidR="004F4EDD">
              <w:rPr>
                <w:noProof/>
                <w:webHidden/>
              </w:rPr>
              <w:fldChar w:fldCharType="separate"/>
            </w:r>
            <w:r w:rsidR="00C605C8">
              <w:rPr>
                <w:noProof/>
                <w:webHidden/>
              </w:rPr>
              <w:t>49</w:t>
            </w:r>
            <w:r w:rsidR="004F4EDD">
              <w:rPr>
                <w:noProof/>
                <w:webHidden/>
              </w:rPr>
              <w:fldChar w:fldCharType="end"/>
            </w:r>
          </w:hyperlink>
        </w:p>
        <w:p w14:paraId="05288A94"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30" w:history="1">
            <w:r w:rsidR="004F4EDD" w:rsidRPr="003F423D">
              <w:rPr>
                <w:rStyle w:val="Hyperlink"/>
                <w:noProof/>
              </w:rPr>
              <w:t>2.2</w:t>
            </w:r>
            <w:r w:rsidR="004F4EDD">
              <w:rPr>
                <w:rFonts w:asciiTheme="minorHAnsi" w:eastAsiaTheme="minorEastAsia" w:hAnsiTheme="minorHAnsi"/>
                <w:noProof/>
                <w:sz w:val="22"/>
                <w:lang w:eastAsia="en-AU"/>
              </w:rPr>
              <w:tab/>
            </w:r>
            <w:r w:rsidR="004F4EDD" w:rsidRPr="003F423D">
              <w:rPr>
                <w:rStyle w:val="Hyperlink"/>
                <w:noProof/>
              </w:rPr>
              <w:t>Published evidence</w:t>
            </w:r>
            <w:r w:rsidR="004F4EDD">
              <w:rPr>
                <w:noProof/>
                <w:webHidden/>
              </w:rPr>
              <w:tab/>
            </w:r>
            <w:r w:rsidR="004F4EDD">
              <w:rPr>
                <w:noProof/>
                <w:webHidden/>
              </w:rPr>
              <w:fldChar w:fldCharType="begin"/>
            </w:r>
            <w:r w:rsidR="004F4EDD">
              <w:rPr>
                <w:noProof/>
                <w:webHidden/>
              </w:rPr>
              <w:instrText xml:space="preserve"> PAGEREF _Toc500510230 \h </w:instrText>
            </w:r>
            <w:r w:rsidR="004F4EDD">
              <w:rPr>
                <w:noProof/>
                <w:webHidden/>
              </w:rPr>
            </w:r>
            <w:r w:rsidR="004F4EDD">
              <w:rPr>
                <w:noProof/>
                <w:webHidden/>
              </w:rPr>
              <w:fldChar w:fldCharType="separate"/>
            </w:r>
            <w:r w:rsidR="00C605C8">
              <w:rPr>
                <w:noProof/>
                <w:webHidden/>
              </w:rPr>
              <w:t>50</w:t>
            </w:r>
            <w:r w:rsidR="004F4EDD">
              <w:rPr>
                <w:noProof/>
                <w:webHidden/>
              </w:rPr>
              <w:fldChar w:fldCharType="end"/>
            </w:r>
          </w:hyperlink>
        </w:p>
        <w:p w14:paraId="7F5907A9"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31" w:history="1">
            <w:r w:rsidR="004F4EDD" w:rsidRPr="003F423D">
              <w:rPr>
                <w:rStyle w:val="Hyperlink"/>
                <w:noProof/>
              </w:rPr>
              <w:t>2.2.1</w:t>
            </w:r>
            <w:r w:rsidR="004F4EDD">
              <w:rPr>
                <w:rFonts w:asciiTheme="minorHAnsi" w:eastAsiaTheme="minorEastAsia" w:hAnsiTheme="minorHAnsi"/>
                <w:noProof/>
                <w:sz w:val="22"/>
                <w:lang w:eastAsia="en-AU"/>
              </w:rPr>
              <w:tab/>
            </w:r>
            <w:r w:rsidR="004F4EDD" w:rsidRPr="003F423D">
              <w:rPr>
                <w:rStyle w:val="Hyperlink"/>
                <w:noProof/>
              </w:rPr>
              <w:t>Approach to the literature review of clinical guidelines</w:t>
            </w:r>
            <w:r w:rsidR="004F4EDD">
              <w:rPr>
                <w:noProof/>
                <w:webHidden/>
              </w:rPr>
              <w:tab/>
            </w:r>
            <w:r w:rsidR="004F4EDD">
              <w:rPr>
                <w:noProof/>
                <w:webHidden/>
              </w:rPr>
              <w:fldChar w:fldCharType="begin"/>
            </w:r>
            <w:r w:rsidR="004F4EDD">
              <w:rPr>
                <w:noProof/>
                <w:webHidden/>
              </w:rPr>
              <w:instrText xml:space="preserve"> PAGEREF _Toc500510231 \h </w:instrText>
            </w:r>
            <w:r w:rsidR="004F4EDD">
              <w:rPr>
                <w:noProof/>
                <w:webHidden/>
              </w:rPr>
            </w:r>
            <w:r w:rsidR="004F4EDD">
              <w:rPr>
                <w:noProof/>
                <w:webHidden/>
              </w:rPr>
              <w:fldChar w:fldCharType="separate"/>
            </w:r>
            <w:r w:rsidR="00C605C8">
              <w:rPr>
                <w:noProof/>
                <w:webHidden/>
              </w:rPr>
              <w:t>50</w:t>
            </w:r>
            <w:r w:rsidR="004F4EDD">
              <w:rPr>
                <w:noProof/>
                <w:webHidden/>
              </w:rPr>
              <w:fldChar w:fldCharType="end"/>
            </w:r>
          </w:hyperlink>
        </w:p>
        <w:p w14:paraId="1587CB91"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32" w:history="1">
            <w:r w:rsidR="004F4EDD" w:rsidRPr="003F423D">
              <w:rPr>
                <w:rStyle w:val="Hyperlink"/>
                <w:noProof/>
              </w:rPr>
              <w:t>2.2.2</w:t>
            </w:r>
            <w:r w:rsidR="004F4EDD">
              <w:rPr>
                <w:rFonts w:asciiTheme="minorHAnsi" w:eastAsiaTheme="minorEastAsia" w:hAnsiTheme="minorHAnsi"/>
                <w:noProof/>
                <w:sz w:val="22"/>
                <w:lang w:eastAsia="en-AU"/>
              </w:rPr>
              <w:tab/>
            </w:r>
            <w:r w:rsidR="004F4EDD" w:rsidRPr="003F423D">
              <w:rPr>
                <w:rStyle w:val="Hyperlink"/>
                <w:noProof/>
              </w:rPr>
              <w:t>Comparison of Australian and international treatment guidelines</w:t>
            </w:r>
            <w:r w:rsidR="004F4EDD">
              <w:rPr>
                <w:noProof/>
                <w:webHidden/>
              </w:rPr>
              <w:tab/>
            </w:r>
            <w:r w:rsidR="004F4EDD">
              <w:rPr>
                <w:noProof/>
                <w:webHidden/>
              </w:rPr>
              <w:fldChar w:fldCharType="begin"/>
            </w:r>
            <w:r w:rsidR="004F4EDD">
              <w:rPr>
                <w:noProof/>
                <w:webHidden/>
              </w:rPr>
              <w:instrText xml:space="preserve"> PAGEREF _Toc500510232 \h </w:instrText>
            </w:r>
            <w:r w:rsidR="004F4EDD">
              <w:rPr>
                <w:noProof/>
                <w:webHidden/>
              </w:rPr>
            </w:r>
            <w:r w:rsidR="004F4EDD">
              <w:rPr>
                <w:noProof/>
                <w:webHidden/>
              </w:rPr>
              <w:fldChar w:fldCharType="separate"/>
            </w:r>
            <w:r w:rsidR="00C605C8">
              <w:rPr>
                <w:noProof/>
                <w:webHidden/>
              </w:rPr>
              <w:t>50</w:t>
            </w:r>
            <w:r w:rsidR="004F4EDD">
              <w:rPr>
                <w:noProof/>
                <w:webHidden/>
              </w:rPr>
              <w:fldChar w:fldCharType="end"/>
            </w:r>
          </w:hyperlink>
        </w:p>
        <w:p w14:paraId="1599462E"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33" w:history="1">
            <w:r w:rsidR="004F4EDD" w:rsidRPr="003F423D">
              <w:rPr>
                <w:rStyle w:val="Hyperlink"/>
                <w:noProof/>
              </w:rPr>
              <w:t>2.2.3</w:t>
            </w:r>
            <w:r w:rsidR="004F4EDD">
              <w:rPr>
                <w:rFonts w:asciiTheme="minorHAnsi" w:eastAsiaTheme="minorEastAsia" w:hAnsiTheme="minorHAnsi"/>
                <w:noProof/>
                <w:sz w:val="22"/>
                <w:lang w:eastAsia="en-AU"/>
              </w:rPr>
              <w:tab/>
            </w:r>
            <w:r w:rsidR="004F4EDD" w:rsidRPr="003F423D">
              <w:rPr>
                <w:rStyle w:val="Hyperlink"/>
                <w:noProof/>
              </w:rPr>
              <w:t>Approaches to therapeutic treatment in the guidelines</w:t>
            </w:r>
            <w:r w:rsidR="004F4EDD">
              <w:rPr>
                <w:noProof/>
                <w:webHidden/>
              </w:rPr>
              <w:tab/>
            </w:r>
            <w:r w:rsidR="004F4EDD">
              <w:rPr>
                <w:noProof/>
                <w:webHidden/>
              </w:rPr>
              <w:fldChar w:fldCharType="begin"/>
            </w:r>
            <w:r w:rsidR="004F4EDD">
              <w:rPr>
                <w:noProof/>
                <w:webHidden/>
              </w:rPr>
              <w:instrText xml:space="preserve"> PAGEREF _Toc500510233 \h </w:instrText>
            </w:r>
            <w:r w:rsidR="004F4EDD">
              <w:rPr>
                <w:noProof/>
                <w:webHidden/>
              </w:rPr>
            </w:r>
            <w:r w:rsidR="004F4EDD">
              <w:rPr>
                <w:noProof/>
                <w:webHidden/>
              </w:rPr>
              <w:fldChar w:fldCharType="separate"/>
            </w:r>
            <w:r w:rsidR="00C605C8">
              <w:rPr>
                <w:noProof/>
                <w:webHidden/>
              </w:rPr>
              <w:t>51</w:t>
            </w:r>
            <w:r w:rsidR="004F4EDD">
              <w:rPr>
                <w:noProof/>
                <w:webHidden/>
              </w:rPr>
              <w:fldChar w:fldCharType="end"/>
            </w:r>
          </w:hyperlink>
        </w:p>
        <w:p w14:paraId="342617A5"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34" w:history="1">
            <w:r w:rsidR="004F4EDD" w:rsidRPr="003F423D">
              <w:rPr>
                <w:rStyle w:val="Hyperlink"/>
                <w:noProof/>
              </w:rPr>
              <w:t>2.2.4</w:t>
            </w:r>
            <w:r w:rsidR="004F4EDD">
              <w:rPr>
                <w:rFonts w:asciiTheme="minorHAnsi" w:eastAsiaTheme="minorEastAsia" w:hAnsiTheme="minorHAnsi"/>
                <w:noProof/>
                <w:sz w:val="22"/>
                <w:lang w:eastAsia="en-AU"/>
              </w:rPr>
              <w:tab/>
            </w:r>
            <w:r w:rsidR="004F4EDD" w:rsidRPr="003F423D">
              <w:rPr>
                <w:rStyle w:val="Hyperlink"/>
                <w:noProof/>
              </w:rPr>
              <w:t>Recently published literature</w:t>
            </w:r>
            <w:r w:rsidR="004F4EDD">
              <w:rPr>
                <w:noProof/>
                <w:webHidden/>
              </w:rPr>
              <w:tab/>
            </w:r>
            <w:r w:rsidR="004F4EDD">
              <w:rPr>
                <w:noProof/>
                <w:webHidden/>
              </w:rPr>
              <w:fldChar w:fldCharType="begin"/>
            </w:r>
            <w:r w:rsidR="004F4EDD">
              <w:rPr>
                <w:noProof/>
                <w:webHidden/>
              </w:rPr>
              <w:instrText xml:space="preserve"> PAGEREF _Toc500510234 \h </w:instrText>
            </w:r>
            <w:r w:rsidR="004F4EDD">
              <w:rPr>
                <w:noProof/>
                <w:webHidden/>
              </w:rPr>
            </w:r>
            <w:r w:rsidR="004F4EDD">
              <w:rPr>
                <w:noProof/>
                <w:webHidden/>
              </w:rPr>
              <w:fldChar w:fldCharType="separate"/>
            </w:r>
            <w:r w:rsidR="00C605C8">
              <w:rPr>
                <w:noProof/>
                <w:webHidden/>
              </w:rPr>
              <w:t>51</w:t>
            </w:r>
            <w:r w:rsidR="004F4EDD">
              <w:rPr>
                <w:noProof/>
                <w:webHidden/>
              </w:rPr>
              <w:fldChar w:fldCharType="end"/>
            </w:r>
          </w:hyperlink>
        </w:p>
        <w:p w14:paraId="3465F2FA"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35" w:history="1">
            <w:r w:rsidR="004F4EDD" w:rsidRPr="003F423D">
              <w:rPr>
                <w:rStyle w:val="Hyperlink"/>
                <w:noProof/>
              </w:rPr>
              <w:t>2.2.5</w:t>
            </w:r>
            <w:r w:rsidR="004F4EDD">
              <w:rPr>
                <w:rFonts w:asciiTheme="minorHAnsi" w:eastAsiaTheme="minorEastAsia" w:hAnsiTheme="minorHAnsi"/>
                <w:noProof/>
                <w:sz w:val="22"/>
                <w:lang w:eastAsia="en-AU"/>
              </w:rPr>
              <w:tab/>
            </w:r>
            <w:r w:rsidR="004F4EDD" w:rsidRPr="003F423D">
              <w:rPr>
                <w:rStyle w:val="Hyperlink"/>
                <w:noProof/>
              </w:rPr>
              <w:t>Australian guidelines compared to the PBS GSLLD</w:t>
            </w:r>
            <w:r w:rsidR="004F4EDD">
              <w:rPr>
                <w:noProof/>
                <w:webHidden/>
              </w:rPr>
              <w:tab/>
            </w:r>
            <w:r w:rsidR="004F4EDD">
              <w:rPr>
                <w:noProof/>
                <w:webHidden/>
              </w:rPr>
              <w:fldChar w:fldCharType="begin"/>
            </w:r>
            <w:r w:rsidR="004F4EDD">
              <w:rPr>
                <w:noProof/>
                <w:webHidden/>
              </w:rPr>
              <w:instrText xml:space="preserve"> PAGEREF _Toc500510235 \h </w:instrText>
            </w:r>
            <w:r w:rsidR="004F4EDD">
              <w:rPr>
                <w:noProof/>
                <w:webHidden/>
              </w:rPr>
            </w:r>
            <w:r w:rsidR="004F4EDD">
              <w:rPr>
                <w:noProof/>
                <w:webHidden/>
              </w:rPr>
              <w:fldChar w:fldCharType="separate"/>
            </w:r>
            <w:r w:rsidR="00C605C8">
              <w:rPr>
                <w:noProof/>
                <w:webHidden/>
              </w:rPr>
              <w:t>52</w:t>
            </w:r>
            <w:r w:rsidR="004F4EDD">
              <w:rPr>
                <w:noProof/>
                <w:webHidden/>
              </w:rPr>
              <w:fldChar w:fldCharType="end"/>
            </w:r>
          </w:hyperlink>
        </w:p>
        <w:p w14:paraId="46273916"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36" w:history="1">
            <w:r w:rsidR="004F4EDD" w:rsidRPr="003F423D">
              <w:rPr>
                <w:rStyle w:val="Hyperlink"/>
                <w:noProof/>
              </w:rPr>
              <w:t xml:space="preserve">2.3 </w:t>
            </w:r>
            <w:r w:rsidR="004F4EDD">
              <w:rPr>
                <w:rFonts w:asciiTheme="minorHAnsi" w:eastAsiaTheme="minorEastAsia" w:hAnsiTheme="minorHAnsi"/>
                <w:noProof/>
                <w:sz w:val="22"/>
                <w:lang w:eastAsia="en-AU"/>
              </w:rPr>
              <w:tab/>
            </w:r>
            <w:r w:rsidR="004F4EDD" w:rsidRPr="003F423D">
              <w:rPr>
                <w:rStyle w:val="Hyperlink"/>
                <w:noProof/>
              </w:rPr>
              <w:t>Key issues raised by stakeholders on TOR 2</w:t>
            </w:r>
            <w:r w:rsidR="004F4EDD">
              <w:rPr>
                <w:noProof/>
                <w:webHidden/>
              </w:rPr>
              <w:tab/>
            </w:r>
            <w:r w:rsidR="004F4EDD">
              <w:rPr>
                <w:noProof/>
                <w:webHidden/>
              </w:rPr>
              <w:fldChar w:fldCharType="begin"/>
            </w:r>
            <w:r w:rsidR="004F4EDD">
              <w:rPr>
                <w:noProof/>
                <w:webHidden/>
              </w:rPr>
              <w:instrText xml:space="preserve"> PAGEREF _Toc500510236 \h </w:instrText>
            </w:r>
            <w:r w:rsidR="004F4EDD">
              <w:rPr>
                <w:noProof/>
                <w:webHidden/>
              </w:rPr>
            </w:r>
            <w:r w:rsidR="004F4EDD">
              <w:rPr>
                <w:noProof/>
                <w:webHidden/>
              </w:rPr>
              <w:fldChar w:fldCharType="separate"/>
            </w:r>
            <w:r w:rsidR="00C605C8">
              <w:rPr>
                <w:noProof/>
                <w:webHidden/>
              </w:rPr>
              <w:t>54</w:t>
            </w:r>
            <w:r w:rsidR="004F4EDD">
              <w:rPr>
                <w:noProof/>
                <w:webHidden/>
              </w:rPr>
              <w:fldChar w:fldCharType="end"/>
            </w:r>
          </w:hyperlink>
        </w:p>
        <w:p w14:paraId="69C5D9C8"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37" w:history="1">
            <w:r w:rsidR="004F4EDD" w:rsidRPr="003F423D">
              <w:rPr>
                <w:rStyle w:val="Hyperlink"/>
                <w:noProof/>
              </w:rPr>
              <w:t>2.3.1</w:t>
            </w:r>
            <w:r w:rsidR="004F4EDD">
              <w:rPr>
                <w:rFonts w:asciiTheme="minorHAnsi" w:eastAsiaTheme="minorEastAsia" w:hAnsiTheme="minorHAnsi"/>
                <w:noProof/>
                <w:sz w:val="22"/>
                <w:lang w:eastAsia="en-AU"/>
              </w:rPr>
              <w:tab/>
            </w:r>
            <w:r w:rsidR="004F4EDD" w:rsidRPr="003F423D">
              <w:rPr>
                <w:rStyle w:val="Hyperlink"/>
                <w:noProof/>
              </w:rPr>
              <w:t>Submissions to the Review</w:t>
            </w:r>
            <w:r w:rsidR="004F4EDD">
              <w:rPr>
                <w:noProof/>
                <w:webHidden/>
              </w:rPr>
              <w:tab/>
            </w:r>
            <w:r w:rsidR="004F4EDD">
              <w:rPr>
                <w:noProof/>
                <w:webHidden/>
              </w:rPr>
              <w:fldChar w:fldCharType="begin"/>
            </w:r>
            <w:r w:rsidR="004F4EDD">
              <w:rPr>
                <w:noProof/>
                <w:webHidden/>
              </w:rPr>
              <w:instrText xml:space="preserve"> PAGEREF _Toc500510237 \h </w:instrText>
            </w:r>
            <w:r w:rsidR="004F4EDD">
              <w:rPr>
                <w:noProof/>
                <w:webHidden/>
              </w:rPr>
            </w:r>
            <w:r w:rsidR="004F4EDD">
              <w:rPr>
                <w:noProof/>
                <w:webHidden/>
              </w:rPr>
              <w:fldChar w:fldCharType="separate"/>
            </w:r>
            <w:r w:rsidR="00C605C8">
              <w:rPr>
                <w:noProof/>
                <w:webHidden/>
              </w:rPr>
              <w:t>54</w:t>
            </w:r>
            <w:r w:rsidR="004F4EDD">
              <w:rPr>
                <w:noProof/>
                <w:webHidden/>
              </w:rPr>
              <w:fldChar w:fldCharType="end"/>
            </w:r>
          </w:hyperlink>
        </w:p>
        <w:p w14:paraId="6640B0DC"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38" w:history="1">
            <w:r w:rsidR="004F4EDD" w:rsidRPr="003F423D">
              <w:rPr>
                <w:rStyle w:val="Hyperlink"/>
                <w:noProof/>
              </w:rPr>
              <w:t>2.3.2</w:t>
            </w:r>
            <w:r w:rsidR="004F4EDD">
              <w:rPr>
                <w:rFonts w:asciiTheme="minorHAnsi" w:eastAsiaTheme="minorEastAsia" w:hAnsiTheme="minorHAnsi"/>
                <w:noProof/>
                <w:sz w:val="22"/>
                <w:lang w:eastAsia="en-AU"/>
              </w:rPr>
              <w:tab/>
            </w:r>
            <w:r w:rsidR="004F4EDD" w:rsidRPr="003F423D">
              <w:rPr>
                <w:rStyle w:val="Hyperlink"/>
                <w:noProof/>
              </w:rPr>
              <w:t>Outcomes from the stakeholder forum</w:t>
            </w:r>
            <w:r w:rsidR="004F4EDD">
              <w:rPr>
                <w:noProof/>
                <w:webHidden/>
              </w:rPr>
              <w:tab/>
            </w:r>
            <w:r w:rsidR="004F4EDD">
              <w:rPr>
                <w:noProof/>
                <w:webHidden/>
              </w:rPr>
              <w:fldChar w:fldCharType="begin"/>
            </w:r>
            <w:r w:rsidR="004F4EDD">
              <w:rPr>
                <w:noProof/>
                <w:webHidden/>
              </w:rPr>
              <w:instrText xml:space="preserve"> PAGEREF _Toc500510238 \h </w:instrText>
            </w:r>
            <w:r w:rsidR="004F4EDD">
              <w:rPr>
                <w:noProof/>
                <w:webHidden/>
              </w:rPr>
            </w:r>
            <w:r w:rsidR="004F4EDD">
              <w:rPr>
                <w:noProof/>
                <w:webHidden/>
              </w:rPr>
              <w:fldChar w:fldCharType="separate"/>
            </w:r>
            <w:r w:rsidR="00C605C8">
              <w:rPr>
                <w:noProof/>
                <w:webHidden/>
              </w:rPr>
              <w:t>54</w:t>
            </w:r>
            <w:r w:rsidR="004F4EDD">
              <w:rPr>
                <w:noProof/>
                <w:webHidden/>
              </w:rPr>
              <w:fldChar w:fldCharType="end"/>
            </w:r>
          </w:hyperlink>
        </w:p>
        <w:p w14:paraId="5ACDD4A4"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39" w:history="1">
            <w:r w:rsidR="004F4EDD" w:rsidRPr="003F423D">
              <w:rPr>
                <w:rStyle w:val="Hyperlink"/>
                <w:noProof/>
              </w:rPr>
              <w:t>2.3.3</w:t>
            </w:r>
            <w:r w:rsidR="004F4EDD">
              <w:rPr>
                <w:rFonts w:asciiTheme="minorHAnsi" w:eastAsiaTheme="minorEastAsia" w:hAnsiTheme="minorHAnsi"/>
                <w:noProof/>
                <w:sz w:val="22"/>
                <w:lang w:eastAsia="en-AU"/>
              </w:rPr>
              <w:tab/>
            </w:r>
            <w:r w:rsidR="004F4EDD" w:rsidRPr="003F423D">
              <w:rPr>
                <w:rStyle w:val="Hyperlink"/>
                <w:noProof/>
              </w:rPr>
              <w:t>Stakeholder submissions to the draft Report</w:t>
            </w:r>
            <w:r w:rsidR="004F4EDD">
              <w:rPr>
                <w:noProof/>
                <w:webHidden/>
              </w:rPr>
              <w:tab/>
            </w:r>
            <w:r w:rsidR="004F4EDD">
              <w:rPr>
                <w:noProof/>
                <w:webHidden/>
              </w:rPr>
              <w:fldChar w:fldCharType="begin"/>
            </w:r>
            <w:r w:rsidR="004F4EDD">
              <w:rPr>
                <w:noProof/>
                <w:webHidden/>
              </w:rPr>
              <w:instrText xml:space="preserve"> PAGEREF _Toc500510239 \h </w:instrText>
            </w:r>
            <w:r w:rsidR="004F4EDD">
              <w:rPr>
                <w:noProof/>
                <w:webHidden/>
              </w:rPr>
            </w:r>
            <w:r w:rsidR="004F4EDD">
              <w:rPr>
                <w:noProof/>
                <w:webHidden/>
              </w:rPr>
              <w:fldChar w:fldCharType="separate"/>
            </w:r>
            <w:r w:rsidR="00C605C8">
              <w:rPr>
                <w:noProof/>
                <w:webHidden/>
              </w:rPr>
              <w:t>55</w:t>
            </w:r>
            <w:r w:rsidR="004F4EDD">
              <w:rPr>
                <w:noProof/>
                <w:webHidden/>
              </w:rPr>
              <w:fldChar w:fldCharType="end"/>
            </w:r>
          </w:hyperlink>
        </w:p>
        <w:p w14:paraId="256386EC"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40" w:history="1">
            <w:r w:rsidR="004F4EDD" w:rsidRPr="003F423D">
              <w:rPr>
                <w:rStyle w:val="Hyperlink"/>
                <w:noProof/>
              </w:rPr>
              <w:t>2.4</w:t>
            </w:r>
            <w:r w:rsidR="004F4EDD">
              <w:rPr>
                <w:rFonts w:asciiTheme="minorHAnsi" w:eastAsiaTheme="minorEastAsia" w:hAnsiTheme="minorHAnsi"/>
                <w:noProof/>
                <w:sz w:val="22"/>
                <w:lang w:eastAsia="en-AU"/>
              </w:rPr>
              <w:tab/>
            </w:r>
            <w:r w:rsidR="004F4EDD" w:rsidRPr="003F423D">
              <w:rPr>
                <w:rStyle w:val="Hyperlink"/>
                <w:noProof/>
              </w:rPr>
              <w:t>Reference Group consideration</w:t>
            </w:r>
            <w:r w:rsidR="004F4EDD">
              <w:rPr>
                <w:noProof/>
                <w:webHidden/>
              </w:rPr>
              <w:tab/>
            </w:r>
            <w:r w:rsidR="004F4EDD">
              <w:rPr>
                <w:noProof/>
                <w:webHidden/>
              </w:rPr>
              <w:fldChar w:fldCharType="begin"/>
            </w:r>
            <w:r w:rsidR="004F4EDD">
              <w:rPr>
                <w:noProof/>
                <w:webHidden/>
              </w:rPr>
              <w:instrText xml:space="preserve"> PAGEREF _Toc500510240 \h </w:instrText>
            </w:r>
            <w:r w:rsidR="004F4EDD">
              <w:rPr>
                <w:noProof/>
                <w:webHidden/>
              </w:rPr>
            </w:r>
            <w:r w:rsidR="004F4EDD">
              <w:rPr>
                <w:noProof/>
                <w:webHidden/>
              </w:rPr>
              <w:fldChar w:fldCharType="separate"/>
            </w:r>
            <w:r w:rsidR="00C605C8">
              <w:rPr>
                <w:noProof/>
                <w:webHidden/>
              </w:rPr>
              <w:t>55</w:t>
            </w:r>
            <w:r w:rsidR="004F4EDD">
              <w:rPr>
                <w:noProof/>
                <w:webHidden/>
              </w:rPr>
              <w:fldChar w:fldCharType="end"/>
            </w:r>
          </w:hyperlink>
        </w:p>
        <w:p w14:paraId="763BE26C"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41" w:history="1">
            <w:r w:rsidR="004F4EDD" w:rsidRPr="003F423D">
              <w:rPr>
                <w:rStyle w:val="Hyperlink"/>
                <w:noProof/>
              </w:rPr>
              <w:t>2.4.1</w:t>
            </w:r>
            <w:r w:rsidR="004F4EDD">
              <w:rPr>
                <w:rFonts w:asciiTheme="minorHAnsi" w:eastAsiaTheme="minorEastAsia" w:hAnsiTheme="minorHAnsi"/>
                <w:noProof/>
                <w:sz w:val="22"/>
                <w:lang w:eastAsia="en-AU"/>
              </w:rPr>
              <w:tab/>
            </w:r>
            <w:r w:rsidR="004F4EDD" w:rsidRPr="003F423D">
              <w:rPr>
                <w:rStyle w:val="Hyperlink"/>
                <w:noProof/>
              </w:rPr>
              <w:t>Suggested ezetimibe restrictions</w:t>
            </w:r>
            <w:r w:rsidR="004F4EDD">
              <w:rPr>
                <w:noProof/>
                <w:webHidden/>
              </w:rPr>
              <w:tab/>
            </w:r>
            <w:r w:rsidR="004F4EDD">
              <w:rPr>
                <w:noProof/>
                <w:webHidden/>
              </w:rPr>
              <w:fldChar w:fldCharType="begin"/>
            </w:r>
            <w:r w:rsidR="004F4EDD">
              <w:rPr>
                <w:noProof/>
                <w:webHidden/>
              </w:rPr>
              <w:instrText xml:space="preserve"> PAGEREF _Toc500510241 \h </w:instrText>
            </w:r>
            <w:r w:rsidR="004F4EDD">
              <w:rPr>
                <w:noProof/>
                <w:webHidden/>
              </w:rPr>
            </w:r>
            <w:r w:rsidR="004F4EDD">
              <w:rPr>
                <w:noProof/>
                <w:webHidden/>
              </w:rPr>
              <w:fldChar w:fldCharType="separate"/>
            </w:r>
            <w:r w:rsidR="00C605C8">
              <w:rPr>
                <w:noProof/>
                <w:webHidden/>
              </w:rPr>
              <w:t>59</w:t>
            </w:r>
            <w:r w:rsidR="004F4EDD">
              <w:rPr>
                <w:noProof/>
                <w:webHidden/>
              </w:rPr>
              <w:fldChar w:fldCharType="end"/>
            </w:r>
          </w:hyperlink>
        </w:p>
        <w:p w14:paraId="726A4F81" w14:textId="77777777" w:rsidR="004F4EDD" w:rsidRDefault="003435B0">
          <w:pPr>
            <w:pStyle w:val="TOC1"/>
            <w:tabs>
              <w:tab w:val="right" w:leader="dot" w:pos="8296"/>
            </w:tabs>
            <w:rPr>
              <w:rFonts w:asciiTheme="minorHAnsi" w:eastAsiaTheme="minorEastAsia" w:hAnsiTheme="minorHAnsi"/>
              <w:noProof/>
              <w:sz w:val="22"/>
              <w:lang w:eastAsia="en-AU"/>
            </w:rPr>
          </w:pPr>
          <w:hyperlink w:anchor="_Toc500510242" w:history="1">
            <w:r w:rsidR="004F4EDD" w:rsidRPr="003F423D">
              <w:rPr>
                <w:rStyle w:val="Hyperlink"/>
                <w:noProof/>
              </w:rPr>
              <w:t>Section 3: TOR 3 Clinical and cost-effectiveness of ezetimibe</w:t>
            </w:r>
            <w:r w:rsidR="004F4EDD">
              <w:rPr>
                <w:noProof/>
                <w:webHidden/>
              </w:rPr>
              <w:tab/>
            </w:r>
            <w:r w:rsidR="004F4EDD">
              <w:rPr>
                <w:noProof/>
                <w:webHidden/>
              </w:rPr>
              <w:fldChar w:fldCharType="begin"/>
            </w:r>
            <w:r w:rsidR="004F4EDD">
              <w:rPr>
                <w:noProof/>
                <w:webHidden/>
              </w:rPr>
              <w:instrText xml:space="preserve"> PAGEREF _Toc500510242 \h </w:instrText>
            </w:r>
            <w:r w:rsidR="004F4EDD">
              <w:rPr>
                <w:noProof/>
                <w:webHidden/>
              </w:rPr>
            </w:r>
            <w:r w:rsidR="004F4EDD">
              <w:rPr>
                <w:noProof/>
                <w:webHidden/>
              </w:rPr>
              <w:fldChar w:fldCharType="separate"/>
            </w:r>
            <w:r w:rsidR="00C605C8">
              <w:rPr>
                <w:noProof/>
                <w:webHidden/>
              </w:rPr>
              <w:t>64</w:t>
            </w:r>
            <w:r w:rsidR="004F4EDD">
              <w:rPr>
                <w:noProof/>
                <w:webHidden/>
              </w:rPr>
              <w:fldChar w:fldCharType="end"/>
            </w:r>
          </w:hyperlink>
        </w:p>
        <w:p w14:paraId="7378F4E2"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43" w:history="1">
            <w:r w:rsidR="004F4EDD" w:rsidRPr="003F423D">
              <w:rPr>
                <w:rStyle w:val="Hyperlink"/>
                <w:noProof/>
              </w:rPr>
              <w:t>3.1</w:t>
            </w:r>
            <w:r w:rsidR="004F4EDD">
              <w:rPr>
                <w:rFonts w:asciiTheme="minorHAnsi" w:eastAsiaTheme="minorEastAsia" w:hAnsiTheme="minorHAnsi"/>
                <w:noProof/>
                <w:sz w:val="22"/>
                <w:lang w:eastAsia="en-AU"/>
              </w:rPr>
              <w:tab/>
            </w:r>
            <w:r w:rsidR="004F4EDD" w:rsidRPr="003F423D">
              <w:rPr>
                <w:rStyle w:val="Hyperlink"/>
                <w:noProof/>
              </w:rPr>
              <w:t>Key findings for TOR 3</w:t>
            </w:r>
            <w:r w:rsidR="004F4EDD">
              <w:rPr>
                <w:noProof/>
                <w:webHidden/>
              </w:rPr>
              <w:tab/>
            </w:r>
            <w:r w:rsidR="004F4EDD">
              <w:rPr>
                <w:noProof/>
                <w:webHidden/>
              </w:rPr>
              <w:fldChar w:fldCharType="begin"/>
            </w:r>
            <w:r w:rsidR="004F4EDD">
              <w:rPr>
                <w:noProof/>
                <w:webHidden/>
              </w:rPr>
              <w:instrText xml:space="preserve"> PAGEREF _Toc500510243 \h </w:instrText>
            </w:r>
            <w:r w:rsidR="004F4EDD">
              <w:rPr>
                <w:noProof/>
                <w:webHidden/>
              </w:rPr>
            </w:r>
            <w:r w:rsidR="004F4EDD">
              <w:rPr>
                <w:noProof/>
                <w:webHidden/>
              </w:rPr>
              <w:fldChar w:fldCharType="separate"/>
            </w:r>
            <w:r w:rsidR="00C605C8">
              <w:rPr>
                <w:noProof/>
                <w:webHidden/>
              </w:rPr>
              <w:t>64</w:t>
            </w:r>
            <w:r w:rsidR="004F4EDD">
              <w:rPr>
                <w:noProof/>
                <w:webHidden/>
              </w:rPr>
              <w:fldChar w:fldCharType="end"/>
            </w:r>
          </w:hyperlink>
        </w:p>
        <w:p w14:paraId="02576709"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44" w:history="1">
            <w:r w:rsidR="004F4EDD" w:rsidRPr="003F423D">
              <w:rPr>
                <w:rStyle w:val="Hyperlink"/>
                <w:noProof/>
              </w:rPr>
              <w:t>3.1.1</w:t>
            </w:r>
            <w:r w:rsidR="004F4EDD">
              <w:rPr>
                <w:rFonts w:asciiTheme="minorHAnsi" w:eastAsiaTheme="minorEastAsia" w:hAnsiTheme="minorHAnsi"/>
                <w:noProof/>
                <w:sz w:val="22"/>
                <w:lang w:eastAsia="en-AU"/>
              </w:rPr>
              <w:tab/>
            </w:r>
            <w:r w:rsidR="004F4EDD" w:rsidRPr="003F423D">
              <w:rPr>
                <w:rStyle w:val="Hyperlink"/>
                <w:noProof/>
              </w:rPr>
              <w:t>Evidence review on the clinical effectiveness of ezetimibe</w:t>
            </w:r>
            <w:r w:rsidR="004F4EDD">
              <w:rPr>
                <w:noProof/>
                <w:webHidden/>
              </w:rPr>
              <w:tab/>
            </w:r>
            <w:r w:rsidR="004F4EDD">
              <w:rPr>
                <w:noProof/>
                <w:webHidden/>
              </w:rPr>
              <w:fldChar w:fldCharType="begin"/>
            </w:r>
            <w:r w:rsidR="004F4EDD">
              <w:rPr>
                <w:noProof/>
                <w:webHidden/>
              </w:rPr>
              <w:instrText xml:space="preserve"> PAGEREF _Toc500510244 \h </w:instrText>
            </w:r>
            <w:r w:rsidR="004F4EDD">
              <w:rPr>
                <w:noProof/>
                <w:webHidden/>
              </w:rPr>
            </w:r>
            <w:r w:rsidR="004F4EDD">
              <w:rPr>
                <w:noProof/>
                <w:webHidden/>
              </w:rPr>
              <w:fldChar w:fldCharType="separate"/>
            </w:r>
            <w:r w:rsidR="00C605C8">
              <w:rPr>
                <w:noProof/>
                <w:webHidden/>
              </w:rPr>
              <w:t>64</w:t>
            </w:r>
            <w:r w:rsidR="004F4EDD">
              <w:rPr>
                <w:noProof/>
                <w:webHidden/>
              </w:rPr>
              <w:fldChar w:fldCharType="end"/>
            </w:r>
          </w:hyperlink>
        </w:p>
        <w:p w14:paraId="6E186B28"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45" w:history="1">
            <w:r w:rsidR="004F4EDD" w:rsidRPr="003F423D">
              <w:rPr>
                <w:rStyle w:val="Hyperlink"/>
                <w:noProof/>
              </w:rPr>
              <w:t>3.1.2</w:t>
            </w:r>
            <w:r w:rsidR="004F4EDD">
              <w:rPr>
                <w:rFonts w:asciiTheme="minorHAnsi" w:eastAsiaTheme="minorEastAsia" w:hAnsiTheme="minorHAnsi"/>
                <w:noProof/>
                <w:sz w:val="22"/>
                <w:lang w:eastAsia="en-AU"/>
              </w:rPr>
              <w:tab/>
            </w:r>
            <w:r w:rsidR="004F4EDD" w:rsidRPr="003F423D">
              <w:rPr>
                <w:rStyle w:val="Hyperlink"/>
                <w:noProof/>
              </w:rPr>
              <w:t>Review of the Economic Modelling of Ezetimibe</w:t>
            </w:r>
            <w:r w:rsidR="004F4EDD">
              <w:rPr>
                <w:noProof/>
                <w:webHidden/>
              </w:rPr>
              <w:tab/>
            </w:r>
            <w:r w:rsidR="004F4EDD">
              <w:rPr>
                <w:noProof/>
                <w:webHidden/>
              </w:rPr>
              <w:fldChar w:fldCharType="begin"/>
            </w:r>
            <w:r w:rsidR="004F4EDD">
              <w:rPr>
                <w:noProof/>
                <w:webHidden/>
              </w:rPr>
              <w:instrText xml:space="preserve"> PAGEREF _Toc500510245 \h </w:instrText>
            </w:r>
            <w:r w:rsidR="004F4EDD">
              <w:rPr>
                <w:noProof/>
                <w:webHidden/>
              </w:rPr>
            </w:r>
            <w:r w:rsidR="004F4EDD">
              <w:rPr>
                <w:noProof/>
                <w:webHidden/>
              </w:rPr>
              <w:fldChar w:fldCharType="separate"/>
            </w:r>
            <w:r w:rsidR="00C605C8">
              <w:rPr>
                <w:noProof/>
                <w:webHidden/>
              </w:rPr>
              <w:t>65</w:t>
            </w:r>
            <w:r w:rsidR="004F4EDD">
              <w:rPr>
                <w:noProof/>
                <w:webHidden/>
              </w:rPr>
              <w:fldChar w:fldCharType="end"/>
            </w:r>
          </w:hyperlink>
        </w:p>
        <w:p w14:paraId="39D3C1CA"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46" w:history="1">
            <w:r w:rsidR="004F4EDD" w:rsidRPr="003F423D">
              <w:rPr>
                <w:rStyle w:val="Hyperlink"/>
                <w:noProof/>
              </w:rPr>
              <w:t>3.2</w:t>
            </w:r>
            <w:r w:rsidR="004F4EDD">
              <w:rPr>
                <w:rFonts w:asciiTheme="minorHAnsi" w:eastAsiaTheme="minorEastAsia" w:hAnsiTheme="minorHAnsi"/>
                <w:noProof/>
                <w:sz w:val="22"/>
                <w:lang w:eastAsia="en-AU"/>
              </w:rPr>
              <w:tab/>
            </w:r>
            <w:r w:rsidR="004F4EDD" w:rsidRPr="003F423D">
              <w:rPr>
                <w:rStyle w:val="Hyperlink"/>
                <w:noProof/>
              </w:rPr>
              <w:t>Evidence review on the clinical effectiveness of ezetimibe</w:t>
            </w:r>
            <w:r w:rsidR="004F4EDD">
              <w:rPr>
                <w:noProof/>
                <w:webHidden/>
              </w:rPr>
              <w:tab/>
            </w:r>
            <w:r w:rsidR="004F4EDD">
              <w:rPr>
                <w:noProof/>
                <w:webHidden/>
              </w:rPr>
              <w:fldChar w:fldCharType="begin"/>
            </w:r>
            <w:r w:rsidR="004F4EDD">
              <w:rPr>
                <w:noProof/>
                <w:webHidden/>
              </w:rPr>
              <w:instrText xml:space="preserve"> PAGEREF _Toc500510246 \h </w:instrText>
            </w:r>
            <w:r w:rsidR="004F4EDD">
              <w:rPr>
                <w:noProof/>
                <w:webHidden/>
              </w:rPr>
            </w:r>
            <w:r w:rsidR="004F4EDD">
              <w:rPr>
                <w:noProof/>
                <w:webHidden/>
              </w:rPr>
              <w:fldChar w:fldCharType="separate"/>
            </w:r>
            <w:r w:rsidR="00C605C8">
              <w:rPr>
                <w:noProof/>
                <w:webHidden/>
              </w:rPr>
              <w:t>66</w:t>
            </w:r>
            <w:r w:rsidR="004F4EDD">
              <w:rPr>
                <w:noProof/>
                <w:webHidden/>
              </w:rPr>
              <w:fldChar w:fldCharType="end"/>
            </w:r>
          </w:hyperlink>
        </w:p>
        <w:p w14:paraId="0BBE2E24"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47" w:history="1">
            <w:r w:rsidR="004F4EDD" w:rsidRPr="003F423D">
              <w:rPr>
                <w:rStyle w:val="Hyperlink"/>
                <w:noProof/>
              </w:rPr>
              <w:t>3.2.1</w:t>
            </w:r>
            <w:r w:rsidR="004F4EDD">
              <w:rPr>
                <w:rFonts w:asciiTheme="minorHAnsi" w:eastAsiaTheme="minorEastAsia" w:hAnsiTheme="minorHAnsi"/>
                <w:noProof/>
                <w:sz w:val="22"/>
                <w:lang w:eastAsia="en-AU"/>
              </w:rPr>
              <w:tab/>
            </w:r>
            <w:r w:rsidR="004F4EDD" w:rsidRPr="003F423D">
              <w:rPr>
                <w:rStyle w:val="Hyperlink"/>
                <w:noProof/>
              </w:rPr>
              <w:t>Summary of the PBAC consideration and listing history</w:t>
            </w:r>
            <w:r w:rsidR="004F4EDD">
              <w:rPr>
                <w:noProof/>
                <w:webHidden/>
              </w:rPr>
              <w:tab/>
            </w:r>
            <w:r w:rsidR="004F4EDD">
              <w:rPr>
                <w:noProof/>
                <w:webHidden/>
              </w:rPr>
              <w:fldChar w:fldCharType="begin"/>
            </w:r>
            <w:r w:rsidR="004F4EDD">
              <w:rPr>
                <w:noProof/>
                <w:webHidden/>
              </w:rPr>
              <w:instrText xml:space="preserve"> PAGEREF _Toc500510247 \h </w:instrText>
            </w:r>
            <w:r w:rsidR="004F4EDD">
              <w:rPr>
                <w:noProof/>
                <w:webHidden/>
              </w:rPr>
            </w:r>
            <w:r w:rsidR="004F4EDD">
              <w:rPr>
                <w:noProof/>
                <w:webHidden/>
              </w:rPr>
              <w:fldChar w:fldCharType="separate"/>
            </w:r>
            <w:r w:rsidR="00C605C8">
              <w:rPr>
                <w:noProof/>
                <w:webHidden/>
              </w:rPr>
              <w:t>66</w:t>
            </w:r>
            <w:r w:rsidR="004F4EDD">
              <w:rPr>
                <w:noProof/>
                <w:webHidden/>
              </w:rPr>
              <w:fldChar w:fldCharType="end"/>
            </w:r>
          </w:hyperlink>
        </w:p>
        <w:p w14:paraId="19FCC0B2"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48" w:history="1">
            <w:r w:rsidR="004F4EDD" w:rsidRPr="003F423D">
              <w:rPr>
                <w:rStyle w:val="Hyperlink"/>
                <w:noProof/>
              </w:rPr>
              <w:t>3.2.2</w:t>
            </w:r>
            <w:r w:rsidR="004F4EDD">
              <w:rPr>
                <w:rFonts w:asciiTheme="minorHAnsi" w:eastAsiaTheme="minorEastAsia" w:hAnsiTheme="minorHAnsi"/>
                <w:noProof/>
                <w:sz w:val="22"/>
                <w:lang w:eastAsia="en-AU"/>
              </w:rPr>
              <w:tab/>
            </w:r>
            <w:r w:rsidR="004F4EDD" w:rsidRPr="003F423D">
              <w:rPr>
                <w:rStyle w:val="Hyperlink"/>
                <w:noProof/>
              </w:rPr>
              <w:t>Systematic Literature Review</w:t>
            </w:r>
            <w:r w:rsidR="004F4EDD">
              <w:rPr>
                <w:noProof/>
                <w:webHidden/>
              </w:rPr>
              <w:tab/>
            </w:r>
            <w:r w:rsidR="004F4EDD">
              <w:rPr>
                <w:noProof/>
                <w:webHidden/>
              </w:rPr>
              <w:fldChar w:fldCharType="begin"/>
            </w:r>
            <w:r w:rsidR="004F4EDD">
              <w:rPr>
                <w:noProof/>
                <w:webHidden/>
              </w:rPr>
              <w:instrText xml:space="preserve"> PAGEREF _Toc500510248 \h </w:instrText>
            </w:r>
            <w:r w:rsidR="004F4EDD">
              <w:rPr>
                <w:noProof/>
                <w:webHidden/>
              </w:rPr>
            </w:r>
            <w:r w:rsidR="004F4EDD">
              <w:rPr>
                <w:noProof/>
                <w:webHidden/>
              </w:rPr>
              <w:fldChar w:fldCharType="separate"/>
            </w:r>
            <w:r w:rsidR="00C605C8">
              <w:rPr>
                <w:noProof/>
                <w:webHidden/>
              </w:rPr>
              <w:t>66</w:t>
            </w:r>
            <w:r w:rsidR="004F4EDD">
              <w:rPr>
                <w:noProof/>
                <w:webHidden/>
              </w:rPr>
              <w:fldChar w:fldCharType="end"/>
            </w:r>
          </w:hyperlink>
        </w:p>
        <w:p w14:paraId="10792730"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49" w:history="1">
            <w:r w:rsidR="004F4EDD" w:rsidRPr="003F423D">
              <w:rPr>
                <w:rStyle w:val="Hyperlink"/>
                <w:noProof/>
              </w:rPr>
              <w:t>3.2.3</w:t>
            </w:r>
            <w:r w:rsidR="004F4EDD">
              <w:rPr>
                <w:rFonts w:asciiTheme="minorHAnsi" w:eastAsiaTheme="minorEastAsia" w:hAnsiTheme="minorHAnsi"/>
                <w:noProof/>
                <w:sz w:val="22"/>
                <w:lang w:eastAsia="en-AU"/>
              </w:rPr>
              <w:tab/>
            </w:r>
            <w:r w:rsidR="004F4EDD" w:rsidRPr="003F423D">
              <w:rPr>
                <w:rStyle w:val="Hyperlink"/>
                <w:noProof/>
              </w:rPr>
              <w:t>Recently published literature</w:t>
            </w:r>
            <w:r w:rsidR="004F4EDD">
              <w:rPr>
                <w:noProof/>
                <w:webHidden/>
              </w:rPr>
              <w:tab/>
            </w:r>
            <w:r w:rsidR="004F4EDD">
              <w:rPr>
                <w:noProof/>
                <w:webHidden/>
              </w:rPr>
              <w:fldChar w:fldCharType="begin"/>
            </w:r>
            <w:r w:rsidR="004F4EDD">
              <w:rPr>
                <w:noProof/>
                <w:webHidden/>
              </w:rPr>
              <w:instrText xml:space="preserve"> PAGEREF _Toc500510249 \h </w:instrText>
            </w:r>
            <w:r w:rsidR="004F4EDD">
              <w:rPr>
                <w:noProof/>
                <w:webHidden/>
              </w:rPr>
            </w:r>
            <w:r w:rsidR="004F4EDD">
              <w:rPr>
                <w:noProof/>
                <w:webHidden/>
              </w:rPr>
              <w:fldChar w:fldCharType="separate"/>
            </w:r>
            <w:r w:rsidR="00C605C8">
              <w:rPr>
                <w:noProof/>
                <w:webHidden/>
              </w:rPr>
              <w:t>66</w:t>
            </w:r>
            <w:r w:rsidR="004F4EDD">
              <w:rPr>
                <w:noProof/>
                <w:webHidden/>
              </w:rPr>
              <w:fldChar w:fldCharType="end"/>
            </w:r>
          </w:hyperlink>
        </w:p>
        <w:p w14:paraId="12E10A99"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50" w:history="1">
            <w:r w:rsidR="004F4EDD" w:rsidRPr="003F423D">
              <w:rPr>
                <w:rStyle w:val="Hyperlink"/>
                <w:noProof/>
              </w:rPr>
              <w:t>3.2.4</w:t>
            </w:r>
            <w:r w:rsidR="004F4EDD">
              <w:rPr>
                <w:rFonts w:asciiTheme="minorHAnsi" w:eastAsiaTheme="minorEastAsia" w:hAnsiTheme="minorHAnsi"/>
                <w:noProof/>
                <w:sz w:val="22"/>
                <w:lang w:eastAsia="en-AU"/>
              </w:rPr>
              <w:tab/>
            </w:r>
            <w:r w:rsidR="004F4EDD" w:rsidRPr="003F423D">
              <w:rPr>
                <w:rStyle w:val="Hyperlink"/>
                <w:noProof/>
              </w:rPr>
              <w:t>Clinical efficacy and safety of ezetimibe as monotherapy and in combination with a statin</w:t>
            </w:r>
            <w:r w:rsidR="004F4EDD">
              <w:rPr>
                <w:noProof/>
                <w:webHidden/>
              </w:rPr>
              <w:tab/>
            </w:r>
            <w:r w:rsidR="004F4EDD">
              <w:rPr>
                <w:noProof/>
                <w:webHidden/>
              </w:rPr>
              <w:fldChar w:fldCharType="begin"/>
            </w:r>
            <w:r w:rsidR="004F4EDD">
              <w:rPr>
                <w:noProof/>
                <w:webHidden/>
              </w:rPr>
              <w:instrText xml:space="preserve"> PAGEREF _Toc500510250 \h </w:instrText>
            </w:r>
            <w:r w:rsidR="004F4EDD">
              <w:rPr>
                <w:noProof/>
                <w:webHidden/>
              </w:rPr>
            </w:r>
            <w:r w:rsidR="004F4EDD">
              <w:rPr>
                <w:noProof/>
                <w:webHidden/>
              </w:rPr>
              <w:fldChar w:fldCharType="separate"/>
            </w:r>
            <w:r w:rsidR="00C605C8">
              <w:rPr>
                <w:noProof/>
                <w:webHidden/>
              </w:rPr>
              <w:t>67</w:t>
            </w:r>
            <w:r w:rsidR="004F4EDD">
              <w:rPr>
                <w:noProof/>
                <w:webHidden/>
              </w:rPr>
              <w:fldChar w:fldCharType="end"/>
            </w:r>
          </w:hyperlink>
        </w:p>
        <w:p w14:paraId="5E603EDC"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51" w:history="1">
            <w:r w:rsidR="004F4EDD" w:rsidRPr="003F423D">
              <w:rPr>
                <w:rStyle w:val="Hyperlink"/>
                <w:noProof/>
              </w:rPr>
              <w:t>3.2.5</w:t>
            </w:r>
            <w:r w:rsidR="004F4EDD">
              <w:rPr>
                <w:rFonts w:asciiTheme="minorHAnsi" w:eastAsiaTheme="minorEastAsia" w:hAnsiTheme="minorHAnsi"/>
                <w:noProof/>
                <w:sz w:val="22"/>
                <w:lang w:eastAsia="en-AU"/>
              </w:rPr>
              <w:tab/>
            </w:r>
            <w:r w:rsidR="004F4EDD" w:rsidRPr="003F423D">
              <w:rPr>
                <w:rStyle w:val="Hyperlink"/>
                <w:noProof/>
              </w:rPr>
              <w:t>Applicability issues</w:t>
            </w:r>
            <w:r w:rsidR="004F4EDD">
              <w:rPr>
                <w:noProof/>
                <w:webHidden/>
              </w:rPr>
              <w:tab/>
            </w:r>
            <w:r w:rsidR="004F4EDD">
              <w:rPr>
                <w:noProof/>
                <w:webHidden/>
              </w:rPr>
              <w:fldChar w:fldCharType="begin"/>
            </w:r>
            <w:r w:rsidR="004F4EDD">
              <w:rPr>
                <w:noProof/>
                <w:webHidden/>
              </w:rPr>
              <w:instrText xml:space="preserve"> PAGEREF _Toc500510251 \h </w:instrText>
            </w:r>
            <w:r w:rsidR="004F4EDD">
              <w:rPr>
                <w:noProof/>
                <w:webHidden/>
              </w:rPr>
            </w:r>
            <w:r w:rsidR="004F4EDD">
              <w:rPr>
                <w:noProof/>
                <w:webHidden/>
              </w:rPr>
              <w:fldChar w:fldCharType="separate"/>
            </w:r>
            <w:r w:rsidR="00C605C8">
              <w:rPr>
                <w:noProof/>
                <w:webHidden/>
              </w:rPr>
              <w:t>68</w:t>
            </w:r>
            <w:r w:rsidR="004F4EDD">
              <w:rPr>
                <w:noProof/>
                <w:webHidden/>
              </w:rPr>
              <w:fldChar w:fldCharType="end"/>
            </w:r>
          </w:hyperlink>
        </w:p>
        <w:p w14:paraId="2D586F5D"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52" w:history="1">
            <w:r w:rsidR="004F4EDD" w:rsidRPr="003F423D">
              <w:rPr>
                <w:rStyle w:val="Hyperlink"/>
                <w:noProof/>
              </w:rPr>
              <w:t>3.3</w:t>
            </w:r>
            <w:r w:rsidR="004F4EDD">
              <w:rPr>
                <w:rFonts w:asciiTheme="minorHAnsi" w:eastAsiaTheme="minorEastAsia" w:hAnsiTheme="minorHAnsi"/>
                <w:noProof/>
                <w:sz w:val="22"/>
                <w:lang w:eastAsia="en-AU"/>
              </w:rPr>
              <w:tab/>
            </w:r>
            <w:r w:rsidR="004F4EDD" w:rsidRPr="003F423D">
              <w:rPr>
                <w:rStyle w:val="Hyperlink"/>
                <w:noProof/>
              </w:rPr>
              <w:t>Economic evaluation of ezetimibe</w:t>
            </w:r>
            <w:r w:rsidR="004F4EDD">
              <w:rPr>
                <w:noProof/>
                <w:webHidden/>
              </w:rPr>
              <w:tab/>
            </w:r>
            <w:r w:rsidR="004F4EDD">
              <w:rPr>
                <w:noProof/>
                <w:webHidden/>
              </w:rPr>
              <w:fldChar w:fldCharType="begin"/>
            </w:r>
            <w:r w:rsidR="004F4EDD">
              <w:rPr>
                <w:noProof/>
                <w:webHidden/>
              </w:rPr>
              <w:instrText xml:space="preserve"> PAGEREF _Toc500510252 \h </w:instrText>
            </w:r>
            <w:r w:rsidR="004F4EDD">
              <w:rPr>
                <w:noProof/>
                <w:webHidden/>
              </w:rPr>
            </w:r>
            <w:r w:rsidR="004F4EDD">
              <w:rPr>
                <w:noProof/>
                <w:webHidden/>
              </w:rPr>
              <w:fldChar w:fldCharType="separate"/>
            </w:r>
            <w:r w:rsidR="00C605C8">
              <w:rPr>
                <w:noProof/>
                <w:webHidden/>
              </w:rPr>
              <w:t>72</w:t>
            </w:r>
            <w:r w:rsidR="004F4EDD">
              <w:rPr>
                <w:noProof/>
                <w:webHidden/>
              </w:rPr>
              <w:fldChar w:fldCharType="end"/>
            </w:r>
          </w:hyperlink>
        </w:p>
        <w:p w14:paraId="34B51CC6" w14:textId="77777777" w:rsidR="004F4EDD" w:rsidRDefault="003435B0">
          <w:pPr>
            <w:pStyle w:val="TOC2"/>
            <w:tabs>
              <w:tab w:val="left" w:pos="880"/>
              <w:tab w:val="right" w:leader="dot" w:pos="8296"/>
            </w:tabs>
            <w:rPr>
              <w:rFonts w:asciiTheme="minorHAnsi" w:eastAsiaTheme="minorEastAsia" w:hAnsiTheme="minorHAnsi"/>
              <w:noProof/>
              <w:sz w:val="22"/>
              <w:lang w:eastAsia="en-AU"/>
            </w:rPr>
          </w:pPr>
          <w:hyperlink w:anchor="_Toc500510253" w:history="1">
            <w:r w:rsidR="004F4EDD" w:rsidRPr="003F423D">
              <w:rPr>
                <w:rStyle w:val="Hyperlink"/>
                <w:noProof/>
              </w:rPr>
              <w:t>3.4</w:t>
            </w:r>
            <w:r w:rsidR="004F4EDD">
              <w:rPr>
                <w:rFonts w:asciiTheme="minorHAnsi" w:eastAsiaTheme="minorEastAsia" w:hAnsiTheme="minorHAnsi"/>
                <w:noProof/>
                <w:sz w:val="22"/>
                <w:lang w:eastAsia="en-AU"/>
              </w:rPr>
              <w:tab/>
            </w:r>
            <w:r w:rsidR="004F4EDD" w:rsidRPr="003F423D">
              <w:rPr>
                <w:rStyle w:val="Hyperlink"/>
                <w:noProof/>
              </w:rPr>
              <w:t>Key issues raised by stakeholders on TOR 3</w:t>
            </w:r>
            <w:r w:rsidR="004F4EDD">
              <w:rPr>
                <w:noProof/>
                <w:webHidden/>
              </w:rPr>
              <w:tab/>
            </w:r>
            <w:r w:rsidR="004F4EDD">
              <w:rPr>
                <w:noProof/>
                <w:webHidden/>
              </w:rPr>
              <w:fldChar w:fldCharType="begin"/>
            </w:r>
            <w:r w:rsidR="004F4EDD">
              <w:rPr>
                <w:noProof/>
                <w:webHidden/>
              </w:rPr>
              <w:instrText xml:space="preserve"> PAGEREF _Toc500510253 \h </w:instrText>
            </w:r>
            <w:r w:rsidR="004F4EDD">
              <w:rPr>
                <w:noProof/>
                <w:webHidden/>
              </w:rPr>
            </w:r>
            <w:r w:rsidR="004F4EDD">
              <w:rPr>
                <w:noProof/>
                <w:webHidden/>
              </w:rPr>
              <w:fldChar w:fldCharType="separate"/>
            </w:r>
            <w:r w:rsidR="00C605C8">
              <w:rPr>
                <w:noProof/>
                <w:webHidden/>
              </w:rPr>
              <w:t>74</w:t>
            </w:r>
            <w:r w:rsidR="004F4EDD">
              <w:rPr>
                <w:noProof/>
                <w:webHidden/>
              </w:rPr>
              <w:fldChar w:fldCharType="end"/>
            </w:r>
          </w:hyperlink>
        </w:p>
        <w:p w14:paraId="231DB78A"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54" w:history="1">
            <w:r w:rsidR="004F4EDD" w:rsidRPr="003F423D">
              <w:rPr>
                <w:rStyle w:val="Hyperlink"/>
                <w:noProof/>
              </w:rPr>
              <w:t>3.4.1</w:t>
            </w:r>
            <w:r w:rsidR="004F4EDD">
              <w:rPr>
                <w:rFonts w:asciiTheme="minorHAnsi" w:eastAsiaTheme="minorEastAsia" w:hAnsiTheme="minorHAnsi"/>
                <w:noProof/>
                <w:sz w:val="22"/>
                <w:lang w:eastAsia="en-AU"/>
              </w:rPr>
              <w:tab/>
            </w:r>
            <w:r w:rsidR="004F4EDD" w:rsidRPr="003F423D">
              <w:rPr>
                <w:rStyle w:val="Hyperlink"/>
                <w:noProof/>
              </w:rPr>
              <w:t>Submissions to the Review</w:t>
            </w:r>
            <w:r w:rsidR="004F4EDD">
              <w:rPr>
                <w:noProof/>
                <w:webHidden/>
              </w:rPr>
              <w:tab/>
            </w:r>
            <w:r w:rsidR="004F4EDD">
              <w:rPr>
                <w:noProof/>
                <w:webHidden/>
              </w:rPr>
              <w:fldChar w:fldCharType="begin"/>
            </w:r>
            <w:r w:rsidR="004F4EDD">
              <w:rPr>
                <w:noProof/>
                <w:webHidden/>
              </w:rPr>
              <w:instrText xml:space="preserve"> PAGEREF _Toc500510254 \h </w:instrText>
            </w:r>
            <w:r w:rsidR="004F4EDD">
              <w:rPr>
                <w:noProof/>
                <w:webHidden/>
              </w:rPr>
            </w:r>
            <w:r w:rsidR="004F4EDD">
              <w:rPr>
                <w:noProof/>
                <w:webHidden/>
              </w:rPr>
              <w:fldChar w:fldCharType="separate"/>
            </w:r>
            <w:r w:rsidR="00C605C8">
              <w:rPr>
                <w:noProof/>
                <w:webHidden/>
              </w:rPr>
              <w:t>74</w:t>
            </w:r>
            <w:r w:rsidR="004F4EDD">
              <w:rPr>
                <w:noProof/>
                <w:webHidden/>
              </w:rPr>
              <w:fldChar w:fldCharType="end"/>
            </w:r>
          </w:hyperlink>
        </w:p>
        <w:p w14:paraId="4616FA48"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55" w:history="1">
            <w:r w:rsidR="004F4EDD" w:rsidRPr="003F423D">
              <w:rPr>
                <w:rStyle w:val="Hyperlink"/>
                <w:noProof/>
              </w:rPr>
              <w:t>3.4.2</w:t>
            </w:r>
            <w:r w:rsidR="004F4EDD">
              <w:rPr>
                <w:rFonts w:asciiTheme="minorHAnsi" w:eastAsiaTheme="minorEastAsia" w:hAnsiTheme="minorHAnsi"/>
                <w:noProof/>
                <w:sz w:val="22"/>
                <w:lang w:eastAsia="en-AU"/>
              </w:rPr>
              <w:tab/>
            </w:r>
            <w:r w:rsidR="004F4EDD" w:rsidRPr="003F423D">
              <w:rPr>
                <w:rStyle w:val="Hyperlink"/>
                <w:noProof/>
              </w:rPr>
              <w:t>Outcomes from the stakeholder forum</w:t>
            </w:r>
            <w:r w:rsidR="004F4EDD">
              <w:rPr>
                <w:noProof/>
                <w:webHidden/>
              </w:rPr>
              <w:tab/>
            </w:r>
            <w:r w:rsidR="004F4EDD">
              <w:rPr>
                <w:noProof/>
                <w:webHidden/>
              </w:rPr>
              <w:fldChar w:fldCharType="begin"/>
            </w:r>
            <w:r w:rsidR="004F4EDD">
              <w:rPr>
                <w:noProof/>
                <w:webHidden/>
              </w:rPr>
              <w:instrText xml:space="preserve"> PAGEREF _Toc500510255 \h </w:instrText>
            </w:r>
            <w:r w:rsidR="004F4EDD">
              <w:rPr>
                <w:noProof/>
                <w:webHidden/>
              </w:rPr>
            </w:r>
            <w:r w:rsidR="004F4EDD">
              <w:rPr>
                <w:noProof/>
                <w:webHidden/>
              </w:rPr>
              <w:fldChar w:fldCharType="separate"/>
            </w:r>
            <w:r w:rsidR="00C605C8">
              <w:rPr>
                <w:noProof/>
                <w:webHidden/>
              </w:rPr>
              <w:t>74</w:t>
            </w:r>
            <w:r w:rsidR="004F4EDD">
              <w:rPr>
                <w:noProof/>
                <w:webHidden/>
              </w:rPr>
              <w:fldChar w:fldCharType="end"/>
            </w:r>
          </w:hyperlink>
        </w:p>
        <w:p w14:paraId="7A8C6B21" w14:textId="77777777" w:rsidR="004F4EDD" w:rsidRDefault="003435B0">
          <w:pPr>
            <w:pStyle w:val="TOC3"/>
            <w:tabs>
              <w:tab w:val="left" w:pos="1320"/>
              <w:tab w:val="right" w:leader="dot" w:pos="8296"/>
            </w:tabs>
            <w:rPr>
              <w:rFonts w:asciiTheme="minorHAnsi" w:eastAsiaTheme="minorEastAsia" w:hAnsiTheme="minorHAnsi"/>
              <w:noProof/>
              <w:sz w:val="22"/>
              <w:lang w:eastAsia="en-AU"/>
            </w:rPr>
          </w:pPr>
          <w:hyperlink w:anchor="_Toc500510256" w:history="1">
            <w:r w:rsidR="004F4EDD" w:rsidRPr="003F423D">
              <w:rPr>
                <w:rStyle w:val="Hyperlink"/>
                <w:noProof/>
              </w:rPr>
              <w:t>3.4.3</w:t>
            </w:r>
            <w:r w:rsidR="004F4EDD">
              <w:rPr>
                <w:rFonts w:asciiTheme="minorHAnsi" w:eastAsiaTheme="minorEastAsia" w:hAnsiTheme="minorHAnsi"/>
                <w:noProof/>
                <w:sz w:val="22"/>
                <w:lang w:eastAsia="en-AU"/>
              </w:rPr>
              <w:tab/>
            </w:r>
            <w:r w:rsidR="004F4EDD" w:rsidRPr="003F423D">
              <w:rPr>
                <w:rStyle w:val="Hyperlink"/>
                <w:noProof/>
              </w:rPr>
              <w:t>Stakeholder submissions to the draft Report</w:t>
            </w:r>
            <w:r w:rsidR="004F4EDD">
              <w:rPr>
                <w:noProof/>
                <w:webHidden/>
              </w:rPr>
              <w:tab/>
            </w:r>
            <w:r w:rsidR="004F4EDD">
              <w:rPr>
                <w:noProof/>
                <w:webHidden/>
              </w:rPr>
              <w:fldChar w:fldCharType="begin"/>
            </w:r>
            <w:r w:rsidR="004F4EDD">
              <w:rPr>
                <w:noProof/>
                <w:webHidden/>
              </w:rPr>
              <w:instrText xml:space="preserve"> PAGEREF _Toc500510256 \h </w:instrText>
            </w:r>
            <w:r w:rsidR="004F4EDD">
              <w:rPr>
                <w:noProof/>
                <w:webHidden/>
              </w:rPr>
            </w:r>
            <w:r w:rsidR="004F4EDD">
              <w:rPr>
                <w:noProof/>
                <w:webHidden/>
              </w:rPr>
              <w:fldChar w:fldCharType="separate"/>
            </w:r>
            <w:r w:rsidR="00C605C8">
              <w:rPr>
                <w:noProof/>
                <w:webHidden/>
              </w:rPr>
              <w:t>75</w:t>
            </w:r>
            <w:r w:rsidR="004F4EDD">
              <w:rPr>
                <w:noProof/>
                <w:webHidden/>
              </w:rPr>
              <w:fldChar w:fldCharType="end"/>
            </w:r>
          </w:hyperlink>
        </w:p>
        <w:p w14:paraId="77F6BC0F" w14:textId="77777777" w:rsidR="004F4EDD" w:rsidRDefault="003435B0">
          <w:pPr>
            <w:pStyle w:val="TOC1"/>
            <w:tabs>
              <w:tab w:val="right" w:leader="dot" w:pos="8296"/>
            </w:tabs>
            <w:rPr>
              <w:rFonts w:asciiTheme="minorHAnsi" w:eastAsiaTheme="minorEastAsia" w:hAnsiTheme="minorHAnsi"/>
              <w:noProof/>
              <w:sz w:val="22"/>
              <w:lang w:eastAsia="en-AU"/>
            </w:rPr>
          </w:pPr>
          <w:hyperlink w:anchor="_Toc500510257" w:history="1">
            <w:r w:rsidR="004F4EDD" w:rsidRPr="003F423D">
              <w:rPr>
                <w:rStyle w:val="Hyperlink"/>
                <w:noProof/>
              </w:rPr>
              <w:t>List of Appendices</w:t>
            </w:r>
            <w:r w:rsidR="004F4EDD">
              <w:rPr>
                <w:noProof/>
                <w:webHidden/>
              </w:rPr>
              <w:tab/>
            </w:r>
            <w:r w:rsidR="004F4EDD">
              <w:rPr>
                <w:noProof/>
                <w:webHidden/>
              </w:rPr>
              <w:fldChar w:fldCharType="begin"/>
            </w:r>
            <w:r w:rsidR="004F4EDD">
              <w:rPr>
                <w:noProof/>
                <w:webHidden/>
              </w:rPr>
              <w:instrText xml:space="preserve"> PAGEREF _Toc500510257 \h </w:instrText>
            </w:r>
            <w:r w:rsidR="004F4EDD">
              <w:rPr>
                <w:noProof/>
                <w:webHidden/>
              </w:rPr>
            </w:r>
            <w:r w:rsidR="004F4EDD">
              <w:rPr>
                <w:noProof/>
                <w:webHidden/>
              </w:rPr>
              <w:fldChar w:fldCharType="separate"/>
            </w:r>
            <w:r w:rsidR="00C605C8">
              <w:rPr>
                <w:noProof/>
                <w:webHidden/>
              </w:rPr>
              <w:t>77</w:t>
            </w:r>
            <w:r w:rsidR="004F4EDD">
              <w:rPr>
                <w:noProof/>
                <w:webHidden/>
              </w:rPr>
              <w:fldChar w:fldCharType="end"/>
            </w:r>
          </w:hyperlink>
        </w:p>
        <w:p w14:paraId="4F997B04"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258" w:history="1">
            <w:r w:rsidR="004F4EDD" w:rsidRPr="003F423D">
              <w:rPr>
                <w:rStyle w:val="Hyperlink"/>
                <w:noProof/>
              </w:rPr>
              <w:t>Appendix A – History of PBS listings</w:t>
            </w:r>
            <w:r w:rsidR="004F4EDD">
              <w:rPr>
                <w:noProof/>
                <w:webHidden/>
              </w:rPr>
              <w:tab/>
            </w:r>
            <w:r w:rsidR="004F4EDD">
              <w:rPr>
                <w:noProof/>
                <w:webHidden/>
              </w:rPr>
              <w:fldChar w:fldCharType="begin"/>
            </w:r>
            <w:r w:rsidR="004F4EDD">
              <w:rPr>
                <w:noProof/>
                <w:webHidden/>
              </w:rPr>
              <w:instrText xml:space="preserve"> PAGEREF _Toc500510258 \h </w:instrText>
            </w:r>
            <w:r w:rsidR="004F4EDD">
              <w:rPr>
                <w:noProof/>
                <w:webHidden/>
              </w:rPr>
            </w:r>
            <w:r w:rsidR="004F4EDD">
              <w:rPr>
                <w:noProof/>
                <w:webHidden/>
              </w:rPr>
              <w:fldChar w:fldCharType="separate"/>
            </w:r>
            <w:r w:rsidR="00C605C8">
              <w:rPr>
                <w:noProof/>
                <w:webHidden/>
              </w:rPr>
              <w:t>77</w:t>
            </w:r>
            <w:r w:rsidR="004F4EDD">
              <w:rPr>
                <w:noProof/>
                <w:webHidden/>
              </w:rPr>
              <w:fldChar w:fldCharType="end"/>
            </w:r>
          </w:hyperlink>
        </w:p>
        <w:p w14:paraId="4E113420"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259" w:history="1">
            <w:r w:rsidR="004F4EDD" w:rsidRPr="003F423D">
              <w:rPr>
                <w:rStyle w:val="Hyperlink"/>
                <w:noProof/>
              </w:rPr>
              <w:t>Appendix B – PBS ezetimibe restrictions</w:t>
            </w:r>
            <w:r w:rsidR="004F4EDD">
              <w:rPr>
                <w:noProof/>
                <w:webHidden/>
              </w:rPr>
              <w:tab/>
            </w:r>
            <w:r w:rsidR="004F4EDD">
              <w:rPr>
                <w:noProof/>
                <w:webHidden/>
              </w:rPr>
              <w:fldChar w:fldCharType="begin"/>
            </w:r>
            <w:r w:rsidR="004F4EDD">
              <w:rPr>
                <w:noProof/>
                <w:webHidden/>
              </w:rPr>
              <w:instrText xml:space="preserve"> PAGEREF _Toc500510259 \h </w:instrText>
            </w:r>
            <w:r w:rsidR="004F4EDD">
              <w:rPr>
                <w:noProof/>
                <w:webHidden/>
              </w:rPr>
            </w:r>
            <w:r w:rsidR="004F4EDD">
              <w:rPr>
                <w:noProof/>
                <w:webHidden/>
              </w:rPr>
              <w:fldChar w:fldCharType="separate"/>
            </w:r>
            <w:r w:rsidR="00C605C8">
              <w:rPr>
                <w:noProof/>
                <w:webHidden/>
              </w:rPr>
              <w:t>77</w:t>
            </w:r>
            <w:r w:rsidR="004F4EDD">
              <w:rPr>
                <w:noProof/>
                <w:webHidden/>
              </w:rPr>
              <w:fldChar w:fldCharType="end"/>
            </w:r>
          </w:hyperlink>
        </w:p>
        <w:p w14:paraId="05098A24"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260" w:history="1">
            <w:r w:rsidR="004F4EDD" w:rsidRPr="003F423D">
              <w:rPr>
                <w:rStyle w:val="Hyperlink"/>
                <w:noProof/>
              </w:rPr>
              <w:t>Appendix C – Key dates</w:t>
            </w:r>
            <w:r w:rsidR="004F4EDD">
              <w:rPr>
                <w:noProof/>
                <w:webHidden/>
              </w:rPr>
              <w:tab/>
            </w:r>
            <w:r w:rsidR="004F4EDD">
              <w:rPr>
                <w:noProof/>
                <w:webHidden/>
              </w:rPr>
              <w:fldChar w:fldCharType="begin"/>
            </w:r>
            <w:r w:rsidR="004F4EDD">
              <w:rPr>
                <w:noProof/>
                <w:webHidden/>
              </w:rPr>
              <w:instrText xml:space="preserve"> PAGEREF _Toc500510260 \h </w:instrText>
            </w:r>
            <w:r w:rsidR="004F4EDD">
              <w:rPr>
                <w:noProof/>
                <w:webHidden/>
              </w:rPr>
            </w:r>
            <w:r w:rsidR="004F4EDD">
              <w:rPr>
                <w:noProof/>
                <w:webHidden/>
              </w:rPr>
              <w:fldChar w:fldCharType="separate"/>
            </w:r>
            <w:r w:rsidR="00C605C8">
              <w:rPr>
                <w:noProof/>
                <w:webHidden/>
              </w:rPr>
              <w:t>77</w:t>
            </w:r>
            <w:r w:rsidR="004F4EDD">
              <w:rPr>
                <w:noProof/>
                <w:webHidden/>
              </w:rPr>
              <w:fldChar w:fldCharType="end"/>
            </w:r>
          </w:hyperlink>
        </w:p>
        <w:p w14:paraId="5A054ABD"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261" w:history="1">
            <w:r w:rsidR="004F4EDD" w:rsidRPr="003F423D">
              <w:rPr>
                <w:rStyle w:val="Hyperlink"/>
                <w:noProof/>
              </w:rPr>
              <w:t>Appendix D – Reference Group membership</w:t>
            </w:r>
            <w:r w:rsidR="004F4EDD">
              <w:rPr>
                <w:noProof/>
                <w:webHidden/>
              </w:rPr>
              <w:tab/>
            </w:r>
            <w:r w:rsidR="004F4EDD">
              <w:rPr>
                <w:noProof/>
                <w:webHidden/>
              </w:rPr>
              <w:fldChar w:fldCharType="begin"/>
            </w:r>
            <w:r w:rsidR="004F4EDD">
              <w:rPr>
                <w:noProof/>
                <w:webHidden/>
              </w:rPr>
              <w:instrText xml:space="preserve"> PAGEREF _Toc500510261 \h </w:instrText>
            </w:r>
            <w:r w:rsidR="004F4EDD">
              <w:rPr>
                <w:noProof/>
                <w:webHidden/>
              </w:rPr>
            </w:r>
            <w:r w:rsidR="004F4EDD">
              <w:rPr>
                <w:noProof/>
                <w:webHidden/>
              </w:rPr>
              <w:fldChar w:fldCharType="separate"/>
            </w:r>
            <w:r w:rsidR="00C605C8">
              <w:rPr>
                <w:noProof/>
                <w:webHidden/>
              </w:rPr>
              <w:t>77</w:t>
            </w:r>
            <w:r w:rsidR="004F4EDD">
              <w:rPr>
                <w:noProof/>
                <w:webHidden/>
              </w:rPr>
              <w:fldChar w:fldCharType="end"/>
            </w:r>
          </w:hyperlink>
        </w:p>
        <w:p w14:paraId="18110F53"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262" w:history="1">
            <w:r w:rsidR="004F4EDD" w:rsidRPr="003F423D">
              <w:rPr>
                <w:rStyle w:val="Hyperlink"/>
                <w:noProof/>
              </w:rPr>
              <w:t>Appendix E – Analysis of Utilisation Data</w:t>
            </w:r>
            <w:r w:rsidR="004F4EDD">
              <w:rPr>
                <w:noProof/>
                <w:webHidden/>
              </w:rPr>
              <w:tab/>
            </w:r>
            <w:r w:rsidR="004F4EDD">
              <w:rPr>
                <w:noProof/>
                <w:webHidden/>
              </w:rPr>
              <w:fldChar w:fldCharType="begin"/>
            </w:r>
            <w:r w:rsidR="004F4EDD">
              <w:rPr>
                <w:noProof/>
                <w:webHidden/>
              </w:rPr>
              <w:instrText xml:space="preserve"> PAGEREF _Toc500510262 \h </w:instrText>
            </w:r>
            <w:r w:rsidR="004F4EDD">
              <w:rPr>
                <w:noProof/>
                <w:webHidden/>
              </w:rPr>
            </w:r>
            <w:r w:rsidR="004F4EDD">
              <w:rPr>
                <w:noProof/>
                <w:webHidden/>
              </w:rPr>
              <w:fldChar w:fldCharType="separate"/>
            </w:r>
            <w:r w:rsidR="00C605C8">
              <w:rPr>
                <w:noProof/>
                <w:webHidden/>
              </w:rPr>
              <w:t>77</w:t>
            </w:r>
            <w:r w:rsidR="004F4EDD">
              <w:rPr>
                <w:noProof/>
                <w:webHidden/>
              </w:rPr>
              <w:fldChar w:fldCharType="end"/>
            </w:r>
          </w:hyperlink>
        </w:p>
        <w:p w14:paraId="6185B4BF"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263" w:history="1">
            <w:r w:rsidR="004F4EDD" w:rsidRPr="003F423D">
              <w:rPr>
                <w:rStyle w:val="Hyperlink"/>
                <w:noProof/>
              </w:rPr>
              <w:t>Appendix F – Stakeholder Forum Outcome Statement</w:t>
            </w:r>
            <w:r w:rsidR="004F4EDD">
              <w:rPr>
                <w:noProof/>
                <w:webHidden/>
              </w:rPr>
              <w:tab/>
            </w:r>
            <w:r w:rsidR="004F4EDD">
              <w:rPr>
                <w:noProof/>
                <w:webHidden/>
              </w:rPr>
              <w:fldChar w:fldCharType="begin"/>
            </w:r>
            <w:r w:rsidR="004F4EDD">
              <w:rPr>
                <w:noProof/>
                <w:webHidden/>
              </w:rPr>
              <w:instrText xml:space="preserve"> PAGEREF _Toc500510263 \h </w:instrText>
            </w:r>
            <w:r w:rsidR="004F4EDD">
              <w:rPr>
                <w:noProof/>
                <w:webHidden/>
              </w:rPr>
            </w:r>
            <w:r w:rsidR="004F4EDD">
              <w:rPr>
                <w:noProof/>
                <w:webHidden/>
              </w:rPr>
              <w:fldChar w:fldCharType="separate"/>
            </w:r>
            <w:r w:rsidR="00C605C8">
              <w:rPr>
                <w:noProof/>
                <w:webHidden/>
              </w:rPr>
              <w:t>77</w:t>
            </w:r>
            <w:r w:rsidR="004F4EDD">
              <w:rPr>
                <w:noProof/>
                <w:webHidden/>
              </w:rPr>
              <w:fldChar w:fldCharType="end"/>
            </w:r>
          </w:hyperlink>
        </w:p>
        <w:p w14:paraId="6173FC2B"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264" w:history="1">
            <w:r w:rsidR="004F4EDD" w:rsidRPr="003F423D">
              <w:rPr>
                <w:rStyle w:val="Hyperlink"/>
                <w:noProof/>
              </w:rPr>
              <w:t>Appendix G – Review of clinical guidelines</w:t>
            </w:r>
            <w:r w:rsidR="004F4EDD">
              <w:rPr>
                <w:noProof/>
                <w:webHidden/>
              </w:rPr>
              <w:tab/>
            </w:r>
            <w:r w:rsidR="004F4EDD">
              <w:rPr>
                <w:noProof/>
                <w:webHidden/>
              </w:rPr>
              <w:fldChar w:fldCharType="begin"/>
            </w:r>
            <w:r w:rsidR="004F4EDD">
              <w:rPr>
                <w:noProof/>
                <w:webHidden/>
              </w:rPr>
              <w:instrText xml:space="preserve"> PAGEREF _Toc500510264 \h </w:instrText>
            </w:r>
            <w:r w:rsidR="004F4EDD">
              <w:rPr>
                <w:noProof/>
                <w:webHidden/>
              </w:rPr>
            </w:r>
            <w:r w:rsidR="004F4EDD">
              <w:rPr>
                <w:noProof/>
                <w:webHidden/>
              </w:rPr>
              <w:fldChar w:fldCharType="separate"/>
            </w:r>
            <w:r w:rsidR="00C605C8">
              <w:rPr>
                <w:noProof/>
                <w:webHidden/>
              </w:rPr>
              <w:t>77</w:t>
            </w:r>
            <w:r w:rsidR="004F4EDD">
              <w:rPr>
                <w:noProof/>
                <w:webHidden/>
              </w:rPr>
              <w:fldChar w:fldCharType="end"/>
            </w:r>
          </w:hyperlink>
        </w:p>
        <w:p w14:paraId="399DF655"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265" w:history="1">
            <w:r w:rsidR="004F4EDD" w:rsidRPr="003F423D">
              <w:rPr>
                <w:rStyle w:val="Hyperlink"/>
                <w:noProof/>
              </w:rPr>
              <w:t>Appendix H – Public consultation</w:t>
            </w:r>
            <w:r w:rsidR="004F4EDD">
              <w:rPr>
                <w:noProof/>
                <w:webHidden/>
              </w:rPr>
              <w:tab/>
            </w:r>
            <w:r w:rsidR="004F4EDD">
              <w:rPr>
                <w:noProof/>
                <w:webHidden/>
              </w:rPr>
              <w:fldChar w:fldCharType="begin"/>
            </w:r>
            <w:r w:rsidR="004F4EDD">
              <w:rPr>
                <w:noProof/>
                <w:webHidden/>
              </w:rPr>
              <w:instrText xml:space="preserve"> PAGEREF _Toc500510265 \h </w:instrText>
            </w:r>
            <w:r w:rsidR="004F4EDD">
              <w:rPr>
                <w:noProof/>
                <w:webHidden/>
              </w:rPr>
            </w:r>
            <w:r w:rsidR="004F4EDD">
              <w:rPr>
                <w:noProof/>
                <w:webHidden/>
              </w:rPr>
              <w:fldChar w:fldCharType="separate"/>
            </w:r>
            <w:r w:rsidR="00C605C8">
              <w:rPr>
                <w:noProof/>
                <w:webHidden/>
              </w:rPr>
              <w:t>77</w:t>
            </w:r>
            <w:r w:rsidR="004F4EDD">
              <w:rPr>
                <w:noProof/>
                <w:webHidden/>
              </w:rPr>
              <w:fldChar w:fldCharType="end"/>
            </w:r>
          </w:hyperlink>
        </w:p>
        <w:p w14:paraId="7BFFE641"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266" w:history="1">
            <w:r w:rsidR="004F4EDD" w:rsidRPr="003F423D">
              <w:rPr>
                <w:rStyle w:val="Hyperlink"/>
                <w:noProof/>
              </w:rPr>
              <w:t>Appendix I – Systematic Literature Review</w:t>
            </w:r>
            <w:r w:rsidR="004F4EDD">
              <w:rPr>
                <w:noProof/>
                <w:webHidden/>
              </w:rPr>
              <w:tab/>
            </w:r>
            <w:r w:rsidR="004F4EDD">
              <w:rPr>
                <w:noProof/>
                <w:webHidden/>
              </w:rPr>
              <w:fldChar w:fldCharType="begin"/>
            </w:r>
            <w:r w:rsidR="004F4EDD">
              <w:rPr>
                <w:noProof/>
                <w:webHidden/>
              </w:rPr>
              <w:instrText xml:space="preserve"> PAGEREF _Toc500510266 \h </w:instrText>
            </w:r>
            <w:r w:rsidR="004F4EDD">
              <w:rPr>
                <w:noProof/>
                <w:webHidden/>
              </w:rPr>
            </w:r>
            <w:r w:rsidR="004F4EDD">
              <w:rPr>
                <w:noProof/>
                <w:webHidden/>
              </w:rPr>
              <w:fldChar w:fldCharType="separate"/>
            </w:r>
            <w:r w:rsidR="00C605C8">
              <w:rPr>
                <w:noProof/>
                <w:webHidden/>
              </w:rPr>
              <w:t>77</w:t>
            </w:r>
            <w:r w:rsidR="004F4EDD">
              <w:rPr>
                <w:noProof/>
                <w:webHidden/>
              </w:rPr>
              <w:fldChar w:fldCharType="end"/>
            </w:r>
          </w:hyperlink>
        </w:p>
        <w:p w14:paraId="2331417A" w14:textId="77777777" w:rsidR="004F4EDD" w:rsidRDefault="003435B0">
          <w:pPr>
            <w:pStyle w:val="TOC2"/>
            <w:tabs>
              <w:tab w:val="right" w:leader="dot" w:pos="8296"/>
            </w:tabs>
            <w:rPr>
              <w:rFonts w:asciiTheme="minorHAnsi" w:eastAsiaTheme="minorEastAsia" w:hAnsiTheme="minorHAnsi"/>
              <w:noProof/>
              <w:sz w:val="22"/>
              <w:lang w:eastAsia="en-AU"/>
            </w:rPr>
          </w:pPr>
          <w:hyperlink w:anchor="_Toc500510267" w:history="1">
            <w:r w:rsidR="004F4EDD" w:rsidRPr="003F423D">
              <w:rPr>
                <w:rStyle w:val="Hyperlink"/>
                <w:noProof/>
              </w:rPr>
              <w:t>Appendix J – Modelled Economic Evaluations</w:t>
            </w:r>
            <w:r w:rsidR="004F4EDD">
              <w:rPr>
                <w:noProof/>
                <w:webHidden/>
              </w:rPr>
              <w:tab/>
            </w:r>
            <w:r w:rsidR="004F4EDD">
              <w:rPr>
                <w:noProof/>
                <w:webHidden/>
              </w:rPr>
              <w:fldChar w:fldCharType="begin"/>
            </w:r>
            <w:r w:rsidR="004F4EDD">
              <w:rPr>
                <w:noProof/>
                <w:webHidden/>
              </w:rPr>
              <w:instrText xml:space="preserve"> PAGEREF _Toc500510267 \h </w:instrText>
            </w:r>
            <w:r w:rsidR="004F4EDD">
              <w:rPr>
                <w:noProof/>
                <w:webHidden/>
              </w:rPr>
            </w:r>
            <w:r w:rsidR="004F4EDD">
              <w:rPr>
                <w:noProof/>
                <w:webHidden/>
              </w:rPr>
              <w:fldChar w:fldCharType="separate"/>
            </w:r>
            <w:r w:rsidR="00C605C8">
              <w:rPr>
                <w:noProof/>
                <w:webHidden/>
              </w:rPr>
              <w:t>77</w:t>
            </w:r>
            <w:r w:rsidR="004F4EDD">
              <w:rPr>
                <w:noProof/>
                <w:webHidden/>
              </w:rPr>
              <w:fldChar w:fldCharType="end"/>
            </w:r>
          </w:hyperlink>
        </w:p>
        <w:p w14:paraId="33A9B485" w14:textId="77777777" w:rsidR="004F4EDD" w:rsidRDefault="003435B0">
          <w:pPr>
            <w:pStyle w:val="TOC1"/>
            <w:tabs>
              <w:tab w:val="right" w:leader="dot" w:pos="8296"/>
            </w:tabs>
            <w:rPr>
              <w:rFonts w:asciiTheme="minorHAnsi" w:eastAsiaTheme="minorEastAsia" w:hAnsiTheme="minorHAnsi"/>
              <w:noProof/>
              <w:sz w:val="22"/>
              <w:lang w:eastAsia="en-AU"/>
            </w:rPr>
          </w:pPr>
          <w:hyperlink w:anchor="_Toc500510268" w:history="1">
            <w:r w:rsidR="004F4EDD" w:rsidRPr="003F423D">
              <w:rPr>
                <w:rStyle w:val="Hyperlink"/>
                <w:noProof/>
              </w:rPr>
              <w:t>References</w:t>
            </w:r>
            <w:r w:rsidR="004F4EDD">
              <w:rPr>
                <w:noProof/>
                <w:webHidden/>
              </w:rPr>
              <w:tab/>
            </w:r>
            <w:r w:rsidR="004F4EDD">
              <w:rPr>
                <w:noProof/>
                <w:webHidden/>
              </w:rPr>
              <w:fldChar w:fldCharType="begin"/>
            </w:r>
            <w:r w:rsidR="004F4EDD">
              <w:rPr>
                <w:noProof/>
                <w:webHidden/>
              </w:rPr>
              <w:instrText xml:space="preserve"> PAGEREF _Toc500510268 \h </w:instrText>
            </w:r>
            <w:r w:rsidR="004F4EDD">
              <w:rPr>
                <w:noProof/>
                <w:webHidden/>
              </w:rPr>
            </w:r>
            <w:r w:rsidR="004F4EDD">
              <w:rPr>
                <w:noProof/>
                <w:webHidden/>
              </w:rPr>
              <w:fldChar w:fldCharType="separate"/>
            </w:r>
            <w:r w:rsidR="00C605C8">
              <w:rPr>
                <w:noProof/>
                <w:webHidden/>
              </w:rPr>
              <w:t>78</w:t>
            </w:r>
            <w:r w:rsidR="004F4EDD">
              <w:rPr>
                <w:noProof/>
                <w:webHidden/>
              </w:rPr>
              <w:fldChar w:fldCharType="end"/>
            </w:r>
          </w:hyperlink>
        </w:p>
        <w:p w14:paraId="55FC3816" w14:textId="77777777" w:rsidR="008A37F9" w:rsidRDefault="008A37F9" w:rsidP="00514129">
          <w:r>
            <w:rPr>
              <w:b/>
              <w:bCs/>
              <w:noProof/>
            </w:rPr>
            <w:fldChar w:fldCharType="end"/>
          </w:r>
        </w:p>
      </w:sdtContent>
    </w:sdt>
    <w:p w14:paraId="480080E7" w14:textId="77777777" w:rsidR="0000686B" w:rsidRPr="004B11B2" w:rsidRDefault="0000686B" w:rsidP="00514129">
      <w:pPr>
        <w:rPr>
          <w:rFonts w:asciiTheme="majorHAnsi" w:eastAsiaTheme="majorEastAsia" w:hAnsiTheme="majorHAnsi" w:cstheme="majorBidi"/>
          <w:b/>
          <w:bCs/>
          <w:color w:val="365F91" w:themeColor="accent1" w:themeShade="BF"/>
          <w:sz w:val="28"/>
          <w:szCs w:val="28"/>
        </w:rPr>
      </w:pPr>
      <w:r w:rsidRPr="004B11B2">
        <w:rPr>
          <w:rFonts w:asciiTheme="majorHAnsi" w:hAnsiTheme="majorHAnsi"/>
        </w:rPr>
        <w:br w:type="page"/>
      </w:r>
    </w:p>
    <w:p w14:paraId="0804CFC6" w14:textId="77777777" w:rsidR="00B817F7" w:rsidRDefault="00B817F7" w:rsidP="00514129">
      <w:pPr>
        <w:pStyle w:val="Heading1"/>
      </w:pPr>
    </w:p>
    <w:p w14:paraId="565E00BF" w14:textId="77777777" w:rsidR="0000686B" w:rsidRPr="008370B4" w:rsidRDefault="0000686B" w:rsidP="00514129">
      <w:pPr>
        <w:pStyle w:val="Heading1"/>
      </w:pPr>
      <w:bookmarkStart w:id="14" w:name="_Toc500510183"/>
      <w:r w:rsidRPr="00920324">
        <w:t>Abbreviations</w:t>
      </w:r>
      <w:bookmarkEnd w:id="14"/>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4"/>
        <w:gridCol w:w="6460"/>
      </w:tblGrid>
      <w:tr w:rsidR="0000686B" w:rsidRPr="004B11B2" w14:paraId="483E3ACC" w14:textId="77777777" w:rsidTr="00351843">
        <w:trPr>
          <w:trHeight w:val="411"/>
          <w:tblHeader/>
        </w:trPr>
        <w:tc>
          <w:tcPr>
            <w:tcW w:w="1980" w:type="dxa"/>
            <w:shd w:val="clear" w:color="auto" w:fill="BFBFBF" w:themeFill="background1" w:themeFillShade="BF"/>
            <w:vAlign w:val="bottom"/>
          </w:tcPr>
          <w:p w14:paraId="6F4F8FA0" w14:textId="77777777" w:rsidR="0000686B" w:rsidRPr="00777386" w:rsidRDefault="0000686B" w:rsidP="00514129">
            <w:pPr>
              <w:spacing w:before="60" w:after="60" w:line="240" w:lineRule="auto"/>
              <w:rPr>
                <w:rFonts w:asciiTheme="minorHAnsi" w:hAnsiTheme="minorHAnsi" w:cs="Arial"/>
                <w:b/>
                <w:sz w:val="20"/>
                <w:szCs w:val="20"/>
              </w:rPr>
            </w:pPr>
            <w:r>
              <w:rPr>
                <w:rFonts w:asciiTheme="minorHAnsi" w:hAnsiTheme="minorHAnsi" w:cs="Arial"/>
                <w:b/>
                <w:sz w:val="20"/>
                <w:szCs w:val="20"/>
              </w:rPr>
              <w:t>Abbreviation</w:t>
            </w:r>
          </w:p>
        </w:tc>
        <w:tc>
          <w:tcPr>
            <w:tcW w:w="6660" w:type="dxa"/>
            <w:shd w:val="clear" w:color="auto" w:fill="BFBFBF" w:themeFill="background1" w:themeFillShade="BF"/>
            <w:vAlign w:val="bottom"/>
          </w:tcPr>
          <w:p w14:paraId="5A45F113" w14:textId="77777777" w:rsidR="0000686B" w:rsidRPr="00777386" w:rsidRDefault="0000686B" w:rsidP="00514129">
            <w:pPr>
              <w:spacing w:before="60" w:after="60" w:line="240" w:lineRule="auto"/>
              <w:rPr>
                <w:rFonts w:asciiTheme="minorHAnsi" w:hAnsiTheme="minorHAnsi" w:cs="Arial"/>
                <w:b/>
                <w:sz w:val="20"/>
                <w:szCs w:val="20"/>
              </w:rPr>
            </w:pPr>
            <w:r>
              <w:rPr>
                <w:rFonts w:asciiTheme="minorHAnsi" w:hAnsiTheme="minorHAnsi" w:cs="Arial"/>
                <w:b/>
                <w:sz w:val="20"/>
                <w:szCs w:val="20"/>
              </w:rPr>
              <w:t xml:space="preserve">Full Name / Wording </w:t>
            </w:r>
          </w:p>
        </w:tc>
      </w:tr>
      <w:tr w:rsidR="0000686B" w:rsidRPr="004B11B2" w14:paraId="791E3CED" w14:textId="77777777" w:rsidTr="00947FC1">
        <w:trPr>
          <w:trHeight w:val="170"/>
        </w:trPr>
        <w:tc>
          <w:tcPr>
            <w:tcW w:w="1980" w:type="dxa"/>
            <w:shd w:val="clear" w:color="auto" w:fill="auto"/>
            <w:vAlign w:val="bottom"/>
          </w:tcPr>
          <w:p w14:paraId="1662763C" w14:textId="77777777" w:rsidR="0000686B" w:rsidRPr="008370B4" w:rsidRDefault="0000686B" w:rsidP="00514129">
            <w:pPr>
              <w:spacing w:before="60" w:after="60" w:line="240" w:lineRule="auto"/>
              <w:rPr>
                <w:rFonts w:asciiTheme="minorHAnsi" w:hAnsiTheme="minorHAnsi" w:cs="Arial"/>
                <w:sz w:val="20"/>
                <w:szCs w:val="20"/>
              </w:rPr>
            </w:pPr>
            <w:r>
              <w:rPr>
                <w:rFonts w:asciiTheme="minorHAnsi" w:hAnsiTheme="minorHAnsi" w:cs="Arial"/>
                <w:sz w:val="20"/>
                <w:szCs w:val="20"/>
              </w:rPr>
              <w:t>ACC</w:t>
            </w:r>
          </w:p>
        </w:tc>
        <w:tc>
          <w:tcPr>
            <w:tcW w:w="6660" w:type="dxa"/>
            <w:shd w:val="clear" w:color="auto" w:fill="auto"/>
            <w:vAlign w:val="bottom"/>
          </w:tcPr>
          <w:p w14:paraId="5A5E9245"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American College of Cardiology</w:t>
            </w:r>
          </w:p>
        </w:tc>
      </w:tr>
      <w:tr w:rsidR="0000686B" w:rsidRPr="004B11B2" w14:paraId="1810F77B" w14:textId="77777777" w:rsidTr="00947FC1">
        <w:trPr>
          <w:trHeight w:val="170"/>
        </w:trPr>
        <w:tc>
          <w:tcPr>
            <w:tcW w:w="1980" w:type="dxa"/>
            <w:shd w:val="clear" w:color="auto" w:fill="auto"/>
            <w:vAlign w:val="bottom"/>
          </w:tcPr>
          <w:p w14:paraId="18144477"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AHA</w:t>
            </w:r>
          </w:p>
        </w:tc>
        <w:tc>
          <w:tcPr>
            <w:tcW w:w="6660" w:type="dxa"/>
            <w:shd w:val="clear" w:color="auto" w:fill="auto"/>
            <w:vAlign w:val="bottom"/>
          </w:tcPr>
          <w:p w14:paraId="5C934027"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American Heart Association</w:t>
            </w:r>
          </w:p>
        </w:tc>
      </w:tr>
      <w:tr w:rsidR="0000686B" w:rsidRPr="004B11B2" w14:paraId="0BFC6472" w14:textId="77777777" w:rsidTr="00947FC1">
        <w:trPr>
          <w:trHeight w:val="170"/>
        </w:trPr>
        <w:tc>
          <w:tcPr>
            <w:tcW w:w="1980" w:type="dxa"/>
            <w:shd w:val="clear" w:color="auto" w:fill="auto"/>
            <w:vAlign w:val="bottom"/>
          </w:tcPr>
          <w:p w14:paraId="5DF2DEF5"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ATC</w:t>
            </w:r>
          </w:p>
        </w:tc>
        <w:tc>
          <w:tcPr>
            <w:tcW w:w="6660" w:type="dxa"/>
            <w:shd w:val="clear" w:color="auto" w:fill="auto"/>
            <w:vAlign w:val="bottom"/>
          </w:tcPr>
          <w:p w14:paraId="49603C76"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Anatomical Therapeutic Chemical classification</w:t>
            </w:r>
          </w:p>
        </w:tc>
      </w:tr>
      <w:tr w:rsidR="00492F8A" w:rsidRPr="004B11B2" w14:paraId="7CE1CF20" w14:textId="77777777" w:rsidTr="00947FC1">
        <w:trPr>
          <w:trHeight w:val="170"/>
        </w:trPr>
        <w:tc>
          <w:tcPr>
            <w:tcW w:w="1980" w:type="dxa"/>
            <w:shd w:val="clear" w:color="auto" w:fill="auto"/>
            <w:vAlign w:val="bottom"/>
          </w:tcPr>
          <w:p w14:paraId="2238C7F0" w14:textId="6B175DCC" w:rsidR="00492F8A" w:rsidRDefault="00492F8A" w:rsidP="00514129">
            <w:pPr>
              <w:spacing w:before="60" w:after="60" w:line="240" w:lineRule="auto"/>
              <w:rPr>
                <w:rFonts w:asciiTheme="minorHAnsi" w:hAnsiTheme="minorHAnsi" w:cs="Arial"/>
                <w:sz w:val="20"/>
                <w:szCs w:val="20"/>
              </w:rPr>
            </w:pPr>
            <w:r>
              <w:rPr>
                <w:rFonts w:asciiTheme="minorHAnsi" w:hAnsiTheme="minorHAnsi" w:cs="Arial"/>
                <w:sz w:val="20"/>
                <w:szCs w:val="20"/>
              </w:rPr>
              <w:t>BEACH</w:t>
            </w:r>
          </w:p>
        </w:tc>
        <w:tc>
          <w:tcPr>
            <w:tcW w:w="6660" w:type="dxa"/>
            <w:shd w:val="clear" w:color="auto" w:fill="auto"/>
            <w:vAlign w:val="bottom"/>
          </w:tcPr>
          <w:p w14:paraId="775B192D" w14:textId="21399F72" w:rsidR="00492F8A" w:rsidRDefault="00492F8A" w:rsidP="00514129">
            <w:pPr>
              <w:spacing w:before="60" w:after="60" w:line="240" w:lineRule="auto"/>
              <w:rPr>
                <w:rFonts w:asciiTheme="minorHAnsi" w:hAnsiTheme="minorHAnsi" w:cs="Arial"/>
                <w:sz w:val="20"/>
                <w:szCs w:val="20"/>
              </w:rPr>
            </w:pPr>
            <w:r>
              <w:rPr>
                <w:rFonts w:asciiTheme="minorHAnsi" w:hAnsiTheme="minorHAnsi" w:cs="Arial"/>
                <w:sz w:val="20"/>
                <w:szCs w:val="20"/>
              </w:rPr>
              <w:t>Bettering the Evaluation and Care of Health</w:t>
            </w:r>
          </w:p>
        </w:tc>
      </w:tr>
      <w:tr w:rsidR="0000686B" w:rsidRPr="004B11B2" w14:paraId="361115CB" w14:textId="77777777" w:rsidTr="00947FC1">
        <w:trPr>
          <w:trHeight w:val="170"/>
        </w:trPr>
        <w:tc>
          <w:tcPr>
            <w:tcW w:w="1980" w:type="dxa"/>
            <w:shd w:val="clear" w:color="auto" w:fill="auto"/>
            <w:vAlign w:val="bottom"/>
          </w:tcPr>
          <w:p w14:paraId="6CA61A44"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BP</w:t>
            </w:r>
          </w:p>
        </w:tc>
        <w:tc>
          <w:tcPr>
            <w:tcW w:w="6660" w:type="dxa"/>
            <w:shd w:val="clear" w:color="auto" w:fill="auto"/>
            <w:vAlign w:val="bottom"/>
          </w:tcPr>
          <w:p w14:paraId="3B4A8D07" w14:textId="5755F681"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 xml:space="preserve">Blood </w:t>
            </w:r>
            <w:r w:rsidR="002451EA">
              <w:rPr>
                <w:rFonts w:asciiTheme="minorHAnsi" w:hAnsiTheme="minorHAnsi" w:cs="Arial"/>
                <w:sz w:val="20"/>
                <w:szCs w:val="20"/>
              </w:rPr>
              <w:t>p</w:t>
            </w:r>
            <w:r>
              <w:rPr>
                <w:rFonts w:asciiTheme="minorHAnsi" w:hAnsiTheme="minorHAnsi" w:cs="Arial"/>
                <w:sz w:val="20"/>
                <w:szCs w:val="20"/>
              </w:rPr>
              <w:t>ressure</w:t>
            </w:r>
          </w:p>
        </w:tc>
      </w:tr>
      <w:tr w:rsidR="00492F8A" w:rsidRPr="004B11B2" w14:paraId="2D9E8DCC" w14:textId="77777777" w:rsidTr="00947FC1">
        <w:trPr>
          <w:trHeight w:val="170"/>
        </w:trPr>
        <w:tc>
          <w:tcPr>
            <w:tcW w:w="1980" w:type="dxa"/>
            <w:shd w:val="clear" w:color="auto" w:fill="auto"/>
            <w:vAlign w:val="bottom"/>
          </w:tcPr>
          <w:p w14:paraId="3220E9AB" w14:textId="5B9E9808" w:rsidR="00492F8A" w:rsidRDefault="00492F8A" w:rsidP="00514129">
            <w:pPr>
              <w:spacing w:before="60" w:after="60" w:line="240" w:lineRule="auto"/>
              <w:rPr>
                <w:rFonts w:asciiTheme="minorHAnsi" w:hAnsiTheme="minorHAnsi" w:cs="Arial"/>
                <w:sz w:val="20"/>
                <w:szCs w:val="20"/>
              </w:rPr>
            </w:pPr>
            <w:r>
              <w:rPr>
                <w:rFonts w:asciiTheme="minorHAnsi" w:hAnsiTheme="minorHAnsi" w:cs="Arial"/>
                <w:sz w:val="20"/>
                <w:szCs w:val="20"/>
              </w:rPr>
              <w:t>CV</w:t>
            </w:r>
          </w:p>
        </w:tc>
        <w:tc>
          <w:tcPr>
            <w:tcW w:w="6660" w:type="dxa"/>
            <w:shd w:val="clear" w:color="auto" w:fill="auto"/>
            <w:vAlign w:val="bottom"/>
          </w:tcPr>
          <w:p w14:paraId="33B12328" w14:textId="669C9122" w:rsidR="00492F8A" w:rsidRDefault="00492F8A" w:rsidP="00514129">
            <w:pPr>
              <w:spacing w:before="60" w:after="60" w:line="240" w:lineRule="auto"/>
              <w:rPr>
                <w:rFonts w:asciiTheme="minorHAnsi" w:hAnsiTheme="minorHAnsi" w:cs="Arial"/>
                <w:sz w:val="20"/>
                <w:szCs w:val="20"/>
              </w:rPr>
            </w:pPr>
            <w:r>
              <w:rPr>
                <w:rFonts w:asciiTheme="minorHAnsi" w:hAnsiTheme="minorHAnsi" w:cs="Arial"/>
                <w:sz w:val="20"/>
                <w:szCs w:val="20"/>
              </w:rPr>
              <w:t>Cardiovascular</w:t>
            </w:r>
          </w:p>
        </w:tc>
      </w:tr>
      <w:tr w:rsidR="0000686B" w:rsidRPr="004B11B2" w14:paraId="14A54E90" w14:textId="77777777" w:rsidTr="00947FC1">
        <w:trPr>
          <w:trHeight w:val="170"/>
        </w:trPr>
        <w:tc>
          <w:tcPr>
            <w:tcW w:w="1980" w:type="dxa"/>
            <w:shd w:val="clear" w:color="auto" w:fill="auto"/>
            <w:vAlign w:val="bottom"/>
          </w:tcPr>
          <w:p w14:paraId="487DD4D4"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CVD</w:t>
            </w:r>
          </w:p>
        </w:tc>
        <w:tc>
          <w:tcPr>
            <w:tcW w:w="6660" w:type="dxa"/>
            <w:shd w:val="clear" w:color="auto" w:fill="auto"/>
            <w:vAlign w:val="bottom"/>
          </w:tcPr>
          <w:p w14:paraId="1E5A98D1"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Cardiovascular disease</w:t>
            </w:r>
          </w:p>
        </w:tc>
      </w:tr>
      <w:tr w:rsidR="0000686B" w:rsidRPr="004B11B2" w14:paraId="3888A50C" w14:textId="77777777" w:rsidTr="00947FC1">
        <w:trPr>
          <w:trHeight w:val="170"/>
        </w:trPr>
        <w:tc>
          <w:tcPr>
            <w:tcW w:w="1980" w:type="dxa"/>
            <w:shd w:val="clear" w:color="auto" w:fill="auto"/>
            <w:vAlign w:val="bottom"/>
          </w:tcPr>
          <w:p w14:paraId="24C3AC7A"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CPHR</w:t>
            </w:r>
          </w:p>
        </w:tc>
        <w:tc>
          <w:tcPr>
            <w:tcW w:w="6660" w:type="dxa"/>
            <w:shd w:val="clear" w:color="auto" w:fill="auto"/>
            <w:vAlign w:val="bottom"/>
          </w:tcPr>
          <w:p w14:paraId="01BC86B6"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Centre for Population Health Research Deakin University</w:t>
            </w:r>
          </w:p>
        </w:tc>
      </w:tr>
      <w:tr w:rsidR="0000686B" w:rsidRPr="004B11B2" w14:paraId="095F12FA" w14:textId="77777777" w:rsidTr="00947FC1">
        <w:trPr>
          <w:trHeight w:val="170"/>
        </w:trPr>
        <w:tc>
          <w:tcPr>
            <w:tcW w:w="1980" w:type="dxa"/>
            <w:shd w:val="clear" w:color="auto" w:fill="auto"/>
            <w:vAlign w:val="bottom"/>
          </w:tcPr>
          <w:p w14:paraId="6D30884A"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DUSC</w:t>
            </w:r>
          </w:p>
        </w:tc>
        <w:tc>
          <w:tcPr>
            <w:tcW w:w="6660" w:type="dxa"/>
            <w:shd w:val="clear" w:color="auto" w:fill="auto"/>
            <w:vAlign w:val="bottom"/>
          </w:tcPr>
          <w:p w14:paraId="79E961EF" w14:textId="17DEA7C1"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Drug Utilisation Sub</w:t>
            </w:r>
            <w:r w:rsidR="002451EA">
              <w:rPr>
                <w:rFonts w:asciiTheme="minorHAnsi" w:hAnsiTheme="minorHAnsi" w:cs="Arial"/>
                <w:sz w:val="20"/>
                <w:szCs w:val="20"/>
              </w:rPr>
              <w:t xml:space="preserve"> C</w:t>
            </w:r>
            <w:r>
              <w:rPr>
                <w:rFonts w:asciiTheme="minorHAnsi" w:hAnsiTheme="minorHAnsi" w:cs="Arial"/>
                <w:sz w:val="20"/>
                <w:szCs w:val="20"/>
              </w:rPr>
              <w:t>ommittee</w:t>
            </w:r>
          </w:p>
        </w:tc>
      </w:tr>
      <w:tr w:rsidR="0000686B" w:rsidRPr="004B11B2" w14:paraId="73B61102" w14:textId="77777777" w:rsidTr="00947FC1">
        <w:trPr>
          <w:trHeight w:val="170"/>
        </w:trPr>
        <w:tc>
          <w:tcPr>
            <w:tcW w:w="1980" w:type="dxa"/>
            <w:shd w:val="clear" w:color="auto" w:fill="auto"/>
            <w:vAlign w:val="bottom"/>
          </w:tcPr>
          <w:p w14:paraId="1F67ABC2"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EAS</w:t>
            </w:r>
          </w:p>
        </w:tc>
        <w:tc>
          <w:tcPr>
            <w:tcW w:w="6660" w:type="dxa"/>
            <w:shd w:val="clear" w:color="auto" w:fill="auto"/>
            <w:vAlign w:val="bottom"/>
          </w:tcPr>
          <w:p w14:paraId="6734E806"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 xml:space="preserve">European </w:t>
            </w:r>
            <w:r w:rsidR="004C7D89">
              <w:rPr>
                <w:rFonts w:asciiTheme="minorHAnsi" w:hAnsiTheme="minorHAnsi" w:cs="Arial"/>
                <w:sz w:val="20"/>
                <w:szCs w:val="20"/>
              </w:rPr>
              <w:t>Atherosclerosis</w:t>
            </w:r>
            <w:r>
              <w:rPr>
                <w:rFonts w:asciiTheme="minorHAnsi" w:hAnsiTheme="minorHAnsi" w:cs="Arial"/>
                <w:sz w:val="20"/>
                <w:szCs w:val="20"/>
              </w:rPr>
              <w:t xml:space="preserve"> Society</w:t>
            </w:r>
          </w:p>
        </w:tc>
      </w:tr>
      <w:tr w:rsidR="0000686B" w:rsidRPr="004B11B2" w14:paraId="32E3E408" w14:textId="77777777" w:rsidTr="00947FC1">
        <w:trPr>
          <w:trHeight w:val="170"/>
        </w:trPr>
        <w:tc>
          <w:tcPr>
            <w:tcW w:w="1980" w:type="dxa"/>
            <w:shd w:val="clear" w:color="auto" w:fill="auto"/>
            <w:vAlign w:val="bottom"/>
          </w:tcPr>
          <w:p w14:paraId="2AB769F9"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eGFR</w:t>
            </w:r>
          </w:p>
        </w:tc>
        <w:tc>
          <w:tcPr>
            <w:tcW w:w="6660" w:type="dxa"/>
            <w:shd w:val="clear" w:color="auto" w:fill="auto"/>
            <w:vAlign w:val="bottom"/>
          </w:tcPr>
          <w:p w14:paraId="59692CAE" w14:textId="77777777" w:rsidR="0000686B" w:rsidRDefault="0000686B" w:rsidP="00514129">
            <w:pPr>
              <w:spacing w:before="60" w:after="60" w:line="240" w:lineRule="auto"/>
              <w:rPr>
                <w:rFonts w:asciiTheme="minorHAnsi" w:hAnsiTheme="minorHAnsi" w:cs="Arial"/>
                <w:b/>
                <w:i/>
                <w:color w:val="000000"/>
                <w:sz w:val="20"/>
                <w:szCs w:val="20"/>
                <w:u w:val="single"/>
              </w:rPr>
            </w:pPr>
            <w:r w:rsidRPr="003F2ED0">
              <w:rPr>
                <w:rFonts w:asciiTheme="minorHAnsi" w:hAnsiTheme="minorHAnsi" w:cs="Arial"/>
                <w:sz w:val="20"/>
                <w:szCs w:val="20"/>
              </w:rPr>
              <w:t>estimated glomerular filtration rate</w:t>
            </w:r>
          </w:p>
        </w:tc>
      </w:tr>
      <w:tr w:rsidR="0000686B" w:rsidRPr="004B11B2" w14:paraId="3770F345" w14:textId="77777777" w:rsidTr="00947FC1">
        <w:trPr>
          <w:trHeight w:val="170"/>
        </w:trPr>
        <w:tc>
          <w:tcPr>
            <w:tcW w:w="1980" w:type="dxa"/>
            <w:shd w:val="clear" w:color="auto" w:fill="auto"/>
            <w:vAlign w:val="bottom"/>
          </w:tcPr>
          <w:p w14:paraId="6BAFD20F"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ESC</w:t>
            </w:r>
          </w:p>
        </w:tc>
        <w:tc>
          <w:tcPr>
            <w:tcW w:w="6660" w:type="dxa"/>
            <w:shd w:val="clear" w:color="auto" w:fill="auto"/>
            <w:vAlign w:val="bottom"/>
          </w:tcPr>
          <w:p w14:paraId="531A6A68" w14:textId="53D65860"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Economics Sub</w:t>
            </w:r>
            <w:r w:rsidR="002451EA">
              <w:rPr>
                <w:rFonts w:asciiTheme="minorHAnsi" w:hAnsiTheme="minorHAnsi" w:cs="Arial"/>
                <w:sz w:val="20"/>
                <w:szCs w:val="20"/>
              </w:rPr>
              <w:t xml:space="preserve"> C</w:t>
            </w:r>
            <w:r>
              <w:rPr>
                <w:rFonts w:asciiTheme="minorHAnsi" w:hAnsiTheme="minorHAnsi" w:cs="Arial"/>
                <w:sz w:val="20"/>
                <w:szCs w:val="20"/>
              </w:rPr>
              <w:t>ommittee</w:t>
            </w:r>
          </w:p>
        </w:tc>
      </w:tr>
      <w:tr w:rsidR="0000686B" w:rsidRPr="004B11B2" w14:paraId="0AC2102C" w14:textId="77777777" w:rsidTr="00947FC1">
        <w:trPr>
          <w:trHeight w:val="170"/>
        </w:trPr>
        <w:tc>
          <w:tcPr>
            <w:tcW w:w="1980" w:type="dxa"/>
            <w:shd w:val="clear" w:color="auto" w:fill="auto"/>
            <w:vAlign w:val="bottom"/>
          </w:tcPr>
          <w:p w14:paraId="03316F98"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eTG</w:t>
            </w:r>
          </w:p>
        </w:tc>
        <w:tc>
          <w:tcPr>
            <w:tcW w:w="6660" w:type="dxa"/>
            <w:shd w:val="clear" w:color="auto" w:fill="auto"/>
            <w:vAlign w:val="bottom"/>
          </w:tcPr>
          <w:p w14:paraId="1A92BF50"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Electronic Therapeutic Guidelines</w:t>
            </w:r>
          </w:p>
        </w:tc>
      </w:tr>
      <w:tr w:rsidR="0000686B" w:rsidRPr="004B11B2" w14:paraId="6800509A" w14:textId="77777777" w:rsidTr="00947FC1">
        <w:trPr>
          <w:trHeight w:val="170"/>
        </w:trPr>
        <w:tc>
          <w:tcPr>
            <w:tcW w:w="1980" w:type="dxa"/>
            <w:shd w:val="clear" w:color="auto" w:fill="auto"/>
            <w:vAlign w:val="bottom"/>
          </w:tcPr>
          <w:p w14:paraId="51F323A0"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FDC</w:t>
            </w:r>
          </w:p>
        </w:tc>
        <w:tc>
          <w:tcPr>
            <w:tcW w:w="6660" w:type="dxa"/>
            <w:shd w:val="clear" w:color="auto" w:fill="auto"/>
            <w:vAlign w:val="bottom"/>
          </w:tcPr>
          <w:p w14:paraId="77AAA170"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Fixed dose combination</w:t>
            </w:r>
          </w:p>
        </w:tc>
      </w:tr>
      <w:tr w:rsidR="0000686B" w:rsidRPr="004B11B2" w14:paraId="3755860D" w14:textId="77777777" w:rsidTr="00947FC1">
        <w:trPr>
          <w:trHeight w:val="170"/>
        </w:trPr>
        <w:tc>
          <w:tcPr>
            <w:tcW w:w="1980" w:type="dxa"/>
            <w:shd w:val="clear" w:color="auto" w:fill="auto"/>
            <w:vAlign w:val="bottom"/>
          </w:tcPr>
          <w:p w14:paraId="6F211B01"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FRE</w:t>
            </w:r>
          </w:p>
        </w:tc>
        <w:tc>
          <w:tcPr>
            <w:tcW w:w="6660" w:type="dxa"/>
            <w:shd w:val="clear" w:color="auto" w:fill="auto"/>
            <w:vAlign w:val="bottom"/>
          </w:tcPr>
          <w:p w14:paraId="6415E741"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Framingham Risk Equations</w:t>
            </w:r>
          </w:p>
        </w:tc>
      </w:tr>
      <w:tr w:rsidR="0000686B" w:rsidRPr="004B11B2" w14:paraId="4CAE7199" w14:textId="77777777" w:rsidTr="00947FC1">
        <w:trPr>
          <w:trHeight w:val="170"/>
        </w:trPr>
        <w:tc>
          <w:tcPr>
            <w:tcW w:w="1980" w:type="dxa"/>
            <w:shd w:val="clear" w:color="auto" w:fill="auto"/>
            <w:vAlign w:val="bottom"/>
          </w:tcPr>
          <w:p w14:paraId="6704679A"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GSLLD</w:t>
            </w:r>
          </w:p>
        </w:tc>
        <w:tc>
          <w:tcPr>
            <w:tcW w:w="6660" w:type="dxa"/>
            <w:shd w:val="clear" w:color="auto" w:fill="auto"/>
            <w:vAlign w:val="bottom"/>
          </w:tcPr>
          <w:p w14:paraId="2F0778B5"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General Statement for Lipid Lowering Drugs</w:t>
            </w:r>
          </w:p>
        </w:tc>
      </w:tr>
      <w:tr w:rsidR="0000686B" w:rsidRPr="004B11B2" w14:paraId="57530CFD" w14:textId="77777777" w:rsidTr="00947FC1">
        <w:trPr>
          <w:trHeight w:val="170"/>
        </w:trPr>
        <w:tc>
          <w:tcPr>
            <w:tcW w:w="1980" w:type="dxa"/>
            <w:shd w:val="clear" w:color="auto" w:fill="auto"/>
            <w:vAlign w:val="bottom"/>
          </w:tcPr>
          <w:p w14:paraId="5B48DD1D"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HDL-C</w:t>
            </w:r>
          </w:p>
        </w:tc>
        <w:tc>
          <w:tcPr>
            <w:tcW w:w="6660" w:type="dxa"/>
            <w:shd w:val="clear" w:color="auto" w:fill="auto"/>
            <w:vAlign w:val="bottom"/>
          </w:tcPr>
          <w:p w14:paraId="155775E8"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High density lipoprotein</w:t>
            </w:r>
          </w:p>
        </w:tc>
      </w:tr>
      <w:tr w:rsidR="0000686B" w:rsidRPr="004B11B2" w14:paraId="77863E22" w14:textId="77777777" w:rsidTr="00947FC1">
        <w:trPr>
          <w:trHeight w:val="170"/>
        </w:trPr>
        <w:tc>
          <w:tcPr>
            <w:tcW w:w="1980" w:type="dxa"/>
            <w:shd w:val="clear" w:color="auto" w:fill="auto"/>
            <w:vAlign w:val="bottom"/>
          </w:tcPr>
          <w:p w14:paraId="2826193B"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ICER</w:t>
            </w:r>
          </w:p>
        </w:tc>
        <w:tc>
          <w:tcPr>
            <w:tcW w:w="6660" w:type="dxa"/>
            <w:shd w:val="clear" w:color="auto" w:fill="auto"/>
            <w:vAlign w:val="bottom"/>
          </w:tcPr>
          <w:p w14:paraId="58A2C5AC" w14:textId="77777777" w:rsidR="0000686B" w:rsidRDefault="0000686B" w:rsidP="00216B38">
            <w:pPr>
              <w:spacing w:before="60" w:after="60" w:line="240" w:lineRule="auto"/>
              <w:rPr>
                <w:rFonts w:asciiTheme="minorHAnsi" w:hAnsiTheme="minorHAnsi" w:cs="Arial"/>
                <w:b/>
                <w:i/>
                <w:color w:val="000000"/>
                <w:sz w:val="20"/>
                <w:szCs w:val="20"/>
                <w:u w:val="single"/>
              </w:rPr>
            </w:pPr>
            <w:r w:rsidRPr="00B33FD7">
              <w:rPr>
                <w:rFonts w:asciiTheme="minorHAnsi" w:hAnsiTheme="minorHAnsi" w:cs="Arial"/>
                <w:sz w:val="20"/>
                <w:szCs w:val="20"/>
              </w:rPr>
              <w:t>Incremental Cost</w:t>
            </w:r>
            <w:r w:rsidR="00216B38">
              <w:rPr>
                <w:rFonts w:asciiTheme="minorHAnsi" w:hAnsiTheme="minorHAnsi" w:cs="Arial"/>
                <w:sz w:val="20"/>
                <w:szCs w:val="20"/>
              </w:rPr>
              <w:t>-</w:t>
            </w:r>
            <w:r w:rsidRPr="00B33FD7">
              <w:rPr>
                <w:rFonts w:asciiTheme="minorHAnsi" w:hAnsiTheme="minorHAnsi" w:cs="Arial"/>
                <w:sz w:val="20"/>
                <w:szCs w:val="20"/>
              </w:rPr>
              <w:t xml:space="preserve">Effectiveness Ratio </w:t>
            </w:r>
          </w:p>
        </w:tc>
      </w:tr>
      <w:tr w:rsidR="0000686B" w:rsidRPr="004B11B2" w14:paraId="41BA7CD7" w14:textId="77777777" w:rsidTr="00947FC1">
        <w:trPr>
          <w:trHeight w:val="170"/>
        </w:trPr>
        <w:tc>
          <w:tcPr>
            <w:tcW w:w="1980" w:type="dxa"/>
            <w:shd w:val="clear" w:color="auto" w:fill="auto"/>
            <w:vAlign w:val="bottom"/>
          </w:tcPr>
          <w:p w14:paraId="740A98B5"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mg</w:t>
            </w:r>
          </w:p>
        </w:tc>
        <w:tc>
          <w:tcPr>
            <w:tcW w:w="6660" w:type="dxa"/>
            <w:shd w:val="clear" w:color="auto" w:fill="auto"/>
            <w:vAlign w:val="bottom"/>
          </w:tcPr>
          <w:p w14:paraId="5591496B"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milligrams</w:t>
            </w:r>
          </w:p>
        </w:tc>
      </w:tr>
      <w:tr w:rsidR="0000686B" w:rsidRPr="004B11B2" w14:paraId="64E9CB55" w14:textId="77777777" w:rsidTr="00947FC1">
        <w:trPr>
          <w:trHeight w:val="170"/>
        </w:trPr>
        <w:tc>
          <w:tcPr>
            <w:tcW w:w="1980" w:type="dxa"/>
            <w:shd w:val="clear" w:color="auto" w:fill="auto"/>
            <w:vAlign w:val="bottom"/>
          </w:tcPr>
          <w:p w14:paraId="2A541E52"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LDL-C</w:t>
            </w:r>
          </w:p>
        </w:tc>
        <w:tc>
          <w:tcPr>
            <w:tcW w:w="6660" w:type="dxa"/>
            <w:shd w:val="clear" w:color="auto" w:fill="auto"/>
            <w:vAlign w:val="bottom"/>
          </w:tcPr>
          <w:p w14:paraId="781BFDF0"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Low density lipoprotein</w:t>
            </w:r>
          </w:p>
        </w:tc>
      </w:tr>
      <w:tr w:rsidR="0000686B" w:rsidRPr="004B11B2" w14:paraId="09B4B494" w14:textId="77777777" w:rsidTr="00947FC1">
        <w:trPr>
          <w:trHeight w:val="170"/>
        </w:trPr>
        <w:tc>
          <w:tcPr>
            <w:tcW w:w="1980" w:type="dxa"/>
            <w:shd w:val="clear" w:color="auto" w:fill="auto"/>
            <w:vAlign w:val="bottom"/>
          </w:tcPr>
          <w:p w14:paraId="782A7256"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mmHg</w:t>
            </w:r>
          </w:p>
        </w:tc>
        <w:tc>
          <w:tcPr>
            <w:tcW w:w="6660" w:type="dxa"/>
            <w:shd w:val="clear" w:color="auto" w:fill="auto"/>
            <w:vAlign w:val="bottom"/>
          </w:tcPr>
          <w:p w14:paraId="0F71541E" w14:textId="61093CBB" w:rsidR="0000686B" w:rsidRDefault="002451EA" w:rsidP="00514129">
            <w:pPr>
              <w:spacing w:before="60" w:after="60" w:line="240" w:lineRule="auto"/>
              <w:rPr>
                <w:rFonts w:asciiTheme="minorHAnsi" w:hAnsiTheme="minorHAnsi" w:cs="Arial"/>
                <w:b/>
                <w:i/>
                <w:color w:val="000000"/>
                <w:sz w:val="20"/>
                <w:szCs w:val="20"/>
                <w:u w:val="single"/>
              </w:rPr>
            </w:pPr>
            <w:r>
              <w:rPr>
                <w:rFonts w:asciiTheme="minorHAnsi" w:hAnsiTheme="minorHAnsi"/>
                <w:sz w:val="20"/>
                <w:szCs w:val="20"/>
              </w:rPr>
              <w:t>m</w:t>
            </w:r>
            <w:r w:rsidR="0000686B" w:rsidRPr="00821C8C">
              <w:rPr>
                <w:rFonts w:asciiTheme="minorHAnsi" w:hAnsiTheme="minorHAnsi"/>
                <w:sz w:val="20"/>
                <w:szCs w:val="20"/>
              </w:rPr>
              <w:t>illimet</w:t>
            </w:r>
            <w:r w:rsidR="0000686B">
              <w:rPr>
                <w:rFonts w:asciiTheme="minorHAnsi" w:hAnsiTheme="minorHAnsi"/>
                <w:sz w:val="20"/>
                <w:szCs w:val="20"/>
              </w:rPr>
              <w:t xml:space="preserve">re </w:t>
            </w:r>
            <w:r w:rsidR="0000686B" w:rsidRPr="00821C8C">
              <w:rPr>
                <w:rFonts w:asciiTheme="minorHAnsi" w:hAnsiTheme="minorHAnsi"/>
                <w:sz w:val="20"/>
                <w:szCs w:val="20"/>
              </w:rPr>
              <w:t>of mercury</w:t>
            </w:r>
          </w:p>
        </w:tc>
      </w:tr>
      <w:tr w:rsidR="0000686B" w:rsidRPr="004B11B2" w14:paraId="372846AF" w14:textId="77777777" w:rsidTr="00947FC1">
        <w:trPr>
          <w:trHeight w:val="170"/>
        </w:trPr>
        <w:tc>
          <w:tcPr>
            <w:tcW w:w="1980" w:type="dxa"/>
            <w:shd w:val="clear" w:color="auto" w:fill="auto"/>
            <w:vAlign w:val="bottom"/>
          </w:tcPr>
          <w:p w14:paraId="748055A6"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mmol/L</w:t>
            </w:r>
          </w:p>
        </w:tc>
        <w:tc>
          <w:tcPr>
            <w:tcW w:w="6660" w:type="dxa"/>
            <w:shd w:val="clear" w:color="auto" w:fill="auto"/>
            <w:vAlign w:val="bottom"/>
          </w:tcPr>
          <w:p w14:paraId="7A62B0DF" w14:textId="77777777" w:rsidR="0000686B" w:rsidRDefault="0000686B" w:rsidP="00514129">
            <w:pPr>
              <w:spacing w:before="60" w:after="60" w:line="240" w:lineRule="auto"/>
              <w:rPr>
                <w:rFonts w:asciiTheme="minorHAnsi" w:hAnsiTheme="minorHAnsi" w:cs="Arial"/>
                <w:b/>
                <w:i/>
                <w:color w:val="000000"/>
                <w:sz w:val="20"/>
                <w:szCs w:val="20"/>
                <w:u w:val="single"/>
              </w:rPr>
            </w:pPr>
            <w:r w:rsidRPr="00821C8C">
              <w:rPr>
                <w:rFonts w:asciiTheme="minorHAnsi" w:hAnsiTheme="minorHAnsi" w:cs="Arial"/>
                <w:sz w:val="20"/>
                <w:szCs w:val="20"/>
              </w:rPr>
              <w:t>millimoles per litre</w:t>
            </w:r>
            <w:r w:rsidRPr="00821C8C">
              <w:rPr>
                <w:rFonts w:ascii="Arial" w:hAnsi="Arial" w:cs="Arial"/>
                <w:color w:val="545454"/>
              </w:rPr>
              <w:t xml:space="preserve"> </w:t>
            </w:r>
          </w:p>
        </w:tc>
      </w:tr>
      <w:tr w:rsidR="0000686B" w:rsidRPr="004B11B2" w14:paraId="1A278E02" w14:textId="77777777" w:rsidTr="00947FC1">
        <w:trPr>
          <w:trHeight w:val="170"/>
        </w:trPr>
        <w:tc>
          <w:tcPr>
            <w:tcW w:w="1980" w:type="dxa"/>
            <w:shd w:val="clear" w:color="auto" w:fill="auto"/>
            <w:vAlign w:val="bottom"/>
          </w:tcPr>
          <w:p w14:paraId="1F2C822A"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NHF</w:t>
            </w:r>
          </w:p>
        </w:tc>
        <w:tc>
          <w:tcPr>
            <w:tcW w:w="6660" w:type="dxa"/>
            <w:shd w:val="clear" w:color="auto" w:fill="auto"/>
            <w:vAlign w:val="bottom"/>
          </w:tcPr>
          <w:p w14:paraId="098A4FE4"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National Heart Foundation</w:t>
            </w:r>
          </w:p>
        </w:tc>
      </w:tr>
      <w:tr w:rsidR="0000686B" w:rsidRPr="004B11B2" w14:paraId="1CA43947" w14:textId="77777777" w:rsidTr="00947FC1">
        <w:trPr>
          <w:trHeight w:val="170"/>
        </w:trPr>
        <w:tc>
          <w:tcPr>
            <w:tcW w:w="1980" w:type="dxa"/>
            <w:shd w:val="clear" w:color="auto" w:fill="auto"/>
            <w:vAlign w:val="bottom"/>
          </w:tcPr>
          <w:p w14:paraId="7A7FB4B2"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NICE</w:t>
            </w:r>
          </w:p>
        </w:tc>
        <w:tc>
          <w:tcPr>
            <w:tcW w:w="6660" w:type="dxa"/>
            <w:shd w:val="clear" w:color="auto" w:fill="auto"/>
            <w:vAlign w:val="bottom"/>
          </w:tcPr>
          <w:p w14:paraId="104405EE"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 xml:space="preserve">National Institute of Health and Clinical Excellence </w:t>
            </w:r>
          </w:p>
        </w:tc>
      </w:tr>
      <w:tr w:rsidR="0000686B" w:rsidRPr="004B11B2" w14:paraId="6100E245" w14:textId="77777777" w:rsidTr="00947FC1">
        <w:trPr>
          <w:trHeight w:val="170"/>
        </w:trPr>
        <w:tc>
          <w:tcPr>
            <w:tcW w:w="1980" w:type="dxa"/>
            <w:shd w:val="clear" w:color="auto" w:fill="auto"/>
            <w:vAlign w:val="bottom"/>
          </w:tcPr>
          <w:p w14:paraId="63362D03"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NVDPA</w:t>
            </w:r>
          </w:p>
        </w:tc>
        <w:tc>
          <w:tcPr>
            <w:tcW w:w="6660" w:type="dxa"/>
            <w:shd w:val="clear" w:color="auto" w:fill="auto"/>
            <w:vAlign w:val="bottom"/>
          </w:tcPr>
          <w:p w14:paraId="3069AC39"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National Vascular Disease Prevention Alliance</w:t>
            </w:r>
          </w:p>
        </w:tc>
      </w:tr>
      <w:tr w:rsidR="00821929" w:rsidRPr="004B11B2" w14:paraId="59DE32FF" w14:textId="77777777" w:rsidTr="00947FC1">
        <w:trPr>
          <w:trHeight w:val="170"/>
        </w:trPr>
        <w:tc>
          <w:tcPr>
            <w:tcW w:w="1980" w:type="dxa"/>
            <w:shd w:val="clear" w:color="auto" w:fill="auto"/>
            <w:vAlign w:val="bottom"/>
          </w:tcPr>
          <w:p w14:paraId="79F5498E" w14:textId="77777777" w:rsidR="00821929" w:rsidRDefault="00821929" w:rsidP="00514129">
            <w:pPr>
              <w:spacing w:before="60" w:after="60" w:line="240" w:lineRule="auto"/>
              <w:rPr>
                <w:rFonts w:asciiTheme="minorHAnsi" w:hAnsiTheme="minorHAnsi" w:cs="Arial"/>
                <w:sz w:val="20"/>
                <w:szCs w:val="20"/>
              </w:rPr>
            </w:pPr>
            <w:r>
              <w:rPr>
                <w:rFonts w:asciiTheme="minorHAnsi" w:hAnsiTheme="minorHAnsi" w:cs="Arial"/>
                <w:sz w:val="20"/>
                <w:szCs w:val="20"/>
              </w:rPr>
              <w:t>OECD</w:t>
            </w:r>
          </w:p>
        </w:tc>
        <w:tc>
          <w:tcPr>
            <w:tcW w:w="6660" w:type="dxa"/>
            <w:shd w:val="clear" w:color="auto" w:fill="auto"/>
            <w:vAlign w:val="bottom"/>
          </w:tcPr>
          <w:p w14:paraId="5213BA48" w14:textId="77777777" w:rsidR="00821929" w:rsidRDefault="00821929" w:rsidP="00514129">
            <w:pPr>
              <w:spacing w:before="60" w:after="60" w:line="240" w:lineRule="auto"/>
              <w:rPr>
                <w:rFonts w:asciiTheme="minorHAnsi" w:hAnsiTheme="minorHAnsi" w:cs="Arial"/>
                <w:sz w:val="20"/>
                <w:szCs w:val="20"/>
              </w:rPr>
            </w:pPr>
            <w:r>
              <w:rPr>
                <w:rFonts w:asciiTheme="minorHAnsi" w:hAnsiTheme="minorHAnsi" w:cs="Arial"/>
                <w:sz w:val="20"/>
                <w:szCs w:val="20"/>
              </w:rPr>
              <w:t>Organisation for Economic Co-Operation and Development</w:t>
            </w:r>
          </w:p>
        </w:tc>
      </w:tr>
      <w:tr w:rsidR="0000686B" w:rsidRPr="004B11B2" w14:paraId="22F3F979" w14:textId="77777777" w:rsidTr="00947FC1">
        <w:trPr>
          <w:trHeight w:val="170"/>
        </w:trPr>
        <w:tc>
          <w:tcPr>
            <w:tcW w:w="1980" w:type="dxa"/>
            <w:shd w:val="clear" w:color="auto" w:fill="auto"/>
            <w:vAlign w:val="bottom"/>
          </w:tcPr>
          <w:p w14:paraId="3C574E7B"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PBAC</w:t>
            </w:r>
          </w:p>
        </w:tc>
        <w:tc>
          <w:tcPr>
            <w:tcW w:w="6660" w:type="dxa"/>
            <w:shd w:val="clear" w:color="auto" w:fill="auto"/>
            <w:vAlign w:val="bottom"/>
          </w:tcPr>
          <w:p w14:paraId="7C6AA975"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Pharmaceutical Benefits Advisory Committee</w:t>
            </w:r>
          </w:p>
        </w:tc>
      </w:tr>
      <w:tr w:rsidR="0000686B" w:rsidRPr="004B11B2" w14:paraId="04A277F9" w14:textId="77777777" w:rsidTr="00947FC1">
        <w:trPr>
          <w:trHeight w:val="170"/>
        </w:trPr>
        <w:tc>
          <w:tcPr>
            <w:tcW w:w="1980" w:type="dxa"/>
            <w:shd w:val="clear" w:color="auto" w:fill="auto"/>
            <w:vAlign w:val="bottom"/>
          </w:tcPr>
          <w:p w14:paraId="04B65620"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PBS</w:t>
            </w:r>
          </w:p>
        </w:tc>
        <w:tc>
          <w:tcPr>
            <w:tcW w:w="6660" w:type="dxa"/>
            <w:shd w:val="clear" w:color="auto" w:fill="auto"/>
            <w:vAlign w:val="bottom"/>
          </w:tcPr>
          <w:p w14:paraId="6212C1D2"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Pharmaceutical Benefits Scheme</w:t>
            </w:r>
          </w:p>
        </w:tc>
      </w:tr>
      <w:tr w:rsidR="0000686B" w:rsidRPr="004B11B2" w14:paraId="7D8B272B" w14:textId="77777777" w:rsidTr="00947FC1">
        <w:trPr>
          <w:trHeight w:val="170"/>
        </w:trPr>
        <w:tc>
          <w:tcPr>
            <w:tcW w:w="1980" w:type="dxa"/>
            <w:shd w:val="clear" w:color="auto" w:fill="auto"/>
            <w:vAlign w:val="bottom"/>
          </w:tcPr>
          <w:p w14:paraId="67E14766"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QALY</w:t>
            </w:r>
          </w:p>
        </w:tc>
        <w:tc>
          <w:tcPr>
            <w:tcW w:w="6660" w:type="dxa"/>
            <w:shd w:val="clear" w:color="auto" w:fill="auto"/>
            <w:vAlign w:val="bottom"/>
          </w:tcPr>
          <w:p w14:paraId="487CF9E2"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Quality Adjusted Life Year</w:t>
            </w:r>
          </w:p>
        </w:tc>
      </w:tr>
      <w:tr w:rsidR="0000686B" w:rsidRPr="004B11B2" w14:paraId="5DB32490" w14:textId="77777777" w:rsidTr="00947FC1">
        <w:trPr>
          <w:trHeight w:val="170"/>
        </w:trPr>
        <w:tc>
          <w:tcPr>
            <w:tcW w:w="1980" w:type="dxa"/>
            <w:shd w:val="clear" w:color="auto" w:fill="auto"/>
            <w:vAlign w:val="bottom"/>
          </w:tcPr>
          <w:p w14:paraId="5E6A952E"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RCT</w:t>
            </w:r>
          </w:p>
        </w:tc>
        <w:tc>
          <w:tcPr>
            <w:tcW w:w="6660" w:type="dxa"/>
            <w:shd w:val="clear" w:color="auto" w:fill="auto"/>
            <w:vAlign w:val="bottom"/>
          </w:tcPr>
          <w:p w14:paraId="39E9E997"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Randomised controlled trial</w:t>
            </w:r>
          </w:p>
        </w:tc>
      </w:tr>
      <w:tr w:rsidR="0000686B" w:rsidRPr="004B11B2" w14:paraId="69864741" w14:textId="77777777" w:rsidTr="00947FC1">
        <w:trPr>
          <w:trHeight w:val="170"/>
        </w:trPr>
        <w:tc>
          <w:tcPr>
            <w:tcW w:w="1980" w:type="dxa"/>
            <w:shd w:val="clear" w:color="auto" w:fill="auto"/>
            <w:vAlign w:val="bottom"/>
          </w:tcPr>
          <w:p w14:paraId="3C8E98EE"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RPBS</w:t>
            </w:r>
          </w:p>
        </w:tc>
        <w:tc>
          <w:tcPr>
            <w:tcW w:w="6660" w:type="dxa"/>
            <w:shd w:val="clear" w:color="auto" w:fill="auto"/>
            <w:vAlign w:val="bottom"/>
          </w:tcPr>
          <w:p w14:paraId="458DBC86"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Repatriation Pharmaceutical Benefits Scheme</w:t>
            </w:r>
          </w:p>
        </w:tc>
      </w:tr>
      <w:tr w:rsidR="00492F8A" w:rsidRPr="004B11B2" w14:paraId="3D245C0F" w14:textId="77777777" w:rsidTr="00947FC1">
        <w:trPr>
          <w:trHeight w:val="170"/>
        </w:trPr>
        <w:tc>
          <w:tcPr>
            <w:tcW w:w="1980" w:type="dxa"/>
            <w:shd w:val="clear" w:color="auto" w:fill="auto"/>
            <w:vAlign w:val="bottom"/>
          </w:tcPr>
          <w:p w14:paraId="63EFB93F" w14:textId="2DF56C43" w:rsidR="00492F8A" w:rsidRDefault="00492F8A" w:rsidP="00514129">
            <w:pPr>
              <w:spacing w:before="60" w:after="60" w:line="240" w:lineRule="auto"/>
              <w:rPr>
                <w:rFonts w:asciiTheme="minorHAnsi" w:hAnsiTheme="minorHAnsi" w:cs="Arial"/>
                <w:sz w:val="20"/>
                <w:szCs w:val="20"/>
              </w:rPr>
            </w:pPr>
            <w:r>
              <w:rPr>
                <w:rFonts w:asciiTheme="minorHAnsi" w:hAnsiTheme="minorHAnsi" w:cs="Arial"/>
                <w:sz w:val="20"/>
                <w:szCs w:val="20"/>
              </w:rPr>
              <w:t>SAND</w:t>
            </w:r>
          </w:p>
        </w:tc>
        <w:tc>
          <w:tcPr>
            <w:tcW w:w="6660" w:type="dxa"/>
            <w:shd w:val="clear" w:color="auto" w:fill="auto"/>
            <w:vAlign w:val="bottom"/>
          </w:tcPr>
          <w:p w14:paraId="7EA28DBC" w14:textId="358ABE27" w:rsidR="00492F8A" w:rsidRDefault="00492F8A" w:rsidP="00514129">
            <w:pPr>
              <w:spacing w:before="60" w:after="60" w:line="240" w:lineRule="auto"/>
              <w:rPr>
                <w:rFonts w:asciiTheme="minorHAnsi" w:hAnsiTheme="minorHAnsi" w:cs="Arial"/>
                <w:sz w:val="20"/>
                <w:szCs w:val="20"/>
              </w:rPr>
            </w:pPr>
            <w:r>
              <w:rPr>
                <w:rFonts w:asciiTheme="minorHAnsi" w:hAnsiTheme="minorHAnsi" w:cs="Arial"/>
                <w:sz w:val="20"/>
                <w:szCs w:val="20"/>
              </w:rPr>
              <w:t>Supplementary Analysis of Nominated Data</w:t>
            </w:r>
          </w:p>
        </w:tc>
      </w:tr>
      <w:tr w:rsidR="0000686B" w:rsidRPr="004B11B2" w14:paraId="6BD08AAA" w14:textId="77777777" w:rsidTr="00947FC1">
        <w:trPr>
          <w:trHeight w:val="170"/>
        </w:trPr>
        <w:tc>
          <w:tcPr>
            <w:tcW w:w="1980" w:type="dxa"/>
            <w:shd w:val="clear" w:color="auto" w:fill="auto"/>
            <w:vAlign w:val="bottom"/>
          </w:tcPr>
          <w:p w14:paraId="5F687C00"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lastRenderedPageBreak/>
              <w:t>SD</w:t>
            </w:r>
          </w:p>
        </w:tc>
        <w:tc>
          <w:tcPr>
            <w:tcW w:w="6660" w:type="dxa"/>
            <w:shd w:val="clear" w:color="auto" w:fill="auto"/>
            <w:vAlign w:val="bottom"/>
          </w:tcPr>
          <w:p w14:paraId="466A01B6" w14:textId="77777777"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Standard deviation</w:t>
            </w:r>
          </w:p>
        </w:tc>
      </w:tr>
      <w:tr w:rsidR="0000686B" w:rsidRPr="004B11B2" w14:paraId="285E495D" w14:textId="77777777" w:rsidTr="00947FC1">
        <w:trPr>
          <w:trHeight w:val="170"/>
        </w:trPr>
        <w:tc>
          <w:tcPr>
            <w:tcW w:w="1980" w:type="dxa"/>
            <w:shd w:val="clear" w:color="auto" w:fill="auto"/>
            <w:vAlign w:val="bottom"/>
          </w:tcPr>
          <w:p w14:paraId="3A649D03"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TC</w:t>
            </w:r>
          </w:p>
        </w:tc>
        <w:tc>
          <w:tcPr>
            <w:tcW w:w="6660" w:type="dxa"/>
            <w:shd w:val="clear" w:color="auto" w:fill="auto"/>
            <w:vAlign w:val="bottom"/>
          </w:tcPr>
          <w:p w14:paraId="40E83C4E"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Total cholesterol</w:t>
            </w:r>
          </w:p>
        </w:tc>
      </w:tr>
      <w:tr w:rsidR="0000686B" w:rsidRPr="004B11B2" w14:paraId="42757FCE" w14:textId="77777777" w:rsidTr="00947FC1">
        <w:trPr>
          <w:trHeight w:val="170"/>
        </w:trPr>
        <w:tc>
          <w:tcPr>
            <w:tcW w:w="1980" w:type="dxa"/>
            <w:shd w:val="clear" w:color="auto" w:fill="auto"/>
            <w:vAlign w:val="bottom"/>
          </w:tcPr>
          <w:p w14:paraId="44314422"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TG</w:t>
            </w:r>
          </w:p>
        </w:tc>
        <w:tc>
          <w:tcPr>
            <w:tcW w:w="6660" w:type="dxa"/>
            <w:shd w:val="clear" w:color="auto" w:fill="auto"/>
            <w:vAlign w:val="bottom"/>
          </w:tcPr>
          <w:p w14:paraId="310FB3E7" w14:textId="77777777"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Total triglycerides</w:t>
            </w:r>
          </w:p>
        </w:tc>
      </w:tr>
      <w:tr w:rsidR="0000686B" w:rsidRPr="004B11B2" w14:paraId="2D92A83B" w14:textId="77777777" w:rsidTr="00947FC1">
        <w:trPr>
          <w:trHeight w:val="170"/>
        </w:trPr>
        <w:tc>
          <w:tcPr>
            <w:tcW w:w="1980" w:type="dxa"/>
            <w:shd w:val="clear" w:color="auto" w:fill="auto"/>
            <w:vAlign w:val="bottom"/>
          </w:tcPr>
          <w:p w14:paraId="30B4E857" w14:textId="3A6BB451" w:rsidR="0000686B" w:rsidRPr="008370B4"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FDA</w:t>
            </w:r>
          </w:p>
        </w:tc>
        <w:tc>
          <w:tcPr>
            <w:tcW w:w="6660" w:type="dxa"/>
            <w:shd w:val="clear" w:color="auto" w:fill="auto"/>
            <w:vAlign w:val="bottom"/>
          </w:tcPr>
          <w:p w14:paraId="274217AA" w14:textId="4C34D7CD" w:rsidR="0000686B" w:rsidRDefault="0000686B" w:rsidP="00514129">
            <w:pPr>
              <w:spacing w:before="60" w:after="60" w:line="240" w:lineRule="auto"/>
              <w:rPr>
                <w:rFonts w:asciiTheme="minorHAnsi" w:hAnsiTheme="minorHAnsi" w:cs="Arial"/>
                <w:b/>
                <w:i/>
                <w:color w:val="000000"/>
                <w:sz w:val="20"/>
                <w:szCs w:val="20"/>
                <w:u w:val="single"/>
              </w:rPr>
            </w:pPr>
            <w:r>
              <w:rPr>
                <w:rFonts w:asciiTheme="minorHAnsi" w:hAnsiTheme="minorHAnsi" w:cs="Arial"/>
                <w:sz w:val="20"/>
                <w:szCs w:val="20"/>
              </w:rPr>
              <w:t>United States Food and Drug Administration</w:t>
            </w:r>
          </w:p>
        </w:tc>
      </w:tr>
    </w:tbl>
    <w:p w14:paraId="6E4CA03E" w14:textId="77777777" w:rsidR="0000686B" w:rsidRDefault="0000686B" w:rsidP="00514129">
      <w:pPr>
        <w:pStyle w:val="Heading1"/>
      </w:pPr>
      <w:bookmarkStart w:id="15" w:name="_Toc500510184"/>
      <w:r w:rsidRPr="00920324">
        <w:t>Glossary</w:t>
      </w:r>
      <w:bookmarkEnd w:id="15"/>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09"/>
        <w:gridCol w:w="6305"/>
      </w:tblGrid>
      <w:tr w:rsidR="0000686B" w:rsidRPr="00E64374" w14:paraId="1D8CE63F" w14:textId="77777777" w:rsidTr="005879E3">
        <w:trPr>
          <w:trHeight w:val="411"/>
          <w:tblHeader/>
        </w:trPr>
        <w:tc>
          <w:tcPr>
            <w:tcW w:w="2109" w:type="dxa"/>
            <w:shd w:val="clear" w:color="auto" w:fill="BFBFBF" w:themeFill="background1" w:themeFillShade="BF"/>
            <w:vAlign w:val="bottom"/>
          </w:tcPr>
          <w:p w14:paraId="0CAC6F4D" w14:textId="77777777" w:rsidR="0000686B" w:rsidRPr="00E64374" w:rsidRDefault="0000686B" w:rsidP="00514129">
            <w:pPr>
              <w:spacing w:before="60" w:after="60" w:line="240" w:lineRule="auto"/>
              <w:rPr>
                <w:rFonts w:asciiTheme="minorHAnsi" w:hAnsiTheme="minorHAnsi" w:cs="Arial"/>
                <w:b/>
                <w:sz w:val="20"/>
                <w:szCs w:val="20"/>
              </w:rPr>
            </w:pPr>
            <w:r w:rsidRPr="00E64374">
              <w:rPr>
                <w:rFonts w:asciiTheme="minorHAnsi" w:hAnsiTheme="minorHAnsi" w:cs="Arial"/>
                <w:b/>
                <w:sz w:val="20"/>
                <w:szCs w:val="20"/>
              </w:rPr>
              <w:t>Term</w:t>
            </w:r>
          </w:p>
        </w:tc>
        <w:tc>
          <w:tcPr>
            <w:tcW w:w="6660" w:type="dxa"/>
            <w:shd w:val="clear" w:color="auto" w:fill="BFBFBF" w:themeFill="background1" w:themeFillShade="BF"/>
            <w:vAlign w:val="bottom"/>
          </w:tcPr>
          <w:p w14:paraId="4E368B5A" w14:textId="77777777" w:rsidR="0000686B" w:rsidRPr="00E64374" w:rsidRDefault="0000686B" w:rsidP="00514129">
            <w:pPr>
              <w:spacing w:before="60" w:after="60" w:line="240" w:lineRule="auto"/>
              <w:rPr>
                <w:rFonts w:asciiTheme="minorHAnsi" w:hAnsiTheme="minorHAnsi" w:cs="Arial"/>
                <w:b/>
                <w:sz w:val="20"/>
                <w:szCs w:val="20"/>
              </w:rPr>
            </w:pPr>
            <w:r w:rsidRPr="00E64374">
              <w:rPr>
                <w:rFonts w:asciiTheme="minorHAnsi" w:hAnsiTheme="minorHAnsi" w:cs="Arial"/>
                <w:b/>
                <w:sz w:val="20"/>
                <w:szCs w:val="20"/>
              </w:rPr>
              <w:t>Explanation</w:t>
            </w:r>
          </w:p>
        </w:tc>
      </w:tr>
      <w:tr w:rsidR="0000686B" w:rsidRPr="00E64374" w14:paraId="3C254C7E" w14:textId="77777777" w:rsidTr="008A37F9">
        <w:trPr>
          <w:trHeight w:val="170"/>
        </w:trPr>
        <w:tc>
          <w:tcPr>
            <w:tcW w:w="2109" w:type="dxa"/>
            <w:shd w:val="clear" w:color="auto" w:fill="auto"/>
          </w:tcPr>
          <w:p w14:paraId="4169BD9A" w14:textId="77777777" w:rsidR="0000686B" w:rsidRPr="00E64374" w:rsidRDefault="0000686B" w:rsidP="00514129">
            <w:pPr>
              <w:autoSpaceDE w:val="0"/>
              <w:autoSpaceDN w:val="0"/>
              <w:adjustRightInd w:val="0"/>
              <w:spacing w:before="60" w:after="60" w:line="240" w:lineRule="auto"/>
              <w:rPr>
                <w:rFonts w:asciiTheme="minorHAnsi" w:hAnsiTheme="minorHAnsi" w:cs="Arial"/>
                <w:sz w:val="20"/>
                <w:szCs w:val="20"/>
              </w:rPr>
            </w:pPr>
            <w:r w:rsidRPr="00E64374">
              <w:rPr>
                <w:rFonts w:asciiTheme="minorHAnsi" w:hAnsiTheme="minorHAnsi" w:cs="Arial"/>
                <w:sz w:val="20"/>
                <w:szCs w:val="20"/>
              </w:rPr>
              <w:t>Absolute risk</w:t>
            </w:r>
          </w:p>
        </w:tc>
        <w:tc>
          <w:tcPr>
            <w:tcW w:w="6660" w:type="dxa"/>
            <w:shd w:val="clear" w:color="auto" w:fill="auto"/>
            <w:vAlign w:val="bottom"/>
          </w:tcPr>
          <w:p w14:paraId="109B9810"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 xml:space="preserve">The absolute risk of a disease is the risk of developing the disease over a certain time period. In Australia for the calculation of absolute risk in cardiovascular disease, this time period is usually five years. </w:t>
            </w:r>
          </w:p>
        </w:tc>
      </w:tr>
      <w:tr w:rsidR="0000686B" w:rsidRPr="00E64374" w14:paraId="4F539525" w14:textId="77777777" w:rsidTr="008A37F9">
        <w:trPr>
          <w:trHeight w:val="170"/>
        </w:trPr>
        <w:tc>
          <w:tcPr>
            <w:tcW w:w="2109" w:type="dxa"/>
            <w:shd w:val="clear" w:color="auto" w:fill="auto"/>
          </w:tcPr>
          <w:p w14:paraId="7DF45DD4"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1F1001">
              <w:rPr>
                <w:rFonts w:asciiTheme="minorHAnsi" w:hAnsiTheme="minorHAnsi" w:cs="Arial"/>
                <w:sz w:val="20"/>
                <w:szCs w:val="20"/>
              </w:rPr>
              <w:t>Adherence</w:t>
            </w:r>
          </w:p>
        </w:tc>
        <w:tc>
          <w:tcPr>
            <w:tcW w:w="6660" w:type="dxa"/>
            <w:shd w:val="clear" w:color="auto" w:fill="auto"/>
            <w:vAlign w:val="bottom"/>
          </w:tcPr>
          <w:p w14:paraId="22C088FA"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Calibri" w:eastAsia="Times New Roman" w:hAnsi="Calibri"/>
                <w:color w:val="000000"/>
                <w:sz w:val="20"/>
                <w:szCs w:val="20"/>
              </w:rPr>
              <w:t>In this report, an estimate of usage that may inform days of coverage provided by lipid lowering therapy.</w:t>
            </w:r>
          </w:p>
        </w:tc>
      </w:tr>
      <w:tr w:rsidR="0000686B" w:rsidRPr="00E64374" w14:paraId="4F125ECA" w14:textId="77777777" w:rsidTr="008A37F9">
        <w:trPr>
          <w:trHeight w:val="170"/>
        </w:trPr>
        <w:tc>
          <w:tcPr>
            <w:tcW w:w="2109" w:type="dxa"/>
            <w:shd w:val="clear" w:color="auto" w:fill="auto"/>
          </w:tcPr>
          <w:p w14:paraId="548D7A5E"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Algorithm</w:t>
            </w:r>
          </w:p>
        </w:tc>
        <w:tc>
          <w:tcPr>
            <w:tcW w:w="6660" w:type="dxa"/>
            <w:shd w:val="clear" w:color="auto" w:fill="auto"/>
            <w:vAlign w:val="bottom"/>
          </w:tcPr>
          <w:p w14:paraId="529C3E64" w14:textId="77777777" w:rsidR="0000686B" w:rsidRPr="008A37F9" w:rsidRDefault="0000686B" w:rsidP="00514129">
            <w:pPr>
              <w:spacing w:before="60" w:after="60" w:line="240" w:lineRule="auto"/>
              <w:rPr>
                <w:rFonts w:asciiTheme="minorHAnsi" w:hAnsiTheme="minorHAnsi" w:cs="Arial"/>
                <w:b/>
                <w:i/>
                <w:color w:val="000000"/>
                <w:sz w:val="20"/>
                <w:szCs w:val="20"/>
                <w:u w:val="single"/>
              </w:rPr>
            </w:pPr>
            <w:r w:rsidRPr="008A37F9">
              <w:rPr>
                <w:rFonts w:asciiTheme="minorHAnsi" w:hAnsiTheme="minorHAnsi"/>
                <w:sz w:val="20"/>
                <w:szCs w:val="20"/>
              </w:rPr>
              <w:t>A process or set of rules to be followed in calculations or other problem-solving operations.</w:t>
            </w:r>
          </w:p>
        </w:tc>
      </w:tr>
      <w:tr w:rsidR="0000686B" w:rsidRPr="00E64374" w14:paraId="286A978A" w14:textId="77777777" w:rsidTr="008A37F9">
        <w:trPr>
          <w:trHeight w:val="170"/>
        </w:trPr>
        <w:tc>
          <w:tcPr>
            <w:tcW w:w="2109" w:type="dxa"/>
            <w:shd w:val="clear" w:color="auto" w:fill="auto"/>
          </w:tcPr>
          <w:p w14:paraId="0ECB4AC5"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ATC C10</w:t>
            </w:r>
          </w:p>
        </w:tc>
        <w:tc>
          <w:tcPr>
            <w:tcW w:w="6660" w:type="dxa"/>
            <w:shd w:val="clear" w:color="auto" w:fill="auto"/>
            <w:vAlign w:val="bottom"/>
          </w:tcPr>
          <w:p w14:paraId="280023CF"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sz w:val="20"/>
                <w:szCs w:val="20"/>
              </w:rPr>
              <w:t xml:space="preserve">The Anatomical Therapeutic Chemical (ATC) Classification System is used for the </w:t>
            </w:r>
            <w:hyperlink r:id="rId9" w:tooltip="Drug class" w:history="1">
              <w:r w:rsidRPr="008A37F9">
                <w:rPr>
                  <w:rFonts w:asciiTheme="minorHAnsi" w:hAnsiTheme="minorHAnsi"/>
                  <w:sz w:val="20"/>
                  <w:szCs w:val="20"/>
                </w:rPr>
                <w:t>classification</w:t>
              </w:r>
            </w:hyperlink>
            <w:r w:rsidRPr="008A37F9">
              <w:rPr>
                <w:rFonts w:asciiTheme="minorHAnsi" w:hAnsiTheme="minorHAnsi"/>
                <w:sz w:val="20"/>
                <w:szCs w:val="20"/>
              </w:rPr>
              <w:t xml:space="preserve"> of </w:t>
            </w:r>
            <w:hyperlink r:id="rId10" w:tooltip="Medication" w:history="1">
              <w:r w:rsidRPr="008A37F9">
                <w:rPr>
                  <w:rFonts w:asciiTheme="minorHAnsi" w:hAnsiTheme="minorHAnsi"/>
                  <w:sz w:val="20"/>
                  <w:szCs w:val="20"/>
                </w:rPr>
                <w:t>active ingredients</w:t>
              </w:r>
            </w:hyperlink>
            <w:r w:rsidRPr="008A37F9">
              <w:rPr>
                <w:rFonts w:asciiTheme="minorHAnsi" w:hAnsiTheme="minorHAnsi"/>
                <w:sz w:val="20"/>
                <w:szCs w:val="20"/>
              </w:rPr>
              <w:t xml:space="preserve"> of </w:t>
            </w:r>
            <w:hyperlink r:id="rId11" w:tooltip="Drug" w:history="1">
              <w:r w:rsidRPr="008A37F9">
                <w:rPr>
                  <w:rFonts w:asciiTheme="minorHAnsi" w:hAnsiTheme="minorHAnsi"/>
                  <w:sz w:val="20"/>
                  <w:szCs w:val="20"/>
                </w:rPr>
                <w:t>drugs</w:t>
              </w:r>
            </w:hyperlink>
            <w:r w:rsidRPr="008A37F9">
              <w:rPr>
                <w:rFonts w:asciiTheme="minorHAnsi" w:hAnsiTheme="minorHAnsi"/>
                <w:sz w:val="20"/>
                <w:szCs w:val="20"/>
              </w:rPr>
              <w:t xml:space="preserve"> according to the </w:t>
            </w:r>
            <w:hyperlink r:id="rId12" w:tooltip="Organ (anatomy)" w:history="1">
              <w:r w:rsidRPr="008A37F9">
                <w:rPr>
                  <w:rFonts w:asciiTheme="minorHAnsi" w:hAnsiTheme="minorHAnsi"/>
                  <w:sz w:val="20"/>
                  <w:szCs w:val="20"/>
                </w:rPr>
                <w:t>organ</w:t>
              </w:r>
            </w:hyperlink>
            <w:r w:rsidRPr="008A37F9">
              <w:rPr>
                <w:rFonts w:asciiTheme="minorHAnsi" w:hAnsiTheme="minorHAnsi"/>
                <w:sz w:val="20"/>
                <w:szCs w:val="20"/>
              </w:rPr>
              <w:t xml:space="preserve"> or </w:t>
            </w:r>
            <w:hyperlink r:id="rId13" w:tooltip="System" w:history="1">
              <w:r w:rsidRPr="008A37F9">
                <w:rPr>
                  <w:rFonts w:asciiTheme="minorHAnsi" w:hAnsiTheme="minorHAnsi"/>
                  <w:sz w:val="20"/>
                  <w:szCs w:val="20"/>
                </w:rPr>
                <w:t>system</w:t>
              </w:r>
            </w:hyperlink>
            <w:r w:rsidRPr="008A37F9">
              <w:rPr>
                <w:rFonts w:asciiTheme="minorHAnsi" w:hAnsiTheme="minorHAnsi"/>
                <w:sz w:val="20"/>
                <w:szCs w:val="20"/>
              </w:rPr>
              <w:t xml:space="preserve"> on which they act and their </w:t>
            </w:r>
            <w:hyperlink r:id="rId14" w:tooltip="Therapeutic" w:history="1">
              <w:r w:rsidRPr="008A37F9">
                <w:rPr>
                  <w:rFonts w:asciiTheme="minorHAnsi" w:hAnsiTheme="minorHAnsi"/>
                  <w:sz w:val="20"/>
                  <w:szCs w:val="20"/>
                </w:rPr>
                <w:t>therapeutic</w:t>
              </w:r>
            </w:hyperlink>
            <w:r w:rsidRPr="008A37F9">
              <w:rPr>
                <w:rFonts w:asciiTheme="minorHAnsi" w:hAnsiTheme="minorHAnsi"/>
                <w:sz w:val="20"/>
                <w:szCs w:val="20"/>
              </w:rPr>
              <w:t xml:space="preserve">, </w:t>
            </w:r>
            <w:hyperlink r:id="rId15" w:tooltip="Pharmacological" w:history="1">
              <w:r w:rsidRPr="008A37F9">
                <w:rPr>
                  <w:rFonts w:asciiTheme="minorHAnsi" w:hAnsiTheme="minorHAnsi"/>
                  <w:sz w:val="20"/>
                  <w:szCs w:val="20"/>
                </w:rPr>
                <w:t>pharmacological</w:t>
              </w:r>
            </w:hyperlink>
            <w:r w:rsidRPr="008A37F9">
              <w:rPr>
                <w:rFonts w:asciiTheme="minorHAnsi" w:hAnsiTheme="minorHAnsi"/>
                <w:sz w:val="20"/>
                <w:szCs w:val="20"/>
              </w:rPr>
              <w:t xml:space="preserve"> and chemical properties. Code ‘C10 Lipid modifying agents’ is a therapeutic subgroup of the Anatomical Therapeutic Chemical Classification System.</w:t>
            </w:r>
          </w:p>
        </w:tc>
      </w:tr>
      <w:tr w:rsidR="0000686B" w:rsidRPr="00E64374" w14:paraId="49AE3DDA" w14:textId="77777777" w:rsidTr="008A37F9">
        <w:trPr>
          <w:trHeight w:val="170"/>
        </w:trPr>
        <w:tc>
          <w:tcPr>
            <w:tcW w:w="2109" w:type="dxa"/>
            <w:shd w:val="clear" w:color="auto" w:fill="auto"/>
          </w:tcPr>
          <w:p w14:paraId="1C444CB8"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Cholesterol</w:t>
            </w:r>
          </w:p>
        </w:tc>
        <w:tc>
          <w:tcPr>
            <w:tcW w:w="6660" w:type="dxa"/>
            <w:shd w:val="clear" w:color="auto" w:fill="auto"/>
            <w:vAlign w:val="bottom"/>
          </w:tcPr>
          <w:p w14:paraId="0340028B"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sz w:val="20"/>
                <w:szCs w:val="20"/>
              </w:rPr>
              <w:t>A fatty substance that is carried around your body with your blood. Your body produces most cholesterol naturally, with the balance obtained from the diet. Foods vary in their cholesterol content. High concentrations of specific types of cholesterol (e.g. LDL-cholesterol) are associated with cardiovascular disease (CVD).</w:t>
            </w:r>
            <w:r w:rsidRPr="008A37F9">
              <w:rPr>
                <w:rFonts w:asciiTheme="minorHAnsi" w:hAnsiTheme="minorHAnsi"/>
                <w:color w:val="615B57"/>
                <w:sz w:val="20"/>
                <w:szCs w:val="20"/>
              </w:rPr>
              <w:t> </w:t>
            </w:r>
          </w:p>
        </w:tc>
      </w:tr>
      <w:tr w:rsidR="0000686B" w:rsidRPr="00E64374" w14:paraId="44674A9C" w14:textId="77777777" w:rsidTr="008A37F9">
        <w:trPr>
          <w:trHeight w:val="170"/>
        </w:trPr>
        <w:tc>
          <w:tcPr>
            <w:tcW w:w="2109" w:type="dxa"/>
            <w:shd w:val="clear" w:color="auto" w:fill="auto"/>
          </w:tcPr>
          <w:p w14:paraId="3C87A63F" w14:textId="77777777" w:rsidR="0000686B" w:rsidRPr="00E64374" w:rsidRDefault="0000686B" w:rsidP="00514129">
            <w:pPr>
              <w:autoSpaceDE w:val="0"/>
              <w:autoSpaceDN w:val="0"/>
              <w:adjustRightInd w:val="0"/>
              <w:spacing w:before="60" w:after="60" w:line="240" w:lineRule="auto"/>
              <w:rPr>
                <w:rFonts w:asciiTheme="minorHAnsi" w:hAnsiTheme="minorHAnsi"/>
                <w:b/>
                <w:i/>
                <w:color w:val="000000"/>
                <w:sz w:val="20"/>
                <w:szCs w:val="20"/>
                <w:u w:val="single"/>
              </w:rPr>
            </w:pPr>
            <w:r w:rsidRPr="00E64374">
              <w:rPr>
                <w:rFonts w:asciiTheme="minorHAnsi" w:hAnsiTheme="minorHAnsi"/>
                <w:sz w:val="20"/>
                <w:szCs w:val="20"/>
              </w:rPr>
              <w:t>Co-morbidities</w:t>
            </w:r>
          </w:p>
        </w:tc>
        <w:tc>
          <w:tcPr>
            <w:tcW w:w="6660" w:type="dxa"/>
            <w:shd w:val="clear" w:color="auto" w:fill="auto"/>
            <w:vAlign w:val="bottom"/>
          </w:tcPr>
          <w:p w14:paraId="3B018565" w14:textId="77777777" w:rsidR="0000686B" w:rsidRPr="008A37F9" w:rsidRDefault="0000686B" w:rsidP="00514129">
            <w:pPr>
              <w:autoSpaceDE w:val="0"/>
              <w:autoSpaceDN w:val="0"/>
              <w:adjustRightInd w:val="0"/>
              <w:spacing w:before="60" w:after="60" w:line="240" w:lineRule="auto"/>
              <w:rPr>
                <w:rFonts w:asciiTheme="minorHAnsi" w:hAnsiTheme="minorHAnsi"/>
                <w:b/>
                <w:i/>
                <w:color w:val="000000"/>
                <w:sz w:val="20"/>
                <w:szCs w:val="20"/>
                <w:u w:val="single"/>
              </w:rPr>
            </w:pPr>
            <w:r w:rsidRPr="008A37F9">
              <w:rPr>
                <w:rFonts w:asciiTheme="minorHAnsi" w:hAnsiTheme="minorHAnsi"/>
                <w:sz w:val="20"/>
                <w:szCs w:val="20"/>
              </w:rPr>
              <w:t>The presence of one or more additional diseases or disorders co-occurring with (that is, concomitant or concurrent with) a primary disease or disorder.</w:t>
            </w:r>
          </w:p>
        </w:tc>
      </w:tr>
      <w:tr w:rsidR="0000686B" w:rsidRPr="00E64374" w14:paraId="273BC75A" w14:textId="77777777" w:rsidTr="008A37F9">
        <w:trPr>
          <w:trHeight w:val="170"/>
        </w:trPr>
        <w:tc>
          <w:tcPr>
            <w:tcW w:w="2109" w:type="dxa"/>
            <w:shd w:val="clear" w:color="auto" w:fill="auto"/>
          </w:tcPr>
          <w:p w14:paraId="49A6111F" w14:textId="77777777" w:rsidR="0000686B" w:rsidRPr="00E64374" w:rsidRDefault="0000686B" w:rsidP="00514129">
            <w:pPr>
              <w:autoSpaceDE w:val="0"/>
              <w:autoSpaceDN w:val="0"/>
              <w:adjustRightInd w:val="0"/>
              <w:spacing w:before="60" w:after="60" w:line="240" w:lineRule="auto"/>
              <w:rPr>
                <w:rFonts w:asciiTheme="minorHAnsi" w:hAnsiTheme="minorHAnsi"/>
                <w:b/>
                <w:i/>
                <w:color w:val="000000"/>
                <w:sz w:val="20"/>
                <w:szCs w:val="20"/>
                <w:u w:val="single"/>
              </w:rPr>
            </w:pPr>
            <w:r w:rsidRPr="001F1001">
              <w:rPr>
                <w:rFonts w:asciiTheme="minorHAnsi" w:hAnsiTheme="minorHAnsi"/>
                <w:sz w:val="20"/>
                <w:szCs w:val="20"/>
              </w:rPr>
              <w:t>Compliance</w:t>
            </w:r>
          </w:p>
        </w:tc>
        <w:tc>
          <w:tcPr>
            <w:tcW w:w="6660" w:type="dxa"/>
            <w:shd w:val="clear" w:color="auto" w:fill="auto"/>
            <w:vAlign w:val="bottom"/>
          </w:tcPr>
          <w:p w14:paraId="02EBB2EC" w14:textId="77777777" w:rsidR="0000686B" w:rsidRPr="008A37F9" w:rsidRDefault="0000686B" w:rsidP="00514129">
            <w:pPr>
              <w:rPr>
                <w:rFonts w:asciiTheme="minorHAnsi" w:hAnsiTheme="minorHAnsi"/>
                <w:b/>
                <w:i/>
                <w:color w:val="000000"/>
                <w:sz w:val="20"/>
                <w:szCs w:val="20"/>
                <w:u w:val="single"/>
              </w:rPr>
            </w:pPr>
            <w:r w:rsidRPr="008A37F9">
              <w:rPr>
                <w:rFonts w:ascii="Calibri" w:eastAsia="Times New Roman" w:hAnsi="Calibri"/>
                <w:color w:val="000000"/>
                <w:sz w:val="20"/>
                <w:szCs w:val="20"/>
              </w:rPr>
              <w:t>In this report, prescribing in accordance with the requirements of Pharmaceutical Benefits Scheme restrictions.</w:t>
            </w:r>
          </w:p>
        </w:tc>
      </w:tr>
      <w:tr w:rsidR="0000686B" w:rsidRPr="00E64374" w14:paraId="33D94CCD" w14:textId="77777777" w:rsidTr="008A37F9">
        <w:trPr>
          <w:trHeight w:val="170"/>
        </w:trPr>
        <w:tc>
          <w:tcPr>
            <w:tcW w:w="2109" w:type="dxa"/>
            <w:shd w:val="clear" w:color="auto" w:fill="auto"/>
          </w:tcPr>
          <w:p w14:paraId="3B5B8357" w14:textId="50F14DDC"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Co</w:t>
            </w:r>
            <w:r w:rsidR="002451EA">
              <w:rPr>
                <w:rFonts w:asciiTheme="minorHAnsi" w:hAnsiTheme="minorHAnsi" w:cs="Arial"/>
                <w:sz w:val="20"/>
                <w:szCs w:val="20"/>
              </w:rPr>
              <w:t>-</w:t>
            </w:r>
            <w:r w:rsidRPr="00E64374">
              <w:rPr>
                <w:rFonts w:asciiTheme="minorHAnsi" w:hAnsiTheme="minorHAnsi" w:cs="Arial"/>
                <w:sz w:val="20"/>
                <w:szCs w:val="20"/>
              </w:rPr>
              <w:t>pack</w:t>
            </w:r>
          </w:p>
        </w:tc>
        <w:tc>
          <w:tcPr>
            <w:tcW w:w="6660" w:type="dxa"/>
            <w:shd w:val="clear" w:color="auto" w:fill="auto"/>
            <w:vAlign w:val="bottom"/>
          </w:tcPr>
          <w:p w14:paraId="40CA8190"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Pre-packaged combinations of medicines that are convenient to use.</w:t>
            </w:r>
          </w:p>
        </w:tc>
      </w:tr>
      <w:tr w:rsidR="0000686B" w:rsidRPr="00E64374" w14:paraId="29D60FD3" w14:textId="77777777" w:rsidTr="008A37F9">
        <w:trPr>
          <w:trHeight w:val="170"/>
        </w:trPr>
        <w:tc>
          <w:tcPr>
            <w:tcW w:w="2109" w:type="dxa"/>
            <w:shd w:val="clear" w:color="auto" w:fill="auto"/>
          </w:tcPr>
          <w:p w14:paraId="326425FF"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Concomitant</w:t>
            </w:r>
          </w:p>
        </w:tc>
        <w:tc>
          <w:tcPr>
            <w:tcW w:w="6660" w:type="dxa"/>
            <w:shd w:val="clear" w:color="auto" w:fill="auto"/>
            <w:vAlign w:val="bottom"/>
          </w:tcPr>
          <w:p w14:paraId="47127317" w14:textId="77777777" w:rsidR="0000686B" w:rsidRPr="008A37F9" w:rsidRDefault="0000686B" w:rsidP="00514129">
            <w:pPr>
              <w:spacing w:before="60" w:after="60" w:line="240" w:lineRule="auto"/>
              <w:rPr>
                <w:rFonts w:asciiTheme="minorHAnsi" w:hAnsiTheme="minorHAnsi" w:cs="Arial"/>
                <w:b/>
                <w:i/>
                <w:color w:val="000000"/>
                <w:sz w:val="20"/>
                <w:szCs w:val="20"/>
                <w:u w:val="single"/>
              </w:rPr>
            </w:pPr>
            <w:r w:rsidRPr="008A37F9">
              <w:rPr>
                <w:rFonts w:asciiTheme="minorHAnsi" w:hAnsiTheme="minorHAnsi"/>
                <w:sz w:val="20"/>
                <w:szCs w:val="20"/>
              </w:rPr>
              <w:t>Two or more medicines used or given at or almost at the same time (one after the other, on the same day, etc.).</w:t>
            </w:r>
          </w:p>
        </w:tc>
      </w:tr>
      <w:tr w:rsidR="0000686B" w:rsidRPr="00E64374" w14:paraId="7C269273" w14:textId="77777777" w:rsidTr="008A37F9">
        <w:trPr>
          <w:trHeight w:val="170"/>
        </w:trPr>
        <w:tc>
          <w:tcPr>
            <w:tcW w:w="2109" w:type="dxa"/>
            <w:shd w:val="clear" w:color="auto" w:fill="auto"/>
          </w:tcPr>
          <w:p w14:paraId="1429DCA9"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Contraindicated</w:t>
            </w:r>
          </w:p>
        </w:tc>
        <w:tc>
          <w:tcPr>
            <w:tcW w:w="6660" w:type="dxa"/>
            <w:shd w:val="clear" w:color="auto" w:fill="auto"/>
            <w:vAlign w:val="bottom"/>
          </w:tcPr>
          <w:p w14:paraId="2502EC0E" w14:textId="77777777" w:rsidR="0000686B" w:rsidRPr="008A37F9" w:rsidRDefault="0000686B" w:rsidP="00514129">
            <w:pPr>
              <w:spacing w:before="60" w:after="60" w:line="240" w:lineRule="auto"/>
              <w:rPr>
                <w:rFonts w:asciiTheme="minorHAnsi" w:hAnsiTheme="minorHAnsi" w:cs="Arial"/>
                <w:b/>
                <w:i/>
                <w:color w:val="000000"/>
                <w:sz w:val="20"/>
                <w:szCs w:val="20"/>
                <w:u w:val="single"/>
              </w:rPr>
            </w:pPr>
            <w:r w:rsidRPr="008A37F9">
              <w:rPr>
                <w:rFonts w:asciiTheme="minorHAnsi" w:hAnsiTheme="minorHAnsi"/>
                <w:sz w:val="20"/>
                <w:szCs w:val="20"/>
              </w:rPr>
              <w:t>A symptom or condition that is a medical reason for not doing or using something (such as a treatment, procedure, or activity).</w:t>
            </w:r>
          </w:p>
        </w:tc>
      </w:tr>
      <w:tr w:rsidR="0000686B" w:rsidRPr="00E64374" w14:paraId="5FA7C140" w14:textId="77777777" w:rsidTr="008A37F9">
        <w:trPr>
          <w:trHeight w:val="170"/>
        </w:trPr>
        <w:tc>
          <w:tcPr>
            <w:tcW w:w="2109" w:type="dxa"/>
            <w:shd w:val="clear" w:color="auto" w:fill="auto"/>
          </w:tcPr>
          <w:p w14:paraId="6ECD3CE9"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Dyslipidaemia</w:t>
            </w:r>
          </w:p>
        </w:tc>
        <w:tc>
          <w:tcPr>
            <w:tcW w:w="6660" w:type="dxa"/>
            <w:shd w:val="clear" w:color="auto" w:fill="auto"/>
            <w:vAlign w:val="bottom"/>
          </w:tcPr>
          <w:p w14:paraId="52A6AF81" w14:textId="77777777" w:rsidR="0000686B" w:rsidRPr="008A37F9" w:rsidRDefault="0000686B" w:rsidP="00514129">
            <w:pPr>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An abnormal amount of lipids (e.g. triglycerides, cholesterol and/or fat phospholipids) in the blood.</w:t>
            </w:r>
          </w:p>
        </w:tc>
      </w:tr>
      <w:tr w:rsidR="0000686B" w:rsidRPr="00E64374" w14:paraId="475AC2E6" w14:textId="77777777" w:rsidTr="008A37F9">
        <w:trPr>
          <w:trHeight w:val="170"/>
        </w:trPr>
        <w:tc>
          <w:tcPr>
            <w:tcW w:w="2109" w:type="dxa"/>
            <w:shd w:val="clear" w:color="auto" w:fill="auto"/>
          </w:tcPr>
          <w:p w14:paraId="41ADA8D7"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Epidemiology</w:t>
            </w:r>
          </w:p>
        </w:tc>
        <w:tc>
          <w:tcPr>
            <w:tcW w:w="6660" w:type="dxa"/>
            <w:shd w:val="clear" w:color="auto" w:fill="auto"/>
            <w:vAlign w:val="bottom"/>
          </w:tcPr>
          <w:p w14:paraId="3E330BDC"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The study and analysis of the patterns, causes, and effects of health and disease conditions in defined populations.</w:t>
            </w:r>
          </w:p>
        </w:tc>
      </w:tr>
      <w:tr w:rsidR="0000686B" w:rsidRPr="00E64374" w14:paraId="009EB1E7" w14:textId="77777777" w:rsidTr="008A37F9">
        <w:trPr>
          <w:trHeight w:val="170"/>
        </w:trPr>
        <w:tc>
          <w:tcPr>
            <w:tcW w:w="2109" w:type="dxa"/>
            <w:shd w:val="clear" w:color="auto" w:fill="auto"/>
          </w:tcPr>
          <w:p w14:paraId="7FF3D26F"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Hepatic</w:t>
            </w:r>
          </w:p>
        </w:tc>
        <w:tc>
          <w:tcPr>
            <w:tcW w:w="6660" w:type="dxa"/>
            <w:shd w:val="clear" w:color="auto" w:fill="auto"/>
            <w:vAlign w:val="bottom"/>
          </w:tcPr>
          <w:p w14:paraId="47DCE735"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Relating to the liver.</w:t>
            </w:r>
          </w:p>
        </w:tc>
      </w:tr>
      <w:tr w:rsidR="0000686B" w:rsidRPr="00E64374" w14:paraId="54A00A2D" w14:textId="77777777" w:rsidTr="008A37F9">
        <w:trPr>
          <w:trHeight w:val="170"/>
        </w:trPr>
        <w:tc>
          <w:tcPr>
            <w:tcW w:w="2109" w:type="dxa"/>
            <w:shd w:val="clear" w:color="auto" w:fill="auto"/>
          </w:tcPr>
          <w:p w14:paraId="631B8FA2"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HMG CoA reductase inhibitors</w:t>
            </w:r>
          </w:p>
        </w:tc>
        <w:tc>
          <w:tcPr>
            <w:tcW w:w="6660" w:type="dxa"/>
            <w:shd w:val="clear" w:color="auto" w:fill="auto"/>
            <w:vAlign w:val="bottom"/>
          </w:tcPr>
          <w:p w14:paraId="336213D8" w14:textId="5444C0DF" w:rsidR="0000686B" w:rsidRPr="008A37F9" w:rsidRDefault="0000686B" w:rsidP="006E3131">
            <w:pPr>
              <w:spacing w:before="60" w:after="60" w:line="240" w:lineRule="auto"/>
              <w:rPr>
                <w:rFonts w:asciiTheme="minorHAnsi" w:hAnsiTheme="minorHAnsi" w:cs="Arial"/>
                <w:b/>
                <w:i/>
                <w:color w:val="000000"/>
                <w:sz w:val="20"/>
                <w:szCs w:val="20"/>
                <w:u w:val="single"/>
              </w:rPr>
            </w:pPr>
            <w:r w:rsidRPr="008A37F9">
              <w:rPr>
                <w:rFonts w:asciiTheme="minorHAnsi" w:hAnsiTheme="minorHAnsi"/>
                <w:sz w:val="20"/>
                <w:szCs w:val="20"/>
              </w:rPr>
              <w:t>A class of lipid-lowering medications</w:t>
            </w:r>
            <w:r w:rsidR="002451EA">
              <w:rPr>
                <w:rFonts w:asciiTheme="minorHAnsi" w:hAnsiTheme="minorHAnsi"/>
                <w:sz w:val="20"/>
                <w:szCs w:val="20"/>
              </w:rPr>
              <w:t xml:space="preserve">, </w:t>
            </w:r>
            <w:r w:rsidRPr="008A37F9">
              <w:rPr>
                <w:rFonts w:asciiTheme="minorHAnsi" w:hAnsiTheme="minorHAnsi"/>
                <w:sz w:val="20"/>
                <w:szCs w:val="20"/>
              </w:rPr>
              <w:t xml:space="preserve">commonly referred to as statins. They inhibit the enzyme HMG-CoA reductase which plays a central role in the body’s production of cholesterol. </w:t>
            </w:r>
          </w:p>
        </w:tc>
      </w:tr>
      <w:tr w:rsidR="0000686B" w:rsidRPr="00E64374" w14:paraId="75D036F6" w14:textId="77777777" w:rsidTr="008A37F9">
        <w:trPr>
          <w:trHeight w:val="170"/>
        </w:trPr>
        <w:tc>
          <w:tcPr>
            <w:tcW w:w="2109" w:type="dxa"/>
            <w:shd w:val="clear" w:color="auto" w:fill="auto"/>
          </w:tcPr>
          <w:p w14:paraId="1AB34FD8"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lastRenderedPageBreak/>
              <w:t>Hypercholesterolaemia</w:t>
            </w:r>
          </w:p>
        </w:tc>
        <w:tc>
          <w:tcPr>
            <w:tcW w:w="6660" w:type="dxa"/>
            <w:shd w:val="clear" w:color="auto" w:fill="auto"/>
            <w:vAlign w:val="bottom"/>
          </w:tcPr>
          <w:p w14:paraId="6C0ACFBB" w14:textId="77777777" w:rsidR="0000686B" w:rsidRPr="008A37F9" w:rsidRDefault="0000686B" w:rsidP="00514129">
            <w:pPr>
              <w:spacing w:before="60" w:after="60" w:line="240" w:lineRule="auto"/>
              <w:rPr>
                <w:rFonts w:asciiTheme="minorHAnsi" w:hAnsiTheme="minorHAnsi"/>
                <w:b/>
                <w:i/>
                <w:color w:val="000000"/>
                <w:sz w:val="20"/>
                <w:szCs w:val="20"/>
                <w:u w:val="single"/>
              </w:rPr>
            </w:pPr>
            <w:r w:rsidRPr="008A37F9">
              <w:rPr>
                <w:rFonts w:asciiTheme="minorHAnsi" w:hAnsiTheme="minorHAnsi" w:cs="Arial"/>
                <w:sz w:val="20"/>
                <w:szCs w:val="20"/>
              </w:rPr>
              <w:t>An excess of cholesterol in the bloodstream.</w:t>
            </w:r>
          </w:p>
        </w:tc>
      </w:tr>
      <w:tr w:rsidR="0000686B" w:rsidRPr="00E64374" w14:paraId="2C187B47" w14:textId="77777777" w:rsidTr="008A37F9">
        <w:trPr>
          <w:trHeight w:val="170"/>
        </w:trPr>
        <w:tc>
          <w:tcPr>
            <w:tcW w:w="2109" w:type="dxa"/>
            <w:shd w:val="clear" w:color="auto" w:fill="auto"/>
          </w:tcPr>
          <w:p w14:paraId="4FD96923"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Intolerance</w:t>
            </w:r>
          </w:p>
        </w:tc>
        <w:tc>
          <w:tcPr>
            <w:tcW w:w="6660" w:type="dxa"/>
            <w:shd w:val="clear" w:color="auto" w:fill="auto"/>
            <w:vAlign w:val="bottom"/>
          </w:tcPr>
          <w:p w14:paraId="62A34199" w14:textId="77777777" w:rsidR="0000686B" w:rsidRPr="008A37F9" w:rsidRDefault="0000686B" w:rsidP="00514129">
            <w:pPr>
              <w:spacing w:before="60" w:after="60" w:line="240" w:lineRule="auto"/>
              <w:rPr>
                <w:rFonts w:asciiTheme="minorHAnsi" w:hAnsiTheme="minorHAnsi"/>
                <w:b/>
                <w:i/>
                <w:color w:val="000000"/>
                <w:sz w:val="20"/>
                <w:szCs w:val="20"/>
                <w:u w:val="single"/>
              </w:rPr>
            </w:pPr>
            <w:r w:rsidRPr="008A37F9">
              <w:rPr>
                <w:rFonts w:asciiTheme="minorHAnsi" w:hAnsiTheme="minorHAnsi" w:cs="Arial"/>
                <w:sz w:val="20"/>
                <w:szCs w:val="20"/>
              </w:rPr>
              <w:t>An inability to eat a food or take a drug without adverse effects.</w:t>
            </w:r>
          </w:p>
        </w:tc>
      </w:tr>
      <w:tr w:rsidR="0000686B" w:rsidRPr="00E64374" w14:paraId="040B1F8F" w14:textId="77777777" w:rsidTr="008A37F9">
        <w:trPr>
          <w:trHeight w:val="170"/>
        </w:trPr>
        <w:tc>
          <w:tcPr>
            <w:tcW w:w="2109" w:type="dxa"/>
            <w:shd w:val="clear" w:color="auto" w:fill="auto"/>
          </w:tcPr>
          <w:p w14:paraId="423E0D76"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Lipid</w:t>
            </w:r>
          </w:p>
        </w:tc>
        <w:tc>
          <w:tcPr>
            <w:tcW w:w="6660" w:type="dxa"/>
            <w:shd w:val="clear" w:color="auto" w:fill="auto"/>
            <w:vAlign w:val="bottom"/>
          </w:tcPr>
          <w:p w14:paraId="61974A52"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Fat-like substances found in your blood and body tissues e.g. triglycerides, cholesterol.</w:t>
            </w:r>
          </w:p>
        </w:tc>
      </w:tr>
      <w:tr w:rsidR="0000686B" w:rsidRPr="00E64374" w14:paraId="2BA185E7" w14:textId="77777777" w:rsidTr="008A37F9">
        <w:trPr>
          <w:trHeight w:val="170"/>
        </w:trPr>
        <w:tc>
          <w:tcPr>
            <w:tcW w:w="2109" w:type="dxa"/>
            <w:shd w:val="clear" w:color="auto" w:fill="auto"/>
          </w:tcPr>
          <w:p w14:paraId="39C6566A"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Longitudinal study</w:t>
            </w:r>
          </w:p>
        </w:tc>
        <w:tc>
          <w:tcPr>
            <w:tcW w:w="6660" w:type="dxa"/>
            <w:shd w:val="clear" w:color="auto" w:fill="auto"/>
            <w:vAlign w:val="bottom"/>
          </w:tcPr>
          <w:p w14:paraId="08EDF375"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A research study that involves repeated observations of the same variables (e.g., cholesterol concentration, adverse events) over long periods of time, often many decades.</w:t>
            </w:r>
          </w:p>
        </w:tc>
      </w:tr>
      <w:tr w:rsidR="0000686B" w:rsidRPr="00E64374" w14:paraId="182A1A6A" w14:textId="77777777" w:rsidTr="008A37F9">
        <w:trPr>
          <w:trHeight w:val="170"/>
        </w:trPr>
        <w:tc>
          <w:tcPr>
            <w:tcW w:w="2109" w:type="dxa"/>
            <w:shd w:val="clear" w:color="auto" w:fill="auto"/>
          </w:tcPr>
          <w:p w14:paraId="6E9AC3CF"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Microalbuminuria</w:t>
            </w:r>
          </w:p>
        </w:tc>
        <w:tc>
          <w:tcPr>
            <w:tcW w:w="6660" w:type="dxa"/>
            <w:shd w:val="clear" w:color="auto" w:fill="auto"/>
            <w:vAlign w:val="bottom"/>
          </w:tcPr>
          <w:p w14:paraId="4256D4AF"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Presence of tiny amounts of albumin (protein) in the urine which may occur in any condition affecting the kidney filters (glomeruli).</w:t>
            </w:r>
          </w:p>
        </w:tc>
      </w:tr>
      <w:tr w:rsidR="0000686B" w:rsidRPr="00E64374" w14:paraId="799508C7" w14:textId="77777777" w:rsidTr="008A37F9">
        <w:trPr>
          <w:trHeight w:val="170"/>
        </w:trPr>
        <w:tc>
          <w:tcPr>
            <w:tcW w:w="2109" w:type="dxa"/>
            <w:shd w:val="clear" w:color="auto" w:fill="auto"/>
          </w:tcPr>
          <w:p w14:paraId="22440A02"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PBS Statutory pricing</w:t>
            </w:r>
          </w:p>
        </w:tc>
        <w:tc>
          <w:tcPr>
            <w:tcW w:w="6660" w:type="dxa"/>
            <w:shd w:val="clear" w:color="auto" w:fill="auto"/>
            <w:vAlign w:val="bottom"/>
          </w:tcPr>
          <w:p w14:paraId="2740BCBB" w14:textId="77777777" w:rsidR="0000686B" w:rsidRPr="008A37F9" w:rsidRDefault="0000686B" w:rsidP="00514129">
            <w:pPr>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 xml:space="preserve">Statutory price reductions, including price disclosure, are provided for in the </w:t>
            </w:r>
            <w:r w:rsidRPr="008A37F9">
              <w:rPr>
                <w:rFonts w:asciiTheme="minorHAnsi" w:hAnsiTheme="minorHAnsi" w:cs="Arial"/>
                <w:i/>
                <w:sz w:val="20"/>
                <w:szCs w:val="20"/>
              </w:rPr>
              <w:t>National Health Act 1953</w:t>
            </w:r>
            <w:r w:rsidRPr="008A37F9">
              <w:rPr>
                <w:rFonts w:asciiTheme="minorHAnsi" w:hAnsiTheme="minorHAnsi" w:cs="Arial"/>
                <w:sz w:val="20"/>
                <w:szCs w:val="20"/>
              </w:rPr>
              <w:t xml:space="preserve"> (the Act) and the National Health (Pharmaceutical Benefits) Regulations 1960. Statutory price reductions were first introduced through 2007 amendments to the Act.</w:t>
            </w:r>
          </w:p>
        </w:tc>
      </w:tr>
      <w:tr w:rsidR="0000686B" w:rsidRPr="00E64374" w14:paraId="184857A6" w14:textId="77777777" w:rsidTr="008A37F9">
        <w:trPr>
          <w:trHeight w:val="170"/>
        </w:trPr>
        <w:tc>
          <w:tcPr>
            <w:tcW w:w="2109" w:type="dxa"/>
            <w:shd w:val="clear" w:color="auto" w:fill="auto"/>
          </w:tcPr>
          <w:p w14:paraId="657EB8FF"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1F1001">
              <w:rPr>
                <w:rFonts w:asciiTheme="minorHAnsi" w:hAnsiTheme="minorHAnsi" w:cs="Arial"/>
                <w:sz w:val="20"/>
                <w:szCs w:val="20"/>
              </w:rPr>
              <w:t>Persistence</w:t>
            </w:r>
          </w:p>
        </w:tc>
        <w:tc>
          <w:tcPr>
            <w:tcW w:w="6660" w:type="dxa"/>
            <w:shd w:val="clear" w:color="auto" w:fill="auto"/>
            <w:vAlign w:val="bottom"/>
          </w:tcPr>
          <w:p w14:paraId="498BEE78" w14:textId="77777777" w:rsidR="0000686B" w:rsidRPr="008A37F9" w:rsidRDefault="0000686B" w:rsidP="00514129">
            <w:pPr>
              <w:rPr>
                <w:rFonts w:asciiTheme="minorHAnsi" w:hAnsiTheme="minorHAnsi"/>
                <w:b/>
                <w:i/>
                <w:color w:val="000000"/>
                <w:sz w:val="20"/>
                <w:szCs w:val="20"/>
                <w:u w:val="single"/>
              </w:rPr>
            </w:pPr>
            <w:r w:rsidRPr="008A37F9">
              <w:rPr>
                <w:rFonts w:ascii="Calibri" w:eastAsia="Times New Roman" w:hAnsi="Calibri"/>
                <w:color w:val="000000"/>
                <w:sz w:val="20"/>
                <w:szCs w:val="20"/>
              </w:rPr>
              <w:t>In this report, an estimate of usage that may inform duration of treatment. </w:t>
            </w:r>
          </w:p>
        </w:tc>
      </w:tr>
      <w:tr w:rsidR="0000686B" w:rsidRPr="00E64374" w14:paraId="44997DD2" w14:textId="77777777" w:rsidTr="008A37F9">
        <w:trPr>
          <w:trHeight w:val="170"/>
        </w:trPr>
        <w:tc>
          <w:tcPr>
            <w:tcW w:w="2109" w:type="dxa"/>
            <w:shd w:val="clear" w:color="auto" w:fill="auto"/>
          </w:tcPr>
          <w:p w14:paraId="2A573DEB"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Pharmacotherapy</w:t>
            </w:r>
          </w:p>
        </w:tc>
        <w:tc>
          <w:tcPr>
            <w:tcW w:w="6660" w:type="dxa"/>
            <w:shd w:val="clear" w:color="auto" w:fill="auto"/>
            <w:vAlign w:val="bottom"/>
          </w:tcPr>
          <w:p w14:paraId="6FEF2634" w14:textId="77777777" w:rsidR="0000686B" w:rsidRPr="008A37F9" w:rsidRDefault="0000686B" w:rsidP="00514129">
            <w:pPr>
              <w:spacing w:before="60" w:after="60" w:line="240" w:lineRule="auto"/>
              <w:rPr>
                <w:rFonts w:asciiTheme="minorHAnsi" w:hAnsiTheme="minorHAnsi" w:cs="Arial"/>
                <w:b/>
                <w:i/>
                <w:color w:val="000000"/>
                <w:sz w:val="20"/>
                <w:szCs w:val="20"/>
                <w:u w:val="single"/>
              </w:rPr>
            </w:pPr>
            <w:r w:rsidRPr="008A37F9">
              <w:rPr>
                <w:rFonts w:asciiTheme="minorHAnsi" w:hAnsiTheme="minorHAnsi"/>
                <w:sz w:val="20"/>
                <w:szCs w:val="20"/>
              </w:rPr>
              <w:t>Therapy using pharmaceutical medicines, as distinguished from therapy using surgery (surgical therapy), radiation (radiation therapy), movement (physical therapy) etc.</w:t>
            </w:r>
          </w:p>
        </w:tc>
      </w:tr>
      <w:tr w:rsidR="0000686B" w:rsidRPr="00E64374" w14:paraId="39545927" w14:textId="77777777" w:rsidTr="008A37F9">
        <w:trPr>
          <w:trHeight w:val="170"/>
        </w:trPr>
        <w:tc>
          <w:tcPr>
            <w:tcW w:w="2109" w:type="dxa"/>
            <w:shd w:val="clear" w:color="auto" w:fill="auto"/>
          </w:tcPr>
          <w:p w14:paraId="4F7CAE8A"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Phase III clinical trial</w:t>
            </w:r>
          </w:p>
        </w:tc>
        <w:tc>
          <w:tcPr>
            <w:tcW w:w="6660" w:type="dxa"/>
            <w:shd w:val="clear" w:color="auto" w:fill="auto"/>
            <w:vAlign w:val="bottom"/>
          </w:tcPr>
          <w:p w14:paraId="7D40C862" w14:textId="77777777" w:rsidR="0000686B" w:rsidRPr="008A37F9" w:rsidRDefault="0000686B" w:rsidP="00C17B2A">
            <w:pPr>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 xml:space="preserve">The medicine or treatment is given to large groups of people to confirm its effectiveness, monitor </w:t>
            </w:r>
            <w:r w:rsidR="00C17B2A" w:rsidRPr="0021180D">
              <w:rPr>
                <w:rFonts w:asciiTheme="minorHAnsi" w:hAnsiTheme="minorHAnsi" w:cs="Arial"/>
                <w:sz w:val="20"/>
                <w:szCs w:val="20"/>
              </w:rPr>
              <w:t>adverse</w:t>
            </w:r>
            <w:r w:rsidR="00C17B2A">
              <w:rPr>
                <w:rFonts w:asciiTheme="minorHAnsi" w:hAnsiTheme="minorHAnsi" w:cs="Arial"/>
                <w:sz w:val="20"/>
                <w:szCs w:val="20"/>
              </w:rPr>
              <w:t xml:space="preserve"> </w:t>
            </w:r>
            <w:r w:rsidRPr="008A37F9">
              <w:rPr>
                <w:rFonts w:asciiTheme="minorHAnsi" w:hAnsiTheme="minorHAnsi" w:cs="Arial"/>
                <w:sz w:val="20"/>
                <w:szCs w:val="20"/>
              </w:rPr>
              <w:t>effects, compare it to commonly used treatments, and collect information that will allow the medicine or treatment to be used safely.</w:t>
            </w:r>
          </w:p>
        </w:tc>
      </w:tr>
      <w:tr w:rsidR="0000686B" w:rsidRPr="00E64374" w14:paraId="09D9F02B" w14:textId="77777777" w:rsidTr="008A37F9">
        <w:trPr>
          <w:trHeight w:val="170"/>
        </w:trPr>
        <w:tc>
          <w:tcPr>
            <w:tcW w:w="2109" w:type="dxa"/>
            <w:shd w:val="clear" w:color="auto" w:fill="auto"/>
          </w:tcPr>
          <w:p w14:paraId="73ED0941"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Phase IV clinical trial</w:t>
            </w:r>
          </w:p>
        </w:tc>
        <w:tc>
          <w:tcPr>
            <w:tcW w:w="6660" w:type="dxa"/>
            <w:shd w:val="clear" w:color="auto" w:fill="auto"/>
            <w:vAlign w:val="bottom"/>
          </w:tcPr>
          <w:p w14:paraId="6788E584" w14:textId="77777777" w:rsidR="0000686B" w:rsidRPr="008A37F9" w:rsidRDefault="0000686B" w:rsidP="00C17B2A">
            <w:pPr>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 xml:space="preserve">Studies are done after the medicine or treatment has been marketed to gather information on the medicine’s effect in various populations and any </w:t>
            </w:r>
            <w:r w:rsidR="00C17B2A" w:rsidRPr="0021180D">
              <w:rPr>
                <w:rFonts w:asciiTheme="minorHAnsi" w:hAnsiTheme="minorHAnsi" w:cs="Arial"/>
                <w:sz w:val="20"/>
                <w:szCs w:val="20"/>
              </w:rPr>
              <w:t>adverse</w:t>
            </w:r>
            <w:r w:rsidR="00C17B2A">
              <w:rPr>
                <w:rFonts w:asciiTheme="minorHAnsi" w:hAnsiTheme="minorHAnsi" w:cs="Arial"/>
                <w:sz w:val="20"/>
                <w:szCs w:val="20"/>
              </w:rPr>
              <w:t xml:space="preserve"> </w:t>
            </w:r>
            <w:r w:rsidRPr="008A37F9">
              <w:rPr>
                <w:rFonts w:asciiTheme="minorHAnsi" w:hAnsiTheme="minorHAnsi" w:cs="Arial"/>
                <w:sz w:val="20"/>
                <w:szCs w:val="20"/>
              </w:rPr>
              <w:t>effects associated with long-term use.</w:t>
            </w:r>
          </w:p>
        </w:tc>
      </w:tr>
      <w:tr w:rsidR="0000686B" w:rsidRPr="00E64374" w14:paraId="0248C10E" w14:textId="77777777" w:rsidTr="008A37F9">
        <w:trPr>
          <w:trHeight w:val="170"/>
        </w:trPr>
        <w:tc>
          <w:tcPr>
            <w:tcW w:w="2109" w:type="dxa"/>
            <w:shd w:val="clear" w:color="auto" w:fill="auto"/>
          </w:tcPr>
          <w:p w14:paraId="08DF54BA"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Prevalent</w:t>
            </w:r>
          </w:p>
        </w:tc>
        <w:tc>
          <w:tcPr>
            <w:tcW w:w="6660" w:type="dxa"/>
            <w:shd w:val="clear" w:color="auto" w:fill="auto"/>
            <w:vAlign w:val="bottom"/>
          </w:tcPr>
          <w:p w14:paraId="7AC21266" w14:textId="77777777" w:rsidR="0000686B" w:rsidRPr="008A37F9" w:rsidRDefault="0000686B" w:rsidP="00514129">
            <w:pPr>
              <w:spacing w:before="60" w:after="60" w:line="240" w:lineRule="auto"/>
              <w:rPr>
                <w:rFonts w:asciiTheme="minorHAnsi" w:hAnsiTheme="minorHAnsi" w:cs="Arial"/>
                <w:b/>
                <w:i/>
                <w:color w:val="000000"/>
                <w:sz w:val="20"/>
                <w:szCs w:val="20"/>
                <w:u w:val="single"/>
              </w:rPr>
            </w:pPr>
            <w:r w:rsidRPr="008A37F9">
              <w:rPr>
                <w:rFonts w:asciiTheme="minorHAnsi" w:hAnsiTheme="minorHAnsi"/>
                <w:sz w:val="20"/>
                <w:szCs w:val="20"/>
              </w:rPr>
              <w:t>Individuals whose disease developed or was diagnosed before they were identified for the study.</w:t>
            </w:r>
          </w:p>
        </w:tc>
      </w:tr>
      <w:tr w:rsidR="0000686B" w:rsidRPr="00E64374" w14:paraId="5C9AE19E" w14:textId="77777777" w:rsidTr="008A37F9">
        <w:trPr>
          <w:trHeight w:val="170"/>
        </w:trPr>
        <w:tc>
          <w:tcPr>
            <w:tcW w:w="2109" w:type="dxa"/>
            <w:shd w:val="clear" w:color="auto" w:fill="auto"/>
          </w:tcPr>
          <w:p w14:paraId="3C22DC13"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Proteinuria</w:t>
            </w:r>
          </w:p>
        </w:tc>
        <w:tc>
          <w:tcPr>
            <w:tcW w:w="6660" w:type="dxa"/>
            <w:shd w:val="clear" w:color="auto" w:fill="auto"/>
            <w:vAlign w:val="bottom"/>
          </w:tcPr>
          <w:p w14:paraId="2061A245" w14:textId="77777777" w:rsidR="0000686B" w:rsidRPr="008A37F9" w:rsidRDefault="0000686B" w:rsidP="00514129">
            <w:pPr>
              <w:spacing w:before="60" w:after="60" w:line="240" w:lineRule="auto"/>
              <w:rPr>
                <w:rFonts w:asciiTheme="minorHAnsi" w:hAnsiTheme="minorHAnsi"/>
                <w:b/>
                <w:i/>
                <w:color w:val="000000"/>
                <w:sz w:val="20"/>
                <w:szCs w:val="20"/>
                <w:u w:val="single"/>
              </w:rPr>
            </w:pPr>
            <w:r w:rsidRPr="008A37F9">
              <w:rPr>
                <w:rFonts w:asciiTheme="minorHAnsi" w:hAnsiTheme="minorHAnsi"/>
                <w:sz w:val="20"/>
                <w:szCs w:val="20"/>
              </w:rPr>
              <w:t>Presence of excess proteins in the urine.</w:t>
            </w:r>
          </w:p>
        </w:tc>
      </w:tr>
      <w:tr w:rsidR="0000686B" w:rsidRPr="00E64374" w14:paraId="09B11269" w14:textId="77777777" w:rsidTr="008A37F9">
        <w:trPr>
          <w:trHeight w:val="170"/>
        </w:trPr>
        <w:tc>
          <w:tcPr>
            <w:tcW w:w="2109" w:type="dxa"/>
            <w:shd w:val="clear" w:color="auto" w:fill="auto"/>
          </w:tcPr>
          <w:p w14:paraId="3CCE5F36"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Randomised controlled trial</w:t>
            </w:r>
          </w:p>
        </w:tc>
        <w:tc>
          <w:tcPr>
            <w:tcW w:w="6660" w:type="dxa"/>
            <w:shd w:val="clear" w:color="auto" w:fill="auto"/>
            <w:vAlign w:val="bottom"/>
          </w:tcPr>
          <w:p w14:paraId="54277B46" w14:textId="77777777" w:rsidR="0000686B" w:rsidRPr="008A37F9" w:rsidRDefault="0000686B" w:rsidP="00514129">
            <w:pPr>
              <w:spacing w:before="60" w:after="60" w:line="240" w:lineRule="auto"/>
              <w:rPr>
                <w:rFonts w:asciiTheme="minorHAnsi" w:hAnsiTheme="minorHAnsi" w:cs="Arial"/>
                <w:b/>
                <w:i/>
                <w:color w:val="000000"/>
                <w:sz w:val="20"/>
                <w:szCs w:val="20"/>
                <w:u w:val="single"/>
              </w:rPr>
            </w:pPr>
            <w:r w:rsidRPr="008A37F9">
              <w:rPr>
                <w:rFonts w:asciiTheme="minorHAnsi" w:hAnsiTheme="minorHAnsi"/>
                <w:sz w:val="20"/>
                <w:szCs w:val="20"/>
              </w:rPr>
              <w:t>A study in which people are allocated at random (by chance alone) to receive one of two or more clinical interventions. One of these interventions is the standard of comparison or control. The control may be a standard practice, a placebo ("sugar pill"), or no intervention at all.</w:t>
            </w:r>
          </w:p>
        </w:tc>
      </w:tr>
      <w:tr w:rsidR="0000686B" w:rsidRPr="00E64374" w14:paraId="50B203CC" w14:textId="77777777" w:rsidTr="008A37F9">
        <w:trPr>
          <w:trHeight w:val="170"/>
        </w:trPr>
        <w:tc>
          <w:tcPr>
            <w:tcW w:w="2109" w:type="dxa"/>
            <w:shd w:val="clear" w:color="auto" w:fill="auto"/>
          </w:tcPr>
          <w:p w14:paraId="691C01C9"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Relative risk</w:t>
            </w:r>
          </w:p>
        </w:tc>
        <w:tc>
          <w:tcPr>
            <w:tcW w:w="6660" w:type="dxa"/>
            <w:shd w:val="clear" w:color="auto" w:fill="auto"/>
            <w:vAlign w:val="bottom"/>
          </w:tcPr>
          <w:p w14:paraId="727D6C56"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Relative risk is used to compare the risk in two different groups of people.</w:t>
            </w:r>
          </w:p>
        </w:tc>
      </w:tr>
      <w:tr w:rsidR="0000686B" w:rsidRPr="00E64374" w14:paraId="142F4E02" w14:textId="77777777" w:rsidTr="008A37F9">
        <w:trPr>
          <w:trHeight w:val="170"/>
        </w:trPr>
        <w:tc>
          <w:tcPr>
            <w:tcW w:w="2109" w:type="dxa"/>
            <w:shd w:val="clear" w:color="auto" w:fill="auto"/>
          </w:tcPr>
          <w:p w14:paraId="584879CE"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Risk calculator</w:t>
            </w:r>
          </w:p>
        </w:tc>
        <w:tc>
          <w:tcPr>
            <w:tcW w:w="6660" w:type="dxa"/>
            <w:shd w:val="clear" w:color="auto" w:fill="auto"/>
            <w:vAlign w:val="bottom"/>
          </w:tcPr>
          <w:p w14:paraId="6F75C5B9"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The Australian Absolute risk calculator combines several risk factors to calculate a risk score (expressed as a percentage), which is a person’s chance of having a CVD event such as a heart attack or stroke in the next five years.</w:t>
            </w:r>
          </w:p>
        </w:tc>
      </w:tr>
      <w:tr w:rsidR="0000686B" w:rsidRPr="00E64374" w14:paraId="7A5C2B45" w14:textId="77777777" w:rsidTr="008A37F9">
        <w:trPr>
          <w:trHeight w:val="170"/>
        </w:trPr>
        <w:tc>
          <w:tcPr>
            <w:tcW w:w="2109" w:type="dxa"/>
            <w:shd w:val="clear" w:color="auto" w:fill="auto"/>
          </w:tcPr>
          <w:p w14:paraId="75D069AE"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Serum</w:t>
            </w:r>
          </w:p>
        </w:tc>
        <w:tc>
          <w:tcPr>
            <w:tcW w:w="6660" w:type="dxa"/>
            <w:shd w:val="clear" w:color="auto" w:fill="auto"/>
            <w:vAlign w:val="bottom"/>
          </w:tcPr>
          <w:p w14:paraId="577338F0" w14:textId="77777777" w:rsidR="0000686B" w:rsidRPr="008A37F9"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In blood, the serum is the component that is neither a blood cell (serum does not contain white or red blood cells) nor a clotting factor; it is the blood plasma not including the fibrinogens.</w:t>
            </w:r>
          </w:p>
        </w:tc>
      </w:tr>
      <w:tr w:rsidR="0000686B" w:rsidRPr="00E64374" w14:paraId="41BDE6D2" w14:textId="77777777" w:rsidTr="008A37F9">
        <w:trPr>
          <w:trHeight w:val="170"/>
        </w:trPr>
        <w:tc>
          <w:tcPr>
            <w:tcW w:w="2109" w:type="dxa"/>
            <w:shd w:val="clear" w:color="auto" w:fill="auto"/>
          </w:tcPr>
          <w:p w14:paraId="3CF4FF56" w14:textId="77777777" w:rsidR="0000686B" w:rsidRPr="00E64374" w:rsidRDefault="0000686B" w:rsidP="00514129">
            <w:pPr>
              <w:autoSpaceDE w:val="0"/>
              <w:autoSpaceDN w:val="0"/>
              <w:adjustRightInd w:val="0"/>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Sitosterolaemia</w:t>
            </w:r>
          </w:p>
        </w:tc>
        <w:tc>
          <w:tcPr>
            <w:tcW w:w="6660" w:type="dxa"/>
            <w:shd w:val="clear" w:color="auto" w:fill="auto"/>
            <w:vAlign w:val="bottom"/>
          </w:tcPr>
          <w:p w14:paraId="1DF45718" w14:textId="77777777" w:rsidR="0000686B" w:rsidRPr="008A37F9" w:rsidRDefault="0000686B" w:rsidP="00514129">
            <w:pPr>
              <w:spacing w:before="60" w:after="60" w:line="240" w:lineRule="auto"/>
              <w:rPr>
                <w:rFonts w:asciiTheme="minorHAnsi" w:hAnsiTheme="minorHAnsi" w:cs="Arial"/>
                <w:b/>
                <w:i/>
                <w:color w:val="000000"/>
                <w:sz w:val="20"/>
                <w:szCs w:val="20"/>
                <w:u w:val="single"/>
              </w:rPr>
            </w:pPr>
            <w:r w:rsidRPr="008A37F9">
              <w:rPr>
                <w:rFonts w:asciiTheme="minorHAnsi" w:hAnsiTheme="minorHAnsi"/>
                <w:sz w:val="20"/>
                <w:szCs w:val="20"/>
              </w:rPr>
              <w:t>A condition in which fatty substances (lipids) from vegetable oils, nuts, and other plant-based foods accumulate in the blood and tissues. These lipids are called plant sterols (or phytosterols).</w:t>
            </w:r>
          </w:p>
        </w:tc>
      </w:tr>
      <w:tr w:rsidR="0000686B" w:rsidRPr="00E64374" w14:paraId="513A3E90" w14:textId="77777777" w:rsidTr="008A37F9">
        <w:trPr>
          <w:trHeight w:val="170"/>
        </w:trPr>
        <w:tc>
          <w:tcPr>
            <w:tcW w:w="2109" w:type="dxa"/>
            <w:shd w:val="clear" w:color="auto" w:fill="auto"/>
          </w:tcPr>
          <w:p w14:paraId="2D4CDB7C"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Streamlined authority code</w:t>
            </w:r>
          </w:p>
        </w:tc>
        <w:tc>
          <w:tcPr>
            <w:tcW w:w="6660" w:type="dxa"/>
            <w:shd w:val="clear" w:color="auto" w:fill="auto"/>
            <w:vAlign w:val="bottom"/>
          </w:tcPr>
          <w:p w14:paraId="788CEBAD" w14:textId="77777777" w:rsidR="0000686B" w:rsidRPr="008A37F9" w:rsidRDefault="0000686B" w:rsidP="00514129">
            <w:pPr>
              <w:spacing w:before="60" w:after="60" w:line="240" w:lineRule="auto"/>
              <w:rPr>
                <w:rFonts w:asciiTheme="minorHAnsi" w:hAnsiTheme="minorHAnsi" w:cs="Arial"/>
                <w:b/>
                <w:i/>
                <w:color w:val="000000"/>
                <w:sz w:val="20"/>
                <w:szCs w:val="20"/>
                <w:u w:val="single"/>
              </w:rPr>
            </w:pPr>
            <w:r w:rsidRPr="008A37F9">
              <w:rPr>
                <w:rFonts w:asciiTheme="minorHAnsi" w:hAnsiTheme="minorHAnsi" w:cs="Arial"/>
                <w:sz w:val="20"/>
                <w:szCs w:val="20"/>
              </w:rPr>
              <w:t xml:space="preserve">To prescribe a streamlined authority Pharmaceutical Benefits Scheme item, a prescriber is required to include a 'streamlined authority code' on </w:t>
            </w:r>
            <w:r w:rsidRPr="008A37F9">
              <w:rPr>
                <w:rFonts w:asciiTheme="minorHAnsi" w:hAnsiTheme="minorHAnsi" w:cs="Arial"/>
                <w:sz w:val="20"/>
                <w:szCs w:val="20"/>
              </w:rPr>
              <w:lastRenderedPageBreak/>
              <w:t>the authority prescription.</w:t>
            </w:r>
          </w:p>
        </w:tc>
      </w:tr>
      <w:tr w:rsidR="0000686B" w:rsidRPr="00E64374" w14:paraId="5F0FE53F" w14:textId="77777777" w:rsidTr="008A37F9">
        <w:trPr>
          <w:trHeight w:val="170"/>
        </w:trPr>
        <w:tc>
          <w:tcPr>
            <w:tcW w:w="2109" w:type="dxa"/>
            <w:shd w:val="clear" w:color="auto" w:fill="auto"/>
          </w:tcPr>
          <w:p w14:paraId="427EF7C0"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lastRenderedPageBreak/>
              <w:t>Titration</w:t>
            </w:r>
          </w:p>
        </w:tc>
        <w:tc>
          <w:tcPr>
            <w:tcW w:w="6660" w:type="dxa"/>
            <w:shd w:val="clear" w:color="auto" w:fill="auto"/>
            <w:vAlign w:val="bottom"/>
          </w:tcPr>
          <w:p w14:paraId="1BF347A2" w14:textId="77777777" w:rsidR="0000686B" w:rsidRPr="008A37F9" w:rsidRDefault="0000686B" w:rsidP="00514129">
            <w:pPr>
              <w:spacing w:before="60" w:after="60" w:line="240" w:lineRule="auto"/>
              <w:rPr>
                <w:rFonts w:asciiTheme="minorHAnsi" w:hAnsiTheme="minorHAnsi" w:cs="Arial"/>
                <w:b/>
                <w:i/>
                <w:color w:val="000000"/>
                <w:sz w:val="20"/>
                <w:szCs w:val="20"/>
                <w:u w:val="single"/>
              </w:rPr>
            </w:pPr>
            <w:r w:rsidRPr="008A37F9">
              <w:rPr>
                <w:rFonts w:asciiTheme="minorHAnsi" w:hAnsiTheme="minorHAnsi"/>
                <w:sz w:val="20"/>
                <w:szCs w:val="20"/>
              </w:rPr>
              <w:t xml:space="preserve">The process of gradually adjusting the dose of a medication. There may be up-titration (usually to achieve a target or specific dose) or down-titration (when a high dose is no longer needed or adverse effects have occurred) </w:t>
            </w:r>
          </w:p>
        </w:tc>
      </w:tr>
      <w:tr w:rsidR="0000686B" w:rsidRPr="00E64374" w14:paraId="14DF2CB2" w14:textId="77777777" w:rsidTr="008A37F9">
        <w:trPr>
          <w:trHeight w:val="170"/>
        </w:trPr>
        <w:tc>
          <w:tcPr>
            <w:tcW w:w="2109" w:type="dxa"/>
            <w:shd w:val="clear" w:color="auto" w:fill="auto"/>
          </w:tcPr>
          <w:p w14:paraId="7FDA8217" w14:textId="77777777" w:rsidR="0000686B" w:rsidRPr="00E64374" w:rsidRDefault="0000686B" w:rsidP="00514129">
            <w:pPr>
              <w:spacing w:before="60" w:after="60" w:line="240" w:lineRule="auto"/>
              <w:rPr>
                <w:rFonts w:asciiTheme="minorHAnsi" w:hAnsiTheme="minorHAnsi" w:cs="Arial"/>
                <w:b/>
                <w:i/>
                <w:color w:val="000000"/>
                <w:sz w:val="20"/>
                <w:szCs w:val="20"/>
                <w:u w:val="single"/>
              </w:rPr>
            </w:pPr>
            <w:r w:rsidRPr="00E64374">
              <w:rPr>
                <w:rFonts w:asciiTheme="minorHAnsi" w:hAnsiTheme="minorHAnsi" w:cs="Arial"/>
                <w:sz w:val="20"/>
                <w:szCs w:val="20"/>
              </w:rPr>
              <w:t>Triglycerides</w:t>
            </w:r>
          </w:p>
        </w:tc>
        <w:tc>
          <w:tcPr>
            <w:tcW w:w="6660" w:type="dxa"/>
            <w:shd w:val="clear" w:color="auto" w:fill="auto"/>
            <w:vAlign w:val="bottom"/>
          </w:tcPr>
          <w:p w14:paraId="7CBDB53F" w14:textId="77777777" w:rsidR="0000686B" w:rsidRPr="008A37F9" w:rsidRDefault="0000686B" w:rsidP="00514129">
            <w:pPr>
              <w:spacing w:before="60" w:after="60" w:line="240" w:lineRule="auto"/>
              <w:rPr>
                <w:rFonts w:asciiTheme="minorHAnsi" w:hAnsiTheme="minorHAnsi"/>
                <w:b/>
                <w:i/>
                <w:color w:val="000000"/>
                <w:sz w:val="20"/>
                <w:szCs w:val="20"/>
                <w:u w:val="single"/>
              </w:rPr>
            </w:pPr>
            <w:r w:rsidRPr="008A37F9">
              <w:rPr>
                <w:rFonts w:asciiTheme="minorHAnsi" w:hAnsiTheme="minorHAnsi" w:cs="Arial"/>
                <w:sz w:val="20"/>
                <w:szCs w:val="20"/>
              </w:rPr>
              <w:t xml:space="preserve">One of a number of fatty substances carried in the blood. A high concentration is associated with heart disease.  </w:t>
            </w:r>
          </w:p>
        </w:tc>
      </w:tr>
    </w:tbl>
    <w:p w14:paraId="50C2776A" w14:textId="77777777" w:rsidR="0000686B" w:rsidRDefault="0000686B" w:rsidP="00514129">
      <w:pPr>
        <w:rPr>
          <w:rFonts w:asciiTheme="minorHAnsi" w:eastAsiaTheme="majorEastAsia" w:hAnsiTheme="minorHAnsi" w:cstheme="majorBidi"/>
          <w:b/>
          <w:bCs/>
          <w:color w:val="4F81BD" w:themeColor="accent1"/>
          <w:sz w:val="40"/>
          <w:szCs w:val="40"/>
        </w:rPr>
      </w:pPr>
      <w:r>
        <w:rPr>
          <w:rFonts w:asciiTheme="minorHAnsi" w:hAnsiTheme="minorHAnsi"/>
          <w:sz w:val="40"/>
          <w:szCs w:val="40"/>
        </w:rPr>
        <w:br w:type="page"/>
      </w:r>
    </w:p>
    <w:p w14:paraId="4F6BF3AD" w14:textId="3248D506" w:rsidR="0000686B" w:rsidRPr="00920324" w:rsidRDefault="004F4EDD" w:rsidP="003B1BF0">
      <w:pPr>
        <w:pStyle w:val="Heading1"/>
        <w:spacing w:line="240" w:lineRule="auto"/>
      </w:pPr>
      <w:bookmarkStart w:id="16" w:name="_Toc500510185"/>
      <w:bookmarkStart w:id="17" w:name="_GoBack"/>
      <w:bookmarkEnd w:id="17"/>
      <w:r>
        <w:lastRenderedPageBreak/>
        <w:t>Overview</w:t>
      </w:r>
      <w:bookmarkEnd w:id="16"/>
    </w:p>
    <w:p w14:paraId="04B37D19" w14:textId="77777777" w:rsidR="003B1BF0" w:rsidRPr="00E631B0" w:rsidRDefault="003B1BF0" w:rsidP="003B1BF0">
      <w:pPr>
        <w:spacing w:line="240" w:lineRule="auto"/>
        <w:rPr>
          <w:rFonts w:asciiTheme="minorHAnsi" w:hAnsiTheme="minorHAnsi" w:cs="Arial"/>
          <w:b/>
          <w:sz w:val="28"/>
          <w:szCs w:val="28"/>
        </w:rPr>
      </w:pPr>
      <w:r w:rsidRPr="00E631B0">
        <w:rPr>
          <w:rFonts w:asciiTheme="minorHAnsi" w:hAnsiTheme="minorHAnsi" w:cs="Arial"/>
          <w:b/>
          <w:sz w:val="28"/>
          <w:szCs w:val="28"/>
        </w:rPr>
        <w:t xml:space="preserve">Background </w:t>
      </w:r>
    </w:p>
    <w:p w14:paraId="597A0065" w14:textId="2EB68069" w:rsidR="003B1BF0" w:rsidRPr="00E631B0" w:rsidRDefault="003B1BF0" w:rsidP="000831ED">
      <w:pPr>
        <w:spacing w:line="240" w:lineRule="auto"/>
        <w:jc w:val="left"/>
        <w:rPr>
          <w:rFonts w:asciiTheme="minorHAnsi" w:hAnsiTheme="minorHAnsi" w:cs="Arial"/>
          <w:bCs/>
        </w:rPr>
      </w:pPr>
      <w:r w:rsidRPr="00E631B0">
        <w:rPr>
          <w:rFonts w:asciiTheme="minorHAnsi" w:hAnsiTheme="minorHAnsi" w:cs="Arial"/>
        </w:rPr>
        <w:t>In August 2015, the Pharmaceutical Benefits Advisory Committee (PBAC) recommended a Post-market Review of Ezetimibe (the Review). The purpose of the Review was to consider the comparative clinical effectiveness and cost-effectiveness of Pharmaceutical Benefits Scheme (PBS) listed ezetimibe, in the context of the latest available evidence and best clinical practice. The Review was approved by the Minister for Health on 28 September 2015 and after stakeholder submissions and subsequent PBAC considera</w:t>
      </w:r>
      <w:r w:rsidR="00C904F3" w:rsidRPr="00E631B0">
        <w:rPr>
          <w:rFonts w:asciiTheme="minorHAnsi" w:hAnsiTheme="minorHAnsi" w:cs="Arial"/>
        </w:rPr>
        <w:t>tion, the Terms of Reference (TO</w:t>
      </w:r>
      <w:r w:rsidRPr="00E631B0">
        <w:rPr>
          <w:rFonts w:asciiTheme="minorHAnsi" w:hAnsiTheme="minorHAnsi" w:cs="Arial"/>
        </w:rPr>
        <w:t>R) for the Review were finalised on 24 February, 2016. An independent expert Reference Group was formed to review the information and evidence relating to each T</w:t>
      </w:r>
      <w:r w:rsidR="00C904F3" w:rsidRPr="00E631B0">
        <w:rPr>
          <w:rFonts w:asciiTheme="minorHAnsi" w:hAnsiTheme="minorHAnsi" w:cs="Arial"/>
        </w:rPr>
        <w:t>O</w:t>
      </w:r>
      <w:r w:rsidRPr="00E631B0">
        <w:rPr>
          <w:rFonts w:asciiTheme="minorHAnsi" w:hAnsiTheme="minorHAnsi" w:cs="Arial"/>
        </w:rPr>
        <w:t xml:space="preserve">R and make recommendations to the PBAC on addressing key findings. </w:t>
      </w:r>
      <w:r w:rsidRPr="00E631B0">
        <w:rPr>
          <w:rFonts w:asciiTheme="minorHAnsi" w:hAnsiTheme="minorHAnsi" w:cs="Arial"/>
          <w:bCs/>
        </w:rPr>
        <w:t xml:space="preserve">There were four formal opportunities for public stakeholder consultation during the Review.  </w:t>
      </w:r>
    </w:p>
    <w:p w14:paraId="6F7AB3B2" w14:textId="205B7430" w:rsidR="003B1BF0" w:rsidRPr="00E631B0" w:rsidRDefault="003B1BF0" w:rsidP="003B1BF0">
      <w:pPr>
        <w:spacing w:line="240" w:lineRule="auto"/>
        <w:rPr>
          <w:rFonts w:asciiTheme="minorHAnsi" w:hAnsiTheme="minorHAnsi" w:cs="Arial"/>
          <w:b/>
          <w:bCs/>
          <w:sz w:val="28"/>
          <w:szCs w:val="28"/>
        </w:rPr>
      </w:pPr>
      <w:r w:rsidRPr="00E631B0">
        <w:rPr>
          <w:rFonts w:asciiTheme="minorHAnsi" w:hAnsiTheme="minorHAnsi" w:cs="Arial"/>
          <w:b/>
          <w:bCs/>
          <w:sz w:val="28"/>
          <w:szCs w:val="28"/>
        </w:rPr>
        <w:t>Key finding</w:t>
      </w:r>
      <w:r w:rsidR="00C904F3" w:rsidRPr="00E631B0">
        <w:rPr>
          <w:rFonts w:asciiTheme="minorHAnsi" w:hAnsiTheme="minorHAnsi" w:cs="Arial"/>
          <w:b/>
          <w:bCs/>
          <w:sz w:val="28"/>
          <w:szCs w:val="28"/>
        </w:rPr>
        <w:t>s for each TO</w:t>
      </w:r>
      <w:r w:rsidRPr="00E631B0">
        <w:rPr>
          <w:rFonts w:asciiTheme="minorHAnsi" w:hAnsiTheme="minorHAnsi" w:cs="Arial"/>
          <w:b/>
          <w:bCs/>
          <w:sz w:val="28"/>
          <w:szCs w:val="28"/>
        </w:rPr>
        <w:t>R</w:t>
      </w:r>
    </w:p>
    <w:p w14:paraId="03F0FC2E" w14:textId="3F17E34A" w:rsidR="003B1BF0" w:rsidRPr="00E631B0" w:rsidRDefault="003B1BF0" w:rsidP="006F6651">
      <w:pPr>
        <w:pStyle w:val="ListParagraph"/>
        <w:numPr>
          <w:ilvl w:val="0"/>
          <w:numId w:val="51"/>
        </w:numPr>
        <w:spacing w:after="0" w:line="240" w:lineRule="auto"/>
        <w:ind w:left="284" w:hanging="284"/>
        <w:jc w:val="left"/>
        <w:rPr>
          <w:rFonts w:asciiTheme="minorHAnsi" w:hAnsiTheme="minorHAnsi" w:cs="Arial"/>
          <w:i/>
        </w:rPr>
      </w:pPr>
      <w:r w:rsidRPr="00E631B0">
        <w:rPr>
          <w:rFonts w:asciiTheme="minorHAnsi" w:hAnsiTheme="minorHAnsi" w:cs="Arial"/>
          <w:i/>
        </w:rPr>
        <w:t xml:space="preserve">Review current utilisation of PBS - listed ezetimibe and ezetimibe combination products.  Any review will consider additional data sources that may inform the current utilisation of ezetimibe. </w:t>
      </w:r>
    </w:p>
    <w:p w14:paraId="4F071A12" w14:textId="77777777" w:rsidR="003B1BF0" w:rsidRPr="00E631B0" w:rsidRDefault="003B1BF0" w:rsidP="006F6651">
      <w:pPr>
        <w:pStyle w:val="ListParagraph"/>
        <w:numPr>
          <w:ilvl w:val="0"/>
          <w:numId w:val="49"/>
        </w:numPr>
        <w:spacing w:after="0" w:line="240" w:lineRule="auto"/>
        <w:ind w:left="567" w:hanging="283"/>
        <w:jc w:val="left"/>
        <w:rPr>
          <w:rFonts w:asciiTheme="minorHAnsi" w:hAnsiTheme="minorHAnsi" w:cs="Arial"/>
        </w:rPr>
      </w:pPr>
      <w:r w:rsidRPr="00E631B0">
        <w:rPr>
          <w:rFonts w:asciiTheme="minorHAnsi" w:hAnsiTheme="minorHAnsi" w:cs="Arial"/>
        </w:rPr>
        <w:t>Between April 2014 and March 2015, 45,465 people were initiated on PBS-subsidised ezetimibe.</w:t>
      </w:r>
    </w:p>
    <w:p w14:paraId="5E800891" w14:textId="77777777" w:rsidR="003B1BF0" w:rsidRPr="00E631B0" w:rsidRDefault="003B1BF0" w:rsidP="006F6651">
      <w:pPr>
        <w:pStyle w:val="ListParagraph"/>
        <w:numPr>
          <w:ilvl w:val="0"/>
          <w:numId w:val="49"/>
        </w:numPr>
        <w:spacing w:after="0" w:line="240" w:lineRule="auto"/>
        <w:ind w:left="567" w:hanging="283"/>
        <w:jc w:val="left"/>
        <w:rPr>
          <w:rFonts w:asciiTheme="minorHAnsi" w:hAnsiTheme="minorHAnsi" w:cs="Arial"/>
        </w:rPr>
      </w:pPr>
      <w:r w:rsidRPr="00E631B0">
        <w:rPr>
          <w:rFonts w:asciiTheme="minorHAnsi" w:hAnsiTheme="minorHAnsi" w:cs="Arial"/>
        </w:rPr>
        <w:t xml:space="preserve">Analysis of pre and post use of other lipid lowering medicines in the population initiating ezetimibe found that: </w:t>
      </w:r>
    </w:p>
    <w:p w14:paraId="70D58F52" w14:textId="77777777" w:rsidR="003B1BF0" w:rsidRPr="00E631B0" w:rsidRDefault="003B1BF0" w:rsidP="006F6651">
      <w:pPr>
        <w:pStyle w:val="ListParagraph"/>
        <w:numPr>
          <w:ilvl w:val="0"/>
          <w:numId w:val="48"/>
        </w:numPr>
        <w:spacing w:after="0" w:line="240" w:lineRule="auto"/>
        <w:ind w:left="851" w:hanging="284"/>
        <w:jc w:val="left"/>
        <w:rPr>
          <w:rFonts w:asciiTheme="minorHAnsi" w:hAnsiTheme="minorHAnsi" w:cs="Arial"/>
        </w:rPr>
      </w:pPr>
      <w:r w:rsidRPr="00E631B0">
        <w:rPr>
          <w:rFonts w:asciiTheme="minorHAnsi" w:hAnsiTheme="minorHAnsi" w:cs="Arial"/>
        </w:rPr>
        <w:t>46% of patients appear to have initiated ezetimibe in accordance with the PBS restriction.</w:t>
      </w:r>
    </w:p>
    <w:p w14:paraId="4BE8252A" w14:textId="77777777" w:rsidR="003B1BF0" w:rsidRPr="00E631B0" w:rsidRDefault="003B1BF0" w:rsidP="006F6651">
      <w:pPr>
        <w:pStyle w:val="ListParagraph"/>
        <w:numPr>
          <w:ilvl w:val="0"/>
          <w:numId w:val="48"/>
        </w:numPr>
        <w:spacing w:after="0" w:line="240" w:lineRule="auto"/>
        <w:ind w:left="851" w:hanging="284"/>
        <w:jc w:val="left"/>
        <w:rPr>
          <w:rFonts w:asciiTheme="minorHAnsi" w:hAnsiTheme="minorHAnsi" w:cs="Arial"/>
        </w:rPr>
      </w:pPr>
      <w:r w:rsidRPr="00E631B0">
        <w:rPr>
          <w:rFonts w:asciiTheme="minorHAnsi" w:hAnsiTheme="minorHAnsi" w:cs="Arial"/>
        </w:rPr>
        <w:t xml:space="preserve">Between 18.4% and 53.2% of patients initiated ezetimibe in a manner that was not consistent with the PBS restriction. </w:t>
      </w:r>
    </w:p>
    <w:p w14:paraId="23E69726" w14:textId="77777777" w:rsidR="003B1BF0" w:rsidRPr="00E631B0" w:rsidRDefault="003B1BF0" w:rsidP="003B1BF0">
      <w:pPr>
        <w:pStyle w:val="ListParagraph"/>
        <w:spacing w:line="240" w:lineRule="auto"/>
        <w:ind w:left="1800"/>
        <w:rPr>
          <w:rFonts w:asciiTheme="minorHAnsi" w:hAnsiTheme="minorHAnsi" w:cs="Arial"/>
        </w:rPr>
      </w:pPr>
    </w:p>
    <w:p w14:paraId="60414CF1" w14:textId="5DE03316" w:rsidR="003B1BF0" w:rsidRPr="00E631B0" w:rsidRDefault="003B1BF0" w:rsidP="006F6651">
      <w:pPr>
        <w:pStyle w:val="ListParagraph"/>
        <w:numPr>
          <w:ilvl w:val="0"/>
          <w:numId w:val="51"/>
        </w:numPr>
        <w:spacing w:after="0" w:line="240" w:lineRule="auto"/>
        <w:ind w:left="284" w:hanging="284"/>
        <w:jc w:val="left"/>
        <w:rPr>
          <w:rFonts w:asciiTheme="minorHAnsi" w:hAnsiTheme="minorHAnsi" w:cs="Arial"/>
          <w:i/>
        </w:rPr>
      </w:pPr>
      <w:r w:rsidRPr="00E631B0">
        <w:rPr>
          <w:rFonts w:asciiTheme="minorHAnsi" w:hAnsiTheme="minorHAnsi" w:cs="Arial"/>
          <w:i/>
        </w:rPr>
        <w:t xml:space="preserve">Review recent clinical guidelines for the treatment of hypercholesterolaemia and compare this to how ezetimibe is currently used on the PBS. </w:t>
      </w:r>
    </w:p>
    <w:p w14:paraId="4431A5F9" w14:textId="77777777" w:rsidR="003B1BF0" w:rsidRPr="00E631B0" w:rsidRDefault="003B1BF0" w:rsidP="006F6651">
      <w:pPr>
        <w:pStyle w:val="ListParagraph"/>
        <w:numPr>
          <w:ilvl w:val="0"/>
          <w:numId w:val="52"/>
        </w:numPr>
        <w:spacing w:after="0" w:line="240" w:lineRule="auto"/>
        <w:ind w:left="567" w:hanging="283"/>
        <w:jc w:val="left"/>
        <w:rPr>
          <w:rFonts w:asciiTheme="minorHAnsi" w:hAnsiTheme="minorHAnsi" w:cs="Arial"/>
        </w:rPr>
      </w:pPr>
      <w:r w:rsidRPr="00E631B0">
        <w:rPr>
          <w:rFonts w:asciiTheme="minorHAnsi" w:hAnsiTheme="minorHAnsi" w:cs="Arial"/>
        </w:rPr>
        <w:t xml:space="preserve">A review of the literature identified 11 of the most recent Australian and international clinical treatment guidelines for management of lipid disorders for prevention of cardiovascular disease. All guidelines identified lipid lowering therapy (LLT) as integral to cardiovascular risk reduction.    </w:t>
      </w:r>
    </w:p>
    <w:p w14:paraId="3FB914ED" w14:textId="77777777" w:rsidR="003B1BF0" w:rsidRPr="00E631B0" w:rsidRDefault="003B1BF0" w:rsidP="006F6651">
      <w:pPr>
        <w:pStyle w:val="ListParagraph"/>
        <w:numPr>
          <w:ilvl w:val="0"/>
          <w:numId w:val="52"/>
        </w:numPr>
        <w:spacing w:after="0" w:line="240" w:lineRule="auto"/>
        <w:ind w:left="567" w:hanging="283"/>
        <w:jc w:val="left"/>
        <w:rPr>
          <w:rFonts w:asciiTheme="minorHAnsi" w:hAnsiTheme="minorHAnsi" w:cs="Arial"/>
        </w:rPr>
      </w:pPr>
      <w:r w:rsidRPr="00E631B0">
        <w:rPr>
          <w:rFonts w:asciiTheme="minorHAnsi" w:hAnsiTheme="minorHAnsi" w:cs="Arial"/>
        </w:rPr>
        <w:t>Statins are identified as first line therapy by most guidelines, with ezetimibe initiation recommended when additional reduction in low density lipoprotein-cholesterol (LDL-C) is required.</w:t>
      </w:r>
    </w:p>
    <w:p w14:paraId="3A64AF46" w14:textId="77777777" w:rsidR="003B1BF0" w:rsidRPr="00E631B0" w:rsidRDefault="003B1BF0" w:rsidP="006F6651">
      <w:pPr>
        <w:pStyle w:val="ListParagraph"/>
        <w:numPr>
          <w:ilvl w:val="0"/>
          <w:numId w:val="52"/>
        </w:numPr>
        <w:spacing w:after="0" w:line="240" w:lineRule="auto"/>
        <w:ind w:left="567" w:hanging="283"/>
        <w:jc w:val="left"/>
        <w:rPr>
          <w:rFonts w:asciiTheme="minorHAnsi" w:hAnsiTheme="minorHAnsi" w:cs="Arial"/>
        </w:rPr>
      </w:pPr>
      <w:r w:rsidRPr="00E631B0">
        <w:rPr>
          <w:rFonts w:asciiTheme="minorHAnsi" w:hAnsiTheme="minorHAnsi" w:cs="Arial"/>
        </w:rPr>
        <w:t xml:space="preserve">The General Statement for Lipid Lowering Drugs (GSLLD), used to establish patient eligibility for PBS-subsidised LLT, differs slightly with the Australian clinical treatment guidelines for hypercholesterolaemia (high cholesterol). </w:t>
      </w:r>
    </w:p>
    <w:p w14:paraId="43A4EED7" w14:textId="4FCBC740" w:rsidR="003B1BF0" w:rsidRPr="00E631B0" w:rsidRDefault="003B1BF0" w:rsidP="006F6651">
      <w:pPr>
        <w:pStyle w:val="ListParagraph"/>
        <w:numPr>
          <w:ilvl w:val="0"/>
          <w:numId w:val="52"/>
        </w:numPr>
        <w:spacing w:after="0" w:line="240" w:lineRule="auto"/>
        <w:ind w:left="567" w:hanging="283"/>
        <w:jc w:val="left"/>
        <w:rPr>
          <w:rFonts w:asciiTheme="minorHAnsi" w:hAnsiTheme="minorHAnsi" w:cs="Arial"/>
          <w:szCs w:val="24"/>
        </w:rPr>
      </w:pPr>
      <w:r w:rsidRPr="00E631B0">
        <w:rPr>
          <w:rFonts w:asciiTheme="minorHAnsi" w:hAnsiTheme="minorHAnsi" w:cs="Arial"/>
        </w:rPr>
        <w:t>The GSLLD includes target thresholds for commencing lipid lowering therapy and are slightly different to contemporary treatment guidelines. Guidelines now consider a patient’s overall risk of a cardiovascular event rather than lipid levels in isolation as the criteria for prescribing lipid lowering therapy.</w:t>
      </w:r>
    </w:p>
    <w:p w14:paraId="296B82DA" w14:textId="77777777" w:rsidR="003B1BF0" w:rsidRPr="00E631B0" w:rsidRDefault="003B1BF0" w:rsidP="003B1BF0">
      <w:pPr>
        <w:spacing w:line="240" w:lineRule="auto"/>
        <w:rPr>
          <w:rFonts w:asciiTheme="minorHAnsi" w:hAnsiTheme="minorHAnsi" w:cs="Arial"/>
        </w:rPr>
      </w:pPr>
    </w:p>
    <w:p w14:paraId="1C87A962" w14:textId="77777777" w:rsidR="003B1BF0" w:rsidRPr="00E631B0" w:rsidRDefault="003B1BF0" w:rsidP="006F6651">
      <w:pPr>
        <w:pStyle w:val="ListParagraph"/>
        <w:numPr>
          <w:ilvl w:val="0"/>
          <w:numId w:val="51"/>
        </w:numPr>
        <w:spacing w:after="0" w:line="240" w:lineRule="auto"/>
        <w:ind w:left="284" w:hanging="284"/>
        <w:jc w:val="left"/>
        <w:rPr>
          <w:rFonts w:asciiTheme="minorHAnsi" w:hAnsiTheme="minorHAnsi" w:cs="Arial"/>
          <w:i/>
        </w:rPr>
      </w:pPr>
      <w:r w:rsidRPr="00E631B0">
        <w:rPr>
          <w:rFonts w:asciiTheme="minorHAnsi" w:hAnsiTheme="minorHAnsi" w:cs="Arial"/>
          <w:i/>
        </w:rPr>
        <w:lastRenderedPageBreak/>
        <w:t>Collate and evaluate any recent clinical studies of ezetimibe that report on long-term patient relevant outcomes, and use this data to review the cost-effectiveness of ezetimibe.</w:t>
      </w:r>
    </w:p>
    <w:p w14:paraId="1B79D352" w14:textId="77777777" w:rsidR="003B1BF0" w:rsidRPr="00E631B0" w:rsidRDefault="003B1BF0" w:rsidP="006F6651">
      <w:pPr>
        <w:pStyle w:val="ListParagraph"/>
        <w:numPr>
          <w:ilvl w:val="0"/>
          <w:numId w:val="50"/>
        </w:numPr>
        <w:spacing w:after="0" w:line="240" w:lineRule="auto"/>
        <w:ind w:left="567" w:hanging="283"/>
        <w:jc w:val="left"/>
        <w:rPr>
          <w:rFonts w:asciiTheme="minorHAnsi" w:hAnsiTheme="minorHAnsi" w:cs="Arial"/>
        </w:rPr>
      </w:pPr>
      <w:r w:rsidRPr="00E631B0">
        <w:rPr>
          <w:rFonts w:asciiTheme="minorHAnsi" w:hAnsiTheme="minorHAnsi" w:cs="Arial"/>
        </w:rPr>
        <w:t>No clinical trials were identified that reported on patient-relevant outcomes for ezetimibe monotherapy.</w:t>
      </w:r>
    </w:p>
    <w:p w14:paraId="2BACA58A" w14:textId="77777777" w:rsidR="003B1BF0" w:rsidRPr="00E631B0" w:rsidRDefault="003B1BF0" w:rsidP="006F6651">
      <w:pPr>
        <w:pStyle w:val="ListParagraph"/>
        <w:numPr>
          <w:ilvl w:val="0"/>
          <w:numId w:val="50"/>
        </w:numPr>
        <w:spacing w:after="0" w:line="240" w:lineRule="auto"/>
        <w:ind w:left="567" w:hanging="283"/>
        <w:jc w:val="left"/>
        <w:rPr>
          <w:rFonts w:asciiTheme="minorHAnsi" w:hAnsiTheme="minorHAnsi" w:cs="Arial"/>
        </w:rPr>
      </w:pPr>
      <w:r w:rsidRPr="00E631B0">
        <w:rPr>
          <w:rFonts w:asciiTheme="minorHAnsi" w:hAnsiTheme="minorHAnsi" w:cs="Arial"/>
        </w:rPr>
        <w:t xml:space="preserve">Only one study, IMPROVE-IT, assessed the long-term patient relevant outcomes of ezetimibe added to simvastatin 40mg versus simvastatin 40mg.  </w:t>
      </w:r>
    </w:p>
    <w:p w14:paraId="1957742E" w14:textId="164344F3" w:rsidR="003B1BF0" w:rsidRPr="00E631B0" w:rsidRDefault="003B1BF0" w:rsidP="006F6651">
      <w:pPr>
        <w:pStyle w:val="ListParagraph"/>
        <w:numPr>
          <w:ilvl w:val="0"/>
          <w:numId w:val="50"/>
        </w:numPr>
        <w:spacing w:after="0" w:line="240" w:lineRule="auto"/>
        <w:ind w:left="567" w:hanging="283"/>
        <w:jc w:val="left"/>
        <w:rPr>
          <w:rFonts w:asciiTheme="minorHAnsi" w:hAnsiTheme="minorHAnsi" w:cs="Arial"/>
        </w:rPr>
      </w:pPr>
      <w:r w:rsidRPr="00E631B0">
        <w:rPr>
          <w:rFonts w:asciiTheme="minorHAnsi" w:hAnsiTheme="minorHAnsi" w:cs="Arial"/>
        </w:rPr>
        <w:t>The population in IMPROV</w:t>
      </w:r>
      <w:r w:rsidR="00D20B5C" w:rsidRPr="00E631B0">
        <w:rPr>
          <w:rFonts w:asciiTheme="minorHAnsi" w:hAnsiTheme="minorHAnsi" w:cs="Arial"/>
        </w:rPr>
        <w:t>E</w:t>
      </w:r>
      <w:r w:rsidRPr="00E631B0">
        <w:rPr>
          <w:rFonts w:asciiTheme="minorHAnsi" w:hAnsiTheme="minorHAnsi" w:cs="Arial"/>
        </w:rPr>
        <w:t>-IT was not considered representative of the current PBS population eligible for subsidised ezetimibe as the study protocol did not allow patients to gradually increase their statin doses to maximally tolerated levels or switch to a higher-potency statin.</w:t>
      </w:r>
    </w:p>
    <w:p w14:paraId="4B10C268" w14:textId="77777777" w:rsidR="003B1BF0" w:rsidRPr="00E631B0" w:rsidRDefault="003B1BF0" w:rsidP="006F6651">
      <w:pPr>
        <w:pStyle w:val="ListParagraph"/>
        <w:numPr>
          <w:ilvl w:val="0"/>
          <w:numId w:val="50"/>
        </w:numPr>
        <w:spacing w:after="0" w:line="240" w:lineRule="auto"/>
        <w:ind w:left="567" w:hanging="283"/>
        <w:jc w:val="left"/>
        <w:rPr>
          <w:rFonts w:asciiTheme="minorHAnsi" w:hAnsiTheme="minorHAnsi" w:cs="Arial"/>
        </w:rPr>
      </w:pPr>
      <w:r w:rsidRPr="00E631B0">
        <w:rPr>
          <w:rFonts w:asciiTheme="minorHAnsi" w:hAnsiTheme="minorHAnsi" w:cs="Arial"/>
        </w:rPr>
        <w:t xml:space="preserve">Ezetimibe monotherapy produces a mean 18% reduction in LDL-C compared to a 30%-50% reduction achievable by statins. </w:t>
      </w:r>
    </w:p>
    <w:p w14:paraId="5CFEE460" w14:textId="77777777" w:rsidR="003B1BF0" w:rsidRPr="00E631B0" w:rsidRDefault="003B1BF0" w:rsidP="006F6651">
      <w:pPr>
        <w:pStyle w:val="ListParagraph"/>
        <w:numPr>
          <w:ilvl w:val="0"/>
          <w:numId w:val="50"/>
        </w:numPr>
        <w:spacing w:after="0" w:line="240" w:lineRule="auto"/>
        <w:ind w:left="567" w:hanging="283"/>
        <w:jc w:val="left"/>
        <w:rPr>
          <w:rFonts w:asciiTheme="minorHAnsi" w:hAnsiTheme="minorHAnsi" w:cs="Arial"/>
        </w:rPr>
      </w:pPr>
      <w:r w:rsidRPr="00E631B0">
        <w:rPr>
          <w:rFonts w:asciiTheme="minorHAnsi" w:hAnsiTheme="minorHAnsi" w:cs="Arial"/>
        </w:rPr>
        <w:t>The cost-effectiveness of ezetimibe remains uncertain due to a lack of clinical evidence on long-term patient relevant outcomes.</w:t>
      </w:r>
    </w:p>
    <w:p w14:paraId="398C137D" w14:textId="77777777" w:rsidR="003B1BF0" w:rsidRPr="00E631B0" w:rsidRDefault="003B1BF0" w:rsidP="006F6651">
      <w:pPr>
        <w:pStyle w:val="ListParagraph"/>
        <w:numPr>
          <w:ilvl w:val="0"/>
          <w:numId w:val="50"/>
        </w:numPr>
        <w:spacing w:after="0" w:line="240" w:lineRule="auto"/>
        <w:ind w:left="567" w:hanging="283"/>
        <w:jc w:val="left"/>
        <w:rPr>
          <w:rFonts w:asciiTheme="minorHAnsi" w:hAnsiTheme="minorHAnsi" w:cs="Arial"/>
        </w:rPr>
      </w:pPr>
      <w:r w:rsidRPr="00E631B0">
        <w:rPr>
          <w:rFonts w:asciiTheme="minorHAnsi" w:hAnsiTheme="minorHAnsi" w:cs="Arial"/>
        </w:rPr>
        <w:t xml:space="preserve">An economic model based on the results of the IMPROVE-IT trial would not be suitable for estimating the cost-effectiveness of PBS-subsidised ezetimibe due to differences between the population of the IMPROVE-IT trial and the population eligible to receive PBS-subsidised ezetimibe.  </w:t>
      </w:r>
    </w:p>
    <w:p w14:paraId="118C8BF3" w14:textId="77777777" w:rsidR="00351843" w:rsidRPr="00E631B0" w:rsidRDefault="00351843" w:rsidP="003B1BF0">
      <w:pPr>
        <w:spacing w:line="240" w:lineRule="auto"/>
        <w:rPr>
          <w:rFonts w:asciiTheme="minorHAnsi" w:hAnsiTheme="minorHAnsi" w:cs="Arial"/>
          <w:b/>
          <w:sz w:val="28"/>
          <w:szCs w:val="28"/>
        </w:rPr>
      </w:pPr>
    </w:p>
    <w:p w14:paraId="68DB1583" w14:textId="77777777" w:rsidR="003B1BF0" w:rsidRPr="00E631B0" w:rsidRDefault="003B1BF0" w:rsidP="003B1BF0">
      <w:pPr>
        <w:spacing w:line="240" w:lineRule="auto"/>
        <w:rPr>
          <w:rFonts w:asciiTheme="minorHAnsi" w:hAnsiTheme="minorHAnsi" w:cs="Arial"/>
          <w:b/>
          <w:sz w:val="28"/>
          <w:szCs w:val="28"/>
        </w:rPr>
      </w:pPr>
      <w:r w:rsidRPr="00E631B0">
        <w:rPr>
          <w:rFonts w:asciiTheme="minorHAnsi" w:hAnsiTheme="minorHAnsi" w:cs="Arial"/>
          <w:b/>
          <w:sz w:val="28"/>
          <w:szCs w:val="28"/>
        </w:rPr>
        <w:t>Outcomes</w:t>
      </w:r>
    </w:p>
    <w:p w14:paraId="0606B5C2" w14:textId="77777777" w:rsidR="003B1BF0" w:rsidRPr="00E631B0" w:rsidRDefault="003B1BF0" w:rsidP="000831ED">
      <w:pPr>
        <w:autoSpaceDE w:val="0"/>
        <w:autoSpaceDN w:val="0"/>
        <w:adjustRightInd w:val="0"/>
        <w:spacing w:line="240" w:lineRule="auto"/>
        <w:jc w:val="left"/>
        <w:rPr>
          <w:rFonts w:asciiTheme="minorHAnsi" w:eastAsia="Arial+FPEF" w:hAnsiTheme="minorHAnsi" w:cs="Arial"/>
          <w:lang w:eastAsia="en-AU"/>
        </w:rPr>
      </w:pPr>
      <w:r w:rsidRPr="00E631B0">
        <w:rPr>
          <w:rFonts w:asciiTheme="minorHAnsi" w:eastAsia="Arial+FPEF" w:hAnsiTheme="minorHAnsi" w:cs="Arial"/>
          <w:lang w:eastAsia="en-AU"/>
        </w:rPr>
        <w:t xml:space="preserve">The PBAC considered the findings of the Review at its July 2017 meeting.  Overall, the PBAC accepted the key findings presented in the Review report. </w:t>
      </w:r>
    </w:p>
    <w:p w14:paraId="4A777DF6" w14:textId="77777777" w:rsidR="003B1BF0" w:rsidRPr="00E631B0" w:rsidRDefault="003B1BF0" w:rsidP="000831ED">
      <w:pPr>
        <w:autoSpaceDE w:val="0"/>
        <w:autoSpaceDN w:val="0"/>
        <w:adjustRightInd w:val="0"/>
        <w:spacing w:line="240" w:lineRule="auto"/>
        <w:jc w:val="left"/>
        <w:rPr>
          <w:rFonts w:asciiTheme="minorHAnsi" w:eastAsia="Arial+FPEF" w:hAnsiTheme="minorHAnsi" w:cs="Arial"/>
          <w:lang w:eastAsia="en-AU"/>
        </w:rPr>
      </w:pPr>
      <w:r w:rsidRPr="00E631B0">
        <w:rPr>
          <w:rFonts w:asciiTheme="minorHAnsi" w:eastAsia="Arial+FPEF" w:hAnsiTheme="minorHAnsi" w:cs="Arial"/>
          <w:lang w:eastAsia="en-AU"/>
        </w:rPr>
        <w:t>The PBAC acknowledged the stakeholder comments and recognised the challenges in accurately determining the extent of statin intolerance in the Australian population. However, the PBAC was concerned with the extent of use of ezetimibe outside the PBS restriction and recommended that a price reduction was necessary to restore cost-effectiveness of all subsidised use.</w:t>
      </w:r>
    </w:p>
    <w:p w14:paraId="4F5A0392" w14:textId="77777777" w:rsidR="003B1BF0" w:rsidRPr="00E631B0" w:rsidRDefault="003B1BF0" w:rsidP="000831ED">
      <w:pPr>
        <w:autoSpaceDE w:val="0"/>
        <w:autoSpaceDN w:val="0"/>
        <w:adjustRightInd w:val="0"/>
        <w:spacing w:line="240" w:lineRule="auto"/>
        <w:jc w:val="left"/>
        <w:rPr>
          <w:rFonts w:asciiTheme="minorHAnsi" w:eastAsia="Arial+FPEF" w:hAnsiTheme="minorHAnsi" w:cs="Arial"/>
          <w:lang w:eastAsia="en-AU"/>
        </w:rPr>
      </w:pPr>
      <w:r w:rsidRPr="00E631B0">
        <w:rPr>
          <w:rFonts w:asciiTheme="minorHAnsi" w:eastAsia="Arial+FPEF" w:hAnsiTheme="minorHAnsi" w:cs="Arial"/>
          <w:lang w:eastAsia="en-AU"/>
        </w:rPr>
        <w:t>The PBAC agreed that an Authority Required (Streamlined) listing remained the most appropriate restriction to maintain ezetimibe’s place as second line therapy. This restriction is consistent with clinical guidelines and serves to direct use to the high-risk population who will derive most benefit from ezetimibe therapy.</w:t>
      </w:r>
    </w:p>
    <w:p w14:paraId="5307B81F" w14:textId="287E71D4" w:rsidR="003B1BF0" w:rsidRPr="00E631B0" w:rsidRDefault="003B1BF0" w:rsidP="000831ED">
      <w:pPr>
        <w:autoSpaceDE w:val="0"/>
        <w:autoSpaceDN w:val="0"/>
        <w:adjustRightInd w:val="0"/>
        <w:jc w:val="left"/>
        <w:rPr>
          <w:rFonts w:asciiTheme="minorHAnsi" w:eastAsia="Arial+FPEF" w:hAnsiTheme="minorHAnsi" w:cs="Arial"/>
          <w:lang w:eastAsia="en-AU"/>
        </w:rPr>
      </w:pPr>
      <w:r w:rsidRPr="00E631B0">
        <w:rPr>
          <w:rFonts w:asciiTheme="minorHAnsi" w:eastAsia="Arial+FPEF" w:hAnsiTheme="minorHAnsi" w:cs="Arial"/>
          <w:lang w:eastAsia="en-AU"/>
        </w:rPr>
        <w:t>The PBAC made a number of other recommendations in its advice to the Minister. These included the removal of the General Statement on Lipid</w:t>
      </w:r>
      <w:r w:rsidR="00D20B5C" w:rsidRPr="00E631B0">
        <w:rPr>
          <w:rFonts w:asciiTheme="minorHAnsi" w:eastAsia="Arial+FPEF" w:hAnsiTheme="minorHAnsi" w:cs="Arial"/>
          <w:lang w:eastAsia="en-AU"/>
        </w:rPr>
        <w:t xml:space="preserve"> </w:t>
      </w:r>
      <w:r w:rsidRPr="00E631B0">
        <w:rPr>
          <w:rFonts w:asciiTheme="minorHAnsi" w:eastAsia="Arial+FPEF" w:hAnsiTheme="minorHAnsi" w:cs="Arial"/>
          <w:lang w:eastAsia="en-AU"/>
        </w:rPr>
        <w:t>Lowering Drugs, due to its inconsistency with current guidelines and Quality Use of Medicine initiatives to ensure optimal first line initiation and gradual increase of statin therapy to maximally tolerated doses.</w:t>
      </w:r>
    </w:p>
    <w:p w14:paraId="6A2F6389" w14:textId="77777777" w:rsidR="003B1BF0" w:rsidRPr="00BC5F03" w:rsidRDefault="003B1BF0" w:rsidP="000831ED">
      <w:pPr>
        <w:autoSpaceDE w:val="0"/>
        <w:autoSpaceDN w:val="0"/>
        <w:adjustRightInd w:val="0"/>
        <w:jc w:val="left"/>
        <w:rPr>
          <w:rFonts w:asciiTheme="minorHAnsi" w:hAnsiTheme="minorHAnsi" w:cs="Arial"/>
        </w:rPr>
      </w:pPr>
    </w:p>
    <w:p w14:paraId="1423321D" w14:textId="77777777" w:rsidR="0000686B" w:rsidRPr="0083256E" w:rsidRDefault="0000686B" w:rsidP="00514129">
      <w:pPr>
        <w:pStyle w:val="Heading1"/>
      </w:pPr>
      <w:bookmarkStart w:id="18" w:name="_Toc500510186"/>
      <w:r w:rsidRPr="0083256E">
        <w:lastRenderedPageBreak/>
        <w:t xml:space="preserve">Executive </w:t>
      </w:r>
      <w:r w:rsidRPr="00920324">
        <w:t>Summary</w:t>
      </w:r>
      <w:bookmarkEnd w:id="18"/>
    </w:p>
    <w:p w14:paraId="25463E68" w14:textId="5D796F4A" w:rsidR="0000686B" w:rsidRPr="00E631B0" w:rsidRDefault="0000686B" w:rsidP="003B0EC5">
      <w:pPr>
        <w:autoSpaceDE w:val="0"/>
        <w:autoSpaceDN w:val="0"/>
        <w:adjustRightInd w:val="0"/>
        <w:spacing w:line="240" w:lineRule="auto"/>
        <w:jc w:val="left"/>
        <w:rPr>
          <w:rFonts w:asciiTheme="minorHAnsi" w:hAnsiTheme="minorHAnsi"/>
          <w:b/>
          <w:i/>
          <w:szCs w:val="24"/>
        </w:rPr>
      </w:pPr>
      <w:r w:rsidRPr="00E631B0">
        <w:rPr>
          <w:rFonts w:asciiTheme="minorHAnsi" w:hAnsiTheme="minorHAnsi"/>
          <w:szCs w:val="24"/>
        </w:rPr>
        <w:t xml:space="preserve">Large numbers of Australians have high cholesterol. High cholesterol is </w:t>
      </w:r>
      <w:r w:rsidR="002451EA" w:rsidRPr="00E631B0">
        <w:rPr>
          <w:rFonts w:asciiTheme="minorHAnsi" w:hAnsiTheme="minorHAnsi"/>
          <w:szCs w:val="24"/>
        </w:rPr>
        <w:t>a</w:t>
      </w:r>
      <w:r w:rsidRPr="00E631B0">
        <w:rPr>
          <w:rFonts w:asciiTheme="minorHAnsi" w:hAnsiTheme="minorHAnsi"/>
          <w:szCs w:val="24"/>
        </w:rPr>
        <w:t xml:space="preserve"> major risk factor for coronary heart disease, stroke and peripheral vascular disease. </w:t>
      </w:r>
      <w:r w:rsidRPr="00E631B0">
        <w:rPr>
          <w:rFonts w:asciiTheme="minorHAnsi" w:eastAsia="Times New Roman" w:hAnsiTheme="minorHAnsi" w:cs="Arial"/>
          <w:szCs w:val="24"/>
          <w:lang w:eastAsia="en-AU"/>
        </w:rPr>
        <w:t xml:space="preserve">Ezetimibe is a medicine used to lower cholesterol with the goal of reducing the occurrence of cardiovascular events such as heart attacks and stroke. Ezetimibe is listed on the Pharmaceutical Benefits Scheme (PBS) for the treatment of high cholesterol in certain patient populations. </w:t>
      </w:r>
    </w:p>
    <w:p w14:paraId="12D4D448" w14:textId="16AF55EF" w:rsidR="0000686B" w:rsidRPr="00E631B0" w:rsidRDefault="0000686B" w:rsidP="003B0EC5">
      <w:pPr>
        <w:spacing w:line="240" w:lineRule="auto"/>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The Post-market Review of Ezetimibe has been conducted as part of the Australian Government’s post-market monitoring program. The program aims to ensure the continued safe, cost-effective and quality use of medicines listed on the PBS. The purpose of this Review was to consider the comparative clinical effectiveness, ‘value for money’</w:t>
      </w:r>
      <w:r w:rsidR="002451EA" w:rsidRPr="00E631B0">
        <w:rPr>
          <w:rFonts w:asciiTheme="minorHAnsi" w:eastAsia="Times New Roman" w:hAnsiTheme="minorHAnsi" w:cs="Arial"/>
          <w:szCs w:val="24"/>
          <w:lang w:eastAsia="en-AU"/>
        </w:rPr>
        <w:t>,</w:t>
      </w:r>
      <w:r w:rsidRPr="00E631B0">
        <w:rPr>
          <w:rFonts w:asciiTheme="minorHAnsi" w:eastAsia="Times New Roman" w:hAnsiTheme="minorHAnsi" w:cs="Arial"/>
          <w:szCs w:val="24"/>
          <w:lang w:eastAsia="en-AU"/>
        </w:rPr>
        <w:t xml:space="preserve"> an</w:t>
      </w:r>
      <w:r w:rsidR="005879E3" w:rsidRPr="00E631B0">
        <w:rPr>
          <w:rFonts w:asciiTheme="minorHAnsi" w:eastAsia="Times New Roman" w:hAnsiTheme="minorHAnsi" w:cs="Arial"/>
          <w:szCs w:val="24"/>
          <w:lang w:eastAsia="en-AU"/>
        </w:rPr>
        <w:t>d</w:t>
      </w:r>
      <w:r w:rsidRPr="00E631B0">
        <w:rPr>
          <w:rFonts w:asciiTheme="minorHAnsi" w:eastAsia="Times New Roman" w:hAnsiTheme="minorHAnsi" w:cs="Arial"/>
          <w:szCs w:val="24"/>
          <w:lang w:eastAsia="en-AU"/>
        </w:rPr>
        <w:t xml:space="preserve"> financial cost of ezetimibe</w:t>
      </w:r>
      <w:r w:rsidR="002451EA" w:rsidRPr="00E631B0">
        <w:rPr>
          <w:rFonts w:asciiTheme="minorHAnsi" w:eastAsia="Times New Roman" w:hAnsiTheme="minorHAnsi" w:cs="Arial"/>
          <w:szCs w:val="24"/>
          <w:lang w:eastAsia="en-AU"/>
        </w:rPr>
        <w:t xml:space="preserve"> to the PBS</w:t>
      </w:r>
      <w:r w:rsidRPr="00E631B0">
        <w:rPr>
          <w:rFonts w:asciiTheme="minorHAnsi" w:eastAsia="Times New Roman" w:hAnsiTheme="minorHAnsi" w:cs="Arial"/>
          <w:szCs w:val="24"/>
          <w:lang w:eastAsia="en-AU"/>
        </w:rPr>
        <w:t>, in the context of the latest available evidence and best clinical practice.</w:t>
      </w:r>
    </w:p>
    <w:p w14:paraId="09E07FFD" w14:textId="09439382" w:rsidR="0000686B" w:rsidRPr="00E631B0" w:rsidRDefault="0000686B" w:rsidP="003B0EC5">
      <w:pPr>
        <w:spacing w:line="240" w:lineRule="auto"/>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 xml:space="preserve">In 2003, the Pharmaceutical Benefits Advisory Committee (PBAC) first recommended the PBS listing of ezetimibe based on a comparison of data on lipid </w:t>
      </w:r>
      <w:r w:rsidR="004B1768" w:rsidRPr="00E631B0">
        <w:rPr>
          <w:rFonts w:asciiTheme="minorHAnsi" w:eastAsia="Times New Roman" w:hAnsiTheme="minorHAnsi" w:cs="Arial"/>
          <w:szCs w:val="24"/>
          <w:lang w:eastAsia="en-AU"/>
        </w:rPr>
        <w:t>concentrations</w:t>
      </w:r>
      <w:r w:rsidRPr="00E631B0">
        <w:rPr>
          <w:rFonts w:asciiTheme="minorHAnsi" w:eastAsia="Times New Roman" w:hAnsiTheme="minorHAnsi" w:cs="Arial"/>
          <w:szCs w:val="24"/>
          <w:lang w:eastAsia="en-AU"/>
        </w:rPr>
        <w:t xml:space="preserve"> available at the time. There were no long</w:t>
      </w:r>
      <w:r w:rsidR="00F7627D" w:rsidRPr="00E631B0">
        <w:rPr>
          <w:rFonts w:asciiTheme="minorHAnsi" w:eastAsia="Times New Roman" w:hAnsiTheme="minorHAnsi" w:cs="Arial"/>
          <w:szCs w:val="24"/>
          <w:lang w:eastAsia="en-AU"/>
        </w:rPr>
        <w:t>-</w:t>
      </w:r>
      <w:r w:rsidRPr="00E631B0">
        <w:rPr>
          <w:rFonts w:asciiTheme="minorHAnsi" w:eastAsia="Times New Roman" w:hAnsiTheme="minorHAnsi" w:cs="Arial"/>
          <w:szCs w:val="24"/>
          <w:lang w:eastAsia="en-AU"/>
        </w:rPr>
        <w:t xml:space="preserve">term studies available to assess whether reduction of lipid </w:t>
      </w:r>
      <w:r w:rsidR="004B1768" w:rsidRPr="00E631B0">
        <w:rPr>
          <w:rFonts w:asciiTheme="minorHAnsi" w:eastAsia="Times New Roman" w:hAnsiTheme="minorHAnsi" w:cs="Arial"/>
          <w:szCs w:val="24"/>
          <w:lang w:eastAsia="en-AU"/>
        </w:rPr>
        <w:t>concentrations</w:t>
      </w:r>
      <w:r w:rsidRPr="00E631B0">
        <w:rPr>
          <w:rFonts w:asciiTheme="minorHAnsi" w:eastAsia="Times New Roman" w:hAnsiTheme="minorHAnsi" w:cs="Arial"/>
          <w:szCs w:val="24"/>
          <w:lang w:eastAsia="en-AU"/>
        </w:rPr>
        <w:t xml:space="preserve"> with ezetimibe resulted in fewer cardiovascular events. In contrast, for the</w:t>
      </w:r>
      <w:r w:rsidR="00D20B5C" w:rsidRPr="00E631B0">
        <w:rPr>
          <w:rFonts w:asciiTheme="minorHAnsi" w:eastAsia="Times New Roman" w:hAnsiTheme="minorHAnsi" w:cs="Arial"/>
          <w:szCs w:val="24"/>
          <w:lang w:eastAsia="en-AU"/>
        </w:rPr>
        <w:t xml:space="preserve"> 3-hydroxy-3methylglutaryl-coenzyme A (HMG-CoA)</w:t>
      </w:r>
      <w:r w:rsidRPr="00E631B0">
        <w:rPr>
          <w:rFonts w:asciiTheme="minorHAnsi" w:eastAsia="Times New Roman" w:hAnsiTheme="minorHAnsi" w:cs="Arial"/>
          <w:szCs w:val="24"/>
          <w:lang w:eastAsia="en-AU"/>
        </w:rPr>
        <w:t xml:space="preserve"> reductase inhibitors, or statins, there was a great body of evidence to show that </w:t>
      </w:r>
      <w:r w:rsidR="006053FB" w:rsidRPr="00E631B0">
        <w:rPr>
          <w:rFonts w:asciiTheme="minorHAnsi" w:eastAsia="Times New Roman" w:hAnsiTheme="minorHAnsi" w:cs="Arial"/>
          <w:szCs w:val="24"/>
          <w:lang w:eastAsia="en-AU"/>
        </w:rPr>
        <w:t>they</w:t>
      </w:r>
      <w:r w:rsidRPr="00E631B0">
        <w:rPr>
          <w:rFonts w:asciiTheme="minorHAnsi" w:eastAsia="Times New Roman" w:hAnsiTheme="minorHAnsi" w:cs="Arial"/>
          <w:szCs w:val="24"/>
          <w:lang w:eastAsia="en-AU"/>
        </w:rPr>
        <w:t xml:space="preserve"> reduc</w:t>
      </w:r>
      <w:r w:rsidR="006053FB" w:rsidRPr="00E631B0">
        <w:rPr>
          <w:rFonts w:asciiTheme="minorHAnsi" w:eastAsia="Times New Roman" w:hAnsiTheme="minorHAnsi" w:cs="Arial"/>
          <w:szCs w:val="24"/>
          <w:lang w:eastAsia="en-AU"/>
        </w:rPr>
        <w:t>ed</w:t>
      </w:r>
      <w:r w:rsidRPr="00E631B0">
        <w:rPr>
          <w:rFonts w:asciiTheme="minorHAnsi" w:eastAsia="Times New Roman" w:hAnsiTheme="minorHAnsi" w:cs="Arial"/>
          <w:szCs w:val="24"/>
          <w:lang w:eastAsia="en-AU"/>
        </w:rPr>
        <w:t xml:space="preserve"> </w:t>
      </w:r>
      <w:r w:rsidR="006053FB" w:rsidRPr="00E631B0">
        <w:rPr>
          <w:rFonts w:asciiTheme="minorHAnsi" w:eastAsia="Times New Roman" w:hAnsiTheme="minorHAnsi" w:cs="Arial"/>
          <w:szCs w:val="24"/>
          <w:lang w:eastAsia="en-AU"/>
        </w:rPr>
        <w:t>l</w:t>
      </w:r>
      <w:r w:rsidRPr="00E631B0">
        <w:rPr>
          <w:rFonts w:asciiTheme="minorHAnsi" w:eastAsia="Times New Roman" w:hAnsiTheme="minorHAnsi" w:cs="Arial"/>
          <w:szCs w:val="24"/>
          <w:lang w:eastAsia="en-AU"/>
        </w:rPr>
        <w:t xml:space="preserve">ow </w:t>
      </w:r>
      <w:r w:rsidR="006053FB" w:rsidRPr="00E631B0">
        <w:rPr>
          <w:rFonts w:asciiTheme="minorHAnsi" w:eastAsia="Times New Roman" w:hAnsiTheme="minorHAnsi" w:cs="Arial"/>
          <w:szCs w:val="24"/>
          <w:lang w:eastAsia="en-AU"/>
        </w:rPr>
        <w:t>d</w:t>
      </w:r>
      <w:r w:rsidRPr="00E631B0">
        <w:rPr>
          <w:rFonts w:asciiTheme="minorHAnsi" w:eastAsia="Times New Roman" w:hAnsiTheme="minorHAnsi" w:cs="Arial"/>
          <w:szCs w:val="24"/>
          <w:lang w:eastAsia="en-AU"/>
        </w:rPr>
        <w:t xml:space="preserve">ensity </w:t>
      </w:r>
      <w:r w:rsidR="006053FB" w:rsidRPr="00E631B0">
        <w:rPr>
          <w:rFonts w:asciiTheme="minorHAnsi" w:eastAsia="Times New Roman" w:hAnsiTheme="minorHAnsi" w:cs="Arial"/>
          <w:szCs w:val="24"/>
          <w:lang w:eastAsia="en-AU"/>
        </w:rPr>
        <w:t>l</w:t>
      </w:r>
      <w:r w:rsidRPr="00E631B0">
        <w:rPr>
          <w:rFonts w:asciiTheme="minorHAnsi" w:eastAsia="Times New Roman" w:hAnsiTheme="minorHAnsi" w:cs="Arial"/>
          <w:szCs w:val="24"/>
          <w:lang w:eastAsia="en-AU"/>
        </w:rPr>
        <w:t xml:space="preserve">ipoprotein </w:t>
      </w:r>
      <w:r w:rsidR="006053FB" w:rsidRPr="00E631B0">
        <w:rPr>
          <w:rFonts w:asciiTheme="minorHAnsi" w:eastAsia="Times New Roman" w:hAnsiTheme="minorHAnsi" w:cs="Arial"/>
          <w:szCs w:val="24"/>
          <w:lang w:eastAsia="en-AU"/>
        </w:rPr>
        <w:t>c</w:t>
      </w:r>
      <w:r w:rsidRPr="00E631B0">
        <w:rPr>
          <w:rFonts w:asciiTheme="minorHAnsi" w:eastAsia="Times New Roman" w:hAnsiTheme="minorHAnsi" w:cs="Arial"/>
          <w:szCs w:val="24"/>
          <w:lang w:eastAsia="en-AU"/>
        </w:rPr>
        <w:t>holesterol (LDL-C)</w:t>
      </w:r>
      <w:r w:rsidR="006053FB" w:rsidRPr="00E631B0">
        <w:rPr>
          <w:rFonts w:asciiTheme="minorHAnsi" w:eastAsia="Times New Roman" w:hAnsiTheme="minorHAnsi" w:cs="Arial"/>
          <w:szCs w:val="24"/>
          <w:lang w:eastAsia="en-AU"/>
        </w:rPr>
        <w:t xml:space="preserve"> serum</w:t>
      </w:r>
      <w:r w:rsidRPr="00E631B0">
        <w:rPr>
          <w:rFonts w:asciiTheme="minorHAnsi" w:eastAsia="Times New Roman" w:hAnsiTheme="minorHAnsi" w:cs="Arial"/>
          <w:szCs w:val="24"/>
          <w:lang w:eastAsia="en-AU"/>
        </w:rPr>
        <w:t xml:space="preserve"> concentrations</w:t>
      </w:r>
      <w:r w:rsidR="00DE56B1" w:rsidRPr="00E631B0">
        <w:rPr>
          <w:rFonts w:asciiTheme="minorHAnsi" w:eastAsia="Times New Roman" w:hAnsiTheme="minorHAnsi" w:cs="Arial"/>
          <w:szCs w:val="24"/>
          <w:lang w:eastAsia="en-AU"/>
        </w:rPr>
        <w:t>,</w:t>
      </w:r>
      <w:r w:rsidR="006053FB" w:rsidRPr="00E631B0">
        <w:rPr>
          <w:rFonts w:asciiTheme="minorHAnsi" w:eastAsia="Times New Roman" w:hAnsiTheme="minorHAnsi" w:cs="Arial"/>
          <w:szCs w:val="24"/>
          <w:lang w:eastAsia="en-AU"/>
        </w:rPr>
        <w:t xml:space="preserve"> which</w:t>
      </w:r>
      <w:r w:rsidRPr="00E631B0">
        <w:rPr>
          <w:rFonts w:asciiTheme="minorHAnsi" w:eastAsia="Times New Roman" w:hAnsiTheme="minorHAnsi" w:cs="Arial"/>
          <w:szCs w:val="24"/>
          <w:lang w:eastAsia="en-AU"/>
        </w:rPr>
        <w:t xml:space="preserve"> translated to a lower risk of cardiovascular events </w:t>
      </w:r>
      <w:r w:rsidR="006053FB" w:rsidRPr="00E631B0">
        <w:rPr>
          <w:rFonts w:asciiTheme="minorHAnsi" w:eastAsia="Times New Roman" w:hAnsiTheme="minorHAnsi" w:cs="Arial"/>
          <w:szCs w:val="24"/>
          <w:lang w:eastAsia="en-AU"/>
        </w:rPr>
        <w:t>and</w:t>
      </w:r>
      <w:r w:rsidRPr="00E631B0">
        <w:rPr>
          <w:rFonts w:asciiTheme="minorHAnsi" w:eastAsia="Times New Roman" w:hAnsiTheme="minorHAnsi" w:cs="Arial"/>
          <w:szCs w:val="24"/>
          <w:lang w:eastAsia="en-AU"/>
        </w:rPr>
        <w:t xml:space="preserve"> mortality.</w:t>
      </w:r>
    </w:p>
    <w:p w14:paraId="049AB85F" w14:textId="77777777" w:rsidR="0000686B" w:rsidRPr="00E631B0" w:rsidRDefault="0000686B" w:rsidP="003B0EC5">
      <w:pPr>
        <w:spacing w:line="240" w:lineRule="auto"/>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By November 2013, there were a number of ezetimibe with statin combination products listed on the PBS. The PBAC expressed concern that the listing of</w:t>
      </w:r>
      <w:r w:rsidR="00DC6A3B" w:rsidRPr="00E631B0">
        <w:rPr>
          <w:rFonts w:asciiTheme="minorHAnsi" w:eastAsia="Times New Roman" w:hAnsiTheme="minorHAnsi" w:cs="Arial"/>
          <w:szCs w:val="24"/>
          <w:lang w:eastAsia="en-AU"/>
        </w:rPr>
        <w:t xml:space="preserve"> combination</w:t>
      </w:r>
      <w:r w:rsidRPr="00E631B0">
        <w:rPr>
          <w:rFonts w:asciiTheme="minorHAnsi" w:eastAsia="Times New Roman" w:hAnsiTheme="minorHAnsi" w:cs="Arial"/>
          <w:szCs w:val="24"/>
          <w:lang w:eastAsia="en-AU"/>
        </w:rPr>
        <w:t xml:space="preserve"> ezetimibe </w:t>
      </w:r>
      <w:r w:rsidR="00DC6A3B" w:rsidRPr="00E631B0">
        <w:rPr>
          <w:rFonts w:asciiTheme="minorHAnsi" w:eastAsia="Times New Roman" w:hAnsiTheme="minorHAnsi" w:cs="Arial"/>
          <w:szCs w:val="24"/>
          <w:lang w:eastAsia="en-AU"/>
        </w:rPr>
        <w:t>and</w:t>
      </w:r>
      <w:r w:rsidRPr="00E631B0">
        <w:rPr>
          <w:rFonts w:asciiTheme="minorHAnsi" w:eastAsia="Times New Roman" w:hAnsiTheme="minorHAnsi" w:cs="Arial"/>
          <w:szCs w:val="24"/>
          <w:lang w:eastAsia="en-AU"/>
        </w:rPr>
        <w:t xml:space="preserve"> statin products (co-packs and fixed dose combinations) on the PBS may direct use away from optimal dos</w:t>
      </w:r>
      <w:r w:rsidR="00DC6A3B" w:rsidRPr="00E631B0">
        <w:rPr>
          <w:rFonts w:asciiTheme="minorHAnsi" w:eastAsia="Times New Roman" w:hAnsiTheme="minorHAnsi" w:cs="Arial"/>
          <w:szCs w:val="24"/>
          <w:lang w:eastAsia="en-AU"/>
        </w:rPr>
        <w:t>e</w:t>
      </w:r>
      <w:r w:rsidRPr="00E631B0">
        <w:rPr>
          <w:rFonts w:asciiTheme="minorHAnsi" w:eastAsia="Times New Roman" w:hAnsiTheme="minorHAnsi" w:cs="Arial"/>
          <w:szCs w:val="24"/>
          <w:lang w:eastAsia="en-AU"/>
        </w:rPr>
        <w:t xml:space="preserve"> titration of statins. The PBAC also noted </w:t>
      </w:r>
      <w:r w:rsidR="00DC6A3B" w:rsidRPr="00E631B0">
        <w:rPr>
          <w:rFonts w:asciiTheme="minorHAnsi" w:eastAsia="Times New Roman" w:hAnsiTheme="minorHAnsi" w:cs="Arial"/>
          <w:szCs w:val="24"/>
          <w:lang w:eastAsia="en-AU"/>
        </w:rPr>
        <w:t xml:space="preserve">at the time </w:t>
      </w:r>
      <w:r w:rsidR="0055761C" w:rsidRPr="00E631B0">
        <w:rPr>
          <w:rFonts w:asciiTheme="minorHAnsi" w:eastAsia="Times New Roman" w:hAnsiTheme="minorHAnsi" w:cs="Arial"/>
          <w:szCs w:val="24"/>
          <w:lang w:eastAsia="en-AU"/>
        </w:rPr>
        <w:t xml:space="preserve">that </w:t>
      </w:r>
      <w:r w:rsidRPr="00E631B0">
        <w:rPr>
          <w:rFonts w:asciiTheme="minorHAnsi" w:eastAsia="Times New Roman" w:hAnsiTheme="minorHAnsi" w:cs="Arial"/>
          <w:szCs w:val="24"/>
          <w:lang w:eastAsia="en-AU"/>
        </w:rPr>
        <w:t xml:space="preserve">there </w:t>
      </w:r>
      <w:r w:rsidR="00DC6A3B" w:rsidRPr="00E631B0">
        <w:rPr>
          <w:rFonts w:asciiTheme="minorHAnsi" w:eastAsia="Times New Roman" w:hAnsiTheme="minorHAnsi" w:cs="Arial"/>
          <w:szCs w:val="24"/>
          <w:lang w:eastAsia="en-AU"/>
        </w:rPr>
        <w:t>were</w:t>
      </w:r>
      <w:r w:rsidRPr="00E631B0">
        <w:rPr>
          <w:rFonts w:asciiTheme="minorHAnsi" w:eastAsia="Times New Roman" w:hAnsiTheme="minorHAnsi" w:cs="Arial"/>
          <w:szCs w:val="24"/>
          <w:lang w:eastAsia="en-AU"/>
        </w:rPr>
        <w:t xml:space="preserve"> no</w:t>
      </w:r>
      <w:r w:rsidR="00DC6A3B" w:rsidRPr="00E631B0">
        <w:rPr>
          <w:rFonts w:asciiTheme="minorHAnsi" w:eastAsia="Times New Roman" w:hAnsiTheme="minorHAnsi" w:cs="Arial"/>
          <w:szCs w:val="24"/>
          <w:lang w:eastAsia="en-AU"/>
        </w:rPr>
        <w:t xml:space="preserve"> studies reporting</w:t>
      </w:r>
      <w:r w:rsidRPr="00E631B0">
        <w:rPr>
          <w:rFonts w:asciiTheme="minorHAnsi" w:eastAsia="Times New Roman" w:hAnsiTheme="minorHAnsi" w:cs="Arial"/>
          <w:szCs w:val="24"/>
          <w:lang w:eastAsia="en-AU"/>
        </w:rPr>
        <w:t xml:space="preserve"> long</w:t>
      </w:r>
      <w:r w:rsidR="00F7627D" w:rsidRPr="00E631B0">
        <w:rPr>
          <w:rFonts w:asciiTheme="minorHAnsi" w:eastAsia="Times New Roman" w:hAnsiTheme="minorHAnsi" w:cs="Arial"/>
          <w:szCs w:val="24"/>
          <w:lang w:eastAsia="en-AU"/>
        </w:rPr>
        <w:t>-</w:t>
      </w:r>
      <w:r w:rsidRPr="00E631B0">
        <w:rPr>
          <w:rFonts w:asciiTheme="minorHAnsi" w:eastAsia="Times New Roman" w:hAnsiTheme="minorHAnsi" w:cs="Arial"/>
          <w:szCs w:val="24"/>
          <w:lang w:eastAsia="en-AU"/>
        </w:rPr>
        <w:t xml:space="preserve">term patient relevant outcome data for ezetimibe, and that PBS expenditure on the medicine was high. The PBAC recommended a Post-market Review </w:t>
      </w:r>
      <w:r w:rsidR="00444787" w:rsidRPr="00E631B0">
        <w:rPr>
          <w:rFonts w:asciiTheme="minorHAnsi" w:eastAsia="Times New Roman" w:hAnsiTheme="minorHAnsi" w:cs="Arial"/>
          <w:szCs w:val="24"/>
          <w:lang w:eastAsia="en-AU"/>
        </w:rPr>
        <w:t xml:space="preserve">(PMR) </w:t>
      </w:r>
      <w:r w:rsidRPr="00E631B0">
        <w:rPr>
          <w:rFonts w:asciiTheme="minorHAnsi" w:eastAsia="Times New Roman" w:hAnsiTheme="minorHAnsi" w:cs="Arial"/>
          <w:szCs w:val="24"/>
          <w:lang w:eastAsia="en-AU"/>
        </w:rPr>
        <w:t xml:space="preserve">of Ezetimibe in August 2015 and the Minister for Health agreed to the Review in September 2015. </w:t>
      </w:r>
    </w:p>
    <w:p w14:paraId="3E9FD57A" w14:textId="0997F6E6" w:rsidR="0000686B" w:rsidRPr="00E631B0" w:rsidRDefault="0000686B" w:rsidP="003B0EC5">
      <w:pPr>
        <w:spacing w:line="240" w:lineRule="auto"/>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The</w:t>
      </w:r>
      <w:r w:rsidR="00A83336" w:rsidRPr="00E631B0">
        <w:rPr>
          <w:rFonts w:asciiTheme="minorHAnsi" w:eastAsia="Times New Roman" w:hAnsiTheme="minorHAnsi" w:cs="Arial"/>
          <w:szCs w:val="24"/>
          <w:lang w:eastAsia="en-AU"/>
        </w:rPr>
        <w:t xml:space="preserve"> PMR of </w:t>
      </w:r>
      <w:r w:rsidR="00444787" w:rsidRPr="00E631B0">
        <w:rPr>
          <w:rFonts w:asciiTheme="minorHAnsi" w:eastAsia="Times New Roman" w:hAnsiTheme="minorHAnsi" w:cs="Arial"/>
          <w:szCs w:val="24"/>
          <w:lang w:eastAsia="en-AU"/>
        </w:rPr>
        <w:t>E</w:t>
      </w:r>
      <w:r w:rsidRPr="00E631B0">
        <w:rPr>
          <w:rFonts w:asciiTheme="minorHAnsi" w:eastAsia="Times New Roman" w:hAnsiTheme="minorHAnsi" w:cs="Arial"/>
          <w:szCs w:val="24"/>
          <w:lang w:eastAsia="en-AU"/>
        </w:rPr>
        <w:t xml:space="preserve">zetimibe addressed </w:t>
      </w:r>
      <w:r w:rsidR="00DC6A3B" w:rsidRPr="00E631B0">
        <w:rPr>
          <w:rFonts w:asciiTheme="minorHAnsi" w:eastAsia="Times New Roman" w:hAnsiTheme="minorHAnsi" w:cs="Arial"/>
          <w:szCs w:val="24"/>
          <w:lang w:eastAsia="en-AU"/>
        </w:rPr>
        <w:t xml:space="preserve">the following three </w:t>
      </w:r>
      <w:r w:rsidR="00444787" w:rsidRPr="00E631B0">
        <w:rPr>
          <w:rFonts w:asciiTheme="minorHAnsi" w:eastAsia="Times New Roman" w:hAnsiTheme="minorHAnsi" w:cs="Arial"/>
          <w:szCs w:val="24"/>
          <w:lang w:eastAsia="en-AU"/>
        </w:rPr>
        <w:t>T</w:t>
      </w:r>
      <w:r w:rsidR="00DC6A3B" w:rsidRPr="00E631B0">
        <w:rPr>
          <w:rFonts w:asciiTheme="minorHAnsi" w:eastAsia="Times New Roman" w:hAnsiTheme="minorHAnsi" w:cs="Arial"/>
          <w:szCs w:val="24"/>
          <w:lang w:eastAsia="en-AU"/>
        </w:rPr>
        <w:t xml:space="preserve">erms of </w:t>
      </w:r>
      <w:r w:rsidR="00444787" w:rsidRPr="00E631B0">
        <w:rPr>
          <w:rFonts w:asciiTheme="minorHAnsi" w:eastAsia="Times New Roman" w:hAnsiTheme="minorHAnsi" w:cs="Arial"/>
          <w:szCs w:val="24"/>
          <w:lang w:eastAsia="en-AU"/>
        </w:rPr>
        <w:t>R</w:t>
      </w:r>
      <w:r w:rsidR="00DC6A3B" w:rsidRPr="00E631B0">
        <w:rPr>
          <w:rFonts w:asciiTheme="minorHAnsi" w:eastAsia="Times New Roman" w:hAnsiTheme="minorHAnsi" w:cs="Arial"/>
          <w:szCs w:val="24"/>
          <w:lang w:eastAsia="en-AU"/>
        </w:rPr>
        <w:t>eference</w:t>
      </w:r>
      <w:r w:rsidRPr="00E631B0">
        <w:rPr>
          <w:rFonts w:asciiTheme="minorHAnsi" w:eastAsia="Times New Roman" w:hAnsiTheme="minorHAnsi" w:cs="Arial"/>
          <w:szCs w:val="24"/>
          <w:lang w:eastAsia="en-AU"/>
        </w:rPr>
        <w:t>:</w:t>
      </w:r>
    </w:p>
    <w:p w14:paraId="14CD6F4E" w14:textId="403E5588" w:rsidR="00DC6A3B" w:rsidRPr="00E631B0" w:rsidRDefault="00DC6A3B" w:rsidP="008600B5">
      <w:pPr>
        <w:numPr>
          <w:ilvl w:val="0"/>
          <w:numId w:val="29"/>
        </w:numPr>
        <w:shd w:val="clear" w:color="auto" w:fill="FFFFFF"/>
        <w:tabs>
          <w:tab w:val="clear" w:pos="720"/>
          <w:tab w:val="num" w:pos="1080"/>
        </w:tabs>
        <w:spacing w:after="90" w:line="300" w:lineRule="atLeast"/>
        <w:ind w:left="360"/>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 xml:space="preserve">Review current utilisation of Pharmaceutical Benefits Scheme (PBS)-listed ezetimibe and </w:t>
      </w:r>
      <w:r w:rsidR="00A83336" w:rsidRPr="00E631B0">
        <w:rPr>
          <w:rFonts w:asciiTheme="minorHAnsi" w:eastAsia="Times New Roman" w:hAnsiTheme="minorHAnsi" w:cs="Arial"/>
          <w:szCs w:val="24"/>
          <w:lang w:eastAsia="en-AU"/>
        </w:rPr>
        <w:t>e</w:t>
      </w:r>
      <w:r w:rsidRPr="00E631B0">
        <w:rPr>
          <w:rFonts w:asciiTheme="minorHAnsi" w:eastAsia="Times New Roman" w:hAnsiTheme="minorHAnsi" w:cs="Arial"/>
          <w:szCs w:val="24"/>
          <w:lang w:eastAsia="en-AU"/>
        </w:rPr>
        <w:t>zetimibe combination products. Any review will consider additional data sources that may inform the current utilisation of ezetimibe.</w:t>
      </w:r>
    </w:p>
    <w:p w14:paraId="2833CFD7" w14:textId="77777777" w:rsidR="00DC6A3B" w:rsidRPr="00E631B0" w:rsidRDefault="00DC6A3B" w:rsidP="008600B5">
      <w:pPr>
        <w:numPr>
          <w:ilvl w:val="0"/>
          <w:numId w:val="29"/>
        </w:numPr>
        <w:shd w:val="clear" w:color="auto" w:fill="FFFFFF"/>
        <w:spacing w:after="90" w:line="300" w:lineRule="atLeast"/>
        <w:ind w:left="360"/>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Review recent clinical guidelines for the treatment of hypercholesterolaemia and compare this to how ezetimibe is currently used on the PBS.</w:t>
      </w:r>
    </w:p>
    <w:p w14:paraId="66B9300A" w14:textId="77777777" w:rsidR="00DC6A3B" w:rsidRPr="00E631B0" w:rsidRDefault="00DC6A3B" w:rsidP="008600B5">
      <w:pPr>
        <w:numPr>
          <w:ilvl w:val="0"/>
          <w:numId w:val="29"/>
        </w:numPr>
        <w:shd w:val="clear" w:color="auto" w:fill="FFFFFF"/>
        <w:spacing w:after="90" w:line="300" w:lineRule="atLeast"/>
        <w:ind w:left="360"/>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Collate and evaluate any recent clinical studies of ezetimibe that report on long</w:t>
      </w:r>
      <w:r w:rsidR="00F7627D" w:rsidRPr="00E631B0">
        <w:rPr>
          <w:rFonts w:asciiTheme="minorHAnsi" w:eastAsia="Times New Roman" w:hAnsiTheme="minorHAnsi" w:cs="Arial"/>
          <w:szCs w:val="24"/>
          <w:lang w:eastAsia="en-AU"/>
        </w:rPr>
        <w:t>-</w:t>
      </w:r>
      <w:r w:rsidRPr="00E631B0">
        <w:rPr>
          <w:rFonts w:asciiTheme="minorHAnsi" w:eastAsia="Times New Roman" w:hAnsiTheme="minorHAnsi" w:cs="Arial"/>
          <w:szCs w:val="24"/>
          <w:lang w:eastAsia="en-AU"/>
        </w:rPr>
        <w:t>term patient relevant outcomes, and use this data to review the cost-effectiveness of ezetimibe.</w:t>
      </w:r>
    </w:p>
    <w:p w14:paraId="6974CDAA" w14:textId="32642936" w:rsidR="0000686B" w:rsidRPr="00E631B0" w:rsidRDefault="0000686B" w:rsidP="003B0EC5">
      <w:pPr>
        <w:spacing w:line="240" w:lineRule="auto"/>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An independent expert Reference Group guided and provided advice to the Review</w:t>
      </w:r>
      <w:r w:rsidR="00DC6A3B" w:rsidRPr="00E631B0">
        <w:rPr>
          <w:rFonts w:asciiTheme="minorHAnsi" w:eastAsia="Times New Roman" w:hAnsiTheme="minorHAnsi" w:cs="Arial"/>
          <w:szCs w:val="24"/>
          <w:lang w:eastAsia="en-AU"/>
        </w:rPr>
        <w:t>. T</w:t>
      </w:r>
      <w:r w:rsidRPr="00E631B0">
        <w:rPr>
          <w:rFonts w:asciiTheme="minorHAnsi" w:eastAsia="Times New Roman" w:hAnsiTheme="minorHAnsi" w:cs="Arial"/>
          <w:szCs w:val="24"/>
          <w:lang w:eastAsia="en-AU"/>
        </w:rPr>
        <w:t>here were a number of opportunities for stakeholder consultation</w:t>
      </w:r>
      <w:r w:rsidR="00DC6A3B" w:rsidRPr="00E631B0">
        <w:rPr>
          <w:rFonts w:asciiTheme="minorHAnsi" w:eastAsia="Times New Roman" w:hAnsiTheme="minorHAnsi" w:cs="Arial"/>
          <w:szCs w:val="24"/>
          <w:lang w:eastAsia="en-AU"/>
        </w:rPr>
        <w:t xml:space="preserve"> and input</w:t>
      </w:r>
      <w:r w:rsidRPr="00E631B0">
        <w:rPr>
          <w:rFonts w:asciiTheme="minorHAnsi" w:eastAsia="Times New Roman" w:hAnsiTheme="minorHAnsi" w:cs="Arial"/>
          <w:szCs w:val="24"/>
          <w:lang w:eastAsia="en-AU"/>
        </w:rPr>
        <w:t xml:space="preserve"> throughout the </w:t>
      </w:r>
      <w:r w:rsidR="00444787" w:rsidRPr="00E631B0">
        <w:rPr>
          <w:rFonts w:asciiTheme="minorHAnsi" w:eastAsia="Times New Roman" w:hAnsiTheme="minorHAnsi" w:cs="Arial"/>
          <w:szCs w:val="24"/>
          <w:lang w:eastAsia="en-AU"/>
        </w:rPr>
        <w:t>R</w:t>
      </w:r>
      <w:r w:rsidRPr="00E631B0">
        <w:rPr>
          <w:rFonts w:asciiTheme="minorHAnsi" w:eastAsia="Times New Roman" w:hAnsiTheme="minorHAnsi" w:cs="Arial"/>
          <w:szCs w:val="24"/>
          <w:lang w:eastAsia="en-AU"/>
        </w:rPr>
        <w:t>eview.</w:t>
      </w:r>
    </w:p>
    <w:p w14:paraId="4102F163" w14:textId="77777777" w:rsidR="00444787" w:rsidRPr="00EC7CB7" w:rsidRDefault="00B90C8C" w:rsidP="003B0EC5">
      <w:pPr>
        <w:pStyle w:val="Heading2"/>
        <w:rPr>
          <w:sz w:val="40"/>
          <w:szCs w:val="40"/>
          <w:lang w:eastAsia="en-AU"/>
        </w:rPr>
      </w:pPr>
      <w:bookmarkStart w:id="19" w:name="_Toc500510187"/>
      <w:r w:rsidRPr="00EC7CB7">
        <w:rPr>
          <w:sz w:val="40"/>
          <w:szCs w:val="40"/>
        </w:rPr>
        <w:lastRenderedPageBreak/>
        <w:t>Term of Reference 1</w:t>
      </w:r>
      <w:r w:rsidR="00444787" w:rsidRPr="00EC7CB7">
        <w:rPr>
          <w:sz w:val="40"/>
          <w:szCs w:val="40"/>
        </w:rPr>
        <w:t xml:space="preserve">: </w:t>
      </w:r>
      <w:r w:rsidR="00444787" w:rsidRPr="00EC7CB7">
        <w:rPr>
          <w:sz w:val="40"/>
          <w:szCs w:val="40"/>
          <w:lang w:eastAsia="en-AU"/>
        </w:rPr>
        <w:t>Utilisation</w:t>
      </w:r>
      <w:bookmarkEnd w:id="19"/>
    </w:p>
    <w:p w14:paraId="28F33BC2" w14:textId="478DB82F" w:rsidR="00B90C8C" w:rsidRPr="00561FE6" w:rsidRDefault="00B90C8C" w:rsidP="003B0EC5">
      <w:pPr>
        <w:jc w:val="left"/>
        <w:rPr>
          <w:rFonts w:asciiTheme="minorHAnsi" w:hAnsiTheme="minorHAnsi"/>
          <w:b/>
          <w:color w:val="222222"/>
        </w:rPr>
      </w:pPr>
      <w:r w:rsidRPr="00561FE6">
        <w:rPr>
          <w:rFonts w:asciiTheme="minorHAnsi" w:hAnsiTheme="minorHAnsi"/>
          <w:b/>
        </w:rPr>
        <w:t>Review current utilisation of Pharmaceutical Benefits Scheme (PBS</w:t>
      </w:r>
      <w:r w:rsidRPr="00AE1E65">
        <w:rPr>
          <w:rFonts w:asciiTheme="minorHAnsi" w:hAnsiTheme="minorHAnsi"/>
          <w:b/>
          <w:lang w:eastAsia="en-AU"/>
        </w:rPr>
        <w:t>)-</w:t>
      </w:r>
      <w:r w:rsidRPr="00561FE6">
        <w:rPr>
          <w:rFonts w:asciiTheme="minorHAnsi" w:hAnsiTheme="minorHAnsi"/>
          <w:b/>
        </w:rPr>
        <w:t>listed ezetimibe and ezetimibe combination products. Any review will consider additional data sources that may inform the current utilisation of ezetimibe.</w:t>
      </w:r>
    </w:p>
    <w:p w14:paraId="16483E52" w14:textId="77777777" w:rsidR="00177CC3" w:rsidRPr="00E631B0" w:rsidRDefault="00D52431" w:rsidP="003B0EC5">
      <w:pPr>
        <w:spacing w:line="240" w:lineRule="auto"/>
        <w:jc w:val="left"/>
        <w:rPr>
          <w:rFonts w:asciiTheme="minorHAnsi" w:eastAsia="Calibri" w:hAnsiTheme="minorHAnsi"/>
          <w:szCs w:val="24"/>
        </w:rPr>
      </w:pPr>
      <w:r w:rsidRPr="00E631B0">
        <w:rPr>
          <w:rFonts w:asciiTheme="minorHAnsi" w:eastAsia="Calibri" w:hAnsiTheme="minorHAnsi"/>
          <w:szCs w:val="24"/>
        </w:rPr>
        <w:t>A</w:t>
      </w:r>
      <w:r w:rsidR="004A5D64" w:rsidRPr="00E631B0">
        <w:rPr>
          <w:rFonts w:asciiTheme="minorHAnsi" w:eastAsia="Calibri" w:hAnsiTheme="minorHAnsi"/>
          <w:szCs w:val="24"/>
        </w:rPr>
        <w:t>n</w:t>
      </w:r>
      <w:r w:rsidR="00177CC3" w:rsidRPr="00E631B0">
        <w:rPr>
          <w:rFonts w:asciiTheme="minorHAnsi" w:eastAsia="Calibri" w:hAnsiTheme="minorHAnsi"/>
          <w:szCs w:val="24"/>
        </w:rPr>
        <w:t xml:space="preserve"> utilisation analysis of unit record level PBS data (including under co-payment prescriptions) was </w:t>
      </w:r>
      <w:r w:rsidR="00821A23" w:rsidRPr="00E631B0">
        <w:rPr>
          <w:rFonts w:asciiTheme="minorHAnsi" w:eastAsia="Calibri" w:hAnsiTheme="minorHAnsi"/>
          <w:szCs w:val="24"/>
        </w:rPr>
        <w:t>undertaken to</w:t>
      </w:r>
      <w:r w:rsidR="00177CC3" w:rsidRPr="00E631B0">
        <w:rPr>
          <w:rFonts w:asciiTheme="minorHAnsi" w:eastAsia="Calibri" w:hAnsiTheme="minorHAnsi"/>
          <w:szCs w:val="24"/>
        </w:rPr>
        <w:t xml:space="preserve"> answer the following research question in 2016 (</w:t>
      </w:r>
      <w:r w:rsidR="00A24486" w:rsidRPr="00E631B0">
        <w:rPr>
          <w:rFonts w:asciiTheme="minorHAnsi" w:eastAsia="Calibri" w:hAnsiTheme="minorHAnsi"/>
          <w:szCs w:val="24"/>
        </w:rPr>
        <w:t xml:space="preserve">December 2016 </w:t>
      </w:r>
      <w:r w:rsidR="00177CC3" w:rsidRPr="00E631B0">
        <w:rPr>
          <w:rFonts w:asciiTheme="minorHAnsi" w:eastAsia="Calibri" w:hAnsiTheme="minorHAnsi"/>
          <w:szCs w:val="24"/>
        </w:rPr>
        <w:t xml:space="preserve">Analysis – </w:t>
      </w:r>
      <w:r w:rsidR="00177CC3" w:rsidRPr="00E631B0">
        <w:rPr>
          <w:rFonts w:asciiTheme="minorHAnsi" w:eastAsia="Calibri" w:hAnsiTheme="minorHAnsi"/>
          <w:b/>
          <w:szCs w:val="24"/>
        </w:rPr>
        <w:t xml:space="preserve">Appendix </w:t>
      </w:r>
      <w:r w:rsidR="00FF424F" w:rsidRPr="00E631B0">
        <w:rPr>
          <w:rFonts w:asciiTheme="minorHAnsi" w:eastAsia="Calibri" w:hAnsiTheme="minorHAnsi"/>
          <w:b/>
          <w:szCs w:val="24"/>
        </w:rPr>
        <w:t>E</w:t>
      </w:r>
      <w:r w:rsidR="00177CC3" w:rsidRPr="00E631B0">
        <w:rPr>
          <w:rFonts w:asciiTheme="minorHAnsi" w:eastAsia="Calibri" w:hAnsiTheme="minorHAnsi"/>
          <w:szCs w:val="24"/>
        </w:rPr>
        <w:t>):</w:t>
      </w:r>
    </w:p>
    <w:p w14:paraId="6C8B9625" w14:textId="77777777" w:rsidR="00177CC3" w:rsidRPr="00E631B0" w:rsidRDefault="00177CC3" w:rsidP="003B0EC5">
      <w:pPr>
        <w:jc w:val="left"/>
        <w:rPr>
          <w:rFonts w:ascii="Calibri" w:eastAsia="Calibri" w:hAnsi="Calibri" w:cs="Times New Roman"/>
        </w:rPr>
      </w:pPr>
      <w:r w:rsidRPr="00E631B0">
        <w:rPr>
          <w:rFonts w:ascii="Calibri" w:eastAsia="Calibri" w:hAnsi="Calibri" w:cs="Times New Roman"/>
        </w:rPr>
        <w:t>“Is ezetimibe being prescribed on the PBS in accordance with the PBS restrictions for ezetimibe, which require titration of statins to maximally tolerated doses before initiation of treatment with ezetimibe?”</w:t>
      </w:r>
    </w:p>
    <w:p w14:paraId="420BF8C9" w14:textId="22DFCC6D" w:rsidR="0000686B" w:rsidRPr="00E631B0" w:rsidRDefault="0000686B" w:rsidP="003B0EC5">
      <w:pPr>
        <w:spacing w:line="240" w:lineRule="auto"/>
        <w:jc w:val="left"/>
        <w:rPr>
          <w:rFonts w:asciiTheme="minorHAnsi" w:eastAsia="Calibri" w:hAnsiTheme="minorHAnsi"/>
          <w:szCs w:val="24"/>
        </w:rPr>
      </w:pPr>
      <w:r w:rsidRPr="00E631B0">
        <w:rPr>
          <w:rFonts w:asciiTheme="minorHAnsi" w:eastAsia="Times New Roman" w:hAnsiTheme="minorHAnsi" w:cs="Arial"/>
          <w:szCs w:val="24"/>
          <w:lang w:eastAsia="en-AU"/>
        </w:rPr>
        <w:t>Certain restrictions or conditions may apply to PBS</w:t>
      </w:r>
      <w:r w:rsidR="006E3131" w:rsidRPr="00E631B0">
        <w:rPr>
          <w:rFonts w:asciiTheme="minorHAnsi" w:eastAsia="Times New Roman" w:hAnsiTheme="minorHAnsi" w:cs="Arial"/>
          <w:szCs w:val="24"/>
          <w:lang w:eastAsia="en-AU"/>
        </w:rPr>
        <w:t>-</w:t>
      </w:r>
      <w:r w:rsidRPr="00E631B0">
        <w:rPr>
          <w:rFonts w:asciiTheme="minorHAnsi" w:eastAsia="Times New Roman" w:hAnsiTheme="minorHAnsi" w:cs="Arial"/>
          <w:szCs w:val="24"/>
          <w:lang w:eastAsia="en-AU"/>
        </w:rPr>
        <w:t xml:space="preserve">listed medicines to ensure the medicine is subsidised in situations where treatment is proven to be clinically </w:t>
      </w:r>
      <w:r w:rsidR="00177CC3" w:rsidRPr="00E631B0">
        <w:rPr>
          <w:rFonts w:asciiTheme="minorHAnsi" w:eastAsia="Times New Roman" w:hAnsiTheme="minorHAnsi" w:cs="Arial"/>
          <w:szCs w:val="24"/>
          <w:lang w:eastAsia="en-AU"/>
        </w:rPr>
        <w:t>effective</w:t>
      </w:r>
      <w:r w:rsidRPr="00E631B0">
        <w:rPr>
          <w:rFonts w:asciiTheme="minorHAnsi" w:eastAsia="Times New Roman" w:hAnsiTheme="minorHAnsi" w:cs="Arial"/>
          <w:szCs w:val="24"/>
          <w:lang w:eastAsia="en-AU"/>
        </w:rPr>
        <w:t xml:space="preserve"> and cost</w:t>
      </w:r>
      <w:r w:rsidR="00177CC3" w:rsidRPr="00E631B0">
        <w:rPr>
          <w:rFonts w:asciiTheme="minorHAnsi" w:eastAsia="Times New Roman" w:hAnsiTheme="minorHAnsi" w:cs="Arial"/>
          <w:szCs w:val="24"/>
          <w:lang w:eastAsia="en-AU"/>
        </w:rPr>
        <w:t>-</w:t>
      </w:r>
      <w:r w:rsidRPr="00E631B0">
        <w:rPr>
          <w:rFonts w:asciiTheme="minorHAnsi" w:eastAsia="Times New Roman" w:hAnsiTheme="minorHAnsi" w:cs="Arial"/>
          <w:szCs w:val="24"/>
          <w:lang w:eastAsia="en-AU"/>
        </w:rPr>
        <w:t>effective. For most patients, t</w:t>
      </w:r>
      <w:r w:rsidRPr="00E631B0">
        <w:rPr>
          <w:rFonts w:asciiTheme="minorHAnsi" w:eastAsia="Calibri" w:hAnsiTheme="minorHAnsi"/>
          <w:szCs w:val="24"/>
        </w:rPr>
        <w:t xml:space="preserve">he PBS restrictions for ezetimibe require </w:t>
      </w:r>
      <w:r w:rsidRPr="00E631B0">
        <w:rPr>
          <w:rFonts w:asciiTheme="minorHAnsi" w:eastAsia="Calibri" w:hAnsiTheme="minorHAnsi" w:cs="Times New Roman"/>
          <w:szCs w:val="24"/>
        </w:rPr>
        <w:t>titration of statins</w:t>
      </w:r>
      <w:r w:rsidRPr="00E631B0">
        <w:rPr>
          <w:rFonts w:asciiTheme="minorHAnsi" w:eastAsia="Calibri" w:hAnsiTheme="minorHAnsi"/>
          <w:szCs w:val="24"/>
        </w:rPr>
        <w:t xml:space="preserve"> </w:t>
      </w:r>
      <w:r w:rsidRPr="00E631B0">
        <w:rPr>
          <w:rFonts w:asciiTheme="minorHAnsi" w:eastAsia="Calibri" w:hAnsiTheme="minorHAnsi" w:cs="Times New Roman"/>
          <w:szCs w:val="24"/>
        </w:rPr>
        <w:t xml:space="preserve">to maximally tolerated doses </w:t>
      </w:r>
      <w:r w:rsidRPr="00E631B0">
        <w:rPr>
          <w:rFonts w:asciiTheme="minorHAnsi" w:eastAsia="Calibri" w:hAnsiTheme="minorHAnsi"/>
          <w:szCs w:val="24"/>
        </w:rPr>
        <w:t>before starting treatment with ezetimibe. This is to ensure patients receive the maximum benefit possible from the statin medicine prior to adding</w:t>
      </w:r>
      <w:r w:rsidR="000B19CC" w:rsidRPr="00E631B0">
        <w:rPr>
          <w:rFonts w:asciiTheme="minorHAnsi" w:eastAsia="Calibri" w:hAnsiTheme="minorHAnsi"/>
          <w:szCs w:val="24"/>
        </w:rPr>
        <w:t xml:space="preserve"> or switching to</w:t>
      </w:r>
      <w:r w:rsidRPr="00E631B0">
        <w:rPr>
          <w:rFonts w:asciiTheme="minorHAnsi" w:eastAsia="Calibri" w:hAnsiTheme="minorHAnsi"/>
          <w:szCs w:val="24"/>
        </w:rPr>
        <w:t xml:space="preserve"> ezetimibe</w:t>
      </w:r>
      <w:r w:rsidR="000B19CC" w:rsidRPr="00E631B0">
        <w:rPr>
          <w:rFonts w:asciiTheme="minorHAnsi" w:eastAsia="Calibri" w:hAnsiTheme="minorHAnsi"/>
          <w:szCs w:val="24"/>
        </w:rPr>
        <w:t xml:space="preserve"> therapy.</w:t>
      </w:r>
      <w:r w:rsidRPr="00E631B0">
        <w:rPr>
          <w:rFonts w:asciiTheme="minorHAnsi" w:eastAsia="Calibri" w:hAnsiTheme="minorHAnsi"/>
          <w:szCs w:val="24"/>
        </w:rPr>
        <w:t xml:space="preserve"> </w:t>
      </w:r>
    </w:p>
    <w:p w14:paraId="60540DB6" w14:textId="6F577882" w:rsidR="009F448D" w:rsidRPr="00E631B0" w:rsidRDefault="00A24486" w:rsidP="003B0EC5">
      <w:pPr>
        <w:spacing w:line="240" w:lineRule="auto"/>
        <w:jc w:val="left"/>
        <w:rPr>
          <w:rFonts w:asciiTheme="minorHAnsi" w:eastAsia="Calibri" w:hAnsiTheme="minorHAnsi"/>
          <w:szCs w:val="24"/>
        </w:rPr>
      </w:pPr>
      <w:r w:rsidRPr="00E631B0">
        <w:rPr>
          <w:rFonts w:asciiTheme="minorHAnsi" w:hAnsiTheme="minorHAnsi"/>
          <w:szCs w:val="24"/>
        </w:rPr>
        <w:t xml:space="preserve">The December 2016 </w:t>
      </w:r>
      <w:r w:rsidR="009F448D" w:rsidRPr="00E631B0">
        <w:rPr>
          <w:rFonts w:asciiTheme="minorHAnsi" w:hAnsiTheme="minorHAnsi"/>
          <w:szCs w:val="24"/>
        </w:rPr>
        <w:t>Analysis identified all</w:t>
      </w:r>
      <w:r w:rsidR="009F448D" w:rsidRPr="00E631B0">
        <w:rPr>
          <w:rFonts w:asciiTheme="minorHAnsi" w:eastAsia="Calibri" w:hAnsiTheme="minorHAnsi"/>
          <w:szCs w:val="24"/>
        </w:rPr>
        <w:t xml:space="preserve"> patients </w:t>
      </w:r>
      <w:r w:rsidR="009F448D" w:rsidRPr="00E631B0">
        <w:rPr>
          <w:rFonts w:asciiTheme="minorHAnsi" w:hAnsiTheme="minorHAnsi"/>
          <w:szCs w:val="24"/>
        </w:rPr>
        <w:t xml:space="preserve">who commenced ezetimibe between April 2014 and March 2015. </w:t>
      </w:r>
      <w:r w:rsidR="00821A23" w:rsidRPr="00E631B0">
        <w:rPr>
          <w:rFonts w:asciiTheme="minorHAnsi" w:hAnsiTheme="minorHAnsi"/>
          <w:szCs w:val="24"/>
        </w:rPr>
        <w:t>A total of 45,645 patients initiated ezetimibe during this period, of whom 6</w:t>
      </w:r>
      <w:r w:rsidR="00C05E80" w:rsidRPr="00E631B0">
        <w:rPr>
          <w:rFonts w:asciiTheme="minorHAnsi" w:hAnsiTheme="minorHAnsi"/>
          <w:szCs w:val="24"/>
        </w:rPr>
        <w:t>,</w:t>
      </w:r>
      <w:r w:rsidR="00821A23" w:rsidRPr="00E631B0">
        <w:rPr>
          <w:rFonts w:asciiTheme="minorHAnsi" w:hAnsiTheme="minorHAnsi"/>
          <w:szCs w:val="24"/>
        </w:rPr>
        <w:t>938</w:t>
      </w:r>
      <w:r w:rsidR="0082069A" w:rsidRPr="00E631B0">
        <w:rPr>
          <w:rFonts w:asciiTheme="minorHAnsi" w:hAnsiTheme="minorHAnsi"/>
          <w:szCs w:val="24"/>
        </w:rPr>
        <w:t xml:space="preserve"> (Cohort 1) </w:t>
      </w:r>
      <w:r w:rsidR="00821A23" w:rsidRPr="00E631B0">
        <w:rPr>
          <w:rFonts w:asciiTheme="minorHAnsi" w:hAnsiTheme="minorHAnsi"/>
          <w:szCs w:val="24"/>
        </w:rPr>
        <w:t xml:space="preserve">had no prior </w:t>
      </w:r>
      <w:r w:rsidR="0082069A" w:rsidRPr="00E631B0">
        <w:rPr>
          <w:rFonts w:asciiTheme="minorHAnsi" w:hAnsiTheme="minorHAnsi"/>
          <w:szCs w:val="24"/>
        </w:rPr>
        <w:t>lipid lowering therapy (</w:t>
      </w:r>
      <w:r w:rsidR="00821A23" w:rsidRPr="00E631B0">
        <w:rPr>
          <w:rFonts w:asciiTheme="minorHAnsi" w:hAnsiTheme="minorHAnsi"/>
          <w:szCs w:val="24"/>
        </w:rPr>
        <w:t>LLT</w:t>
      </w:r>
      <w:r w:rsidR="0082069A" w:rsidRPr="00E631B0">
        <w:rPr>
          <w:rFonts w:asciiTheme="minorHAnsi" w:hAnsiTheme="minorHAnsi"/>
          <w:szCs w:val="24"/>
        </w:rPr>
        <w:t>)</w:t>
      </w:r>
      <w:r w:rsidR="004A5D64" w:rsidRPr="00E631B0">
        <w:rPr>
          <w:rFonts w:asciiTheme="minorHAnsi" w:hAnsiTheme="minorHAnsi"/>
          <w:szCs w:val="24"/>
        </w:rPr>
        <w:t xml:space="preserve"> within the previous 24 months,</w:t>
      </w:r>
      <w:r w:rsidR="00821A23" w:rsidRPr="00E631B0">
        <w:rPr>
          <w:rFonts w:asciiTheme="minorHAnsi" w:hAnsiTheme="minorHAnsi"/>
          <w:szCs w:val="24"/>
        </w:rPr>
        <w:t xml:space="preserve"> and 38,707</w:t>
      </w:r>
      <w:r w:rsidR="0082069A" w:rsidRPr="00E631B0">
        <w:rPr>
          <w:rFonts w:asciiTheme="minorHAnsi" w:hAnsiTheme="minorHAnsi"/>
          <w:szCs w:val="24"/>
        </w:rPr>
        <w:t xml:space="preserve"> </w:t>
      </w:r>
      <w:r w:rsidR="00C05E80" w:rsidRPr="00E631B0">
        <w:rPr>
          <w:rFonts w:asciiTheme="minorHAnsi" w:hAnsiTheme="minorHAnsi"/>
          <w:szCs w:val="24"/>
        </w:rPr>
        <w:t>(Cohort </w:t>
      </w:r>
      <w:r w:rsidR="0082069A" w:rsidRPr="00E631B0">
        <w:rPr>
          <w:rFonts w:asciiTheme="minorHAnsi" w:hAnsiTheme="minorHAnsi"/>
          <w:szCs w:val="24"/>
        </w:rPr>
        <w:t>2)</w:t>
      </w:r>
      <w:r w:rsidR="00821A23" w:rsidRPr="00E631B0">
        <w:rPr>
          <w:rFonts w:asciiTheme="minorHAnsi" w:hAnsiTheme="minorHAnsi"/>
          <w:szCs w:val="24"/>
        </w:rPr>
        <w:t xml:space="preserve"> had at least one dispensing of a lipid low</w:t>
      </w:r>
      <w:r w:rsidR="00C05E80" w:rsidRPr="00E631B0">
        <w:rPr>
          <w:rFonts w:asciiTheme="minorHAnsi" w:hAnsiTheme="minorHAnsi"/>
          <w:szCs w:val="24"/>
        </w:rPr>
        <w:t>ering medicine in the prior 24 </w:t>
      </w:r>
      <w:r w:rsidR="00821A23" w:rsidRPr="00E631B0">
        <w:rPr>
          <w:rFonts w:asciiTheme="minorHAnsi" w:hAnsiTheme="minorHAnsi"/>
          <w:szCs w:val="24"/>
        </w:rPr>
        <w:t>months</w:t>
      </w:r>
      <w:r w:rsidR="0082069A" w:rsidRPr="00E631B0">
        <w:rPr>
          <w:rFonts w:asciiTheme="minorHAnsi" w:hAnsiTheme="minorHAnsi"/>
          <w:szCs w:val="24"/>
        </w:rPr>
        <w:t>.</w:t>
      </w:r>
      <w:r w:rsidR="00821A23" w:rsidRPr="00E631B0">
        <w:rPr>
          <w:rFonts w:asciiTheme="minorHAnsi" w:hAnsiTheme="minorHAnsi"/>
          <w:szCs w:val="24"/>
        </w:rPr>
        <w:t xml:space="preserve"> </w:t>
      </w:r>
    </w:p>
    <w:p w14:paraId="139EDF07" w14:textId="27B59625" w:rsidR="0000686B" w:rsidRPr="00E631B0" w:rsidRDefault="0000686B" w:rsidP="003B0EC5">
      <w:pPr>
        <w:spacing w:line="240" w:lineRule="auto"/>
        <w:jc w:val="left"/>
        <w:rPr>
          <w:rFonts w:asciiTheme="minorHAnsi" w:hAnsiTheme="minorHAnsi"/>
          <w:szCs w:val="24"/>
        </w:rPr>
      </w:pPr>
      <w:r w:rsidRPr="00E631B0">
        <w:rPr>
          <w:rFonts w:asciiTheme="minorHAnsi" w:eastAsia="Calibri" w:hAnsiTheme="minorHAnsi"/>
          <w:szCs w:val="24"/>
        </w:rPr>
        <w:t>T</w:t>
      </w:r>
      <w:r w:rsidR="00762B05" w:rsidRPr="00E631B0">
        <w:rPr>
          <w:rFonts w:asciiTheme="minorHAnsi" w:eastAsia="Calibri" w:hAnsiTheme="minorHAnsi" w:cs="Times New Roman"/>
          <w:szCs w:val="24"/>
        </w:rPr>
        <w:t xml:space="preserve">hese data suggest the majority of prescribers broadly comply </w:t>
      </w:r>
      <w:r w:rsidRPr="00E631B0">
        <w:rPr>
          <w:rFonts w:asciiTheme="minorHAnsi" w:eastAsia="Calibri" w:hAnsiTheme="minorHAnsi" w:cs="Times New Roman"/>
          <w:szCs w:val="24"/>
        </w:rPr>
        <w:t xml:space="preserve">with the PBS restriction for ezetimibe. A high proportion </w:t>
      </w:r>
      <w:r w:rsidR="004A5D64" w:rsidRPr="00E631B0">
        <w:rPr>
          <w:rFonts w:asciiTheme="minorHAnsi" w:eastAsia="Calibri" w:hAnsiTheme="minorHAnsi" w:cs="Times New Roman"/>
          <w:szCs w:val="24"/>
        </w:rPr>
        <w:t xml:space="preserve">(82.7%) </w:t>
      </w:r>
      <w:r w:rsidRPr="00E631B0">
        <w:rPr>
          <w:rFonts w:asciiTheme="minorHAnsi" w:eastAsia="Calibri" w:hAnsiTheme="minorHAnsi" w:cs="Times New Roman"/>
          <w:szCs w:val="24"/>
        </w:rPr>
        <w:t>of</w:t>
      </w:r>
      <w:r w:rsidR="000B19CC" w:rsidRPr="00E631B0">
        <w:rPr>
          <w:rFonts w:asciiTheme="minorHAnsi" w:eastAsia="Calibri" w:hAnsiTheme="minorHAnsi" w:cs="Times New Roman"/>
          <w:szCs w:val="24"/>
        </w:rPr>
        <w:t xml:space="preserve"> all</w:t>
      </w:r>
      <w:r w:rsidRPr="00E631B0">
        <w:rPr>
          <w:rFonts w:asciiTheme="minorHAnsi" w:eastAsia="Calibri" w:hAnsiTheme="minorHAnsi" w:cs="Times New Roman"/>
          <w:szCs w:val="24"/>
        </w:rPr>
        <w:t xml:space="preserve"> patients starting ezetimibe had at least one dispensing record for </w:t>
      </w:r>
      <w:r w:rsidR="000B19CC" w:rsidRPr="00E631B0">
        <w:rPr>
          <w:rFonts w:asciiTheme="minorHAnsi" w:eastAsia="Calibri" w:hAnsiTheme="minorHAnsi" w:cs="Times New Roman"/>
          <w:szCs w:val="24"/>
        </w:rPr>
        <w:t xml:space="preserve">a statin </w:t>
      </w:r>
      <w:r w:rsidRPr="00E631B0">
        <w:rPr>
          <w:rFonts w:asciiTheme="minorHAnsi" w:eastAsia="Calibri" w:hAnsiTheme="minorHAnsi" w:cs="Times New Roman"/>
          <w:szCs w:val="24"/>
        </w:rPr>
        <w:t>in the previous two years</w:t>
      </w:r>
      <w:r w:rsidR="00185C5A" w:rsidRPr="00E631B0">
        <w:rPr>
          <w:rFonts w:asciiTheme="minorHAnsi" w:eastAsia="Calibri" w:hAnsiTheme="minorHAnsi" w:cs="Times New Roman"/>
          <w:szCs w:val="24"/>
        </w:rPr>
        <w:t>.</w:t>
      </w:r>
      <w:r w:rsidRPr="00E631B0">
        <w:rPr>
          <w:rFonts w:asciiTheme="minorHAnsi" w:eastAsia="Calibri" w:hAnsiTheme="minorHAnsi" w:cs="Times New Roman"/>
          <w:szCs w:val="24"/>
        </w:rPr>
        <w:t xml:space="preserve"> </w:t>
      </w:r>
      <w:r w:rsidR="000B19CC" w:rsidRPr="00E631B0">
        <w:rPr>
          <w:rFonts w:asciiTheme="minorHAnsi" w:eastAsia="Calibri" w:hAnsiTheme="minorHAnsi" w:cs="Times New Roman"/>
          <w:szCs w:val="24"/>
        </w:rPr>
        <w:t>A small percentage</w:t>
      </w:r>
      <w:r w:rsidR="00C015E6" w:rsidRPr="00E631B0">
        <w:rPr>
          <w:rFonts w:asciiTheme="minorHAnsi" w:eastAsia="Calibri" w:hAnsiTheme="minorHAnsi" w:cs="Times New Roman"/>
          <w:szCs w:val="24"/>
        </w:rPr>
        <w:t xml:space="preserve"> (</w:t>
      </w:r>
      <w:r w:rsidR="00A6498F" w:rsidRPr="00E631B0">
        <w:rPr>
          <w:rFonts w:asciiTheme="minorHAnsi" w:eastAsia="Calibri" w:hAnsiTheme="minorHAnsi" w:cs="Times New Roman"/>
          <w:szCs w:val="24"/>
        </w:rPr>
        <w:t>2.3</w:t>
      </w:r>
      <w:r w:rsidR="00C015E6" w:rsidRPr="00E631B0">
        <w:rPr>
          <w:rFonts w:asciiTheme="minorHAnsi" w:eastAsia="Calibri" w:hAnsiTheme="minorHAnsi" w:cs="Times New Roman"/>
          <w:szCs w:val="24"/>
        </w:rPr>
        <w:t>%)</w:t>
      </w:r>
      <w:r w:rsidR="000B19CC" w:rsidRPr="00E631B0">
        <w:rPr>
          <w:rFonts w:asciiTheme="minorHAnsi" w:eastAsia="Calibri" w:hAnsiTheme="minorHAnsi" w:cs="Times New Roman"/>
          <w:szCs w:val="24"/>
        </w:rPr>
        <w:t xml:space="preserve"> had prior exposure to non-statin LLT before commencing ezetimibe, and t</w:t>
      </w:r>
      <w:r w:rsidRPr="00E631B0">
        <w:rPr>
          <w:rFonts w:asciiTheme="minorHAnsi" w:eastAsia="Calibri" w:hAnsiTheme="minorHAnsi" w:cs="Times New Roman"/>
          <w:szCs w:val="24"/>
        </w:rPr>
        <w:t>he remaining 15</w:t>
      </w:r>
      <w:r w:rsidR="00187016" w:rsidRPr="00E631B0">
        <w:rPr>
          <w:rFonts w:asciiTheme="minorHAnsi" w:eastAsia="Calibri" w:hAnsiTheme="minorHAnsi" w:cs="Times New Roman"/>
          <w:szCs w:val="24"/>
        </w:rPr>
        <w:t>.2</w:t>
      </w:r>
      <w:r w:rsidRPr="00E631B0">
        <w:rPr>
          <w:rFonts w:asciiTheme="minorHAnsi" w:eastAsia="Calibri" w:hAnsiTheme="minorHAnsi" w:cs="Times New Roman"/>
          <w:szCs w:val="24"/>
        </w:rPr>
        <w:t>% of patients had no prior exposure to statins or other LLT in the 24 months prior to the</w:t>
      </w:r>
      <w:r w:rsidR="00C015E6" w:rsidRPr="00E631B0">
        <w:rPr>
          <w:rFonts w:asciiTheme="minorHAnsi" w:eastAsia="Calibri" w:hAnsiTheme="minorHAnsi" w:cs="Times New Roman"/>
          <w:szCs w:val="24"/>
        </w:rPr>
        <w:t xml:space="preserve">ir </w:t>
      </w:r>
      <w:r w:rsidRPr="00E631B0">
        <w:rPr>
          <w:rFonts w:asciiTheme="minorHAnsi" w:eastAsia="Calibri" w:hAnsiTheme="minorHAnsi" w:cs="Times New Roman"/>
          <w:szCs w:val="24"/>
        </w:rPr>
        <w:t xml:space="preserve">first </w:t>
      </w:r>
      <w:r w:rsidR="00C015E6" w:rsidRPr="00E631B0">
        <w:rPr>
          <w:rFonts w:asciiTheme="minorHAnsi" w:eastAsia="Calibri" w:hAnsiTheme="minorHAnsi" w:cs="Times New Roman"/>
          <w:szCs w:val="24"/>
        </w:rPr>
        <w:t>dispensing</w:t>
      </w:r>
      <w:r w:rsidRPr="00E631B0">
        <w:rPr>
          <w:rFonts w:asciiTheme="minorHAnsi" w:eastAsia="Calibri" w:hAnsiTheme="minorHAnsi" w:cs="Times New Roman"/>
          <w:szCs w:val="24"/>
        </w:rPr>
        <w:t xml:space="preserve"> of ezetimibe. A</w:t>
      </w:r>
      <w:r w:rsidRPr="00E631B0">
        <w:rPr>
          <w:rFonts w:asciiTheme="minorHAnsi" w:hAnsiTheme="minorHAnsi"/>
          <w:szCs w:val="24"/>
        </w:rPr>
        <w:t xml:space="preserve"> longer look back period may detect </w:t>
      </w:r>
      <w:r w:rsidR="006E3131" w:rsidRPr="00E631B0">
        <w:rPr>
          <w:rFonts w:asciiTheme="minorHAnsi" w:hAnsiTheme="minorHAnsi"/>
          <w:szCs w:val="24"/>
        </w:rPr>
        <w:t>earlier dispensing</w:t>
      </w:r>
      <w:r w:rsidRPr="00E631B0">
        <w:rPr>
          <w:rFonts w:asciiTheme="minorHAnsi" w:hAnsiTheme="minorHAnsi"/>
          <w:szCs w:val="24"/>
        </w:rPr>
        <w:t xml:space="preserve"> </w:t>
      </w:r>
      <w:r w:rsidR="004A5D64" w:rsidRPr="00E631B0">
        <w:rPr>
          <w:rFonts w:asciiTheme="minorHAnsi" w:hAnsiTheme="minorHAnsi"/>
          <w:szCs w:val="24"/>
        </w:rPr>
        <w:t xml:space="preserve">of </w:t>
      </w:r>
      <w:r w:rsidRPr="00E631B0">
        <w:rPr>
          <w:rFonts w:asciiTheme="minorHAnsi" w:hAnsiTheme="minorHAnsi"/>
          <w:szCs w:val="24"/>
        </w:rPr>
        <w:t>LLT medicines</w:t>
      </w:r>
      <w:r w:rsidR="006E3131" w:rsidRPr="00E631B0">
        <w:rPr>
          <w:rFonts w:asciiTheme="minorHAnsi" w:hAnsiTheme="minorHAnsi"/>
          <w:szCs w:val="24"/>
        </w:rPr>
        <w:t xml:space="preserve"> for some patients</w:t>
      </w:r>
      <w:r w:rsidRPr="00E631B0">
        <w:rPr>
          <w:rFonts w:asciiTheme="minorHAnsi" w:hAnsiTheme="minorHAnsi"/>
          <w:szCs w:val="24"/>
        </w:rPr>
        <w:t>, but would be less relevant for the current review.</w:t>
      </w:r>
    </w:p>
    <w:p w14:paraId="50DED633" w14:textId="7C4DD51E" w:rsidR="00756992" w:rsidRPr="00E631B0" w:rsidRDefault="0000686B" w:rsidP="003B0EC5">
      <w:pPr>
        <w:spacing w:line="240" w:lineRule="auto"/>
        <w:jc w:val="left"/>
        <w:rPr>
          <w:rFonts w:asciiTheme="minorHAnsi" w:hAnsiTheme="minorHAnsi"/>
          <w:szCs w:val="24"/>
        </w:rPr>
      </w:pPr>
      <w:r w:rsidRPr="00E631B0">
        <w:rPr>
          <w:rFonts w:asciiTheme="minorHAnsi" w:hAnsiTheme="minorHAnsi"/>
          <w:szCs w:val="24"/>
        </w:rPr>
        <w:t>There may be legitimate clinical circumstances that account for the absence of prior statin use</w:t>
      </w:r>
      <w:r w:rsidR="00012D86" w:rsidRPr="00E631B0">
        <w:rPr>
          <w:rFonts w:asciiTheme="minorHAnsi" w:hAnsiTheme="minorHAnsi"/>
          <w:szCs w:val="24"/>
        </w:rPr>
        <w:t xml:space="preserve"> in new users of ezetimibe.</w:t>
      </w:r>
      <w:r w:rsidRPr="00E631B0">
        <w:rPr>
          <w:rFonts w:asciiTheme="minorHAnsi" w:hAnsiTheme="minorHAnsi"/>
          <w:szCs w:val="24"/>
        </w:rPr>
        <w:t xml:space="preserve"> For example</w:t>
      </w:r>
      <w:r w:rsidR="00F45531" w:rsidRPr="00E631B0">
        <w:rPr>
          <w:rFonts w:asciiTheme="minorHAnsi" w:hAnsiTheme="minorHAnsi"/>
          <w:szCs w:val="24"/>
        </w:rPr>
        <w:t>,</w:t>
      </w:r>
      <w:r w:rsidRPr="00E631B0">
        <w:rPr>
          <w:rFonts w:asciiTheme="minorHAnsi" w:hAnsiTheme="minorHAnsi"/>
          <w:szCs w:val="24"/>
        </w:rPr>
        <w:t xml:space="preserve"> where</w:t>
      </w:r>
      <w:r w:rsidR="00012D86" w:rsidRPr="00E631B0">
        <w:rPr>
          <w:rFonts w:asciiTheme="minorHAnsi" w:hAnsiTheme="minorHAnsi"/>
          <w:szCs w:val="24"/>
        </w:rPr>
        <w:t xml:space="preserve"> a patient had experienced a major adverse event from taking statins more than </w:t>
      </w:r>
      <w:r w:rsidR="006E3131" w:rsidRPr="00E631B0">
        <w:rPr>
          <w:rFonts w:asciiTheme="minorHAnsi" w:hAnsiTheme="minorHAnsi"/>
          <w:szCs w:val="24"/>
        </w:rPr>
        <w:t>two</w:t>
      </w:r>
      <w:r w:rsidR="00012D86" w:rsidRPr="00E631B0">
        <w:rPr>
          <w:rFonts w:asciiTheme="minorHAnsi" w:hAnsiTheme="minorHAnsi"/>
          <w:szCs w:val="24"/>
        </w:rPr>
        <w:t xml:space="preserve"> years ago and subsequently avoided all </w:t>
      </w:r>
      <w:r w:rsidR="004A5D64" w:rsidRPr="00E631B0">
        <w:rPr>
          <w:rFonts w:asciiTheme="minorHAnsi" w:hAnsiTheme="minorHAnsi"/>
          <w:szCs w:val="24"/>
        </w:rPr>
        <w:t xml:space="preserve">LLT </w:t>
      </w:r>
      <w:r w:rsidR="00012D86" w:rsidRPr="00E631B0">
        <w:rPr>
          <w:rFonts w:asciiTheme="minorHAnsi" w:hAnsiTheme="minorHAnsi"/>
          <w:szCs w:val="24"/>
        </w:rPr>
        <w:t xml:space="preserve">for this period.  </w:t>
      </w:r>
    </w:p>
    <w:p w14:paraId="0FCC4762" w14:textId="2A213101" w:rsidR="00ED188F" w:rsidRPr="00E631B0" w:rsidRDefault="0000686B" w:rsidP="003B0EC5">
      <w:pPr>
        <w:spacing w:line="240" w:lineRule="auto"/>
        <w:jc w:val="left"/>
        <w:rPr>
          <w:rFonts w:asciiTheme="minorHAnsi" w:eastAsia="Calibri" w:hAnsiTheme="minorHAnsi" w:cs="Times New Roman"/>
          <w:szCs w:val="24"/>
        </w:rPr>
      </w:pPr>
      <w:r w:rsidRPr="00E631B0">
        <w:rPr>
          <w:rFonts w:asciiTheme="minorHAnsi" w:eastAsia="Calibri" w:hAnsiTheme="minorHAnsi" w:cs="Times New Roman"/>
          <w:szCs w:val="24"/>
        </w:rPr>
        <w:t xml:space="preserve">From </w:t>
      </w:r>
      <w:r w:rsidR="004A5D64" w:rsidRPr="00E631B0">
        <w:rPr>
          <w:rFonts w:asciiTheme="minorHAnsi" w:eastAsia="Calibri" w:hAnsiTheme="minorHAnsi" w:cs="Times New Roman"/>
          <w:szCs w:val="24"/>
        </w:rPr>
        <w:t xml:space="preserve">the </w:t>
      </w:r>
      <w:r w:rsidR="00A24486" w:rsidRPr="00E631B0">
        <w:rPr>
          <w:rFonts w:asciiTheme="minorHAnsi" w:eastAsia="Calibri" w:hAnsiTheme="minorHAnsi" w:cs="Times New Roman"/>
          <w:szCs w:val="24"/>
        </w:rPr>
        <w:t>December 2016 Analysis</w:t>
      </w:r>
      <w:r w:rsidRPr="00E631B0">
        <w:rPr>
          <w:rFonts w:asciiTheme="minorHAnsi" w:eastAsia="Calibri" w:hAnsiTheme="minorHAnsi" w:cs="Times New Roman"/>
          <w:szCs w:val="24"/>
        </w:rPr>
        <w:t xml:space="preserve">, there </w:t>
      </w:r>
      <w:r w:rsidR="00012D86" w:rsidRPr="00E631B0">
        <w:rPr>
          <w:rFonts w:asciiTheme="minorHAnsi" w:eastAsia="Calibri" w:hAnsiTheme="minorHAnsi" w:cs="Times New Roman"/>
          <w:szCs w:val="24"/>
        </w:rPr>
        <w:t>was</w:t>
      </w:r>
      <w:r w:rsidRPr="00E631B0">
        <w:rPr>
          <w:rFonts w:asciiTheme="minorHAnsi" w:eastAsia="Calibri" w:hAnsiTheme="minorHAnsi" w:cs="Times New Roman"/>
          <w:szCs w:val="24"/>
        </w:rPr>
        <w:t xml:space="preserve"> evidence to su</w:t>
      </w:r>
      <w:r w:rsidR="005C37C5" w:rsidRPr="00E631B0">
        <w:rPr>
          <w:rFonts w:asciiTheme="minorHAnsi" w:eastAsia="Calibri" w:hAnsiTheme="minorHAnsi" w:cs="Times New Roman"/>
          <w:szCs w:val="24"/>
        </w:rPr>
        <w:t>ggest</w:t>
      </w:r>
      <w:r w:rsidRPr="00E631B0">
        <w:rPr>
          <w:rFonts w:asciiTheme="minorHAnsi" w:eastAsia="Calibri" w:hAnsiTheme="minorHAnsi" w:cs="Times New Roman"/>
          <w:szCs w:val="24"/>
        </w:rPr>
        <w:t xml:space="preserve"> that </w:t>
      </w:r>
      <w:r w:rsidR="00394829" w:rsidRPr="00E631B0">
        <w:rPr>
          <w:rFonts w:asciiTheme="minorHAnsi" w:eastAsia="Calibri" w:hAnsiTheme="minorHAnsi" w:cs="Times New Roman"/>
          <w:szCs w:val="24"/>
        </w:rPr>
        <w:t xml:space="preserve">approximately </w:t>
      </w:r>
      <w:r w:rsidRPr="00E631B0">
        <w:rPr>
          <w:rFonts w:asciiTheme="minorHAnsi" w:eastAsia="Calibri" w:hAnsiTheme="minorHAnsi" w:cs="Times New Roman"/>
          <w:szCs w:val="24"/>
        </w:rPr>
        <w:t>30% of patients with a prior history of statin use ha</w:t>
      </w:r>
      <w:r w:rsidR="00AE37D1" w:rsidRPr="00E631B0">
        <w:rPr>
          <w:rFonts w:asciiTheme="minorHAnsi" w:eastAsia="Calibri" w:hAnsiTheme="minorHAnsi" w:cs="Times New Roman"/>
          <w:szCs w:val="24"/>
        </w:rPr>
        <w:t>d</w:t>
      </w:r>
      <w:r w:rsidRPr="00E631B0">
        <w:rPr>
          <w:rFonts w:asciiTheme="minorHAnsi" w:eastAsia="Calibri" w:hAnsiTheme="minorHAnsi" w:cs="Times New Roman"/>
          <w:szCs w:val="24"/>
        </w:rPr>
        <w:t xml:space="preserve"> </w:t>
      </w:r>
      <w:r w:rsidR="00394829" w:rsidRPr="00E631B0">
        <w:rPr>
          <w:rFonts w:asciiTheme="minorHAnsi" w:eastAsia="Calibri" w:hAnsiTheme="minorHAnsi" w:cs="Times New Roman"/>
          <w:szCs w:val="24"/>
        </w:rPr>
        <w:t>titrated their statin dose</w:t>
      </w:r>
      <w:r w:rsidRPr="00E631B0">
        <w:rPr>
          <w:rFonts w:asciiTheme="minorHAnsi" w:eastAsia="Calibri" w:hAnsiTheme="minorHAnsi" w:cs="Times New Roman"/>
          <w:szCs w:val="24"/>
        </w:rPr>
        <w:t xml:space="preserve">, either up or down. This may reflect titration to </w:t>
      </w:r>
      <w:r w:rsidR="00AE37D1" w:rsidRPr="00E631B0">
        <w:rPr>
          <w:rFonts w:asciiTheme="minorHAnsi" w:eastAsia="Calibri" w:hAnsiTheme="minorHAnsi" w:cs="Times New Roman"/>
          <w:szCs w:val="24"/>
        </w:rPr>
        <w:t xml:space="preserve">further lower </w:t>
      </w:r>
      <w:r w:rsidR="00394829" w:rsidRPr="00E631B0">
        <w:rPr>
          <w:rFonts w:asciiTheme="minorHAnsi" w:eastAsia="Calibri" w:hAnsiTheme="minorHAnsi" w:cs="Times New Roman"/>
          <w:szCs w:val="24"/>
        </w:rPr>
        <w:t xml:space="preserve">their </w:t>
      </w:r>
      <w:r w:rsidR="00AE37D1" w:rsidRPr="00E631B0">
        <w:rPr>
          <w:rFonts w:asciiTheme="minorHAnsi" w:eastAsia="Calibri" w:hAnsiTheme="minorHAnsi" w:cs="Times New Roman"/>
          <w:szCs w:val="24"/>
        </w:rPr>
        <w:t>LDL</w:t>
      </w:r>
      <w:r w:rsidR="009F448D" w:rsidRPr="00E631B0">
        <w:rPr>
          <w:rFonts w:asciiTheme="minorHAnsi" w:eastAsia="Calibri" w:hAnsiTheme="minorHAnsi" w:cs="Times New Roman"/>
          <w:szCs w:val="24"/>
        </w:rPr>
        <w:t xml:space="preserve">-C </w:t>
      </w:r>
      <w:r w:rsidR="004B1768" w:rsidRPr="00E631B0">
        <w:rPr>
          <w:rFonts w:asciiTheme="minorHAnsi" w:eastAsia="Times New Roman" w:hAnsiTheme="minorHAnsi" w:cs="Arial"/>
          <w:szCs w:val="24"/>
          <w:lang w:eastAsia="en-AU"/>
        </w:rPr>
        <w:t>concentrations</w:t>
      </w:r>
      <w:r w:rsidR="004B1768" w:rsidRPr="00E631B0">
        <w:rPr>
          <w:rFonts w:asciiTheme="minorHAnsi" w:eastAsia="Calibri" w:hAnsiTheme="minorHAnsi" w:cs="Times New Roman"/>
          <w:szCs w:val="24"/>
        </w:rPr>
        <w:t xml:space="preserve"> </w:t>
      </w:r>
      <w:r w:rsidRPr="00E631B0">
        <w:rPr>
          <w:rFonts w:asciiTheme="minorHAnsi" w:eastAsia="Calibri" w:hAnsiTheme="minorHAnsi" w:cs="Times New Roman"/>
          <w:szCs w:val="24"/>
        </w:rPr>
        <w:t xml:space="preserve">or in response to </w:t>
      </w:r>
      <w:r w:rsidR="004A5D64" w:rsidRPr="00E631B0">
        <w:rPr>
          <w:rFonts w:asciiTheme="minorHAnsi" w:eastAsia="Calibri" w:hAnsiTheme="minorHAnsi" w:cs="Times New Roman"/>
          <w:szCs w:val="24"/>
        </w:rPr>
        <w:t xml:space="preserve">adverse </w:t>
      </w:r>
      <w:r w:rsidRPr="00E631B0">
        <w:rPr>
          <w:rFonts w:asciiTheme="minorHAnsi" w:eastAsia="Calibri" w:hAnsiTheme="minorHAnsi" w:cs="Times New Roman"/>
          <w:szCs w:val="24"/>
        </w:rPr>
        <w:t>effects. For patients who remain</w:t>
      </w:r>
      <w:r w:rsidR="004A5D64" w:rsidRPr="00E631B0">
        <w:rPr>
          <w:rFonts w:asciiTheme="minorHAnsi" w:eastAsia="Calibri" w:hAnsiTheme="minorHAnsi" w:cs="Times New Roman"/>
          <w:szCs w:val="24"/>
        </w:rPr>
        <w:t>ed</w:t>
      </w:r>
      <w:r w:rsidRPr="00E631B0">
        <w:rPr>
          <w:rFonts w:asciiTheme="minorHAnsi" w:eastAsia="Calibri" w:hAnsiTheme="minorHAnsi" w:cs="Times New Roman"/>
          <w:szCs w:val="24"/>
        </w:rPr>
        <w:t xml:space="preserve"> on the same dose of statin, the PBS data are insufficiently detailed to demonstrate that they were not already on the maximum tolerated dose of statin. </w:t>
      </w:r>
      <w:r w:rsidRPr="00E631B0">
        <w:rPr>
          <w:rFonts w:asciiTheme="minorHAnsi" w:hAnsiTheme="minorHAnsi"/>
          <w:szCs w:val="24"/>
        </w:rPr>
        <w:t>There may be</w:t>
      </w:r>
      <w:r w:rsidR="00ED188F" w:rsidRPr="00E631B0">
        <w:rPr>
          <w:rFonts w:asciiTheme="minorHAnsi" w:hAnsiTheme="minorHAnsi"/>
          <w:szCs w:val="24"/>
        </w:rPr>
        <w:t xml:space="preserve"> both</w:t>
      </w:r>
      <w:r w:rsidRPr="00E631B0">
        <w:rPr>
          <w:rFonts w:asciiTheme="minorHAnsi" w:hAnsiTheme="minorHAnsi"/>
          <w:szCs w:val="24"/>
        </w:rPr>
        <w:t xml:space="preserve"> legitimate</w:t>
      </w:r>
      <w:r w:rsidR="00ED188F" w:rsidRPr="00E631B0">
        <w:rPr>
          <w:rFonts w:asciiTheme="minorHAnsi" w:hAnsiTheme="minorHAnsi"/>
          <w:szCs w:val="24"/>
        </w:rPr>
        <w:t xml:space="preserve"> and non-legitimate</w:t>
      </w:r>
      <w:r w:rsidRPr="00E631B0">
        <w:rPr>
          <w:rFonts w:asciiTheme="minorHAnsi" w:hAnsiTheme="minorHAnsi"/>
          <w:szCs w:val="24"/>
        </w:rPr>
        <w:t xml:space="preserve"> clinical circumstances that account for the absence of </w:t>
      </w:r>
      <w:r w:rsidRPr="00E631B0">
        <w:rPr>
          <w:rFonts w:asciiTheme="minorHAnsi" w:hAnsiTheme="minorHAnsi"/>
          <w:szCs w:val="24"/>
        </w:rPr>
        <w:lastRenderedPageBreak/>
        <w:t>statin titration in PBS data. For example, patients may have already been optimally titrated to statins prior to the study period.</w:t>
      </w:r>
      <w:r w:rsidR="00ED188F" w:rsidRPr="00E631B0">
        <w:rPr>
          <w:rFonts w:asciiTheme="minorHAnsi" w:hAnsiTheme="minorHAnsi"/>
          <w:szCs w:val="24"/>
        </w:rPr>
        <w:t xml:space="preserve"> Alternatively</w:t>
      </w:r>
      <w:r w:rsidR="004A5D64" w:rsidRPr="00E631B0">
        <w:rPr>
          <w:rFonts w:asciiTheme="minorHAnsi" w:hAnsiTheme="minorHAnsi"/>
          <w:szCs w:val="24"/>
        </w:rPr>
        <w:t>,</w:t>
      </w:r>
      <w:r w:rsidR="00ED188F" w:rsidRPr="00E631B0">
        <w:rPr>
          <w:rFonts w:asciiTheme="minorHAnsi" w:hAnsiTheme="minorHAnsi"/>
          <w:szCs w:val="24"/>
        </w:rPr>
        <w:t xml:space="preserve"> as some stakeholder submissions also suggested, prescribers </w:t>
      </w:r>
      <w:r w:rsidR="00762B05" w:rsidRPr="00E631B0">
        <w:rPr>
          <w:rFonts w:asciiTheme="minorHAnsi" w:hAnsiTheme="minorHAnsi"/>
          <w:szCs w:val="24"/>
        </w:rPr>
        <w:t xml:space="preserve">add </w:t>
      </w:r>
      <w:r w:rsidR="00ED188F" w:rsidRPr="00E631B0">
        <w:rPr>
          <w:rFonts w:asciiTheme="minorHAnsi" w:hAnsiTheme="minorHAnsi"/>
          <w:szCs w:val="24"/>
        </w:rPr>
        <w:t>ezetimibe</w:t>
      </w:r>
      <w:r w:rsidR="00762B05" w:rsidRPr="00E631B0">
        <w:rPr>
          <w:rFonts w:asciiTheme="minorHAnsi" w:hAnsiTheme="minorHAnsi"/>
          <w:szCs w:val="24"/>
        </w:rPr>
        <w:t xml:space="preserve"> to statin therapy</w:t>
      </w:r>
      <w:r w:rsidR="00ED188F" w:rsidRPr="00E631B0">
        <w:rPr>
          <w:rFonts w:asciiTheme="minorHAnsi" w:hAnsiTheme="minorHAnsi"/>
          <w:szCs w:val="24"/>
        </w:rPr>
        <w:t xml:space="preserve"> to avoid perceived </w:t>
      </w:r>
      <w:r w:rsidR="004A5D64" w:rsidRPr="00E631B0">
        <w:rPr>
          <w:rFonts w:asciiTheme="minorHAnsi" w:hAnsiTheme="minorHAnsi"/>
          <w:szCs w:val="24"/>
        </w:rPr>
        <w:t xml:space="preserve">adverse </w:t>
      </w:r>
      <w:r w:rsidR="00ED188F" w:rsidRPr="00E631B0">
        <w:rPr>
          <w:rFonts w:asciiTheme="minorHAnsi" w:hAnsiTheme="minorHAnsi"/>
          <w:szCs w:val="24"/>
        </w:rPr>
        <w:t xml:space="preserve">effects of </w:t>
      </w:r>
      <w:r w:rsidR="00DA63B6" w:rsidRPr="00E631B0">
        <w:rPr>
          <w:rFonts w:asciiTheme="minorHAnsi" w:hAnsiTheme="minorHAnsi"/>
          <w:szCs w:val="24"/>
        </w:rPr>
        <w:t xml:space="preserve">higher dose </w:t>
      </w:r>
      <w:r w:rsidR="00ED188F" w:rsidRPr="00E631B0">
        <w:rPr>
          <w:rFonts w:asciiTheme="minorHAnsi" w:hAnsiTheme="minorHAnsi"/>
          <w:szCs w:val="24"/>
        </w:rPr>
        <w:t>statins.</w:t>
      </w:r>
    </w:p>
    <w:p w14:paraId="2ADB40D0" w14:textId="5661CACE" w:rsidR="0000686B" w:rsidRPr="00E631B0" w:rsidRDefault="005C37C5" w:rsidP="003B0EC5">
      <w:pPr>
        <w:spacing w:line="240" w:lineRule="auto"/>
        <w:jc w:val="left"/>
        <w:rPr>
          <w:rFonts w:asciiTheme="minorHAnsi" w:eastAsia="Calibri" w:hAnsiTheme="minorHAnsi" w:cs="Times New Roman"/>
          <w:szCs w:val="24"/>
        </w:rPr>
      </w:pPr>
      <w:r w:rsidRPr="00E631B0">
        <w:rPr>
          <w:rFonts w:asciiTheme="minorHAnsi" w:hAnsiTheme="minorHAnsi"/>
          <w:szCs w:val="24"/>
        </w:rPr>
        <w:t xml:space="preserve">Despite these caveats, </w:t>
      </w:r>
      <w:r w:rsidR="00A24486" w:rsidRPr="00E631B0">
        <w:rPr>
          <w:rFonts w:asciiTheme="minorHAnsi" w:hAnsiTheme="minorHAnsi"/>
          <w:szCs w:val="24"/>
        </w:rPr>
        <w:t xml:space="preserve">the </w:t>
      </w:r>
      <w:r w:rsidR="00A24486" w:rsidRPr="00E631B0">
        <w:rPr>
          <w:rFonts w:asciiTheme="minorHAnsi" w:eastAsia="Calibri" w:hAnsiTheme="minorHAnsi" w:cs="Times New Roman"/>
          <w:szCs w:val="24"/>
        </w:rPr>
        <w:t>December 2016 Analysis</w:t>
      </w:r>
      <w:r w:rsidR="00A24486" w:rsidRPr="00E631B0">
        <w:rPr>
          <w:rFonts w:asciiTheme="minorHAnsi" w:hAnsiTheme="minorHAnsi"/>
          <w:szCs w:val="24"/>
        </w:rPr>
        <w:t xml:space="preserve"> </w:t>
      </w:r>
      <w:r w:rsidR="006D66FF" w:rsidRPr="00E631B0">
        <w:rPr>
          <w:rFonts w:asciiTheme="minorHAnsi" w:hAnsiTheme="minorHAnsi"/>
          <w:szCs w:val="24"/>
        </w:rPr>
        <w:t>reported</w:t>
      </w:r>
      <w:r w:rsidRPr="00E631B0">
        <w:rPr>
          <w:rFonts w:asciiTheme="minorHAnsi" w:hAnsiTheme="minorHAnsi"/>
          <w:szCs w:val="24"/>
        </w:rPr>
        <w:t xml:space="preserve"> that</w:t>
      </w:r>
      <w:r w:rsidR="00C1047B" w:rsidRPr="00E631B0">
        <w:rPr>
          <w:rFonts w:asciiTheme="minorHAnsi" w:hAnsiTheme="minorHAnsi"/>
          <w:szCs w:val="24"/>
        </w:rPr>
        <w:t xml:space="preserve"> 15.9% of ezetimibe use</w:t>
      </w:r>
      <w:r w:rsidR="00ED188F" w:rsidRPr="00E631B0">
        <w:rPr>
          <w:rFonts w:asciiTheme="minorHAnsi" w:hAnsiTheme="minorHAnsi"/>
          <w:szCs w:val="24"/>
        </w:rPr>
        <w:t xml:space="preserve"> was unlikely</w:t>
      </w:r>
      <w:r w:rsidR="00C1047B" w:rsidRPr="00E631B0">
        <w:rPr>
          <w:rFonts w:asciiTheme="minorHAnsi" w:hAnsiTheme="minorHAnsi"/>
          <w:szCs w:val="24"/>
        </w:rPr>
        <w:t xml:space="preserve"> to be</w:t>
      </w:r>
      <w:r w:rsidR="00ED188F" w:rsidRPr="00E631B0">
        <w:rPr>
          <w:rFonts w:asciiTheme="minorHAnsi" w:hAnsiTheme="minorHAnsi"/>
          <w:szCs w:val="24"/>
        </w:rPr>
        <w:t xml:space="preserve"> prescribed</w:t>
      </w:r>
      <w:r w:rsidR="00C1047B" w:rsidRPr="00E631B0">
        <w:rPr>
          <w:rFonts w:asciiTheme="minorHAnsi" w:hAnsiTheme="minorHAnsi"/>
          <w:szCs w:val="24"/>
        </w:rPr>
        <w:t xml:space="preserve"> in accordance with the PBS restriction</w:t>
      </w:r>
      <w:r w:rsidR="006E3131" w:rsidRPr="00E631B0">
        <w:rPr>
          <w:rFonts w:asciiTheme="minorHAnsi" w:hAnsiTheme="minorHAnsi"/>
          <w:szCs w:val="24"/>
        </w:rPr>
        <w:t>s</w:t>
      </w:r>
      <w:r w:rsidR="006D66FF" w:rsidRPr="00E631B0">
        <w:rPr>
          <w:rFonts w:asciiTheme="minorHAnsi" w:hAnsiTheme="minorHAnsi"/>
          <w:szCs w:val="24"/>
        </w:rPr>
        <w:t xml:space="preserve">. Another finding from </w:t>
      </w:r>
      <w:r w:rsidR="00A24486" w:rsidRPr="00E631B0">
        <w:rPr>
          <w:rFonts w:asciiTheme="minorHAnsi" w:hAnsiTheme="minorHAnsi"/>
          <w:szCs w:val="24"/>
        </w:rPr>
        <w:t xml:space="preserve">the </w:t>
      </w:r>
      <w:r w:rsidR="00A24486" w:rsidRPr="00E631B0">
        <w:rPr>
          <w:rFonts w:asciiTheme="minorHAnsi" w:eastAsia="Calibri" w:hAnsiTheme="minorHAnsi" w:cs="Times New Roman"/>
          <w:szCs w:val="24"/>
        </w:rPr>
        <w:t>December 2016 Analysis</w:t>
      </w:r>
      <w:r w:rsidR="00A24486" w:rsidRPr="00E631B0">
        <w:rPr>
          <w:rFonts w:asciiTheme="minorHAnsi" w:hAnsiTheme="minorHAnsi"/>
          <w:szCs w:val="24"/>
        </w:rPr>
        <w:t xml:space="preserve"> </w:t>
      </w:r>
      <w:r w:rsidR="006D66FF" w:rsidRPr="00E631B0">
        <w:rPr>
          <w:rFonts w:asciiTheme="minorHAnsi" w:hAnsiTheme="minorHAnsi"/>
          <w:szCs w:val="24"/>
        </w:rPr>
        <w:t xml:space="preserve">was </w:t>
      </w:r>
      <w:r w:rsidR="00DA63B6" w:rsidRPr="00E631B0">
        <w:rPr>
          <w:rFonts w:asciiTheme="minorHAnsi" w:hAnsiTheme="minorHAnsi"/>
          <w:szCs w:val="24"/>
        </w:rPr>
        <w:t xml:space="preserve">that </w:t>
      </w:r>
      <w:r w:rsidR="00DA63B6" w:rsidRPr="00E631B0">
        <w:rPr>
          <w:rFonts w:asciiTheme="minorHAnsi" w:eastAsia="Calibri" w:hAnsiTheme="minorHAnsi" w:cs="Times New Roman"/>
        </w:rPr>
        <w:t>a</w:t>
      </w:r>
      <w:r w:rsidR="00AE37D1" w:rsidRPr="00E631B0">
        <w:rPr>
          <w:rFonts w:asciiTheme="minorHAnsi" w:eastAsia="Calibri" w:hAnsiTheme="minorHAnsi" w:cs="Times New Roman"/>
          <w:szCs w:val="24"/>
        </w:rPr>
        <w:t xml:space="preserve"> significant proportion of ezetimibe initiators </w:t>
      </w:r>
      <w:r w:rsidR="00DA63B6" w:rsidRPr="00E631B0">
        <w:rPr>
          <w:rFonts w:asciiTheme="minorHAnsi" w:eastAsia="Calibri" w:hAnsiTheme="minorHAnsi" w:cs="Times New Roman"/>
          <w:szCs w:val="24"/>
        </w:rPr>
        <w:t xml:space="preserve">did </w:t>
      </w:r>
      <w:r w:rsidR="009F448D" w:rsidRPr="00E631B0">
        <w:rPr>
          <w:rFonts w:asciiTheme="minorHAnsi" w:eastAsia="Calibri" w:hAnsiTheme="minorHAnsi" w:cs="Times New Roman"/>
          <w:szCs w:val="24"/>
        </w:rPr>
        <w:t xml:space="preserve">not </w:t>
      </w:r>
      <w:r w:rsidR="00AE37D1" w:rsidRPr="00E631B0">
        <w:rPr>
          <w:rFonts w:asciiTheme="minorHAnsi" w:eastAsia="Calibri" w:hAnsiTheme="minorHAnsi" w:cs="Times New Roman"/>
          <w:szCs w:val="24"/>
        </w:rPr>
        <w:t>continue receiv</w:t>
      </w:r>
      <w:r w:rsidR="009F448D" w:rsidRPr="00E631B0">
        <w:rPr>
          <w:rFonts w:asciiTheme="minorHAnsi" w:eastAsia="Calibri" w:hAnsiTheme="minorHAnsi" w:cs="Times New Roman"/>
          <w:szCs w:val="24"/>
        </w:rPr>
        <w:t>ing</w:t>
      </w:r>
      <w:r w:rsidR="00AE37D1" w:rsidRPr="00E631B0">
        <w:rPr>
          <w:rFonts w:asciiTheme="minorHAnsi" w:eastAsia="Calibri" w:hAnsiTheme="minorHAnsi" w:cs="Times New Roman"/>
          <w:szCs w:val="24"/>
        </w:rPr>
        <w:t xml:space="preserve"> </w:t>
      </w:r>
      <w:r w:rsidR="006D66FF" w:rsidRPr="00E631B0">
        <w:rPr>
          <w:rFonts w:asciiTheme="minorHAnsi" w:eastAsia="Calibri" w:hAnsiTheme="minorHAnsi" w:cs="Times New Roman"/>
          <w:szCs w:val="24"/>
        </w:rPr>
        <w:t xml:space="preserve">prescriptions for </w:t>
      </w:r>
      <w:r w:rsidR="00AE37D1" w:rsidRPr="00E631B0">
        <w:rPr>
          <w:rFonts w:asciiTheme="minorHAnsi" w:eastAsia="Calibri" w:hAnsiTheme="minorHAnsi" w:cs="Times New Roman"/>
          <w:szCs w:val="24"/>
        </w:rPr>
        <w:t>LLT</w:t>
      </w:r>
      <w:r w:rsidR="00403EF3" w:rsidRPr="00E631B0">
        <w:rPr>
          <w:rFonts w:asciiTheme="minorHAnsi" w:eastAsia="Calibri" w:hAnsiTheme="minorHAnsi" w:cs="Times New Roman"/>
          <w:szCs w:val="24"/>
        </w:rPr>
        <w:t>, including ezetimibe,</w:t>
      </w:r>
      <w:r w:rsidR="00AE37D1" w:rsidRPr="00E631B0">
        <w:rPr>
          <w:rFonts w:asciiTheme="minorHAnsi" w:eastAsia="Calibri" w:hAnsiTheme="minorHAnsi" w:cs="Times New Roman"/>
          <w:szCs w:val="24"/>
        </w:rPr>
        <w:t xml:space="preserve"> in the 6-12 months post initiation of ezetimibe</w:t>
      </w:r>
      <w:r w:rsidR="006D66FF" w:rsidRPr="00E631B0">
        <w:rPr>
          <w:rFonts w:asciiTheme="minorHAnsi" w:eastAsia="Calibri" w:hAnsiTheme="minorHAnsi" w:cs="Times New Roman"/>
          <w:szCs w:val="24"/>
        </w:rPr>
        <w:t>.</w:t>
      </w:r>
      <w:r w:rsidR="006E3131" w:rsidRPr="00E631B0">
        <w:rPr>
          <w:rFonts w:asciiTheme="minorHAnsi" w:eastAsia="Calibri" w:hAnsiTheme="minorHAnsi" w:cs="Times New Roman"/>
          <w:szCs w:val="24"/>
        </w:rPr>
        <w:t xml:space="preserve"> </w:t>
      </w:r>
      <w:r w:rsidR="006D66FF" w:rsidRPr="00E631B0">
        <w:rPr>
          <w:rFonts w:asciiTheme="minorHAnsi" w:eastAsia="Calibri" w:hAnsiTheme="minorHAnsi" w:cs="Times New Roman"/>
          <w:szCs w:val="24"/>
        </w:rPr>
        <w:t xml:space="preserve">Discontinuation of all LLT </w:t>
      </w:r>
      <w:r w:rsidR="00AE37D1" w:rsidRPr="00E631B0">
        <w:rPr>
          <w:rFonts w:asciiTheme="minorHAnsi" w:eastAsia="Calibri" w:hAnsiTheme="minorHAnsi" w:cs="Times New Roman"/>
          <w:szCs w:val="24"/>
        </w:rPr>
        <w:t xml:space="preserve">was higher for individuals with no previous LLT (44%) than </w:t>
      </w:r>
      <w:r w:rsidR="004A5D64" w:rsidRPr="00E631B0">
        <w:rPr>
          <w:rFonts w:asciiTheme="minorHAnsi" w:eastAsia="Calibri" w:hAnsiTheme="minorHAnsi" w:cs="Times New Roman"/>
          <w:szCs w:val="24"/>
        </w:rPr>
        <w:t xml:space="preserve">those </w:t>
      </w:r>
      <w:r w:rsidR="00AE37D1" w:rsidRPr="00E631B0">
        <w:rPr>
          <w:rFonts w:asciiTheme="minorHAnsi" w:eastAsia="Calibri" w:hAnsiTheme="minorHAnsi" w:cs="Times New Roman"/>
          <w:szCs w:val="24"/>
        </w:rPr>
        <w:t xml:space="preserve">with previous LLT (11.6%). </w:t>
      </w:r>
      <w:r w:rsidR="00153C67" w:rsidRPr="00E631B0">
        <w:rPr>
          <w:rFonts w:asciiTheme="minorHAnsi" w:eastAsia="Calibri" w:hAnsiTheme="minorHAnsi" w:cs="Times New Roman"/>
          <w:szCs w:val="24"/>
        </w:rPr>
        <w:t>T</w:t>
      </w:r>
      <w:r w:rsidR="0000686B" w:rsidRPr="00E631B0">
        <w:rPr>
          <w:rFonts w:asciiTheme="minorHAnsi" w:eastAsia="Calibri" w:hAnsiTheme="minorHAnsi" w:cs="Times New Roman"/>
          <w:szCs w:val="24"/>
        </w:rPr>
        <w:t xml:space="preserve">he difference in </w:t>
      </w:r>
      <w:r w:rsidR="00AE37D1" w:rsidRPr="00E631B0">
        <w:rPr>
          <w:rFonts w:asciiTheme="minorHAnsi" w:eastAsia="Calibri" w:hAnsiTheme="minorHAnsi" w:cs="Times New Roman"/>
          <w:szCs w:val="24"/>
        </w:rPr>
        <w:t>persistence</w:t>
      </w:r>
      <w:r w:rsidR="0000686B" w:rsidRPr="00E631B0">
        <w:rPr>
          <w:rFonts w:asciiTheme="minorHAnsi" w:eastAsia="Calibri" w:hAnsiTheme="minorHAnsi" w:cs="Times New Roman"/>
          <w:szCs w:val="24"/>
        </w:rPr>
        <w:t xml:space="preserve"> to LLT between the two groups may be due to the underlying patient characteristics of each group. </w:t>
      </w:r>
      <w:r w:rsidR="0000686B" w:rsidRPr="00E631B0">
        <w:rPr>
          <w:rFonts w:asciiTheme="minorHAnsi" w:eastAsia="Calibri" w:hAnsiTheme="minorHAnsi" w:cs="Times New Roman"/>
        </w:rPr>
        <w:t xml:space="preserve">Patients with a prior statin history </w:t>
      </w:r>
      <w:r w:rsidR="004A5D64" w:rsidRPr="00E631B0">
        <w:rPr>
          <w:rFonts w:asciiTheme="minorHAnsi" w:eastAsia="Calibri" w:hAnsiTheme="minorHAnsi" w:cs="Times New Roman"/>
        </w:rPr>
        <w:t xml:space="preserve">may be </w:t>
      </w:r>
      <w:r w:rsidR="0000686B" w:rsidRPr="00E631B0">
        <w:rPr>
          <w:rFonts w:asciiTheme="minorHAnsi" w:eastAsia="Calibri" w:hAnsiTheme="minorHAnsi" w:cs="Times New Roman"/>
        </w:rPr>
        <w:t>accustomed to taking medication</w:t>
      </w:r>
      <w:r w:rsidR="004A5D64" w:rsidRPr="00E631B0">
        <w:rPr>
          <w:rFonts w:asciiTheme="minorHAnsi" w:eastAsia="Calibri" w:hAnsiTheme="minorHAnsi" w:cs="Times New Roman"/>
        </w:rPr>
        <w:t xml:space="preserve">, unlike </w:t>
      </w:r>
      <w:r w:rsidR="0000686B" w:rsidRPr="00E631B0">
        <w:rPr>
          <w:rFonts w:asciiTheme="minorHAnsi" w:eastAsia="Calibri" w:hAnsiTheme="minorHAnsi" w:cs="Times New Roman"/>
        </w:rPr>
        <w:t xml:space="preserve">those without </w:t>
      </w:r>
      <w:r w:rsidR="004A5D64" w:rsidRPr="00E631B0">
        <w:rPr>
          <w:rFonts w:asciiTheme="minorHAnsi" w:eastAsia="Calibri" w:hAnsiTheme="minorHAnsi" w:cs="Times New Roman"/>
        </w:rPr>
        <w:t>a prior statin history.</w:t>
      </w:r>
      <w:r w:rsidR="00AE37D1" w:rsidRPr="00E631B0">
        <w:rPr>
          <w:rFonts w:asciiTheme="minorHAnsi" w:eastAsia="Calibri" w:hAnsiTheme="minorHAnsi" w:cs="Times New Roman"/>
        </w:rPr>
        <w:t xml:space="preserve"> </w:t>
      </w:r>
      <w:r w:rsidR="0000686B" w:rsidRPr="00E631B0">
        <w:rPr>
          <w:rFonts w:asciiTheme="minorHAnsi" w:eastAsia="Calibri" w:hAnsiTheme="minorHAnsi" w:cs="Times New Roman"/>
        </w:rPr>
        <w:t>While</w:t>
      </w:r>
      <w:r w:rsidR="00A24486" w:rsidRPr="00E631B0">
        <w:rPr>
          <w:rFonts w:asciiTheme="minorHAnsi" w:eastAsia="Calibri" w:hAnsiTheme="minorHAnsi" w:cs="Times New Roman"/>
        </w:rPr>
        <w:t xml:space="preserve"> the </w:t>
      </w:r>
      <w:r w:rsidR="00A24486" w:rsidRPr="00E631B0">
        <w:rPr>
          <w:rFonts w:asciiTheme="minorHAnsi" w:eastAsia="Calibri" w:hAnsiTheme="minorHAnsi" w:cs="Times New Roman"/>
          <w:szCs w:val="24"/>
        </w:rPr>
        <w:t>December 2016 Analysis</w:t>
      </w:r>
      <w:r w:rsidR="0000686B" w:rsidRPr="00E631B0">
        <w:rPr>
          <w:rFonts w:asciiTheme="minorHAnsi" w:eastAsia="Calibri" w:hAnsiTheme="minorHAnsi" w:cs="Times New Roman"/>
          <w:szCs w:val="24"/>
        </w:rPr>
        <w:t xml:space="preserve"> suggests poor </w:t>
      </w:r>
      <w:r w:rsidR="009F448D" w:rsidRPr="00E631B0">
        <w:rPr>
          <w:rFonts w:asciiTheme="minorHAnsi" w:eastAsia="Calibri" w:hAnsiTheme="minorHAnsi" w:cs="Times New Roman"/>
          <w:szCs w:val="24"/>
        </w:rPr>
        <w:t>persistence to</w:t>
      </w:r>
      <w:r w:rsidR="0000686B" w:rsidRPr="00E631B0">
        <w:rPr>
          <w:rFonts w:asciiTheme="minorHAnsi" w:eastAsia="Calibri" w:hAnsiTheme="minorHAnsi" w:cs="Times New Roman"/>
          <w:szCs w:val="24"/>
        </w:rPr>
        <w:t xml:space="preserve"> therapy, the Reference Group acknowledged the </w:t>
      </w:r>
      <w:r w:rsidR="0082069A" w:rsidRPr="00E631B0">
        <w:rPr>
          <w:rFonts w:asciiTheme="minorHAnsi" w:eastAsia="Calibri" w:hAnsiTheme="minorHAnsi" w:cs="Times New Roman"/>
          <w:szCs w:val="24"/>
        </w:rPr>
        <w:t>Drug Utilisation Sub</w:t>
      </w:r>
      <w:r w:rsidR="00403EF3" w:rsidRPr="00E631B0">
        <w:rPr>
          <w:rFonts w:asciiTheme="minorHAnsi" w:eastAsia="Calibri" w:hAnsiTheme="minorHAnsi" w:cs="Times New Roman"/>
          <w:szCs w:val="24"/>
        </w:rPr>
        <w:t xml:space="preserve"> </w:t>
      </w:r>
      <w:r w:rsidR="0082069A" w:rsidRPr="00E631B0">
        <w:rPr>
          <w:rFonts w:asciiTheme="minorHAnsi" w:eastAsia="Calibri" w:hAnsiTheme="minorHAnsi" w:cs="Times New Roman"/>
          <w:szCs w:val="24"/>
        </w:rPr>
        <w:t>Committee (</w:t>
      </w:r>
      <w:r w:rsidR="0000686B" w:rsidRPr="00E631B0">
        <w:rPr>
          <w:rFonts w:asciiTheme="minorHAnsi" w:eastAsia="Calibri" w:hAnsiTheme="minorHAnsi" w:cs="Times New Roman"/>
          <w:szCs w:val="24"/>
        </w:rPr>
        <w:t>DUSC</w:t>
      </w:r>
      <w:r w:rsidR="0082069A" w:rsidRPr="00E631B0">
        <w:rPr>
          <w:rFonts w:asciiTheme="minorHAnsi" w:eastAsia="Calibri" w:hAnsiTheme="minorHAnsi" w:cs="Times New Roman"/>
          <w:szCs w:val="24"/>
        </w:rPr>
        <w:t>)</w:t>
      </w:r>
      <w:r w:rsidR="0000686B" w:rsidRPr="00E631B0">
        <w:rPr>
          <w:rFonts w:asciiTheme="minorHAnsi" w:eastAsia="Calibri" w:hAnsiTheme="minorHAnsi" w:cs="Times New Roman"/>
          <w:szCs w:val="24"/>
        </w:rPr>
        <w:t xml:space="preserve"> advice that these studies were not</w:t>
      </w:r>
      <w:r w:rsidR="00907F7E" w:rsidRPr="00E631B0">
        <w:rPr>
          <w:rFonts w:asciiTheme="minorHAnsi" w:eastAsia="Calibri" w:hAnsiTheme="minorHAnsi" w:cs="Times New Roman"/>
          <w:szCs w:val="24"/>
        </w:rPr>
        <w:t xml:space="preserve"> specifically</w:t>
      </w:r>
      <w:r w:rsidR="0000686B" w:rsidRPr="00E631B0">
        <w:rPr>
          <w:rFonts w:asciiTheme="minorHAnsi" w:eastAsia="Calibri" w:hAnsiTheme="minorHAnsi" w:cs="Times New Roman"/>
          <w:szCs w:val="24"/>
        </w:rPr>
        <w:t xml:space="preserve"> designed to </w:t>
      </w:r>
      <w:r w:rsidR="00394829" w:rsidRPr="00E631B0">
        <w:rPr>
          <w:rFonts w:asciiTheme="minorHAnsi" w:eastAsia="Calibri" w:hAnsiTheme="minorHAnsi" w:cs="Times New Roman"/>
          <w:szCs w:val="24"/>
        </w:rPr>
        <w:t>measure</w:t>
      </w:r>
      <w:r w:rsidR="0000686B" w:rsidRPr="00E631B0">
        <w:rPr>
          <w:rFonts w:asciiTheme="minorHAnsi" w:eastAsia="Calibri" w:hAnsiTheme="minorHAnsi" w:cs="Times New Roman"/>
          <w:szCs w:val="24"/>
        </w:rPr>
        <w:t xml:space="preserve"> adherence or persistence. However, the DUSC agreed that new users of medicines are likely to be at higher risk of non-adherence</w:t>
      </w:r>
      <w:r w:rsidR="00AE37D1" w:rsidRPr="00E631B0">
        <w:rPr>
          <w:rFonts w:asciiTheme="minorHAnsi" w:eastAsia="Calibri" w:hAnsiTheme="minorHAnsi" w:cs="Times New Roman"/>
          <w:szCs w:val="24"/>
        </w:rPr>
        <w:t xml:space="preserve"> </w:t>
      </w:r>
      <w:r w:rsidR="004A5D64" w:rsidRPr="00E631B0">
        <w:rPr>
          <w:rFonts w:asciiTheme="minorHAnsi" w:eastAsia="Calibri" w:hAnsiTheme="minorHAnsi" w:cs="Times New Roman"/>
          <w:szCs w:val="24"/>
        </w:rPr>
        <w:t>and</w:t>
      </w:r>
      <w:r w:rsidR="00AE37D1" w:rsidRPr="00E631B0">
        <w:rPr>
          <w:rFonts w:asciiTheme="minorHAnsi" w:eastAsia="Calibri" w:hAnsiTheme="minorHAnsi" w:cs="Times New Roman"/>
          <w:szCs w:val="24"/>
        </w:rPr>
        <w:t xml:space="preserve"> non-persistence</w:t>
      </w:r>
      <w:r w:rsidR="0000686B" w:rsidRPr="00E631B0">
        <w:rPr>
          <w:rFonts w:asciiTheme="minorHAnsi" w:eastAsia="Calibri" w:hAnsiTheme="minorHAnsi" w:cs="Times New Roman"/>
          <w:szCs w:val="24"/>
        </w:rPr>
        <w:t>.</w:t>
      </w:r>
    </w:p>
    <w:p w14:paraId="3852269B" w14:textId="752372DB" w:rsidR="0000686B" w:rsidRPr="00E631B0" w:rsidRDefault="0000686B" w:rsidP="003B0EC5">
      <w:pPr>
        <w:spacing w:line="240" w:lineRule="auto"/>
        <w:jc w:val="left"/>
        <w:rPr>
          <w:rFonts w:asciiTheme="minorHAnsi" w:eastAsia="Calibri" w:hAnsiTheme="minorHAnsi" w:cs="Times New Roman"/>
          <w:szCs w:val="24"/>
        </w:rPr>
      </w:pPr>
      <w:r w:rsidRPr="00E631B0">
        <w:rPr>
          <w:rFonts w:asciiTheme="minorHAnsi" w:eastAsia="Calibri" w:hAnsiTheme="minorHAnsi" w:cs="Times New Roman"/>
          <w:szCs w:val="24"/>
        </w:rPr>
        <w:t>The Reference Group also noted from recent literature</w:t>
      </w:r>
      <w:r w:rsidR="00907F7E" w:rsidRPr="00E631B0">
        <w:rPr>
          <w:rFonts w:asciiTheme="minorHAnsi" w:eastAsia="Calibri" w:hAnsiTheme="minorHAnsi" w:cs="Times New Roman"/>
          <w:szCs w:val="24"/>
        </w:rPr>
        <w:t>,</w:t>
      </w:r>
      <w:r w:rsidRPr="00E631B0">
        <w:rPr>
          <w:rFonts w:asciiTheme="minorHAnsi" w:eastAsia="Calibri" w:hAnsiTheme="minorHAnsi" w:cs="Times New Roman"/>
          <w:szCs w:val="24"/>
        </w:rPr>
        <w:t xml:space="preserve"> that patients who take less than 80% of their </w:t>
      </w:r>
      <w:r w:rsidR="004A5D64" w:rsidRPr="00E631B0">
        <w:rPr>
          <w:rFonts w:asciiTheme="minorHAnsi" w:eastAsia="Calibri" w:hAnsiTheme="minorHAnsi" w:cs="Times New Roman"/>
          <w:szCs w:val="24"/>
        </w:rPr>
        <w:t xml:space="preserve">prescribed </w:t>
      </w:r>
      <w:r w:rsidRPr="00E631B0">
        <w:rPr>
          <w:rFonts w:asciiTheme="minorHAnsi" w:eastAsia="Calibri" w:hAnsiTheme="minorHAnsi" w:cs="Times New Roman"/>
          <w:szCs w:val="24"/>
        </w:rPr>
        <w:t xml:space="preserve">statin </w:t>
      </w:r>
      <w:r w:rsidR="004A5D64" w:rsidRPr="00E631B0">
        <w:rPr>
          <w:rFonts w:asciiTheme="minorHAnsi" w:eastAsia="Calibri" w:hAnsiTheme="minorHAnsi" w:cs="Times New Roman"/>
          <w:szCs w:val="24"/>
        </w:rPr>
        <w:t>regimen</w:t>
      </w:r>
      <w:r w:rsidRPr="00E631B0">
        <w:rPr>
          <w:rFonts w:asciiTheme="minorHAnsi" w:eastAsia="Calibri" w:hAnsiTheme="minorHAnsi" w:cs="Times New Roman"/>
          <w:szCs w:val="24"/>
        </w:rPr>
        <w:t xml:space="preserve"> have a 45% relative increase in total mortality compared with more adherent patients, an increase greater than that observed with poor adherence to </w:t>
      </w:r>
      <w:r w:rsidR="00A11DDF" w:rsidRPr="00E631B0">
        <w:rPr>
          <w:rFonts w:asciiTheme="minorHAnsi" w:eastAsia="Calibri" w:hAnsiTheme="minorHAnsi" w:cs="Times New Roman"/>
          <w:szCs w:val="24"/>
        </w:rPr>
        <w:t xml:space="preserve">many </w:t>
      </w:r>
      <w:r w:rsidRPr="00E631B0">
        <w:rPr>
          <w:rFonts w:asciiTheme="minorHAnsi" w:eastAsia="Calibri" w:hAnsiTheme="minorHAnsi" w:cs="Times New Roman"/>
          <w:szCs w:val="24"/>
        </w:rPr>
        <w:t>other cardiac drugs.</w:t>
      </w:r>
      <w:r w:rsidR="004A06F1" w:rsidRPr="00E631B0">
        <w:rPr>
          <w:rStyle w:val="EndnoteReference"/>
          <w:rFonts w:asciiTheme="minorHAnsi" w:eastAsia="Calibri" w:hAnsiTheme="minorHAnsi" w:cs="Times New Roman"/>
          <w:szCs w:val="24"/>
        </w:rPr>
        <w:endnoteReference w:id="2"/>
      </w:r>
      <w:r w:rsidR="00403EF3" w:rsidRPr="00E631B0">
        <w:rPr>
          <w:rFonts w:asciiTheme="minorHAnsi" w:eastAsia="Calibri" w:hAnsiTheme="minorHAnsi" w:cs="Times New Roman"/>
          <w:szCs w:val="24"/>
        </w:rPr>
        <w:t xml:space="preserve"> </w:t>
      </w:r>
      <w:r w:rsidR="004A06F1" w:rsidRPr="00E631B0">
        <w:rPr>
          <w:rFonts w:asciiTheme="minorHAnsi" w:eastAsia="Calibri" w:hAnsiTheme="minorHAnsi" w:cs="Times New Roman"/>
          <w:szCs w:val="24"/>
        </w:rPr>
        <w:t>T</w:t>
      </w:r>
      <w:r w:rsidRPr="00E631B0">
        <w:rPr>
          <w:rFonts w:asciiTheme="minorHAnsi" w:eastAsia="Calibri" w:hAnsiTheme="minorHAnsi" w:cs="Times New Roman"/>
          <w:szCs w:val="24"/>
        </w:rPr>
        <w:t>his underlines</w:t>
      </w:r>
      <w:r w:rsidR="00DA63B6" w:rsidRPr="00E631B0">
        <w:rPr>
          <w:rFonts w:asciiTheme="minorHAnsi" w:eastAsia="Calibri" w:hAnsiTheme="minorHAnsi" w:cs="Times New Roman"/>
          <w:szCs w:val="24"/>
        </w:rPr>
        <w:t xml:space="preserve"> the importance of patient education when</w:t>
      </w:r>
      <w:r w:rsidRPr="00E631B0">
        <w:rPr>
          <w:rFonts w:asciiTheme="minorHAnsi" w:eastAsia="Calibri" w:hAnsiTheme="minorHAnsi" w:cs="Times New Roman"/>
          <w:szCs w:val="24"/>
        </w:rPr>
        <w:t xml:space="preserve"> initiating or recommencing LLT</w:t>
      </w:r>
      <w:r w:rsidR="00DA63B6" w:rsidRPr="00E631B0">
        <w:rPr>
          <w:rFonts w:asciiTheme="minorHAnsi" w:eastAsia="Calibri" w:hAnsiTheme="minorHAnsi" w:cs="Times New Roman"/>
          <w:szCs w:val="24"/>
        </w:rPr>
        <w:t xml:space="preserve">, </w:t>
      </w:r>
      <w:r w:rsidR="00A11DDF" w:rsidRPr="00E631B0">
        <w:rPr>
          <w:rFonts w:asciiTheme="minorHAnsi" w:eastAsia="Calibri" w:hAnsiTheme="minorHAnsi" w:cs="Times New Roman"/>
          <w:szCs w:val="24"/>
        </w:rPr>
        <w:t xml:space="preserve">in order </w:t>
      </w:r>
      <w:r w:rsidR="00DA63B6" w:rsidRPr="00E631B0">
        <w:rPr>
          <w:rFonts w:asciiTheme="minorHAnsi" w:eastAsia="Calibri" w:hAnsiTheme="minorHAnsi" w:cs="Times New Roman"/>
          <w:szCs w:val="24"/>
        </w:rPr>
        <w:t xml:space="preserve">to </w:t>
      </w:r>
      <w:r w:rsidR="00A11DDF" w:rsidRPr="00E631B0">
        <w:rPr>
          <w:rFonts w:asciiTheme="minorHAnsi" w:eastAsia="Calibri" w:hAnsiTheme="minorHAnsi" w:cs="Times New Roman"/>
          <w:szCs w:val="24"/>
        </w:rPr>
        <w:t xml:space="preserve">ensure </w:t>
      </w:r>
      <w:r w:rsidR="00403EF3" w:rsidRPr="00E631B0">
        <w:rPr>
          <w:rFonts w:asciiTheme="minorHAnsi" w:eastAsia="Calibri" w:hAnsiTheme="minorHAnsi" w:cs="Times New Roman"/>
          <w:szCs w:val="24"/>
        </w:rPr>
        <w:t xml:space="preserve">patients adhere to </w:t>
      </w:r>
      <w:r w:rsidRPr="00E631B0">
        <w:rPr>
          <w:rFonts w:asciiTheme="minorHAnsi" w:eastAsia="Calibri" w:hAnsiTheme="minorHAnsi" w:cs="Times New Roman"/>
          <w:szCs w:val="24"/>
        </w:rPr>
        <w:t xml:space="preserve">LLT </w:t>
      </w:r>
      <w:r w:rsidR="00DA63B6" w:rsidRPr="00E631B0">
        <w:rPr>
          <w:rFonts w:asciiTheme="minorHAnsi" w:eastAsia="Calibri" w:hAnsiTheme="minorHAnsi" w:cs="Times New Roman"/>
          <w:szCs w:val="24"/>
        </w:rPr>
        <w:t>over the long</w:t>
      </w:r>
      <w:r w:rsidR="00F7627D" w:rsidRPr="00E631B0">
        <w:rPr>
          <w:rFonts w:asciiTheme="minorHAnsi" w:eastAsia="Calibri" w:hAnsiTheme="minorHAnsi" w:cs="Times New Roman"/>
          <w:szCs w:val="24"/>
        </w:rPr>
        <w:t>-</w:t>
      </w:r>
      <w:r w:rsidRPr="00E631B0">
        <w:rPr>
          <w:rFonts w:asciiTheme="minorHAnsi" w:eastAsia="Calibri" w:hAnsiTheme="minorHAnsi" w:cs="Times New Roman"/>
          <w:szCs w:val="24"/>
        </w:rPr>
        <w:t>term to achieve a</w:t>
      </w:r>
      <w:r w:rsidR="00DA63B6" w:rsidRPr="00E631B0">
        <w:rPr>
          <w:rFonts w:asciiTheme="minorHAnsi" w:eastAsia="Calibri" w:hAnsiTheme="minorHAnsi" w:cs="Times New Roman"/>
          <w:szCs w:val="24"/>
        </w:rPr>
        <w:t xml:space="preserve"> </w:t>
      </w:r>
      <w:r w:rsidR="008A37F9" w:rsidRPr="00E631B0">
        <w:rPr>
          <w:rFonts w:asciiTheme="minorHAnsi" w:eastAsia="Calibri" w:hAnsiTheme="minorHAnsi" w:cs="Times New Roman"/>
          <w:szCs w:val="24"/>
        </w:rPr>
        <w:t>sustained reduction</w:t>
      </w:r>
      <w:r w:rsidRPr="00E631B0">
        <w:rPr>
          <w:rFonts w:asciiTheme="minorHAnsi" w:eastAsia="Calibri" w:hAnsiTheme="minorHAnsi" w:cs="Times New Roman"/>
          <w:szCs w:val="24"/>
        </w:rPr>
        <w:t xml:space="preserve"> in cardiovascular risk. </w:t>
      </w:r>
    </w:p>
    <w:p w14:paraId="429FE73E" w14:textId="321CD234" w:rsidR="008B6065" w:rsidRPr="00E631B0" w:rsidRDefault="00177CC3" w:rsidP="003B0EC5">
      <w:pPr>
        <w:spacing w:line="240" w:lineRule="auto"/>
        <w:jc w:val="left"/>
        <w:rPr>
          <w:rFonts w:asciiTheme="minorHAnsi" w:eastAsia="Calibri" w:hAnsiTheme="minorHAnsi" w:cs="Times New Roman"/>
          <w:szCs w:val="24"/>
        </w:rPr>
      </w:pPr>
      <w:r w:rsidRPr="00E631B0">
        <w:rPr>
          <w:rFonts w:asciiTheme="minorHAnsi" w:eastAsia="Calibri" w:hAnsiTheme="minorHAnsi" w:cs="Times New Roman"/>
          <w:szCs w:val="24"/>
        </w:rPr>
        <w:t xml:space="preserve">The DUSC reviewed </w:t>
      </w:r>
      <w:r w:rsidR="00A24486" w:rsidRPr="00E631B0">
        <w:rPr>
          <w:rFonts w:asciiTheme="minorHAnsi" w:eastAsia="Calibri" w:hAnsiTheme="minorHAnsi" w:cs="Times New Roman"/>
          <w:szCs w:val="24"/>
        </w:rPr>
        <w:t xml:space="preserve">the December 2016 Analysis </w:t>
      </w:r>
      <w:r w:rsidRPr="00E631B0">
        <w:rPr>
          <w:rFonts w:asciiTheme="minorHAnsi" w:eastAsia="Calibri" w:hAnsiTheme="minorHAnsi" w:cs="Times New Roman"/>
          <w:szCs w:val="24"/>
        </w:rPr>
        <w:t>in February 2017 and was concerned with the approach taken to answer</w:t>
      </w:r>
      <w:r w:rsidR="00A12D8B" w:rsidRPr="00E631B0">
        <w:rPr>
          <w:rFonts w:asciiTheme="minorHAnsi" w:eastAsia="Calibri" w:hAnsiTheme="minorHAnsi" w:cs="Times New Roman"/>
          <w:szCs w:val="24"/>
        </w:rPr>
        <w:t xml:space="preserve"> </w:t>
      </w:r>
      <w:r w:rsidRPr="00E631B0">
        <w:rPr>
          <w:rFonts w:asciiTheme="minorHAnsi" w:eastAsia="Calibri" w:hAnsiTheme="minorHAnsi" w:cs="Times New Roman"/>
          <w:szCs w:val="24"/>
        </w:rPr>
        <w:t xml:space="preserve">the utilisation research question </w:t>
      </w:r>
      <w:r w:rsidR="00394829" w:rsidRPr="00E631B0">
        <w:rPr>
          <w:rFonts w:asciiTheme="minorHAnsi" w:eastAsia="Calibri" w:hAnsiTheme="minorHAnsi" w:cs="Times New Roman"/>
          <w:szCs w:val="24"/>
        </w:rPr>
        <w:t>for Term of Reference 1</w:t>
      </w:r>
      <w:r w:rsidRPr="00E631B0">
        <w:rPr>
          <w:rFonts w:asciiTheme="minorHAnsi" w:eastAsia="Calibri" w:hAnsiTheme="minorHAnsi" w:cs="Times New Roman"/>
          <w:szCs w:val="24"/>
        </w:rPr>
        <w:t>.</w:t>
      </w:r>
      <w:r w:rsidR="00A12D8B" w:rsidRPr="00E631B0">
        <w:rPr>
          <w:rFonts w:asciiTheme="minorHAnsi" w:eastAsia="Calibri" w:hAnsiTheme="minorHAnsi" w:cs="Times New Roman"/>
          <w:szCs w:val="24"/>
        </w:rPr>
        <w:t xml:space="preserve"> The</w:t>
      </w:r>
      <w:r w:rsidRPr="00E631B0">
        <w:rPr>
          <w:rFonts w:asciiTheme="minorHAnsi" w:eastAsia="Calibri" w:hAnsiTheme="minorHAnsi" w:cs="Times New Roman"/>
          <w:szCs w:val="24"/>
        </w:rPr>
        <w:t xml:space="preserve"> </w:t>
      </w:r>
      <w:r w:rsidR="00394829" w:rsidRPr="00E631B0">
        <w:rPr>
          <w:rFonts w:asciiTheme="minorHAnsi" w:eastAsia="Calibri" w:hAnsiTheme="minorHAnsi" w:cs="Times New Roman"/>
          <w:szCs w:val="24"/>
        </w:rPr>
        <w:t>DUSC</w:t>
      </w:r>
      <w:r w:rsidR="00A12D8B" w:rsidRPr="00E631B0">
        <w:rPr>
          <w:rFonts w:asciiTheme="minorHAnsi" w:eastAsia="Calibri" w:hAnsiTheme="minorHAnsi" w:cs="Times New Roman"/>
          <w:szCs w:val="24"/>
        </w:rPr>
        <w:t xml:space="preserve"> noted that </w:t>
      </w:r>
      <w:r w:rsidR="00A24486" w:rsidRPr="00E631B0">
        <w:rPr>
          <w:rFonts w:asciiTheme="minorHAnsi" w:eastAsia="Calibri" w:hAnsiTheme="minorHAnsi" w:cs="Times New Roman"/>
          <w:szCs w:val="24"/>
        </w:rPr>
        <w:t xml:space="preserve">the December 2016 Analysis </w:t>
      </w:r>
      <w:r w:rsidR="00A12D8B" w:rsidRPr="00E631B0">
        <w:rPr>
          <w:rFonts w:asciiTheme="minorHAnsi" w:eastAsia="Calibri" w:hAnsiTheme="minorHAnsi" w:cs="Times New Roman"/>
          <w:szCs w:val="24"/>
        </w:rPr>
        <w:t>had not linked all</w:t>
      </w:r>
      <w:r w:rsidR="00C015E6" w:rsidRPr="00E631B0">
        <w:rPr>
          <w:rFonts w:asciiTheme="minorHAnsi" w:eastAsia="Calibri" w:hAnsiTheme="minorHAnsi" w:cs="Times New Roman"/>
          <w:szCs w:val="24"/>
        </w:rPr>
        <w:t xml:space="preserve"> </w:t>
      </w:r>
      <w:r w:rsidR="00394829" w:rsidRPr="00E631B0">
        <w:rPr>
          <w:rFonts w:asciiTheme="minorHAnsi" w:eastAsia="Calibri" w:hAnsiTheme="minorHAnsi" w:cs="Times New Roman"/>
          <w:szCs w:val="24"/>
        </w:rPr>
        <w:t xml:space="preserve">LLT </w:t>
      </w:r>
      <w:r w:rsidR="00C015E6" w:rsidRPr="00E631B0">
        <w:rPr>
          <w:rFonts w:asciiTheme="minorHAnsi" w:eastAsia="Calibri" w:hAnsiTheme="minorHAnsi" w:cs="Times New Roman"/>
          <w:szCs w:val="24"/>
        </w:rPr>
        <w:t>utilisation pre and pos</w:t>
      </w:r>
      <w:r w:rsidR="00A12D8B" w:rsidRPr="00E631B0">
        <w:rPr>
          <w:rFonts w:asciiTheme="minorHAnsi" w:eastAsia="Calibri" w:hAnsiTheme="minorHAnsi" w:cs="Times New Roman"/>
          <w:szCs w:val="24"/>
        </w:rPr>
        <w:t>t</w:t>
      </w:r>
      <w:r w:rsidR="00C015E6" w:rsidRPr="00E631B0">
        <w:rPr>
          <w:rFonts w:asciiTheme="minorHAnsi" w:eastAsia="Calibri" w:hAnsiTheme="minorHAnsi" w:cs="Times New Roman"/>
          <w:szCs w:val="24"/>
        </w:rPr>
        <w:t xml:space="preserve"> ezetimibe initiation at the individual patient level and that this was likely to have underestimated the number of patients who were not using ezetimibe in accordance with the </w:t>
      </w:r>
      <w:r w:rsidR="00D11D83" w:rsidRPr="00E631B0">
        <w:rPr>
          <w:rFonts w:asciiTheme="minorHAnsi" w:eastAsia="Calibri" w:hAnsiTheme="minorHAnsi" w:cs="Times New Roman"/>
          <w:szCs w:val="24"/>
        </w:rPr>
        <w:t xml:space="preserve">PBS </w:t>
      </w:r>
      <w:r w:rsidR="00C015E6" w:rsidRPr="00E631B0">
        <w:rPr>
          <w:rFonts w:asciiTheme="minorHAnsi" w:eastAsia="Calibri" w:hAnsiTheme="minorHAnsi" w:cs="Times New Roman"/>
          <w:szCs w:val="24"/>
        </w:rPr>
        <w:t>restriction</w:t>
      </w:r>
      <w:r w:rsidR="00403EF3" w:rsidRPr="00E631B0">
        <w:rPr>
          <w:rFonts w:asciiTheme="minorHAnsi" w:eastAsia="Calibri" w:hAnsiTheme="minorHAnsi" w:cs="Times New Roman"/>
          <w:szCs w:val="24"/>
        </w:rPr>
        <w:t>s</w:t>
      </w:r>
      <w:r w:rsidR="00C015E6" w:rsidRPr="00E631B0">
        <w:rPr>
          <w:rFonts w:asciiTheme="minorHAnsi" w:eastAsia="Calibri" w:hAnsiTheme="minorHAnsi" w:cs="Times New Roman"/>
          <w:szCs w:val="24"/>
        </w:rPr>
        <w:t>.</w:t>
      </w:r>
      <w:r w:rsidR="003B5FC4" w:rsidRPr="00E631B0">
        <w:rPr>
          <w:rFonts w:asciiTheme="minorHAnsi" w:eastAsia="Calibri" w:hAnsiTheme="minorHAnsi" w:cs="Times New Roman"/>
          <w:szCs w:val="24"/>
        </w:rPr>
        <w:t xml:space="preserve"> The</w:t>
      </w:r>
      <w:r w:rsidR="00394829" w:rsidRPr="00E631B0">
        <w:rPr>
          <w:rFonts w:asciiTheme="minorHAnsi" w:eastAsia="Calibri" w:hAnsiTheme="minorHAnsi" w:cs="Times New Roman"/>
          <w:szCs w:val="24"/>
        </w:rPr>
        <w:t xml:space="preserve"> </w:t>
      </w:r>
      <w:r w:rsidR="00A12D8B" w:rsidRPr="00E631B0">
        <w:rPr>
          <w:rFonts w:asciiTheme="minorHAnsi" w:eastAsia="Calibri" w:hAnsiTheme="minorHAnsi" w:cs="Times New Roman"/>
          <w:szCs w:val="24"/>
        </w:rPr>
        <w:t xml:space="preserve">DUSC </w:t>
      </w:r>
      <w:r w:rsidR="00D11D83" w:rsidRPr="00E631B0">
        <w:rPr>
          <w:rFonts w:asciiTheme="minorHAnsi" w:eastAsia="Calibri" w:hAnsiTheme="minorHAnsi" w:cs="Times New Roman"/>
          <w:szCs w:val="24"/>
        </w:rPr>
        <w:t>noted that for some patients</w:t>
      </w:r>
      <w:r w:rsidR="00A11DDF" w:rsidRPr="00E631B0">
        <w:rPr>
          <w:rFonts w:asciiTheme="minorHAnsi" w:eastAsia="Calibri" w:hAnsiTheme="minorHAnsi" w:cs="Times New Roman"/>
          <w:szCs w:val="24"/>
        </w:rPr>
        <w:t>,</w:t>
      </w:r>
      <w:r w:rsidR="00D11D83" w:rsidRPr="00E631B0">
        <w:rPr>
          <w:rFonts w:asciiTheme="minorHAnsi" w:eastAsia="Calibri" w:hAnsiTheme="minorHAnsi" w:cs="Times New Roman"/>
          <w:szCs w:val="24"/>
        </w:rPr>
        <w:t xml:space="preserve"> there was strong evidence which supported compliance (denoted in green</w:t>
      </w:r>
      <w:r w:rsidR="00403EF3" w:rsidRPr="00E631B0">
        <w:rPr>
          <w:rFonts w:asciiTheme="minorHAnsi" w:eastAsia="Calibri" w:hAnsiTheme="minorHAnsi" w:cs="Times New Roman"/>
          <w:szCs w:val="24"/>
        </w:rPr>
        <w:t>, below</w:t>
      </w:r>
      <w:r w:rsidR="00D11D83" w:rsidRPr="00E631B0">
        <w:rPr>
          <w:rFonts w:asciiTheme="minorHAnsi" w:eastAsia="Calibri" w:hAnsiTheme="minorHAnsi" w:cs="Times New Roman"/>
          <w:szCs w:val="24"/>
        </w:rPr>
        <w:t xml:space="preserve">) or </w:t>
      </w:r>
      <w:r w:rsidR="00A11DDF" w:rsidRPr="00E631B0">
        <w:rPr>
          <w:rFonts w:asciiTheme="minorHAnsi" w:eastAsia="Calibri" w:hAnsiTheme="minorHAnsi" w:cs="Times New Roman"/>
          <w:szCs w:val="24"/>
        </w:rPr>
        <w:t>non-compliance</w:t>
      </w:r>
      <w:r w:rsidR="00D11D83" w:rsidRPr="00E631B0">
        <w:rPr>
          <w:rFonts w:asciiTheme="minorHAnsi" w:eastAsia="Calibri" w:hAnsiTheme="minorHAnsi" w:cs="Times New Roman"/>
          <w:szCs w:val="24"/>
        </w:rPr>
        <w:t xml:space="preserve"> (denoted in red</w:t>
      </w:r>
      <w:r w:rsidR="00403EF3" w:rsidRPr="00E631B0">
        <w:rPr>
          <w:rFonts w:asciiTheme="minorHAnsi" w:eastAsia="Calibri" w:hAnsiTheme="minorHAnsi" w:cs="Times New Roman"/>
          <w:szCs w:val="24"/>
        </w:rPr>
        <w:t>, below</w:t>
      </w:r>
      <w:r w:rsidR="00D11D83" w:rsidRPr="00E631B0">
        <w:rPr>
          <w:rFonts w:asciiTheme="minorHAnsi" w:eastAsia="Calibri" w:hAnsiTheme="minorHAnsi" w:cs="Times New Roman"/>
          <w:szCs w:val="24"/>
        </w:rPr>
        <w:t>) with PBS restrictions</w:t>
      </w:r>
      <w:r w:rsidR="00A11DDF" w:rsidRPr="00E631B0">
        <w:rPr>
          <w:rFonts w:asciiTheme="minorHAnsi" w:eastAsia="Calibri" w:hAnsiTheme="minorHAnsi" w:cs="Times New Roman"/>
          <w:szCs w:val="24"/>
        </w:rPr>
        <w:t>.</w:t>
      </w:r>
      <w:r w:rsidR="003B5FC4" w:rsidRPr="00E631B0">
        <w:rPr>
          <w:rFonts w:asciiTheme="minorHAnsi" w:eastAsia="Calibri" w:hAnsiTheme="minorHAnsi" w:cs="Times New Roman"/>
          <w:szCs w:val="24"/>
        </w:rPr>
        <w:t xml:space="preserve"> The</w:t>
      </w:r>
      <w:r w:rsidR="00A11DDF" w:rsidRPr="00E631B0">
        <w:rPr>
          <w:rFonts w:asciiTheme="minorHAnsi" w:eastAsia="Calibri" w:hAnsiTheme="minorHAnsi" w:cs="Times New Roman"/>
          <w:szCs w:val="24"/>
        </w:rPr>
        <w:t xml:space="preserve"> DUSC</w:t>
      </w:r>
      <w:r w:rsidR="00D11D83" w:rsidRPr="00E631B0">
        <w:rPr>
          <w:rFonts w:asciiTheme="minorHAnsi" w:eastAsia="Calibri" w:hAnsiTheme="minorHAnsi" w:cs="Times New Roman"/>
          <w:szCs w:val="24"/>
        </w:rPr>
        <w:t xml:space="preserve"> also noted there was uncertainty for some patients as to whether their ezetimibe use was in accordance with the PBS restriction</w:t>
      </w:r>
      <w:r w:rsidR="00403EF3" w:rsidRPr="00E631B0">
        <w:rPr>
          <w:rFonts w:asciiTheme="minorHAnsi" w:eastAsia="Calibri" w:hAnsiTheme="minorHAnsi" w:cs="Times New Roman"/>
          <w:szCs w:val="24"/>
        </w:rPr>
        <w:t>s</w:t>
      </w:r>
      <w:r w:rsidR="00D11D83" w:rsidRPr="00E631B0">
        <w:rPr>
          <w:rFonts w:asciiTheme="minorHAnsi" w:eastAsia="Calibri" w:hAnsiTheme="minorHAnsi" w:cs="Times New Roman"/>
          <w:szCs w:val="24"/>
        </w:rPr>
        <w:t xml:space="preserve"> due to insufficient information being </w:t>
      </w:r>
      <w:r w:rsidR="00B87EE6" w:rsidRPr="00E631B0">
        <w:rPr>
          <w:rFonts w:asciiTheme="minorHAnsi" w:eastAsia="Calibri" w:hAnsiTheme="minorHAnsi" w:cs="Times New Roman"/>
          <w:szCs w:val="24"/>
        </w:rPr>
        <w:t>available in PBS data</w:t>
      </w:r>
      <w:r w:rsidR="00D11D83" w:rsidRPr="00E631B0">
        <w:rPr>
          <w:rFonts w:asciiTheme="minorHAnsi" w:eastAsia="Calibri" w:hAnsiTheme="minorHAnsi" w:cs="Times New Roman"/>
          <w:szCs w:val="24"/>
        </w:rPr>
        <w:t xml:space="preserve">. These initiators were placed </w:t>
      </w:r>
      <w:r w:rsidR="00A12D8B" w:rsidRPr="00E631B0">
        <w:rPr>
          <w:rFonts w:asciiTheme="minorHAnsi" w:eastAsia="Calibri" w:hAnsiTheme="minorHAnsi" w:cs="Times New Roman"/>
          <w:szCs w:val="24"/>
        </w:rPr>
        <w:t>in a separate ‘uncertain’ category</w:t>
      </w:r>
      <w:r w:rsidR="00DA63B6" w:rsidRPr="00E631B0">
        <w:rPr>
          <w:rFonts w:asciiTheme="minorHAnsi" w:eastAsia="Calibri" w:hAnsiTheme="minorHAnsi" w:cs="Times New Roman"/>
          <w:szCs w:val="24"/>
        </w:rPr>
        <w:t xml:space="preserve"> </w:t>
      </w:r>
      <w:r w:rsidR="00403EF3" w:rsidRPr="00E631B0">
        <w:rPr>
          <w:rFonts w:asciiTheme="minorHAnsi" w:eastAsia="Calibri" w:hAnsiTheme="minorHAnsi" w:cs="Times New Roman"/>
          <w:szCs w:val="24"/>
        </w:rPr>
        <w:t>(</w:t>
      </w:r>
      <w:r w:rsidR="00DA63B6" w:rsidRPr="00E631B0">
        <w:rPr>
          <w:rFonts w:asciiTheme="minorHAnsi" w:eastAsia="Calibri" w:hAnsiTheme="minorHAnsi" w:cs="Times New Roman"/>
          <w:szCs w:val="24"/>
        </w:rPr>
        <w:t>de</w:t>
      </w:r>
      <w:r w:rsidR="00403EF3" w:rsidRPr="00E631B0">
        <w:rPr>
          <w:rFonts w:asciiTheme="minorHAnsi" w:eastAsia="Calibri" w:hAnsiTheme="minorHAnsi" w:cs="Times New Roman"/>
          <w:szCs w:val="24"/>
        </w:rPr>
        <w:t>noted in</w:t>
      </w:r>
      <w:r w:rsidR="00DA63B6" w:rsidRPr="00E631B0">
        <w:rPr>
          <w:rFonts w:asciiTheme="minorHAnsi" w:eastAsia="Calibri" w:hAnsiTheme="minorHAnsi" w:cs="Times New Roman"/>
          <w:szCs w:val="24"/>
        </w:rPr>
        <w:t xml:space="preserve"> orange</w:t>
      </w:r>
      <w:r w:rsidR="00D03579" w:rsidRPr="00E631B0">
        <w:rPr>
          <w:rFonts w:asciiTheme="minorHAnsi" w:eastAsia="Calibri" w:hAnsiTheme="minorHAnsi" w:cs="Times New Roman"/>
          <w:szCs w:val="24"/>
        </w:rPr>
        <w:t xml:space="preserve">, </w:t>
      </w:r>
      <w:r w:rsidR="00DA63B6" w:rsidRPr="00E631B0">
        <w:rPr>
          <w:rFonts w:asciiTheme="minorHAnsi" w:eastAsia="Calibri" w:hAnsiTheme="minorHAnsi" w:cs="Times New Roman"/>
          <w:szCs w:val="24"/>
        </w:rPr>
        <w:t>below</w:t>
      </w:r>
      <w:r w:rsidR="00D03579" w:rsidRPr="00E631B0">
        <w:rPr>
          <w:rFonts w:asciiTheme="minorHAnsi" w:eastAsia="Calibri" w:hAnsiTheme="minorHAnsi" w:cs="Times New Roman"/>
          <w:szCs w:val="24"/>
        </w:rPr>
        <w:t>)</w:t>
      </w:r>
      <w:r w:rsidR="00DA63B6" w:rsidRPr="00E631B0">
        <w:rPr>
          <w:rFonts w:asciiTheme="minorHAnsi" w:eastAsia="Calibri" w:hAnsiTheme="minorHAnsi" w:cs="Times New Roman"/>
          <w:szCs w:val="24"/>
        </w:rPr>
        <w:t xml:space="preserve">. </w:t>
      </w:r>
    </w:p>
    <w:p w14:paraId="0B7714B0" w14:textId="77777777" w:rsidR="00C015E6" w:rsidRPr="00E631B0" w:rsidRDefault="00A12D8B" w:rsidP="003B0EC5">
      <w:pPr>
        <w:spacing w:after="0" w:line="259" w:lineRule="auto"/>
        <w:jc w:val="left"/>
        <w:rPr>
          <w:rFonts w:asciiTheme="minorHAnsi" w:eastAsia="Calibri" w:hAnsiTheme="minorHAnsi"/>
          <w:szCs w:val="24"/>
        </w:rPr>
      </w:pPr>
      <w:r w:rsidRPr="00E631B0">
        <w:rPr>
          <w:rFonts w:asciiTheme="minorHAnsi" w:eastAsia="Calibri" w:hAnsiTheme="minorHAnsi"/>
          <w:szCs w:val="24"/>
        </w:rPr>
        <w:t xml:space="preserve">In </w:t>
      </w:r>
      <w:r w:rsidR="00DA63B6" w:rsidRPr="00E631B0">
        <w:rPr>
          <w:rFonts w:asciiTheme="minorHAnsi" w:eastAsia="Calibri" w:hAnsiTheme="minorHAnsi"/>
          <w:szCs w:val="24"/>
        </w:rPr>
        <w:t>summary</w:t>
      </w:r>
      <w:r w:rsidR="00D03579" w:rsidRPr="00E631B0">
        <w:rPr>
          <w:rFonts w:asciiTheme="minorHAnsi" w:eastAsia="Calibri" w:hAnsiTheme="minorHAnsi"/>
          <w:szCs w:val="24"/>
        </w:rPr>
        <w:t>,</w:t>
      </w:r>
      <w:r w:rsidR="00DA63B6" w:rsidRPr="00E631B0">
        <w:rPr>
          <w:rFonts w:asciiTheme="minorHAnsi" w:eastAsia="Calibri" w:hAnsiTheme="minorHAnsi"/>
          <w:szCs w:val="24"/>
        </w:rPr>
        <w:t xml:space="preserve"> </w:t>
      </w:r>
      <w:r w:rsidR="00C015E6" w:rsidRPr="00E631B0">
        <w:rPr>
          <w:rFonts w:asciiTheme="minorHAnsi" w:eastAsia="Calibri" w:hAnsiTheme="minorHAnsi"/>
          <w:szCs w:val="24"/>
        </w:rPr>
        <w:t>DUSC</w:t>
      </w:r>
      <w:r w:rsidRPr="00E631B0">
        <w:rPr>
          <w:rFonts w:asciiTheme="minorHAnsi" w:eastAsia="Calibri" w:hAnsiTheme="minorHAnsi"/>
          <w:szCs w:val="24"/>
        </w:rPr>
        <w:t xml:space="preserve"> proposed </w:t>
      </w:r>
      <w:r w:rsidR="00C015E6" w:rsidRPr="00E631B0">
        <w:rPr>
          <w:rFonts w:asciiTheme="minorHAnsi" w:eastAsia="Calibri" w:hAnsiTheme="minorHAnsi"/>
          <w:szCs w:val="24"/>
        </w:rPr>
        <w:t xml:space="preserve">that </w:t>
      </w:r>
      <w:r w:rsidR="008B6065" w:rsidRPr="00E631B0">
        <w:rPr>
          <w:rFonts w:asciiTheme="minorHAnsi" w:eastAsia="Calibri" w:hAnsiTheme="minorHAnsi"/>
          <w:szCs w:val="24"/>
        </w:rPr>
        <w:t xml:space="preserve">new users of </w:t>
      </w:r>
      <w:r w:rsidR="00C015E6" w:rsidRPr="00E631B0">
        <w:rPr>
          <w:rFonts w:asciiTheme="minorHAnsi" w:eastAsia="Calibri" w:hAnsiTheme="minorHAnsi"/>
          <w:szCs w:val="24"/>
        </w:rPr>
        <w:t>ezetimibe could be categorised into</w:t>
      </w:r>
      <w:r w:rsidRPr="00E631B0">
        <w:rPr>
          <w:rFonts w:asciiTheme="minorHAnsi" w:eastAsia="Calibri" w:hAnsiTheme="minorHAnsi"/>
          <w:szCs w:val="24"/>
        </w:rPr>
        <w:t xml:space="preserve"> the following </w:t>
      </w:r>
      <w:r w:rsidR="00C015E6" w:rsidRPr="00E631B0">
        <w:rPr>
          <w:rFonts w:asciiTheme="minorHAnsi" w:eastAsia="Calibri" w:hAnsiTheme="minorHAnsi"/>
          <w:szCs w:val="24"/>
        </w:rPr>
        <w:t>three groups (</w:t>
      </w:r>
      <w:r w:rsidR="001751C4" w:rsidRPr="00E631B0">
        <w:rPr>
          <w:rFonts w:asciiTheme="minorHAnsi" w:eastAsia="Calibri" w:hAnsiTheme="minorHAnsi"/>
          <w:szCs w:val="24"/>
        </w:rPr>
        <w:t xml:space="preserve">March 2017 </w:t>
      </w:r>
      <w:r w:rsidR="00C015E6" w:rsidRPr="00E631B0">
        <w:rPr>
          <w:rFonts w:asciiTheme="minorHAnsi" w:eastAsia="Calibri" w:hAnsiTheme="minorHAnsi"/>
          <w:szCs w:val="24"/>
        </w:rPr>
        <w:t xml:space="preserve">Analysis </w:t>
      </w:r>
      <w:r w:rsidR="009F448D" w:rsidRPr="00E631B0">
        <w:rPr>
          <w:rFonts w:asciiTheme="minorHAnsi" w:eastAsia="Calibri" w:hAnsiTheme="minorHAnsi"/>
          <w:szCs w:val="24"/>
        </w:rPr>
        <w:t xml:space="preserve">- </w:t>
      </w:r>
      <w:r w:rsidR="009F448D" w:rsidRPr="00E631B0">
        <w:rPr>
          <w:rFonts w:asciiTheme="minorHAnsi" w:hAnsiTheme="minorHAnsi"/>
          <w:b/>
        </w:rPr>
        <w:t xml:space="preserve">Appendix </w:t>
      </w:r>
      <w:r w:rsidR="00DA63B6" w:rsidRPr="00E631B0">
        <w:rPr>
          <w:rFonts w:asciiTheme="minorHAnsi" w:hAnsiTheme="minorHAnsi"/>
          <w:b/>
        </w:rPr>
        <w:t>E</w:t>
      </w:r>
      <w:r w:rsidR="00C015E6" w:rsidRPr="00E631B0">
        <w:rPr>
          <w:rFonts w:asciiTheme="minorHAnsi" w:eastAsia="Calibri" w:hAnsiTheme="minorHAnsi"/>
          <w:szCs w:val="24"/>
        </w:rPr>
        <w:t>):</w:t>
      </w:r>
    </w:p>
    <w:p w14:paraId="72614B46" w14:textId="77777777" w:rsidR="00C015E6" w:rsidRPr="008B5CE2" w:rsidRDefault="00C015E6" w:rsidP="003B0EC5">
      <w:pPr>
        <w:tabs>
          <w:tab w:val="left" w:pos="284"/>
        </w:tabs>
        <w:spacing w:after="0" w:line="240" w:lineRule="auto"/>
        <w:jc w:val="left"/>
        <w:rPr>
          <w:rFonts w:ascii="Calibri" w:eastAsia="Times New Roman" w:hAnsi="Calibri" w:cs="Times New Roman"/>
          <w:szCs w:val="24"/>
          <w:lang w:eastAsia="zh-CN"/>
        </w:rPr>
      </w:pPr>
      <w:r w:rsidRPr="00E631B0">
        <w:rPr>
          <w:rFonts w:ascii="Calibri" w:eastAsia="Times New Roman" w:hAnsi="Calibri" w:cs="Times New Roman"/>
          <w:sz w:val="22"/>
          <w:lang w:eastAsia="zh-CN"/>
        </w:rPr>
        <w:t>•</w:t>
      </w:r>
      <w:r w:rsidRPr="00E631B0">
        <w:rPr>
          <w:rFonts w:ascii="Calibri" w:eastAsia="Times New Roman" w:hAnsi="Calibri" w:cs="Times New Roman"/>
          <w:sz w:val="22"/>
          <w:lang w:eastAsia="zh-CN"/>
        </w:rPr>
        <w:tab/>
      </w:r>
      <w:r w:rsidRPr="00E631B0">
        <w:rPr>
          <w:rFonts w:ascii="Calibri" w:eastAsia="Times New Roman" w:hAnsi="Calibri" w:cs="Times New Roman"/>
          <w:szCs w:val="24"/>
          <w:lang w:eastAsia="zh-CN"/>
        </w:rPr>
        <w:t>those initiating ezetimibe in accordance with the PBS restriction</w:t>
      </w:r>
      <w:r w:rsidR="00D03579" w:rsidRPr="00E631B0">
        <w:rPr>
          <w:rFonts w:ascii="Calibri" w:eastAsia="Times New Roman" w:hAnsi="Calibri" w:cs="Times New Roman"/>
          <w:szCs w:val="24"/>
          <w:lang w:eastAsia="zh-CN"/>
        </w:rPr>
        <w:t>s</w:t>
      </w:r>
      <w:r w:rsidRPr="00E631B0">
        <w:rPr>
          <w:rFonts w:ascii="Calibri" w:eastAsia="Times New Roman" w:hAnsi="Calibri" w:cs="Times New Roman"/>
          <w:szCs w:val="24"/>
          <w:lang w:eastAsia="zh-CN"/>
        </w:rPr>
        <w:t xml:space="preserve"> </w:t>
      </w:r>
      <w:r w:rsidRPr="008B5CE2">
        <w:rPr>
          <w:rFonts w:ascii="Calibri" w:eastAsia="Times New Roman" w:hAnsi="Calibri" w:cs="Times New Roman"/>
          <w:szCs w:val="24"/>
          <w:lang w:eastAsia="zh-CN"/>
        </w:rPr>
        <w:t>(</w:t>
      </w:r>
      <w:r w:rsidRPr="008B5CE2">
        <w:rPr>
          <w:rFonts w:ascii="Calibri" w:eastAsia="Times New Roman" w:hAnsi="Calibri" w:cs="Times New Roman"/>
          <w:color w:val="00B050"/>
          <w:szCs w:val="24"/>
          <w:lang w:eastAsia="zh-CN"/>
        </w:rPr>
        <w:t>green</w:t>
      </w:r>
      <w:r w:rsidRPr="008B5CE2">
        <w:rPr>
          <w:rFonts w:ascii="Calibri" w:eastAsia="Times New Roman" w:hAnsi="Calibri" w:cs="Times New Roman"/>
          <w:szCs w:val="24"/>
          <w:lang w:eastAsia="zh-CN"/>
        </w:rPr>
        <w:t xml:space="preserve">); </w:t>
      </w:r>
    </w:p>
    <w:p w14:paraId="1991A422" w14:textId="49343C2C" w:rsidR="00C015E6" w:rsidRPr="008B5CE2" w:rsidRDefault="00C015E6" w:rsidP="003B0EC5">
      <w:pPr>
        <w:tabs>
          <w:tab w:val="left" w:pos="284"/>
        </w:tabs>
        <w:spacing w:after="0" w:line="240" w:lineRule="auto"/>
        <w:ind w:left="284" w:hanging="284"/>
        <w:jc w:val="left"/>
        <w:rPr>
          <w:rFonts w:ascii="Calibri" w:eastAsia="Times New Roman" w:hAnsi="Calibri" w:cs="Times New Roman"/>
          <w:szCs w:val="24"/>
          <w:lang w:eastAsia="zh-CN"/>
        </w:rPr>
      </w:pPr>
      <w:r w:rsidRPr="008B5CE2">
        <w:rPr>
          <w:rFonts w:ascii="Calibri" w:eastAsia="Times New Roman" w:hAnsi="Calibri" w:cs="Times New Roman"/>
          <w:szCs w:val="24"/>
          <w:lang w:eastAsia="zh-CN"/>
        </w:rPr>
        <w:t>•</w:t>
      </w:r>
      <w:r w:rsidRPr="008B5CE2">
        <w:rPr>
          <w:rFonts w:ascii="Calibri" w:eastAsia="Times New Roman" w:hAnsi="Calibri" w:cs="Times New Roman"/>
          <w:szCs w:val="24"/>
          <w:lang w:eastAsia="zh-CN"/>
        </w:rPr>
        <w:tab/>
      </w:r>
      <w:r w:rsidRPr="00E631B0">
        <w:rPr>
          <w:rFonts w:ascii="Calibri" w:eastAsia="Times New Roman" w:hAnsi="Calibri" w:cs="Times New Roman"/>
          <w:szCs w:val="24"/>
          <w:lang w:eastAsia="zh-CN"/>
        </w:rPr>
        <w:t>those initiating ezetimibe in a manner that is not consistent with the PBS restriction</w:t>
      </w:r>
      <w:r w:rsidR="00D03579" w:rsidRPr="00E631B0">
        <w:rPr>
          <w:rFonts w:ascii="Calibri" w:eastAsia="Times New Roman" w:hAnsi="Calibri" w:cs="Times New Roman"/>
          <w:szCs w:val="24"/>
          <w:lang w:eastAsia="zh-CN"/>
        </w:rPr>
        <w:t>s</w:t>
      </w:r>
      <w:r w:rsidRPr="00E631B0">
        <w:rPr>
          <w:rFonts w:ascii="Calibri" w:eastAsia="Times New Roman" w:hAnsi="Calibri" w:cs="Times New Roman"/>
          <w:szCs w:val="24"/>
          <w:lang w:eastAsia="zh-CN"/>
        </w:rPr>
        <w:t xml:space="preserve"> </w:t>
      </w:r>
      <w:r w:rsidRPr="008B5CE2">
        <w:rPr>
          <w:rFonts w:ascii="Calibri" w:eastAsia="Times New Roman" w:hAnsi="Calibri" w:cs="Times New Roman"/>
          <w:szCs w:val="24"/>
          <w:lang w:eastAsia="zh-CN"/>
        </w:rPr>
        <w:t>(</w:t>
      </w:r>
      <w:r w:rsidRPr="008B5CE2">
        <w:rPr>
          <w:rFonts w:ascii="Calibri" w:eastAsia="Times New Roman" w:hAnsi="Calibri" w:cs="Times New Roman"/>
          <w:color w:val="C00000"/>
          <w:szCs w:val="24"/>
          <w:lang w:eastAsia="zh-CN"/>
        </w:rPr>
        <w:t>red</w:t>
      </w:r>
      <w:r w:rsidRPr="008B5CE2">
        <w:rPr>
          <w:rFonts w:ascii="Calibri" w:eastAsia="Times New Roman" w:hAnsi="Calibri" w:cs="Times New Roman"/>
          <w:szCs w:val="24"/>
          <w:lang w:eastAsia="zh-CN"/>
        </w:rPr>
        <w:t xml:space="preserve">); </w:t>
      </w:r>
      <w:r w:rsidR="003B5FC4">
        <w:rPr>
          <w:rFonts w:ascii="Calibri" w:eastAsia="Times New Roman" w:hAnsi="Calibri" w:cs="Times New Roman"/>
          <w:szCs w:val="24"/>
          <w:lang w:eastAsia="zh-CN"/>
        </w:rPr>
        <w:t>and</w:t>
      </w:r>
    </w:p>
    <w:p w14:paraId="03526ED1" w14:textId="77777777" w:rsidR="00C015E6" w:rsidRPr="008B5CE2" w:rsidRDefault="00C015E6" w:rsidP="003B0EC5">
      <w:pPr>
        <w:tabs>
          <w:tab w:val="left" w:pos="284"/>
        </w:tabs>
        <w:spacing w:after="240" w:line="259" w:lineRule="auto"/>
        <w:ind w:left="284" w:hanging="284"/>
        <w:jc w:val="left"/>
        <w:rPr>
          <w:rFonts w:ascii="Calibri" w:eastAsia="Times New Roman" w:hAnsi="Calibri" w:cs="Times New Roman"/>
          <w:szCs w:val="24"/>
          <w:lang w:eastAsia="zh-CN"/>
        </w:rPr>
      </w:pPr>
      <w:r w:rsidRPr="008B5CE2">
        <w:rPr>
          <w:rFonts w:ascii="Calibri" w:eastAsia="Times New Roman" w:hAnsi="Calibri" w:cs="Times New Roman"/>
          <w:szCs w:val="24"/>
          <w:lang w:eastAsia="zh-CN"/>
        </w:rPr>
        <w:t>•</w:t>
      </w:r>
      <w:r w:rsidRPr="008B5CE2">
        <w:rPr>
          <w:rFonts w:ascii="Calibri" w:eastAsia="Times New Roman" w:hAnsi="Calibri" w:cs="Times New Roman"/>
          <w:szCs w:val="24"/>
          <w:lang w:eastAsia="zh-CN"/>
        </w:rPr>
        <w:tab/>
      </w:r>
      <w:r w:rsidRPr="00E631B0">
        <w:rPr>
          <w:rFonts w:ascii="Calibri" w:eastAsia="Times New Roman" w:hAnsi="Calibri" w:cs="Times New Roman"/>
          <w:szCs w:val="24"/>
          <w:lang w:eastAsia="zh-CN"/>
        </w:rPr>
        <w:t xml:space="preserve">the remainder for whom compliance with the PBS restriction is unknown </w:t>
      </w:r>
      <w:r w:rsidRPr="008B5CE2">
        <w:rPr>
          <w:rFonts w:ascii="Calibri" w:eastAsia="Times New Roman" w:hAnsi="Calibri" w:cs="Times New Roman"/>
          <w:szCs w:val="24"/>
          <w:lang w:eastAsia="zh-CN"/>
        </w:rPr>
        <w:t>(</w:t>
      </w:r>
      <w:r w:rsidRPr="008B5CE2">
        <w:rPr>
          <w:rFonts w:ascii="Calibri" w:eastAsia="Times New Roman" w:hAnsi="Calibri" w:cs="Times New Roman"/>
          <w:color w:val="FF6600"/>
          <w:szCs w:val="24"/>
          <w:lang w:eastAsia="zh-CN"/>
        </w:rPr>
        <w:t>orange</w:t>
      </w:r>
      <w:r w:rsidRPr="008B5CE2">
        <w:rPr>
          <w:rFonts w:ascii="Calibri" w:eastAsia="Times New Roman" w:hAnsi="Calibri" w:cs="Times New Roman"/>
          <w:szCs w:val="24"/>
          <w:lang w:eastAsia="zh-CN"/>
        </w:rPr>
        <w:t xml:space="preserve">).  </w:t>
      </w:r>
    </w:p>
    <w:p w14:paraId="0C71FFD3" w14:textId="77777777" w:rsidR="00C015E6" w:rsidRPr="00E631B0" w:rsidRDefault="001751C4" w:rsidP="003B0EC5">
      <w:pPr>
        <w:spacing w:line="240" w:lineRule="auto"/>
        <w:jc w:val="left"/>
        <w:rPr>
          <w:rFonts w:asciiTheme="minorHAnsi" w:hAnsiTheme="minorHAnsi"/>
          <w:szCs w:val="24"/>
        </w:rPr>
      </w:pPr>
      <w:r w:rsidRPr="00E631B0">
        <w:rPr>
          <w:rFonts w:asciiTheme="minorHAnsi" w:eastAsia="Calibri" w:hAnsiTheme="minorHAnsi"/>
          <w:szCs w:val="24"/>
        </w:rPr>
        <w:lastRenderedPageBreak/>
        <w:t xml:space="preserve">The March 2017 </w:t>
      </w:r>
      <w:r w:rsidR="00C015E6" w:rsidRPr="00E631B0">
        <w:rPr>
          <w:rFonts w:asciiTheme="minorHAnsi" w:eastAsia="Calibri" w:hAnsiTheme="minorHAnsi"/>
          <w:szCs w:val="24"/>
        </w:rPr>
        <w:t xml:space="preserve">Analysis was conducted </w:t>
      </w:r>
      <w:r w:rsidR="00226DBF" w:rsidRPr="00E631B0">
        <w:rPr>
          <w:rFonts w:asciiTheme="minorHAnsi" w:eastAsia="Calibri" w:hAnsiTheme="minorHAnsi"/>
          <w:szCs w:val="24"/>
        </w:rPr>
        <w:t xml:space="preserve">using </w:t>
      </w:r>
      <w:r w:rsidR="00C015E6" w:rsidRPr="00E631B0">
        <w:rPr>
          <w:rFonts w:asciiTheme="minorHAnsi" w:eastAsia="Calibri" w:hAnsiTheme="minorHAnsi"/>
          <w:szCs w:val="24"/>
        </w:rPr>
        <w:t xml:space="preserve">the same dataset and the same </w:t>
      </w:r>
      <w:r w:rsidR="00394829" w:rsidRPr="00E631B0">
        <w:rPr>
          <w:rFonts w:asciiTheme="minorHAnsi" w:eastAsia="Calibri" w:hAnsiTheme="minorHAnsi"/>
          <w:szCs w:val="24"/>
        </w:rPr>
        <w:t>C</w:t>
      </w:r>
      <w:r w:rsidR="00C015E6" w:rsidRPr="00E631B0">
        <w:rPr>
          <w:rFonts w:asciiTheme="minorHAnsi" w:eastAsia="Calibri" w:hAnsiTheme="minorHAnsi"/>
          <w:szCs w:val="24"/>
        </w:rPr>
        <w:t>ohorts</w:t>
      </w:r>
      <w:r w:rsidR="009F448D" w:rsidRPr="00E631B0">
        <w:rPr>
          <w:rFonts w:asciiTheme="minorHAnsi" w:eastAsia="Calibri" w:hAnsiTheme="minorHAnsi"/>
          <w:szCs w:val="24"/>
        </w:rPr>
        <w:t xml:space="preserve"> (</w:t>
      </w:r>
      <w:r w:rsidR="00C015E6" w:rsidRPr="00E631B0">
        <w:rPr>
          <w:rFonts w:asciiTheme="minorHAnsi" w:eastAsia="Calibri" w:hAnsiTheme="minorHAnsi"/>
          <w:szCs w:val="24"/>
        </w:rPr>
        <w:t>1 and 2</w:t>
      </w:r>
      <w:r w:rsidR="009F448D" w:rsidRPr="00E631B0">
        <w:rPr>
          <w:rFonts w:asciiTheme="minorHAnsi" w:eastAsia="Calibri" w:hAnsiTheme="minorHAnsi"/>
          <w:szCs w:val="24"/>
        </w:rPr>
        <w:t>)</w:t>
      </w:r>
      <w:r w:rsidR="00C015E6" w:rsidRPr="00E631B0">
        <w:rPr>
          <w:rFonts w:asciiTheme="minorHAnsi" w:eastAsia="Calibri" w:hAnsiTheme="minorHAnsi"/>
          <w:szCs w:val="24"/>
        </w:rPr>
        <w:t xml:space="preserve"> as identified in </w:t>
      </w:r>
      <w:r w:rsidR="00A24486" w:rsidRPr="00E631B0">
        <w:rPr>
          <w:rFonts w:asciiTheme="minorHAnsi" w:eastAsia="Calibri" w:hAnsiTheme="minorHAnsi"/>
          <w:szCs w:val="24"/>
        </w:rPr>
        <w:t xml:space="preserve">the </w:t>
      </w:r>
      <w:r w:rsidR="00A24486" w:rsidRPr="00E631B0">
        <w:rPr>
          <w:rFonts w:asciiTheme="minorHAnsi" w:eastAsia="Calibri" w:hAnsiTheme="minorHAnsi" w:cs="Times New Roman"/>
          <w:szCs w:val="24"/>
        </w:rPr>
        <w:t>December 2016 Analysis.</w:t>
      </w:r>
      <w:r w:rsidR="009F448D" w:rsidRPr="00E631B0">
        <w:rPr>
          <w:rFonts w:asciiTheme="minorHAnsi" w:eastAsia="Calibri" w:hAnsiTheme="minorHAnsi"/>
          <w:szCs w:val="24"/>
        </w:rPr>
        <w:t xml:space="preserve"> </w:t>
      </w:r>
    </w:p>
    <w:p w14:paraId="0C700877" w14:textId="77777777" w:rsidR="00C015E6" w:rsidRPr="00E631B0" w:rsidRDefault="001751C4" w:rsidP="003B0EC5">
      <w:pPr>
        <w:spacing w:line="240" w:lineRule="auto"/>
        <w:jc w:val="left"/>
        <w:rPr>
          <w:rFonts w:asciiTheme="minorHAnsi" w:eastAsia="Calibri" w:hAnsiTheme="minorHAnsi" w:cs="Times New Roman"/>
          <w:szCs w:val="24"/>
        </w:rPr>
      </w:pPr>
      <w:r w:rsidRPr="00E631B0">
        <w:rPr>
          <w:rFonts w:asciiTheme="minorHAnsi" w:eastAsia="Calibri" w:hAnsiTheme="minorHAnsi" w:cs="Times New Roman"/>
          <w:szCs w:val="24"/>
        </w:rPr>
        <w:t xml:space="preserve">The </w:t>
      </w:r>
      <w:r w:rsidRPr="00E631B0">
        <w:rPr>
          <w:rFonts w:asciiTheme="minorHAnsi" w:eastAsia="Calibri" w:hAnsiTheme="minorHAnsi"/>
          <w:szCs w:val="24"/>
        </w:rPr>
        <w:t>March 2017 Anal</w:t>
      </w:r>
      <w:r w:rsidR="00C015E6" w:rsidRPr="00E631B0">
        <w:rPr>
          <w:rFonts w:asciiTheme="minorHAnsi" w:eastAsia="Calibri" w:hAnsiTheme="minorHAnsi" w:cs="Times New Roman"/>
          <w:szCs w:val="24"/>
        </w:rPr>
        <w:t>ysis found</w:t>
      </w:r>
      <w:r w:rsidR="009F448D" w:rsidRPr="00E631B0">
        <w:rPr>
          <w:rFonts w:asciiTheme="minorHAnsi" w:eastAsia="Calibri" w:hAnsiTheme="minorHAnsi" w:cs="Times New Roman"/>
          <w:szCs w:val="24"/>
        </w:rPr>
        <w:t xml:space="preserve"> that </w:t>
      </w:r>
      <w:r w:rsidR="00C015E6" w:rsidRPr="00E631B0">
        <w:rPr>
          <w:rFonts w:asciiTheme="minorHAnsi" w:eastAsia="Calibri" w:hAnsiTheme="minorHAnsi" w:cs="Times New Roman"/>
          <w:szCs w:val="24"/>
        </w:rPr>
        <w:t>46.9 % of patients were in the ‘green’ group</w:t>
      </w:r>
      <w:r w:rsidR="009F448D" w:rsidRPr="00E631B0">
        <w:rPr>
          <w:rFonts w:asciiTheme="minorHAnsi" w:eastAsia="Calibri" w:hAnsiTheme="minorHAnsi" w:cs="Times New Roman"/>
          <w:szCs w:val="24"/>
        </w:rPr>
        <w:t xml:space="preserve"> described above</w:t>
      </w:r>
      <w:r w:rsidR="00C015E6" w:rsidRPr="00E631B0">
        <w:rPr>
          <w:rFonts w:asciiTheme="minorHAnsi" w:eastAsia="Calibri" w:hAnsiTheme="minorHAnsi" w:cs="Times New Roman"/>
          <w:szCs w:val="24"/>
        </w:rPr>
        <w:t>, 18.4% of patients were in the ‘red’ group</w:t>
      </w:r>
      <w:r w:rsidR="00D03579" w:rsidRPr="00E631B0">
        <w:rPr>
          <w:rFonts w:asciiTheme="minorHAnsi" w:eastAsia="Calibri" w:hAnsiTheme="minorHAnsi" w:cs="Times New Roman"/>
          <w:szCs w:val="24"/>
        </w:rPr>
        <w:t>,</w:t>
      </w:r>
      <w:r w:rsidR="00C015E6" w:rsidRPr="00E631B0">
        <w:rPr>
          <w:rFonts w:asciiTheme="minorHAnsi" w:eastAsia="Calibri" w:hAnsiTheme="minorHAnsi" w:cs="Times New Roman"/>
          <w:szCs w:val="24"/>
        </w:rPr>
        <w:t xml:space="preserve"> and 34.8% of patients were in the ‘orange’ group.</w:t>
      </w:r>
    </w:p>
    <w:p w14:paraId="41017A4A" w14:textId="707E3E4E" w:rsidR="00C015E6" w:rsidRPr="00E631B0" w:rsidRDefault="00C015E6" w:rsidP="003B0EC5">
      <w:pPr>
        <w:spacing w:line="240" w:lineRule="auto"/>
        <w:jc w:val="left"/>
        <w:rPr>
          <w:rFonts w:asciiTheme="minorHAnsi" w:hAnsiTheme="minorHAnsi" w:cs="Arial"/>
          <w:szCs w:val="24"/>
        </w:rPr>
      </w:pPr>
      <w:r w:rsidRPr="00E631B0">
        <w:rPr>
          <w:rFonts w:asciiTheme="minorHAnsi" w:hAnsiTheme="minorHAnsi" w:cs="Arial"/>
          <w:szCs w:val="24"/>
        </w:rPr>
        <w:t xml:space="preserve">Taking the results of the </w:t>
      </w:r>
      <w:r w:rsidR="001751C4" w:rsidRPr="00E631B0">
        <w:rPr>
          <w:rFonts w:asciiTheme="minorHAnsi" w:eastAsia="Calibri" w:hAnsiTheme="minorHAnsi"/>
          <w:szCs w:val="24"/>
        </w:rPr>
        <w:t xml:space="preserve">March 2017 </w:t>
      </w:r>
      <w:r w:rsidR="00236878" w:rsidRPr="00E631B0">
        <w:rPr>
          <w:rFonts w:asciiTheme="minorHAnsi" w:hAnsiTheme="minorHAnsi" w:cs="Arial"/>
          <w:szCs w:val="24"/>
        </w:rPr>
        <w:t>A</w:t>
      </w:r>
      <w:r w:rsidRPr="00E631B0">
        <w:rPr>
          <w:rFonts w:asciiTheme="minorHAnsi" w:hAnsiTheme="minorHAnsi" w:cs="Arial"/>
          <w:szCs w:val="24"/>
        </w:rPr>
        <w:t>nalysis into account, the Reference Group considered the estimate of ezetimibe use outside the PBS restriction</w:t>
      </w:r>
      <w:r w:rsidR="00D03579" w:rsidRPr="00E631B0">
        <w:rPr>
          <w:rFonts w:asciiTheme="minorHAnsi" w:hAnsiTheme="minorHAnsi" w:cs="Arial"/>
          <w:szCs w:val="24"/>
        </w:rPr>
        <w:t>s</w:t>
      </w:r>
      <w:r w:rsidRPr="00E631B0">
        <w:rPr>
          <w:rFonts w:asciiTheme="minorHAnsi" w:hAnsiTheme="minorHAnsi" w:cs="Arial"/>
          <w:szCs w:val="24"/>
        </w:rPr>
        <w:t xml:space="preserve"> would fall </w:t>
      </w:r>
      <w:r w:rsidR="009F448D" w:rsidRPr="00E631B0">
        <w:rPr>
          <w:rFonts w:asciiTheme="minorHAnsi" w:hAnsiTheme="minorHAnsi" w:cs="Arial"/>
          <w:szCs w:val="24"/>
        </w:rPr>
        <w:t xml:space="preserve">somewhere </w:t>
      </w:r>
      <w:r w:rsidRPr="00E631B0">
        <w:rPr>
          <w:rFonts w:asciiTheme="minorHAnsi" w:hAnsiTheme="minorHAnsi" w:cs="Arial"/>
          <w:szCs w:val="24"/>
        </w:rPr>
        <w:t>in the range of 18.4% - 53.</w:t>
      </w:r>
      <w:r w:rsidR="008B5CE2" w:rsidRPr="00E631B0">
        <w:rPr>
          <w:rFonts w:asciiTheme="minorHAnsi" w:hAnsiTheme="minorHAnsi" w:cs="Arial"/>
          <w:szCs w:val="24"/>
        </w:rPr>
        <w:t>2</w:t>
      </w:r>
      <w:r w:rsidRPr="00E631B0">
        <w:rPr>
          <w:rFonts w:asciiTheme="minorHAnsi" w:hAnsiTheme="minorHAnsi" w:cs="Arial"/>
          <w:szCs w:val="24"/>
        </w:rPr>
        <w:t>%</w:t>
      </w:r>
      <w:r w:rsidR="00D03579" w:rsidRPr="00E631B0">
        <w:rPr>
          <w:rFonts w:asciiTheme="minorHAnsi" w:hAnsiTheme="minorHAnsi" w:cs="Arial"/>
          <w:szCs w:val="24"/>
        </w:rPr>
        <w:t xml:space="preserve"> (</w:t>
      </w:r>
      <w:r w:rsidR="008B6065" w:rsidRPr="00E631B0">
        <w:rPr>
          <w:rFonts w:asciiTheme="minorHAnsi" w:hAnsiTheme="minorHAnsi" w:cs="Arial"/>
          <w:szCs w:val="24"/>
        </w:rPr>
        <w:t>i.e. the proportion</w:t>
      </w:r>
      <w:r w:rsidR="00226DBF" w:rsidRPr="00E631B0">
        <w:rPr>
          <w:rFonts w:asciiTheme="minorHAnsi" w:hAnsiTheme="minorHAnsi" w:cs="Arial"/>
          <w:szCs w:val="24"/>
        </w:rPr>
        <w:t>s</w:t>
      </w:r>
      <w:r w:rsidR="008B6065" w:rsidRPr="00E631B0">
        <w:rPr>
          <w:rFonts w:asciiTheme="minorHAnsi" w:hAnsiTheme="minorHAnsi" w:cs="Arial"/>
          <w:szCs w:val="24"/>
        </w:rPr>
        <w:t xml:space="preserve"> of use categorised as red and orange</w:t>
      </w:r>
      <w:r w:rsidR="00D03579" w:rsidRPr="00E631B0">
        <w:rPr>
          <w:rFonts w:asciiTheme="minorHAnsi" w:hAnsiTheme="minorHAnsi" w:cs="Arial"/>
          <w:szCs w:val="24"/>
        </w:rPr>
        <w:t>)</w:t>
      </w:r>
      <w:r w:rsidR="008B6065" w:rsidRPr="00E631B0">
        <w:rPr>
          <w:rFonts w:asciiTheme="minorHAnsi" w:hAnsiTheme="minorHAnsi" w:cs="Arial"/>
          <w:szCs w:val="24"/>
        </w:rPr>
        <w:t xml:space="preserve">. </w:t>
      </w:r>
      <w:r w:rsidR="00B05EBA" w:rsidRPr="00E631B0">
        <w:rPr>
          <w:rFonts w:asciiTheme="minorHAnsi" w:hAnsiTheme="minorHAnsi"/>
          <w:szCs w:val="24"/>
        </w:rPr>
        <w:t>The Reference Group acknowledge</w:t>
      </w:r>
      <w:r w:rsidR="00D03579" w:rsidRPr="00E631B0">
        <w:rPr>
          <w:rFonts w:asciiTheme="minorHAnsi" w:hAnsiTheme="minorHAnsi"/>
          <w:szCs w:val="24"/>
        </w:rPr>
        <w:t>d</w:t>
      </w:r>
      <w:r w:rsidR="00B05EBA" w:rsidRPr="00E631B0">
        <w:rPr>
          <w:rFonts w:asciiTheme="minorHAnsi" w:hAnsiTheme="minorHAnsi"/>
          <w:szCs w:val="24"/>
        </w:rPr>
        <w:t xml:space="preserve"> that this </w:t>
      </w:r>
      <w:r w:rsidR="008B6065" w:rsidRPr="00E631B0">
        <w:rPr>
          <w:rFonts w:asciiTheme="minorHAnsi" w:hAnsiTheme="minorHAnsi"/>
          <w:szCs w:val="24"/>
        </w:rPr>
        <w:t xml:space="preserve">is </w:t>
      </w:r>
      <w:r w:rsidR="00D03579" w:rsidRPr="00E631B0">
        <w:rPr>
          <w:rFonts w:asciiTheme="minorHAnsi" w:hAnsiTheme="minorHAnsi"/>
          <w:szCs w:val="24"/>
        </w:rPr>
        <w:t>a</w:t>
      </w:r>
      <w:r w:rsidR="00B05EBA" w:rsidRPr="00E631B0">
        <w:rPr>
          <w:rFonts w:asciiTheme="minorHAnsi" w:hAnsiTheme="minorHAnsi"/>
          <w:szCs w:val="24"/>
        </w:rPr>
        <w:t xml:space="preserve"> best estimate due to the limitations of </w:t>
      </w:r>
      <w:r w:rsidR="008B6065" w:rsidRPr="00E631B0">
        <w:rPr>
          <w:rFonts w:asciiTheme="minorHAnsi" w:hAnsiTheme="minorHAnsi"/>
          <w:szCs w:val="24"/>
        </w:rPr>
        <w:t>PBS</w:t>
      </w:r>
      <w:r w:rsidR="00B05EBA" w:rsidRPr="00E631B0">
        <w:rPr>
          <w:rFonts w:asciiTheme="minorHAnsi" w:hAnsiTheme="minorHAnsi"/>
          <w:szCs w:val="24"/>
        </w:rPr>
        <w:t xml:space="preserve"> data</w:t>
      </w:r>
      <w:r w:rsidR="008B6065" w:rsidRPr="00E631B0">
        <w:rPr>
          <w:rFonts w:asciiTheme="minorHAnsi" w:hAnsiTheme="minorHAnsi"/>
          <w:szCs w:val="24"/>
        </w:rPr>
        <w:t xml:space="preserve">. Ezetimibe </w:t>
      </w:r>
      <w:r w:rsidR="00B05EBA" w:rsidRPr="00E631B0">
        <w:rPr>
          <w:rFonts w:asciiTheme="minorHAnsi" w:hAnsiTheme="minorHAnsi"/>
          <w:szCs w:val="24"/>
        </w:rPr>
        <w:t>use that does not appear to comply with the PBS restriction</w:t>
      </w:r>
      <w:r w:rsidR="00D03579" w:rsidRPr="00E631B0">
        <w:rPr>
          <w:rFonts w:asciiTheme="minorHAnsi" w:hAnsiTheme="minorHAnsi"/>
          <w:szCs w:val="24"/>
        </w:rPr>
        <w:t>s</w:t>
      </w:r>
      <w:r w:rsidR="00B05EBA" w:rsidRPr="00E631B0">
        <w:rPr>
          <w:rFonts w:asciiTheme="minorHAnsi" w:hAnsiTheme="minorHAnsi"/>
          <w:szCs w:val="24"/>
        </w:rPr>
        <w:t xml:space="preserve"> may </w:t>
      </w:r>
      <w:r w:rsidR="008B6065" w:rsidRPr="00E631B0">
        <w:rPr>
          <w:rFonts w:asciiTheme="minorHAnsi" w:hAnsiTheme="minorHAnsi"/>
          <w:szCs w:val="24"/>
        </w:rPr>
        <w:t xml:space="preserve">in some cases </w:t>
      </w:r>
      <w:r w:rsidR="00B05EBA" w:rsidRPr="00E631B0">
        <w:rPr>
          <w:rFonts w:asciiTheme="minorHAnsi" w:hAnsiTheme="minorHAnsi"/>
          <w:szCs w:val="24"/>
        </w:rPr>
        <w:t>be clinically appropriate</w:t>
      </w:r>
      <w:r w:rsidR="00D03579" w:rsidRPr="00E631B0">
        <w:rPr>
          <w:rFonts w:asciiTheme="minorHAnsi" w:hAnsiTheme="minorHAnsi"/>
          <w:szCs w:val="24"/>
        </w:rPr>
        <w:t>;</w:t>
      </w:r>
      <w:r w:rsidR="00B05EBA" w:rsidRPr="00E631B0">
        <w:rPr>
          <w:rFonts w:asciiTheme="minorHAnsi" w:hAnsiTheme="minorHAnsi"/>
          <w:szCs w:val="24"/>
        </w:rPr>
        <w:t xml:space="preserve"> however</w:t>
      </w:r>
      <w:r w:rsidR="00D03579" w:rsidRPr="00E631B0">
        <w:rPr>
          <w:rFonts w:asciiTheme="minorHAnsi" w:hAnsiTheme="minorHAnsi"/>
          <w:szCs w:val="24"/>
        </w:rPr>
        <w:t>,</w:t>
      </w:r>
      <w:r w:rsidR="00B05EBA" w:rsidRPr="00E631B0">
        <w:rPr>
          <w:rFonts w:asciiTheme="minorHAnsi" w:hAnsiTheme="minorHAnsi"/>
          <w:szCs w:val="24"/>
        </w:rPr>
        <w:t xml:space="preserve"> </w:t>
      </w:r>
      <w:r w:rsidR="008B6065" w:rsidRPr="00E631B0">
        <w:rPr>
          <w:rFonts w:asciiTheme="minorHAnsi" w:hAnsiTheme="minorHAnsi"/>
          <w:szCs w:val="24"/>
        </w:rPr>
        <w:t>is unlikely to be cost</w:t>
      </w:r>
      <w:r w:rsidR="00216B38" w:rsidRPr="00E631B0">
        <w:rPr>
          <w:rFonts w:asciiTheme="minorHAnsi" w:hAnsiTheme="minorHAnsi"/>
          <w:szCs w:val="24"/>
        </w:rPr>
        <w:t>-</w:t>
      </w:r>
      <w:r w:rsidR="008B6065" w:rsidRPr="00E631B0">
        <w:rPr>
          <w:rFonts w:asciiTheme="minorHAnsi" w:hAnsiTheme="minorHAnsi"/>
          <w:szCs w:val="24"/>
        </w:rPr>
        <w:t>effective.</w:t>
      </w:r>
      <w:r w:rsidR="00B05EBA" w:rsidRPr="00E631B0">
        <w:rPr>
          <w:rFonts w:asciiTheme="minorHAnsi" w:hAnsiTheme="minorHAnsi"/>
          <w:szCs w:val="24"/>
        </w:rPr>
        <w:t xml:space="preserve"> </w:t>
      </w:r>
    </w:p>
    <w:p w14:paraId="70BD34E3" w14:textId="77777777" w:rsidR="00C015E6" w:rsidRPr="00E631B0" w:rsidRDefault="00C015E6" w:rsidP="003B0EC5">
      <w:pPr>
        <w:spacing w:after="0" w:line="240" w:lineRule="auto"/>
        <w:jc w:val="left"/>
        <w:rPr>
          <w:rFonts w:asciiTheme="minorHAnsi" w:eastAsia="Calibri" w:hAnsiTheme="minorHAnsi" w:cs="Times New Roman"/>
          <w:szCs w:val="24"/>
        </w:rPr>
      </w:pPr>
      <w:r w:rsidRPr="00E631B0">
        <w:rPr>
          <w:rFonts w:asciiTheme="minorHAnsi" w:hAnsiTheme="minorHAnsi" w:cs="Arial"/>
          <w:szCs w:val="24"/>
        </w:rPr>
        <w:t>Th</w:t>
      </w:r>
      <w:r w:rsidR="00394829" w:rsidRPr="00E631B0">
        <w:rPr>
          <w:rFonts w:asciiTheme="minorHAnsi" w:hAnsiTheme="minorHAnsi" w:cs="Arial"/>
          <w:szCs w:val="24"/>
        </w:rPr>
        <w:t xml:space="preserve">e </w:t>
      </w:r>
      <w:r w:rsidR="00205FE2" w:rsidRPr="00E631B0">
        <w:rPr>
          <w:rFonts w:asciiTheme="minorHAnsi" w:hAnsiTheme="minorHAnsi" w:cs="Arial"/>
          <w:szCs w:val="24"/>
        </w:rPr>
        <w:t>R</w:t>
      </w:r>
      <w:r w:rsidR="00394829" w:rsidRPr="00E631B0">
        <w:rPr>
          <w:rFonts w:asciiTheme="minorHAnsi" w:hAnsiTheme="minorHAnsi" w:cs="Arial"/>
          <w:szCs w:val="24"/>
        </w:rPr>
        <w:t xml:space="preserve">eference </w:t>
      </w:r>
      <w:r w:rsidR="00205FE2" w:rsidRPr="00E631B0">
        <w:rPr>
          <w:rFonts w:asciiTheme="minorHAnsi" w:hAnsiTheme="minorHAnsi" w:cs="Arial"/>
          <w:szCs w:val="24"/>
        </w:rPr>
        <w:t>G</w:t>
      </w:r>
      <w:r w:rsidR="00394829" w:rsidRPr="00E631B0">
        <w:rPr>
          <w:rFonts w:asciiTheme="minorHAnsi" w:hAnsiTheme="minorHAnsi" w:cs="Arial"/>
          <w:szCs w:val="24"/>
        </w:rPr>
        <w:t xml:space="preserve">roup </w:t>
      </w:r>
      <w:r w:rsidRPr="00E631B0">
        <w:rPr>
          <w:rFonts w:asciiTheme="minorHAnsi" w:hAnsiTheme="minorHAnsi" w:cs="Arial"/>
          <w:szCs w:val="24"/>
        </w:rPr>
        <w:t>also suggest</w:t>
      </w:r>
      <w:r w:rsidR="00394829" w:rsidRPr="00E631B0">
        <w:rPr>
          <w:rFonts w:asciiTheme="minorHAnsi" w:hAnsiTheme="minorHAnsi" w:cs="Arial"/>
          <w:szCs w:val="24"/>
        </w:rPr>
        <w:t>ed</w:t>
      </w:r>
      <w:r w:rsidRPr="00E631B0">
        <w:rPr>
          <w:rFonts w:asciiTheme="minorHAnsi" w:hAnsiTheme="minorHAnsi" w:cs="Arial"/>
          <w:szCs w:val="24"/>
        </w:rPr>
        <w:t xml:space="preserve"> that for the 18.4</w:t>
      </w:r>
      <w:r w:rsidR="00C53A52" w:rsidRPr="00E631B0">
        <w:rPr>
          <w:rFonts w:asciiTheme="minorHAnsi" w:hAnsiTheme="minorHAnsi" w:cs="Arial"/>
          <w:szCs w:val="24"/>
        </w:rPr>
        <w:t>%</w:t>
      </w:r>
      <w:r w:rsidRPr="00E631B0">
        <w:rPr>
          <w:rFonts w:asciiTheme="minorHAnsi" w:hAnsiTheme="minorHAnsi" w:cs="Arial"/>
          <w:szCs w:val="24"/>
        </w:rPr>
        <w:t xml:space="preserve"> – 53.</w:t>
      </w:r>
      <w:r w:rsidR="00424CB2" w:rsidRPr="00E631B0">
        <w:rPr>
          <w:rFonts w:asciiTheme="minorHAnsi" w:hAnsiTheme="minorHAnsi" w:cs="Arial"/>
          <w:szCs w:val="24"/>
        </w:rPr>
        <w:t>2</w:t>
      </w:r>
      <w:r w:rsidRPr="00E631B0">
        <w:rPr>
          <w:rFonts w:asciiTheme="minorHAnsi" w:hAnsiTheme="minorHAnsi" w:cs="Arial"/>
          <w:szCs w:val="24"/>
        </w:rPr>
        <w:t xml:space="preserve"> % of patients who use ezetimibe outside the PBS restriction, placebo is not the appropriate comparator for a cost</w:t>
      </w:r>
      <w:r w:rsidR="00216B38" w:rsidRPr="00E631B0">
        <w:rPr>
          <w:rFonts w:asciiTheme="minorHAnsi" w:hAnsiTheme="minorHAnsi" w:cs="Arial"/>
          <w:szCs w:val="24"/>
        </w:rPr>
        <w:t>-</w:t>
      </w:r>
      <w:r w:rsidRPr="00E631B0">
        <w:rPr>
          <w:rFonts w:asciiTheme="minorHAnsi" w:hAnsiTheme="minorHAnsi" w:cs="Arial"/>
          <w:szCs w:val="24"/>
        </w:rPr>
        <w:t xml:space="preserve">effective analysis. The comparator for this group of patients </w:t>
      </w:r>
      <w:r w:rsidR="00AD1BBB" w:rsidRPr="00E631B0">
        <w:rPr>
          <w:rFonts w:asciiTheme="minorHAnsi" w:hAnsiTheme="minorHAnsi" w:cs="Arial"/>
          <w:szCs w:val="24"/>
        </w:rPr>
        <w:t xml:space="preserve">should be </w:t>
      </w:r>
      <w:r w:rsidR="00394829" w:rsidRPr="00E631B0">
        <w:rPr>
          <w:rFonts w:asciiTheme="minorHAnsi" w:hAnsiTheme="minorHAnsi" w:cs="Arial"/>
          <w:szCs w:val="24"/>
        </w:rPr>
        <w:t xml:space="preserve">a higher </w:t>
      </w:r>
      <w:r w:rsidRPr="00E631B0">
        <w:rPr>
          <w:rFonts w:asciiTheme="minorHAnsi" w:hAnsiTheme="minorHAnsi" w:cs="Arial"/>
          <w:szCs w:val="24"/>
        </w:rPr>
        <w:t>dose of statin</w:t>
      </w:r>
      <w:r w:rsidR="00231714" w:rsidRPr="00E631B0">
        <w:rPr>
          <w:rFonts w:asciiTheme="minorHAnsi" w:hAnsiTheme="minorHAnsi" w:cs="Arial"/>
          <w:szCs w:val="24"/>
        </w:rPr>
        <w:t xml:space="preserve"> or switching to a higher potency statin</w:t>
      </w:r>
      <w:r w:rsidR="001F4238" w:rsidRPr="00E631B0">
        <w:rPr>
          <w:rFonts w:asciiTheme="minorHAnsi" w:hAnsiTheme="minorHAnsi" w:cs="Arial"/>
          <w:szCs w:val="24"/>
        </w:rPr>
        <w:t>.</w:t>
      </w:r>
    </w:p>
    <w:p w14:paraId="25A2D0C4" w14:textId="2585E6B6" w:rsidR="0000686B" w:rsidRPr="00E631B0" w:rsidRDefault="00351843" w:rsidP="003B0EC5">
      <w:pPr>
        <w:pStyle w:val="Heading3"/>
        <w:jc w:val="left"/>
      </w:pPr>
      <w:bookmarkStart w:id="20" w:name="_Toc500510188"/>
      <w:r w:rsidRPr="00E631B0">
        <w:t>Review a</w:t>
      </w:r>
      <w:r w:rsidR="0000686B" w:rsidRPr="00E631B0">
        <w:t>dvice to the PBAC</w:t>
      </w:r>
      <w:bookmarkEnd w:id="20"/>
      <w:r w:rsidR="0000686B" w:rsidRPr="00E631B0">
        <w:t xml:space="preserve"> </w:t>
      </w:r>
    </w:p>
    <w:p w14:paraId="2D5A8704" w14:textId="26DC4E98" w:rsidR="00D03579" w:rsidRPr="00E631B0" w:rsidRDefault="008E57F6" w:rsidP="008600B5">
      <w:pPr>
        <w:pStyle w:val="ListParagraph"/>
        <w:numPr>
          <w:ilvl w:val="0"/>
          <w:numId w:val="32"/>
        </w:numPr>
        <w:spacing w:after="120" w:line="240" w:lineRule="auto"/>
        <w:ind w:left="360"/>
        <w:contextualSpacing w:val="0"/>
        <w:jc w:val="left"/>
        <w:rPr>
          <w:rFonts w:asciiTheme="minorHAnsi" w:hAnsiTheme="minorHAnsi" w:cs="Arial"/>
          <w:szCs w:val="24"/>
        </w:rPr>
      </w:pPr>
      <w:r w:rsidRPr="00E631B0">
        <w:rPr>
          <w:rFonts w:asciiTheme="minorHAnsi" w:eastAsia="Calibri" w:hAnsiTheme="minorHAnsi" w:cs="Times New Roman"/>
          <w:szCs w:val="24"/>
        </w:rPr>
        <w:t>There is a need for greater education of prescribers on the importance of adherence to the PBS restrictions to promote optimal and cost</w:t>
      </w:r>
      <w:r w:rsidR="00216B38" w:rsidRPr="00E631B0">
        <w:rPr>
          <w:rFonts w:asciiTheme="minorHAnsi" w:eastAsia="Calibri" w:hAnsiTheme="minorHAnsi" w:cs="Times New Roman"/>
          <w:szCs w:val="24"/>
        </w:rPr>
        <w:t>-</w:t>
      </w:r>
      <w:r w:rsidRPr="00E631B0">
        <w:rPr>
          <w:rFonts w:asciiTheme="minorHAnsi" w:eastAsia="Calibri" w:hAnsiTheme="minorHAnsi" w:cs="Times New Roman"/>
          <w:szCs w:val="24"/>
        </w:rPr>
        <w:t xml:space="preserve">effective use of subsidised LLT. </w:t>
      </w:r>
      <w:r w:rsidRPr="00E631B0">
        <w:rPr>
          <w:rFonts w:asciiTheme="minorHAnsi" w:hAnsiTheme="minorHAnsi" w:cs="Arial"/>
          <w:szCs w:val="24"/>
        </w:rPr>
        <w:t xml:space="preserve">Results of </w:t>
      </w:r>
      <w:r w:rsidR="001751C4" w:rsidRPr="00E631B0">
        <w:rPr>
          <w:rFonts w:asciiTheme="minorHAnsi" w:hAnsiTheme="minorHAnsi" w:cs="Arial"/>
          <w:szCs w:val="24"/>
        </w:rPr>
        <w:t xml:space="preserve">the March 2017 </w:t>
      </w:r>
      <w:r w:rsidRPr="00E631B0">
        <w:rPr>
          <w:rFonts w:asciiTheme="minorHAnsi" w:hAnsiTheme="minorHAnsi" w:cs="Arial"/>
          <w:szCs w:val="24"/>
        </w:rPr>
        <w:t xml:space="preserve">Analysis indicate the estimate of ezetimibe use that is not consistent with the PBS restriction, would fall somewhere in the range of 18.4% - 53.2%. </w:t>
      </w:r>
    </w:p>
    <w:p w14:paraId="04FA6E43" w14:textId="77777777" w:rsidR="008E57F6" w:rsidRPr="00E631B0" w:rsidRDefault="008E57F6" w:rsidP="003B0EC5">
      <w:pPr>
        <w:pStyle w:val="ListParagraph"/>
        <w:spacing w:after="120" w:line="240" w:lineRule="auto"/>
        <w:ind w:left="360"/>
        <w:contextualSpacing w:val="0"/>
        <w:jc w:val="left"/>
        <w:rPr>
          <w:rFonts w:asciiTheme="minorHAnsi" w:hAnsiTheme="minorHAnsi" w:cs="Arial"/>
          <w:szCs w:val="24"/>
        </w:rPr>
      </w:pPr>
      <w:r w:rsidRPr="00E631B0">
        <w:rPr>
          <w:rFonts w:asciiTheme="minorHAnsi" w:hAnsiTheme="minorHAnsi" w:cs="Arial"/>
          <w:szCs w:val="24"/>
        </w:rPr>
        <w:t>The PBAC may wish to recommend a price reduction for ezetimibe, for a proportion of use within the range of 18.4% - 53.2% where the appropriate comparator should be higher dose statin or switching to a higher potency statin.</w:t>
      </w:r>
    </w:p>
    <w:p w14:paraId="1664B099" w14:textId="73F53D4C" w:rsidR="00D03579" w:rsidRPr="00E631B0" w:rsidRDefault="00A24486" w:rsidP="008600B5">
      <w:pPr>
        <w:pStyle w:val="ListParagraph"/>
        <w:numPr>
          <w:ilvl w:val="0"/>
          <w:numId w:val="32"/>
        </w:numPr>
        <w:spacing w:before="120"/>
        <w:ind w:left="426" w:hanging="426"/>
        <w:jc w:val="left"/>
        <w:rPr>
          <w:rFonts w:asciiTheme="minorHAnsi" w:eastAsia="Calibri" w:hAnsiTheme="minorHAnsi" w:cs="Times New Roman"/>
          <w:szCs w:val="24"/>
        </w:rPr>
      </w:pPr>
      <w:r w:rsidRPr="00E631B0">
        <w:rPr>
          <w:rFonts w:asciiTheme="minorHAnsi" w:eastAsia="Calibri" w:hAnsiTheme="minorHAnsi" w:cs="Times New Roman"/>
          <w:szCs w:val="24"/>
        </w:rPr>
        <w:t xml:space="preserve">The December 2016 Analysis </w:t>
      </w:r>
      <w:r w:rsidR="008E57F6" w:rsidRPr="00E631B0">
        <w:rPr>
          <w:rFonts w:asciiTheme="minorHAnsi" w:eastAsia="Calibri" w:hAnsiTheme="minorHAnsi" w:cs="Times New Roman"/>
          <w:szCs w:val="24"/>
        </w:rPr>
        <w:t>of PBS data suggests</w:t>
      </w:r>
      <w:r w:rsidR="00136A5C" w:rsidRPr="00E631B0">
        <w:rPr>
          <w:rFonts w:asciiTheme="minorHAnsi" w:eastAsia="Calibri" w:hAnsiTheme="minorHAnsi" w:cs="Times New Roman"/>
          <w:szCs w:val="24"/>
        </w:rPr>
        <w:t xml:space="preserve"> </w:t>
      </w:r>
      <w:r w:rsidR="0000686B" w:rsidRPr="00E631B0">
        <w:rPr>
          <w:rFonts w:asciiTheme="minorHAnsi" w:eastAsia="Calibri" w:hAnsiTheme="minorHAnsi" w:cs="Times New Roman"/>
          <w:szCs w:val="24"/>
        </w:rPr>
        <w:t>that</w:t>
      </w:r>
      <w:r w:rsidR="00A058EC" w:rsidRPr="00E631B0">
        <w:rPr>
          <w:rFonts w:asciiTheme="minorHAnsi" w:eastAsia="Calibri" w:hAnsiTheme="minorHAnsi" w:cs="Times New Roman"/>
          <w:szCs w:val="24"/>
        </w:rPr>
        <w:t xml:space="preserve"> poor persistence</w:t>
      </w:r>
      <w:r w:rsidR="0000686B" w:rsidRPr="00E631B0">
        <w:rPr>
          <w:rFonts w:asciiTheme="minorHAnsi" w:eastAsia="Calibri" w:hAnsiTheme="minorHAnsi" w:cs="Times New Roman"/>
          <w:szCs w:val="24"/>
        </w:rPr>
        <w:t xml:space="preserve"> is an issue when patients are comm</w:t>
      </w:r>
      <w:r w:rsidR="008B6065" w:rsidRPr="00E631B0">
        <w:rPr>
          <w:rFonts w:asciiTheme="minorHAnsi" w:eastAsia="Calibri" w:hAnsiTheme="minorHAnsi" w:cs="Times New Roman"/>
          <w:szCs w:val="24"/>
        </w:rPr>
        <w:t>encing or recommencing LLT.</w:t>
      </w:r>
      <w:r w:rsidR="00136A5C" w:rsidRPr="00E631B0">
        <w:rPr>
          <w:rFonts w:asciiTheme="minorHAnsi" w:eastAsia="Calibri" w:hAnsiTheme="minorHAnsi" w:cs="Times New Roman"/>
          <w:szCs w:val="24"/>
        </w:rPr>
        <w:t xml:space="preserve"> The literature also suggests p</w:t>
      </w:r>
      <w:r w:rsidR="00A058EC" w:rsidRPr="00E631B0">
        <w:rPr>
          <w:rFonts w:asciiTheme="minorHAnsi" w:eastAsia="Calibri" w:hAnsiTheme="minorHAnsi" w:cs="Times New Roman"/>
          <w:szCs w:val="24"/>
        </w:rPr>
        <w:t>oor adherence and persistence is a concern</w:t>
      </w:r>
      <w:r w:rsidR="003B5FC4" w:rsidRPr="00E631B0">
        <w:rPr>
          <w:rFonts w:asciiTheme="minorHAnsi" w:eastAsia="Calibri" w:hAnsiTheme="minorHAnsi" w:cs="Times New Roman"/>
          <w:szCs w:val="24"/>
        </w:rPr>
        <w:t>,</w:t>
      </w:r>
      <w:r w:rsidR="00A058EC" w:rsidRPr="00E631B0">
        <w:rPr>
          <w:rFonts w:asciiTheme="minorHAnsi" w:eastAsia="Calibri" w:hAnsiTheme="minorHAnsi" w:cs="Times New Roman"/>
          <w:szCs w:val="24"/>
        </w:rPr>
        <w:t xml:space="preserve"> </w:t>
      </w:r>
      <w:r w:rsidR="00136A5C" w:rsidRPr="00E631B0">
        <w:rPr>
          <w:rFonts w:asciiTheme="minorHAnsi" w:eastAsia="Calibri" w:hAnsiTheme="minorHAnsi" w:cs="Times New Roman"/>
          <w:szCs w:val="24"/>
        </w:rPr>
        <w:t>as</w:t>
      </w:r>
      <w:r w:rsidR="0000686B" w:rsidRPr="00E631B0">
        <w:rPr>
          <w:rFonts w:asciiTheme="minorHAnsi" w:eastAsia="Calibri" w:hAnsiTheme="minorHAnsi" w:cs="Times New Roman"/>
          <w:szCs w:val="24"/>
        </w:rPr>
        <w:t xml:space="preserve"> patients </w:t>
      </w:r>
      <w:r w:rsidR="00136A5C" w:rsidRPr="00E631B0">
        <w:rPr>
          <w:rFonts w:asciiTheme="minorHAnsi" w:eastAsia="Calibri" w:hAnsiTheme="minorHAnsi" w:cs="Times New Roman"/>
          <w:szCs w:val="24"/>
        </w:rPr>
        <w:t xml:space="preserve">who are </w:t>
      </w:r>
      <w:r w:rsidR="0000686B" w:rsidRPr="00E631B0">
        <w:rPr>
          <w:rFonts w:asciiTheme="minorHAnsi" w:eastAsia="Calibri" w:hAnsiTheme="minorHAnsi" w:cs="Times New Roman"/>
          <w:szCs w:val="24"/>
        </w:rPr>
        <w:t>less adherent to statin therapy have a</w:t>
      </w:r>
      <w:r w:rsidR="00A058EC" w:rsidRPr="00E631B0">
        <w:rPr>
          <w:rFonts w:asciiTheme="minorHAnsi" w:eastAsia="Calibri" w:hAnsiTheme="minorHAnsi" w:cs="Times New Roman"/>
          <w:szCs w:val="24"/>
        </w:rPr>
        <w:t xml:space="preserve"> </w:t>
      </w:r>
      <w:r w:rsidR="00B05EBA" w:rsidRPr="00E631B0">
        <w:rPr>
          <w:rFonts w:asciiTheme="minorHAnsi" w:eastAsia="Calibri" w:hAnsiTheme="minorHAnsi" w:cs="Times New Roman"/>
          <w:szCs w:val="24"/>
        </w:rPr>
        <w:t>significantly</w:t>
      </w:r>
      <w:r w:rsidR="0000686B" w:rsidRPr="00E631B0">
        <w:rPr>
          <w:rFonts w:asciiTheme="minorHAnsi" w:eastAsia="Calibri" w:hAnsiTheme="minorHAnsi" w:cs="Times New Roman"/>
          <w:szCs w:val="24"/>
        </w:rPr>
        <w:t xml:space="preserve"> increase</w:t>
      </w:r>
      <w:r w:rsidR="00B05EBA" w:rsidRPr="00E631B0">
        <w:rPr>
          <w:rFonts w:asciiTheme="minorHAnsi" w:eastAsia="Calibri" w:hAnsiTheme="minorHAnsi" w:cs="Times New Roman"/>
          <w:szCs w:val="24"/>
        </w:rPr>
        <w:t>d risk of death</w:t>
      </w:r>
      <w:r w:rsidR="0000686B" w:rsidRPr="00E631B0">
        <w:rPr>
          <w:rFonts w:asciiTheme="minorHAnsi" w:eastAsia="Calibri" w:hAnsiTheme="minorHAnsi" w:cs="Times New Roman"/>
          <w:szCs w:val="24"/>
        </w:rPr>
        <w:t xml:space="preserve"> compared </w:t>
      </w:r>
      <w:r w:rsidR="00130DC0" w:rsidRPr="00E631B0">
        <w:rPr>
          <w:rFonts w:asciiTheme="minorHAnsi" w:eastAsia="Calibri" w:hAnsiTheme="minorHAnsi" w:cs="Times New Roman"/>
          <w:szCs w:val="24"/>
        </w:rPr>
        <w:t>to</w:t>
      </w:r>
      <w:r w:rsidR="00B05EBA" w:rsidRPr="00E631B0">
        <w:rPr>
          <w:rFonts w:asciiTheme="minorHAnsi" w:eastAsia="Calibri" w:hAnsiTheme="minorHAnsi" w:cs="Times New Roman"/>
          <w:szCs w:val="24"/>
        </w:rPr>
        <w:t xml:space="preserve"> those who are</w:t>
      </w:r>
      <w:r w:rsidR="0000686B" w:rsidRPr="00E631B0">
        <w:rPr>
          <w:rFonts w:asciiTheme="minorHAnsi" w:eastAsia="Calibri" w:hAnsiTheme="minorHAnsi" w:cs="Times New Roman"/>
          <w:szCs w:val="24"/>
        </w:rPr>
        <w:t xml:space="preserve"> more adherent </w:t>
      </w:r>
      <w:r w:rsidR="00B05EBA" w:rsidRPr="00E631B0">
        <w:rPr>
          <w:rFonts w:asciiTheme="minorHAnsi" w:eastAsia="Calibri" w:hAnsiTheme="minorHAnsi" w:cs="Times New Roman"/>
          <w:szCs w:val="24"/>
        </w:rPr>
        <w:t>to statins</w:t>
      </w:r>
      <w:r w:rsidR="0000686B" w:rsidRPr="00E631B0">
        <w:rPr>
          <w:rFonts w:asciiTheme="minorHAnsi" w:eastAsia="Calibri" w:hAnsiTheme="minorHAnsi" w:cs="Times New Roman"/>
          <w:szCs w:val="24"/>
        </w:rPr>
        <w:t xml:space="preserve">. The Reference Group considered this is a </w:t>
      </w:r>
      <w:r w:rsidR="00D03579" w:rsidRPr="00E631B0">
        <w:rPr>
          <w:rFonts w:asciiTheme="minorHAnsi" w:eastAsia="Calibri" w:hAnsiTheme="minorHAnsi" w:cs="Times New Roman"/>
          <w:szCs w:val="24"/>
        </w:rPr>
        <w:t>q</w:t>
      </w:r>
      <w:r w:rsidR="0000686B" w:rsidRPr="00E631B0">
        <w:rPr>
          <w:rFonts w:asciiTheme="minorHAnsi" w:eastAsia="Calibri" w:hAnsiTheme="minorHAnsi" w:cs="Times New Roman"/>
          <w:szCs w:val="24"/>
        </w:rPr>
        <w:t xml:space="preserve">uality </w:t>
      </w:r>
      <w:r w:rsidR="00D03579" w:rsidRPr="00E631B0">
        <w:rPr>
          <w:rFonts w:asciiTheme="minorHAnsi" w:eastAsia="Calibri" w:hAnsiTheme="minorHAnsi" w:cs="Times New Roman"/>
          <w:szCs w:val="24"/>
        </w:rPr>
        <w:t>u</w:t>
      </w:r>
      <w:r w:rsidR="0000686B" w:rsidRPr="00E631B0">
        <w:rPr>
          <w:rFonts w:asciiTheme="minorHAnsi" w:eastAsia="Calibri" w:hAnsiTheme="minorHAnsi" w:cs="Times New Roman"/>
          <w:szCs w:val="24"/>
        </w:rPr>
        <w:t xml:space="preserve">se of </w:t>
      </w:r>
      <w:r w:rsidR="00D03579" w:rsidRPr="00E631B0">
        <w:rPr>
          <w:rFonts w:asciiTheme="minorHAnsi" w:eastAsia="Calibri" w:hAnsiTheme="minorHAnsi" w:cs="Times New Roman"/>
          <w:szCs w:val="24"/>
        </w:rPr>
        <w:t>m</w:t>
      </w:r>
      <w:r w:rsidR="0000686B" w:rsidRPr="00E631B0">
        <w:rPr>
          <w:rFonts w:asciiTheme="minorHAnsi" w:eastAsia="Calibri" w:hAnsiTheme="minorHAnsi" w:cs="Times New Roman"/>
          <w:szCs w:val="24"/>
        </w:rPr>
        <w:t>edicines issue which could potentially be addressed through</w:t>
      </w:r>
      <w:r w:rsidR="002054EB" w:rsidRPr="00E631B0">
        <w:rPr>
          <w:rFonts w:asciiTheme="minorHAnsi" w:eastAsia="Calibri" w:hAnsiTheme="minorHAnsi" w:cs="Times New Roman"/>
          <w:szCs w:val="24"/>
        </w:rPr>
        <w:t xml:space="preserve"> both prescriber and patient</w:t>
      </w:r>
      <w:r w:rsidR="0000686B" w:rsidRPr="00E631B0">
        <w:rPr>
          <w:rFonts w:asciiTheme="minorHAnsi" w:eastAsia="Calibri" w:hAnsiTheme="minorHAnsi" w:cs="Times New Roman"/>
          <w:szCs w:val="24"/>
        </w:rPr>
        <w:t xml:space="preserve"> education. </w:t>
      </w:r>
    </w:p>
    <w:p w14:paraId="7BC23FAB" w14:textId="2902171D" w:rsidR="00D03579" w:rsidRPr="00E631B0" w:rsidRDefault="0000686B" w:rsidP="003B0EC5">
      <w:pPr>
        <w:pStyle w:val="ListParagraph"/>
        <w:spacing w:before="120"/>
        <w:ind w:left="426"/>
        <w:jc w:val="left"/>
      </w:pPr>
      <w:r w:rsidRPr="00E631B0">
        <w:rPr>
          <w:rFonts w:asciiTheme="minorHAnsi" w:eastAsia="Calibri" w:hAnsiTheme="minorHAnsi" w:cs="Times New Roman"/>
          <w:szCs w:val="24"/>
        </w:rPr>
        <w:t xml:space="preserve">The PBAC may wish to request that </w:t>
      </w:r>
      <w:r w:rsidR="002054EB" w:rsidRPr="00E631B0">
        <w:rPr>
          <w:rFonts w:asciiTheme="minorHAnsi" w:eastAsia="Calibri" w:hAnsiTheme="minorHAnsi" w:cs="Times New Roman"/>
          <w:szCs w:val="24"/>
        </w:rPr>
        <w:t>future</w:t>
      </w:r>
      <w:r w:rsidRPr="00E631B0">
        <w:rPr>
          <w:rFonts w:asciiTheme="minorHAnsi" w:eastAsia="Calibri" w:hAnsiTheme="minorHAnsi" w:cs="Times New Roman"/>
          <w:szCs w:val="24"/>
        </w:rPr>
        <w:t xml:space="preserve"> education </w:t>
      </w:r>
      <w:r w:rsidR="002054EB" w:rsidRPr="00E631B0">
        <w:rPr>
          <w:rFonts w:asciiTheme="minorHAnsi" w:eastAsia="Calibri" w:hAnsiTheme="minorHAnsi" w:cs="Times New Roman"/>
          <w:szCs w:val="24"/>
        </w:rPr>
        <w:t>programs</w:t>
      </w:r>
      <w:r w:rsidRPr="00E631B0">
        <w:rPr>
          <w:rFonts w:asciiTheme="minorHAnsi" w:eastAsia="Calibri" w:hAnsiTheme="minorHAnsi" w:cs="Times New Roman"/>
          <w:szCs w:val="24"/>
        </w:rPr>
        <w:t xml:space="preserve"> reinforce and promote: </w:t>
      </w:r>
    </w:p>
    <w:p w14:paraId="7419F72B" w14:textId="77777777" w:rsidR="003B5FC4" w:rsidRPr="00E631B0" w:rsidRDefault="0000686B" w:rsidP="003B0EC5">
      <w:pPr>
        <w:pStyle w:val="ListParagraph"/>
        <w:numPr>
          <w:ilvl w:val="0"/>
          <w:numId w:val="5"/>
        </w:numPr>
        <w:spacing w:line="240" w:lineRule="auto"/>
        <w:jc w:val="left"/>
        <w:rPr>
          <w:rFonts w:asciiTheme="minorHAnsi" w:eastAsia="Calibri" w:hAnsiTheme="minorHAnsi" w:cs="Times New Roman"/>
        </w:rPr>
      </w:pPr>
      <w:r w:rsidRPr="00E631B0">
        <w:rPr>
          <w:rFonts w:asciiTheme="minorHAnsi" w:eastAsia="Calibri" w:hAnsiTheme="minorHAnsi" w:cs="Times New Roman"/>
        </w:rPr>
        <w:t>the importance of adherence and persistence with LLT to reduce cardiovascular risk</w:t>
      </w:r>
      <w:r w:rsidR="00A058EC" w:rsidRPr="00E631B0">
        <w:rPr>
          <w:rFonts w:asciiTheme="minorHAnsi" w:eastAsia="Calibri" w:hAnsiTheme="minorHAnsi" w:cs="Times New Roman"/>
        </w:rPr>
        <w:t>, particularly in new users of chronic medicines; and</w:t>
      </w:r>
    </w:p>
    <w:p w14:paraId="2C878C63" w14:textId="16B8D722" w:rsidR="00205FE2" w:rsidRPr="00E631B0" w:rsidRDefault="0000686B" w:rsidP="00691D4A">
      <w:pPr>
        <w:pStyle w:val="ListParagraph"/>
        <w:numPr>
          <w:ilvl w:val="0"/>
          <w:numId w:val="5"/>
        </w:numPr>
        <w:spacing w:line="240" w:lineRule="auto"/>
        <w:rPr>
          <w:rFonts w:asciiTheme="minorHAnsi" w:eastAsia="Calibri" w:hAnsiTheme="minorHAnsi" w:cs="Times New Roman"/>
        </w:rPr>
      </w:pPr>
      <w:r w:rsidRPr="00E631B0">
        <w:rPr>
          <w:rFonts w:asciiTheme="minorHAnsi" w:eastAsia="Calibri" w:hAnsiTheme="minorHAnsi" w:cs="Times New Roman"/>
        </w:rPr>
        <w:t xml:space="preserve">use of statins first </w:t>
      </w:r>
      <w:r w:rsidR="00D11D83" w:rsidRPr="00E631B0">
        <w:rPr>
          <w:rFonts w:asciiTheme="minorHAnsi" w:eastAsia="Calibri" w:hAnsiTheme="minorHAnsi" w:cs="Times New Roman"/>
        </w:rPr>
        <w:t xml:space="preserve">line </w:t>
      </w:r>
      <w:r w:rsidRPr="00E631B0">
        <w:rPr>
          <w:rFonts w:asciiTheme="minorHAnsi" w:eastAsia="Calibri" w:hAnsiTheme="minorHAnsi" w:cs="Times New Roman"/>
        </w:rPr>
        <w:t>at the maximum tolerated dose for optimal LDL-C reduction and management of cardiovascular risk</w:t>
      </w:r>
      <w:r w:rsidR="00205FE2" w:rsidRPr="00E631B0">
        <w:rPr>
          <w:rFonts w:asciiTheme="minorHAnsi" w:eastAsia="Calibri" w:hAnsiTheme="minorHAnsi" w:cs="Times New Roman"/>
        </w:rPr>
        <w:t xml:space="preserve">. </w:t>
      </w:r>
    </w:p>
    <w:p w14:paraId="67218AE7" w14:textId="04E4CB30" w:rsidR="00444787" w:rsidRPr="00EC7CB7" w:rsidRDefault="00736E4A" w:rsidP="003B0EC5">
      <w:pPr>
        <w:pStyle w:val="Heading2"/>
        <w:rPr>
          <w:sz w:val="40"/>
          <w:szCs w:val="40"/>
          <w:lang w:eastAsia="en-AU"/>
        </w:rPr>
      </w:pPr>
      <w:bookmarkStart w:id="21" w:name="_Toc500510189"/>
      <w:r w:rsidRPr="00EC7CB7">
        <w:rPr>
          <w:sz w:val="40"/>
          <w:szCs w:val="40"/>
        </w:rPr>
        <w:lastRenderedPageBreak/>
        <w:t xml:space="preserve">Term of Reference 2: </w:t>
      </w:r>
      <w:r w:rsidR="00351843" w:rsidRPr="00EC7CB7">
        <w:rPr>
          <w:sz w:val="40"/>
          <w:szCs w:val="40"/>
          <w:lang w:eastAsia="en-AU"/>
        </w:rPr>
        <w:t>Clinical guidelines and PBS r</w:t>
      </w:r>
      <w:r w:rsidR="00444787" w:rsidRPr="00EC7CB7">
        <w:rPr>
          <w:sz w:val="40"/>
          <w:szCs w:val="40"/>
          <w:lang w:eastAsia="en-AU"/>
        </w:rPr>
        <w:t>estrictions</w:t>
      </w:r>
      <w:bookmarkEnd w:id="21"/>
    </w:p>
    <w:p w14:paraId="0CDAB110" w14:textId="77777777" w:rsidR="00205FE2" w:rsidRPr="00E631B0" w:rsidRDefault="00736E4A" w:rsidP="002A316A">
      <w:pPr>
        <w:pStyle w:val="BodyText"/>
        <w:spacing w:line="240" w:lineRule="auto"/>
        <w:jc w:val="left"/>
        <w:rPr>
          <w:rFonts w:asciiTheme="minorHAnsi" w:hAnsiTheme="minorHAnsi"/>
          <w:b/>
          <w:strike/>
          <w:highlight w:val="yellow"/>
        </w:rPr>
      </w:pPr>
      <w:r w:rsidRPr="00E631B0">
        <w:rPr>
          <w:rFonts w:asciiTheme="minorHAnsi" w:hAnsiTheme="minorHAnsi"/>
          <w:b/>
        </w:rPr>
        <w:t>Review recent clinical guidelines for the treatment of hypercholesterolaemia and compare this to how ezetimibe is currently used on the PBS.</w:t>
      </w:r>
    </w:p>
    <w:p w14:paraId="3CC770EE" w14:textId="5ABECBA2" w:rsidR="0000686B" w:rsidRPr="00E631B0" w:rsidRDefault="00C53A52" w:rsidP="003B0EC5">
      <w:pPr>
        <w:spacing w:line="240" w:lineRule="auto"/>
        <w:jc w:val="left"/>
        <w:rPr>
          <w:rFonts w:asciiTheme="minorHAnsi" w:hAnsiTheme="minorHAnsi"/>
        </w:rPr>
      </w:pPr>
      <w:r w:rsidRPr="00E631B0">
        <w:rPr>
          <w:rFonts w:asciiTheme="minorHAnsi" w:hAnsiTheme="minorHAnsi"/>
        </w:rPr>
        <w:t>T</w:t>
      </w:r>
      <w:r w:rsidR="0000686B" w:rsidRPr="00E631B0">
        <w:rPr>
          <w:rFonts w:asciiTheme="minorHAnsi" w:hAnsiTheme="minorHAnsi"/>
        </w:rPr>
        <w:t xml:space="preserve">he most recent Australian and international </w:t>
      </w:r>
      <w:r w:rsidR="003B5FC4" w:rsidRPr="00E631B0">
        <w:rPr>
          <w:rFonts w:asciiTheme="minorHAnsi" w:hAnsiTheme="minorHAnsi"/>
        </w:rPr>
        <w:t>c</w:t>
      </w:r>
      <w:r w:rsidR="0000686B" w:rsidRPr="00E631B0">
        <w:rPr>
          <w:rFonts w:asciiTheme="minorHAnsi" w:hAnsiTheme="minorHAnsi"/>
        </w:rPr>
        <w:t xml:space="preserve">linical </w:t>
      </w:r>
      <w:r w:rsidR="003B5FC4" w:rsidRPr="00E631B0">
        <w:rPr>
          <w:rFonts w:asciiTheme="minorHAnsi" w:hAnsiTheme="minorHAnsi"/>
        </w:rPr>
        <w:t>t</w:t>
      </w:r>
      <w:r w:rsidR="0000686B" w:rsidRPr="00E631B0">
        <w:rPr>
          <w:rFonts w:asciiTheme="minorHAnsi" w:hAnsiTheme="minorHAnsi"/>
        </w:rPr>
        <w:t xml:space="preserve">reatment </w:t>
      </w:r>
      <w:r w:rsidR="003B5FC4" w:rsidRPr="00E631B0">
        <w:rPr>
          <w:rFonts w:asciiTheme="minorHAnsi" w:hAnsiTheme="minorHAnsi"/>
        </w:rPr>
        <w:t>g</w:t>
      </w:r>
      <w:r w:rsidR="0000686B" w:rsidRPr="00E631B0">
        <w:rPr>
          <w:rFonts w:asciiTheme="minorHAnsi" w:hAnsiTheme="minorHAnsi"/>
        </w:rPr>
        <w:t xml:space="preserve">uidelines for management of metabolic lipid disorders to prevent cardiovascular outcomes </w:t>
      </w:r>
      <w:r w:rsidRPr="00E631B0">
        <w:rPr>
          <w:rFonts w:asciiTheme="minorHAnsi" w:hAnsiTheme="minorHAnsi"/>
        </w:rPr>
        <w:t>were reviewed</w:t>
      </w:r>
      <w:r w:rsidR="0000686B" w:rsidRPr="00E631B0">
        <w:rPr>
          <w:rFonts w:asciiTheme="minorHAnsi" w:hAnsiTheme="minorHAnsi"/>
        </w:rPr>
        <w:t xml:space="preserve">. All current guidelines for primary prevention </w:t>
      </w:r>
      <w:r w:rsidR="007E703C" w:rsidRPr="00E631B0">
        <w:rPr>
          <w:rFonts w:asciiTheme="minorHAnsi" w:hAnsiTheme="minorHAnsi"/>
        </w:rPr>
        <w:t xml:space="preserve">of cardiovascular disease (CVD) </w:t>
      </w:r>
      <w:r w:rsidR="0000686B" w:rsidRPr="00E631B0">
        <w:rPr>
          <w:rFonts w:asciiTheme="minorHAnsi" w:hAnsiTheme="minorHAnsi"/>
        </w:rPr>
        <w:t xml:space="preserve">recommend treatment based on an individual patient’s risk of having a </w:t>
      </w:r>
      <w:r w:rsidR="00130DC0" w:rsidRPr="00E631B0">
        <w:rPr>
          <w:rFonts w:asciiTheme="minorHAnsi" w:hAnsiTheme="minorHAnsi"/>
        </w:rPr>
        <w:t xml:space="preserve">future </w:t>
      </w:r>
      <w:r w:rsidR="0000686B" w:rsidRPr="00E631B0">
        <w:rPr>
          <w:rFonts w:asciiTheme="minorHAnsi" w:hAnsiTheme="minorHAnsi"/>
        </w:rPr>
        <w:t>cardiovascular event</w:t>
      </w:r>
      <w:r w:rsidRPr="00E631B0">
        <w:rPr>
          <w:rFonts w:asciiTheme="minorHAnsi" w:hAnsiTheme="minorHAnsi"/>
        </w:rPr>
        <w:t xml:space="preserve">. For </w:t>
      </w:r>
      <w:r w:rsidR="0000686B" w:rsidRPr="00E631B0">
        <w:rPr>
          <w:rFonts w:asciiTheme="minorHAnsi" w:hAnsiTheme="minorHAnsi"/>
        </w:rPr>
        <w:t>secondary prevention of CVD</w:t>
      </w:r>
      <w:r w:rsidR="00572D82" w:rsidRPr="00E631B0">
        <w:rPr>
          <w:rFonts w:asciiTheme="minorHAnsi" w:hAnsiTheme="minorHAnsi"/>
        </w:rPr>
        <w:t xml:space="preserve"> (i.e. patients with pre-existing CVD)</w:t>
      </w:r>
      <w:r w:rsidRPr="00E631B0">
        <w:rPr>
          <w:rFonts w:asciiTheme="minorHAnsi" w:hAnsiTheme="minorHAnsi"/>
        </w:rPr>
        <w:t>,</w:t>
      </w:r>
      <w:r w:rsidR="0000686B" w:rsidRPr="00E631B0">
        <w:rPr>
          <w:rFonts w:asciiTheme="minorHAnsi" w:hAnsiTheme="minorHAnsi"/>
        </w:rPr>
        <w:t xml:space="preserve"> a high </w:t>
      </w:r>
      <w:r w:rsidR="007E703C" w:rsidRPr="00E631B0">
        <w:rPr>
          <w:rFonts w:asciiTheme="minorHAnsi" w:hAnsiTheme="minorHAnsi"/>
        </w:rPr>
        <w:t xml:space="preserve">risk </w:t>
      </w:r>
      <w:r w:rsidR="0000686B" w:rsidRPr="00E631B0">
        <w:rPr>
          <w:rFonts w:asciiTheme="minorHAnsi" w:hAnsiTheme="minorHAnsi"/>
        </w:rPr>
        <w:t xml:space="preserve">status is applied categorically rather than assessed using a risk calculator. The variation between Australian and international guidelines reflects differences in absolute risk thresholds in each country and </w:t>
      </w:r>
      <w:r w:rsidR="007E703C" w:rsidRPr="00E631B0">
        <w:rPr>
          <w:rFonts w:asciiTheme="minorHAnsi" w:hAnsiTheme="minorHAnsi"/>
        </w:rPr>
        <w:t xml:space="preserve">the </w:t>
      </w:r>
      <w:r w:rsidR="0000686B" w:rsidRPr="00E631B0">
        <w:rPr>
          <w:rFonts w:asciiTheme="minorHAnsi" w:hAnsiTheme="minorHAnsi"/>
        </w:rPr>
        <w:t>approach to pharmacotherapy.</w:t>
      </w:r>
    </w:p>
    <w:p w14:paraId="4A442431" w14:textId="4B261E04" w:rsidR="0000686B" w:rsidRPr="00E631B0" w:rsidRDefault="0000686B" w:rsidP="003B0EC5">
      <w:pPr>
        <w:spacing w:line="240" w:lineRule="auto"/>
        <w:jc w:val="left"/>
        <w:rPr>
          <w:rFonts w:asciiTheme="minorHAnsi" w:hAnsiTheme="minorHAnsi"/>
        </w:rPr>
      </w:pPr>
      <w:r w:rsidRPr="00E631B0">
        <w:rPr>
          <w:rFonts w:asciiTheme="minorHAnsi" w:hAnsiTheme="minorHAnsi"/>
        </w:rPr>
        <w:t xml:space="preserve">All guidelines recommend the use of statins as first line pharmacotherapy to lower LDL-C concentrations. This is due to the quality and quantity of clinical evidence available that lowering LDL-C through the use of statins translates to a reduction in risk of cardiovascular events. The guidelines place ezetimibe after statins due to the limited </w:t>
      </w:r>
      <w:r w:rsidR="008E57F6" w:rsidRPr="00E631B0">
        <w:rPr>
          <w:rFonts w:asciiTheme="minorHAnsi" w:hAnsiTheme="minorHAnsi"/>
        </w:rPr>
        <w:t xml:space="preserve">patient outcome </w:t>
      </w:r>
      <w:r w:rsidRPr="00E631B0">
        <w:rPr>
          <w:rFonts w:asciiTheme="minorHAnsi" w:hAnsiTheme="minorHAnsi"/>
        </w:rPr>
        <w:t>data available. There is only one trial</w:t>
      </w:r>
      <w:r w:rsidR="00E94280" w:rsidRPr="00E631B0">
        <w:rPr>
          <w:rFonts w:asciiTheme="minorHAnsi" w:hAnsiTheme="minorHAnsi"/>
        </w:rPr>
        <w:t>,</w:t>
      </w:r>
      <w:r w:rsidR="009273F6" w:rsidRPr="00E631B0">
        <w:rPr>
          <w:rFonts w:asciiTheme="minorHAnsi" w:hAnsiTheme="minorHAnsi"/>
        </w:rPr>
        <w:t xml:space="preserve"> </w:t>
      </w:r>
      <w:r w:rsidRPr="00E631B0">
        <w:rPr>
          <w:rFonts w:asciiTheme="minorHAnsi" w:hAnsiTheme="minorHAnsi"/>
        </w:rPr>
        <w:t>IMPROVE-IT</w:t>
      </w:r>
      <w:r w:rsidR="009273F6" w:rsidRPr="00E631B0">
        <w:rPr>
          <w:rFonts w:asciiTheme="minorHAnsi" w:hAnsiTheme="minorHAnsi"/>
        </w:rPr>
        <w:t>,</w:t>
      </w:r>
      <w:r w:rsidR="001955A7" w:rsidRPr="00E631B0">
        <w:rPr>
          <w:rStyle w:val="EndnoteReference"/>
          <w:rFonts w:asciiTheme="minorHAnsi" w:hAnsiTheme="minorHAnsi"/>
        </w:rPr>
        <w:endnoteReference w:id="3"/>
      </w:r>
      <w:r w:rsidR="00E94280" w:rsidRPr="00E631B0">
        <w:rPr>
          <w:rFonts w:asciiTheme="minorHAnsi" w:hAnsiTheme="minorHAnsi"/>
        </w:rPr>
        <w:t xml:space="preserve"> </w:t>
      </w:r>
      <w:r w:rsidRPr="00E631B0">
        <w:rPr>
          <w:rFonts w:asciiTheme="minorHAnsi" w:hAnsiTheme="minorHAnsi"/>
        </w:rPr>
        <w:t xml:space="preserve">showing that a reduction in LDL-C through the use of ezetimibe </w:t>
      </w:r>
      <w:r w:rsidR="00C53A52" w:rsidRPr="00E631B0">
        <w:rPr>
          <w:rFonts w:asciiTheme="minorHAnsi" w:hAnsiTheme="minorHAnsi"/>
        </w:rPr>
        <w:t xml:space="preserve">combined with a statin </w:t>
      </w:r>
      <w:r w:rsidRPr="00E631B0">
        <w:rPr>
          <w:rFonts w:asciiTheme="minorHAnsi" w:hAnsiTheme="minorHAnsi"/>
        </w:rPr>
        <w:t xml:space="preserve">translates to a reduced risk of cardiovascular events. </w:t>
      </w:r>
      <w:r w:rsidR="00D11D83" w:rsidRPr="00E631B0">
        <w:rPr>
          <w:rFonts w:asciiTheme="minorHAnsi" w:hAnsiTheme="minorHAnsi"/>
        </w:rPr>
        <w:t>However, t</w:t>
      </w:r>
      <w:r w:rsidRPr="00E631B0">
        <w:rPr>
          <w:rFonts w:asciiTheme="minorHAnsi" w:hAnsiTheme="minorHAnsi"/>
        </w:rPr>
        <w:t xml:space="preserve">here was no significant overall effect on mortality </w:t>
      </w:r>
      <w:r w:rsidR="00D11D83" w:rsidRPr="00E631B0">
        <w:rPr>
          <w:rFonts w:asciiTheme="minorHAnsi" w:hAnsiTheme="minorHAnsi"/>
        </w:rPr>
        <w:t>in this trial.</w:t>
      </w:r>
      <w:r w:rsidRPr="00E631B0">
        <w:rPr>
          <w:rFonts w:asciiTheme="minorHAnsi" w:hAnsiTheme="minorHAnsi"/>
        </w:rPr>
        <w:t xml:space="preserve"> </w:t>
      </w:r>
    </w:p>
    <w:p w14:paraId="332D3B73" w14:textId="5A418034" w:rsidR="0000686B" w:rsidRPr="00E631B0" w:rsidRDefault="00C53A52" w:rsidP="003B0EC5">
      <w:pPr>
        <w:spacing w:after="0" w:line="240" w:lineRule="auto"/>
        <w:jc w:val="left"/>
        <w:rPr>
          <w:rFonts w:asciiTheme="minorHAnsi" w:hAnsiTheme="minorHAnsi"/>
          <w:szCs w:val="24"/>
        </w:rPr>
      </w:pPr>
      <w:r w:rsidRPr="00E631B0">
        <w:rPr>
          <w:rFonts w:asciiTheme="minorHAnsi" w:hAnsiTheme="minorHAnsi"/>
        </w:rPr>
        <w:t>R</w:t>
      </w:r>
      <w:r w:rsidR="00236878" w:rsidRPr="00E631B0">
        <w:rPr>
          <w:rFonts w:asciiTheme="minorHAnsi" w:hAnsiTheme="minorHAnsi"/>
        </w:rPr>
        <w:t xml:space="preserve">ecent literature </w:t>
      </w:r>
      <w:r w:rsidR="000A555E" w:rsidRPr="00E631B0">
        <w:rPr>
          <w:rFonts w:asciiTheme="minorHAnsi" w:hAnsiTheme="minorHAnsi"/>
        </w:rPr>
        <w:t xml:space="preserve">suggests </w:t>
      </w:r>
      <w:r w:rsidR="00236878" w:rsidRPr="00E631B0">
        <w:rPr>
          <w:rFonts w:asciiTheme="minorHAnsi" w:hAnsiTheme="minorHAnsi"/>
        </w:rPr>
        <w:t xml:space="preserve">that </w:t>
      </w:r>
      <w:r w:rsidR="00FE6799" w:rsidRPr="00E631B0">
        <w:rPr>
          <w:rFonts w:asciiTheme="minorHAnsi" w:hAnsiTheme="minorHAnsi"/>
        </w:rPr>
        <w:t xml:space="preserve">significant </w:t>
      </w:r>
      <w:r w:rsidR="00236878" w:rsidRPr="00E631B0">
        <w:rPr>
          <w:rFonts w:asciiTheme="minorHAnsi" w:hAnsiTheme="minorHAnsi"/>
        </w:rPr>
        <w:t xml:space="preserve">benefit from ezetimibe is restricted to those with high risk </w:t>
      </w:r>
      <w:r w:rsidR="00FE6799" w:rsidRPr="00E631B0">
        <w:rPr>
          <w:rFonts w:asciiTheme="minorHAnsi" w:hAnsiTheme="minorHAnsi"/>
        </w:rPr>
        <w:t xml:space="preserve">of cardiovascular events </w:t>
      </w:r>
      <w:r w:rsidR="00236878" w:rsidRPr="00E631B0">
        <w:rPr>
          <w:rFonts w:asciiTheme="minorHAnsi" w:hAnsiTheme="minorHAnsi"/>
        </w:rPr>
        <w:t>in</w:t>
      </w:r>
      <w:r w:rsidR="00FE6799" w:rsidRPr="00E631B0">
        <w:rPr>
          <w:rFonts w:asciiTheme="minorHAnsi" w:hAnsiTheme="minorHAnsi"/>
        </w:rPr>
        <w:t xml:space="preserve"> </w:t>
      </w:r>
      <w:r w:rsidR="00236878" w:rsidRPr="00E631B0">
        <w:rPr>
          <w:rFonts w:asciiTheme="minorHAnsi" w:hAnsiTheme="minorHAnsi"/>
        </w:rPr>
        <w:t>a secondary prevention population</w:t>
      </w:r>
      <w:r w:rsidR="009273F6" w:rsidRPr="00E631B0">
        <w:rPr>
          <w:rFonts w:asciiTheme="minorHAnsi" w:hAnsiTheme="minorHAnsi"/>
        </w:rPr>
        <w:t>.</w:t>
      </w:r>
      <w:r w:rsidR="001955A7" w:rsidRPr="00E631B0">
        <w:rPr>
          <w:rStyle w:val="EndnoteReference"/>
          <w:rFonts w:asciiTheme="minorHAnsi" w:hAnsiTheme="minorHAnsi"/>
        </w:rPr>
        <w:endnoteReference w:id="4"/>
      </w:r>
      <w:r w:rsidR="00D20B5C" w:rsidRPr="00E631B0">
        <w:rPr>
          <w:rFonts w:asciiTheme="minorHAnsi" w:hAnsiTheme="minorHAnsi"/>
          <w:vertAlign w:val="superscript"/>
        </w:rPr>
        <w:t>,</w:t>
      </w:r>
      <w:r w:rsidR="001955A7" w:rsidRPr="00E631B0">
        <w:rPr>
          <w:rStyle w:val="EndnoteReference"/>
          <w:rFonts w:asciiTheme="minorHAnsi" w:hAnsiTheme="minorHAnsi"/>
        </w:rPr>
        <w:endnoteReference w:id="5"/>
      </w:r>
      <w:r w:rsidR="009273F6" w:rsidRPr="00E631B0">
        <w:rPr>
          <w:rFonts w:asciiTheme="minorHAnsi" w:hAnsiTheme="minorHAnsi"/>
          <w:vertAlign w:val="superscript"/>
        </w:rPr>
        <w:t xml:space="preserve"> </w:t>
      </w:r>
      <w:r w:rsidR="00A2217A" w:rsidRPr="00E631B0">
        <w:rPr>
          <w:rFonts w:asciiTheme="minorHAnsi" w:hAnsiTheme="minorHAnsi"/>
        </w:rPr>
        <w:t>During the seven years of IMPROVE-IT, p</w:t>
      </w:r>
      <w:r w:rsidR="00A2217A" w:rsidRPr="00E631B0">
        <w:rPr>
          <w:rFonts w:asciiTheme="minorHAnsi" w:hAnsiTheme="minorHAnsi"/>
          <w:szCs w:val="24"/>
        </w:rPr>
        <w:t xml:space="preserve">atients with prior </w:t>
      </w:r>
      <w:r w:rsidR="009273F6" w:rsidRPr="00E631B0">
        <w:rPr>
          <w:rFonts w:asciiTheme="minorHAnsi" w:hAnsiTheme="minorHAnsi"/>
          <w:szCs w:val="24"/>
        </w:rPr>
        <w:t>coronary artery bypass surgery (</w:t>
      </w:r>
      <w:r w:rsidR="00A2217A" w:rsidRPr="00E631B0">
        <w:rPr>
          <w:rFonts w:asciiTheme="minorHAnsi" w:hAnsiTheme="minorHAnsi"/>
          <w:szCs w:val="24"/>
        </w:rPr>
        <w:t>CABG</w:t>
      </w:r>
      <w:r w:rsidR="009273F6" w:rsidRPr="00E631B0">
        <w:rPr>
          <w:rFonts w:asciiTheme="minorHAnsi" w:hAnsiTheme="minorHAnsi"/>
          <w:szCs w:val="24"/>
        </w:rPr>
        <w:t>)</w:t>
      </w:r>
      <w:r w:rsidR="00A2217A" w:rsidRPr="00E631B0">
        <w:rPr>
          <w:rFonts w:asciiTheme="minorHAnsi" w:hAnsiTheme="minorHAnsi"/>
          <w:szCs w:val="24"/>
        </w:rPr>
        <w:t xml:space="preserve"> received significantly greater benefit from treatment with ezetimibe in addition to simvastatin compared to those without prior CABG (</w:t>
      </w:r>
      <w:r w:rsidR="003B5FC4" w:rsidRPr="00E631B0">
        <w:rPr>
          <w:rFonts w:asciiTheme="minorHAnsi" w:hAnsiTheme="minorHAnsi"/>
          <w:szCs w:val="24"/>
        </w:rPr>
        <w:t>a</w:t>
      </w:r>
      <w:r w:rsidR="00A2217A" w:rsidRPr="00E631B0">
        <w:rPr>
          <w:rFonts w:asciiTheme="minorHAnsi" w:hAnsiTheme="minorHAnsi"/>
          <w:szCs w:val="24"/>
        </w:rPr>
        <w:t xml:space="preserve">bsolute </w:t>
      </w:r>
      <w:r w:rsidR="003B5FC4" w:rsidRPr="00E631B0">
        <w:rPr>
          <w:rFonts w:asciiTheme="minorHAnsi" w:hAnsiTheme="minorHAnsi"/>
          <w:szCs w:val="24"/>
        </w:rPr>
        <w:t>r</w:t>
      </w:r>
      <w:r w:rsidR="00A2217A" w:rsidRPr="00E631B0">
        <w:rPr>
          <w:rFonts w:asciiTheme="minorHAnsi" w:hAnsiTheme="minorHAnsi"/>
          <w:szCs w:val="24"/>
        </w:rPr>
        <w:t xml:space="preserve">isk </w:t>
      </w:r>
      <w:r w:rsidR="003B5FC4" w:rsidRPr="00E631B0">
        <w:rPr>
          <w:rFonts w:asciiTheme="minorHAnsi" w:hAnsiTheme="minorHAnsi"/>
          <w:szCs w:val="24"/>
        </w:rPr>
        <w:t>r</w:t>
      </w:r>
      <w:r w:rsidR="00A2217A" w:rsidRPr="00E631B0">
        <w:rPr>
          <w:rFonts w:asciiTheme="minorHAnsi" w:hAnsiTheme="minorHAnsi"/>
          <w:szCs w:val="24"/>
        </w:rPr>
        <w:t xml:space="preserve">eduction of 8.8% versus 1.3%). </w:t>
      </w:r>
      <w:r w:rsidR="000A555E" w:rsidRPr="00E631B0">
        <w:rPr>
          <w:rFonts w:asciiTheme="minorHAnsi" w:hAnsiTheme="minorHAnsi"/>
        </w:rPr>
        <w:t>T</w:t>
      </w:r>
      <w:r w:rsidR="0000686B" w:rsidRPr="00E631B0">
        <w:rPr>
          <w:rFonts w:asciiTheme="minorHAnsi" w:hAnsiTheme="minorHAnsi"/>
        </w:rPr>
        <w:t>he Bohula et al</w:t>
      </w:r>
      <w:r w:rsidR="00D8141C" w:rsidRPr="00E631B0">
        <w:rPr>
          <w:szCs w:val="24"/>
          <w:vertAlign w:val="superscript"/>
        </w:rPr>
        <w:endnoteReference w:id="6"/>
      </w:r>
      <w:r w:rsidR="00D8141C" w:rsidRPr="00E631B0">
        <w:rPr>
          <w:rFonts w:asciiTheme="minorHAnsi" w:hAnsiTheme="minorHAnsi"/>
          <w:szCs w:val="24"/>
          <w:vertAlign w:val="superscript"/>
        </w:rPr>
        <w:t xml:space="preserve"> </w:t>
      </w:r>
      <w:r w:rsidR="0000686B" w:rsidRPr="00E631B0">
        <w:rPr>
          <w:rFonts w:asciiTheme="minorHAnsi" w:hAnsiTheme="minorHAnsi"/>
        </w:rPr>
        <w:t xml:space="preserve"> analysis of the IMPROVE-IT trial</w:t>
      </w:r>
      <w:r w:rsidR="0000686B" w:rsidRPr="00E631B0">
        <w:rPr>
          <w:rFonts w:asciiTheme="minorHAnsi" w:hAnsiTheme="minorHAnsi"/>
          <w:szCs w:val="24"/>
        </w:rPr>
        <w:t xml:space="preserve"> </w:t>
      </w:r>
      <w:r w:rsidR="0000686B" w:rsidRPr="00E631B0">
        <w:rPr>
          <w:rFonts w:asciiTheme="minorHAnsi" w:hAnsiTheme="minorHAnsi"/>
        </w:rPr>
        <w:t>found those who showed</w:t>
      </w:r>
      <w:r w:rsidR="000E0C66" w:rsidRPr="00E631B0">
        <w:rPr>
          <w:rFonts w:asciiTheme="minorHAnsi" w:hAnsiTheme="minorHAnsi"/>
        </w:rPr>
        <w:t xml:space="preserve"> a</w:t>
      </w:r>
      <w:r w:rsidR="0000686B" w:rsidRPr="00E631B0">
        <w:rPr>
          <w:rFonts w:asciiTheme="minorHAnsi" w:hAnsiTheme="minorHAnsi"/>
        </w:rPr>
        <w:t xml:space="preserve"> significant benefit from ezetimibe</w:t>
      </w:r>
      <w:r w:rsidR="000E0C66" w:rsidRPr="00E631B0">
        <w:rPr>
          <w:rFonts w:asciiTheme="minorHAnsi" w:hAnsiTheme="minorHAnsi"/>
        </w:rPr>
        <w:t xml:space="preserve"> plus </w:t>
      </w:r>
      <w:r w:rsidR="0000686B" w:rsidRPr="00E631B0">
        <w:rPr>
          <w:rFonts w:asciiTheme="minorHAnsi" w:hAnsiTheme="minorHAnsi"/>
        </w:rPr>
        <w:t>statin therapy</w:t>
      </w:r>
      <w:r w:rsidR="000E0C66" w:rsidRPr="00E631B0">
        <w:rPr>
          <w:rFonts w:asciiTheme="minorHAnsi" w:hAnsiTheme="minorHAnsi"/>
        </w:rPr>
        <w:t xml:space="preserve"> over statin monotherapy </w:t>
      </w:r>
      <w:r w:rsidR="000A555E" w:rsidRPr="00E631B0">
        <w:rPr>
          <w:rFonts w:asciiTheme="minorHAnsi" w:hAnsiTheme="minorHAnsi"/>
        </w:rPr>
        <w:t xml:space="preserve">had </w:t>
      </w:r>
      <w:r w:rsidR="0000686B" w:rsidRPr="00E631B0">
        <w:rPr>
          <w:rFonts w:asciiTheme="minorHAnsi" w:hAnsiTheme="minorHAnsi"/>
        </w:rPr>
        <w:t xml:space="preserve">three or more additional risk factors. </w:t>
      </w:r>
      <w:r w:rsidR="00DF57CD" w:rsidRPr="00E631B0">
        <w:rPr>
          <w:rFonts w:asciiTheme="minorHAnsi" w:hAnsiTheme="minorHAnsi"/>
        </w:rPr>
        <w:t xml:space="preserve">Low risk patients (nil to one risk factor) showed no benefit from the addition of ezetimibe. </w:t>
      </w:r>
      <w:r w:rsidR="0000686B" w:rsidRPr="00E631B0">
        <w:rPr>
          <w:rFonts w:asciiTheme="minorHAnsi" w:hAnsiTheme="minorHAnsi"/>
        </w:rPr>
        <w:t>This underlines the importance of restricting PBS subsidised use of ezetimibe to the high risk population.</w:t>
      </w:r>
      <w:r w:rsidR="00A2217A" w:rsidRPr="00E631B0">
        <w:rPr>
          <w:rFonts w:asciiTheme="minorHAnsi" w:hAnsiTheme="minorHAnsi"/>
          <w:szCs w:val="24"/>
        </w:rPr>
        <w:t xml:space="preserve"> </w:t>
      </w:r>
    </w:p>
    <w:p w14:paraId="694E87D6" w14:textId="77777777" w:rsidR="00A83336" w:rsidRPr="00E631B0" w:rsidRDefault="00A83336" w:rsidP="003B0EC5">
      <w:pPr>
        <w:spacing w:after="0" w:line="240" w:lineRule="auto"/>
        <w:jc w:val="left"/>
        <w:rPr>
          <w:rFonts w:ascii="Times New Roman" w:hAnsi="Times New Roman"/>
          <w:bCs/>
        </w:rPr>
      </w:pPr>
    </w:p>
    <w:p w14:paraId="04BE0D83" w14:textId="113D1AA6" w:rsidR="00136A5C" w:rsidRPr="00E631B0" w:rsidRDefault="00C53A52" w:rsidP="003B0EC5">
      <w:pPr>
        <w:spacing w:line="240" w:lineRule="auto"/>
        <w:jc w:val="left"/>
        <w:rPr>
          <w:rFonts w:asciiTheme="minorHAnsi" w:hAnsiTheme="minorHAnsi"/>
        </w:rPr>
      </w:pPr>
      <w:r w:rsidRPr="00E631B0">
        <w:rPr>
          <w:rFonts w:asciiTheme="minorHAnsi" w:hAnsiTheme="minorHAnsi"/>
        </w:rPr>
        <w:t>S</w:t>
      </w:r>
      <w:hyperlink r:id="rId16" w:history="1">
        <w:r w:rsidR="0000686B" w:rsidRPr="00E631B0">
          <w:rPr>
            <w:rFonts w:asciiTheme="minorHAnsi" w:hAnsiTheme="minorHAnsi"/>
          </w:rPr>
          <w:t>ection 101</w:t>
        </w:r>
      </w:hyperlink>
      <w:r w:rsidR="0000686B" w:rsidRPr="00E631B0">
        <w:rPr>
          <w:rFonts w:asciiTheme="minorHAnsi" w:hAnsiTheme="minorHAnsi"/>
        </w:rPr>
        <w:t xml:space="preserve"> of the </w:t>
      </w:r>
      <w:r w:rsidR="0000686B" w:rsidRPr="00E631B0">
        <w:rPr>
          <w:rFonts w:asciiTheme="minorHAnsi" w:hAnsiTheme="minorHAnsi"/>
          <w:i/>
        </w:rPr>
        <w:t>National Health Act 1953</w:t>
      </w:r>
      <w:r w:rsidR="0000686B" w:rsidRPr="00E631B0">
        <w:rPr>
          <w:rFonts w:asciiTheme="minorHAnsi" w:hAnsiTheme="minorHAnsi"/>
        </w:rPr>
        <w:t xml:space="preserve"> </w:t>
      </w:r>
      <w:r w:rsidR="009273F6" w:rsidRPr="00E631B0">
        <w:rPr>
          <w:rFonts w:asciiTheme="minorHAnsi" w:hAnsiTheme="minorHAnsi"/>
          <w:i/>
        </w:rPr>
        <w:t>(Commonw</w:t>
      </w:r>
      <w:r w:rsidR="0000686B" w:rsidRPr="00E631B0">
        <w:rPr>
          <w:rFonts w:asciiTheme="minorHAnsi" w:hAnsiTheme="minorHAnsi"/>
          <w:i/>
        </w:rPr>
        <w:t>ealth)</w:t>
      </w:r>
      <w:r w:rsidRPr="00E631B0">
        <w:rPr>
          <w:rFonts w:asciiTheme="minorHAnsi" w:hAnsiTheme="minorHAnsi"/>
          <w:i/>
        </w:rPr>
        <w:t xml:space="preserve"> </w:t>
      </w:r>
      <w:r w:rsidRPr="00E631B0">
        <w:rPr>
          <w:rFonts w:asciiTheme="minorHAnsi" w:hAnsiTheme="minorHAnsi"/>
        </w:rPr>
        <w:t>requires</w:t>
      </w:r>
      <w:r w:rsidR="0000686B" w:rsidRPr="00E631B0">
        <w:rPr>
          <w:rFonts w:asciiTheme="minorHAnsi" w:hAnsiTheme="minorHAnsi"/>
        </w:rPr>
        <w:t xml:space="preserve"> the PBAC </w:t>
      </w:r>
      <w:r w:rsidR="00AD3B30" w:rsidRPr="00E631B0">
        <w:rPr>
          <w:rFonts w:asciiTheme="minorHAnsi" w:hAnsiTheme="minorHAnsi"/>
        </w:rPr>
        <w:t xml:space="preserve">to consider </w:t>
      </w:r>
      <w:r w:rsidR="0000686B" w:rsidRPr="00E631B0">
        <w:rPr>
          <w:rFonts w:asciiTheme="minorHAnsi" w:hAnsiTheme="minorHAnsi"/>
        </w:rPr>
        <w:t xml:space="preserve">both the cost and clinical effectiveness of </w:t>
      </w:r>
      <w:r w:rsidR="00AD3B30" w:rsidRPr="00E631B0">
        <w:rPr>
          <w:rFonts w:asciiTheme="minorHAnsi" w:hAnsiTheme="minorHAnsi"/>
        </w:rPr>
        <w:t xml:space="preserve">a </w:t>
      </w:r>
      <w:r w:rsidR="0000686B" w:rsidRPr="00E631B0">
        <w:rPr>
          <w:rFonts w:asciiTheme="minorHAnsi" w:hAnsiTheme="minorHAnsi"/>
        </w:rPr>
        <w:t>medicine compared with other treatments for the same condition. PBS restrictions reflect the outcomes of the PBAC’s cost</w:t>
      </w:r>
      <w:r w:rsidR="00216B38" w:rsidRPr="00E631B0">
        <w:rPr>
          <w:rFonts w:asciiTheme="minorHAnsi" w:hAnsiTheme="minorHAnsi"/>
        </w:rPr>
        <w:t>-</w:t>
      </w:r>
      <w:r w:rsidR="0000686B" w:rsidRPr="00E631B0">
        <w:rPr>
          <w:rFonts w:asciiTheme="minorHAnsi" w:hAnsiTheme="minorHAnsi"/>
        </w:rPr>
        <w:t xml:space="preserve">effectiveness deliberations whereas clinical guidelines do not explicitly consider cost-effectiveness. Consequently, PBS restrictions </w:t>
      </w:r>
      <w:r w:rsidR="007E703C" w:rsidRPr="00E631B0">
        <w:rPr>
          <w:rFonts w:asciiTheme="minorHAnsi" w:hAnsiTheme="minorHAnsi"/>
        </w:rPr>
        <w:t xml:space="preserve">and </w:t>
      </w:r>
      <w:r w:rsidR="0000686B" w:rsidRPr="00E631B0">
        <w:rPr>
          <w:rFonts w:asciiTheme="minorHAnsi" w:hAnsiTheme="minorHAnsi"/>
        </w:rPr>
        <w:t>clinical guidelines</w:t>
      </w:r>
      <w:r w:rsidR="007E703C" w:rsidRPr="00E631B0">
        <w:rPr>
          <w:rFonts w:asciiTheme="minorHAnsi" w:hAnsiTheme="minorHAnsi"/>
        </w:rPr>
        <w:t xml:space="preserve"> do not always align. </w:t>
      </w:r>
    </w:p>
    <w:p w14:paraId="0A191C3B" w14:textId="1558EC25" w:rsidR="00151BC5" w:rsidRPr="00E631B0" w:rsidRDefault="0000686B" w:rsidP="000B1039">
      <w:pPr>
        <w:spacing w:line="240" w:lineRule="auto"/>
        <w:jc w:val="left"/>
        <w:rPr>
          <w:rFonts w:asciiTheme="minorHAnsi" w:hAnsiTheme="minorHAnsi"/>
          <w:szCs w:val="24"/>
        </w:rPr>
      </w:pPr>
      <w:r w:rsidRPr="00E631B0">
        <w:rPr>
          <w:rFonts w:asciiTheme="minorHAnsi" w:hAnsiTheme="minorHAnsi"/>
        </w:rPr>
        <w:t>The General Statement for Lipid Lowering Drugs</w:t>
      </w:r>
      <w:r w:rsidR="00106006" w:rsidRPr="00E631B0">
        <w:rPr>
          <w:rStyle w:val="EndnoteReference"/>
          <w:rFonts w:asciiTheme="minorHAnsi" w:hAnsiTheme="minorHAnsi"/>
        </w:rPr>
        <w:endnoteReference w:id="7"/>
      </w:r>
      <w:r w:rsidR="00106006" w:rsidRPr="00E631B0">
        <w:rPr>
          <w:rFonts w:asciiTheme="minorHAnsi" w:hAnsiTheme="minorHAnsi"/>
        </w:rPr>
        <w:t xml:space="preserve"> </w:t>
      </w:r>
      <w:r w:rsidRPr="00E631B0">
        <w:rPr>
          <w:rFonts w:asciiTheme="minorHAnsi" w:hAnsiTheme="minorHAnsi"/>
        </w:rPr>
        <w:t>(GSLLD) forms part of the restriction</w:t>
      </w:r>
      <w:r w:rsidR="007E703C" w:rsidRPr="00E631B0">
        <w:rPr>
          <w:rFonts w:asciiTheme="minorHAnsi" w:hAnsiTheme="minorHAnsi"/>
        </w:rPr>
        <w:t>s</w:t>
      </w:r>
      <w:r w:rsidRPr="00E631B0">
        <w:rPr>
          <w:rFonts w:asciiTheme="minorHAnsi" w:hAnsiTheme="minorHAnsi"/>
        </w:rPr>
        <w:t xml:space="preserve"> for PBS subsidised statins</w:t>
      </w:r>
      <w:r w:rsidR="00AD3B30" w:rsidRPr="00E631B0">
        <w:rPr>
          <w:rFonts w:asciiTheme="minorHAnsi" w:hAnsiTheme="minorHAnsi"/>
        </w:rPr>
        <w:t>, fenofibrate and gemfibrozil.</w:t>
      </w:r>
      <w:r w:rsidRPr="00E631B0">
        <w:rPr>
          <w:rFonts w:asciiTheme="minorHAnsi" w:hAnsiTheme="minorHAnsi"/>
        </w:rPr>
        <w:t xml:space="preserve"> A comparison of the GSLLD and Australian treatment guidelines</w:t>
      </w:r>
      <w:r w:rsidR="009273F6" w:rsidRPr="00E631B0">
        <w:rPr>
          <w:rFonts w:asciiTheme="minorHAnsi" w:hAnsiTheme="minorHAnsi"/>
        </w:rPr>
        <w:t xml:space="preserve">, </w:t>
      </w:r>
      <w:r w:rsidR="009273F6" w:rsidRPr="00E631B0">
        <w:rPr>
          <w:rFonts w:asciiTheme="minorHAnsi" w:hAnsiTheme="minorHAnsi"/>
          <w:i/>
        </w:rPr>
        <w:t>Guidelines for the Management of Absolute Cardiovascular Disease Risk</w:t>
      </w:r>
      <w:r w:rsidRPr="00E631B0">
        <w:rPr>
          <w:rFonts w:asciiTheme="minorHAnsi" w:hAnsiTheme="minorHAnsi"/>
        </w:rPr>
        <w:t xml:space="preserve"> (National Vascu</w:t>
      </w:r>
      <w:r w:rsidR="00394780" w:rsidRPr="00E631B0">
        <w:rPr>
          <w:rFonts w:asciiTheme="minorHAnsi" w:hAnsiTheme="minorHAnsi"/>
        </w:rPr>
        <w:t xml:space="preserve">lar Disease Prevention Alliance, </w:t>
      </w:r>
      <w:r w:rsidR="00394780" w:rsidRPr="00E631B0">
        <w:rPr>
          <w:rFonts w:asciiTheme="minorHAnsi" w:hAnsiTheme="minorHAnsi"/>
        </w:rPr>
        <w:lastRenderedPageBreak/>
        <w:t xml:space="preserve">2012 </w:t>
      </w:r>
      <w:r w:rsidRPr="00E631B0">
        <w:rPr>
          <w:rFonts w:asciiTheme="minorHAnsi" w:hAnsiTheme="minorHAnsi"/>
        </w:rPr>
        <w:t>(NVDPA-2012)</w:t>
      </w:r>
      <w:r w:rsidR="009273F6" w:rsidRPr="00E631B0">
        <w:rPr>
          <w:rFonts w:asciiTheme="minorHAnsi" w:hAnsiTheme="minorHAnsi"/>
        </w:rPr>
        <w:t>)</w:t>
      </w:r>
      <w:r w:rsidR="00394780" w:rsidRPr="00E631B0">
        <w:rPr>
          <w:rFonts w:asciiTheme="minorHAnsi" w:hAnsiTheme="minorHAnsi"/>
        </w:rPr>
        <w:t>,</w:t>
      </w:r>
      <w:r w:rsidRPr="00E631B0">
        <w:rPr>
          <w:rFonts w:asciiTheme="minorHAnsi" w:hAnsiTheme="minorHAnsi"/>
        </w:rPr>
        <w:t xml:space="preserve"> found both guidelines to be broadly consistent in terms of the risk factors that are considered prior to recommending commencement of LLT. The Reference Group considered that the</w:t>
      </w:r>
      <w:r w:rsidR="00AD3B30" w:rsidRPr="00E631B0">
        <w:rPr>
          <w:rFonts w:asciiTheme="minorHAnsi" w:hAnsiTheme="minorHAnsi"/>
        </w:rPr>
        <w:t xml:space="preserve">re is general </w:t>
      </w:r>
      <w:r w:rsidR="00130DC0" w:rsidRPr="00E631B0">
        <w:rPr>
          <w:rFonts w:asciiTheme="minorHAnsi" w:hAnsiTheme="minorHAnsi"/>
        </w:rPr>
        <w:t xml:space="preserve">prescribing </w:t>
      </w:r>
      <w:r w:rsidR="00AD3B30" w:rsidRPr="00E631B0">
        <w:rPr>
          <w:rFonts w:asciiTheme="minorHAnsi" w:hAnsiTheme="minorHAnsi"/>
        </w:rPr>
        <w:t xml:space="preserve">compliance with the </w:t>
      </w:r>
      <w:r w:rsidRPr="00E631B0">
        <w:rPr>
          <w:rFonts w:asciiTheme="minorHAnsi" w:hAnsiTheme="minorHAnsi"/>
        </w:rPr>
        <w:t>GSLLD</w:t>
      </w:r>
      <w:r w:rsidR="007E703C" w:rsidRPr="00E631B0">
        <w:rPr>
          <w:rFonts w:asciiTheme="minorHAnsi" w:hAnsiTheme="minorHAnsi"/>
        </w:rPr>
        <w:t>. H</w:t>
      </w:r>
      <w:r w:rsidR="00AD3B30" w:rsidRPr="00E631B0">
        <w:rPr>
          <w:rFonts w:asciiTheme="minorHAnsi" w:hAnsiTheme="minorHAnsi"/>
        </w:rPr>
        <w:t>owever</w:t>
      </w:r>
      <w:r w:rsidR="00E94280" w:rsidRPr="00E631B0">
        <w:rPr>
          <w:rFonts w:asciiTheme="minorHAnsi" w:hAnsiTheme="minorHAnsi"/>
        </w:rPr>
        <w:t>,</w:t>
      </w:r>
      <w:r w:rsidR="00AD3B30" w:rsidRPr="00E631B0">
        <w:rPr>
          <w:rFonts w:asciiTheme="minorHAnsi" w:hAnsiTheme="minorHAnsi"/>
        </w:rPr>
        <w:t xml:space="preserve"> </w:t>
      </w:r>
      <w:r w:rsidR="00130DC0" w:rsidRPr="00E631B0">
        <w:rPr>
          <w:rFonts w:asciiTheme="minorHAnsi" w:hAnsiTheme="minorHAnsi"/>
        </w:rPr>
        <w:t xml:space="preserve">the GSLLD </w:t>
      </w:r>
      <w:r w:rsidR="00AD3B30" w:rsidRPr="00E631B0">
        <w:rPr>
          <w:rFonts w:asciiTheme="minorHAnsi" w:hAnsiTheme="minorHAnsi"/>
        </w:rPr>
        <w:t xml:space="preserve">no longer reflects </w:t>
      </w:r>
      <w:r w:rsidRPr="00E631B0">
        <w:rPr>
          <w:rFonts w:asciiTheme="minorHAnsi" w:hAnsiTheme="minorHAnsi"/>
        </w:rPr>
        <w:t xml:space="preserve">contemporary use of LLT and could be removed. </w:t>
      </w:r>
      <w:r w:rsidRPr="00E631B0">
        <w:rPr>
          <w:rFonts w:asciiTheme="minorHAnsi" w:hAnsiTheme="minorHAnsi"/>
          <w:szCs w:val="24"/>
        </w:rPr>
        <w:t>For example, for primary prevention, most clinicians would commence patients on a LLT at total cholesterol concentrations lower than 9</w:t>
      </w:r>
      <w:r w:rsidR="00394780" w:rsidRPr="00E631B0">
        <w:rPr>
          <w:rFonts w:asciiTheme="minorHAnsi" w:hAnsiTheme="minorHAnsi"/>
          <w:szCs w:val="24"/>
        </w:rPr>
        <w:t xml:space="preserve"> </w:t>
      </w:r>
      <w:r w:rsidRPr="00E631B0">
        <w:rPr>
          <w:rFonts w:asciiTheme="minorHAnsi" w:hAnsiTheme="minorHAnsi"/>
          <w:szCs w:val="24"/>
        </w:rPr>
        <w:t xml:space="preserve">mmol/L, which is currently the threshold in the GSLLD for patients not otherwise included in </w:t>
      </w:r>
      <w:r w:rsidR="000E0C66" w:rsidRPr="00E631B0">
        <w:rPr>
          <w:rFonts w:asciiTheme="minorHAnsi" w:hAnsiTheme="minorHAnsi"/>
          <w:szCs w:val="24"/>
        </w:rPr>
        <w:t>specific clinical</w:t>
      </w:r>
      <w:r w:rsidRPr="00E631B0">
        <w:rPr>
          <w:rFonts w:asciiTheme="minorHAnsi" w:hAnsiTheme="minorHAnsi"/>
          <w:szCs w:val="24"/>
        </w:rPr>
        <w:t xml:space="preserve"> categories</w:t>
      </w:r>
      <w:r w:rsidR="00151BC5" w:rsidRPr="00E631B0">
        <w:rPr>
          <w:rFonts w:asciiTheme="minorHAnsi" w:hAnsiTheme="minorHAnsi"/>
          <w:szCs w:val="24"/>
        </w:rPr>
        <w:t>.</w:t>
      </w:r>
    </w:p>
    <w:p w14:paraId="005CBB69" w14:textId="3EFE757D" w:rsidR="00E85CBE" w:rsidRPr="00E631B0" w:rsidRDefault="00A83336" w:rsidP="000B1039">
      <w:pPr>
        <w:spacing w:line="240" w:lineRule="auto"/>
        <w:jc w:val="left"/>
        <w:rPr>
          <w:rFonts w:asciiTheme="minorHAnsi" w:hAnsiTheme="minorHAnsi"/>
        </w:rPr>
      </w:pPr>
      <w:r w:rsidRPr="00E631B0">
        <w:rPr>
          <w:rFonts w:asciiTheme="minorHAnsi" w:hAnsiTheme="minorHAnsi"/>
          <w:szCs w:val="24"/>
        </w:rPr>
        <w:t>I</w:t>
      </w:r>
      <w:r w:rsidR="00136A5C" w:rsidRPr="00E631B0">
        <w:rPr>
          <w:rFonts w:asciiTheme="minorHAnsi" w:hAnsiTheme="minorHAnsi"/>
          <w:szCs w:val="24"/>
        </w:rPr>
        <w:t>n</w:t>
      </w:r>
      <w:r w:rsidRPr="00E631B0">
        <w:rPr>
          <w:rFonts w:asciiTheme="minorHAnsi" w:hAnsiTheme="minorHAnsi"/>
          <w:szCs w:val="24"/>
        </w:rPr>
        <w:t xml:space="preserve"> considering the report in February 2017, t</w:t>
      </w:r>
      <w:r w:rsidR="00E85CBE" w:rsidRPr="00E631B0">
        <w:rPr>
          <w:rFonts w:asciiTheme="minorHAnsi" w:hAnsiTheme="minorHAnsi"/>
          <w:szCs w:val="24"/>
        </w:rPr>
        <w:t xml:space="preserve">he </w:t>
      </w:r>
      <w:r w:rsidR="00151BC5" w:rsidRPr="00E631B0">
        <w:rPr>
          <w:rFonts w:asciiTheme="minorHAnsi" w:hAnsiTheme="minorHAnsi"/>
          <w:szCs w:val="24"/>
        </w:rPr>
        <w:t xml:space="preserve">DUSC </w:t>
      </w:r>
      <w:r w:rsidR="00454D74" w:rsidRPr="00E631B0">
        <w:rPr>
          <w:rFonts w:asciiTheme="minorHAnsi" w:hAnsiTheme="minorHAnsi"/>
          <w:szCs w:val="24"/>
        </w:rPr>
        <w:t xml:space="preserve">advised </w:t>
      </w:r>
      <w:r w:rsidR="00E85CBE" w:rsidRPr="00E631B0">
        <w:rPr>
          <w:rFonts w:asciiTheme="minorHAnsi" w:hAnsiTheme="minorHAnsi"/>
          <w:szCs w:val="24"/>
        </w:rPr>
        <w:t>that the statin market is mature</w:t>
      </w:r>
      <w:r w:rsidR="00454D74" w:rsidRPr="00E631B0">
        <w:rPr>
          <w:rFonts w:asciiTheme="minorHAnsi" w:hAnsiTheme="minorHAnsi"/>
          <w:szCs w:val="24"/>
        </w:rPr>
        <w:t xml:space="preserve"> but</w:t>
      </w:r>
      <w:r w:rsidR="00E85CBE" w:rsidRPr="00E631B0">
        <w:rPr>
          <w:rFonts w:asciiTheme="minorHAnsi" w:hAnsiTheme="minorHAnsi"/>
          <w:szCs w:val="24"/>
        </w:rPr>
        <w:t xml:space="preserve"> the ezetimibe market </w:t>
      </w:r>
      <w:r w:rsidR="00136A5C" w:rsidRPr="00E631B0">
        <w:rPr>
          <w:rFonts w:asciiTheme="minorHAnsi" w:hAnsiTheme="minorHAnsi"/>
          <w:szCs w:val="24"/>
        </w:rPr>
        <w:t>had</w:t>
      </w:r>
      <w:r w:rsidR="00454D74" w:rsidRPr="00E631B0">
        <w:rPr>
          <w:rFonts w:asciiTheme="minorHAnsi" w:hAnsiTheme="minorHAnsi"/>
          <w:szCs w:val="24"/>
        </w:rPr>
        <w:t xml:space="preserve"> not yet stabilised</w:t>
      </w:r>
      <w:r w:rsidR="00E85CBE" w:rsidRPr="00E631B0">
        <w:rPr>
          <w:rFonts w:asciiTheme="minorHAnsi" w:hAnsiTheme="minorHAnsi"/>
          <w:szCs w:val="24"/>
        </w:rPr>
        <w:t>. Ezetimibe use is predominantly ‘add on’ to statins</w:t>
      </w:r>
      <w:r w:rsidR="00394780" w:rsidRPr="00E631B0">
        <w:rPr>
          <w:rFonts w:asciiTheme="minorHAnsi" w:hAnsiTheme="minorHAnsi"/>
          <w:szCs w:val="24"/>
        </w:rPr>
        <w:t>,</w:t>
      </w:r>
      <w:r w:rsidR="00E85CBE" w:rsidRPr="00E631B0">
        <w:rPr>
          <w:rFonts w:asciiTheme="minorHAnsi" w:hAnsiTheme="minorHAnsi"/>
          <w:szCs w:val="24"/>
        </w:rPr>
        <w:t xml:space="preserve"> </w:t>
      </w:r>
      <w:r w:rsidR="00394780" w:rsidRPr="00E631B0">
        <w:rPr>
          <w:rFonts w:asciiTheme="minorHAnsi" w:hAnsiTheme="minorHAnsi"/>
          <w:szCs w:val="24"/>
        </w:rPr>
        <w:t xml:space="preserve">but in up to half the PBS population prescribed ezetimibe, </w:t>
      </w:r>
      <w:r w:rsidR="00E85CBE" w:rsidRPr="00E631B0">
        <w:rPr>
          <w:rFonts w:asciiTheme="minorHAnsi" w:hAnsiTheme="minorHAnsi"/>
          <w:szCs w:val="24"/>
        </w:rPr>
        <w:t xml:space="preserve">it is uncertain </w:t>
      </w:r>
      <w:r w:rsidRPr="00E631B0">
        <w:rPr>
          <w:rFonts w:asciiTheme="minorHAnsi" w:hAnsiTheme="minorHAnsi"/>
          <w:szCs w:val="24"/>
        </w:rPr>
        <w:t xml:space="preserve">whether </w:t>
      </w:r>
      <w:r w:rsidR="00E85CBE" w:rsidRPr="00E631B0">
        <w:rPr>
          <w:rFonts w:asciiTheme="minorHAnsi" w:hAnsiTheme="minorHAnsi"/>
          <w:szCs w:val="24"/>
        </w:rPr>
        <w:t xml:space="preserve">statins </w:t>
      </w:r>
      <w:r w:rsidR="00151BC5" w:rsidRPr="00E631B0">
        <w:rPr>
          <w:rFonts w:asciiTheme="minorHAnsi" w:hAnsiTheme="minorHAnsi"/>
          <w:szCs w:val="24"/>
        </w:rPr>
        <w:t xml:space="preserve">have been trialled at </w:t>
      </w:r>
      <w:r w:rsidR="00E85CBE" w:rsidRPr="00E631B0">
        <w:rPr>
          <w:rFonts w:asciiTheme="minorHAnsi" w:hAnsiTheme="minorHAnsi"/>
          <w:szCs w:val="24"/>
        </w:rPr>
        <w:t xml:space="preserve">maximum tolerated doses </w:t>
      </w:r>
      <w:r w:rsidR="00151BC5" w:rsidRPr="00E631B0">
        <w:rPr>
          <w:rFonts w:asciiTheme="minorHAnsi" w:hAnsiTheme="minorHAnsi"/>
          <w:szCs w:val="24"/>
        </w:rPr>
        <w:t>before</w:t>
      </w:r>
      <w:r w:rsidR="00E85CBE" w:rsidRPr="00E631B0">
        <w:rPr>
          <w:rFonts w:asciiTheme="minorHAnsi" w:hAnsiTheme="minorHAnsi"/>
          <w:szCs w:val="24"/>
        </w:rPr>
        <w:t xml:space="preserve"> ezetimibe is </w:t>
      </w:r>
      <w:r w:rsidR="00151BC5" w:rsidRPr="00E631B0">
        <w:rPr>
          <w:rFonts w:asciiTheme="minorHAnsi" w:hAnsiTheme="minorHAnsi"/>
          <w:szCs w:val="24"/>
        </w:rPr>
        <w:t>prescribed</w:t>
      </w:r>
      <w:r w:rsidR="00130DC0" w:rsidRPr="00E631B0">
        <w:rPr>
          <w:rFonts w:asciiTheme="minorHAnsi" w:hAnsiTheme="minorHAnsi"/>
          <w:szCs w:val="24"/>
        </w:rPr>
        <w:t>.</w:t>
      </w:r>
      <w:r w:rsidR="00454D74" w:rsidRPr="00E631B0">
        <w:rPr>
          <w:rFonts w:asciiTheme="minorHAnsi" w:hAnsiTheme="minorHAnsi"/>
          <w:szCs w:val="24"/>
        </w:rPr>
        <w:t xml:space="preserve"> Th</w:t>
      </w:r>
      <w:r w:rsidR="0011209E" w:rsidRPr="00E631B0">
        <w:rPr>
          <w:rFonts w:asciiTheme="minorHAnsi" w:hAnsiTheme="minorHAnsi"/>
          <w:szCs w:val="24"/>
        </w:rPr>
        <w:t>e</w:t>
      </w:r>
      <w:r w:rsidR="005A433B" w:rsidRPr="00E631B0">
        <w:rPr>
          <w:rFonts w:asciiTheme="minorHAnsi" w:hAnsiTheme="minorHAnsi"/>
          <w:szCs w:val="24"/>
        </w:rPr>
        <w:t xml:space="preserve"> Reference Group </w:t>
      </w:r>
      <w:r w:rsidR="003E4BC0" w:rsidRPr="00E631B0">
        <w:rPr>
          <w:rFonts w:asciiTheme="minorHAnsi" w:hAnsiTheme="minorHAnsi"/>
          <w:szCs w:val="24"/>
        </w:rPr>
        <w:t xml:space="preserve">therefore </w:t>
      </w:r>
      <w:r w:rsidR="0011209E" w:rsidRPr="00E631B0">
        <w:rPr>
          <w:rFonts w:asciiTheme="minorHAnsi" w:hAnsiTheme="minorHAnsi"/>
          <w:szCs w:val="24"/>
        </w:rPr>
        <w:t xml:space="preserve">considered </w:t>
      </w:r>
      <w:r w:rsidR="00454D74" w:rsidRPr="00E631B0">
        <w:rPr>
          <w:rFonts w:asciiTheme="minorHAnsi" w:hAnsiTheme="minorHAnsi"/>
          <w:szCs w:val="24"/>
        </w:rPr>
        <w:t>PBS subsidised statins</w:t>
      </w:r>
      <w:r w:rsidR="0011209E" w:rsidRPr="00E631B0">
        <w:rPr>
          <w:rFonts w:asciiTheme="minorHAnsi" w:hAnsiTheme="minorHAnsi"/>
          <w:szCs w:val="24"/>
        </w:rPr>
        <w:t xml:space="preserve"> could become unrestricted and ezetimibe should remain Authority Required (Streamlined)</w:t>
      </w:r>
      <w:r w:rsidR="00454D74" w:rsidRPr="00E631B0">
        <w:rPr>
          <w:rFonts w:asciiTheme="minorHAnsi" w:hAnsiTheme="minorHAnsi"/>
          <w:szCs w:val="24"/>
        </w:rPr>
        <w:t>.</w:t>
      </w:r>
    </w:p>
    <w:p w14:paraId="008E5290" w14:textId="21430FCB" w:rsidR="0000686B" w:rsidRPr="00E631B0" w:rsidRDefault="00351843" w:rsidP="000B1039">
      <w:pPr>
        <w:pStyle w:val="Heading3"/>
        <w:jc w:val="left"/>
      </w:pPr>
      <w:bookmarkStart w:id="22" w:name="_Toc500510190"/>
      <w:r w:rsidRPr="00E631B0">
        <w:t>Review a</w:t>
      </w:r>
      <w:r w:rsidR="0000686B" w:rsidRPr="00E631B0">
        <w:t>dvice to the PBAC</w:t>
      </w:r>
      <w:bookmarkEnd w:id="22"/>
      <w:r w:rsidR="0000686B" w:rsidRPr="00E631B0">
        <w:t xml:space="preserve"> </w:t>
      </w:r>
    </w:p>
    <w:p w14:paraId="6F020041" w14:textId="77777777" w:rsidR="0082069A" w:rsidRPr="00E631B0" w:rsidRDefault="0000686B" w:rsidP="008600B5">
      <w:pPr>
        <w:pStyle w:val="ListParagraph"/>
        <w:numPr>
          <w:ilvl w:val="0"/>
          <w:numId w:val="30"/>
        </w:numPr>
        <w:spacing w:after="120" w:line="240" w:lineRule="auto"/>
        <w:ind w:left="567" w:hanging="567"/>
        <w:jc w:val="left"/>
        <w:rPr>
          <w:rFonts w:asciiTheme="minorHAnsi" w:hAnsiTheme="minorHAnsi"/>
        </w:rPr>
      </w:pPr>
      <w:r w:rsidRPr="00E631B0">
        <w:rPr>
          <w:rFonts w:asciiTheme="minorHAnsi" w:hAnsiTheme="minorHAnsi"/>
        </w:rPr>
        <w:t>The use of LLT is now an established approach to reduce cardiovascular risk. The PBAC may wish to consider remov</w:t>
      </w:r>
      <w:r w:rsidR="00231714" w:rsidRPr="00E631B0">
        <w:rPr>
          <w:rFonts w:asciiTheme="minorHAnsi" w:hAnsiTheme="minorHAnsi"/>
        </w:rPr>
        <w:t xml:space="preserve">al of the </w:t>
      </w:r>
      <w:r w:rsidRPr="00E631B0">
        <w:rPr>
          <w:rFonts w:asciiTheme="minorHAnsi" w:hAnsiTheme="minorHAnsi"/>
        </w:rPr>
        <w:t>G</w:t>
      </w:r>
      <w:r w:rsidR="00C027A2" w:rsidRPr="00E631B0">
        <w:rPr>
          <w:rFonts w:asciiTheme="minorHAnsi" w:hAnsiTheme="minorHAnsi"/>
        </w:rPr>
        <w:t xml:space="preserve">SLLD </w:t>
      </w:r>
      <w:r w:rsidRPr="00E631B0">
        <w:rPr>
          <w:rFonts w:asciiTheme="minorHAnsi" w:hAnsiTheme="minorHAnsi"/>
        </w:rPr>
        <w:t>from the PBS restriction for statins, fenofibrate and gemfibrozil</w:t>
      </w:r>
      <w:r w:rsidR="002C1379" w:rsidRPr="00E631B0">
        <w:rPr>
          <w:rFonts w:asciiTheme="minorHAnsi" w:hAnsiTheme="minorHAnsi"/>
        </w:rPr>
        <w:t>.</w:t>
      </w:r>
      <w:r w:rsidRPr="00E631B0">
        <w:rPr>
          <w:rFonts w:asciiTheme="minorHAnsi" w:hAnsiTheme="minorHAnsi"/>
        </w:rPr>
        <w:t xml:space="preserve"> </w:t>
      </w:r>
      <w:r w:rsidR="00C027A2" w:rsidRPr="00E631B0">
        <w:rPr>
          <w:rFonts w:asciiTheme="minorHAnsi" w:hAnsiTheme="minorHAnsi"/>
        </w:rPr>
        <w:t xml:space="preserve">Removal of the GSSLD will require revision of </w:t>
      </w:r>
      <w:r w:rsidR="002C1379" w:rsidRPr="00E631B0">
        <w:rPr>
          <w:rFonts w:asciiTheme="minorHAnsi" w:hAnsiTheme="minorHAnsi"/>
        </w:rPr>
        <w:t xml:space="preserve">the </w:t>
      </w:r>
      <w:r w:rsidRPr="00E631B0">
        <w:rPr>
          <w:rFonts w:asciiTheme="minorHAnsi" w:hAnsiTheme="minorHAnsi"/>
        </w:rPr>
        <w:t xml:space="preserve">ezetimibe </w:t>
      </w:r>
      <w:r w:rsidR="00C027A2" w:rsidRPr="00E631B0">
        <w:rPr>
          <w:rFonts w:asciiTheme="minorHAnsi" w:hAnsiTheme="minorHAnsi"/>
        </w:rPr>
        <w:t xml:space="preserve">PBS </w:t>
      </w:r>
      <w:r w:rsidRPr="00E631B0">
        <w:rPr>
          <w:rFonts w:asciiTheme="minorHAnsi" w:hAnsiTheme="minorHAnsi"/>
        </w:rPr>
        <w:t>restriction</w:t>
      </w:r>
      <w:r w:rsidR="00C027A2" w:rsidRPr="00E631B0">
        <w:rPr>
          <w:rFonts w:asciiTheme="minorHAnsi" w:hAnsiTheme="minorHAnsi"/>
        </w:rPr>
        <w:t xml:space="preserve"> wording</w:t>
      </w:r>
      <w:r w:rsidR="002C1379" w:rsidRPr="00E631B0">
        <w:rPr>
          <w:rFonts w:asciiTheme="minorHAnsi" w:hAnsiTheme="minorHAnsi"/>
        </w:rPr>
        <w:t>.</w:t>
      </w:r>
    </w:p>
    <w:p w14:paraId="3AD0B0B1" w14:textId="51943EDD" w:rsidR="0082069A" w:rsidRPr="00E631B0" w:rsidRDefault="0000686B" w:rsidP="008600B5">
      <w:pPr>
        <w:pStyle w:val="ListParagraph"/>
        <w:numPr>
          <w:ilvl w:val="0"/>
          <w:numId w:val="30"/>
        </w:numPr>
        <w:spacing w:after="120" w:line="240" w:lineRule="auto"/>
        <w:ind w:left="567" w:hanging="567"/>
        <w:jc w:val="left"/>
        <w:rPr>
          <w:rFonts w:asciiTheme="minorHAnsi" w:hAnsiTheme="minorHAnsi"/>
          <w:szCs w:val="24"/>
        </w:rPr>
      </w:pPr>
      <w:r w:rsidRPr="00E631B0">
        <w:rPr>
          <w:rFonts w:asciiTheme="minorHAnsi" w:hAnsiTheme="minorHAnsi"/>
          <w:szCs w:val="24"/>
        </w:rPr>
        <w:t xml:space="preserve">The current PBS restrictions for statins </w:t>
      </w:r>
      <w:r w:rsidR="00E7248D" w:rsidRPr="00E631B0">
        <w:rPr>
          <w:rFonts w:asciiTheme="minorHAnsi" w:hAnsiTheme="minorHAnsi"/>
          <w:szCs w:val="24"/>
        </w:rPr>
        <w:t>are 15 years old.</w:t>
      </w:r>
      <w:r w:rsidRPr="00E631B0">
        <w:rPr>
          <w:rFonts w:asciiTheme="minorHAnsi" w:hAnsiTheme="minorHAnsi"/>
          <w:szCs w:val="24"/>
        </w:rPr>
        <w:t xml:space="preserve"> Together with the reduction in statin price achieved through </w:t>
      </w:r>
      <w:r w:rsidR="00930FAB" w:rsidRPr="00E631B0">
        <w:rPr>
          <w:rFonts w:asciiTheme="minorHAnsi" w:hAnsiTheme="minorHAnsi"/>
          <w:szCs w:val="24"/>
        </w:rPr>
        <w:t>PBS S</w:t>
      </w:r>
      <w:r w:rsidRPr="00E631B0">
        <w:rPr>
          <w:rFonts w:asciiTheme="minorHAnsi" w:hAnsiTheme="minorHAnsi"/>
          <w:szCs w:val="24"/>
        </w:rPr>
        <w:t xml:space="preserve">tatutory </w:t>
      </w:r>
      <w:r w:rsidR="00930FAB" w:rsidRPr="00E631B0">
        <w:rPr>
          <w:rFonts w:asciiTheme="minorHAnsi" w:hAnsiTheme="minorHAnsi"/>
          <w:szCs w:val="24"/>
        </w:rPr>
        <w:t>P</w:t>
      </w:r>
      <w:r w:rsidRPr="00E631B0">
        <w:rPr>
          <w:rFonts w:asciiTheme="minorHAnsi" w:hAnsiTheme="minorHAnsi"/>
          <w:szCs w:val="24"/>
        </w:rPr>
        <w:t xml:space="preserve">ricing policy, the Reference Group recommends the PBAC consider derestriction of statins from Restricted Benefit to </w:t>
      </w:r>
      <w:r w:rsidR="003B5FC4" w:rsidRPr="00E631B0">
        <w:rPr>
          <w:rFonts w:asciiTheme="minorHAnsi" w:hAnsiTheme="minorHAnsi"/>
          <w:szCs w:val="24"/>
        </w:rPr>
        <w:t>U</w:t>
      </w:r>
      <w:r w:rsidRPr="00E631B0">
        <w:rPr>
          <w:rFonts w:asciiTheme="minorHAnsi" w:hAnsiTheme="minorHAnsi"/>
          <w:szCs w:val="24"/>
        </w:rPr>
        <w:t xml:space="preserve">nrestricted </w:t>
      </w:r>
      <w:r w:rsidR="003B5FC4" w:rsidRPr="00E631B0">
        <w:rPr>
          <w:rFonts w:asciiTheme="minorHAnsi" w:hAnsiTheme="minorHAnsi"/>
          <w:szCs w:val="24"/>
        </w:rPr>
        <w:t>B</w:t>
      </w:r>
      <w:r w:rsidRPr="00E631B0">
        <w:rPr>
          <w:rFonts w:asciiTheme="minorHAnsi" w:hAnsiTheme="minorHAnsi"/>
          <w:szCs w:val="24"/>
        </w:rPr>
        <w:t>enefit.</w:t>
      </w:r>
    </w:p>
    <w:p w14:paraId="73174A71" w14:textId="42234F12" w:rsidR="0082069A" w:rsidRPr="00E631B0" w:rsidRDefault="0000686B" w:rsidP="008600B5">
      <w:pPr>
        <w:pStyle w:val="ListParagraph"/>
        <w:numPr>
          <w:ilvl w:val="0"/>
          <w:numId w:val="30"/>
        </w:numPr>
        <w:spacing w:after="120" w:line="240" w:lineRule="auto"/>
        <w:ind w:left="567" w:hanging="567"/>
        <w:jc w:val="left"/>
        <w:rPr>
          <w:rFonts w:asciiTheme="minorHAnsi" w:hAnsiTheme="minorHAnsi"/>
        </w:rPr>
      </w:pPr>
      <w:r w:rsidRPr="00E631B0">
        <w:rPr>
          <w:rFonts w:asciiTheme="minorHAnsi" w:hAnsiTheme="minorHAnsi"/>
          <w:szCs w:val="24"/>
        </w:rPr>
        <w:t xml:space="preserve">The Reference Group recommends the PBAC consider the place of ezetimibe </w:t>
      </w:r>
      <w:r w:rsidR="002C1379" w:rsidRPr="00E631B0">
        <w:rPr>
          <w:rFonts w:asciiTheme="minorHAnsi" w:hAnsiTheme="minorHAnsi"/>
          <w:szCs w:val="24"/>
        </w:rPr>
        <w:t xml:space="preserve">remain </w:t>
      </w:r>
      <w:r w:rsidRPr="00E631B0">
        <w:rPr>
          <w:rFonts w:asciiTheme="minorHAnsi" w:hAnsiTheme="minorHAnsi"/>
          <w:szCs w:val="24"/>
        </w:rPr>
        <w:t>confined to second line, compatible with clinical guidelines, via</w:t>
      </w:r>
      <w:r w:rsidR="005F46CF" w:rsidRPr="00E631B0">
        <w:rPr>
          <w:rFonts w:asciiTheme="minorHAnsi" w:hAnsiTheme="minorHAnsi"/>
          <w:szCs w:val="24"/>
        </w:rPr>
        <w:t xml:space="preserve"> </w:t>
      </w:r>
      <w:r w:rsidR="0033494A" w:rsidRPr="00E631B0">
        <w:rPr>
          <w:rFonts w:asciiTheme="minorHAnsi" w:hAnsiTheme="minorHAnsi"/>
          <w:szCs w:val="24"/>
        </w:rPr>
        <w:t>an Authority Required (Streamlined)</w:t>
      </w:r>
      <w:r w:rsidRPr="00E631B0">
        <w:rPr>
          <w:rFonts w:asciiTheme="minorHAnsi" w:hAnsiTheme="minorHAnsi"/>
          <w:szCs w:val="24"/>
        </w:rPr>
        <w:t xml:space="preserve"> listing</w:t>
      </w:r>
      <w:r w:rsidR="002C1379" w:rsidRPr="00E631B0">
        <w:rPr>
          <w:rFonts w:asciiTheme="minorHAnsi" w:hAnsiTheme="minorHAnsi"/>
          <w:szCs w:val="24"/>
        </w:rPr>
        <w:t xml:space="preserve">. </w:t>
      </w:r>
    </w:p>
    <w:p w14:paraId="5F8FD094" w14:textId="5F9D3603" w:rsidR="0082069A" w:rsidRPr="00E631B0" w:rsidRDefault="002C1379" w:rsidP="008600B5">
      <w:pPr>
        <w:pStyle w:val="ListParagraph"/>
        <w:numPr>
          <w:ilvl w:val="0"/>
          <w:numId w:val="30"/>
        </w:numPr>
        <w:spacing w:after="120" w:line="240" w:lineRule="auto"/>
        <w:ind w:left="567" w:hanging="567"/>
        <w:jc w:val="left"/>
        <w:rPr>
          <w:rFonts w:asciiTheme="minorHAnsi" w:hAnsiTheme="minorHAnsi"/>
        </w:rPr>
      </w:pPr>
      <w:r w:rsidRPr="00E631B0">
        <w:rPr>
          <w:rFonts w:asciiTheme="minorHAnsi" w:hAnsiTheme="minorHAnsi"/>
          <w:szCs w:val="24"/>
        </w:rPr>
        <w:t xml:space="preserve">The PBAC may wish to consider </w:t>
      </w:r>
      <w:r w:rsidR="00930FAB" w:rsidRPr="00E631B0">
        <w:rPr>
          <w:rFonts w:asciiTheme="minorHAnsi" w:hAnsiTheme="minorHAnsi"/>
          <w:szCs w:val="24"/>
        </w:rPr>
        <w:t xml:space="preserve">revising </w:t>
      </w:r>
      <w:r w:rsidRPr="00E631B0">
        <w:rPr>
          <w:rFonts w:asciiTheme="minorHAnsi" w:hAnsiTheme="minorHAnsi"/>
          <w:szCs w:val="24"/>
        </w:rPr>
        <w:t xml:space="preserve">the restriction for ezetimibe </w:t>
      </w:r>
      <w:r w:rsidR="00930FAB" w:rsidRPr="00E631B0">
        <w:rPr>
          <w:rFonts w:asciiTheme="minorHAnsi" w:hAnsiTheme="minorHAnsi"/>
          <w:szCs w:val="24"/>
        </w:rPr>
        <w:t xml:space="preserve">as displayed below </w:t>
      </w:r>
      <w:r w:rsidRPr="00E631B0">
        <w:rPr>
          <w:rFonts w:asciiTheme="minorHAnsi" w:hAnsiTheme="minorHAnsi"/>
          <w:szCs w:val="24"/>
        </w:rPr>
        <w:t>(</w:t>
      </w:r>
      <w:r w:rsidR="00930FAB" w:rsidRPr="00E631B0">
        <w:rPr>
          <w:rFonts w:asciiTheme="minorHAnsi" w:hAnsiTheme="minorHAnsi"/>
          <w:szCs w:val="24"/>
        </w:rPr>
        <w:t xml:space="preserve">refer </w:t>
      </w:r>
      <w:r w:rsidR="0033494A" w:rsidRPr="00E631B0">
        <w:rPr>
          <w:rFonts w:asciiTheme="minorHAnsi" w:hAnsiTheme="minorHAnsi"/>
          <w:szCs w:val="24"/>
        </w:rPr>
        <w:t xml:space="preserve">below </w:t>
      </w:r>
      <w:r w:rsidR="00930FAB" w:rsidRPr="00E631B0">
        <w:rPr>
          <w:rFonts w:asciiTheme="minorHAnsi" w:hAnsiTheme="minorHAnsi"/>
          <w:szCs w:val="24"/>
        </w:rPr>
        <w:t xml:space="preserve">for an </w:t>
      </w:r>
      <w:r w:rsidRPr="00E631B0">
        <w:rPr>
          <w:rFonts w:asciiTheme="minorHAnsi" w:hAnsiTheme="minorHAnsi"/>
          <w:szCs w:val="24"/>
        </w:rPr>
        <w:t>abbreviated</w:t>
      </w:r>
      <w:r w:rsidR="00930FAB" w:rsidRPr="00E631B0">
        <w:rPr>
          <w:rFonts w:asciiTheme="minorHAnsi" w:hAnsiTheme="minorHAnsi"/>
          <w:szCs w:val="24"/>
        </w:rPr>
        <w:t xml:space="preserve"> version</w:t>
      </w:r>
      <w:r w:rsidRPr="00E631B0">
        <w:rPr>
          <w:rFonts w:asciiTheme="minorHAnsi" w:hAnsiTheme="minorHAnsi"/>
          <w:szCs w:val="24"/>
        </w:rPr>
        <w:t xml:space="preserve">, further details </w:t>
      </w:r>
      <w:r w:rsidR="00930FAB" w:rsidRPr="00E631B0">
        <w:rPr>
          <w:rFonts w:asciiTheme="minorHAnsi" w:hAnsiTheme="minorHAnsi"/>
          <w:szCs w:val="24"/>
        </w:rPr>
        <w:t xml:space="preserve">found in </w:t>
      </w:r>
      <w:r w:rsidRPr="00E631B0">
        <w:rPr>
          <w:rFonts w:asciiTheme="minorHAnsi" w:hAnsiTheme="minorHAnsi"/>
          <w:szCs w:val="24"/>
        </w:rPr>
        <w:t>section 2.4).</w:t>
      </w:r>
      <w:r w:rsidR="00E136C0" w:rsidRPr="00E631B0">
        <w:rPr>
          <w:rFonts w:asciiTheme="minorHAnsi" w:hAnsiTheme="minorHAnsi"/>
          <w:szCs w:val="24"/>
        </w:rPr>
        <w:t xml:space="preserve"> Im</w:t>
      </w:r>
      <w:r w:rsidR="00E136C0" w:rsidRPr="00E631B0">
        <w:rPr>
          <w:rFonts w:asciiTheme="minorHAnsi" w:hAnsiTheme="minorHAnsi"/>
        </w:rPr>
        <w:t xml:space="preserve">plementation will require </w:t>
      </w:r>
      <w:r w:rsidR="00E7248D" w:rsidRPr="00E631B0">
        <w:rPr>
          <w:rFonts w:asciiTheme="minorHAnsi" w:hAnsiTheme="minorHAnsi"/>
        </w:rPr>
        <w:t xml:space="preserve">prescriber </w:t>
      </w:r>
      <w:r w:rsidR="00E136C0" w:rsidRPr="00E631B0">
        <w:rPr>
          <w:rFonts w:asciiTheme="minorHAnsi" w:hAnsiTheme="minorHAnsi"/>
        </w:rPr>
        <w:t xml:space="preserve">education to promote the importance of absolute risk reduction in the approach to cardiovascular disease management. </w:t>
      </w:r>
      <w:r w:rsidR="00D600E9" w:rsidRPr="00E631B0">
        <w:rPr>
          <w:rFonts w:asciiTheme="minorHAnsi" w:hAnsiTheme="minorHAnsi"/>
        </w:rPr>
        <w:t>In the future, t</w:t>
      </w:r>
      <w:r w:rsidR="00FD3BF9" w:rsidRPr="00E631B0">
        <w:rPr>
          <w:rFonts w:asciiTheme="minorHAnsi" w:hAnsiTheme="minorHAnsi"/>
        </w:rPr>
        <w:t xml:space="preserve">he PBAC may wish to </w:t>
      </w:r>
      <w:r w:rsidR="00E7248D" w:rsidRPr="00E631B0">
        <w:rPr>
          <w:rFonts w:asciiTheme="minorHAnsi" w:hAnsiTheme="minorHAnsi"/>
        </w:rPr>
        <w:t xml:space="preserve">apply </w:t>
      </w:r>
      <w:r w:rsidR="00FD3BF9" w:rsidRPr="00E631B0">
        <w:rPr>
          <w:rFonts w:asciiTheme="minorHAnsi" w:hAnsiTheme="minorHAnsi"/>
        </w:rPr>
        <w:t>a contemporary absolute risk threshold approach to the ezetimibe restriction for both the high and low cardiovascular risk populations</w:t>
      </w:r>
      <w:r w:rsidR="0033494A" w:rsidRPr="00E631B0">
        <w:rPr>
          <w:rFonts w:asciiTheme="minorHAnsi" w:hAnsiTheme="minorHAnsi"/>
        </w:rPr>
        <w:t>.</w:t>
      </w:r>
      <w:r w:rsidR="00FD3BF9" w:rsidRPr="00E631B0">
        <w:rPr>
          <w:rFonts w:asciiTheme="minorHAnsi" w:hAnsiTheme="minorHAnsi"/>
        </w:rPr>
        <w:t xml:space="preserve"> </w:t>
      </w:r>
    </w:p>
    <w:p w14:paraId="2B419D73" w14:textId="2D2DEE14" w:rsidR="00E136C0" w:rsidRPr="00736E4A" w:rsidRDefault="00E136C0" w:rsidP="000B1039">
      <w:pPr>
        <w:spacing w:after="0" w:line="240" w:lineRule="auto"/>
        <w:jc w:val="left"/>
        <w:rPr>
          <w:rFonts w:asciiTheme="minorHAnsi" w:hAnsiTheme="minorHAnsi"/>
          <w:b/>
          <w:szCs w:val="24"/>
          <w:highlight w:val="yellow"/>
        </w:rPr>
      </w:pPr>
    </w:p>
    <w:p w14:paraId="1939E500" w14:textId="06AC8398" w:rsidR="000B1039" w:rsidRDefault="000B1039">
      <w:pPr>
        <w:spacing w:after="0" w:line="240" w:lineRule="auto"/>
        <w:jc w:val="left"/>
        <w:rPr>
          <w:rFonts w:asciiTheme="minorHAnsi" w:eastAsia="Times New Roman" w:hAnsiTheme="minorHAnsi" w:cs="Times New Roman"/>
          <w:b/>
          <w:i/>
          <w:color w:val="000000"/>
          <w:szCs w:val="24"/>
          <w:lang w:eastAsia="en-AU"/>
        </w:rPr>
      </w:pPr>
      <w:r>
        <w:br w:type="page"/>
      </w:r>
    </w:p>
    <w:p w14:paraId="0F421CE5" w14:textId="77777777" w:rsidR="00930FAB" w:rsidRPr="00E631B0" w:rsidRDefault="00930FAB" w:rsidP="000B1039">
      <w:pPr>
        <w:pStyle w:val="Heading4new"/>
        <w:jc w:val="left"/>
        <w:rPr>
          <w:b w:val="0"/>
          <w:color w:val="auto"/>
        </w:rPr>
      </w:pPr>
      <w:r w:rsidRPr="00E631B0">
        <w:rPr>
          <w:color w:val="auto"/>
        </w:rPr>
        <w:lastRenderedPageBreak/>
        <w:t xml:space="preserve">Revised </w:t>
      </w:r>
      <w:r w:rsidR="00C17B2A" w:rsidRPr="00E631B0">
        <w:rPr>
          <w:color w:val="auto"/>
        </w:rPr>
        <w:t>ezetimibe PBS restriction for PBAC consideration</w:t>
      </w:r>
    </w:p>
    <w:p w14:paraId="765B480B" w14:textId="561338B3" w:rsidR="0033494A" w:rsidRPr="00E631B0" w:rsidRDefault="0033494A" w:rsidP="000B1039">
      <w:pPr>
        <w:jc w:val="left"/>
        <w:rPr>
          <w:rFonts w:asciiTheme="minorHAnsi" w:hAnsiTheme="minorHAnsi"/>
          <w:b/>
        </w:rPr>
      </w:pPr>
      <w:r w:rsidRPr="00E631B0">
        <w:rPr>
          <w:rFonts w:asciiTheme="minorHAnsi" w:hAnsiTheme="minorHAnsi"/>
          <w:b/>
        </w:rPr>
        <w:t>Authority Required (Streamlined)</w:t>
      </w:r>
    </w:p>
    <w:p w14:paraId="26E7B972" w14:textId="77777777" w:rsidR="0033494A" w:rsidRPr="00E631B0" w:rsidRDefault="0033494A" w:rsidP="000B1039">
      <w:pPr>
        <w:jc w:val="left"/>
        <w:rPr>
          <w:rFonts w:asciiTheme="minorHAnsi" w:hAnsiTheme="minorHAnsi"/>
          <w:b/>
        </w:rPr>
      </w:pPr>
      <w:r w:rsidRPr="00E631B0">
        <w:rPr>
          <w:rFonts w:asciiTheme="minorHAnsi" w:hAnsiTheme="minorHAnsi"/>
          <w:b/>
        </w:rPr>
        <w:t>Hypercholesterolaemia</w:t>
      </w:r>
    </w:p>
    <w:p w14:paraId="22C21006" w14:textId="77777777" w:rsidR="0033494A" w:rsidRPr="00E631B0" w:rsidRDefault="0033494A" w:rsidP="008600B5">
      <w:pPr>
        <w:pStyle w:val="ListParagraph"/>
        <w:numPr>
          <w:ilvl w:val="0"/>
          <w:numId w:val="45"/>
        </w:numPr>
        <w:ind w:left="284" w:hanging="284"/>
        <w:jc w:val="left"/>
        <w:rPr>
          <w:rFonts w:asciiTheme="minorHAnsi" w:hAnsiTheme="minorHAnsi"/>
          <w:b/>
        </w:rPr>
      </w:pPr>
      <w:r w:rsidRPr="00E631B0">
        <w:rPr>
          <w:rFonts w:asciiTheme="minorHAnsi" w:hAnsiTheme="minorHAnsi"/>
          <w:b/>
        </w:rPr>
        <w:t>Clinical Criteria</w:t>
      </w:r>
    </w:p>
    <w:p w14:paraId="09ED8635" w14:textId="3BDE07C8" w:rsidR="0033494A" w:rsidRPr="00E631B0" w:rsidRDefault="0033494A" w:rsidP="008600B5">
      <w:pPr>
        <w:pStyle w:val="ListParagraph"/>
        <w:numPr>
          <w:ilvl w:val="1"/>
          <w:numId w:val="45"/>
        </w:numPr>
        <w:ind w:left="851" w:hanging="284"/>
        <w:jc w:val="left"/>
        <w:rPr>
          <w:rFonts w:asciiTheme="minorHAnsi" w:hAnsiTheme="minorHAnsi"/>
          <w:b/>
        </w:rPr>
      </w:pPr>
      <w:r w:rsidRPr="00E631B0">
        <w:rPr>
          <w:rFonts w:asciiTheme="minorHAnsi" w:hAnsiTheme="minorHAnsi"/>
        </w:rPr>
        <w:t>The treatment must be co-administered with an HMG CoA reductase inhibitor (statin)</w:t>
      </w:r>
      <w:r w:rsidR="003B5FC4" w:rsidRPr="00E631B0">
        <w:rPr>
          <w:rFonts w:asciiTheme="minorHAnsi" w:hAnsiTheme="minorHAnsi"/>
        </w:rPr>
        <w:t>,</w:t>
      </w:r>
    </w:p>
    <w:p w14:paraId="7842526D" w14:textId="77777777" w:rsidR="0033494A" w:rsidRPr="00E631B0" w:rsidRDefault="0033494A" w:rsidP="000B1039">
      <w:pPr>
        <w:pStyle w:val="ListParagraph"/>
        <w:ind w:left="851"/>
        <w:jc w:val="left"/>
        <w:rPr>
          <w:rFonts w:asciiTheme="minorHAnsi" w:hAnsiTheme="minorHAnsi"/>
          <w:b/>
        </w:rPr>
      </w:pPr>
      <w:r w:rsidRPr="00E631B0">
        <w:rPr>
          <w:rFonts w:asciiTheme="minorHAnsi" w:hAnsiTheme="minorHAnsi"/>
          <w:b/>
        </w:rPr>
        <w:t>AND</w:t>
      </w:r>
    </w:p>
    <w:p w14:paraId="23612220" w14:textId="4FDD52A1" w:rsidR="0033494A" w:rsidRPr="00E631B0" w:rsidRDefault="0033494A" w:rsidP="008600B5">
      <w:pPr>
        <w:pStyle w:val="ListParagraph"/>
        <w:numPr>
          <w:ilvl w:val="1"/>
          <w:numId w:val="45"/>
        </w:numPr>
        <w:ind w:left="851" w:hanging="284"/>
        <w:jc w:val="left"/>
        <w:rPr>
          <w:rFonts w:asciiTheme="minorHAnsi" w:hAnsiTheme="minorHAnsi"/>
          <w:b/>
        </w:rPr>
      </w:pPr>
      <w:r w:rsidRPr="00E631B0">
        <w:rPr>
          <w:rFonts w:asciiTheme="minorHAnsi" w:hAnsiTheme="minorHAnsi"/>
        </w:rPr>
        <w:t>Patient must have cholesterol concentrations that are inadequately controlled with an HMG CoA reductase inhibitor (statin). Inadequate control is a cholesterol concentration in excess of 4mmol/L after at least 3 months of treatment at a maximum tolerated dose of a statin. The dose and duration of statin treatment and the cholesterol concentration which shows inadequate control must be documented in the patient’s medical records when ezetimibe is initiated</w:t>
      </w:r>
      <w:r w:rsidR="003B5FC4" w:rsidRPr="00E631B0">
        <w:rPr>
          <w:rFonts w:asciiTheme="minorHAnsi" w:hAnsiTheme="minorHAnsi"/>
        </w:rPr>
        <w:t>,</w:t>
      </w:r>
    </w:p>
    <w:p w14:paraId="6066E922" w14:textId="77777777" w:rsidR="0033494A" w:rsidRPr="00E631B0" w:rsidRDefault="0033494A" w:rsidP="000B1039">
      <w:pPr>
        <w:pStyle w:val="ListParagraph"/>
        <w:ind w:left="851"/>
        <w:jc w:val="left"/>
        <w:rPr>
          <w:rFonts w:asciiTheme="minorHAnsi" w:hAnsiTheme="minorHAnsi"/>
          <w:b/>
        </w:rPr>
      </w:pPr>
      <w:r w:rsidRPr="00E631B0">
        <w:rPr>
          <w:rFonts w:asciiTheme="minorHAnsi" w:hAnsiTheme="minorHAnsi"/>
          <w:b/>
        </w:rPr>
        <w:t>AND</w:t>
      </w:r>
    </w:p>
    <w:p w14:paraId="670AB070" w14:textId="77777777" w:rsidR="0033494A" w:rsidRPr="00E631B0" w:rsidRDefault="0033494A" w:rsidP="008600B5">
      <w:pPr>
        <w:pStyle w:val="ListParagraph"/>
        <w:numPr>
          <w:ilvl w:val="1"/>
          <w:numId w:val="45"/>
        </w:numPr>
        <w:ind w:left="851" w:hanging="284"/>
        <w:jc w:val="left"/>
        <w:rPr>
          <w:rFonts w:asciiTheme="minorHAnsi" w:hAnsiTheme="minorHAnsi"/>
          <w:b/>
        </w:rPr>
      </w:pPr>
      <w:r w:rsidRPr="00E631B0">
        <w:rPr>
          <w:rFonts w:asciiTheme="minorHAnsi" w:hAnsiTheme="minorHAnsi"/>
        </w:rPr>
        <w:t xml:space="preserve">Patient falls into at least one of the very high risk categories described as: </w:t>
      </w:r>
    </w:p>
    <w:p w14:paraId="201FB8E4" w14:textId="77777777" w:rsidR="0033494A" w:rsidRPr="00E631B0" w:rsidRDefault="0033494A" w:rsidP="008600B5">
      <w:pPr>
        <w:pStyle w:val="ListParagraph"/>
        <w:numPr>
          <w:ilvl w:val="2"/>
          <w:numId w:val="45"/>
        </w:numPr>
        <w:ind w:left="1276" w:hanging="283"/>
        <w:jc w:val="left"/>
        <w:rPr>
          <w:rFonts w:asciiTheme="minorHAnsi" w:hAnsiTheme="minorHAnsi"/>
        </w:rPr>
      </w:pPr>
      <w:r w:rsidRPr="00E631B0">
        <w:rPr>
          <w:rFonts w:asciiTheme="minorHAnsi" w:hAnsiTheme="minorHAnsi"/>
        </w:rPr>
        <w:t>coronary heart disease which has become symptomatic</w:t>
      </w:r>
    </w:p>
    <w:p w14:paraId="7C04D47F" w14:textId="77777777" w:rsidR="0033494A" w:rsidRPr="00E631B0" w:rsidRDefault="0033494A" w:rsidP="008600B5">
      <w:pPr>
        <w:pStyle w:val="ListParagraph"/>
        <w:numPr>
          <w:ilvl w:val="2"/>
          <w:numId w:val="45"/>
        </w:numPr>
        <w:ind w:left="1276" w:hanging="283"/>
        <w:jc w:val="left"/>
        <w:rPr>
          <w:rFonts w:asciiTheme="minorHAnsi" w:hAnsiTheme="minorHAnsi"/>
        </w:rPr>
      </w:pPr>
      <w:r w:rsidRPr="00E631B0">
        <w:rPr>
          <w:rFonts w:asciiTheme="minorHAnsi" w:hAnsiTheme="minorHAnsi"/>
        </w:rPr>
        <w:t>cerebrovascular disease which has become symptomatic</w:t>
      </w:r>
    </w:p>
    <w:p w14:paraId="60590BE3" w14:textId="77777777" w:rsidR="0033494A" w:rsidRPr="00E631B0" w:rsidRDefault="0033494A" w:rsidP="008600B5">
      <w:pPr>
        <w:pStyle w:val="ListParagraph"/>
        <w:numPr>
          <w:ilvl w:val="2"/>
          <w:numId w:val="45"/>
        </w:numPr>
        <w:ind w:left="1276" w:hanging="283"/>
        <w:jc w:val="left"/>
        <w:rPr>
          <w:rFonts w:asciiTheme="minorHAnsi" w:hAnsiTheme="minorHAnsi"/>
        </w:rPr>
      </w:pPr>
      <w:r w:rsidRPr="00E631B0">
        <w:rPr>
          <w:rFonts w:asciiTheme="minorHAnsi" w:hAnsiTheme="minorHAnsi"/>
        </w:rPr>
        <w:t>peripheral vascular disease which has become symptomatic</w:t>
      </w:r>
    </w:p>
    <w:p w14:paraId="5329F821" w14:textId="77777777" w:rsidR="0033494A" w:rsidRPr="00E631B0" w:rsidRDefault="0033494A" w:rsidP="008600B5">
      <w:pPr>
        <w:pStyle w:val="ListParagraph"/>
        <w:numPr>
          <w:ilvl w:val="2"/>
          <w:numId w:val="45"/>
        </w:numPr>
        <w:ind w:left="1276" w:hanging="283"/>
        <w:jc w:val="left"/>
        <w:rPr>
          <w:rFonts w:asciiTheme="minorHAnsi" w:hAnsiTheme="minorHAnsi"/>
        </w:rPr>
      </w:pPr>
      <w:r w:rsidRPr="00E631B0">
        <w:rPr>
          <w:rFonts w:asciiTheme="minorHAnsi" w:hAnsiTheme="minorHAnsi"/>
        </w:rPr>
        <w:t xml:space="preserve">diabetes mellitus with microalbuminuria (defined as urinary albumin excretion rate of &gt;20mcg/min or urinary albumin to creatinine ratio of &gt; 2.5 for males, &gt; 3.5 for females) </w:t>
      </w:r>
    </w:p>
    <w:p w14:paraId="0C20DCB6" w14:textId="77777777" w:rsidR="0033494A" w:rsidRPr="00E631B0" w:rsidRDefault="0033494A" w:rsidP="008600B5">
      <w:pPr>
        <w:pStyle w:val="ListParagraph"/>
        <w:numPr>
          <w:ilvl w:val="2"/>
          <w:numId w:val="45"/>
        </w:numPr>
        <w:ind w:left="1276" w:hanging="283"/>
        <w:jc w:val="left"/>
        <w:rPr>
          <w:rFonts w:asciiTheme="minorHAnsi" w:hAnsiTheme="minorHAnsi"/>
        </w:rPr>
      </w:pPr>
      <w:r w:rsidRPr="00E631B0">
        <w:rPr>
          <w:rFonts w:asciiTheme="minorHAnsi" w:hAnsiTheme="minorHAnsi"/>
        </w:rPr>
        <w:t>diabetes mellitus in Aboriginal or Torres Strait Islander patients</w:t>
      </w:r>
    </w:p>
    <w:p w14:paraId="63BFF9F9" w14:textId="77777777" w:rsidR="0033494A" w:rsidRPr="00E631B0" w:rsidRDefault="0033494A" w:rsidP="008600B5">
      <w:pPr>
        <w:pStyle w:val="ListParagraph"/>
        <w:numPr>
          <w:ilvl w:val="2"/>
          <w:numId w:val="45"/>
        </w:numPr>
        <w:ind w:left="1276" w:hanging="283"/>
        <w:jc w:val="left"/>
        <w:rPr>
          <w:rFonts w:asciiTheme="minorHAnsi" w:hAnsiTheme="minorHAnsi"/>
        </w:rPr>
      </w:pPr>
      <w:r w:rsidRPr="00E631B0">
        <w:rPr>
          <w:rFonts w:asciiTheme="minorHAnsi" w:hAnsiTheme="minorHAnsi"/>
        </w:rPr>
        <w:t>diabetes mellitus in patients aged 60 years or more</w:t>
      </w:r>
    </w:p>
    <w:p w14:paraId="56E5A6B6" w14:textId="77777777" w:rsidR="0033494A" w:rsidRPr="00E631B0" w:rsidRDefault="0033494A" w:rsidP="008600B5">
      <w:pPr>
        <w:pStyle w:val="ListParagraph"/>
        <w:numPr>
          <w:ilvl w:val="2"/>
          <w:numId w:val="45"/>
        </w:numPr>
        <w:ind w:left="1276" w:hanging="283"/>
        <w:jc w:val="left"/>
        <w:rPr>
          <w:rFonts w:asciiTheme="minorHAnsi" w:hAnsiTheme="minorHAnsi"/>
        </w:rPr>
      </w:pPr>
      <w:r w:rsidRPr="00E631B0">
        <w:rPr>
          <w:rFonts w:asciiTheme="minorHAnsi" w:hAnsiTheme="minorHAnsi"/>
        </w:rPr>
        <w:t xml:space="preserve">family history of coronary heart disease which has become symptomatic before the age of 55 years in two or more first degree relatives </w:t>
      </w:r>
    </w:p>
    <w:p w14:paraId="43398B7A" w14:textId="77777777" w:rsidR="0033494A" w:rsidRPr="00E631B0" w:rsidRDefault="0033494A" w:rsidP="008600B5">
      <w:pPr>
        <w:pStyle w:val="ListParagraph"/>
        <w:numPr>
          <w:ilvl w:val="2"/>
          <w:numId w:val="45"/>
        </w:numPr>
        <w:ind w:left="1276" w:hanging="283"/>
        <w:jc w:val="left"/>
        <w:rPr>
          <w:rFonts w:asciiTheme="minorHAnsi" w:hAnsiTheme="minorHAnsi"/>
        </w:rPr>
      </w:pPr>
      <w:r w:rsidRPr="00E631B0">
        <w:rPr>
          <w:rFonts w:asciiTheme="minorHAnsi" w:hAnsiTheme="minorHAnsi"/>
        </w:rPr>
        <w:t xml:space="preserve">family history of coronary heart disease which has become symptomatic before the age of 45 years in one or more first degree relatives </w:t>
      </w:r>
    </w:p>
    <w:p w14:paraId="11A8AEB9" w14:textId="3F88BE71" w:rsidR="0033494A" w:rsidRPr="00E631B0" w:rsidRDefault="003B5FC4" w:rsidP="008600B5">
      <w:pPr>
        <w:pStyle w:val="ListParagraph"/>
        <w:numPr>
          <w:ilvl w:val="2"/>
          <w:numId w:val="45"/>
        </w:numPr>
        <w:spacing w:after="0"/>
        <w:ind w:left="1276" w:hanging="283"/>
        <w:jc w:val="left"/>
        <w:rPr>
          <w:rFonts w:asciiTheme="minorHAnsi" w:hAnsiTheme="minorHAnsi"/>
        </w:rPr>
      </w:pPr>
      <w:r w:rsidRPr="00E631B0">
        <w:rPr>
          <w:rFonts w:asciiTheme="minorHAnsi" w:hAnsiTheme="minorHAnsi"/>
        </w:rPr>
        <w:t>h</w:t>
      </w:r>
      <w:r w:rsidR="0033494A" w:rsidRPr="00E631B0">
        <w:rPr>
          <w:rFonts w:asciiTheme="minorHAnsi" w:hAnsiTheme="minorHAnsi"/>
        </w:rPr>
        <w:t>eterozygous/</w:t>
      </w:r>
      <w:r w:rsidRPr="00E631B0">
        <w:rPr>
          <w:rFonts w:asciiTheme="minorHAnsi" w:hAnsiTheme="minorHAnsi"/>
        </w:rPr>
        <w:t>h</w:t>
      </w:r>
      <w:r w:rsidR="0033494A" w:rsidRPr="00E631B0">
        <w:rPr>
          <w:rFonts w:asciiTheme="minorHAnsi" w:hAnsiTheme="minorHAnsi"/>
        </w:rPr>
        <w:t>omozygous familial hypercholesterolaemia.</w:t>
      </w:r>
    </w:p>
    <w:p w14:paraId="0F43BC29" w14:textId="77777777" w:rsidR="0033494A" w:rsidRPr="00E631B0" w:rsidRDefault="0033494A" w:rsidP="000B1039">
      <w:pPr>
        <w:spacing w:after="0"/>
        <w:ind w:firstLine="720"/>
        <w:jc w:val="left"/>
        <w:rPr>
          <w:rFonts w:asciiTheme="minorHAnsi" w:hAnsiTheme="minorHAnsi"/>
          <w:b/>
        </w:rPr>
      </w:pPr>
      <w:r w:rsidRPr="00E631B0">
        <w:rPr>
          <w:rFonts w:asciiTheme="minorHAnsi" w:hAnsiTheme="minorHAnsi"/>
          <w:b/>
        </w:rPr>
        <w:t>OR</w:t>
      </w:r>
    </w:p>
    <w:p w14:paraId="34963947" w14:textId="77777777" w:rsidR="0033494A" w:rsidRPr="00E631B0" w:rsidRDefault="0033494A" w:rsidP="008600B5">
      <w:pPr>
        <w:pStyle w:val="ListParagraph"/>
        <w:numPr>
          <w:ilvl w:val="1"/>
          <w:numId w:val="45"/>
        </w:numPr>
        <w:ind w:left="851" w:hanging="284"/>
        <w:jc w:val="left"/>
        <w:rPr>
          <w:rFonts w:asciiTheme="minorHAnsi" w:hAnsiTheme="minorHAnsi"/>
          <w:b/>
        </w:rPr>
      </w:pPr>
      <w:r w:rsidRPr="00E631B0">
        <w:rPr>
          <w:rFonts w:asciiTheme="minorHAnsi" w:hAnsiTheme="minorHAnsi"/>
        </w:rPr>
        <w:t>Where a patient’s level of absolute risk of a cardiovascular event is greater than 15% over 5 years as calculated by the Australian Absolute Cardiovascular Disease Risk Calculator (National Vascular Disease Prevention Alliance).</w:t>
      </w:r>
    </w:p>
    <w:p w14:paraId="02201E1B" w14:textId="77777777" w:rsidR="00FD6B5F" w:rsidRPr="00E631B0" w:rsidRDefault="00FD6B5F" w:rsidP="000B1039">
      <w:pPr>
        <w:pStyle w:val="ListParagraph"/>
        <w:ind w:left="851"/>
        <w:jc w:val="left"/>
        <w:rPr>
          <w:rFonts w:asciiTheme="minorHAnsi" w:hAnsiTheme="minorHAnsi"/>
          <w:b/>
        </w:rPr>
      </w:pPr>
    </w:p>
    <w:p w14:paraId="252FA5F6" w14:textId="77777777" w:rsidR="00FD6B5F" w:rsidRPr="00E631B0" w:rsidRDefault="0033494A" w:rsidP="008600B5">
      <w:pPr>
        <w:pStyle w:val="ListParagraph"/>
        <w:numPr>
          <w:ilvl w:val="0"/>
          <w:numId w:val="45"/>
        </w:numPr>
        <w:ind w:left="284" w:hanging="284"/>
        <w:jc w:val="left"/>
        <w:rPr>
          <w:rFonts w:asciiTheme="minorHAnsi" w:hAnsiTheme="minorHAnsi"/>
          <w:b/>
        </w:rPr>
      </w:pPr>
      <w:r w:rsidRPr="00E631B0">
        <w:rPr>
          <w:rFonts w:asciiTheme="minorHAnsi" w:hAnsiTheme="minorHAnsi"/>
          <w:b/>
        </w:rPr>
        <w:t>Clinical Criteria</w:t>
      </w:r>
    </w:p>
    <w:p w14:paraId="2FFE9208" w14:textId="77777777" w:rsidR="0033494A" w:rsidRPr="00E631B0" w:rsidRDefault="0033494A" w:rsidP="008600B5">
      <w:pPr>
        <w:pStyle w:val="ListParagraph"/>
        <w:numPr>
          <w:ilvl w:val="1"/>
          <w:numId w:val="45"/>
        </w:numPr>
        <w:spacing w:after="0"/>
        <w:ind w:left="851" w:hanging="284"/>
        <w:jc w:val="left"/>
        <w:rPr>
          <w:rFonts w:asciiTheme="minorHAnsi" w:hAnsiTheme="minorHAnsi"/>
        </w:rPr>
      </w:pPr>
      <w:r w:rsidRPr="00E631B0">
        <w:rPr>
          <w:rFonts w:asciiTheme="minorHAnsi" w:hAnsiTheme="minorHAnsi"/>
        </w:rPr>
        <w:t>Homozygous sitosterolaemia.</w:t>
      </w:r>
    </w:p>
    <w:p w14:paraId="54350835" w14:textId="77777777" w:rsidR="00FD6B5F" w:rsidRPr="00E631B0" w:rsidRDefault="00FD6B5F" w:rsidP="00FD6B5F">
      <w:pPr>
        <w:spacing w:after="0"/>
        <w:rPr>
          <w:rFonts w:asciiTheme="minorHAnsi" w:hAnsiTheme="minorHAnsi"/>
        </w:rPr>
      </w:pPr>
    </w:p>
    <w:p w14:paraId="1188C827" w14:textId="77777777" w:rsidR="00FD6B5F" w:rsidRPr="00E631B0" w:rsidRDefault="00FD6B5F" w:rsidP="008600B5">
      <w:pPr>
        <w:pStyle w:val="ListParagraph"/>
        <w:numPr>
          <w:ilvl w:val="0"/>
          <w:numId w:val="45"/>
        </w:numPr>
        <w:ind w:left="284" w:hanging="284"/>
        <w:jc w:val="left"/>
        <w:rPr>
          <w:rFonts w:asciiTheme="minorHAnsi" w:hAnsiTheme="minorHAnsi"/>
          <w:b/>
        </w:rPr>
      </w:pPr>
      <w:r w:rsidRPr="00E631B0">
        <w:rPr>
          <w:rFonts w:asciiTheme="minorHAnsi" w:hAnsiTheme="minorHAnsi"/>
          <w:b/>
        </w:rPr>
        <w:t>Clinical Criteria</w:t>
      </w:r>
    </w:p>
    <w:p w14:paraId="47732D0D" w14:textId="77777777" w:rsidR="0033494A" w:rsidRPr="00E631B0" w:rsidRDefault="0033494A" w:rsidP="008600B5">
      <w:pPr>
        <w:pStyle w:val="ListParagraph"/>
        <w:numPr>
          <w:ilvl w:val="1"/>
          <w:numId w:val="45"/>
        </w:numPr>
        <w:ind w:left="851" w:hanging="284"/>
        <w:jc w:val="left"/>
        <w:rPr>
          <w:rFonts w:asciiTheme="minorHAnsi" w:hAnsiTheme="minorHAnsi"/>
          <w:b/>
        </w:rPr>
      </w:pPr>
      <w:r w:rsidRPr="00E631B0">
        <w:rPr>
          <w:rFonts w:asciiTheme="minorHAnsi" w:hAnsiTheme="minorHAnsi"/>
        </w:rPr>
        <w:t xml:space="preserve">Patient must be one in whom treatment with an HMG CoA reductase inhibitor (statin) is contraindicated. </w:t>
      </w:r>
    </w:p>
    <w:p w14:paraId="28941DFF" w14:textId="77777777" w:rsidR="00FD6B5F" w:rsidRPr="00E631B0" w:rsidRDefault="00FD6B5F" w:rsidP="000B1039">
      <w:pPr>
        <w:pStyle w:val="ListParagraph"/>
        <w:spacing w:after="0"/>
        <w:ind w:left="851"/>
        <w:jc w:val="left"/>
        <w:rPr>
          <w:rFonts w:asciiTheme="minorHAnsi" w:hAnsiTheme="minorHAnsi"/>
          <w:b/>
        </w:rPr>
      </w:pPr>
    </w:p>
    <w:p w14:paraId="554F840C" w14:textId="77777777" w:rsidR="00FD6B5F" w:rsidRPr="00E631B0" w:rsidRDefault="00FD6B5F" w:rsidP="008600B5">
      <w:pPr>
        <w:pStyle w:val="ListParagraph"/>
        <w:numPr>
          <w:ilvl w:val="0"/>
          <w:numId w:val="45"/>
        </w:numPr>
        <w:spacing w:after="0"/>
        <w:ind w:left="284" w:hanging="284"/>
        <w:jc w:val="left"/>
        <w:rPr>
          <w:rFonts w:asciiTheme="minorHAnsi" w:hAnsiTheme="minorHAnsi"/>
          <w:b/>
        </w:rPr>
      </w:pPr>
      <w:r w:rsidRPr="00E631B0">
        <w:rPr>
          <w:rFonts w:asciiTheme="minorHAnsi" w:hAnsiTheme="minorHAnsi"/>
          <w:b/>
        </w:rPr>
        <w:t>Clinical Criteria</w:t>
      </w:r>
    </w:p>
    <w:p w14:paraId="668993FA" w14:textId="1126B7CD" w:rsidR="00FD6B5F" w:rsidRPr="00E631B0" w:rsidRDefault="0033494A" w:rsidP="008600B5">
      <w:pPr>
        <w:pStyle w:val="ListParagraph"/>
        <w:numPr>
          <w:ilvl w:val="1"/>
          <w:numId w:val="45"/>
        </w:numPr>
        <w:spacing w:after="0"/>
        <w:ind w:left="851" w:hanging="284"/>
        <w:jc w:val="left"/>
        <w:rPr>
          <w:rFonts w:asciiTheme="minorHAnsi" w:hAnsiTheme="minorHAnsi"/>
        </w:rPr>
      </w:pPr>
      <w:r w:rsidRPr="00E631B0">
        <w:rPr>
          <w:rFonts w:asciiTheme="minorHAnsi" w:hAnsiTheme="minorHAnsi"/>
        </w:rPr>
        <w:t>Patient must have developed a clinically important product-related adverse event during treatment with an HMG CoA reductase inhibitor (statin) necessitating a reduction in the statin dose. The type and severity of the adverse event must be documented in the patient’s medical records</w:t>
      </w:r>
      <w:r w:rsidR="00FD6B5F" w:rsidRPr="00E631B0">
        <w:rPr>
          <w:rFonts w:asciiTheme="minorHAnsi" w:hAnsiTheme="minorHAnsi"/>
        </w:rPr>
        <w:t>.</w:t>
      </w:r>
      <w:r w:rsidRPr="00E631B0">
        <w:rPr>
          <w:rFonts w:asciiTheme="minorHAnsi" w:hAnsiTheme="minorHAnsi"/>
        </w:rPr>
        <w:t xml:space="preserve"> </w:t>
      </w:r>
    </w:p>
    <w:p w14:paraId="46FED2EF" w14:textId="77777777" w:rsidR="00FD6B5F" w:rsidRPr="00E631B0" w:rsidRDefault="0033494A" w:rsidP="000B1039">
      <w:pPr>
        <w:spacing w:after="0"/>
        <w:ind w:left="360"/>
        <w:jc w:val="left"/>
        <w:rPr>
          <w:rFonts w:asciiTheme="minorHAnsi" w:hAnsiTheme="minorHAnsi"/>
          <w:b/>
        </w:rPr>
      </w:pPr>
      <w:r w:rsidRPr="00E631B0">
        <w:rPr>
          <w:rFonts w:asciiTheme="minorHAnsi" w:hAnsiTheme="minorHAnsi"/>
          <w:b/>
        </w:rPr>
        <w:t>OR</w:t>
      </w:r>
    </w:p>
    <w:p w14:paraId="38EEF0FE" w14:textId="77777777" w:rsidR="0033494A" w:rsidRPr="00E631B0" w:rsidRDefault="0033494A" w:rsidP="008600B5">
      <w:pPr>
        <w:pStyle w:val="ListParagraph"/>
        <w:numPr>
          <w:ilvl w:val="1"/>
          <w:numId w:val="45"/>
        </w:numPr>
        <w:spacing w:after="0"/>
        <w:ind w:left="851" w:hanging="284"/>
        <w:jc w:val="left"/>
        <w:rPr>
          <w:rFonts w:asciiTheme="minorHAnsi" w:hAnsiTheme="minorHAnsi"/>
        </w:rPr>
      </w:pPr>
      <w:r w:rsidRPr="00E631B0">
        <w:rPr>
          <w:rFonts w:asciiTheme="minorHAnsi" w:hAnsiTheme="minorHAnsi"/>
        </w:rPr>
        <w:t>Patient must have developed a clinically important product-related adverse event during treatment with an HMG CoA reductase inhibitor (statin) necessitating a withdrawal of the statin treatment. The type and severity of the adverse event must be documented in the patient’s medical records</w:t>
      </w:r>
      <w:r w:rsidR="00FD6B5F" w:rsidRPr="00E631B0">
        <w:rPr>
          <w:rFonts w:asciiTheme="minorHAnsi" w:hAnsiTheme="minorHAnsi"/>
        </w:rPr>
        <w:t>.</w:t>
      </w:r>
    </w:p>
    <w:p w14:paraId="41A015C4" w14:textId="1565DFC2" w:rsidR="00FD6B5F" w:rsidRPr="005127D3" w:rsidRDefault="00FD6B5F" w:rsidP="000B1039">
      <w:pPr>
        <w:jc w:val="left"/>
      </w:pPr>
    </w:p>
    <w:p w14:paraId="356FE3B5" w14:textId="1DA0D4FE" w:rsidR="00444787" w:rsidRPr="00EC7CB7" w:rsidRDefault="00930FAB" w:rsidP="000B1039">
      <w:pPr>
        <w:pStyle w:val="Heading2"/>
        <w:rPr>
          <w:sz w:val="40"/>
          <w:szCs w:val="40"/>
          <w:lang w:eastAsia="en-AU"/>
        </w:rPr>
      </w:pPr>
      <w:bookmarkStart w:id="23" w:name="_Toc500510191"/>
      <w:r w:rsidRPr="00EC7CB7">
        <w:rPr>
          <w:sz w:val="40"/>
          <w:szCs w:val="40"/>
        </w:rPr>
        <w:t xml:space="preserve">Term of Reference 3: </w:t>
      </w:r>
      <w:r w:rsidR="00444787" w:rsidRPr="00EC7CB7">
        <w:rPr>
          <w:sz w:val="40"/>
          <w:szCs w:val="40"/>
          <w:lang w:eastAsia="en-AU"/>
        </w:rPr>
        <w:t xml:space="preserve">Recent </w:t>
      </w:r>
      <w:r w:rsidR="00351843" w:rsidRPr="00EC7CB7">
        <w:rPr>
          <w:sz w:val="40"/>
          <w:szCs w:val="40"/>
          <w:lang w:eastAsia="en-AU"/>
        </w:rPr>
        <w:t>evidence and review of c</w:t>
      </w:r>
      <w:r w:rsidR="00444787" w:rsidRPr="00EC7CB7">
        <w:rPr>
          <w:sz w:val="40"/>
          <w:szCs w:val="40"/>
          <w:lang w:eastAsia="en-AU"/>
        </w:rPr>
        <w:t>ost-effectiveness</w:t>
      </w:r>
      <w:bookmarkEnd w:id="23"/>
    </w:p>
    <w:p w14:paraId="207F78FD" w14:textId="0045D65E" w:rsidR="00930FAB" w:rsidRPr="00E631B0" w:rsidRDefault="00930FAB" w:rsidP="000B1039">
      <w:pPr>
        <w:spacing w:line="240" w:lineRule="auto"/>
        <w:jc w:val="left"/>
        <w:rPr>
          <w:rFonts w:asciiTheme="minorHAnsi" w:hAnsiTheme="minorHAnsi"/>
          <w:b/>
        </w:rPr>
      </w:pPr>
      <w:r w:rsidRPr="00E631B0">
        <w:rPr>
          <w:rFonts w:asciiTheme="minorHAnsi" w:hAnsiTheme="minorHAnsi"/>
          <w:b/>
        </w:rPr>
        <w:t>Collate and evaluate any recent clinical studies of ezetimibe that report on long-term patient relevant outcomes, and use this data to review the cost-effectiveness of ezetimibe</w:t>
      </w:r>
      <w:r w:rsidR="00444787" w:rsidRPr="00E631B0">
        <w:rPr>
          <w:rFonts w:asciiTheme="minorHAnsi" w:hAnsiTheme="minorHAnsi"/>
          <w:b/>
          <w:lang w:eastAsia="en-AU"/>
        </w:rPr>
        <w:t>.</w:t>
      </w:r>
    </w:p>
    <w:p w14:paraId="55513A68" w14:textId="123D932B" w:rsidR="00321FDE" w:rsidRPr="00E631B0" w:rsidRDefault="00FD6B5F" w:rsidP="000B1039">
      <w:pPr>
        <w:spacing w:line="240" w:lineRule="auto"/>
        <w:jc w:val="left"/>
        <w:rPr>
          <w:rFonts w:ascii="Calibri" w:eastAsia="Calibri" w:hAnsi="Calibri"/>
        </w:rPr>
      </w:pPr>
      <w:r w:rsidRPr="00E631B0">
        <w:rPr>
          <w:rFonts w:ascii="Calibri" w:eastAsia="Calibri" w:hAnsi="Calibri"/>
        </w:rPr>
        <w:t>An extensive l</w:t>
      </w:r>
      <w:r w:rsidR="0000686B" w:rsidRPr="00E631B0">
        <w:rPr>
          <w:rFonts w:ascii="Calibri" w:eastAsia="Calibri" w:hAnsi="Calibri"/>
        </w:rPr>
        <w:t>it</w:t>
      </w:r>
      <w:r w:rsidRPr="00E631B0">
        <w:rPr>
          <w:rFonts w:ascii="Calibri" w:eastAsia="Calibri" w:hAnsi="Calibri"/>
        </w:rPr>
        <w:t>erature r</w:t>
      </w:r>
      <w:r w:rsidR="0000686B" w:rsidRPr="00E631B0">
        <w:rPr>
          <w:rFonts w:ascii="Calibri" w:eastAsia="Calibri" w:hAnsi="Calibri"/>
        </w:rPr>
        <w:t>eview sought to identify recent clinical studies of ezetimibe reporting on long</w:t>
      </w:r>
      <w:r w:rsidR="00F7627D" w:rsidRPr="00E631B0">
        <w:rPr>
          <w:rFonts w:ascii="Calibri" w:eastAsia="Calibri" w:hAnsi="Calibri"/>
        </w:rPr>
        <w:t>-</w:t>
      </w:r>
      <w:r w:rsidR="0000686B" w:rsidRPr="00E631B0">
        <w:rPr>
          <w:rFonts w:ascii="Calibri" w:eastAsia="Calibri" w:hAnsi="Calibri"/>
        </w:rPr>
        <w:t>term patient relevant outcomes.</w:t>
      </w:r>
      <w:r w:rsidR="00D81596" w:rsidRPr="00E631B0">
        <w:rPr>
          <w:rFonts w:asciiTheme="minorHAnsi" w:hAnsiTheme="minorHAnsi"/>
        </w:rPr>
        <w:t xml:space="preserve"> </w:t>
      </w:r>
      <w:r w:rsidR="0000686B" w:rsidRPr="00E631B0">
        <w:rPr>
          <w:rFonts w:asciiTheme="minorHAnsi" w:hAnsiTheme="minorHAnsi"/>
        </w:rPr>
        <w:t>Only one study</w:t>
      </w:r>
      <w:r w:rsidR="00572D82" w:rsidRPr="00E631B0">
        <w:rPr>
          <w:rFonts w:asciiTheme="minorHAnsi" w:hAnsiTheme="minorHAnsi"/>
        </w:rPr>
        <w:t xml:space="preserve"> </w:t>
      </w:r>
      <w:r w:rsidR="0000686B" w:rsidRPr="00E631B0">
        <w:rPr>
          <w:rFonts w:asciiTheme="minorHAnsi" w:hAnsiTheme="minorHAnsi"/>
        </w:rPr>
        <w:t xml:space="preserve">met the </w:t>
      </w:r>
      <w:r w:rsidR="00572D82" w:rsidRPr="00E631B0">
        <w:rPr>
          <w:rFonts w:asciiTheme="minorHAnsi" w:hAnsiTheme="minorHAnsi"/>
        </w:rPr>
        <w:t xml:space="preserve">review </w:t>
      </w:r>
      <w:r w:rsidR="0000686B" w:rsidRPr="00E631B0">
        <w:rPr>
          <w:rFonts w:asciiTheme="minorHAnsi" w:hAnsiTheme="minorHAnsi"/>
        </w:rPr>
        <w:t xml:space="preserve">selection criteria to assess whether the addition of ezetimibe to a statin is associated with superior long-term patient outcomes. </w:t>
      </w:r>
      <w:r w:rsidR="00321FDE" w:rsidRPr="00E631B0">
        <w:rPr>
          <w:rFonts w:ascii="Calibri" w:eastAsia="Calibri" w:hAnsi="Calibri"/>
        </w:rPr>
        <w:t>IMPROVE-IT</w:t>
      </w:r>
      <w:r w:rsidR="004A06F1" w:rsidRPr="00E631B0">
        <w:rPr>
          <w:rStyle w:val="EndnoteReference"/>
          <w:rFonts w:ascii="Calibri" w:eastAsia="Calibri" w:hAnsi="Calibri"/>
        </w:rPr>
        <w:endnoteReference w:id="8"/>
      </w:r>
      <w:r w:rsidR="004A06F1" w:rsidRPr="00E631B0">
        <w:rPr>
          <w:rFonts w:ascii="Calibri" w:eastAsia="Calibri" w:hAnsi="Calibri"/>
        </w:rPr>
        <w:t xml:space="preserve"> </w:t>
      </w:r>
      <w:r w:rsidR="00321FDE" w:rsidRPr="00E631B0">
        <w:rPr>
          <w:rFonts w:ascii="Calibri" w:eastAsia="Calibri" w:hAnsi="Calibri"/>
        </w:rPr>
        <w:t xml:space="preserve">was </w:t>
      </w:r>
      <w:r w:rsidR="00321FDE" w:rsidRPr="00E631B0">
        <w:rPr>
          <w:rFonts w:asciiTheme="minorHAnsi" w:hAnsiTheme="minorHAnsi"/>
        </w:rPr>
        <w:t xml:space="preserve">a secondary prevention study </w:t>
      </w:r>
      <w:r w:rsidR="00321FDE" w:rsidRPr="00E631B0">
        <w:rPr>
          <w:rFonts w:ascii="Calibri" w:eastAsia="Calibri" w:hAnsi="Calibri"/>
        </w:rPr>
        <w:t>that assessed long</w:t>
      </w:r>
      <w:r w:rsidR="00F7627D" w:rsidRPr="00E631B0">
        <w:rPr>
          <w:rFonts w:ascii="Calibri" w:eastAsia="Calibri" w:hAnsi="Calibri"/>
        </w:rPr>
        <w:t>-</w:t>
      </w:r>
      <w:r w:rsidR="00321FDE" w:rsidRPr="00E631B0">
        <w:rPr>
          <w:rFonts w:ascii="Calibri" w:eastAsia="Calibri" w:hAnsi="Calibri"/>
        </w:rPr>
        <w:t>term patient outcomes associated with the addition of ezetimibe to simvastatin.</w:t>
      </w:r>
      <w:r w:rsidR="00D81596" w:rsidRPr="00E631B0">
        <w:rPr>
          <w:rFonts w:asciiTheme="minorHAnsi" w:hAnsiTheme="minorHAnsi"/>
        </w:rPr>
        <w:t xml:space="preserve"> In the absence of better evidence on the long-term outcomes of the use of ezetimibe in the population with hypercholesterolaemia, the outcomes of the IMPROVE-IT trial were considered alongside other evidence included in the analysis of clinical effectiveness.</w:t>
      </w:r>
    </w:p>
    <w:p w14:paraId="283A7FF9" w14:textId="3C00EB07" w:rsidR="0000686B" w:rsidRPr="00E631B0" w:rsidRDefault="0000686B" w:rsidP="000B1039">
      <w:pPr>
        <w:pStyle w:val="CommentText"/>
        <w:jc w:val="left"/>
        <w:rPr>
          <w:rFonts w:asciiTheme="minorHAnsi" w:hAnsiTheme="minorHAnsi"/>
          <w:sz w:val="24"/>
          <w:szCs w:val="22"/>
        </w:rPr>
      </w:pPr>
      <w:r w:rsidRPr="00E631B0">
        <w:rPr>
          <w:rFonts w:asciiTheme="minorHAnsi" w:hAnsiTheme="minorHAnsi"/>
          <w:sz w:val="24"/>
          <w:szCs w:val="22"/>
        </w:rPr>
        <w:t>The Reference Group expressed confidence that</w:t>
      </w:r>
      <w:r w:rsidR="00321FDE" w:rsidRPr="00E631B0">
        <w:rPr>
          <w:rFonts w:asciiTheme="minorHAnsi" w:hAnsiTheme="minorHAnsi"/>
          <w:sz w:val="24"/>
          <w:szCs w:val="22"/>
        </w:rPr>
        <w:t xml:space="preserve"> for patients receiving ezetimibe,</w:t>
      </w:r>
      <w:r w:rsidRPr="00E631B0">
        <w:rPr>
          <w:rFonts w:asciiTheme="minorHAnsi" w:hAnsiTheme="minorHAnsi"/>
          <w:sz w:val="24"/>
          <w:szCs w:val="22"/>
        </w:rPr>
        <w:t xml:space="preserve"> the clinical outcomes of IMPROVE-IT confirm the acceptability of the absolute reduction in LDL-C as a valid surrogate for the reduction of the relative risk of major vascular events</w:t>
      </w:r>
      <w:r w:rsidR="00321FDE" w:rsidRPr="00E631B0">
        <w:rPr>
          <w:rFonts w:asciiTheme="minorHAnsi" w:hAnsiTheme="minorHAnsi"/>
          <w:sz w:val="24"/>
          <w:szCs w:val="22"/>
        </w:rPr>
        <w:t>.</w:t>
      </w:r>
      <w:r w:rsidRPr="00E631B0">
        <w:rPr>
          <w:rFonts w:asciiTheme="minorHAnsi" w:hAnsiTheme="minorHAnsi"/>
          <w:sz w:val="24"/>
          <w:szCs w:val="22"/>
        </w:rPr>
        <w:t xml:space="preserve"> The reduction in cardiovascular event rate was as predicted by the known relationship between absolute reduction in LDL-C and the relative risk reduction.</w:t>
      </w:r>
      <w:r w:rsidRPr="00E631B0">
        <w:rPr>
          <w:rFonts w:asciiTheme="minorHAnsi" w:hAnsiTheme="minorHAnsi"/>
        </w:rPr>
        <w:t xml:space="preserve"> </w:t>
      </w:r>
      <w:r w:rsidRPr="00E631B0">
        <w:rPr>
          <w:rFonts w:asciiTheme="minorHAnsi" w:hAnsiTheme="minorHAnsi"/>
          <w:sz w:val="24"/>
          <w:szCs w:val="22"/>
        </w:rPr>
        <w:t>IMPROVE-IT demonstrated a risk reduction in a primary composite endpoint (cardiovascular death, major coronary event or non-fatal stroke)</w:t>
      </w:r>
      <w:r w:rsidR="009878CA" w:rsidRPr="00E631B0">
        <w:rPr>
          <w:rFonts w:asciiTheme="minorHAnsi" w:hAnsiTheme="minorHAnsi"/>
          <w:sz w:val="24"/>
          <w:szCs w:val="22"/>
        </w:rPr>
        <w:t>;</w:t>
      </w:r>
      <w:r w:rsidR="00572D82" w:rsidRPr="00E631B0">
        <w:rPr>
          <w:rFonts w:asciiTheme="minorHAnsi" w:hAnsiTheme="minorHAnsi"/>
          <w:sz w:val="24"/>
          <w:szCs w:val="22"/>
        </w:rPr>
        <w:t xml:space="preserve"> </w:t>
      </w:r>
      <w:r w:rsidR="004C7D89" w:rsidRPr="00E631B0">
        <w:rPr>
          <w:rFonts w:asciiTheme="minorHAnsi" w:hAnsiTheme="minorHAnsi"/>
          <w:sz w:val="24"/>
          <w:szCs w:val="22"/>
        </w:rPr>
        <w:t>however</w:t>
      </w:r>
      <w:r w:rsidR="009878CA" w:rsidRPr="00E631B0">
        <w:rPr>
          <w:rFonts w:asciiTheme="minorHAnsi" w:hAnsiTheme="minorHAnsi"/>
          <w:sz w:val="24"/>
          <w:szCs w:val="22"/>
        </w:rPr>
        <w:t>,</w:t>
      </w:r>
      <w:r w:rsidR="00321FDE" w:rsidRPr="00E631B0">
        <w:rPr>
          <w:rFonts w:asciiTheme="minorHAnsi" w:hAnsiTheme="minorHAnsi"/>
          <w:sz w:val="24"/>
          <w:szCs w:val="22"/>
        </w:rPr>
        <w:t xml:space="preserve"> </w:t>
      </w:r>
      <w:r w:rsidR="00572D82" w:rsidRPr="00E631B0">
        <w:rPr>
          <w:rFonts w:asciiTheme="minorHAnsi" w:hAnsiTheme="minorHAnsi"/>
          <w:sz w:val="24"/>
          <w:szCs w:val="22"/>
        </w:rPr>
        <w:t>t</w:t>
      </w:r>
      <w:r w:rsidRPr="00E631B0">
        <w:rPr>
          <w:rFonts w:asciiTheme="minorHAnsi" w:hAnsiTheme="minorHAnsi"/>
          <w:sz w:val="24"/>
          <w:szCs w:val="22"/>
        </w:rPr>
        <w:t xml:space="preserve">here was no significant overall effect on mortality alone. </w:t>
      </w:r>
      <w:r w:rsidR="00DF6401" w:rsidRPr="00E631B0">
        <w:rPr>
          <w:rFonts w:asciiTheme="minorHAnsi" w:hAnsiTheme="minorHAnsi"/>
          <w:sz w:val="24"/>
          <w:szCs w:val="22"/>
        </w:rPr>
        <w:t>T</w:t>
      </w:r>
      <w:r w:rsidRPr="00E631B0">
        <w:rPr>
          <w:rFonts w:asciiTheme="minorHAnsi" w:hAnsiTheme="minorHAnsi"/>
          <w:sz w:val="24"/>
          <w:szCs w:val="22"/>
        </w:rPr>
        <w:t xml:space="preserve">here </w:t>
      </w:r>
      <w:r w:rsidR="00E94280" w:rsidRPr="00E631B0">
        <w:rPr>
          <w:rFonts w:asciiTheme="minorHAnsi" w:hAnsiTheme="minorHAnsi"/>
          <w:sz w:val="24"/>
          <w:szCs w:val="22"/>
        </w:rPr>
        <w:t xml:space="preserve">is </w:t>
      </w:r>
      <w:r w:rsidR="00952835" w:rsidRPr="00E631B0">
        <w:rPr>
          <w:rFonts w:asciiTheme="minorHAnsi" w:hAnsiTheme="minorHAnsi"/>
          <w:sz w:val="24"/>
          <w:szCs w:val="22"/>
        </w:rPr>
        <w:t xml:space="preserve">also no apparent </w:t>
      </w:r>
      <w:r w:rsidRPr="00E631B0">
        <w:rPr>
          <w:rFonts w:asciiTheme="minorHAnsi" w:hAnsiTheme="minorHAnsi"/>
          <w:sz w:val="24"/>
          <w:szCs w:val="22"/>
        </w:rPr>
        <w:t xml:space="preserve">safety issue </w:t>
      </w:r>
      <w:r w:rsidR="00952835" w:rsidRPr="00E631B0">
        <w:rPr>
          <w:rFonts w:asciiTheme="minorHAnsi" w:hAnsiTheme="minorHAnsi"/>
          <w:sz w:val="24"/>
          <w:szCs w:val="22"/>
        </w:rPr>
        <w:t>associated with long</w:t>
      </w:r>
      <w:r w:rsidR="00F7627D" w:rsidRPr="00E631B0">
        <w:rPr>
          <w:rFonts w:asciiTheme="minorHAnsi" w:hAnsiTheme="minorHAnsi"/>
          <w:sz w:val="24"/>
          <w:szCs w:val="22"/>
        </w:rPr>
        <w:t>-</w:t>
      </w:r>
      <w:r w:rsidR="00952835" w:rsidRPr="00E631B0">
        <w:rPr>
          <w:rFonts w:asciiTheme="minorHAnsi" w:hAnsiTheme="minorHAnsi"/>
          <w:sz w:val="24"/>
          <w:szCs w:val="22"/>
        </w:rPr>
        <w:t>term use of</w:t>
      </w:r>
      <w:r w:rsidRPr="00E631B0">
        <w:rPr>
          <w:rFonts w:asciiTheme="minorHAnsi" w:hAnsiTheme="minorHAnsi"/>
          <w:sz w:val="24"/>
          <w:szCs w:val="22"/>
        </w:rPr>
        <w:t xml:space="preserve"> ezetimibe. </w:t>
      </w:r>
    </w:p>
    <w:p w14:paraId="674C4547" w14:textId="7113EEDC" w:rsidR="00611E01" w:rsidRPr="00E631B0" w:rsidRDefault="0000686B" w:rsidP="000B1039">
      <w:pPr>
        <w:pStyle w:val="CommentText"/>
        <w:jc w:val="left"/>
        <w:rPr>
          <w:rFonts w:asciiTheme="minorHAnsi" w:hAnsiTheme="minorHAnsi"/>
          <w:strike/>
          <w:sz w:val="24"/>
          <w:szCs w:val="22"/>
        </w:rPr>
      </w:pPr>
      <w:r w:rsidRPr="00E631B0">
        <w:rPr>
          <w:rFonts w:asciiTheme="minorHAnsi" w:hAnsiTheme="minorHAnsi"/>
          <w:sz w:val="24"/>
          <w:szCs w:val="22"/>
        </w:rPr>
        <w:lastRenderedPageBreak/>
        <w:t>Long</w:t>
      </w:r>
      <w:r w:rsidR="00F7627D" w:rsidRPr="00E631B0">
        <w:rPr>
          <w:rFonts w:asciiTheme="minorHAnsi" w:hAnsiTheme="minorHAnsi"/>
          <w:sz w:val="24"/>
          <w:szCs w:val="22"/>
        </w:rPr>
        <w:t>-</w:t>
      </w:r>
      <w:r w:rsidRPr="00E631B0">
        <w:rPr>
          <w:rFonts w:asciiTheme="minorHAnsi" w:hAnsiTheme="minorHAnsi"/>
          <w:sz w:val="24"/>
          <w:szCs w:val="22"/>
        </w:rPr>
        <w:t xml:space="preserve">term patient outcomes reported in the IMPROVE-IT </w:t>
      </w:r>
      <w:r w:rsidR="003E4259" w:rsidRPr="00E631B0">
        <w:rPr>
          <w:rFonts w:asciiTheme="minorHAnsi" w:hAnsiTheme="minorHAnsi"/>
          <w:sz w:val="24"/>
          <w:szCs w:val="22"/>
        </w:rPr>
        <w:t>trial may not be fully generalis</w:t>
      </w:r>
      <w:r w:rsidRPr="00E631B0">
        <w:rPr>
          <w:rFonts w:asciiTheme="minorHAnsi" w:hAnsiTheme="minorHAnsi"/>
          <w:sz w:val="24"/>
          <w:szCs w:val="22"/>
        </w:rPr>
        <w:t>able to the target Australian population. The IMPROVE-IT study enrolled a trial population which did not meet the PBS eligibility criteria for subsidised prescription of ezetimibe.</w:t>
      </w:r>
      <w:r w:rsidR="00930248" w:rsidRPr="00E631B0">
        <w:rPr>
          <w:rFonts w:asciiTheme="minorHAnsi" w:hAnsiTheme="minorHAnsi"/>
          <w:sz w:val="24"/>
          <w:szCs w:val="22"/>
        </w:rPr>
        <w:t xml:space="preserve"> Participants were restricted to the secondary prevention population and were</w:t>
      </w:r>
      <w:r w:rsidRPr="00E631B0">
        <w:rPr>
          <w:rFonts w:asciiTheme="minorHAnsi" w:hAnsiTheme="minorHAnsi"/>
          <w:sz w:val="24"/>
          <w:szCs w:val="22"/>
        </w:rPr>
        <w:t xml:space="preserve"> treated with a </w:t>
      </w:r>
      <w:r w:rsidR="00F76E0A" w:rsidRPr="00E631B0">
        <w:rPr>
          <w:rFonts w:asciiTheme="minorHAnsi" w:hAnsiTheme="minorHAnsi"/>
          <w:sz w:val="24"/>
          <w:szCs w:val="22"/>
        </w:rPr>
        <w:t xml:space="preserve">constant </w:t>
      </w:r>
      <w:r w:rsidRPr="00E631B0">
        <w:rPr>
          <w:rFonts w:asciiTheme="minorHAnsi" w:hAnsiTheme="minorHAnsi"/>
          <w:sz w:val="24"/>
          <w:szCs w:val="22"/>
        </w:rPr>
        <w:t>dose of simvastatin</w:t>
      </w:r>
      <w:r w:rsidR="00930248" w:rsidRPr="00E631B0">
        <w:rPr>
          <w:rFonts w:asciiTheme="minorHAnsi" w:hAnsiTheme="minorHAnsi"/>
          <w:sz w:val="24"/>
          <w:szCs w:val="22"/>
        </w:rPr>
        <w:t>. There was</w:t>
      </w:r>
      <w:r w:rsidRPr="00E631B0">
        <w:rPr>
          <w:rFonts w:asciiTheme="minorHAnsi" w:hAnsiTheme="minorHAnsi"/>
          <w:sz w:val="24"/>
          <w:szCs w:val="22"/>
        </w:rPr>
        <w:t xml:space="preserve"> no up-titration to maximally tolerated doses of statins or switch to statins of higher </w:t>
      </w:r>
      <w:r w:rsidR="00F76E0A" w:rsidRPr="00E631B0">
        <w:rPr>
          <w:rFonts w:asciiTheme="minorHAnsi" w:hAnsiTheme="minorHAnsi"/>
          <w:sz w:val="24"/>
          <w:szCs w:val="22"/>
        </w:rPr>
        <w:t>potency</w:t>
      </w:r>
      <w:r w:rsidR="00321FDE" w:rsidRPr="00E631B0">
        <w:rPr>
          <w:rFonts w:asciiTheme="minorHAnsi" w:hAnsiTheme="minorHAnsi"/>
          <w:sz w:val="24"/>
          <w:szCs w:val="22"/>
        </w:rPr>
        <w:t>,</w:t>
      </w:r>
      <w:r w:rsidRPr="00E631B0">
        <w:rPr>
          <w:rFonts w:asciiTheme="minorHAnsi" w:hAnsiTheme="minorHAnsi"/>
          <w:sz w:val="24"/>
          <w:szCs w:val="22"/>
        </w:rPr>
        <w:t xml:space="preserve"> as required by the current PBS restriction for ezetimibe. </w:t>
      </w:r>
      <w:r w:rsidR="00B06A19" w:rsidRPr="00E631B0">
        <w:rPr>
          <w:rFonts w:asciiTheme="minorHAnsi" w:hAnsiTheme="minorHAnsi"/>
          <w:sz w:val="24"/>
          <w:szCs w:val="22"/>
        </w:rPr>
        <w:t>Participants LDL</w:t>
      </w:r>
      <w:r w:rsidR="00DF6401" w:rsidRPr="00E631B0">
        <w:rPr>
          <w:rFonts w:asciiTheme="minorHAnsi" w:hAnsiTheme="minorHAnsi"/>
          <w:sz w:val="24"/>
          <w:szCs w:val="22"/>
        </w:rPr>
        <w:t xml:space="preserve">-C </w:t>
      </w:r>
      <w:r w:rsidR="004B1768" w:rsidRPr="00E631B0">
        <w:rPr>
          <w:rFonts w:asciiTheme="minorHAnsi" w:hAnsiTheme="minorHAnsi"/>
          <w:sz w:val="24"/>
          <w:szCs w:val="22"/>
        </w:rPr>
        <w:t xml:space="preserve">concentrations </w:t>
      </w:r>
      <w:r w:rsidR="00DF6401" w:rsidRPr="00E631B0">
        <w:rPr>
          <w:rFonts w:asciiTheme="minorHAnsi" w:hAnsiTheme="minorHAnsi"/>
          <w:sz w:val="24"/>
          <w:szCs w:val="22"/>
        </w:rPr>
        <w:t>ranged between 1.3 and 2.43</w:t>
      </w:r>
      <w:r w:rsidR="003E4259" w:rsidRPr="00E631B0">
        <w:rPr>
          <w:rFonts w:asciiTheme="minorHAnsi" w:hAnsiTheme="minorHAnsi"/>
          <w:sz w:val="24"/>
          <w:szCs w:val="22"/>
        </w:rPr>
        <w:t xml:space="preserve"> </w:t>
      </w:r>
      <w:r w:rsidR="00DF6401" w:rsidRPr="00E631B0">
        <w:rPr>
          <w:rFonts w:asciiTheme="minorHAnsi" w:hAnsiTheme="minorHAnsi"/>
          <w:sz w:val="24"/>
          <w:szCs w:val="22"/>
        </w:rPr>
        <w:t>mmol/L</w:t>
      </w:r>
      <w:r w:rsidR="003B5FC4" w:rsidRPr="00E631B0">
        <w:rPr>
          <w:rFonts w:asciiTheme="minorHAnsi" w:hAnsiTheme="minorHAnsi"/>
          <w:sz w:val="24"/>
          <w:szCs w:val="22"/>
        </w:rPr>
        <w:t>,</w:t>
      </w:r>
      <w:r w:rsidR="00B06A19" w:rsidRPr="00E631B0">
        <w:rPr>
          <w:rFonts w:asciiTheme="minorHAnsi" w:hAnsiTheme="minorHAnsi"/>
          <w:sz w:val="24"/>
          <w:szCs w:val="22"/>
        </w:rPr>
        <w:t xml:space="preserve"> whereas high risk patients can access </w:t>
      </w:r>
      <w:r w:rsidR="00930248" w:rsidRPr="00E631B0">
        <w:rPr>
          <w:rFonts w:asciiTheme="minorHAnsi" w:hAnsiTheme="minorHAnsi"/>
          <w:sz w:val="24"/>
          <w:szCs w:val="22"/>
        </w:rPr>
        <w:t xml:space="preserve">PBS subsidised </w:t>
      </w:r>
      <w:r w:rsidR="00B06A19" w:rsidRPr="00E631B0">
        <w:rPr>
          <w:rFonts w:asciiTheme="minorHAnsi" w:hAnsiTheme="minorHAnsi"/>
          <w:sz w:val="24"/>
          <w:szCs w:val="22"/>
        </w:rPr>
        <w:t xml:space="preserve">LLT </w:t>
      </w:r>
      <w:r w:rsidR="00DF6401" w:rsidRPr="00E631B0">
        <w:rPr>
          <w:rFonts w:asciiTheme="minorHAnsi" w:hAnsiTheme="minorHAnsi"/>
          <w:sz w:val="24"/>
          <w:szCs w:val="22"/>
        </w:rPr>
        <w:t>under the GSLLD</w:t>
      </w:r>
      <w:r w:rsidR="00B06A19" w:rsidRPr="00E631B0">
        <w:rPr>
          <w:rFonts w:asciiTheme="minorHAnsi" w:hAnsiTheme="minorHAnsi"/>
          <w:sz w:val="24"/>
          <w:szCs w:val="22"/>
        </w:rPr>
        <w:t xml:space="preserve"> at any cholesterol</w:t>
      </w:r>
      <w:r w:rsidR="0076247E" w:rsidRPr="00E631B0">
        <w:rPr>
          <w:rFonts w:asciiTheme="minorHAnsi" w:eastAsia="Times New Roman" w:hAnsiTheme="minorHAnsi" w:cs="Arial"/>
          <w:szCs w:val="24"/>
          <w:lang w:eastAsia="en-AU"/>
        </w:rPr>
        <w:t xml:space="preserve"> </w:t>
      </w:r>
      <w:r w:rsidR="0076247E" w:rsidRPr="00E631B0">
        <w:rPr>
          <w:rFonts w:asciiTheme="minorHAnsi" w:hAnsiTheme="minorHAnsi"/>
          <w:sz w:val="24"/>
          <w:szCs w:val="22"/>
        </w:rPr>
        <w:t>concentration</w:t>
      </w:r>
      <w:r w:rsidR="00B06A19" w:rsidRPr="00E631B0">
        <w:rPr>
          <w:rFonts w:asciiTheme="minorHAnsi" w:hAnsiTheme="minorHAnsi"/>
          <w:sz w:val="24"/>
          <w:szCs w:val="22"/>
        </w:rPr>
        <w:t xml:space="preserve">. </w:t>
      </w:r>
    </w:p>
    <w:p w14:paraId="740A9C1E" w14:textId="77777777" w:rsidR="00952835" w:rsidRPr="00E631B0" w:rsidRDefault="007714D8" w:rsidP="000B1039">
      <w:pPr>
        <w:pStyle w:val="CommentText"/>
        <w:jc w:val="left"/>
        <w:rPr>
          <w:rFonts w:asciiTheme="minorHAnsi" w:hAnsiTheme="minorHAnsi"/>
          <w:sz w:val="24"/>
          <w:szCs w:val="22"/>
        </w:rPr>
      </w:pPr>
      <w:r w:rsidRPr="00E631B0">
        <w:rPr>
          <w:rFonts w:asciiTheme="minorHAnsi" w:hAnsiTheme="minorHAnsi"/>
          <w:sz w:val="24"/>
          <w:szCs w:val="22"/>
        </w:rPr>
        <w:t>As described under Term of Reference 2, recently published literature</w:t>
      </w:r>
      <w:r w:rsidR="00C94907" w:rsidRPr="00E631B0">
        <w:rPr>
          <w:rFonts w:asciiTheme="minorHAnsi" w:hAnsiTheme="minorHAnsi"/>
          <w:sz w:val="24"/>
          <w:szCs w:val="22"/>
        </w:rPr>
        <w:t xml:space="preserve"> </w:t>
      </w:r>
      <w:r w:rsidRPr="00E631B0">
        <w:rPr>
          <w:rFonts w:asciiTheme="minorHAnsi" w:hAnsiTheme="minorHAnsi"/>
          <w:sz w:val="24"/>
          <w:szCs w:val="22"/>
        </w:rPr>
        <w:t>reporting on sub</w:t>
      </w:r>
      <w:r w:rsidR="00952835" w:rsidRPr="00E631B0">
        <w:rPr>
          <w:rFonts w:asciiTheme="minorHAnsi" w:hAnsiTheme="minorHAnsi"/>
          <w:sz w:val="24"/>
          <w:szCs w:val="22"/>
        </w:rPr>
        <w:t>-</w:t>
      </w:r>
      <w:r w:rsidRPr="00E631B0">
        <w:rPr>
          <w:rFonts w:asciiTheme="minorHAnsi" w:hAnsiTheme="minorHAnsi"/>
          <w:sz w:val="24"/>
          <w:szCs w:val="22"/>
        </w:rPr>
        <w:t xml:space="preserve">group analyses of the IMPROVE-IT study suggests that </w:t>
      </w:r>
      <w:r w:rsidR="00F76E0A" w:rsidRPr="00E631B0">
        <w:rPr>
          <w:rFonts w:asciiTheme="minorHAnsi" w:hAnsiTheme="minorHAnsi"/>
          <w:sz w:val="24"/>
          <w:szCs w:val="22"/>
        </w:rPr>
        <w:t xml:space="preserve">any </w:t>
      </w:r>
      <w:r w:rsidRPr="00E631B0">
        <w:rPr>
          <w:rFonts w:asciiTheme="minorHAnsi" w:hAnsiTheme="minorHAnsi"/>
          <w:sz w:val="24"/>
          <w:szCs w:val="22"/>
        </w:rPr>
        <w:t>benefit of ezetimibe is restricted to those with high risk in a secondary prevention population</w:t>
      </w:r>
      <w:r w:rsidR="00C94907" w:rsidRPr="00E631B0">
        <w:rPr>
          <w:rStyle w:val="EndnoteReference"/>
          <w:rFonts w:asciiTheme="minorHAnsi" w:hAnsiTheme="minorHAnsi"/>
          <w:sz w:val="24"/>
          <w:szCs w:val="22"/>
        </w:rPr>
        <w:endnoteReference w:id="9"/>
      </w:r>
      <w:r w:rsidR="003E4259" w:rsidRPr="00E631B0">
        <w:rPr>
          <w:rFonts w:asciiTheme="minorHAnsi" w:hAnsiTheme="minorHAnsi"/>
          <w:sz w:val="24"/>
          <w:szCs w:val="22"/>
          <w:vertAlign w:val="superscript"/>
        </w:rPr>
        <w:t>,</w:t>
      </w:r>
      <w:r w:rsidR="00C94907" w:rsidRPr="00E631B0">
        <w:rPr>
          <w:rStyle w:val="EndnoteReference"/>
          <w:rFonts w:asciiTheme="minorHAnsi" w:hAnsiTheme="minorHAnsi"/>
          <w:sz w:val="24"/>
          <w:szCs w:val="22"/>
        </w:rPr>
        <w:endnoteReference w:id="10"/>
      </w:r>
      <w:r w:rsidR="003E4259" w:rsidRPr="00E631B0">
        <w:rPr>
          <w:rFonts w:asciiTheme="minorHAnsi" w:hAnsiTheme="minorHAnsi"/>
          <w:sz w:val="24"/>
          <w:szCs w:val="22"/>
          <w:vertAlign w:val="superscript"/>
        </w:rPr>
        <w:t>,</w:t>
      </w:r>
      <w:r w:rsidR="0032693A" w:rsidRPr="00E631B0">
        <w:rPr>
          <w:rStyle w:val="EndnoteReference"/>
          <w:rFonts w:asciiTheme="minorHAnsi" w:hAnsiTheme="minorHAnsi"/>
          <w:sz w:val="24"/>
          <w:szCs w:val="22"/>
        </w:rPr>
        <w:endnoteReference w:id="11"/>
      </w:r>
      <w:r w:rsidR="003E4259" w:rsidRPr="00E631B0">
        <w:rPr>
          <w:rFonts w:asciiTheme="minorHAnsi" w:hAnsiTheme="minorHAnsi"/>
          <w:sz w:val="24"/>
          <w:szCs w:val="22"/>
          <w:vertAlign w:val="superscript"/>
        </w:rPr>
        <w:t>,</w:t>
      </w:r>
      <w:r w:rsidR="0032693A" w:rsidRPr="00E631B0">
        <w:rPr>
          <w:rStyle w:val="EndnoteReference"/>
          <w:rFonts w:asciiTheme="minorHAnsi" w:hAnsiTheme="minorHAnsi"/>
          <w:sz w:val="24"/>
          <w:szCs w:val="22"/>
        </w:rPr>
        <w:endnoteReference w:id="12"/>
      </w:r>
      <w:r w:rsidRPr="00E631B0">
        <w:rPr>
          <w:rFonts w:asciiTheme="minorHAnsi" w:hAnsiTheme="minorHAnsi"/>
          <w:sz w:val="24"/>
          <w:szCs w:val="22"/>
        </w:rPr>
        <w:t>.</w:t>
      </w:r>
    </w:p>
    <w:p w14:paraId="5614173E" w14:textId="77777777" w:rsidR="00D81596" w:rsidRPr="00E631B0" w:rsidRDefault="00E837F3" w:rsidP="000B1039">
      <w:pPr>
        <w:pStyle w:val="CommentText"/>
        <w:jc w:val="left"/>
        <w:rPr>
          <w:rFonts w:asciiTheme="minorHAnsi" w:hAnsiTheme="minorHAnsi"/>
          <w:sz w:val="24"/>
          <w:szCs w:val="22"/>
        </w:rPr>
      </w:pPr>
      <w:r w:rsidRPr="00E631B0">
        <w:rPr>
          <w:rFonts w:asciiTheme="minorHAnsi" w:hAnsiTheme="minorHAnsi"/>
          <w:sz w:val="24"/>
          <w:szCs w:val="22"/>
        </w:rPr>
        <w:t xml:space="preserve">On the basis of the published </w:t>
      </w:r>
      <w:r w:rsidR="004C7D89" w:rsidRPr="00E631B0">
        <w:rPr>
          <w:rFonts w:asciiTheme="minorHAnsi" w:hAnsiTheme="minorHAnsi"/>
          <w:sz w:val="24"/>
          <w:szCs w:val="22"/>
        </w:rPr>
        <w:t>evidence,</w:t>
      </w:r>
      <w:r w:rsidRPr="00E631B0">
        <w:rPr>
          <w:rFonts w:asciiTheme="minorHAnsi" w:hAnsiTheme="minorHAnsi"/>
          <w:sz w:val="24"/>
          <w:szCs w:val="22"/>
        </w:rPr>
        <w:t xml:space="preserve"> the Reference Group accepted that a reduction in LDL-C correlates with the reduction of cardiovascular risk</w:t>
      </w:r>
      <w:r w:rsidR="00F76E0A" w:rsidRPr="00E631B0">
        <w:rPr>
          <w:rFonts w:asciiTheme="minorHAnsi" w:hAnsiTheme="minorHAnsi"/>
          <w:sz w:val="24"/>
          <w:szCs w:val="22"/>
        </w:rPr>
        <w:t>, however the reduction is likely to be of more benefit in higher risk patients</w:t>
      </w:r>
      <w:r w:rsidRPr="00E631B0">
        <w:rPr>
          <w:rFonts w:asciiTheme="minorHAnsi" w:hAnsiTheme="minorHAnsi"/>
          <w:sz w:val="24"/>
          <w:szCs w:val="22"/>
        </w:rPr>
        <w:t xml:space="preserve">. To </w:t>
      </w:r>
      <w:r w:rsidR="00F76E0A" w:rsidRPr="00E631B0">
        <w:rPr>
          <w:rFonts w:asciiTheme="minorHAnsi" w:hAnsiTheme="minorHAnsi"/>
          <w:sz w:val="24"/>
          <w:szCs w:val="22"/>
        </w:rPr>
        <w:t xml:space="preserve">achieve the largest </w:t>
      </w:r>
      <w:r w:rsidRPr="00E631B0">
        <w:rPr>
          <w:rFonts w:asciiTheme="minorHAnsi" w:hAnsiTheme="minorHAnsi"/>
          <w:sz w:val="24"/>
          <w:szCs w:val="22"/>
        </w:rPr>
        <w:t>reduc</w:t>
      </w:r>
      <w:r w:rsidR="00F76E0A" w:rsidRPr="00E631B0">
        <w:rPr>
          <w:rFonts w:asciiTheme="minorHAnsi" w:hAnsiTheme="minorHAnsi"/>
          <w:sz w:val="24"/>
          <w:szCs w:val="22"/>
        </w:rPr>
        <w:t>tion in</w:t>
      </w:r>
      <w:r w:rsidRPr="00E631B0">
        <w:rPr>
          <w:rFonts w:asciiTheme="minorHAnsi" w:hAnsiTheme="minorHAnsi"/>
          <w:sz w:val="24"/>
          <w:szCs w:val="22"/>
        </w:rPr>
        <w:t xml:space="preserve"> LDL-C</w:t>
      </w:r>
      <w:r w:rsidR="007714D8" w:rsidRPr="00E631B0">
        <w:rPr>
          <w:rFonts w:asciiTheme="minorHAnsi" w:hAnsiTheme="minorHAnsi"/>
          <w:sz w:val="24"/>
          <w:szCs w:val="22"/>
        </w:rPr>
        <w:t xml:space="preserve"> in the majority of cases</w:t>
      </w:r>
      <w:r w:rsidRPr="00E631B0">
        <w:rPr>
          <w:rFonts w:asciiTheme="minorHAnsi" w:hAnsiTheme="minorHAnsi"/>
          <w:sz w:val="24"/>
          <w:szCs w:val="22"/>
        </w:rPr>
        <w:t xml:space="preserve">, the initial use of statins </w:t>
      </w:r>
      <w:r w:rsidR="00095BB9" w:rsidRPr="00E631B0">
        <w:rPr>
          <w:rFonts w:asciiTheme="minorHAnsi" w:hAnsiTheme="minorHAnsi"/>
          <w:sz w:val="24"/>
          <w:szCs w:val="22"/>
        </w:rPr>
        <w:t xml:space="preserve">should be promoted </w:t>
      </w:r>
      <w:r w:rsidRPr="00E631B0">
        <w:rPr>
          <w:rFonts w:asciiTheme="minorHAnsi" w:hAnsiTheme="minorHAnsi"/>
          <w:sz w:val="24"/>
          <w:szCs w:val="22"/>
        </w:rPr>
        <w:t>with up-titration to the maximum tolerated dose or switch to statin of higher potency prior to the introduction of ezetimibe. The quality and quantity of evidence for</w:t>
      </w:r>
      <w:r w:rsidR="001D783E" w:rsidRPr="00E631B0">
        <w:rPr>
          <w:rFonts w:asciiTheme="minorHAnsi" w:hAnsiTheme="minorHAnsi"/>
          <w:sz w:val="24"/>
          <w:szCs w:val="22"/>
        </w:rPr>
        <w:t xml:space="preserve"> preventing cardiovascular events</w:t>
      </w:r>
      <w:r w:rsidRPr="00E631B0">
        <w:rPr>
          <w:rFonts w:asciiTheme="minorHAnsi" w:hAnsiTheme="minorHAnsi"/>
          <w:sz w:val="24"/>
          <w:szCs w:val="22"/>
        </w:rPr>
        <w:t xml:space="preserve"> with statins is stronger</w:t>
      </w:r>
      <w:r w:rsidR="00EB0757" w:rsidRPr="00E631B0">
        <w:rPr>
          <w:rFonts w:asciiTheme="minorHAnsi" w:hAnsiTheme="minorHAnsi"/>
          <w:sz w:val="24"/>
          <w:szCs w:val="22"/>
        </w:rPr>
        <w:t xml:space="preserve"> and the percentage reduction in LDL-C with statins is greater than with ezetimibe</w:t>
      </w:r>
      <w:r w:rsidRPr="00E631B0">
        <w:rPr>
          <w:rFonts w:asciiTheme="minorHAnsi" w:hAnsiTheme="minorHAnsi"/>
          <w:sz w:val="24"/>
          <w:szCs w:val="22"/>
        </w:rPr>
        <w:t xml:space="preserve">. </w:t>
      </w:r>
      <w:r w:rsidR="00EB0757" w:rsidRPr="00E631B0">
        <w:rPr>
          <w:rFonts w:asciiTheme="minorHAnsi" w:hAnsiTheme="minorHAnsi"/>
          <w:sz w:val="24"/>
          <w:szCs w:val="22"/>
        </w:rPr>
        <w:t>Therefore, t</w:t>
      </w:r>
      <w:r w:rsidRPr="00E631B0">
        <w:rPr>
          <w:rFonts w:asciiTheme="minorHAnsi" w:hAnsiTheme="minorHAnsi"/>
          <w:sz w:val="24"/>
          <w:szCs w:val="22"/>
        </w:rPr>
        <w:t xml:space="preserve">he PBS restrictions </w:t>
      </w:r>
      <w:r w:rsidR="0039666F" w:rsidRPr="00E631B0">
        <w:rPr>
          <w:rFonts w:asciiTheme="minorHAnsi" w:hAnsiTheme="minorHAnsi"/>
          <w:sz w:val="24"/>
          <w:szCs w:val="22"/>
        </w:rPr>
        <w:t xml:space="preserve">placing </w:t>
      </w:r>
      <w:r w:rsidRPr="00E631B0">
        <w:rPr>
          <w:rFonts w:asciiTheme="minorHAnsi" w:hAnsiTheme="minorHAnsi"/>
          <w:sz w:val="24"/>
          <w:szCs w:val="22"/>
        </w:rPr>
        <w:t xml:space="preserve">ezetimibe </w:t>
      </w:r>
      <w:r w:rsidR="0039666F" w:rsidRPr="00E631B0">
        <w:rPr>
          <w:rFonts w:asciiTheme="minorHAnsi" w:hAnsiTheme="minorHAnsi"/>
          <w:sz w:val="24"/>
          <w:szCs w:val="22"/>
        </w:rPr>
        <w:t xml:space="preserve">as </w:t>
      </w:r>
      <w:r w:rsidRPr="00E631B0">
        <w:rPr>
          <w:rFonts w:asciiTheme="minorHAnsi" w:hAnsiTheme="minorHAnsi"/>
          <w:sz w:val="24"/>
          <w:szCs w:val="22"/>
        </w:rPr>
        <w:t>a second line</w:t>
      </w:r>
      <w:r w:rsidR="00CC14E7" w:rsidRPr="00E631B0">
        <w:rPr>
          <w:rFonts w:asciiTheme="minorHAnsi" w:hAnsiTheme="minorHAnsi"/>
          <w:sz w:val="24"/>
          <w:szCs w:val="22"/>
        </w:rPr>
        <w:t xml:space="preserve"> non-statin LLT</w:t>
      </w:r>
      <w:r w:rsidRPr="00E631B0">
        <w:rPr>
          <w:rFonts w:asciiTheme="minorHAnsi" w:hAnsiTheme="minorHAnsi"/>
          <w:sz w:val="24"/>
          <w:szCs w:val="22"/>
        </w:rPr>
        <w:t xml:space="preserve"> option should remain</w:t>
      </w:r>
      <w:r w:rsidR="00EB0757" w:rsidRPr="00E631B0">
        <w:rPr>
          <w:rFonts w:asciiTheme="minorHAnsi" w:hAnsiTheme="minorHAnsi"/>
          <w:sz w:val="24"/>
          <w:szCs w:val="22"/>
        </w:rPr>
        <w:t>.</w:t>
      </w:r>
    </w:p>
    <w:p w14:paraId="5BCC9863" w14:textId="59819B98" w:rsidR="0000686B" w:rsidRPr="00E631B0" w:rsidRDefault="0000686B" w:rsidP="000B1039">
      <w:pPr>
        <w:spacing w:line="240" w:lineRule="auto"/>
        <w:jc w:val="left"/>
        <w:rPr>
          <w:rFonts w:ascii="Calibri" w:eastAsia="Calibri" w:hAnsi="Calibri" w:cs="Times New Roman"/>
        </w:rPr>
      </w:pPr>
      <w:r w:rsidRPr="00E631B0">
        <w:rPr>
          <w:rFonts w:ascii="Calibri" w:eastAsia="Calibri" w:hAnsi="Calibri" w:cs="Times New Roman"/>
        </w:rPr>
        <w:t>Application of the evidence reporting on long</w:t>
      </w:r>
      <w:r w:rsidR="00F7627D" w:rsidRPr="00E631B0">
        <w:rPr>
          <w:rFonts w:ascii="Calibri" w:eastAsia="Calibri" w:hAnsi="Calibri" w:cs="Times New Roman"/>
        </w:rPr>
        <w:t>-</w:t>
      </w:r>
      <w:r w:rsidRPr="00E631B0">
        <w:rPr>
          <w:rFonts w:ascii="Calibri" w:eastAsia="Calibri" w:hAnsi="Calibri" w:cs="Times New Roman"/>
        </w:rPr>
        <w:t xml:space="preserve">term patient relevant outcomes casts uncertainty about the cost-effectiveness of ezetimibe in combination with statin versus statin monotherapy. The Reference Group agreed that the results of the economic evaluations previously considered by the PBAC and </w:t>
      </w:r>
      <w:r w:rsidR="003B5FC4" w:rsidRPr="00E631B0">
        <w:rPr>
          <w:rFonts w:ascii="Calibri" w:eastAsia="Calibri" w:hAnsi="Calibri" w:cs="Times New Roman"/>
        </w:rPr>
        <w:t xml:space="preserve">those </w:t>
      </w:r>
      <w:r w:rsidR="001D783E" w:rsidRPr="00E631B0">
        <w:rPr>
          <w:rFonts w:ascii="Calibri" w:eastAsia="Calibri" w:hAnsi="Calibri" w:cs="Times New Roman"/>
        </w:rPr>
        <w:t>re-presented in a submission to</w:t>
      </w:r>
      <w:r w:rsidRPr="00E631B0">
        <w:rPr>
          <w:rFonts w:ascii="Calibri" w:eastAsia="Calibri" w:hAnsi="Calibri" w:cs="Times New Roman"/>
        </w:rPr>
        <w:t xml:space="preserve"> the post</w:t>
      </w:r>
      <w:r w:rsidR="00B94AAC" w:rsidRPr="00E631B0">
        <w:rPr>
          <w:rFonts w:ascii="Calibri" w:eastAsia="Calibri" w:hAnsi="Calibri" w:cs="Times New Roman"/>
        </w:rPr>
        <w:t>-</w:t>
      </w:r>
      <w:r w:rsidRPr="00E631B0">
        <w:rPr>
          <w:rFonts w:ascii="Calibri" w:eastAsia="Calibri" w:hAnsi="Calibri" w:cs="Times New Roman"/>
        </w:rPr>
        <w:t>market review</w:t>
      </w:r>
      <w:r w:rsidR="002423A4" w:rsidRPr="00E631B0">
        <w:rPr>
          <w:rFonts w:ascii="Calibri" w:eastAsia="Calibri" w:hAnsi="Calibri" w:cs="Times New Roman"/>
        </w:rPr>
        <w:t>,</w:t>
      </w:r>
      <w:r w:rsidRPr="00E631B0">
        <w:rPr>
          <w:rFonts w:ascii="Calibri" w:eastAsia="Calibri" w:hAnsi="Calibri" w:cs="Times New Roman"/>
        </w:rPr>
        <w:t xml:space="preserve"> seem to overestimate the incremental long</w:t>
      </w:r>
      <w:r w:rsidR="00F7627D" w:rsidRPr="00E631B0">
        <w:rPr>
          <w:rFonts w:ascii="Calibri" w:eastAsia="Calibri" w:hAnsi="Calibri" w:cs="Times New Roman"/>
        </w:rPr>
        <w:t>-</w:t>
      </w:r>
      <w:r w:rsidRPr="00E631B0">
        <w:rPr>
          <w:rFonts w:ascii="Calibri" w:eastAsia="Calibri" w:hAnsi="Calibri" w:cs="Times New Roman"/>
        </w:rPr>
        <w:t xml:space="preserve">term benefits associated with a combination of ezetimibe and a statin. </w:t>
      </w:r>
    </w:p>
    <w:p w14:paraId="52FEF943" w14:textId="77777777" w:rsidR="00A07A60" w:rsidRPr="00E631B0" w:rsidRDefault="009D0B06" w:rsidP="000B1039">
      <w:pPr>
        <w:spacing w:line="240" w:lineRule="auto"/>
        <w:jc w:val="left"/>
        <w:rPr>
          <w:rFonts w:ascii="Calibri" w:eastAsia="Calibri" w:hAnsi="Calibri" w:cs="Times New Roman"/>
        </w:rPr>
      </w:pPr>
      <w:r w:rsidRPr="00E631B0">
        <w:rPr>
          <w:rFonts w:ascii="Calibri" w:eastAsia="Calibri" w:hAnsi="Calibri" w:cs="Times New Roman"/>
        </w:rPr>
        <w:t>The structure of the economic model provided by the sponsor</w:t>
      </w:r>
      <w:r w:rsidR="00D71F09" w:rsidRPr="00E631B0">
        <w:rPr>
          <w:rFonts w:ascii="Calibri" w:eastAsia="Calibri" w:hAnsi="Calibri" w:cs="Times New Roman"/>
        </w:rPr>
        <w:t xml:space="preserve"> to the Review </w:t>
      </w:r>
      <w:r w:rsidRPr="00E631B0">
        <w:rPr>
          <w:rFonts w:ascii="Calibri" w:eastAsia="Calibri" w:hAnsi="Calibri" w:cs="Times New Roman"/>
        </w:rPr>
        <w:t xml:space="preserve">is unchanged </w:t>
      </w:r>
      <w:r w:rsidR="00CC14E7" w:rsidRPr="00E631B0">
        <w:rPr>
          <w:rFonts w:ascii="Calibri" w:eastAsia="Calibri" w:hAnsi="Calibri" w:cs="Times New Roman"/>
        </w:rPr>
        <w:t xml:space="preserve">from past submissions to the PBAC </w:t>
      </w:r>
      <w:r w:rsidRPr="00E631B0">
        <w:rPr>
          <w:rFonts w:ascii="Calibri" w:eastAsia="Calibri" w:hAnsi="Calibri" w:cs="Times New Roman"/>
        </w:rPr>
        <w:t>and t</w:t>
      </w:r>
      <w:r w:rsidR="00D71F09" w:rsidRPr="00E631B0">
        <w:rPr>
          <w:rFonts w:ascii="Calibri" w:eastAsia="Calibri" w:hAnsi="Calibri" w:cs="Times New Roman"/>
        </w:rPr>
        <w:t>herefore concerns remain related to</w:t>
      </w:r>
      <w:r w:rsidR="00CC14E7" w:rsidRPr="00E631B0">
        <w:rPr>
          <w:rFonts w:ascii="Calibri" w:eastAsia="Calibri" w:hAnsi="Calibri" w:cs="Times New Roman"/>
        </w:rPr>
        <w:t>:</w:t>
      </w:r>
      <w:r w:rsidR="00D71F09" w:rsidRPr="00E631B0">
        <w:rPr>
          <w:rFonts w:ascii="Calibri" w:eastAsia="Calibri" w:hAnsi="Calibri" w:cs="Times New Roman"/>
        </w:rPr>
        <w:t xml:space="preserve"> the risk equations used to transform the reduction in lipid </w:t>
      </w:r>
      <w:r w:rsidR="004B1768" w:rsidRPr="00E631B0">
        <w:rPr>
          <w:rFonts w:asciiTheme="minorHAnsi" w:eastAsia="Times New Roman" w:hAnsiTheme="minorHAnsi" w:cs="Arial"/>
          <w:szCs w:val="24"/>
          <w:lang w:eastAsia="en-AU"/>
        </w:rPr>
        <w:t>concentrations</w:t>
      </w:r>
      <w:r w:rsidR="004B1768" w:rsidRPr="00E631B0">
        <w:rPr>
          <w:rFonts w:ascii="Calibri" w:eastAsia="Calibri" w:hAnsi="Calibri" w:cs="Times New Roman"/>
        </w:rPr>
        <w:t xml:space="preserve"> </w:t>
      </w:r>
      <w:r w:rsidR="00D71F09" w:rsidRPr="00E631B0">
        <w:rPr>
          <w:rFonts w:ascii="Calibri" w:eastAsia="Calibri" w:hAnsi="Calibri" w:cs="Times New Roman"/>
        </w:rPr>
        <w:t xml:space="preserve">to final outcomes, the long cycle length (1 year) and model time horizon (70 years). </w:t>
      </w:r>
    </w:p>
    <w:p w14:paraId="1AAD5D61" w14:textId="5C3AF7C6" w:rsidR="0008637B" w:rsidRPr="00E631B0" w:rsidRDefault="0008637B" w:rsidP="000B1039">
      <w:pPr>
        <w:spacing w:line="240" w:lineRule="auto"/>
        <w:jc w:val="left"/>
        <w:rPr>
          <w:rFonts w:ascii="Calibri" w:eastAsia="Calibri" w:hAnsi="Calibri" w:cs="Times New Roman"/>
        </w:rPr>
      </w:pPr>
      <w:r w:rsidRPr="00E631B0">
        <w:rPr>
          <w:rFonts w:ascii="Calibri" w:eastAsia="Calibri" w:hAnsi="Calibri" w:cs="Times New Roman"/>
        </w:rPr>
        <w:t xml:space="preserve">The Reference Group considered that a large proportion of patients using ezetimibe as second line therapy would be older than </w:t>
      </w:r>
      <w:r w:rsidR="003B5FC4" w:rsidRPr="00E631B0">
        <w:rPr>
          <w:rFonts w:ascii="Calibri" w:eastAsia="Calibri" w:hAnsi="Calibri" w:cs="Times New Roman"/>
        </w:rPr>
        <w:t>50</w:t>
      </w:r>
      <w:r w:rsidRPr="00E631B0">
        <w:rPr>
          <w:rFonts w:ascii="Calibri" w:eastAsia="Calibri" w:hAnsi="Calibri" w:cs="Times New Roman"/>
        </w:rPr>
        <w:t xml:space="preserve"> years and requested an additional analysis be conducted on the time horizon at ten year intervals between 10 years and 70 years. </w:t>
      </w:r>
    </w:p>
    <w:p w14:paraId="07E40425" w14:textId="77777777" w:rsidR="0008637B" w:rsidRPr="00E631B0" w:rsidRDefault="0008637B" w:rsidP="000B1039">
      <w:pPr>
        <w:spacing w:line="240" w:lineRule="auto"/>
        <w:jc w:val="left"/>
        <w:rPr>
          <w:rFonts w:asciiTheme="minorHAnsi" w:eastAsiaTheme="minorEastAsia" w:hAnsiTheme="minorHAnsi"/>
          <w:lang w:eastAsia="zh-CN"/>
        </w:rPr>
      </w:pPr>
      <w:r w:rsidRPr="00E631B0">
        <w:rPr>
          <w:rFonts w:asciiTheme="minorHAnsi" w:eastAsiaTheme="minorEastAsia" w:hAnsiTheme="minorHAnsi"/>
          <w:lang w:eastAsia="zh-CN"/>
        </w:rPr>
        <w:t xml:space="preserve">The results of this sensitivity analysis show that the </w:t>
      </w:r>
      <w:r w:rsidR="003E4259" w:rsidRPr="00E631B0">
        <w:rPr>
          <w:rFonts w:asciiTheme="minorHAnsi" w:eastAsia="Calibri" w:hAnsiTheme="minorHAnsi" w:cs="Times New Roman"/>
        </w:rPr>
        <w:t>Incremental Cost-Effectiveness Ratios</w:t>
      </w:r>
      <w:r w:rsidR="003E4259" w:rsidRPr="00E631B0">
        <w:rPr>
          <w:rFonts w:asciiTheme="minorHAnsi" w:eastAsiaTheme="minorEastAsia" w:hAnsiTheme="minorHAnsi"/>
          <w:lang w:eastAsia="zh-CN"/>
        </w:rPr>
        <w:t xml:space="preserve"> (</w:t>
      </w:r>
      <w:r w:rsidRPr="00E631B0">
        <w:rPr>
          <w:rFonts w:asciiTheme="minorHAnsi" w:eastAsiaTheme="minorEastAsia" w:hAnsiTheme="minorHAnsi"/>
          <w:lang w:eastAsia="zh-CN"/>
        </w:rPr>
        <w:t>ICER</w:t>
      </w:r>
      <w:r w:rsidR="003E4259" w:rsidRPr="00E631B0">
        <w:rPr>
          <w:rFonts w:asciiTheme="minorHAnsi" w:eastAsiaTheme="minorEastAsia" w:hAnsiTheme="minorHAnsi"/>
          <w:lang w:eastAsia="zh-CN"/>
        </w:rPr>
        <w:t>s)</w:t>
      </w:r>
      <w:r w:rsidRPr="00E631B0">
        <w:rPr>
          <w:rFonts w:asciiTheme="minorHAnsi" w:eastAsiaTheme="minorEastAsia" w:hAnsiTheme="minorHAnsi"/>
          <w:lang w:eastAsia="zh-CN"/>
        </w:rPr>
        <w:t xml:space="preserve"> estimated as either a cost/life year gained (LYG) or cost/quality-adjusted life year (QALY) remain unchanged when the time horizons extended beyond 30 years (</w:t>
      </w:r>
      <w:r w:rsidRPr="00E631B0">
        <w:rPr>
          <w:rFonts w:asciiTheme="minorHAnsi" w:eastAsiaTheme="minorEastAsia" w:hAnsiTheme="minorHAnsi"/>
          <w:b/>
          <w:lang w:eastAsia="zh-CN"/>
        </w:rPr>
        <w:t>Appendix J</w:t>
      </w:r>
      <w:r w:rsidRPr="00E631B0">
        <w:rPr>
          <w:rFonts w:asciiTheme="minorHAnsi" w:eastAsiaTheme="minorEastAsia" w:hAnsiTheme="minorHAnsi"/>
          <w:lang w:eastAsia="zh-CN"/>
        </w:rPr>
        <w:t xml:space="preserve">, Table 1.3, p.20). After the first 30 cycles (years) of the Markov model, the survival rate is zero and there is no difference in either the incremental costs or the outcomes. </w:t>
      </w:r>
    </w:p>
    <w:p w14:paraId="517FB1DE" w14:textId="4697EC73" w:rsidR="0008182B" w:rsidRPr="00E631B0" w:rsidRDefault="00D71F09" w:rsidP="000B1039">
      <w:pPr>
        <w:spacing w:line="240" w:lineRule="auto"/>
        <w:jc w:val="left"/>
        <w:rPr>
          <w:rFonts w:asciiTheme="minorHAnsi" w:eastAsiaTheme="minorEastAsia" w:hAnsiTheme="minorHAnsi"/>
          <w:lang w:eastAsia="zh-CN"/>
        </w:rPr>
      </w:pPr>
      <w:r w:rsidRPr="00E631B0">
        <w:rPr>
          <w:rFonts w:asciiTheme="minorHAnsi" w:eastAsia="Calibri" w:hAnsiTheme="minorHAnsi" w:cs="Times New Roman"/>
        </w:rPr>
        <w:lastRenderedPageBreak/>
        <w:t xml:space="preserve">The Reference Group noted the sensitivity of the </w:t>
      </w:r>
      <w:r w:rsidR="003E4259" w:rsidRPr="00E631B0">
        <w:rPr>
          <w:rFonts w:asciiTheme="minorHAnsi" w:eastAsia="Calibri" w:hAnsiTheme="minorHAnsi" w:cs="Times New Roman"/>
        </w:rPr>
        <w:t>ICER</w:t>
      </w:r>
      <w:r w:rsidRPr="00E631B0">
        <w:rPr>
          <w:rFonts w:asciiTheme="minorHAnsi" w:eastAsia="Calibri" w:hAnsiTheme="minorHAnsi" w:cs="Times New Roman"/>
        </w:rPr>
        <w:t xml:space="preserve"> to the</w:t>
      </w:r>
      <w:r w:rsidR="00CC14E7" w:rsidRPr="00E631B0">
        <w:rPr>
          <w:rFonts w:asciiTheme="minorHAnsi" w:eastAsia="Calibri" w:hAnsiTheme="minorHAnsi" w:cs="Times New Roman"/>
        </w:rPr>
        <w:t xml:space="preserve"> efficacy estimates </w:t>
      </w:r>
      <w:r w:rsidR="00F24AE9" w:rsidRPr="00E631B0">
        <w:rPr>
          <w:rFonts w:asciiTheme="minorHAnsi" w:eastAsia="Calibri" w:hAnsiTheme="minorHAnsi" w:cs="Times New Roman"/>
        </w:rPr>
        <w:t xml:space="preserve">as well as the </w:t>
      </w:r>
      <w:r w:rsidRPr="00E631B0">
        <w:rPr>
          <w:rFonts w:asciiTheme="minorHAnsi" w:eastAsia="Calibri" w:hAnsiTheme="minorHAnsi" w:cs="Times New Roman"/>
        </w:rPr>
        <w:t>time horizon.</w:t>
      </w:r>
      <w:r w:rsidR="00A07A60" w:rsidRPr="00E631B0">
        <w:rPr>
          <w:rFonts w:asciiTheme="minorHAnsi" w:eastAsia="Calibri" w:hAnsiTheme="minorHAnsi" w:cs="Times New Roman"/>
        </w:rPr>
        <w:t xml:space="preserve"> </w:t>
      </w:r>
      <w:r w:rsidR="006E5923" w:rsidRPr="00E631B0">
        <w:rPr>
          <w:rFonts w:asciiTheme="minorHAnsi" w:eastAsia="Calibri" w:hAnsiTheme="minorHAnsi" w:cs="Times New Roman"/>
        </w:rPr>
        <w:t xml:space="preserve">The efficacy estimates provided by the sponsor were based on a meta-analysis conducted in 2006, that </w:t>
      </w:r>
      <w:r w:rsidR="00F24AE9" w:rsidRPr="00E631B0">
        <w:rPr>
          <w:rFonts w:asciiTheme="minorHAnsi" w:eastAsia="Calibri" w:hAnsiTheme="minorHAnsi" w:cs="Times New Roman"/>
        </w:rPr>
        <w:t xml:space="preserve">was not updated for the more recently published evidence and might have </w:t>
      </w:r>
      <w:r w:rsidR="006E5923" w:rsidRPr="00E631B0">
        <w:rPr>
          <w:rFonts w:asciiTheme="minorHAnsi" w:eastAsia="Calibri" w:hAnsiTheme="minorHAnsi" w:cs="Times New Roman"/>
        </w:rPr>
        <w:t>overestimate</w:t>
      </w:r>
      <w:r w:rsidR="00F24AE9" w:rsidRPr="00E631B0">
        <w:rPr>
          <w:rFonts w:asciiTheme="minorHAnsi" w:eastAsia="Calibri" w:hAnsiTheme="minorHAnsi" w:cs="Times New Roman"/>
        </w:rPr>
        <w:t>d</w:t>
      </w:r>
      <w:r w:rsidR="006E5923" w:rsidRPr="00E631B0">
        <w:rPr>
          <w:rFonts w:asciiTheme="minorHAnsi" w:eastAsia="Calibri" w:hAnsiTheme="minorHAnsi" w:cs="Times New Roman"/>
        </w:rPr>
        <w:t xml:space="preserve"> the efficacy</w:t>
      </w:r>
      <w:r w:rsidR="00AA583A" w:rsidRPr="00E631B0">
        <w:rPr>
          <w:rFonts w:asciiTheme="minorHAnsi" w:eastAsia="Calibri" w:hAnsiTheme="minorHAnsi" w:cs="Times New Roman"/>
        </w:rPr>
        <w:t xml:space="preserve"> </w:t>
      </w:r>
      <w:r w:rsidR="00095BB9" w:rsidRPr="00E631B0">
        <w:rPr>
          <w:rFonts w:asciiTheme="minorHAnsi" w:eastAsia="Calibri" w:hAnsiTheme="minorHAnsi" w:cs="Times New Roman"/>
        </w:rPr>
        <w:t>[</w:t>
      </w:r>
      <w:r w:rsidR="00F24AE9" w:rsidRPr="00E631B0">
        <w:rPr>
          <w:rFonts w:asciiTheme="minorHAnsi" w:eastAsia="Calibri" w:hAnsiTheme="minorHAnsi" w:cs="Times New Roman"/>
        </w:rPr>
        <w:t xml:space="preserve">reduction in </w:t>
      </w:r>
      <w:r w:rsidR="00AA583A" w:rsidRPr="00E631B0">
        <w:rPr>
          <w:rFonts w:asciiTheme="minorHAnsi" w:eastAsia="Calibri" w:hAnsiTheme="minorHAnsi" w:cs="Times New Roman"/>
        </w:rPr>
        <w:t>T</w:t>
      </w:r>
      <w:r w:rsidR="00095BB9" w:rsidRPr="00E631B0">
        <w:rPr>
          <w:rFonts w:asciiTheme="minorHAnsi" w:eastAsia="Calibri" w:hAnsiTheme="minorHAnsi" w:cs="Times New Roman"/>
        </w:rPr>
        <w:t xml:space="preserve">otal </w:t>
      </w:r>
      <w:r w:rsidR="00AA583A" w:rsidRPr="00E631B0">
        <w:rPr>
          <w:rFonts w:asciiTheme="minorHAnsi" w:eastAsia="Calibri" w:hAnsiTheme="minorHAnsi" w:cs="Times New Roman"/>
        </w:rPr>
        <w:t>C</w:t>
      </w:r>
      <w:r w:rsidR="00095BB9" w:rsidRPr="00E631B0">
        <w:rPr>
          <w:rFonts w:asciiTheme="minorHAnsi" w:eastAsia="Calibri" w:hAnsiTheme="minorHAnsi" w:cs="Times New Roman"/>
        </w:rPr>
        <w:t>holesterol (TC)</w:t>
      </w:r>
      <w:r w:rsidR="00AA583A" w:rsidRPr="00E631B0">
        <w:rPr>
          <w:rFonts w:asciiTheme="minorHAnsi" w:eastAsia="Calibri" w:hAnsiTheme="minorHAnsi" w:cs="Times New Roman"/>
        </w:rPr>
        <w:t>:</w:t>
      </w:r>
      <w:r w:rsidR="00095BB9" w:rsidRPr="00E631B0">
        <w:rPr>
          <w:rFonts w:asciiTheme="minorHAnsi" w:eastAsia="Calibri" w:hAnsiTheme="minorHAnsi" w:cs="Times New Roman"/>
        </w:rPr>
        <w:t xml:space="preserve"> </w:t>
      </w:r>
      <w:r w:rsidR="00AA583A" w:rsidRPr="00E631B0">
        <w:rPr>
          <w:rFonts w:asciiTheme="minorHAnsi" w:eastAsia="Calibri" w:hAnsiTheme="minorHAnsi" w:cs="Times New Roman"/>
        </w:rPr>
        <w:t>H</w:t>
      </w:r>
      <w:r w:rsidR="00095BB9" w:rsidRPr="00E631B0">
        <w:rPr>
          <w:rFonts w:asciiTheme="minorHAnsi" w:eastAsia="Calibri" w:hAnsiTheme="minorHAnsi" w:cs="Times New Roman"/>
        </w:rPr>
        <w:t xml:space="preserve">igh </w:t>
      </w:r>
      <w:r w:rsidR="00AA583A" w:rsidRPr="00E631B0">
        <w:rPr>
          <w:rFonts w:asciiTheme="minorHAnsi" w:eastAsia="Calibri" w:hAnsiTheme="minorHAnsi" w:cs="Times New Roman"/>
        </w:rPr>
        <w:t>D</w:t>
      </w:r>
      <w:r w:rsidR="00095BB9" w:rsidRPr="00E631B0">
        <w:rPr>
          <w:rFonts w:asciiTheme="minorHAnsi" w:eastAsia="Calibri" w:hAnsiTheme="minorHAnsi" w:cs="Times New Roman"/>
        </w:rPr>
        <w:t xml:space="preserve">ensity </w:t>
      </w:r>
      <w:r w:rsidR="00AA583A" w:rsidRPr="00E631B0">
        <w:rPr>
          <w:rFonts w:asciiTheme="minorHAnsi" w:eastAsia="Calibri" w:hAnsiTheme="minorHAnsi" w:cs="Times New Roman"/>
        </w:rPr>
        <w:t>L</w:t>
      </w:r>
      <w:r w:rsidR="00095BB9" w:rsidRPr="00E631B0">
        <w:rPr>
          <w:rFonts w:asciiTheme="minorHAnsi" w:eastAsia="Calibri" w:hAnsiTheme="minorHAnsi" w:cs="Times New Roman"/>
        </w:rPr>
        <w:t>ipoprotein (HDL)</w:t>
      </w:r>
      <w:r w:rsidR="00AA583A" w:rsidRPr="00E631B0">
        <w:rPr>
          <w:rFonts w:asciiTheme="minorHAnsi" w:eastAsia="Calibri" w:hAnsiTheme="minorHAnsi" w:cs="Times New Roman"/>
        </w:rPr>
        <w:t xml:space="preserve"> ratio</w:t>
      </w:r>
      <w:r w:rsidR="00F24AE9" w:rsidRPr="00E631B0">
        <w:rPr>
          <w:rFonts w:asciiTheme="minorHAnsi" w:eastAsia="Calibri" w:hAnsiTheme="minorHAnsi" w:cs="Times New Roman"/>
        </w:rPr>
        <w:t xml:space="preserve"> of -19.5% vs -2.6% in the ezetimibe and comparato</w:t>
      </w:r>
      <w:r w:rsidR="00CE1B26" w:rsidRPr="00E631B0">
        <w:rPr>
          <w:rFonts w:asciiTheme="minorHAnsi" w:eastAsia="Calibri" w:hAnsiTheme="minorHAnsi" w:cs="Times New Roman"/>
        </w:rPr>
        <w:t>r arms</w:t>
      </w:r>
      <w:r w:rsidR="003E4259" w:rsidRPr="00E631B0">
        <w:rPr>
          <w:rFonts w:asciiTheme="minorHAnsi" w:eastAsia="Calibri" w:hAnsiTheme="minorHAnsi" w:cs="Times New Roman"/>
        </w:rPr>
        <w:t>,</w:t>
      </w:r>
      <w:r w:rsidR="00CE1B26" w:rsidRPr="00E631B0">
        <w:rPr>
          <w:rFonts w:asciiTheme="minorHAnsi" w:eastAsia="Calibri" w:hAnsiTheme="minorHAnsi" w:cs="Times New Roman"/>
        </w:rPr>
        <w:t xml:space="preserve"> respectively</w:t>
      </w:r>
      <w:r w:rsidR="00095BB9" w:rsidRPr="00E631B0">
        <w:rPr>
          <w:rFonts w:asciiTheme="minorHAnsi" w:eastAsia="Calibri" w:hAnsiTheme="minorHAnsi" w:cs="Times New Roman"/>
        </w:rPr>
        <w:t>]</w:t>
      </w:r>
      <w:r w:rsidR="006E5923" w:rsidRPr="00E631B0">
        <w:rPr>
          <w:rFonts w:asciiTheme="minorHAnsi" w:eastAsia="Calibri" w:hAnsiTheme="minorHAnsi" w:cs="Times New Roman"/>
        </w:rPr>
        <w:t xml:space="preserve"> of ezetimibe added to statin</w:t>
      </w:r>
      <w:r w:rsidR="00CE1B26" w:rsidRPr="00E631B0">
        <w:rPr>
          <w:rFonts w:asciiTheme="minorHAnsi" w:eastAsia="Calibri" w:hAnsiTheme="minorHAnsi" w:cs="Times New Roman"/>
        </w:rPr>
        <w:t xml:space="preserve"> versus statin monotherapy</w:t>
      </w:r>
      <w:r w:rsidR="006E5923" w:rsidRPr="00E631B0">
        <w:rPr>
          <w:rFonts w:asciiTheme="minorHAnsi" w:eastAsia="Calibri" w:hAnsiTheme="minorHAnsi" w:cs="Times New Roman"/>
        </w:rPr>
        <w:t xml:space="preserve">. </w:t>
      </w:r>
      <w:r w:rsidR="00A07A60" w:rsidRPr="00E631B0">
        <w:rPr>
          <w:rFonts w:asciiTheme="minorHAnsi" w:eastAsia="Calibri" w:hAnsiTheme="minorHAnsi" w:cs="Times New Roman"/>
        </w:rPr>
        <w:t xml:space="preserve">During the </w:t>
      </w:r>
      <w:r w:rsidR="003E4259" w:rsidRPr="00E631B0">
        <w:rPr>
          <w:rFonts w:asciiTheme="minorHAnsi" w:eastAsia="Calibri" w:hAnsiTheme="minorHAnsi" w:cs="Times New Roman"/>
        </w:rPr>
        <w:t>R</w:t>
      </w:r>
      <w:r w:rsidR="0008637B" w:rsidRPr="00E631B0">
        <w:rPr>
          <w:rFonts w:asciiTheme="minorHAnsi" w:eastAsia="Calibri" w:hAnsiTheme="minorHAnsi" w:cs="Times New Roman"/>
        </w:rPr>
        <w:t>eview,</w:t>
      </w:r>
      <w:r w:rsidR="00A07A60" w:rsidRPr="00E631B0">
        <w:rPr>
          <w:rFonts w:asciiTheme="minorHAnsi" w:eastAsia="Calibri" w:hAnsiTheme="minorHAnsi" w:cs="Times New Roman"/>
        </w:rPr>
        <w:t xml:space="preserve"> </w:t>
      </w:r>
      <w:r w:rsidR="0008182B" w:rsidRPr="00E631B0">
        <w:rPr>
          <w:rFonts w:asciiTheme="minorHAnsi" w:eastAsia="Calibri" w:hAnsiTheme="minorHAnsi" w:cs="Times New Roman"/>
        </w:rPr>
        <w:t>a</w:t>
      </w:r>
      <w:r w:rsidR="00A07A60" w:rsidRPr="00E631B0">
        <w:rPr>
          <w:rFonts w:asciiTheme="minorHAnsi" w:eastAsiaTheme="minorEastAsia" w:hAnsiTheme="minorHAnsi"/>
          <w:lang w:eastAsia="zh-CN"/>
        </w:rPr>
        <w:t xml:space="preserve">lternative </w:t>
      </w:r>
      <w:r w:rsidR="00A07A60" w:rsidRPr="00E631B0">
        <w:rPr>
          <w:rFonts w:asciiTheme="minorHAnsi" w:hAnsiTheme="minorHAnsi"/>
        </w:rPr>
        <w:t>efficacy</w:t>
      </w:r>
      <w:r w:rsidR="00A07A60" w:rsidRPr="00E631B0">
        <w:rPr>
          <w:rFonts w:asciiTheme="minorHAnsi" w:eastAsiaTheme="minorEastAsia" w:hAnsiTheme="minorHAnsi"/>
          <w:lang w:eastAsia="zh-CN"/>
        </w:rPr>
        <w:t xml:space="preserve"> estimates were obtained </w:t>
      </w:r>
      <w:r w:rsidR="006E5923" w:rsidRPr="00E631B0">
        <w:rPr>
          <w:rFonts w:asciiTheme="minorHAnsi" w:eastAsiaTheme="minorEastAsia" w:hAnsiTheme="minorHAnsi"/>
          <w:lang w:eastAsia="zh-CN"/>
        </w:rPr>
        <w:t xml:space="preserve">from </w:t>
      </w:r>
      <w:r w:rsidR="00A07A60" w:rsidRPr="00E631B0">
        <w:rPr>
          <w:rFonts w:asciiTheme="minorHAnsi" w:eastAsiaTheme="minorEastAsia" w:hAnsiTheme="minorHAnsi"/>
          <w:lang w:eastAsia="zh-CN"/>
        </w:rPr>
        <w:t>a meta-analysis of trials that enrolled primary, secondary or mixed prevention population</w:t>
      </w:r>
      <w:r w:rsidR="00174DDF" w:rsidRPr="00E631B0">
        <w:rPr>
          <w:rFonts w:asciiTheme="minorHAnsi" w:eastAsiaTheme="minorEastAsia" w:hAnsiTheme="minorHAnsi"/>
          <w:lang w:eastAsia="zh-CN"/>
        </w:rPr>
        <w:t>s</w:t>
      </w:r>
      <w:r w:rsidR="003E4259" w:rsidRPr="00E631B0">
        <w:rPr>
          <w:rFonts w:asciiTheme="minorHAnsi" w:eastAsiaTheme="minorEastAsia" w:hAnsiTheme="minorHAnsi"/>
          <w:lang w:eastAsia="zh-CN"/>
        </w:rPr>
        <w:t xml:space="preserve">, all receiving second </w:t>
      </w:r>
      <w:r w:rsidR="00A07A60" w:rsidRPr="00E631B0">
        <w:rPr>
          <w:rFonts w:asciiTheme="minorHAnsi" w:eastAsiaTheme="minorEastAsia" w:hAnsiTheme="minorHAnsi"/>
          <w:lang w:eastAsia="zh-CN"/>
        </w:rPr>
        <w:t xml:space="preserve">line treatment with ezetimibe </w:t>
      </w:r>
      <w:r w:rsidR="00095BB9" w:rsidRPr="00E631B0">
        <w:rPr>
          <w:rFonts w:asciiTheme="minorHAnsi" w:eastAsiaTheme="minorEastAsia" w:hAnsiTheme="minorHAnsi"/>
          <w:lang w:eastAsia="zh-CN"/>
        </w:rPr>
        <w:t xml:space="preserve">plus </w:t>
      </w:r>
      <w:r w:rsidR="00A07A60" w:rsidRPr="00E631B0">
        <w:rPr>
          <w:rFonts w:asciiTheme="minorHAnsi" w:eastAsiaTheme="minorEastAsia" w:hAnsiTheme="minorHAnsi"/>
          <w:lang w:eastAsia="zh-CN"/>
        </w:rPr>
        <w:t>statin (intervention) versus up-titrated statin</w:t>
      </w:r>
      <w:r w:rsidR="00095BB9" w:rsidRPr="00E631B0">
        <w:rPr>
          <w:rFonts w:asciiTheme="minorHAnsi" w:eastAsiaTheme="minorEastAsia" w:hAnsiTheme="minorHAnsi"/>
          <w:lang w:eastAsia="zh-CN"/>
        </w:rPr>
        <w:t xml:space="preserve"> </w:t>
      </w:r>
      <w:r w:rsidR="00A07A60" w:rsidRPr="00E631B0">
        <w:rPr>
          <w:rFonts w:asciiTheme="minorHAnsi" w:eastAsiaTheme="minorEastAsia" w:hAnsiTheme="minorHAnsi"/>
          <w:lang w:eastAsia="zh-CN"/>
        </w:rPr>
        <w:t xml:space="preserve">(control). This </w:t>
      </w:r>
      <w:r w:rsidR="00CE1B26" w:rsidRPr="00E631B0">
        <w:rPr>
          <w:rFonts w:asciiTheme="minorHAnsi" w:eastAsiaTheme="minorEastAsia" w:hAnsiTheme="minorHAnsi"/>
          <w:i/>
          <w:lang w:eastAsia="zh-CN"/>
        </w:rPr>
        <w:t>ad hoc</w:t>
      </w:r>
      <w:r w:rsidR="00CE1B26" w:rsidRPr="00E631B0">
        <w:rPr>
          <w:rFonts w:asciiTheme="minorHAnsi" w:eastAsiaTheme="minorEastAsia" w:hAnsiTheme="minorHAnsi"/>
          <w:lang w:eastAsia="zh-CN"/>
        </w:rPr>
        <w:t xml:space="preserve"> </w:t>
      </w:r>
      <w:r w:rsidR="00A07A60" w:rsidRPr="00E631B0">
        <w:rPr>
          <w:rFonts w:asciiTheme="minorHAnsi" w:eastAsiaTheme="minorEastAsia" w:hAnsiTheme="minorHAnsi"/>
          <w:lang w:eastAsia="zh-CN"/>
        </w:rPr>
        <w:t xml:space="preserve">meta-analysis was conducted by the Deakin </w:t>
      </w:r>
      <w:r w:rsidR="006E5923" w:rsidRPr="00E631B0">
        <w:rPr>
          <w:rFonts w:asciiTheme="minorHAnsi" w:eastAsiaTheme="minorEastAsia" w:hAnsiTheme="minorHAnsi"/>
          <w:lang w:eastAsia="zh-CN"/>
        </w:rPr>
        <w:t>Health E</w:t>
      </w:r>
      <w:r w:rsidR="00A07A60" w:rsidRPr="00E631B0">
        <w:rPr>
          <w:rFonts w:asciiTheme="minorHAnsi" w:eastAsiaTheme="minorEastAsia" w:hAnsiTheme="minorHAnsi"/>
          <w:lang w:eastAsia="zh-CN"/>
        </w:rPr>
        <w:t xml:space="preserve">conomics team for the </w:t>
      </w:r>
      <w:r w:rsidR="00CE1B26" w:rsidRPr="00E631B0">
        <w:rPr>
          <w:rFonts w:asciiTheme="minorHAnsi" w:eastAsiaTheme="minorEastAsia" w:hAnsiTheme="minorHAnsi"/>
          <w:lang w:eastAsia="zh-CN"/>
        </w:rPr>
        <w:t xml:space="preserve">sensitivity analysis of the modelled economic evaluation presented by </w:t>
      </w:r>
      <w:r w:rsidR="00687FC0" w:rsidRPr="00E631B0">
        <w:rPr>
          <w:rFonts w:asciiTheme="minorHAnsi" w:eastAsiaTheme="minorEastAsia" w:hAnsiTheme="minorHAnsi"/>
          <w:lang w:eastAsia="zh-CN"/>
        </w:rPr>
        <w:t>the sponsor (</w:t>
      </w:r>
      <w:r w:rsidR="00CE1B26" w:rsidRPr="00E631B0">
        <w:rPr>
          <w:rFonts w:asciiTheme="minorHAnsi" w:eastAsiaTheme="minorEastAsia" w:hAnsiTheme="minorHAnsi"/>
          <w:lang w:eastAsia="zh-CN"/>
        </w:rPr>
        <w:t>MSD</w:t>
      </w:r>
      <w:r w:rsidR="00687FC0" w:rsidRPr="00E631B0">
        <w:rPr>
          <w:rFonts w:asciiTheme="minorHAnsi" w:eastAsiaTheme="minorEastAsia" w:hAnsiTheme="minorHAnsi"/>
          <w:lang w:eastAsia="zh-CN"/>
        </w:rPr>
        <w:t>)</w:t>
      </w:r>
      <w:r w:rsidR="00CE1B26" w:rsidRPr="00E631B0">
        <w:rPr>
          <w:rFonts w:asciiTheme="minorHAnsi" w:eastAsiaTheme="minorEastAsia" w:hAnsiTheme="minorHAnsi"/>
          <w:lang w:eastAsia="zh-CN"/>
        </w:rPr>
        <w:t xml:space="preserve"> in the 2016 submission for the </w:t>
      </w:r>
      <w:r w:rsidR="00EC145E" w:rsidRPr="00E631B0">
        <w:rPr>
          <w:rFonts w:asciiTheme="minorHAnsi" w:eastAsiaTheme="minorEastAsia" w:hAnsiTheme="minorHAnsi"/>
          <w:lang w:eastAsia="zh-CN"/>
        </w:rPr>
        <w:t xml:space="preserve">Review </w:t>
      </w:r>
      <w:r w:rsidR="00244A73" w:rsidRPr="00E631B0">
        <w:rPr>
          <w:rFonts w:asciiTheme="minorHAnsi" w:eastAsiaTheme="minorEastAsia" w:hAnsiTheme="minorHAnsi"/>
          <w:lang w:eastAsia="zh-CN"/>
        </w:rPr>
        <w:t>(</w:t>
      </w:r>
      <w:r w:rsidR="00AA217D" w:rsidRPr="00E631B0">
        <w:rPr>
          <w:rFonts w:asciiTheme="minorHAnsi" w:eastAsiaTheme="minorEastAsia" w:hAnsiTheme="minorHAnsi"/>
          <w:b/>
          <w:lang w:eastAsia="zh-CN"/>
        </w:rPr>
        <w:t xml:space="preserve">see </w:t>
      </w:r>
      <w:r w:rsidR="00244A73" w:rsidRPr="00E631B0">
        <w:rPr>
          <w:rFonts w:asciiTheme="minorHAnsi" w:eastAsiaTheme="minorEastAsia" w:hAnsiTheme="minorHAnsi"/>
          <w:b/>
          <w:lang w:eastAsia="zh-CN"/>
        </w:rPr>
        <w:t>Appendix</w:t>
      </w:r>
      <w:r w:rsidR="00074D93" w:rsidRPr="00E631B0">
        <w:rPr>
          <w:rFonts w:asciiTheme="minorHAnsi" w:eastAsiaTheme="minorEastAsia" w:hAnsiTheme="minorHAnsi"/>
          <w:b/>
          <w:lang w:eastAsia="zh-CN"/>
        </w:rPr>
        <w:t xml:space="preserve"> J</w:t>
      </w:r>
      <w:r w:rsidR="00DD7B96" w:rsidRPr="00E631B0">
        <w:rPr>
          <w:rFonts w:asciiTheme="minorHAnsi" w:eastAsiaTheme="minorEastAsia" w:hAnsiTheme="minorHAnsi"/>
          <w:lang w:eastAsia="zh-CN"/>
        </w:rPr>
        <w:t xml:space="preserve">, </w:t>
      </w:r>
      <w:r w:rsidR="00AA217D" w:rsidRPr="00E631B0">
        <w:rPr>
          <w:rFonts w:asciiTheme="minorHAnsi" w:eastAsiaTheme="minorEastAsia" w:hAnsiTheme="minorHAnsi"/>
          <w:lang w:eastAsia="zh-CN"/>
        </w:rPr>
        <w:t>p.21</w:t>
      </w:r>
      <w:r w:rsidR="00EC145E" w:rsidRPr="00E631B0">
        <w:rPr>
          <w:rFonts w:asciiTheme="minorHAnsi" w:eastAsiaTheme="minorEastAsia" w:hAnsiTheme="minorHAnsi"/>
          <w:lang w:eastAsia="zh-CN"/>
        </w:rPr>
        <w:t>,</w:t>
      </w:r>
      <w:r w:rsidR="00AA217D" w:rsidRPr="00E631B0">
        <w:rPr>
          <w:rFonts w:asciiTheme="minorHAnsi" w:eastAsiaTheme="minorEastAsia" w:hAnsiTheme="minorHAnsi"/>
          <w:lang w:eastAsia="zh-CN"/>
        </w:rPr>
        <w:t xml:space="preserve"> Table 1.4 footnotes for the list of trials</w:t>
      </w:r>
      <w:r w:rsidR="00244A73" w:rsidRPr="00E631B0">
        <w:rPr>
          <w:rFonts w:asciiTheme="minorHAnsi" w:eastAsiaTheme="minorEastAsia" w:hAnsiTheme="minorHAnsi"/>
          <w:lang w:eastAsia="zh-CN"/>
        </w:rPr>
        <w:t>)</w:t>
      </w:r>
      <w:r w:rsidR="00AA217D" w:rsidRPr="00E631B0">
        <w:rPr>
          <w:rFonts w:asciiTheme="minorHAnsi" w:eastAsiaTheme="minorEastAsia" w:hAnsiTheme="minorHAnsi"/>
          <w:lang w:eastAsia="zh-CN"/>
        </w:rPr>
        <w:t>.</w:t>
      </w:r>
      <w:r w:rsidR="00A07A60" w:rsidRPr="00E631B0">
        <w:rPr>
          <w:rFonts w:asciiTheme="minorHAnsi" w:eastAsiaTheme="minorEastAsia" w:hAnsiTheme="minorHAnsi"/>
          <w:lang w:eastAsia="zh-CN"/>
        </w:rPr>
        <w:t xml:space="preserve"> The ICER</w:t>
      </w:r>
      <w:r w:rsidR="0008182B" w:rsidRPr="00E631B0">
        <w:rPr>
          <w:rFonts w:asciiTheme="minorHAnsi" w:eastAsiaTheme="minorEastAsia" w:hAnsiTheme="minorHAnsi"/>
          <w:lang w:eastAsia="zh-CN"/>
        </w:rPr>
        <w:t xml:space="preserve"> was found to be </w:t>
      </w:r>
      <w:r w:rsidR="00A07A60" w:rsidRPr="00E631B0">
        <w:rPr>
          <w:rFonts w:asciiTheme="minorHAnsi" w:eastAsiaTheme="minorEastAsia" w:hAnsiTheme="minorHAnsi"/>
          <w:lang w:eastAsia="zh-CN"/>
        </w:rPr>
        <w:t>sensitive to the</w:t>
      </w:r>
      <w:r w:rsidR="00364FE8" w:rsidRPr="00E631B0">
        <w:rPr>
          <w:rFonts w:asciiTheme="minorHAnsi" w:eastAsiaTheme="minorEastAsia" w:hAnsiTheme="minorHAnsi"/>
          <w:lang w:eastAsia="zh-CN"/>
        </w:rPr>
        <w:t xml:space="preserve"> </w:t>
      </w:r>
      <w:r w:rsidR="00CE1B26" w:rsidRPr="00E631B0">
        <w:rPr>
          <w:rFonts w:asciiTheme="minorHAnsi" w:eastAsiaTheme="minorEastAsia" w:hAnsiTheme="minorHAnsi"/>
          <w:lang w:eastAsia="zh-CN"/>
        </w:rPr>
        <w:t xml:space="preserve">variation in </w:t>
      </w:r>
      <w:r w:rsidR="00A07A60" w:rsidRPr="00E631B0">
        <w:rPr>
          <w:rFonts w:asciiTheme="minorHAnsi" w:eastAsiaTheme="minorEastAsia" w:hAnsiTheme="minorHAnsi"/>
          <w:lang w:eastAsia="zh-CN"/>
        </w:rPr>
        <w:t>efficacy estimates</w:t>
      </w:r>
      <w:r w:rsidR="00CE1B26" w:rsidRPr="00E631B0">
        <w:rPr>
          <w:rFonts w:asciiTheme="minorHAnsi" w:eastAsiaTheme="minorEastAsia" w:hAnsiTheme="minorHAnsi"/>
          <w:lang w:eastAsia="zh-CN"/>
        </w:rPr>
        <w:t xml:space="preserve">. Reduction in </w:t>
      </w:r>
      <w:r w:rsidR="00A07A60" w:rsidRPr="00E631B0">
        <w:rPr>
          <w:rFonts w:asciiTheme="minorHAnsi" w:eastAsiaTheme="minorEastAsia" w:hAnsiTheme="minorHAnsi"/>
          <w:lang w:eastAsia="zh-CN"/>
        </w:rPr>
        <w:t>TC:</w:t>
      </w:r>
      <w:r w:rsidR="00095BB9" w:rsidRPr="00E631B0">
        <w:rPr>
          <w:rFonts w:asciiTheme="minorHAnsi" w:eastAsiaTheme="minorEastAsia" w:hAnsiTheme="minorHAnsi"/>
          <w:lang w:eastAsia="zh-CN"/>
        </w:rPr>
        <w:t xml:space="preserve"> </w:t>
      </w:r>
      <w:r w:rsidR="00A07A60" w:rsidRPr="00E631B0">
        <w:rPr>
          <w:rFonts w:asciiTheme="minorHAnsi" w:eastAsiaTheme="minorEastAsia" w:hAnsiTheme="minorHAnsi"/>
          <w:lang w:eastAsia="zh-CN"/>
        </w:rPr>
        <w:t xml:space="preserve">HDL </w:t>
      </w:r>
      <w:r w:rsidR="00CE1B26" w:rsidRPr="00E631B0">
        <w:rPr>
          <w:rFonts w:asciiTheme="minorHAnsi" w:eastAsiaTheme="minorEastAsia" w:hAnsiTheme="minorHAnsi"/>
          <w:lang w:eastAsia="zh-CN"/>
        </w:rPr>
        <w:t>ratios of -</w:t>
      </w:r>
      <w:r w:rsidR="00A07A60" w:rsidRPr="00E631B0">
        <w:rPr>
          <w:rFonts w:asciiTheme="minorHAnsi" w:eastAsiaTheme="minorEastAsia" w:hAnsiTheme="minorHAnsi"/>
          <w:lang w:eastAsia="zh-CN"/>
        </w:rPr>
        <w:t>18.84% v</w:t>
      </w:r>
      <w:r w:rsidR="00CE1B26" w:rsidRPr="00E631B0">
        <w:rPr>
          <w:rFonts w:asciiTheme="minorHAnsi" w:eastAsiaTheme="minorEastAsia" w:hAnsiTheme="minorHAnsi"/>
          <w:lang w:eastAsia="zh-CN"/>
        </w:rPr>
        <w:t>ersus -</w:t>
      </w:r>
      <w:r w:rsidR="00EC145E" w:rsidRPr="00E631B0">
        <w:rPr>
          <w:rFonts w:asciiTheme="minorHAnsi" w:eastAsiaTheme="minorEastAsia" w:hAnsiTheme="minorHAnsi"/>
          <w:lang w:eastAsia="zh-CN"/>
        </w:rPr>
        <w:t>9.65%</w:t>
      </w:r>
      <w:r w:rsidR="00A07A60" w:rsidRPr="00E631B0">
        <w:rPr>
          <w:rFonts w:asciiTheme="minorHAnsi" w:eastAsiaTheme="minorEastAsia" w:hAnsiTheme="minorHAnsi"/>
          <w:lang w:eastAsia="zh-CN"/>
        </w:rPr>
        <w:t xml:space="preserve"> </w:t>
      </w:r>
      <w:r w:rsidR="00CE1B26" w:rsidRPr="00E631B0">
        <w:rPr>
          <w:rFonts w:asciiTheme="minorHAnsi" w:eastAsiaTheme="minorEastAsia" w:hAnsiTheme="minorHAnsi"/>
          <w:lang w:eastAsia="zh-CN"/>
        </w:rPr>
        <w:t>in the intervention and comparator arms</w:t>
      </w:r>
      <w:r w:rsidR="00EC145E" w:rsidRPr="00E631B0">
        <w:rPr>
          <w:rFonts w:asciiTheme="minorHAnsi" w:eastAsiaTheme="minorEastAsia" w:hAnsiTheme="minorHAnsi"/>
          <w:lang w:eastAsia="zh-CN"/>
        </w:rPr>
        <w:t>,</w:t>
      </w:r>
      <w:r w:rsidR="00CE1B26" w:rsidRPr="00E631B0">
        <w:rPr>
          <w:rFonts w:asciiTheme="minorHAnsi" w:eastAsiaTheme="minorEastAsia" w:hAnsiTheme="minorHAnsi"/>
          <w:lang w:eastAsia="zh-CN"/>
        </w:rPr>
        <w:t xml:space="preserve"> respectively</w:t>
      </w:r>
      <w:r w:rsidR="00EC145E" w:rsidRPr="00E631B0">
        <w:rPr>
          <w:rFonts w:asciiTheme="minorHAnsi" w:eastAsiaTheme="minorEastAsia" w:hAnsiTheme="minorHAnsi"/>
          <w:lang w:eastAsia="zh-CN"/>
        </w:rPr>
        <w:t>, produced</w:t>
      </w:r>
      <w:r w:rsidR="00CE1B26" w:rsidRPr="00E631B0">
        <w:rPr>
          <w:rFonts w:asciiTheme="minorHAnsi" w:eastAsiaTheme="minorEastAsia" w:hAnsiTheme="minorHAnsi"/>
          <w:lang w:eastAsia="zh-CN"/>
        </w:rPr>
        <w:t xml:space="preserve"> </w:t>
      </w:r>
      <w:r w:rsidR="00A07A60" w:rsidRPr="00E631B0">
        <w:rPr>
          <w:rFonts w:asciiTheme="minorHAnsi" w:eastAsiaTheme="minorEastAsia" w:hAnsiTheme="minorHAnsi"/>
          <w:lang w:eastAsia="zh-CN"/>
        </w:rPr>
        <w:t xml:space="preserve">ICER </w:t>
      </w:r>
      <w:r w:rsidR="00CE1B26" w:rsidRPr="00E631B0">
        <w:rPr>
          <w:rFonts w:asciiTheme="minorHAnsi" w:eastAsiaTheme="minorEastAsia" w:hAnsiTheme="minorHAnsi"/>
          <w:lang w:eastAsia="zh-CN"/>
        </w:rPr>
        <w:t xml:space="preserve">estimates that </w:t>
      </w:r>
      <w:r w:rsidR="006E5923" w:rsidRPr="00E631B0">
        <w:rPr>
          <w:rFonts w:asciiTheme="minorHAnsi" w:eastAsiaTheme="minorEastAsia" w:hAnsiTheme="minorHAnsi"/>
          <w:lang w:eastAsia="zh-CN"/>
        </w:rPr>
        <w:t>almost double across all time periods</w:t>
      </w:r>
      <w:r w:rsidR="0008182B" w:rsidRPr="00E631B0">
        <w:rPr>
          <w:rFonts w:asciiTheme="minorHAnsi" w:eastAsiaTheme="minorEastAsia" w:hAnsiTheme="minorHAnsi"/>
          <w:lang w:eastAsia="zh-CN"/>
        </w:rPr>
        <w:t xml:space="preserve"> </w:t>
      </w:r>
      <w:r w:rsidR="00CE1B26" w:rsidRPr="00E631B0">
        <w:rPr>
          <w:rFonts w:asciiTheme="minorHAnsi" w:eastAsiaTheme="minorEastAsia" w:hAnsiTheme="minorHAnsi"/>
          <w:lang w:eastAsia="zh-CN"/>
        </w:rPr>
        <w:t>in comparison to the ICER estimates based on the TC:HDL ratios presented in the MSD submission</w:t>
      </w:r>
      <w:r w:rsidR="00F47616" w:rsidRPr="00E631B0">
        <w:rPr>
          <w:rFonts w:asciiTheme="minorHAnsi" w:eastAsiaTheme="minorEastAsia" w:hAnsiTheme="minorHAnsi"/>
          <w:lang w:eastAsia="zh-CN"/>
        </w:rPr>
        <w:t xml:space="preserve"> </w:t>
      </w:r>
      <w:r w:rsidR="0008182B" w:rsidRPr="00E631B0">
        <w:rPr>
          <w:rFonts w:asciiTheme="minorHAnsi" w:eastAsiaTheme="minorEastAsia" w:hAnsiTheme="minorHAnsi"/>
          <w:lang w:eastAsia="zh-CN"/>
        </w:rPr>
        <w:t>(</w:t>
      </w:r>
      <w:r w:rsidR="00174DDF" w:rsidRPr="00E631B0">
        <w:rPr>
          <w:rFonts w:asciiTheme="minorHAnsi" w:eastAsiaTheme="minorEastAsia" w:hAnsiTheme="minorHAnsi"/>
          <w:b/>
          <w:lang w:eastAsia="zh-CN"/>
        </w:rPr>
        <w:t>Appendix J</w:t>
      </w:r>
      <w:r w:rsidR="00EC145E" w:rsidRPr="00E631B0">
        <w:rPr>
          <w:rFonts w:asciiTheme="minorHAnsi" w:eastAsiaTheme="minorEastAsia" w:hAnsiTheme="minorHAnsi"/>
          <w:lang w:eastAsia="zh-CN"/>
        </w:rPr>
        <w:t>,</w:t>
      </w:r>
      <w:r w:rsidR="00174DDF" w:rsidRPr="00E631B0">
        <w:rPr>
          <w:rFonts w:asciiTheme="minorHAnsi" w:eastAsiaTheme="minorEastAsia" w:hAnsiTheme="minorHAnsi"/>
          <w:lang w:eastAsia="zh-CN"/>
        </w:rPr>
        <w:t xml:space="preserve"> </w:t>
      </w:r>
      <w:r w:rsidR="00AA217D" w:rsidRPr="00E631B0">
        <w:rPr>
          <w:rFonts w:asciiTheme="minorHAnsi" w:eastAsiaTheme="minorEastAsia" w:hAnsiTheme="minorHAnsi"/>
          <w:lang w:eastAsia="zh-CN"/>
        </w:rPr>
        <w:t xml:space="preserve">Figure 1.2.4 </w:t>
      </w:r>
      <w:r w:rsidR="00ED5376" w:rsidRPr="00E631B0">
        <w:rPr>
          <w:rFonts w:asciiTheme="minorHAnsi" w:eastAsiaTheme="minorEastAsia" w:hAnsiTheme="minorHAnsi"/>
          <w:lang w:eastAsia="zh-CN"/>
        </w:rPr>
        <w:t>, p.2</w:t>
      </w:r>
      <w:r w:rsidR="00AA217D" w:rsidRPr="00E631B0">
        <w:rPr>
          <w:rFonts w:asciiTheme="minorHAnsi" w:eastAsiaTheme="minorEastAsia" w:hAnsiTheme="minorHAnsi"/>
          <w:lang w:eastAsia="zh-CN"/>
        </w:rPr>
        <w:t>2</w:t>
      </w:r>
      <w:r w:rsidR="00174DDF" w:rsidRPr="00E631B0">
        <w:rPr>
          <w:rFonts w:asciiTheme="minorHAnsi" w:eastAsiaTheme="minorEastAsia" w:hAnsiTheme="minorHAnsi"/>
          <w:lang w:eastAsia="zh-CN"/>
        </w:rPr>
        <w:t>)</w:t>
      </w:r>
      <w:r w:rsidR="0008182B" w:rsidRPr="00E631B0">
        <w:rPr>
          <w:rFonts w:asciiTheme="minorHAnsi" w:eastAsiaTheme="minorEastAsia" w:hAnsiTheme="minorHAnsi"/>
          <w:lang w:eastAsia="zh-CN"/>
        </w:rPr>
        <w:t xml:space="preserve">. </w:t>
      </w:r>
    </w:p>
    <w:p w14:paraId="2AD774DB" w14:textId="46632A32" w:rsidR="009D0B06" w:rsidRPr="00E631B0" w:rsidRDefault="0039666F" w:rsidP="000B1039">
      <w:pPr>
        <w:pStyle w:val="CommentText"/>
        <w:jc w:val="left"/>
        <w:rPr>
          <w:rFonts w:asciiTheme="minorHAnsi" w:hAnsiTheme="minorHAnsi"/>
          <w:sz w:val="24"/>
          <w:szCs w:val="22"/>
        </w:rPr>
      </w:pPr>
      <w:r w:rsidRPr="00E631B0">
        <w:rPr>
          <w:rFonts w:asciiTheme="minorHAnsi" w:hAnsiTheme="minorHAnsi"/>
          <w:sz w:val="24"/>
          <w:szCs w:val="22"/>
        </w:rPr>
        <w:t xml:space="preserve">The Reference Group noted the </w:t>
      </w:r>
      <w:r w:rsidR="00F47616" w:rsidRPr="00E631B0">
        <w:rPr>
          <w:rFonts w:asciiTheme="minorHAnsi" w:hAnsiTheme="minorHAnsi"/>
          <w:sz w:val="24"/>
          <w:szCs w:val="22"/>
        </w:rPr>
        <w:t>E</w:t>
      </w:r>
      <w:r w:rsidR="00EC145E" w:rsidRPr="00E631B0">
        <w:rPr>
          <w:rFonts w:asciiTheme="minorHAnsi" w:hAnsiTheme="minorHAnsi"/>
          <w:sz w:val="24"/>
          <w:szCs w:val="22"/>
        </w:rPr>
        <w:t>conomics Sub C</w:t>
      </w:r>
      <w:r w:rsidR="00152E3B" w:rsidRPr="00E631B0">
        <w:rPr>
          <w:rFonts w:asciiTheme="minorHAnsi" w:hAnsiTheme="minorHAnsi"/>
          <w:sz w:val="24"/>
          <w:szCs w:val="22"/>
        </w:rPr>
        <w:t>ommittee (E</w:t>
      </w:r>
      <w:r w:rsidR="00F47616" w:rsidRPr="00E631B0">
        <w:rPr>
          <w:rFonts w:asciiTheme="minorHAnsi" w:hAnsiTheme="minorHAnsi"/>
          <w:sz w:val="24"/>
          <w:szCs w:val="22"/>
        </w:rPr>
        <w:t>SC</w:t>
      </w:r>
      <w:r w:rsidR="00152E3B" w:rsidRPr="00E631B0">
        <w:rPr>
          <w:rFonts w:asciiTheme="minorHAnsi" w:hAnsiTheme="minorHAnsi"/>
          <w:sz w:val="24"/>
          <w:szCs w:val="22"/>
        </w:rPr>
        <w:t>)</w:t>
      </w:r>
      <w:r w:rsidRPr="00E631B0">
        <w:rPr>
          <w:rFonts w:asciiTheme="minorHAnsi" w:hAnsiTheme="minorHAnsi"/>
          <w:sz w:val="24"/>
          <w:szCs w:val="22"/>
        </w:rPr>
        <w:t xml:space="preserve"> advice that due to applicability issues an economic model based on the results of IMPROVE-IT</w:t>
      </w:r>
      <w:r w:rsidR="003B5FC4" w:rsidRPr="00E631B0">
        <w:rPr>
          <w:rFonts w:asciiTheme="minorHAnsi" w:hAnsiTheme="minorHAnsi"/>
          <w:sz w:val="24"/>
          <w:szCs w:val="22"/>
        </w:rPr>
        <w:t xml:space="preserve"> </w:t>
      </w:r>
      <w:r w:rsidRPr="00E631B0">
        <w:rPr>
          <w:rFonts w:asciiTheme="minorHAnsi" w:hAnsiTheme="minorHAnsi"/>
          <w:sz w:val="24"/>
          <w:szCs w:val="22"/>
        </w:rPr>
        <w:t xml:space="preserve">would not provide a </w:t>
      </w:r>
      <w:r w:rsidR="002423A4" w:rsidRPr="00E631B0">
        <w:rPr>
          <w:rFonts w:asciiTheme="minorHAnsi" w:hAnsiTheme="minorHAnsi"/>
          <w:sz w:val="24"/>
          <w:szCs w:val="22"/>
        </w:rPr>
        <w:t xml:space="preserve">more </w:t>
      </w:r>
      <w:r w:rsidRPr="00E631B0">
        <w:rPr>
          <w:rFonts w:asciiTheme="minorHAnsi" w:hAnsiTheme="minorHAnsi"/>
          <w:sz w:val="24"/>
          <w:szCs w:val="22"/>
        </w:rPr>
        <w:t>reasonable estimate of the cost</w:t>
      </w:r>
      <w:r w:rsidR="00216B38" w:rsidRPr="00E631B0">
        <w:rPr>
          <w:rFonts w:asciiTheme="minorHAnsi" w:hAnsiTheme="minorHAnsi"/>
          <w:sz w:val="24"/>
          <w:szCs w:val="22"/>
        </w:rPr>
        <w:t>-</w:t>
      </w:r>
      <w:r w:rsidRPr="00E631B0">
        <w:rPr>
          <w:rFonts w:asciiTheme="minorHAnsi" w:hAnsiTheme="minorHAnsi"/>
          <w:sz w:val="24"/>
          <w:szCs w:val="22"/>
        </w:rPr>
        <w:t>effectiveness of current ezetimibe use on the PBS.</w:t>
      </w:r>
    </w:p>
    <w:p w14:paraId="26AABBEB" w14:textId="4811D2B7" w:rsidR="00C41B1C" w:rsidRPr="00E631B0" w:rsidRDefault="0004772E" w:rsidP="000B1039">
      <w:pPr>
        <w:spacing w:before="240" w:line="240" w:lineRule="auto"/>
        <w:jc w:val="left"/>
        <w:rPr>
          <w:rFonts w:asciiTheme="minorHAnsi" w:eastAsia="Calibri" w:hAnsiTheme="minorHAnsi" w:cs="Times New Roman"/>
          <w:szCs w:val="24"/>
        </w:rPr>
      </w:pPr>
      <w:r w:rsidRPr="00E631B0">
        <w:rPr>
          <w:rFonts w:asciiTheme="minorHAnsi" w:eastAsia="Calibri" w:hAnsiTheme="minorHAnsi" w:cs="Times New Roman"/>
          <w:szCs w:val="24"/>
        </w:rPr>
        <w:t>Current use of ezetimibe in patients who have not received maximally tolerated doses of statins may be clinically appropriate bu</w:t>
      </w:r>
      <w:r w:rsidR="00EC145E" w:rsidRPr="00E631B0">
        <w:rPr>
          <w:rFonts w:asciiTheme="minorHAnsi" w:eastAsia="Calibri" w:hAnsiTheme="minorHAnsi" w:cs="Times New Roman"/>
          <w:szCs w:val="24"/>
        </w:rPr>
        <w:t>t has not been shown to be cost-</w:t>
      </w:r>
      <w:r w:rsidRPr="00E631B0">
        <w:rPr>
          <w:rFonts w:asciiTheme="minorHAnsi" w:eastAsia="Calibri" w:hAnsiTheme="minorHAnsi" w:cs="Times New Roman"/>
          <w:szCs w:val="24"/>
        </w:rPr>
        <w:t xml:space="preserve">effective. The </w:t>
      </w:r>
      <w:r w:rsidR="00680184" w:rsidRPr="00E631B0">
        <w:rPr>
          <w:rFonts w:asciiTheme="minorHAnsi" w:eastAsia="Calibri" w:hAnsiTheme="minorHAnsi" w:cs="Times New Roman"/>
          <w:szCs w:val="24"/>
        </w:rPr>
        <w:t>PBAC has considered economic evaluations for ezetimibe where the comparator is a non-statin LLT or placebo. In considering the current cost</w:t>
      </w:r>
      <w:r w:rsidR="00216B38" w:rsidRPr="00E631B0">
        <w:rPr>
          <w:rFonts w:asciiTheme="minorHAnsi" w:eastAsia="Calibri" w:hAnsiTheme="minorHAnsi" w:cs="Times New Roman"/>
          <w:szCs w:val="24"/>
        </w:rPr>
        <w:t>-</w:t>
      </w:r>
      <w:r w:rsidR="00680184" w:rsidRPr="00E631B0">
        <w:rPr>
          <w:rFonts w:asciiTheme="minorHAnsi" w:eastAsia="Calibri" w:hAnsiTheme="minorHAnsi" w:cs="Times New Roman"/>
          <w:szCs w:val="24"/>
        </w:rPr>
        <w:t xml:space="preserve">effectiveness of ezetimibe, the Reference Group agreed that </w:t>
      </w:r>
      <w:r w:rsidRPr="00E631B0">
        <w:rPr>
          <w:rFonts w:asciiTheme="minorHAnsi" w:eastAsia="Calibri" w:hAnsiTheme="minorHAnsi" w:cs="Times New Roman"/>
          <w:szCs w:val="24"/>
        </w:rPr>
        <w:t xml:space="preserve">for a proportion of use in the range </w:t>
      </w:r>
      <w:r w:rsidRPr="00E631B0">
        <w:rPr>
          <w:rFonts w:asciiTheme="minorHAnsi" w:hAnsiTheme="minorHAnsi" w:cs="Arial"/>
          <w:szCs w:val="24"/>
        </w:rPr>
        <w:t>18% - 53.2%</w:t>
      </w:r>
      <w:r w:rsidR="003B5FC4" w:rsidRPr="00E631B0">
        <w:rPr>
          <w:rFonts w:asciiTheme="minorHAnsi" w:hAnsiTheme="minorHAnsi" w:cs="Arial"/>
          <w:szCs w:val="24"/>
        </w:rPr>
        <w:t>,</w:t>
      </w:r>
      <w:r w:rsidRPr="00E631B0">
        <w:rPr>
          <w:rFonts w:asciiTheme="minorHAnsi" w:hAnsiTheme="minorHAnsi" w:cs="Arial"/>
          <w:szCs w:val="24"/>
        </w:rPr>
        <w:t xml:space="preserve"> </w:t>
      </w:r>
      <w:r w:rsidR="00680184" w:rsidRPr="00E631B0">
        <w:rPr>
          <w:rFonts w:asciiTheme="minorHAnsi" w:eastAsia="Calibri" w:hAnsiTheme="minorHAnsi" w:cs="Times New Roman"/>
          <w:szCs w:val="24"/>
        </w:rPr>
        <w:t>the appropriate comparator would be maximum tolerated doses of statin or switching to a statin of higher potency.</w:t>
      </w:r>
      <w:r w:rsidR="00104FD5" w:rsidRPr="00E631B0">
        <w:rPr>
          <w:rFonts w:asciiTheme="minorHAnsi" w:eastAsia="Calibri" w:hAnsiTheme="minorHAnsi" w:cs="Times New Roman"/>
          <w:szCs w:val="24"/>
        </w:rPr>
        <w:t xml:space="preserve"> </w:t>
      </w:r>
    </w:p>
    <w:p w14:paraId="7EF7EF59" w14:textId="77777777" w:rsidR="00577BB3" w:rsidRPr="00E631B0" w:rsidRDefault="00577BB3" w:rsidP="000B1039">
      <w:pPr>
        <w:pStyle w:val="ListParagraph"/>
        <w:spacing w:line="240" w:lineRule="auto"/>
        <w:ind w:left="0"/>
        <w:contextualSpacing w:val="0"/>
        <w:jc w:val="left"/>
        <w:rPr>
          <w:rFonts w:asciiTheme="minorHAnsi" w:eastAsia="Calibri" w:hAnsiTheme="minorHAnsi" w:cs="Times New Roman"/>
        </w:rPr>
      </w:pPr>
      <w:r w:rsidRPr="00E631B0">
        <w:rPr>
          <w:rFonts w:asciiTheme="minorHAnsi" w:eastAsia="Calibri" w:hAnsiTheme="minorHAnsi" w:cs="Times New Roman"/>
        </w:rPr>
        <w:t>Therefore, a weighted comparison with a proportion of use compared to up-titration of statin dose/switching to a higher potency statin and a proportion of use compared to placebo/non statin LLT may be one way to estimate the cost-effectiveness of ezetimibe in current practice.</w:t>
      </w:r>
    </w:p>
    <w:p w14:paraId="08A62664" w14:textId="22088DA2" w:rsidR="0000686B" w:rsidRPr="00E631B0" w:rsidRDefault="00351843" w:rsidP="000B1039">
      <w:pPr>
        <w:pStyle w:val="Heading3"/>
        <w:jc w:val="left"/>
      </w:pPr>
      <w:bookmarkStart w:id="24" w:name="_Toc500510192"/>
      <w:r w:rsidRPr="00E631B0">
        <w:t>Review a</w:t>
      </w:r>
      <w:r w:rsidR="0000686B" w:rsidRPr="00E631B0">
        <w:t>dvice to the PBAC</w:t>
      </w:r>
      <w:bookmarkEnd w:id="24"/>
      <w:r w:rsidR="0000686B" w:rsidRPr="00E631B0">
        <w:t xml:space="preserve"> </w:t>
      </w:r>
    </w:p>
    <w:p w14:paraId="691B83F2" w14:textId="77777777" w:rsidR="00334176" w:rsidRPr="00E631B0" w:rsidRDefault="00334176" w:rsidP="008600B5">
      <w:pPr>
        <w:pStyle w:val="ListParagraph"/>
        <w:numPr>
          <w:ilvl w:val="0"/>
          <w:numId w:val="33"/>
        </w:numPr>
        <w:spacing w:before="240" w:after="0" w:line="240" w:lineRule="auto"/>
        <w:ind w:left="567" w:hanging="578"/>
        <w:jc w:val="left"/>
        <w:rPr>
          <w:rFonts w:asciiTheme="minorHAnsi" w:eastAsia="Calibri" w:hAnsiTheme="minorHAnsi" w:cs="Times New Roman"/>
          <w:b/>
          <w:i/>
          <w:sz w:val="28"/>
          <w:szCs w:val="28"/>
        </w:rPr>
      </w:pPr>
      <w:r w:rsidRPr="00E631B0">
        <w:rPr>
          <w:rFonts w:asciiTheme="minorHAnsi" w:hAnsiTheme="minorHAnsi"/>
        </w:rPr>
        <w:t>Recent literature suggests significant benefit from ezetimibe is restricted to those patients in the highest category of cardiovascular risk</w:t>
      </w:r>
      <w:r w:rsidR="00773EEE" w:rsidRPr="00E631B0">
        <w:rPr>
          <w:rFonts w:asciiTheme="minorHAnsi" w:hAnsiTheme="minorHAnsi"/>
        </w:rPr>
        <w:t xml:space="preserve"> and t</w:t>
      </w:r>
      <w:r w:rsidR="00104FD5" w:rsidRPr="00E631B0">
        <w:rPr>
          <w:rFonts w:asciiTheme="minorHAnsi" w:hAnsiTheme="minorHAnsi"/>
        </w:rPr>
        <w:t xml:space="preserve">he </w:t>
      </w:r>
      <w:r w:rsidRPr="00E631B0">
        <w:rPr>
          <w:rFonts w:asciiTheme="minorHAnsi" w:hAnsiTheme="minorHAnsi"/>
        </w:rPr>
        <w:t xml:space="preserve">magnitude of LDL-C reduction </w:t>
      </w:r>
      <w:r w:rsidR="00104FD5" w:rsidRPr="00E631B0">
        <w:rPr>
          <w:rFonts w:asciiTheme="minorHAnsi" w:hAnsiTheme="minorHAnsi"/>
        </w:rPr>
        <w:t xml:space="preserve">is smaller than that achieved by </w:t>
      </w:r>
      <w:r w:rsidRPr="00E631B0">
        <w:rPr>
          <w:rFonts w:asciiTheme="minorHAnsi" w:hAnsiTheme="minorHAnsi"/>
        </w:rPr>
        <w:t>statins</w:t>
      </w:r>
      <w:r w:rsidR="00104FD5" w:rsidRPr="00E631B0">
        <w:rPr>
          <w:rFonts w:asciiTheme="minorHAnsi" w:hAnsiTheme="minorHAnsi"/>
        </w:rPr>
        <w:t xml:space="preserve">. </w:t>
      </w:r>
      <w:r w:rsidRPr="00E631B0">
        <w:rPr>
          <w:rFonts w:asciiTheme="minorHAnsi" w:hAnsiTheme="minorHAnsi"/>
        </w:rPr>
        <w:t>This underlines the importance of restricting use of ezetimibe to second line following optimal use of statins and in those patients with very high risk</w:t>
      </w:r>
      <w:r w:rsidR="00EB0757" w:rsidRPr="00E631B0">
        <w:rPr>
          <w:rFonts w:asciiTheme="minorHAnsi" w:hAnsiTheme="minorHAnsi"/>
        </w:rPr>
        <w:t>.</w:t>
      </w:r>
    </w:p>
    <w:p w14:paraId="5FA1CEE7" w14:textId="774CB22A" w:rsidR="005F5F53" w:rsidRPr="00E631B0" w:rsidRDefault="0000686B" w:rsidP="008600B5">
      <w:pPr>
        <w:pStyle w:val="ListParagraph"/>
        <w:numPr>
          <w:ilvl w:val="0"/>
          <w:numId w:val="33"/>
        </w:numPr>
        <w:spacing w:after="0" w:line="240" w:lineRule="auto"/>
        <w:ind w:left="567" w:hanging="578"/>
        <w:contextualSpacing w:val="0"/>
        <w:jc w:val="left"/>
        <w:rPr>
          <w:rFonts w:asciiTheme="minorHAnsi" w:hAnsiTheme="minorHAnsi"/>
        </w:rPr>
      </w:pPr>
      <w:r w:rsidRPr="00E631B0">
        <w:rPr>
          <w:rFonts w:asciiTheme="minorHAnsi" w:hAnsiTheme="minorHAnsi"/>
        </w:rPr>
        <w:t xml:space="preserve">The base case </w:t>
      </w:r>
      <w:r w:rsidR="00EC145E" w:rsidRPr="00E631B0">
        <w:rPr>
          <w:rFonts w:asciiTheme="minorHAnsi" w:hAnsiTheme="minorHAnsi"/>
        </w:rPr>
        <w:t>ICER</w:t>
      </w:r>
      <w:r w:rsidRPr="00E631B0">
        <w:rPr>
          <w:rFonts w:asciiTheme="minorHAnsi" w:hAnsiTheme="minorHAnsi"/>
        </w:rPr>
        <w:t xml:space="preserve"> presented in the sponsor’s submission </w:t>
      </w:r>
      <w:r w:rsidR="00A40A17" w:rsidRPr="00E631B0">
        <w:rPr>
          <w:rFonts w:asciiTheme="minorHAnsi" w:hAnsiTheme="minorHAnsi"/>
        </w:rPr>
        <w:t xml:space="preserve">is considered </w:t>
      </w:r>
      <w:r w:rsidRPr="00E631B0">
        <w:rPr>
          <w:rFonts w:asciiTheme="minorHAnsi" w:hAnsiTheme="minorHAnsi"/>
        </w:rPr>
        <w:t xml:space="preserve">uncertain. This is because the approach used for extrapolating the benefits beyond the period of the trial follow-up is likely to have overestimated the </w:t>
      </w:r>
      <w:r w:rsidRPr="00E631B0">
        <w:rPr>
          <w:rFonts w:asciiTheme="minorHAnsi" w:hAnsiTheme="minorHAnsi"/>
        </w:rPr>
        <w:lastRenderedPageBreak/>
        <w:t>incremental long</w:t>
      </w:r>
      <w:r w:rsidR="00F7627D" w:rsidRPr="00E631B0">
        <w:rPr>
          <w:rFonts w:asciiTheme="minorHAnsi" w:hAnsiTheme="minorHAnsi"/>
        </w:rPr>
        <w:t>-</w:t>
      </w:r>
      <w:r w:rsidRPr="00E631B0">
        <w:rPr>
          <w:rFonts w:asciiTheme="minorHAnsi" w:hAnsiTheme="minorHAnsi"/>
        </w:rPr>
        <w:t>term benefits associated with a combination of ezetimibe and a statin</w:t>
      </w:r>
      <w:r w:rsidR="005F5F53" w:rsidRPr="00E631B0">
        <w:rPr>
          <w:rFonts w:asciiTheme="minorHAnsi" w:hAnsiTheme="minorHAnsi"/>
        </w:rPr>
        <w:t>.</w:t>
      </w:r>
    </w:p>
    <w:p w14:paraId="5D8B54A6" w14:textId="7005C611" w:rsidR="00CC14E7" w:rsidRPr="00E631B0" w:rsidRDefault="0000686B" w:rsidP="008600B5">
      <w:pPr>
        <w:pStyle w:val="ListParagraph"/>
        <w:numPr>
          <w:ilvl w:val="0"/>
          <w:numId w:val="33"/>
        </w:numPr>
        <w:spacing w:after="120" w:line="240" w:lineRule="auto"/>
        <w:ind w:left="567" w:hanging="578"/>
        <w:jc w:val="left"/>
        <w:rPr>
          <w:rFonts w:asciiTheme="minorHAnsi" w:eastAsia="Calibri" w:hAnsiTheme="minorHAnsi" w:cs="Times New Roman"/>
          <w:szCs w:val="24"/>
        </w:rPr>
      </w:pPr>
      <w:r w:rsidRPr="00E631B0">
        <w:rPr>
          <w:rFonts w:asciiTheme="minorHAnsi" w:eastAsia="Calibri" w:hAnsiTheme="minorHAnsi" w:cs="Times New Roman"/>
          <w:szCs w:val="24"/>
        </w:rPr>
        <w:t>The evidence reporting on long</w:t>
      </w:r>
      <w:r w:rsidR="00F7627D" w:rsidRPr="00E631B0">
        <w:rPr>
          <w:rFonts w:asciiTheme="minorHAnsi" w:eastAsia="Calibri" w:hAnsiTheme="minorHAnsi" w:cs="Times New Roman"/>
          <w:szCs w:val="24"/>
        </w:rPr>
        <w:t>-</w:t>
      </w:r>
      <w:r w:rsidRPr="00E631B0">
        <w:rPr>
          <w:rFonts w:asciiTheme="minorHAnsi" w:eastAsia="Calibri" w:hAnsiTheme="minorHAnsi" w:cs="Times New Roman"/>
          <w:szCs w:val="24"/>
        </w:rPr>
        <w:t>term patient relevant outcomes casts uncertainty over the cost-effectiveness of ezetimibe in combination with statin versus statin monotherapy.</w:t>
      </w:r>
      <w:r w:rsidR="00CC14E7" w:rsidRPr="00E631B0">
        <w:rPr>
          <w:rFonts w:asciiTheme="minorHAnsi" w:eastAsia="Calibri" w:hAnsiTheme="minorHAnsi" w:cs="Times New Roman"/>
          <w:szCs w:val="24"/>
        </w:rPr>
        <w:t xml:space="preserve"> This arises from the variability in estimates of clinical efficacy in terms of </w:t>
      </w:r>
      <w:r w:rsidR="00C17B2A" w:rsidRPr="00E631B0">
        <w:rPr>
          <w:rFonts w:asciiTheme="minorHAnsi" w:eastAsia="Calibri" w:hAnsiTheme="minorHAnsi" w:cs="Times New Roman"/>
          <w:szCs w:val="24"/>
        </w:rPr>
        <w:t xml:space="preserve">the </w:t>
      </w:r>
      <w:r w:rsidR="00EC145E" w:rsidRPr="00E631B0">
        <w:rPr>
          <w:rFonts w:asciiTheme="minorHAnsi" w:eastAsia="Calibri" w:hAnsiTheme="minorHAnsi" w:cs="Times New Roman"/>
          <w:szCs w:val="24"/>
        </w:rPr>
        <w:t>TC:</w:t>
      </w:r>
      <w:r w:rsidR="00CC14E7" w:rsidRPr="00E631B0">
        <w:rPr>
          <w:rFonts w:asciiTheme="minorHAnsi" w:eastAsia="Calibri" w:hAnsiTheme="minorHAnsi" w:cs="Times New Roman"/>
          <w:szCs w:val="24"/>
        </w:rPr>
        <w:t xml:space="preserve">HDL ratio. Results of the economic evaluations previously considered by the PBAC and </w:t>
      </w:r>
      <w:r w:rsidR="00174DDF" w:rsidRPr="00E631B0">
        <w:rPr>
          <w:rFonts w:asciiTheme="minorHAnsi" w:eastAsia="Calibri" w:hAnsiTheme="minorHAnsi" w:cs="Times New Roman"/>
          <w:szCs w:val="24"/>
        </w:rPr>
        <w:t xml:space="preserve">provided by the sponsor during the </w:t>
      </w:r>
      <w:r w:rsidR="00EC145E" w:rsidRPr="00E631B0">
        <w:rPr>
          <w:rFonts w:asciiTheme="minorHAnsi" w:eastAsia="Calibri" w:hAnsiTheme="minorHAnsi" w:cs="Times New Roman"/>
          <w:szCs w:val="24"/>
        </w:rPr>
        <w:t>R</w:t>
      </w:r>
      <w:r w:rsidR="00CC14E7" w:rsidRPr="00E631B0">
        <w:rPr>
          <w:rFonts w:asciiTheme="minorHAnsi" w:eastAsia="Calibri" w:hAnsiTheme="minorHAnsi" w:cs="Times New Roman"/>
          <w:szCs w:val="24"/>
        </w:rPr>
        <w:t>eview (including the sponsor’s model proposed to the Review versus the IMPROVE-IT trial outcomes) seem to overestimate the incremental long</w:t>
      </w:r>
      <w:r w:rsidR="00F7627D" w:rsidRPr="00E631B0">
        <w:rPr>
          <w:rFonts w:asciiTheme="minorHAnsi" w:eastAsia="Calibri" w:hAnsiTheme="minorHAnsi" w:cs="Times New Roman"/>
          <w:szCs w:val="24"/>
        </w:rPr>
        <w:t>-</w:t>
      </w:r>
      <w:r w:rsidR="00CC14E7" w:rsidRPr="00E631B0">
        <w:rPr>
          <w:rFonts w:asciiTheme="minorHAnsi" w:eastAsia="Calibri" w:hAnsiTheme="minorHAnsi" w:cs="Times New Roman"/>
          <w:szCs w:val="24"/>
        </w:rPr>
        <w:t xml:space="preserve">term benefits associated with a combination of ezetimibe and a statin. </w:t>
      </w:r>
    </w:p>
    <w:p w14:paraId="453B5140" w14:textId="77777777" w:rsidR="0026551F" w:rsidRPr="00E631B0" w:rsidRDefault="0026551F" w:rsidP="008600B5">
      <w:pPr>
        <w:pStyle w:val="ListParagraph"/>
        <w:numPr>
          <w:ilvl w:val="0"/>
          <w:numId w:val="33"/>
        </w:numPr>
        <w:spacing w:after="0" w:line="240" w:lineRule="auto"/>
        <w:ind w:left="567" w:hanging="578"/>
        <w:contextualSpacing w:val="0"/>
        <w:jc w:val="left"/>
        <w:rPr>
          <w:rFonts w:asciiTheme="minorHAnsi" w:hAnsiTheme="minorHAnsi"/>
        </w:rPr>
      </w:pPr>
      <w:r w:rsidRPr="00E631B0">
        <w:rPr>
          <w:rFonts w:asciiTheme="minorHAnsi" w:hAnsiTheme="minorHAnsi"/>
        </w:rPr>
        <w:t>An economic model based on the results of the IMPROVE-IT trial would not provide a reasonable estimate of the cost</w:t>
      </w:r>
      <w:r w:rsidR="00216B38" w:rsidRPr="00E631B0">
        <w:rPr>
          <w:rFonts w:asciiTheme="minorHAnsi" w:hAnsiTheme="minorHAnsi"/>
        </w:rPr>
        <w:t>-</w:t>
      </w:r>
      <w:r w:rsidRPr="00E631B0">
        <w:rPr>
          <w:rFonts w:asciiTheme="minorHAnsi" w:hAnsiTheme="minorHAnsi"/>
        </w:rPr>
        <w:t>effectiveness of current ezetimibe use on the PBS due to applicability issues.</w:t>
      </w:r>
    </w:p>
    <w:p w14:paraId="0FA8E223" w14:textId="5CB0E7C8" w:rsidR="0000686B" w:rsidRPr="00E631B0" w:rsidRDefault="0000686B" w:rsidP="008600B5">
      <w:pPr>
        <w:pStyle w:val="ListParagraph"/>
        <w:numPr>
          <w:ilvl w:val="0"/>
          <w:numId w:val="33"/>
        </w:numPr>
        <w:spacing w:after="120" w:line="240" w:lineRule="auto"/>
        <w:ind w:left="567" w:hanging="578"/>
        <w:jc w:val="left"/>
        <w:rPr>
          <w:rFonts w:asciiTheme="minorHAnsi" w:hAnsiTheme="minorHAnsi"/>
        </w:rPr>
      </w:pPr>
      <w:r w:rsidRPr="00E631B0">
        <w:rPr>
          <w:rFonts w:asciiTheme="minorHAnsi" w:eastAsia="Calibri" w:hAnsiTheme="minorHAnsi" w:cs="Times New Roman"/>
          <w:szCs w:val="24"/>
        </w:rPr>
        <w:t>The Reference Group agreed</w:t>
      </w:r>
      <w:r w:rsidR="003B5FC4" w:rsidRPr="00E631B0">
        <w:rPr>
          <w:rFonts w:asciiTheme="minorHAnsi" w:eastAsia="Calibri" w:hAnsiTheme="minorHAnsi" w:cs="Times New Roman"/>
          <w:szCs w:val="24"/>
        </w:rPr>
        <w:t>,</w:t>
      </w:r>
      <w:r w:rsidRPr="00E631B0">
        <w:rPr>
          <w:rFonts w:asciiTheme="minorHAnsi" w:eastAsia="Calibri" w:hAnsiTheme="minorHAnsi" w:cs="Times New Roman"/>
          <w:szCs w:val="24"/>
        </w:rPr>
        <w:t xml:space="preserve"> in considering the cost-effectiveness of ezetimibe</w:t>
      </w:r>
      <w:r w:rsidR="003B5FC4" w:rsidRPr="00E631B0">
        <w:rPr>
          <w:rFonts w:asciiTheme="minorHAnsi" w:eastAsia="Calibri" w:hAnsiTheme="minorHAnsi" w:cs="Times New Roman"/>
          <w:szCs w:val="24"/>
        </w:rPr>
        <w:t>,</w:t>
      </w:r>
      <w:r w:rsidRPr="00E631B0">
        <w:rPr>
          <w:rFonts w:asciiTheme="minorHAnsi" w:eastAsia="Calibri" w:hAnsiTheme="minorHAnsi" w:cs="Times New Roman"/>
          <w:szCs w:val="24"/>
        </w:rPr>
        <w:t xml:space="preserve"> the</w:t>
      </w:r>
      <w:r w:rsidR="00397214" w:rsidRPr="00E631B0">
        <w:rPr>
          <w:rFonts w:asciiTheme="minorHAnsi" w:eastAsia="Calibri" w:hAnsiTheme="minorHAnsi" w:cs="Times New Roman"/>
          <w:szCs w:val="24"/>
        </w:rPr>
        <w:t xml:space="preserve"> comparators include:</w:t>
      </w:r>
      <w:r w:rsidRPr="00E631B0">
        <w:rPr>
          <w:rFonts w:asciiTheme="minorHAnsi" w:eastAsia="Calibri" w:hAnsiTheme="minorHAnsi" w:cs="Times New Roman"/>
          <w:szCs w:val="24"/>
        </w:rPr>
        <w:t xml:space="preserve"> </w:t>
      </w:r>
    </w:p>
    <w:p w14:paraId="5CF8230B" w14:textId="77777777" w:rsidR="0000686B" w:rsidRPr="00E631B0" w:rsidRDefault="0000686B" w:rsidP="008600B5">
      <w:pPr>
        <w:pStyle w:val="ListParagraph"/>
        <w:numPr>
          <w:ilvl w:val="1"/>
          <w:numId w:val="33"/>
        </w:numPr>
        <w:spacing w:after="0" w:line="240" w:lineRule="auto"/>
        <w:ind w:left="851" w:hanging="284"/>
        <w:contextualSpacing w:val="0"/>
        <w:jc w:val="left"/>
        <w:rPr>
          <w:rFonts w:asciiTheme="minorHAnsi" w:eastAsia="Calibri" w:hAnsiTheme="minorHAnsi" w:cs="Times New Roman"/>
          <w:szCs w:val="24"/>
        </w:rPr>
      </w:pPr>
      <w:r w:rsidRPr="00E631B0">
        <w:rPr>
          <w:rFonts w:asciiTheme="minorHAnsi" w:eastAsia="Calibri" w:hAnsiTheme="minorHAnsi" w:cs="Times New Roman"/>
          <w:szCs w:val="24"/>
        </w:rPr>
        <w:t>placebo</w:t>
      </w:r>
      <w:r w:rsidR="003062CF" w:rsidRPr="00E631B0">
        <w:rPr>
          <w:rFonts w:asciiTheme="minorHAnsi" w:eastAsia="Calibri" w:hAnsiTheme="minorHAnsi" w:cs="Times New Roman"/>
          <w:szCs w:val="24"/>
        </w:rPr>
        <w:t>/</w:t>
      </w:r>
      <w:r w:rsidR="00C41B1C" w:rsidRPr="00E631B0">
        <w:rPr>
          <w:rFonts w:asciiTheme="minorHAnsi" w:eastAsia="Calibri" w:hAnsiTheme="minorHAnsi" w:cs="Times New Roman"/>
          <w:szCs w:val="24"/>
        </w:rPr>
        <w:t>non statin LLT</w:t>
      </w:r>
      <w:r w:rsidRPr="00E631B0">
        <w:rPr>
          <w:rFonts w:asciiTheme="minorHAnsi" w:eastAsia="Calibri" w:hAnsiTheme="minorHAnsi" w:cs="Times New Roman"/>
          <w:szCs w:val="24"/>
        </w:rPr>
        <w:t xml:space="preserve"> for those pati</w:t>
      </w:r>
      <w:r w:rsidR="00EC145E" w:rsidRPr="00E631B0">
        <w:rPr>
          <w:rFonts w:asciiTheme="minorHAnsi" w:eastAsia="Calibri" w:hAnsiTheme="minorHAnsi" w:cs="Times New Roman"/>
          <w:szCs w:val="24"/>
        </w:rPr>
        <w:t xml:space="preserve">ents contraindicated to statins; </w:t>
      </w:r>
      <w:r w:rsidRPr="00E631B0">
        <w:rPr>
          <w:rFonts w:asciiTheme="minorHAnsi" w:eastAsia="Calibri" w:hAnsiTheme="minorHAnsi" w:cs="Times New Roman"/>
          <w:szCs w:val="24"/>
        </w:rPr>
        <w:t>and</w:t>
      </w:r>
    </w:p>
    <w:p w14:paraId="650974FF" w14:textId="288C5DD5" w:rsidR="0000686B" w:rsidRPr="00E631B0" w:rsidRDefault="0000686B" w:rsidP="008600B5">
      <w:pPr>
        <w:pStyle w:val="ListParagraph"/>
        <w:numPr>
          <w:ilvl w:val="1"/>
          <w:numId w:val="33"/>
        </w:numPr>
        <w:spacing w:after="120" w:line="240" w:lineRule="auto"/>
        <w:ind w:left="851" w:hanging="284"/>
        <w:jc w:val="left"/>
        <w:rPr>
          <w:rFonts w:asciiTheme="minorHAnsi" w:hAnsiTheme="minorHAnsi"/>
        </w:rPr>
      </w:pPr>
      <w:r w:rsidRPr="00E631B0">
        <w:rPr>
          <w:rFonts w:asciiTheme="minorHAnsi" w:eastAsia="Calibri" w:hAnsiTheme="minorHAnsi" w:cs="Times New Roman"/>
          <w:szCs w:val="24"/>
        </w:rPr>
        <w:t xml:space="preserve">up-titration of statin to maximum tolerated dose/switching to a higher potency statin. </w:t>
      </w:r>
      <w:r w:rsidRPr="00E631B0">
        <w:rPr>
          <w:rFonts w:asciiTheme="minorHAnsi" w:hAnsiTheme="minorHAnsi"/>
        </w:rPr>
        <w:br w:type="page"/>
      </w:r>
    </w:p>
    <w:p w14:paraId="36DA4E67" w14:textId="77777777" w:rsidR="0000686B" w:rsidRPr="0083256E" w:rsidRDefault="0000686B" w:rsidP="00514129">
      <w:pPr>
        <w:pStyle w:val="Heading1"/>
        <w:spacing w:before="480" w:after="240" w:line="240" w:lineRule="auto"/>
        <w:rPr>
          <w:szCs w:val="40"/>
        </w:rPr>
      </w:pPr>
      <w:bookmarkStart w:id="25" w:name="_Toc500510193"/>
      <w:r w:rsidRPr="0083256E">
        <w:rPr>
          <w:szCs w:val="40"/>
        </w:rPr>
        <w:lastRenderedPageBreak/>
        <w:t>Report Structure</w:t>
      </w:r>
      <w:bookmarkEnd w:id="25"/>
    </w:p>
    <w:p w14:paraId="6FFE913E" w14:textId="61E70A3D" w:rsidR="0000686B" w:rsidRPr="00E631B0" w:rsidRDefault="0000686B" w:rsidP="000831ED">
      <w:pPr>
        <w:pBdr>
          <w:top w:val="single" w:sz="4" w:space="1" w:color="auto"/>
          <w:left w:val="single" w:sz="4" w:space="4" w:color="auto"/>
          <w:bottom w:val="single" w:sz="4" w:space="1" w:color="auto"/>
          <w:right w:val="single" w:sz="4" w:space="4" w:color="auto"/>
        </w:pBdr>
        <w:spacing w:line="240" w:lineRule="auto"/>
        <w:contextualSpacing/>
        <w:jc w:val="left"/>
        <w:rPr>
          <w:rFonts w:asciiTheme="minorHAnsi" w:hAnsiTheme="minorHAnsi" w:cs="Calibri"/>
          <w:szCs w:val="24"/>
        </w:rPr>
      </w:pPr>
      <w:r w:rsidRPr="00E631B0">
        <w:rPr>
          <w:rFonts w:asciiTheme="minorHAnsi" w:hAnsiTheme="minorHAnsi" w:cs="Calibri"/>
          <w:szCs w:val="24"/>
        </w:rPr>
        <w:t xml:space="preserve">This Report </w:t>
      </w:r>
      <w:r w:rsidR="00136A5C" w:rsidRPr="00E631B0">
        <w:rPr>
          <w:rFonts w:asciiTheme="minorHAnsi" w:hAnsiTheme="minorHAnsi" w:cs="Calibri"/>
          <w:szCs w:val="24"/>
        </w:rPr>
        <w:t xml:space="preserve">contains a background chapter and </w:t>
      </w:r>
      <w:r w:rsidRPr="00E631B0">
        <w:rPr>
          <w:rFonts w:asciiTheme="minorHAnsi" w:hAnsiTheme="minorHAnsi" w:cs="Calibri"/>
          <w:szCs w:val="24"/>
        </w:rPr>
        <w:t xml:space="preserve">three separate sections to address </w:t>
      </w:r>
      <w:r w:rsidR="00136A5C" w:rsidRPr="00E631B0">
        <w:rPr>
          <w:rFonts w:asciiTheme="minorHAnsi" w:hAnsiTheme="minorHAnsi" w:cs="Calibri"/>
          <w:szCs w:val="24"/>
        </w:rPr>
        <w:t>each of the Terms of Reference. Updates to this report following PBAC sub-committee consideration, Reference Group</w:t>
      </w:r>
      <w:r w:rsidR="005353B9" w:rsidRPr="00E631B0">
        <w:rPr>
          <w:rFonts w:asciiTheme="minorHAnsi" w:hAnsiTheme="minorHAnsi" w:cs="Calibri"/>
          <w:szCs w:val="24"/>
        </w:rPr>
        <w:t xml:space="preserve"> consideration,</w:t>
      </w:r>
      <w:r w:rsidR="00136A5C" w:rsidRPr="00E631B0">
        <w:rPr>
          <w:rFonts w:asciiTheme="minorHAnsi" w:hAnsiTheme="minorHAnsi" w:cs="Calibri"/>
          <w:szCs w:val="24"/>
        </w:rPr>
        <w:t xml:space="preserve"> and stakeholder comments</w:t>
      </w:r>
      <w:r w:rsidR="005353B9" w:rsidRPr="00E631B0">
        <w:rPr>
          <w:rFonts w:asciiTheme="minorHAnsi" w:hAnsiTheme="minorHAnsi" w:cs="Calibri"/>
          <w:szCs w:val="24"/>
        </w:rPr>
        <w:t>,</w:t>
      </w:r>
      <w:r w:rsidR="00136A5C" w:rsidRPr="00E631B0">
        <w:rPr>
          <w:rFonts w:asciiTheme="minorHAnsi" w:hAnsiTheme="minorHAnsi" w:cs="Calibri"/>
          <w:szCs w:val="24"/>
        </w:rPr>
        <w:t xml:space="preserve"> have been included within the body of this report.</w:t>
      </w:r>
      <w:r w:rsidRPr="00E631B0">
        <w:rPr>
          <w:rFonts w:asciiTheme="minorHAnsi" w:hAnsiTheme="minorHAnsi" w:cs="Calibri"/>
          <w:szCs w:val="24"/>
        </w:rPr>
        <w:t xml:space="preserve"> </w:t>
      </w:r>
    </w:p>
    <w:p w14:paraId="1416F0D6" w14:textId="77777777" w:rsidR="0000686B" w:rsidRPr="00E631B0" w:rsidRDefault="0000686B" w:rsidP="000831ED">
      <w:pPr>
        <w:pBdr>
          <w:top w:val="single" w:sz="4" w:space="1" w:color="auto"/>
          <w:left w:val="single" w:sz="4" w:space="4" w:color="auto"/>
          <w:bottom w:val="single" w:sz="4" w:space="1" w:color="auto"/>
          <w:right w:val="single" w:sz="4" w:space="4" w:color="auto"/>
        </w:pBdr>
        <w:spacing w:line="240" w:lineRule="auto"/>
        <w:contextualSpacing/>
        <w:jc w:val="left"/>
        <w:rPr>
          <w:rFonts w:asciiTheme="minorHAnsi" w:hAnsiTheme="minorHAnsi" w:cs="Calibri"/>
          <w:szCs w:val="24"/>
        </w:rPr>
      </w:pPr>
    </w:p>
    <w:p w14:paraId="4F21F837" w14:textId="77777777" w:rsidR="0000686B" w:rsidRPr="00E631B0" w:rsidRDefault="0000686B" w:rsidP="000831ED">
      <w:pPr>
        <w:pBdr>
          <w:top w:val="single" w:sz="4" w:space="1" w:color="auto"/>
          <w:left w:val="single" w:sz="4" w:space="4" w:color="auto"/>
          <w:bottom w:val="single" w:sz="4" w:space="1" w:color="auto"/>
          <w:right w:val="single" w:sz="4" w:space="4" w:color="auto"/>
        </w:pBdr>
        <w:spacing w:line="240" w:lineRule="auto"/>
        <w:contextualSpacing/>
        <w:jc w:val="left"/>
        <w:rPr>
          <w:rFonts w:asciiTheme="minorHAnsi" w:hAnsiTheme="minorHAnsi" w:cs="Calibri"/>
          <w:b/>
          <w:szCs w:val="24"/>
        </w:rPr>
      </w:pPr>
      <w:r w:rsidRPr="00E631B0">
        <w:rPr>
          <w:rFonts w:asciiTheme="minorHAnsi" w:hAnsiTheme="minorHAnsi" w:cs="Calibri"/>
          <w:b/>
          <w:szCs w:val="24"/>
        </w:rPr>
        <w:t>Backg</w:t>
      </w:r>
      <w:r w:rsidR="00DA7A17" w:rsidRPr="00E631B0">
        <w:rPr>
          <w:rFonts w:asciiTheme="minorHAnsi" w:hAnsiTheme="minorHAnsi" w:cs="Calibri"/>
          <w:b/>
          <w:szCs w:val="24"/>
        </w:rPr>
        <w:t>r</w:t>
      </w:r>
      <w:r w:rsidRPr="00E631B0">
        <w:rPr>
          <w:rFonts w:asciiTheme="minorHAnsi" w:hAnsiTheme="minorHAnsi" w:cs="Calibri"/>
          <w:b/>
          <w:szCs w:val="24"/>
        </w:rPr>
        <w:t xml:space="preserve">ound </w:t>
      </w:r>
    </w:p>
    <w:p w14:paraId="653C31D7" w14:textId="77777777" w:rsidR="0000686B" w:rsidRPr="00E631B0" w:rsidRDefault="00B94AAC" w:rsidP="000831ED">
      <w:pPr>
        <w:pBdr>
          <w:top w:val="single" w:sz="4" w:space="1" w:color="auto"/>
          <w:left w:val="single" w:sz="4" w:space="4" w:color="auto"/>
          <w:bottom w:val="single" w:sz="4" w:space="1" w:color="auto"/>
          <w:right w:val="single" w:sz="4" w:space="4" w:color="auto"/>
        </w:pBdr>
        <w:spacing w:line="240" w:lineRule="auto"/>
        <w:contextualSpacing/>
        <w:jc w:val="left"/>
        <w:rPr>
          <w:rFonts w:asciiTheme="minorHAnsi" w:hAnsiTheme="minorHAnsi" w:cs="Calibri"/>
          <w:szCs w:val="24"/>
        </w:rPr>
      </w:pPr>
      <w:r w:rsidRPr="00E631B0">
        <w:rPr>
          <w:rFonts w:asciiTheme="minorHAnsi" w:hAnsiTheme="minorHAnsi" w:cs="Calibri"/>
          <w:szCs w:val="24"/>
        </w:rPr>
        <w:t>Provides the context for post-</w:t>
      </w:r>
      <w:r w:rsidR="0000686B" w:rsidRPr="00E631B0">
        <w:rPr>
          <w:rFonts w:asciiTheme="minorHAnsi" w:hAnsiTheme="minorHAnsi" w:cs="Calibri"/>
          <w:szCs w:val="24"/>
        </w:rPr>
        <w:t>market reviews, background information on the Ezetimibe Post-market Review, an explanation of dyslipidaemia as a risk factor for cardiovascular disease and background on assessment of cardiovascular disease risk.</w:t>
      </w:r>
    </w:p>
    <w:p w14:paraId="5150F978" w14:textId="77777777" w:rsidR="0000686B" w:rsidRPr="00E631B0" w:rsidRDefault="0000686B" w:rsidP="000831ED">
      <w:pPr>
        <w:pBdr>
          <w:top w:val="single" w:sz="4" w:space="1" w:color="auto"/>
          <w:left w:val="single" w:sz="4" w:space="4" w:color="auto"/>
          <w:bottom w:val="single" w:sz="4" w:space="1" w:color="auto"/>
          <w:right w:val="single" w:sz="4" w:space="4" w:color="auto"/>
        </w:pBdr>
        <w:spacing w:line="240" w:lineRule="auto"/>
        <w:contextualSpacing/>
        <w:jc w:val="left"/>
        <w:rPr>
          <w:rFonts w:asciiTheme="minorHAnsi" w:hAnsiTheme="minorHAnsi" w:cs="Calibri"/>
          <w:szCs w:val="24"/>
        </w:rPr>
      </w:pPr>
    </w:p>
    <w:p w14:paraId="2A7F4DCE" w14:textId="7780B760" w:rsidR="0000686B" w:rsidRPr="00E631B0" w:rsidRDefault="0000686B" w:rsidP="000831ED">
      <w:pPr>
        <w:pBdr>
          <w:top w:val="single" w:sz="4" w:space="1" w:color="auto"/>
          <w:left w:val="single" w:sz="4" w:space="4" w:color="auto"/>
          <w:bottom w:val="single" w:sz="4" w:space="1" w:color="auto"/>
          <w:right w:val="single" w:sz="4" w:space="4" w:color="auto"/>
        </w:pBdr>
        <w:spacing w:line="240" w:lineRule="auto"/>
        <w:contextualSpacing/>
        <w:jc w:val="left"/>
        <w:rPr>
          <w:rFonts w:asciiTheme="minorHAnsi" w:hAnsiTheme="minorHAnsi" w:cs="Calibri"/>
          <w:b/>
          <w:szCs w:val="24"/>
        </w:rPr>
      </w:pPr>
      <w:r w:rsidRPr="00E631B0">
        <w:rPr>
          <w:rFonts w:asciiTheme="minorHAnsi" w:hAnsiTheme="minorHAnsi" w:cs="Calibri"/>
          <w:b/>
          <w:szCs w:val="24"/>
        </w:rPr>
        <w:t xml:space="preserve">Section </w:t>
      </w:r>
      <w:r w:rsidR="00AD0496" w:rsidRPr="00E631B0">
        <w:rPr>
          <w:rFonts w:asciiTheme="minorHAnsi" w:hAnsiTheme="minorHAnsi" w:cs="Calibri"/>
          <w:b/>
          <w:szCs w:val="24"/>
        </w:rPr>
        <w:t>1</w:t>
      </w:r>
      <w:r w:rsidR="00F1079D" w:rsidRPr="00E631B0">
        <w:rPr>
          <w:rFonts w:asciiTheme="minorHAnsi" w:hAnsiTheme="minorHAnsi" w:cs="Calibri"/>
          <w:b/>
          <w:szCs w:val="24"/>
        </w:rPr>
        <w:t xml:space="preserve"> </w:t>
      </w:r>
      <w:r w:rsidR="005353B9" w:rsidRPr="00E631B0">
        <w:rPr>
          <w:rFonts w:asciiTheme="minorHAnsi" w:hAnsiTheme="minorHAnsi" w:cs="Calibri"/>
          <w:b/>
          <w:szCs w:val="24"/>
        </w:rPr>
        <w:t>– Term of Reference 1</w:t>
      </w:r>
      <w:r w:rsidRPr="00E631B0">
        <w:rPr>
          <w:rFonts w:asciiTheme="minorHAnsi" w:hAnsiTheme="minorHAnsi" w:cs="Calibri"/>
          <w:b/>
          <w:szCs w:val="24"/>
        </w:rPr>
        <w:t xml:space="preserve"> </w:t>
      </w:r>
    </w:p>
    <w:p w14:paraId="70D8B02C" w14:textId="2007C953" w:rsidR="0000686B" w:rsidRPr="00E631B0" w:rsidRDefault="0000686B" w:rsidP="000831ED">
      <w:pPr>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Calibri"/>
          <w:szCs w:val="24"/>
        </w:rPr>
      </w:pPr>
      <w:r w:rsidRPr="00E631B0">
        <w:rPr>
          <w:rFonts w:asciiTheme="minorHAnsi" w:hAnsiTheme="minorHAnsi" w:cs="Calibri"/>
          <w:szCs w:val="24"/>
        </w:rPr>
        <w:t>Review current utilisation of Pharmaceutical Benefits Scheme (PBS)</w:t>
      </w:r>
      <w:r w:rsidR="005353B9" w:rsidRPr="00E631B0">
        <w:rPr>
          <w:rFonts w:asciiTheme="minorHAnsi" w:hAnsiTheme="minorHAnsi" w:cs="Calibri"/>
          <w:szCs w:val="24"/>
        </w:rPr>
        <w:t>–</w:t>
      </w:r>
      <w:r w:rsidRPr="00E631B0">
        <w:rPr>
          <w:rFonts w:asciiTheme="minorHAnsi" w:hAnsiTheme="minorHAnsi" w:cs="Calibri"/>
          <w:szCs w:val="24"/>
        </w:rPr>
        <w:t xml:space="preserve">listed ezetimibe and ezetimibe combination products. </w:t>
      </w:r>
    </w:p>
    <w:p w14:paraId="43EB8E1B" w14:textId="77777777" w:rsidR="0000686B" w:rsidRPr="00E631B0" w:rsidRDefault="0000686B" w:rsidP="000831ED">
      <w:pPr>
        <w:pBdr>
          <w:top w:val="single" w:sz="4" w:space="1" w:color="auto"/>
          <w:left w:val="single" w:sz="4" w:space="4" w:color="auto"/>
          <w:bottom w:val="single" w:sz="4" w:space="1" w:color="auto"/>
          <w:right w:val="single" w:sz="4" w:space="4" w:color="auto"/>
        </w:pBdr>
        <w:spacing w:after="0" w:line="240" w:lineRule="auto"/>
        <w:jc w:val="left"/>
        <w:rPr>
          <w:rFonts w:asciiTheme="minorHAnsi" w:hAnsiTheme="minorHAnsi" w:cs="Calibri"/>
          <w:szCs w:val="24"/>
        </w:rPr>
      </w:pPr>
      <w:r w:rsidRPr="00E631B0">
        <w:rPr>
          <w:rFonts w:asciiTheme="minorHAnsi" w:hAnsiTheme="minorHAnsi" w:cs="Calibri"/>
          <w:szCs w:val="24"/>
        </w:rPr>
        <w:t>Provides key findings, a summary of the utilisation analysis, key issues raised by stakeholders and Reference Group advice.</w:t>
      </w:r>
    </w:p>
    <w:p w14:paraId="3EB780E5" w14:textId="77777777" w:rsidR="00947AFC" w:rsidRPr="00E631B0" w:rsidRDefault="00947AFC" w:rsidP="000831ED">
      <w:pPr>
        <w:pBdr>
          <w:top w:val="single" w:sz="4" w:space="1" w:color="auto"/>
          <w:left w:val="single" w:sz="4" w:space="4" w:color="auto"/>
          <w:bottom w:val="single" w:sz="4" w:space="1" w:color="auto"/>
          <w:right w:val="single" w:sz="4" w:space="4" w:color="auto"/>
        </w:pBdr>
        <w:spacing w:line="240" w:lineRule="auto"/>
        <w:contextualSpacing/>
        <w:jc w:val="left"/>
        <w:rPr>
          <w:rFonts w:asciiTheme="minorHAnsi" w:hAnsiTheme="minorHAnsi" w:cs="Calibri"/>
          <w:szCs w:val="24"/>
        </w:rPr>
      </w:pPr>
    </w:p>
    <w:p w14:paraId="20D897ED" w14:textId="65C33AC2" w:rsidR="0000686B" w:rsidRPr="00E631B0" w:rsidRDefault="0000686B" w:rsidP="000831ED">
      <w:pPr>
        <w:pBdr>
          <w:top w:val="single" w:sz="4" w:space="1" w:color="auto"/>
          <w:left w:val="single" w:sz="4" w:space="4" w:color="auto"/>
          <w:bottom w:val="single" w:sz="4" w:space="1" w:color="auto"/>
          <w:right w:val="single" w:sz="4" w:space="4" w:color="auto"/>
        </w:pBdr>
        <w:spacing w:line="240" w:lineRule="auto"/>
        <w:contextualSpacing/>
        <w:jc w:val="left"/>
        <w:rPr>
          <w:rFonts w:asciiTheme="minorHAnsi" w:hAnsiTheme="minorHAnsi" w:cs="Calibri"/>
          <w:b/>
          <w:szCs w:val="24"/>
        </w:rPr>
      </w:pPr>
      <w:r w:rsidRPr="00E631B0">
        <w:rPr>
          <w:rFonts w:asciiTheme="minorHAnsi" w:hAnsiTheme="minorHAnsi" w:cs="Calibri"/>
          <w:b/>
          <w:szCs w:val="24"/>
        </w:rPr>
        <w:t xml:space="preserve">Section </w:t>
      </w:r>
      <w:r w:rsidR="00AD0496" w:rsidRPr="00E631B0">
        <w:rPr>
          <w:rFonts w:asciiTheme="minorHAnsi" w:hAnsiTheme="minorHAnsi" w:cs="Calibri"/>
          <w:b/>
          <w:szCs w:val="24"/>
        </w:rPr>
        <w:t>2</w:t>
      </w:r>
      <w:r w:rsidR="00F1079D" w:rsidRPr="00E631B0">
        <w:rPr>
          <w:rFonts w:asciiTheme="minorHAnsi" w:hAnsiTheme="minorHAnsi" w:cs="Calibri"/>
          <w:b/>
          <w:szCs w:val="24"/>
        </w:rPr>
        <w:t xml:space="preserve"> </w:t>
      </w:r>
      <w:r w:rsidR="005353B9" w:rsidRPr="00E631B0">
        <w:rPr>
          <w:rFonts w:asciiTheme="minorHAnsi" w:hAnsiTheme="minorHAnsi" w:cs="Calibri"/>
          <w:b/>
          <w:szCs w:val="24"/>
        </w:rPr>
        <w:t>– Term of Reference 2</w:t>
      </w:r>
      <w:r w:rsidRPr="00E631B0">
        <w:rPr>
          <w:rFonts w:asciiTheme="minorHAnsi" w:hAnsiTheme="minorHAnsi" w:cs="Calibri"/>
          <w:b/>
          <w:szCs w:val="24"/>
        </w:rPr>
        <w:t xml:space="preserve"> </w:t>
      </w:r>
    </w:p>
    <w:p w14:paraId="3049248F" w14:textId="77777777" w:rsidR="0000686B" w:rsidRPr="00E631B0" w:rsidRDefault="0000686B" w:rsidP="000831ED">
      <w:pPr>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Calibri"/>
          <w:szCs w:val="24"/>
        </w:rPr>
      </w:pPr>
      <w:r w:rsidRPr="00E631B0">
        <w:rPr>
          <w:rFonts w:asciiTheme="minorHAnsi" w:hAnsiTheme="minorHAnsi" w:cs="Calibri"/>
          <w:szCs w:val="24"/>
        </w:rPr>
        <w:t xml:space="preserve">Review recent clinical guidelines for the treatment of hypercholesterolaemia and compare this to how ezetimibe is currently used on the PBS. </w:t>
      </w:r>
    </w:p>
    <w:p w14:paraId="010C440A" w14:textId="77777777" w:rsidR="0000686B" w:rsidRPr="00E631B0" w:rsidRDefault="0000686B" w:rsidP="000831ED">
      <w:pPr>
        <w:pBdr>
          <w:top w:val="single" w:sz="4" w:space="1" w:color="auto"/>
          <w:left w:val="single" w:sz="4" w:space="4" w:color="auto"/>
          <w:bottom w:val="single" w:sz="4" w:space="1" w:color="auto"/>
          <w:right w:val="single" w:sz="4" w:space="4" w:color="auto"/>
        </w:pBdr>
        <w:spacing w:after="0" w:line="240" w:lineRule="auto"/>
        <w:jc w:val="left"/>
        <w:rPr>
          <w:rFonts w:asciiTheme="minorHAnsi" w:hAnsiTheme="minorHAnsi" w:cs="Calibri"/>
          <w:szCs w:val="24"/>
        </w:rPr>
      </w:pPr>
      <w:r w:rsidRPr="00E631B0">
        <w:rPr>
          <w:rFonts w:asciiTheme="minorHAnsi" w:hAnsiTheme="minorHAnsi" w:cs="Calibri"/>
          <w:szCs w:val="24"/>
        </w:rPr>
        <w:t>Provides key findings, a summary of the published evidence, key issues raised by stakeholders and Reference Group advice.</w:t>
      </w:r>
    </w:p>
    <w:p w14:paraId="4E9AEF0D" w14:textId="77777777" w:rsidR="00947AFC" w:rsidRPr="00E631B0" w:rsidRDefault="00947AFC" w:rsidP="000831ED">
      <w:pPr>
        <w:pBdr>
          <w:top w:val="single" w:sz="4" w:space="1" w:color="auto"/>
          <w:left w:val="single" w:sz="4" w:space="4" w:color="auto"/>
          <w:bottom w:val="single" w:sz="4" w:space="1" w:color="auto"/>
          <w:right w:val="single" w:sz="4" w:space="4" w:color="auto"/>
        </w:pBdr>
        <w:spacing w:line="240" w:lineRule="auto"/>
        <w:contextualSpacing/>
        <w:jc w:val="left"/>
        <w:rPr>
          <w:rFonts w:asciiTheme="minorHAnsi" w:hAnsiTheme="minorHAnsi" w:cs="Calibri"/>
          <w:szCs w:val="24"/>
        </w:rPr>
      </w:pPr>
    </w:p>
    <w:p w14:paraId="28D1A123" w14:textId="0DB21ADE" w:rsidR="0000686B" w:rsidRPr="00E631B0" w:rsidRDefault="0000686B" w:rsidP="000831ED">
      <w:pPr>
        <w:pBdr>
          <w:top w:val="single" w:sz="4" w:space="1" w:color="auto"/>
          <w:left w:val="single" w:sz="4" w:space="4" w:color="auto"/>
          <w:bottom w:val="single" w:sz="4" w:space="1" w:color="auto"/>
          <w:right w:val="single" w:sz="4" w:space="4" w:color="auto"/>
        </w:pBdr>
        <w:spacing w:line="240" w:lineRule="auto"/>
        <w:contextualSpacing/>
        <w:jc w:val="left"/>
        <w:rPr>
          <w:rFonts w:asciiTheme="minorHAnsi" w:hAnsiTheme="minorHAnsi" w:cs="Calibri"/>
          <w:b/>
          <w:szCs w:val="24"/>
        </w:rPr>
      </w:pPr>
      <w:r w:rsidRPr="00E631B0">
        <w:rPr>
          <w:rFonts w:asciiTheme="minorHAnsi" w:hAnsiTheme="minorHAnsi" w:cs="Calibri"/>
          <w:b/>
          <w:szCs w:val="24"/>
        </w:rPr>
        <w:t xml:space="preserve">Section </w:t>
      </w:r>
      <w:r w:rsidR="00AD0496" w:rsidRPr="00E631B0">
        <w:rPr>
          <w:rFonts w:asciiTheme="minorHAnsi" w:hAnsiTheme="minorHAnsi" w:cs="Calibri"/>
          <w:b/>
          <w:szCs w:val="24"/>
        </w:rPr>
        <w:t>3</w:t>
      </w:r>
      <w:r w:rsidR="00F1079D" w:rsidRPr="00E631B0">
        <w:rPr>
          <w:rFonts w:asciiTheme="minorHAnsi" w:hAnsiTheme="minorHAnsi" w:cs="Calibri"/>
          <w:b/>
          <w:szCs w:val="24"/>
        </w:rPr>
        <w:t xml:space="preserve"> </w:t>
      </w:r>
      <w:r w:rsidR="005353B9" w:rsidRPr="00E631B0">
        <w:rPr>
          <w:rFonts w:asciiTheme="minorHAnsi" w:hAnsiTheme="minorHAnsi" w:cs="Calibri"/>
          <w:b/>
          <w:szCs w:val="24"/>
        </w:rPr>
        <w:t>– Term of Reference 3</w:t>
      </w:r>
      <w:r w:rsidRPr="00E631B0">
        <w:rPr>
          <w:rFonts w:asciiTheme="minorHAnsi" w:hAnsiTheme="minorHAnsi" w:cs="Calibri"/>
          <w:b/>
          <w:szCs w:val="24"/>
        </w:rPr>
        <w:t xml:space="preserve"> </w:t>
      </w:r>
    </w:p>
    <w:p w14:paraId="0D1F91BC" w14:textId="77777777" w:rsidR="0000686B" w:rsidRPr="00E631B0" w:rsidRDefault="0000686B" w:rsidP="000831ED">
      <w:pPr>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Calibri"/>
          <w:szCs w:val="24"/>
        </w:rPr>
      </w:pPr>
      <w:r w:rsidRPr="00E631B0">
        <w:rPr>
          <w:rFonts w:asciiTheme="minorHAnsi" w:hAnsiTheme="minorHAnsi" w:cs="Calibri"/>
          <w:szCs w:val="24"/>
        </w:rPr>
        <w:t>Collate and evaluate any recent clinical studies of ezetimibe that report on long</w:t>
      </w:r>
      <w:r w:rsidR="00F7627D" w:rsidRPr="00E631B0">
        <w:rPr>
          <w:rFonts w:asciiTheme="minorHAnsi" w:hAnsiTheme="minorHAnsi" w:cs="Calibri"/>
          <w:szCs w:val="24"/>
        </w:rPr>
        <w:t>-</w:t>
      </w:r>
      <w:r w:rsidRPr="00E631B0">
        <w:rPr>
          <w:rFonts w:asciiTheme="minorHAnsi" w:hAnsiTheme="minorHAnsi" w:cs="Calibri"/>
          <w:szCs w:val="24"/>
        </w:rPr>
        <w:t>term patient relevant outcomes, and use this data to review the cost-effectiveness of ezetimibe.</w:t>
      </w:r>
    </w:p>
    <w:p w14:paraId="0F26A0DB" w14:textId="77777777" w:rsidR="0000686B" w:rsidRPr="005869C5" w:rsidRDefault="0000686B" w:rsidP="000831ED">
      <w:pPr>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Calibri"/>
          <w:szCs w:val="24"/>
        </w:rPr>
      </w:pPr>
      <w:r w:rsidRPr="00E631B0">
        <w:rPr>
          <w:rFonts w:asciiTheme="minorHAnsi" w:hAnsiTheme="minorHAnsi" w:cs="Calibri"/>
          <w:szCs w:val="24"/>
        </w:rPr>
        <w:t>Provides key findings, a summary of the published evidence, key issues raised by stakeholders and Reference Group advice.</w:t>
      </w:r>
    </w:p>
    <w:p w14:paraId="57F5B6F1" w14:textId="77777777" w:rsidR="0000686B" w:rsidRPr="00F1079D" w:rsidRDefault="0000686B" w:rsidP="000B1039">
      <w:pPr>
        <w:pStyle w:val="Heading1"/>
        <w:jc w:val="left"/>
      </w:pPr>
      <w:r w:rsidRPr="004B11B2">
        <w:br w:type="page"/>
      </w:r>
      <w:bookmarkStart w:id="26" w:name="_Toc500510194"/>
      <w:r w:rsidRPr="00F53453">
        <w:lastRenderedPageBreak/>
        <w:t>Background</w:t>
      </w:r>
      <w:bookmarkEnd w:id="26"/>
    </w:p>
    <w:p w14:paraId="08781D09" w14:textId="7164EF85" w:rsidR="0000686B" w:rsidRPr="00F53453" w:rsidRDefault="002D6CEA" w:rsidP="000B1039">
      <w:pPr>
        <w:pStyle w:val="Heading2"/>
      </w:pPr>
      <w:bookmarkStart w:id="27" w:name="_Toc500510195"/>
      <w:r>
        <w:t>B.1</w:t>
      </w:r>
      <w:r>
        <w:tab/>
      </w:r>
      <w:r w:rsidR="0000686B" w:rsidRPr="00F53453">
        <w:t>Con</w:t>
      </w:r>
      <w:r w:rsidR="00351843">
        <w:t>text for a post-m</w:t>
      </w:r>
      <w:r>
        <w:t xml:space="preserve">arket </w:t>
      </w:r>
      <w:r w:rsidR="00351843">
        <w:t>r</w:t>
      </w:r>
      <w:r w:rsidR="0000686B" w:rsidRPr="00F53453">
        <w:t>eview</w:t>
      </w:r>
      <w:bookmarkEnd w:id="27"/>
    </w:p>
    <w:p w14:paraId="02FEA1D0" w14:textId="53F80D7D" w:rsidR="0000686B" w:rsidRPr="00E631B0" w:rsidRDefault="0000686B" w:rsidP="000B1039">
      <w:pPr>
        <w:spacing w:line="240" w:lineRule="auto"/>
        <w:jc w:val="left"/>
        <w:rPr>
          <w:rFonts w:asciiTheme="minorHAnsi" w:hAnsiTheme="minorHAnsi"/>
        </w:rPr>
      </w:pPr>
      <w:r w:rsidRPr="00E631B0">
        <w:rPr>
          <w:rFonts w:asciiTheme="minorHAnsi" w:hAnsiTheme="minorHAnsi"/>
        </w:rPr>
        <w:t xml:space="preserve">The Australian Government has introduced a systematic post-market approach to monitoring medicines subsidised under the Pharmaceutical Benefits Scheme (PBS) to inform decision making at all levels throughout the medicine listing cycle (from the registration of a medicine right through to its use by consumers). </w:t>
      </w:r>
      <w:r w:rsidR="005D54A7" w:rsidRPr="00E631B0">
        <w:rPr>
          <w:rFonts w:asciiTheme="minorHAnsi" w:hAnsiTheme="minorHAnsi"/>
        </w:rPr>
        <w:t>PMR</w:t>
      </w:r>
      <w:r w:rsidRPr="00E631B0">
        <w:rPr>
          <w:rFonts w:asciiTheme="minorHAnsi" w:hAnsiTheme="minorHAnsi"/>
        </w:rPr>
        <w:t>s fall under the quality use of medicines objective of the National Medicines Policy framework.  It is important for the Government to continue to monitor clinical and cost-effectiveness of medicines after listing on the PBS. Reviews of cost-effectiveness ensure that the cost of medicines to the PBS appropriately reflects health outcomes expected, t</w:t>
      </w:r>
      <w:r w:rsidR="005D54A7" w:rsidRPr="00E631B0">
        <w:rPr>
          <w:rFonts w:asciiTheme="minorHAnsi" w:hAnsiTheme="minorHAnsi"/>
        </w:rPr>
        <w:t>hat there is quality use of PBS-listed medicines, and that</w:t>
      </w:r>
      <w:r w:rsidRPr="00E631B0">
        <w:rPr>
          <w:rFonts w:asciiTheme="minorHAnsi" w:hAnsiTheme="minorHAnsi"/>
        </w:rPr>
        <w:t xml:space="preserve"> ongoing sustainability of the PBS</w:t>
      </w:r>
      <w:r w:rsidR="00EB0757" w:rsidRPr="00E631B0">
        <w:rPr>
          <w:rFonts w:asciiTheme="minorHAnsi" w:hAnsiTheme="minorHAnsi"/>
        </w:rPr>
        <w:t xml:space="preserve"> is achieved.</w:t>
      </w:r>
      <w:r w:rsidRPr="00E631B0">
        <w:rPr>
          <w:rFonts w:asciiTheme="minorHAnsi" w:hAnsiTheme="minorHAnsi"/>
        </w:rPr>
        <w:t xml:space="preserve"> </w:t>
      </w:r>
    </w:p>
    <w:p w14:paraId="7D925D3C" w14:textId="6E2A554A" w:rsidR="0000686B" w:rsidRPr="00F53453" w:rsidRDefault="003848A8" w:rsidP="000B1039">
      <w:pPr>
        <w:pStyle w:val="Heading3"/>
        <w:spacing w:after="200" w:line="240" w:lineRule="auto"/>
        <w:jc w:val="left"/>
        <w:rPr>
          <w:b w:val="0"/>
          <w:i w:val="0"/>
          <w:iCs/>
          <w:szCs w:val="28"/>
        </w:rPr>
      </w:pPr>
      <w:bookmarkStart w:id="28" w:name="_Toc500510196"/>
      <w:r>
        <w:t>B.</w:t>
      </w:r>
      <w:r w:rsidR="002D6CEA">
        <w:rPr>
          <w:iCs/>
          <w:szCs w:val="28"/>
        </w:rPr>
        <w:t>1.1</w:t>
      </w:r>
      <w:bookmarkStart w:id="29" w:name="_Toc381797690"/>
      <w:r w:rsidR="002D6CEA">
        <w:rPr>
          <w:iCs/>
          <w:szCs w:val="28"/>
        </w:rPr>
        <w:tab/>
      </w:r>
      <w:r w:rsidR="0000686B" w:rsidRPr="00F53453">
        <w:rPr>
          <w:iCs/>
          <w:szCs w:val="28"/>
        </w:rPr>
        <w:t>National Medicines Policy (NMP)</w:t>
      </w:r>
      <w:bookmarkEnd w:id="28"/>
      <w:bookmarkEnd w:id="29"/>
    </w:p>
    <w:p w14:paraId="730FBB3C" w14:textId="77777777" w:rsidR="0000686B" w:rsidRPr="00E631B0" w:rsidRDefault="0000686B" w:rsidP="000B1039">
      <w:pPr>
        <w:spacing w:line="240" w:lineRule="auto"/>
        <w:jc w:val="left"/>
        <w:rPr>
          <w:rFonts w:asciiTheme="minorHAnsi" w:hAnsiTheme="minorHAnsi"/>
        </w:rPr>
      </w:pPr>
      <w:r w:rsidRPr="00E631B0">
        <w:rPr>
          <w:rFonts w:asciiTheme="minorHAnsi" w:hAnsiTheme="minorHAnsi"/>
        </w:rPr>
        <w:t xml:space="preserve">The National Medicines Policy (NMP) provides a broad framework that aims to ensure improved health outcomes for all Australians through access to and appropriate use of medicines. </w:t>
      </w:r>
    </w:p>
    <w:p w14:paraId="3D8EE7E8" w14:textId="77777777" w:rsidR="0000686B" w:rsidRPr="00E631B0" w:rsidRDefault="0000686B" w:rsidP="000B1039">
      <w:pPr>
        <w:spacing w:line="240" w:lineRule="auto"/>
        <w:jc w:val="left"/>
        <w:rPr>
          <w:rFonts w:asciiTheme="minorHAnsi" w:hAnsiTheme="minorHAnsi"/>
        </w:rPr>
      </w:pPr>
      <w:r w:rsidRPr="00E631B0">
        <w:rPr>
          <w:rFonts w:asciiTheme="minorHAnsi" w:hAnsiTheme="minorHAnsi"/>
        </w:rPr>
        <w:t>The four central objectives of the policy are:</w:t>
      </w:r>
    </w:p>
    <w:p w14:paraId="2E63738B" w14:textId="77777777"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timely and affordable access to medicines for all Australians</w:t>
      </w:r>
    </w:p>
    <w:p w14:paraId="3854612E" w14:textId="77777777"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appropriate standards of quality, safety, and efficacy of medicines</w:t>
      </w:r>
    </w:p>
    <w:p w14:paraId="1820F8B5" w14:textId="77777777"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quality use of medicines</w:t>
      </w:r>
    </w:p>
    <w:p w14:paraId="43F1E6CF" w14:textId="77777777"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maintenance of a responsible and viable medicines industry in Australia.</w:t>
      </w:r>
    </w:p>
    <w:p w14:paraId="32306FBD" w14:textId="3EE835E9" w:rsidR="0000686B" w:rsidRPr="00E631B0" w:rsidRDefault="00B94AAC" w:rsidP="000B1039">
      <w:pPr>
        <w:spacing w:line="240" w:lineRule="auto"/>
        <w:jc w:val="left"/>
        <w:rPr>
          <w:rFonts w:asciiTheme="minorHAnsi" w:hAnsiTheme="minorHAnsi"/>
        </w:rPr>
      </w:pPr>
      <w:r w:rsidRPr="00E631B0">
        <w:rPr>
          <w:rFonts w:asciiTheme="minorHAnsi" w:hAnsiTheme="minorHAnsi"/>
        </w:rPr>
        <w:t xml:space="preserve">A </w:t>
      </w:r>
      <w:r w:rsidR="005D54A7" w:rsidRPr="00E631B0">
        <w:rPr>
          <w:rFonts w:asciiTheme="minorHAnsi" w:hAnsiTheme="minorHAnsi"/>
        </w:rPr>
        <w:t xml:space="preserve">PMR </w:t>
      </w:r>
      <w:r w:rsidR="0000686B" w:rsidRPr="00E631B0">
        <w:rPr>
          <w:rFonts w:asciiTheme="minorHAnsi" w:hAnsiTheme="minorHAnsi"/>
        </w:rPr>
        <w:t xml:space="preserve">is one mechanism that contributes to </w:t>
      </w:r>
      <w:r w:rsidR="005D54A7" w:rsidRPr="00E631B0">
        <w:rPr>
          <w:rFonts w:asciiTheme="minorHAnsi" w:hAnsiTheme="minorHAnsi"/>
        </w:rPr>
        <w:t>ensuring the quality use of PBS-</w:t>
      </w:r>
      <w:r w:rsidR="0000686B" w:rsidRPr="00E631B0">
        <w:rPr>
          <w:rFonts w:asciiTheme="minorHAnsi" w:hAnsiTheme="minorHAnsi"/>
        </w:rPr>
        <w:t>listed medicines.</w:t>
      </w:r>
    </w:p>
    <w:p w14:paraId="073B65A7" w14:textId="77777777" w:rsidR="0000686B" w:rsidRPr="00E631B0" w:rsidRDefault="0000686B" w:rsidP="000B1039">
      <w:pPr>
        <w:spacing w:line="240" w:lineRule="auto"/>
        <w:jc w:val="left"/>
        <w:rPr>
          <w:rFonts w:asciiTheme="minorHAnsi" w:hAnsiTheme="minorHAnsi"/>
        </w:rPr>
      </w:pPr>
      <w:r w:rsidRPr="00E631B0">
        <w:rPr>
          <w:rFonts w:asciiTheme="minorHAnsi" w:hAnsiTheme="minorHAnsi"/>
          <w:i/>
        </w:rPr>
        <w:t>Quality use of medicines</w:t>
      </w:r>
      <w:r w:rsidRPr="00E631B0">
        <w:rPr>
          <w:rFonts w:asciiTheme="minorHAnsi" w:hAnsiTheme="minorHAnsi"/>
        </w:rPr>
        <w:t xml:space="preserve"> is defined as:</w:t>
      </w:r>
    </w:p>
    <w:p w14:paraId="0CB76FCB" w14:textId="77777777"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selecting management options wisely</w:t>
      </w:r>
    </w:p>
    <w:p w14:paraId="74487418" w14:textId="77777777"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choosing suitable medicines if a medicine is considered necessary</w:t>
      </w:r>
    </w:p>
    <w:p w14:paraId="1A9AA326" w14:textId="77777777"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 xml:space="preserve">using medicines safely and effectively. </w:t>
      </w:r>
    </w:p>
    <w:p w14:paraId="3971A7F8" w14:textId="77777777" w:rsidR="0000686B" w:rsidRPr="00E631B0" w:rsidRDefault="0000686B" w:rsidP="000B1039">
      <w:pPr>
        <w:spacing w:line="240" w:lineRule="auto"/>
        <w:jc w:val="left"/>
        <w:rPr>
          <w:rFonts w:asciiTheme="minorHAnsi" w:hAnsiTheme="minorHAnsi"/>
        </w:rPr>
      </w:pPr>
      <w:r w:rsidRPr="00E631B0">
        <w:rPr>
          <w:rFonts w:asciiTheme="minorHAnsi" w:hAnsiTheme="minorHAnsi"/>
        </w:rPr>
        <w:t>The definition of quality use of medicines applies equally to decisions about medicine use by individuals and decisions that affect the health of the population.</w:t>
      </w:r>
    </w:p>
    <w:p w14:paraId="5845B3A7" w14:textId="7109F775" w:rsidR="00473BC1" w:rsidRPr="00E631B0" w:rsidRDefault="003848A8" w:rsidP="000B1039">
      <w:pPr>
        <w:pStyle w:val="Heading3"/>
        <w:spacing w:after="200" w:line="240" w:lineRule="auto"/>
        <w:jc w:val="left"/>
        <w:rPr>
          <w:i w:val="0"/>
          <w:szCs w:val="28"/>
        </w:rPr>
      </w:pPr>
      <w:bookmarkStart w:id="30" w:name="_Toc500510197"/>
      <w:r w:rsidRPr="00E631B0">
        <w:t>B.</w:t>
      </w:r>
      <w:r w:rsidR="002D6CEA" w:rsidRPr="00E631B0">
        <w:rPr>
          <w:szCs w:val="28"/>
        </w:rPr>
        <w:t>1.2</w:t>
      </w:r>
      <w:r w:rsidR="002D6CEA" w:rsidRPr="00E631B0">
        <w:rPr>
          <w:szCs w:val="28"/>
        </w:rPr>
        <w:tab/>
      </w:r>
      <w:r w:rsidR="00473BC1" w:rsidRPr="00E631B0">
        <w:rPr>
          <w:szCs w:val="28"/>
        </w:rPr>
        <w:t>Australian Commission on Safety and Quality in Health Care (ACSQHC)</w:t>
      </w:r>
      <w:bookmarkEnd w:id="30"/>
    </w:p>
    <w:p w14:paraId="0509F05A" w14:textId="7A65A9E4" w:rsidR="00473BC1" w:rsidRPr="00E631B0" w:rsidRDefault="00473BC1" w:rsidP="000B1039">
      <w:pPr>
        <w:spacing w:line="240" w:lineRule="auto"/>
        <w:jc w:val="left"/>
        <w:rPr>
          <w:rFonts w:asciiTheme="minorHAnsi" w:hAnsiTheme="minorHAnsi"/>
        </w:rPr>
      </w:pPr>
      <w:r w:rsidRPr="00E631B0">
        <w:rPr>
          <w:rFonts w:asciiTheme="minorHAnsi" w:hAnsiTheme="minorHAnsi"/>
        </w:rPr>
        <w:t>The ACSQHC was established to lead and coordinate national improvements in the safety and quality of health care</w:t>
      </w:r>
      <w:r w:rsidR="00106006" w:rsidRPr="00E631B0">
        <w:rPr>
          <w:rStyle w:val="EndnoteReference"/>
          <w:rFonts w:asciiTheme="minorHAnsi" w:hAnsiTheme="minorHAnsi"/>
        </w:rPr>
        <w:endnoteReference w:id="13"/>
      </w:r>
      <w:r w:rsidR="00E30DCB" w:rsidRPr="00E631B0">
        <w:rPr>
          <w:rFonts w:asciiTheme="minorHAnsi" w:hAnsiTheme="minorHAnsi"/>
        </w:rPr>
        <w:t>. PMR</w:t>
      </w:r>
      <w:r w:rsidRPr="00E631B0">
        <w:rPr>
          <w:rFonts w:asciiTheme="minorHAnsi" w:hAnsiTheme="minorHAnsi"/>
        </w:rPr>
        <w:t xml:space="preserve">s contribute to the stated goals and standards of the ACSQHC, primarily through goal three and standard two which </w:t>
      </w:r>
      <w:r w:rsidRPr="00E631B0">
        <w:rPr>
          <w:rFonts w:asciiTheme="minorHAnsi" w:hAnsiTheme="minorHAnsi"/>
        </w:rPr>
        <w:lastRenderedPageBreak/>
        <w:t xml:space="preserve">focus on partnering with consumers in planning, designing and evaluating health care. </w:t>
      </w:r>
    </w:p>
    <w:p w14:paraId="695668A3" w14:textId="195256EA" w:rsidR="00473BC1" w:rsidRPr="00E631B0" w:rsidRDefault="00E30DCB" w:rsidP="000B1039">
      <w:pPr>
        <w:spacing w:line="240" w:lineRule="auto"/>
        <w:jc w:val="left"/>
        <w:rPr>
          <w:rFonts w:asciiTheme="minorHAnsi" w:hAnsiTheme="minorHAnsi"/>
        </w:rPr>
      </w:pPr>
      <w:r w:rsidRPr="00E631B0">
        <w:rPr>
          <w:rFonts w:asciiTheme="minorHAnsi" w:hAnsiTheme="minorHAnsi"/>
        </w:rPr>
        <w:t>PMR</w:t>
      </w:r>
      <w:r w:rsidR="00473BC1" w:rsidRPr="00E631B0">
        <w:rPr>
          <w:rFonts w:asciiTheme="minorHAnsi" w:hAnsiTheme="minorHAnsi"/>
        </w:rPr>
        <w:t xml:space="preserve">s </w:t>
      </w:r>
      <w:r w:rsidR="00687FC0" w:rsidRPr="00E631B0">
        <w:rPr>
          <w:rFonts w:asciiTheme="minorHAnsi" w:hAnsiTheme="minorHAnsi"/>
        </w:rPr>
        <w:t xml:space="preserve">achieve this </w:t>
      </w:r>
      <w:r w:rsidR="00473BC1" w:rsidRPr="00E631B0">
        <w:rPr>
          <w:rFonts w:asciiTheme="minorHAnsi" w:hAnsiTheme="minorHAnsi"/>
        </w:rPr>
        <w:t>by providing multiple opportunities for consumers, and other stakeholders, to provide input into the review, via public consultation and through the consumer advocate who is appointed as part of the review reference group.</w:t>
      </w:r>
    </w:p>
    <w:p w14:paraId="32F91B0B" w14:textId="6B781564" w:rsidR="0000686B" w:rsidRPr="00E631B0" w:rsidRDefault="003848A8" w:rsidP="000B1039">
      <w:pPr>
        <w:pStyle w:val="Heading3"/>
        <w:spacing w:after="200" w:line="240" w:lineRule="auto"/>
        <w:jc w:val="left"/>
        <w:rPr>
          <w:b w:val="0"/>
          <w:i w:val="0"/>
          <w:iCs/>
          <w:szCs w:val="28"/>
        </w:rPr>
      </w:pPr>
      <w:bookmarkStart w:id="31" w:name="_Toc500510198"/>
      <w:r w:rsidRPr="00E631B0">
        <w:t>B.</w:t>
      </w:r>
      <w:r w:rsidR="002D6CEA" w:rsidRPr="00E631B0">
        <w:rPr>
          <w:iCs/>
          <w:szCs w:val="28"/>
        </w:rPr>
        <w:t>1</w:t>
      </w:r>
      <w:r w:rsidR="0000686B" w:rsidRPr="00E631B0">
        <w:rPr>
          <w:iCs/>
          <w:szCs w:val="28"/>
        </w:rPr>
        <w:t>.</w:t>
      </w:r>
      <w:r w:rsidR="00473BC1" w:rsidRPr="00E631B0">
        <w:rPr>
          <w:iCs/>
          <w:szCs w:val="28"/>
        </w:rPr>
        <w:t>3</w:t>
      </w:r>
      <w:r w:rsidR="002D6CEA" w:rsidRPr="00E631B0">
        <w:rPr>
          <w:iCs/>
          <w:szCs w:val="28"/>
        </w:rPr>
        <w:tab/>
      </w:r>
      <w:r w:rsidR="0000686B" w:rsidRPr="00E631B0">
        <w:rPr>
          <w:iCs/>
          <w:szCs w:val="28"/>
        </w:rPr>
        <w:t>Pharmaceutical Benefits Scheme (PBS)</w:t>
      </w:r>
      <w:bookmarkEnd w:id="31"/>
    </w:p>
    <w:p w14:paraId="198F4911" w14:textId="77777777" w:rsidR="0000686B" w:rsidRPr="00E631B0" w:rsidRDefault="0000686B" w:rsidP="000B1039">
      <w:pPr>
        <w:spacing w:line="240" w:lineRule="auto"/>
        <w:jc w:val="left"/>
        <w:rPr>
          <w:rFonts w:asciiTheme="minorHAnsi" w:hAnsiTheme="minorHAnsi"/>
        </w:rPr>
      </w:pPr>
      <w:r w:rsidRPr="00E631B0">
        <w:rPr>
          <w:rFonts w:asciiTheme="minorHAnsi" w:hAnsiTheme="minorHAnsi"/>
        </w:rPr>
        <w:t>The PBS provides reliable, timely and affordable access to a wide range of medicines for all Australians. Under the PBS, the Australian Government subsidises the cost of listed medicines to help people afford prescription medicines for most medical conditions.</w:t>
      </w:r>
    </w:p>
    <w:p w14:paraId="28F2E360" w14:textId="09B8D148" w:rsidR="0000686B" w:rsidRPr="00E631B0" w:rsidRDefault="003848A8" w:rsidP="000B1039">
      <w:pPr>
        <w:pStyle w:val="Heading3"/>
        <w:spacing w:after="200" w:line="240" w:lineRule="auto"/>
        <w:jc w:val="left"/>
        <w:rPr>
          <w:b w:val="0"/>
          <w:i w:val="0"/>
          <w:iCs/>
          <w:szCs w:val="28"/>
        </w:rPr>
      </w:pPr>
      <w:bookmarkStart w:id="32" w:name="_Toc500510199"/>
      <w:r w:rsidRPr="00E631B0">
        <w:t>B.</w:t>
      </w:r>
      <w:r w:rsidR="002D6CEA" w:rsidRPr="00E631B0">
        <w:rPr>
          <w:iCs/>
          <w:szCs w:val="28"/>
        </w:rPr>
        <w:t>1</w:t>
      </w:r>
      <w:r w:rsidR="0000686B" w:rsidRPr="00E631B0">
        <w:rPr>
          <w:iCs/>
          <w:szCs w:val="28"/>
        </w:rPr>
        <w:t>.</w:t>
      </w:r>
      <w:r w:rsidR="00473BC1" w:rsidRPr="00E631B0">
        <w:rPr>
          <w:iCs/>
          <w:szCs w:val="28"/>
        </w:rPr>
        <w:t>4</w:t>
      </w:r>
      <w:r w:rsidR="002D6CEA" w:rsidRPr="00E631B0">
        <w:rPr>
          <w:iCs/>
          <w:szCs w:val="28"/>
        </w:rPr>
        <w:tab/>
      </w:r>
      <w:r w:rsidR="0000686B" w:rsidRPr="00E631B0">
        <w:rPr>
          <w:iCs/>
          <w:szCs w:val="28"/>
        </w:rPr>
        <w:t xml:space="preserve">Pharmaceutical Benefits Advisory Committee </w:t>
      </w:r>
      <w:r w:rsidR="003B5FC4" w:rsidRPr="00E631B0">
        <w:rPr>
          <w:iCs/>
          <w:szCs w:val="28"/>
        </w:rPr>
        <w:t>(PBAC)</w:t>
      </w:r>
      <w:bookmarkEnd w:id="32"/>
    </w:p>
    <w:p w14:paraId="09099752" w14:textId="4947688A" w:rsidR="0000686B" w:rsidRPr="00E631B0" w:rsidRDefault="0000686B" w:rsidP="000B1039">
      <w:pPr>
        <w:spacing w:line="240" w:lineRule="auto"/>
        <w:jc w:val="left"/>
        <w:rPr>
          <w:rFonts w:asciiTheme="minorHAnsi" w:hAnsiTheme="minorHAnsi"/>
        </w:rPr>
      </w:pPr>
      <w:bookmarkStart w:id="33" w:name="_Toc380492197"/>
      <w:r w:rsidRPr="00E631B0">
        <w:rPr>
          <w:rFonts w:asciiTheme="minorHAnsi" w:hAnsiTheme="minorHAnsi"/>
        </w:rPr>
        <w:t>The PBAC is an independent expert body appointed by the Australian Government. The members of the PBAC are health professionals (medical practitioners and pharmacists), health economists and consumer representatives. The PBAC meets three times a year, usually in March, July and November.</w:t>
      </w:r>
    </w:p>
    <w:p w14:paraId="4FFED62B" w14:textId="77777777" w:rsidR="0000686B" w:rsidRPr="00E631B0" w:rsidRDefault="0000686B" w:rsidP="000B1039">
      <w:pPr>
        <w:spacing w:line="240" w:lineRule="auto"/>
        <w:jc w:val="left"/>
        <w:rPr>
          <w:rFonts w:asciiTheme="minorHAnsi" w:hAnsiTheme="minorHAnsi"/>
        </w:rPr>
      </w:pPr>
      <w:r w:rsidRPr="00E631B0">
        <w:rPr>
          <w:rFonts w:asciiTheme="minorHAnsi" w:hAnsiTheme="minorHAnsi"/>
        </w:rPr>
        <w:t xml:space="preserve">The PBAC has statutory functions under the </w:t>
      </w:r>
      <w:r w:rsidRPr="00E631B0">
        <w:rPr>
          <w:rFonts w:asciiTheme="minorHAnsi" w:hAnsiTheme="minorHAnsi"/>
          <w:i/>
        </w:rPr>
        <w:t>National Health Act</w:t>
      </w:r>
      <w:r w:rsidRPr="00E631B0">
        <w:rPr>
          <w:rFonts w:asciiTheme="minorHAnsi" w:hAnsiTheme="minorHAnsi"/>
        </w:rPr>
        <w:t xml:space="preserve"> </w:t>
      </w:r>
      <w:r w:rsidRPr="00E631B0">
        <w:rPr>
          <w:rFonts w:asciiTheme="minorHAnsi" w:hAnsiTheme="minorHAnsi"/>
          <w:i/>
        </w:rPr>
        <w:t>1953</w:t>
      </w:r>
      <w:r w:rsidRPr="00E631B0">
        <w:rPr>
          <w:rFonts w:asciiTheme="minorHAnsi" w:hAnsiTheme="minorHAnsi"/>
        </w:rPr>
        <w:t>, to make recommendations to the Minister for Health (the Minister) on what medicines are to be listed on the PBS and to advise the Minister on any matters concerning the operation of the PBS.</w:t>
      </w:r>
    </w:p>
    <w:p w14:paraId="7E6AFDFE" w14:textId="77777777" w:rsidR="0000686B" w:rsidRPr="00E631B0" w:rsidRDefault="0000686B" w:rsidP="000B1039">
      <w:pPr>
        <w:spacing w:line="240" w:lineRule="auto"/>
        <w:jc w:val="left"/>
        <w:rPr>
          <w:rFonts w:asciiTheme="minorHAnsi" w:hAnsiTheme="minorHAnsi"/>
        </w:rPr>
      </w:pPr>
      <w:r w:rsidRPr="00E631B0">
        <w:rPr>
          <w:rFonts w:asciiTheme="minorHAnsi" w:hAnsiTheme="minorHAnsi"/>
        </w:rPr>
        <w:t>In making recommendations to list medicines on the PBS, the PBAC appraises the evidence for comparative clinical effectiveness, cost-effectiveness and financial cost of each medicine compared to other medicines and treatments currently available in Australia</w:t>
      </w:r>
      <w:r w:rsidR="00106006" w:rsidRPr="00E631B0">
        <w:rPr>
          <w:rStyle w:val="EndnoteReference"/>
          <w:rFonts w:asciiTheme="minorHAnsi" w:hAnsiTheme="minorHAnsi"/>
        </w:rPr>
        <w:endnoteReference w:id="14"/>
      </w:r>
      <w:r w:rsidR="00106006" w:rsidRPr="00E631B0">
        <w:rPr>
          <w:rFonts w:asciiTheme="minorHAnsi" w:hAnsiTheme="minorHAnsi"/>
        </w:rPr>
        <w:t>.</w:t>
      </w:r>
    </w:p>
    <w:p w14:paraId="699EF953" w14:textId="77777777" w:rsidR="0000686B" w:rsidRPr="00E631B0" w:rsidRDefault="0000686B" w:rsidP="000B1039">
      <w:pPr>
        <w:spacing w:line="240" w:lineRule="auto"/>
        <w:jc w:val="left"/>
        <w:rPr>
          <w:rFonts w:asciiTheme="minorHAnsi" w:hAnsiTheme="minorHAnsi"/>
        </w:rPr>
      </w:pPr>
      <w:r w:rsidRPr="00E631B0">
        <w:rPr>
          <w:rFonts w:asciiTheme="minorHAnsi" w:hAnsiTheme="minorHAnsi"/>
        </w:rPr>
        <w:t>In addition to making a recommendation to list a medicine on the PBS, the PBAC may also review the medicine after it has been listed for safety, comparative clinical effectiveness and cost-effectiveness, its utilisation and financial cost. It is important to monitor clinical and cost-effectiveness of medicines to ensure that the cost to the PBS appropriately reflects the health outcomes expected. The PBAC advises the Minister on the need for, and provides recommendations on, post-market reviews</w:t>
      </w:r>
      <w:r w:rsidR="00106006" w:rsidRPr="00E631B0">
        <w:rPr>
          <w:rStyle w:val="EndnoteReference"/>
          <w:rFonts w:asciiTheme="minorHAnsi" w:hAnsiTheme="minorHAnsi"/>
        </w:rPr>
        <w:endnoteReference w:id="15"/>
      </w:r>
      <w:r w:rsidR="00106006" w:rsidRPr="00E631B0">
        <w:rPr>
          <w:rFonts w:asciiTheme="minorHAnsi" w:hAnsiTheme="minorHAnsi"/>
        </w:rPr>
        <w:t>.</w:t>
      </w:r>
      <w:r w:rsidRPr="00E631B0">
        <w:rPr>
          <w:rFonts w:asciiTheme="minorHAnsi" w:hAnsiTheme="minorHAnsi"/>
        </w:rPr>
        <w:t xml:space="preserve"> </w:t>
      </w:r>
    </w:p>
    <w:p w14:paraId="12CFCF54" w14:textId="6FE6BF54" w:rsidR="0000686B" w:rsidRPr="00E631B0" w:rsidRDefault="0000686B" w:rsidP="000B1039">
      <w:pPr>
        <w:spacing w:line="240" w:lineRule="auto"/>
        <w:jc w:val="left"/>
        <w:rPr>
          <w:rFonts w:asciiTheme="minorHAnsi" w:hAnsiTheme="minorHAnsi"/>
        </w:rPr>
      </w:pPr>
      <w:r w:rsidRPr="00E631B0">
        <w:rPr>
          <w:rFonts w:asciiTheme="minorHAnsi" w:hAnsiTheme="minorHAnsi"/>
        </w:rPr>
        <w:t>The PBAC has two sub-committees to assist with analysis and a</w:t>
      </w:r>
      <w:r w:rsidR="0048646B" w:rsidRPr="00E631B0">
        <w:rPr>
          <w:rFonts w:asciiTheme="minorHAnsi" w:hAnsiTheme="minorHAnsi"/>
        </w:rPr>
        <w:t xml:space="preserve">dvice: the Drug Utilisation Sub </w:t>
      </w:r>
      <w:r w:rsidRPr="00E631B0">
        <w:rPr>
          <w:rFonts w:asciiTheme="minorHAnsi" w:hAnsiTheme="minorHAnsi"/>
        </w:rPr>
        <w:t>Committ</w:t>
      </w:r>
      <w:r w:rsidR="0048646B" w:rsidRPr="00E631B0">
        <w:rPr>
          <w:rFonts w:asciiTheme="minorHAnsi" w:hAnsiTheme="minorHAnsi"/>
        </w:rPr>
        <w:t xml:space="preserve">ee (DUSC) and the Economics Sub </w:t>
      </w:r>
      <w:r w:rsidRPr="00E631B0">
        <w:rPr>
          <w:rFonts w:asciiTheme="minorHAnsi" w:hAnsiTheme="minorHAnsi"/>
        </w:rPr>
        <w:t>Committee (ESC).</w:t>
      </w:r>
    </w:p>
    <w:p w14:paraId="49518BC1" w14:textId="0246E3FE" w:rsidR="0000686B" w:rsidRPr="00E631B0" w:rsidRDefault="0000686B" w:rsidP="000B1039">
      <w:pPr>
        <w:spacing w:line="240" w:lineRule="auto"/>
        <w:jc w:val="left"/>
        <w:rPr>
          <w:rFonts w:asciiTheme="minorHAnsi" w:hAnsiTheme="minorHAnsi"/>
        </w:rPr>
      </w:pPr>
      <w:r w:rsidRPr="00E631B0">
        <w:rPr>
          <w:rFonts w:asciiTheme="minorHAnsi" w:hAnsiTheme="minorHAnsi"/>
        </w:rPr>
        <w:t>The DUSC has a role in t</w:t>
      </w:r>
      <w:r w:rsidR="0048646B" w:rsidRPr="00E631B0">
        <w:rPr>
          <w:rFonts w:asciiTheme="minorHAnsi" w:hAnsiTheme="minorHAnsi"/>
        </w:rPr>
        <w:t>he review of utilisation of PBS-</w:t>
      </w:r>
      <w:r w:rsidRPr="00E631B0">
        <w:rPr>
          <w:rFonts w:asciiTheme="minorHAnsi" w:hAnsiTheme="minorHAnsi"/>
        </w:rPr>
        <w:t xml:space="preserve">listed medicines. The DUSC assesses estimates on projected usage and financial cost for medicines. It also collects and analyses data on actual use in the clinical setting (including in comparison with different countries), and provides this advice to the PBAC. </w:t>
      </w:r>
    </w:p>
    <w:p w14:paraId="586B3478" w14:textId="77777777" w:rsidR="0000686B" w:rsidRPr="00E631B0" w:rsidRDefault="0000686B" w:rsidP="000B1039">
      <w:pPr>
        <w:spacing w:line="240" w:lineRule="auto"/>
        <w:jc w:val="left"/>
        <w:rPr>
          <w:rFonts w:asciiTheme="minorHAnsi" w:hAnsiTheme="minorHAnsi"/>
        </w:rPr>
      </w:pPr>
      <w:r w:rsidRPr="00E631B0">
        <w:rPr>
          <w:rFonts w:asciiTheme="minorHAnsi" w:hAnsiTheme="minorHAnsi"/>
        </w:rPr>
        <w:t>The ESC assesses clinical and economic evaluations of medicines submitted to the PBAC for listing, and advises PBAC on the technical aspects of these evaluations.</w:t>
      </w:r>
    </w:p>
    <w:p w14:paraId="23C8B2C4" w14:textId="77777777" w:rsidR="0000686B" w:rsidRPr="00E631B0" w:rsidRDefault="0000686B" w:rsidP="000B1039">
      <w:pPr>
        <w:spacing w:line="240" w:lineRule="auto"/>
        <w:jc w:val="left"/>
        <w:rPr>
          <w:rFonts w:asciiTheme="minorHAnsi" w:hAnsiTheme="minorHAnsi"/>
        </w:rPr>
      </w:pPr>
      <w:r w:rsidRPr="00E631B0">
        <w:rPr>
          <w:rFonts w:asciiTheme="minorHAnsi" w:hAnsiTheme="minorHAnsi"/>
        </w:rPr>
        <w:lastRenderedPageBreak/>
        <w:t xml:space="preserve">Information relating to the PBS, and the PBAC, DUSC and ESC meeting dates, agendas and outcomes are available on the </w:t>
      </w:r>
      <w:hyperlink r:id="rId17" w:history="1">
        <w:r w:rsidRPr="00E631B0">
          <w:rPr>
            <w:rFonts w:asciiTheme="minorHAnsi" w:hAnsiTheme="minorHAnsi"/>
          </w:rPr>
          <w:t>PBS website</w:t>
        </w:r>
      </w:hyperlink>
      <w:r w:rsidR="00106006" w:rsidRPr="00E631B0">
        <w:rPr>
          <w:rStyle w:val="EndnoteReference"/>
          <w:rFonts w:asciiTheme="minorHAnsi" w:hAnsiTheme="minorHAnsi"/>
        </w:rPr>
        <w:endnoteReference w:id="16"/>
      </w:r>
      <w:r w:rsidR="00106006" w:rsidRPr="00E631B0">
        <w:rPr>
          <w:rFonts w:asciiTheme="minorHAnsi" w:hAnsiTheme="minorHAnsi"/>
        </w:rPr>
        <w:t>.</w:t>
      </w:r>
      <w:r w:rsidRPr="00E631B0">
        <w:rPr>
          <w:rFonts w:asciiTheme="minorHAnsi" w:hAnsiTheme="minorHAnsi"/>
        </w:rPr>
        <w:t xml:space="preserve"> </w:t>
      </w:r>
    </w:p>
    <w:p w14:paraId="657ED481" w14:textId="74A54A7B" w:rsidR="0000686B" w:rsidRPr="00E631B0" w:rsidRDefault="003848A8" w:rsidP="000B1039">
      <w:pPr>
        <w:pStyle w:val="Heading3"/>
        <w:spacing w:after="200" w:line="240" w:lineRule="auto"/>
        <w:jc w:val="left"/>
        <w:rPr>
          <w:b w:val="0"/>
          <w:i w:val="0"/>
          <w:iCs/>
          <w:szCs w:val="28"/>
        </w:rPr>
      </w:pPr>
      <w:bookmarkStart w:id="34" w:name="_Toc500510200"/>
      <w:r w:rsidRPr="00E631B0">
        <w:t>B.</w:t>
      </w:r>
      <w:r w:rsidR="002D6CEA" w:rsidRPr="00E631B0">
        <w:rPr>
          <w:iCs/>
          <w:szCs w:val="28"/>
        </w:rPr>
        <w:t>1</w:t>
      </w:r>
      <w:r w:rsidR="0000686B" w:rsidRPr="00E631B0">
        <w:rPr>
          <w:iCs/>
          <w:szCs w:val="28"/>
        </w:rPr>
        <w:t>.</w:t>
      </w:r>
      <w:r w:rsidR="00473BC1" w:rsidRPr="00E631B0">
        <w:rPr>
          <w:iCs/>
          <w:szCs w:val="28"/>
        </w:rPr>
        <w:t>5</w:t>
      </w:r>
      <w:r w:rsidR="002D6CEA" w:rsidRPr="00E631B0">
        <w:rPr>
          <w:iCs/>
          <w:szCs w:val="28"/>
        </w:rPr>
        <w:tab/>
      </w:r>
      <w:r w:rsidR="0000686B" w:rsidRPr="00E631B0">
        <w:rPr>
          <w:iCs/>
          <w:szCs w:val="28"/>
        </w:rPr>
        <w:t>Post-market monitoring</w:t>
      </w:r>
      <w:bookmarkEnd w:id="33"/>
      <w:bookmarkEnd w:id="34"/>
    </w:p>
    <w:p w14:paraId="4DAB47C2" w14:textId="5796C45B" w:rsidR="0000686B" w:rsidRPr="00E631B0" w:rsidRDefault="0000686B" w:rsidP="000B1039">
      <w:pPr>
        <w:spacing w:line="240" w:lineRule="auto"/>
        <w:jc w:val="left"/>
        <w:rPr>
          <w:rFonts w:asciiTheme="minorHAnsi" w:hAnsiTheme="minorHAnsi"/>
          <w:i/>
        </w:rPr>
      </w:pPr>
      <w:r w:rsidRPr="00E631B0">
        <w:rPr>
          <w:rFonts w:asciiTheme="minorHAnsi" w:hAnsiTheme="minorHAnsi"/>
        </w:rPr>
        <w:t xml:space="preserve">The </w:t>
      </w:r>
      <w:r w:rsidR="005D54A7" w:rsidRPr="00E631B0">
        <w:rPr>
          <w:rFonts w:asciiTheme="minorHAnsi" w:hAnsiTheme="minorHAnsi"/>
        </w:rPr>
        <w:t>PMR</w:t>
      </w:r>
      <w:r w:rsidRPr="00E631B0">
        <w:rPr>
          <w:rFonts w:asciiTheme="minorHAnsi" w:hAnsiTheme="minorHAnsi"/>
        </w:rPr>
        <w:t xml:space="preserve"> program enables a methodological, systematic and transparent approach to reviewing medicines subsidised by the PBS. PMRs were initiated under the 2011</w:t>
      </w:r>
      <w:r w:rsidR="0048646B" w:rsidRPr="00E631B0">
        <w:rPr>
          <w:rFonts w:asciiTheme="minorHAnsi" w:hAnsiTheme="minorHAnsi"/>
        </w:rPr>
        <w:noBreakHyphen/>
      </w:r>
      <w:r w:rsidRPr="00E631B0">
        <w:rPr>
          <w:rFonts w:asciiTheme="minorHAnsi" w:hAnsiTheme="minorHAnsi"/>
        </w:rPr>
        <w:t>12 Budget measure ‘</w:t>
      </w:r>
      <w:r w:rsidRPr="00E631B0">
        <w:rPr>
          <w:rFonts w:asciiTheme="minorHAnsi" w:hAnsiTheme="minorHAnsi"/>
          <w:i/>
        </w:rPr>
        <w:t>Improving sustainability of the PBS through enhanced post-market surveillance’.</w:t>
      </w:r>
    </w:p>
    <w:p w14:paraId="3EECB0B9" w14:textId="77777777" w:rsidR="0000686B" w:rsidRPr="00E631B0" w:rsidRDefault="0000686B" w:rsidP="000B1039">
      <w:pPr>
        <w:spacing w:line="240" w:lineRule="auto"/>
        <w:jc w:val="left"/>
        <w:rPr>
          <w:rFonts w:asciiTheme="minorHAnsi" w:hAnsiTheme="minorHAnsi"/>
        </w:rPr>
      </w:pPr>
      <w:r w:rsidRPr="00E631B0">
        <w:rPr>
          <w:rFonts w:asciiTheme="minorHAnsi" w:hAnsiTheme="minorHAnsi"/>
        </w:rPr>
        <w:t>The PMR program aims to contribute to:</w:t>
      </w:r>
    </w:p>
    <w:p w14:paraId="19447B7B" w14:textId="77777777"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 xml:space="preserve">Improved patient safety through better understanding of adverse events and medicine-related harms, including hospitalisations. </w:t>
      </w:r>
    </w:p>
    <w:p w14:paraId="7341E217" w14:textId="38B8D458"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 xml:space="preserve">A more sustainable </w:t>
      </w:r>
      <w:r w:rsidR="0048646B" w:rsidRPr="00E631B0">
        <w:rPr>
          <w:rFonts w:asciiTheme="minorHAnsi" w:hAnsiTheme="minorHAnsi"/>
        </w:rPr>
        <w:t>PBS</w:t>
      </w:r>
      <w:r w:rsidRPr="00E631B0">
        <w:rPr>
          <w:rFonts w:asciiTheme="minorHAnsi" w:hAnsiTheme="minorHAnsi"/>
        </w:rPr>
        <w:t xml:space="preserve"> through better targeting of medicines, and avoidance of preventable wastage, or inappropriate prescribing.</w:t>
      </w:r>
    </w:p>
    <w:p w14:paraId="418B8657" w14:textId="77777777"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A better knowledge base to understand medicines utilisation, to validate the intended clinical benefit which will inform medicines evaluation processes.</w:t>
      </w:r>
    </w:p>
    <w:p w14:paraId="20AD865B" w14:textId="77777777"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A strengthened approach to medicine pricing management, including through better management of clinical and economic uncertainty.</w:t>
      </w:r>
    </w:p>
    <w:p w14:paraId="3C08273A" w14:textId="77777777" w:rsidR="0000686B" w:rsidRPr="00E631B0" w:rsidRDefault="0000686B" w:rsidP="000B1039">
      <w:pPr>
        <w:numPr>
          <w:ilvl w:val="0"/>
          <w:numId w:val="2"/>
        </w:numPr>
        <w:spacing w:after="120" w:line="240" w:lineRule="auto"/>
        <w:ind w:left="425" w:hanging="425"/>
        <w:jc w:val="left"/>
        <w:rPr>
          <w:rFonts w:asciiTheme="minorHAnsi" w:hAnsiTheme="minorHAnsi"/>
        </w:rPr>
      </w:pPr>
      <w:r w:rsidRPr="00E631B0">
        <w:rPr>
          <w:rFonts w:asciiTheme="minorHAnsi" w:hAnsiTheme="minorHAnsi"/>
        </w:rPr>
        <w:t xml:space="preserve">Overall improvements to the quality use of medicines and education for patients and prescribers. </w:t>
      </w:r>
    </w:p>
    <w:p w14:paraId="1FD5B191" w14:textId="2F082F34" w:rsidR="0000686B" w:rsidRPr="00E631B0" w:rsidRDefault="0000686B" w:rsidP="000B1039">
      <w:pPr>
        <w:spacing w:line="240" w:lineRule="auto"/>
        <w:jc w:val="left"/>
        <w:rPr>
          <w:rFonts w:asciiTheme="minorHAnsi" w:hAnsiTheme="minorHAnsi"/>
          <w:bCs/>
        </w:rPr>
      </w:pPr>
      <w:r w:rsidRPr="00E631B0">
        <w:rPr>
          <w:rFonts w:asciiTheme="minorHAnsi" w:hAnsiTheme="minorHAnsi"/>
          <w:bCs/>
        </w:rPr>
        <w:t>T</w:t>
      </w:r>
      <w:r w:rsidR="00B94AAC" w:rsidRPr="00E631B0">
        <w:rPr>
          <w:rFonts w:asciiTheme="minorHAnsi" w:hAnsiTheme="minorHAnsi"/>
          <w:bCs/>
        </w:rPr>
        <w:t>he Minister may initiate a</w:t>
      </w:r>
      <w:r w:rsidR="0048646B" w:rsidRPr="00E631B0">
        <w:rPr>
          <w:rFonts w:asciiTheme="minorHAnsi" w:hAnsiTheme="minorHAnsi"/>
          <w:bCs/>
        </w:rPr>
        <w:t xml:space="preserve"> PMR</w:t>
      </w:r>
      <w:r w:rsidRPr="00E631B0">
        <w:rPr>
          <w:rFonts w:asciiTheme="minorHAnsi" w:hAnsiTheme="minorHAnsi"/>
          <w:bCs/>
        </w:rPr>
        <w:t xml:space="preserve">, usually as a result of a recommendation from the PBAC, when concerns are raised relating to one or more of the following: the quality use of a medicine; cost-effectiveness; comparative clinical effectiveness; comparative safety; and unexpected patterns of utilisation. The agreed framework, </w:t>
      </w:r>
      <w:r w:rsidRPr="00E631B0">
        <w:rPr>
          <w:rFonts w:asciiTheme="minorHAnsi" w:hAnsiTheme="minorHAnsi"/>
          <w:i/>
        </w:rPr>
        <w:t>PBS Post-market Reviews March 2015</w:t>
      </w:r>
      <w:r w:rsidRPr="00E631B0">
        <w:rPr>
          <w:rFonts w:asciiTheme="minorHAnsi" w:hAnsiTheme="minorHAnsi"/>
          <w:bCs/>
        </w:rPr>
        <w:t xml:space="preserve">, outlines the usual approach to </w:t>
      </w:r>
      <w:r w:rsidR="0048646B" w:rsidRPr="00E631B0">
        <w:rPr>
          <w:rFonts w:asciiTheme="minorHAnsi" w:hAnsiTheme="minorHAnsi"/>
          <w:bCs/>
        </w:rPr>
        <w:t>PMR</w:t>
      </w:r>
      <w:r w:rsidRPr="00E631B0">
        <w:rPr>
          <w:rFonts w:asciiTheme="minorHAnsi" w:hAnsiTheme="minorHAnsi"/>
          <w:bCs/>
        </w:rPr>
        <w:t>s and is available on the PBS website</w:t>
      </w:r>
      <w:r w:rsidR="00106006" w:rsidRPr="00E631B0">
        <w:rPr>
          <w:rStyle w:val="EndnoteReference"/>
          <w:rFonts w:asciiTheme="minorHAnsi" w:hAnsiTheme="minorHAnsi"/>
          <w:bCs/>
        </w:rPr>
        <w:endnoteReference w:id="17"/>
      </w:r>
      <w:r w:rsidR="00106006" w:rsidRPr="00E631B0">
        <w:rPr>
          <w:rFonts w:asciiTheme="minorHAnsi" w:hAnsiTheme="minorHAnsi"/>
          <w:bCs/>
        </w:rPr>
        <w:t>.</w:t>
      </w:r>
    </w:p>
    <w:p w14:paraId="6409C4D1" w14:textId="0A685AE3" w:rsidR="0000686B" w:rsidRPr="005869C5" w:rsidRDefault="003848A8" w:rsidP="000B1039">
      <w:pPr>
        <w:pStyle w:val="Heading2"/>
      </w:pPr>
      <w:bookmarkStart w:id="35" w:name="_Toc500510201"/>
      <w:r w:rsidRPr="005869C5">
        <w:t>B.</w:t>
      </w:r>
      <w:r w:rsidR="0000686B" w:rsidRPr="005869C5">
        <w:t>2</w:t>
      </w:r>
      <w:r w:rsidR="002D6CEA">
        <w:tab/>
      </w:r>
      <w:r w:rsidR="0000686B" w:rsidRPr="005869C5">
        <w:t>Overview of the Review Process</w:t>
      </w:r>
      <w:bookmarkEnd w:id="35"/>
    </w:p>
    <w:p w14:paraId="65D06828" w14:textId="5E37B3C0" w:rsidR="0000686B" w:rsidRPr="005869C5" w:rsidRDefault="0000686B" w:rsidP="000B1039">
      <w:pPr>
        <w:spacing w:line="240" w:lineRule="auto"/>
        <w:jc w:val="left"/>
        <w:rPr>
          <w:rFonts w:asciiTheme="minorHAnsi" w:hAnsiTheme="minorHAnsi"/>
          <w:bCs/>
        </w:rPr>
      </w:pPr>
      <w:r w:rsidRPr="005869C5">
        <w:rPr>
          <w:rFonts w:asciiTheme="minorHAnsi" w:hAnsiTheme="minorHAnsi"/>
          <w:bCs/>
        </w:rPr>
        <w:t>The PMR process is detailed on the</w:t>
      </w:r>
      <w:r w:rsidR="0048646B">
        <w:rPr>
          <w:rFonts w:asciiTheme="minorHAnsi" w:hAnsiTheme="minorHAnsi"/>
          <w:bCs/>
        </w:rPr>
        <w:t xml:space="preserve"> </w:t>
      </w:r>
      <w:hyperlink r:id="rId18" w:history="1">
        <w:r w:rsidR="0048646B" w:rsidRPr="0048646B">
          <w:rPr>
            <w:rStyle w:val="Hyperlink"/>
            <w:rFonts w:asciiTheme="minorHAnsi" w:hAnsiTheme="minorHAnsi"/>
            <w:bCs/>
          </w:rPr>
          <w:t>PMR website</w:t>
        </w:r>
      </w:hyperlink>
      <w:r w:rsidR="0048646B" w:rsidRPr="005127D3">
        <w:t>.</w:t>
      </w:r>
      <w:r w:rsidRPr="005869C5">
        <w:rPr>
          <w:rFonts w:asciiTheme="minorHAnsi" w:hAnsiTheme="minorHAnsi"/>
          <w:bCs/>
        </w:rPr>
        <w:t xml:space="preserve"> </w:t>
      </w:r>
      <w:r w:rsidR="008B74D7" w:rsidRPr="005869C5">
        <w:rPr>
          <w:rFonts w:asciiTheme="minorHAnsi" w:hAnsiTheme="minorHAnsi"/>
          <w:bCs/>
        </w:rPr>
        <w:t xml:space="preserve">The </w:t>
      </w:r>
      <w:r w:rsidR="00D179A9" w:rsidRPr="005869C5">
        <w:rPr>
          <w:rFonts w:asciiTheme="minorHAnsi" w:hAnsiTheme="minorHAnsi"/>
          <w:bCs/>
        </w:rPr>
        <w:t xml:space="preserve">key </w:t>
      </w:r>
      <w:r w:rsidR="00B94AAC" w:rsidRPr="005869C5">
        <w:rPr>
          <w:rFonts w:asciiTheme="minorHAnsi" w:hAnsiTheme="minorHAnsi"/>
          <w:bCs/>
        </w:rPr>
        <w:t xml:space="preserve">dates for the </w:t>
      </w:r>
      <w:r w:rsidR="0048646B">
        <w:rPr>
          <w:rFonts w:asciiTheme="minorHAnsi" w:hAnsiTheme="minorHAnsi"/>
          <w:bCs/>
        </w:rPr>
        <w:t xml:space="preserve">PMR </w:t>
      </w:r>
      <w:r w:rsidR="008B74D7" w:rsidRPr="005869C5">
        <w:rPr>
          <w:rFonts w:asciiTheme="minorHAnsi" w:hAnsiTheme="minorHAnsi"/>
          <w:bCs/>
        </w:rPr>
        <w:t xml:space="preserve">of Ezetimibe are available at </w:t>
      </w:r>
      <w:r w:rsidR="008B74D7" w:rsidRPr="005869C5">
        <w:rPr>
          <w:rStyle w:val="Hyperlink"/>
          <w:rFonts w:asciiTheme="minorHAnsi" w:hAnsiTheme="minorHAnsi"/>
          <w:b/>
          <w:color w:val="auto"/>
          <w:u w:val="none"/>
        </w:rPr>
        <w:t>Appendix C.</w:t>
      </w:r>
    </w:p>
    <w:p w14:paraId="0738A565" w14:textId="19F7A71E" w:rsidR="0000686B" w:rsidRPr="00E631B0" w:rsidRDefault="0000686B" w:rsidP="000B1039">
      <w:pPr>
        <w:spacing w:line="240" w:lineRule="auto"/>
        <w:jc w:val="left"/>
        <w:rPr>
          <w:rFonts w:asciiTheme="minorHAnsi" w:hAnsiTheme="minorHAnsi"/>
          <w:bCs/>
        </w:rPr>
      </w:pPr>
      <w:r w:rsidRPr="00E631B0">
        <w:rPr>
          <w:rFonts w:asciiTheme="minorHAnsi" w:hAnsiTheme="minorHAnsi"/>
          <w:bCs/>
        </w:rPr>
        <w:t xml:space="preserve">In accordance with the </w:t>
      </w:r>
      <w:r w:rsidR="00687FC0" w:rsidRPr="00E631B0">
        <w:rPr>
          <w:rFonts w:asciiTheme="minorHAnsi" w:hAnsiTheme="minorHAnsi"/>
          <w:bCs/>
        </w:rPr>
        <w:t>framework,</w:t>
      </w:r>
      <w:r w:rsidR="00CD38B9" w:rsidRPr="00E631B0">
        <w:rPr>
          <w:rFonts w:asciiTheme="minorHAnsi" w:hAnsiTheme="minorHAnsi"/>
          <w:bCs/>
        </w:rPr>
        <w:t xml:space="preserve"> the Review consisted</w:t>
      </w:r>
      <w:r w:rsidRPr="00E631B0">
        <w:rPr>
          <w:rFonts w:asciiTheme="minorHAnsi" w:hAnsiTheme="minorHAnsi"/>
          <w:bCs/>
        </w:rPr>
        <w:t xml:space="preserve"> of: </w:t>
      </w:r>
    </w:p>
    <w:p w14:paraId="232DC585" w14:textId="50D9B9AB" w:rsidR="0000686B" w:rsidRPr="00E631B0" w:rsidRDefault="0000686B" w:rsidP="000B1039">
      <w:pPr>
        <w:pStyle w:val="ListParagraph"/>
        <w:numPr>
          <w:ilvl w:val="0"/>
          <w:numId w:val="7"/>
        </w:numPr>
        <w:spacing w:after="120" w:line="240" w:lineRule="auto"/>
        <w:ind w:left="425" w:hanging="425"/>
        <w:contextualSpacing w:val="0"/>
        <w:jc w:val="left"/>
        <w:rPr>
          <w:rFonts w:asciiTheme="minorHAnsi" w:hAnsiTheme="minorHAnsi"/>
          <w:bCs/>
        </w:rPr>
      </w:pPr>
      <w:r w:rsidRPr="00E631B0">
        <w:rPr>
          <w:rFonts w:asciiTheme="minorHAnsi" w:hAnsiTheme="minorHAnsi"/>
          <w:bCs/>
        </w:rPr>
        <w:t>establishment of draf</w:t>
      </w:r>
      <w:r w:rsidR="00CD38B9" w:rsidRPr="00E631B0">
        <w:rPr>
          <w:rFonts w:asciiTheme="minorHAnsi" w:hAnsiTheme="minorHAnsi"/>
          <w:bCs/>
        </w:rPr>
        <w:t>t Terms of R</w:t>
      </w:r>
      <w:r w:rsidRPr="00E631B0">
        <w:rPr>
          <w:rFonts w:asciiTheme="minorHAnsi" w:hAnsiTheme="minorHAnsi"/>
          <w:bCs/>
        </w:rPr>
        <w:t>eference</w:t>
      </w:r>
      <w:r w:rsidR="00CD38B9" w:rsidRPr="00E631B0">
        <w:rPr>
          <w:rFonts w:asciiTheme="minorHAnsi" w:hAnsiTheme="minorHAnsi"/>
          <w:bCs/>
        </w:rPr>
        <w:t xml:space="preserve"> (TOR)</w:t>
      </w:r>
      <w:r w:rsidRPr="00E631B0">
        <w:rPr>
          <w:rFonts w:asciiTheme="minorHAnsi" w:hAnsiTheme="minorHAnsi"/>
          <w:bCs/>
        </w:rPr>
        <w:t xml:space="preserve"> by the PBAC and direction to commence the review by the Minister</w:t>
      </w:r>
    </w:p>
    <w:p w14:paraId="2DFF5124" w14:textId="4BB4A5F8" w:rsidR="0000686B" w:rsidRPr="00E631B0" w:rsidRDefault="0000686B" w:rsidP="000B1039">
      <w:pPr>
        <w:pStyle w:val="ListParagraph"/>
        <w:numPr>
          <w:ilvl w:val="0"/>
          <w:numId w:val="7"/>
        </w:numPr>
        <w:spacing w:after="120" w:line="240" w:lineRule="auto"/>
        <w:ind w:left="425" w:hanging="425"/>
        <w:contextualSpacing w:val="0"/>
        <w:jc w:val="left"/>
        <w:rPr>
          <w:rFonts w:asciiTheme="minorHAnsi" w:hAnsiTheme="minorHAnsi"/>
          <w:bCs/>
        </w:rPr>
      </w:pPr>
      <w:r w:rsidRPr="00E631B0">
        <w:rPr>
          <w:rFonts w:asciiTheme="minorHAnsi" w:hAnsiTheme="minorHAnsi"/>
          <w:bCs/>
        </w:rPr>
        <w:t>stakeho</w:t>
      </w:r>
      <w:r w:rsidR="00CD38B9" w:rsidRPr="00E631B0">
        <w:rPr>
          <w:rFonts w:asciiTheme="minorHAnsi" w:hAnsiTheme="minorHAnsi"/>
          <w:bCs/>
        </w:rPr>
        <w:t>lder consultation on the draft TOR</w:t>
      </w:r>
    </w:p>
    <w:p w14:paraId="36D8930B" w14:textId="5265E724" w:rsidR="0000686B" w:rsidRPr="00E631B0" w:rsidRDefault="0000686B" w:rsidP="000B1039">
      <w:pPr>
        <w:pStyle w:val="ListParagraph"/>
        <w:numPr>
          <w:ilvl w:val="0"/>
          <w:numId w:val="7"/>
        </w:numPr>
        <w:spacing w:after="120" w:line="240" w:lineRule="auto"/>
        <w:ind w:left="425" w:hanging="425"/>
        <w:contextualSpacing w:val="0"/>
        <w:jc w:val="left"/>
        <w:rPr>
          <w:rFonts w:asciiTheme="minorHAnsi" w:hAnsiTheme="minorHAnsi"/>
          <w:bCs/>
        </w:rPr>
      </w:pPr>
      <w:r w:rsidRPr="00E631B0">
        <w:rPr>
          <w:rFonts w:asciiTheme="minorHAnsi" w:hAnsiTheme="minorHAnsi"/>
          <w:bCs/>
        </w:rPr>
        <w:t xml:space="preserve">review of stakeholder comments on the draft </w:t>
      </w:r>
      <w:r w:rsidR="00CD38B9" w:rsidRPr="00E631B0">
        <w:rPr>
          <w:rFonts w:asciiTheme="minorHAnsi" w:hAnsiTheme="minorHAnsi"/>
          <w:bCs/>
        </w:rPr>
        <w:t xml:space="preserve">TOR </w:t>
      </w:r>
      <w:r w:rsidRPr="00E631B0">
        <w:rPr>
          <w:rFonts w:asciiTheme="minorHAnsi" w:hAnsiTheme="minorHAnsi"/>
          <w:bCs/>
        </w:rPr>
        <w:t xml:space="preserve">by the PBAC and ratification of the final </w:t>
      </w:r>
      <w:r w:rsidR="00CD38B9" w:rsidRPr="00E631B0">
        <w:rPr>
          <w:rFonts w:asciiTheme="minorHAnsi" w:hAnsiTheme="minorHAnsi"/>
          <w:bCs/>
        </w:rPr>
        <w:t>TOR</w:t>
      </w:r>
    </w:p>
    <w:p w14:paraId="2D8DD2FB" w14:textId="6F9A0B1F" w:rsidR="0000686B" w:rsidRPr="00E631B0" w:rsidRDefault="00CD38B9" w:rsidP="000B1039">
      <w:pPr>
        <w:pStyle w:val="ListParagraph"/>
        <w:numPr>
          <w:ilvl w:val="0"/>
          <w:numId w:val="7"/>
        </w:numPr>
        <w:spacing w:after="120" w:line="240" w:lineRule="auto"/>
        <w:ind w:left="425" w:hanging="425"/>
        <w:contextualSpacing w:val="0"/>
        <w:jc w:val="left"/>
        <w:rPr>
          <w:rFonts w:asciiTheme="minorHAnsi" w:hAnsiTheme="minorHAnsi"/>
          <w:bCs/>
        </w:rPr>
      </w:pPr>
      <w:r w:rsidRPr="00E631B0">
        <w:rPr>
          <w:rFonts w:asciiTheme="minorHAnsi" w:hAnsiTheme="minorHAnsi"/>
          <w:bCs/>
        </w:rPr>
        <w:t>establishment of a Reference Group to guide the R</w:t>
      </w:r>
      <w:r w:rsidR="0000686B" w:rsidRPr="00E631B0">
        <w:rPr>
          <w:rFonts w:asciiTheme="minorHAnsi" w:hAnsiTheme="minorHAnsi"/>
          <w:bCs/>
        </w:rPr>
        <w:t>eview</w:t>
      </w:r>
    </w:p>
    <w:p w14:paraId="34E3B3B0" w14:textId="77777777" w:rsidR="0000686B" w:rsidRPr="00E631B0" w:rsidRDefault="0000686B" w:rsidP="000B1039">
      <w:pPr>
        <w:pStyle w:val="ListParagraph"/>
        <w:numPr>
          <w:ilvl w:val="0"/>
          <w:numId w:val="7"/>
        </w:numPr>
        <w:spacing w:after="120" w:line="240" w:lineRule="auto"/>
        <w:ind w:left="425" w:hanging="425"/>
        <w:contextualSpacing w:val="0"/>
        <w:jc w:val="left"/>
        <w:rPr>
          <w:rFonts w:asciiTheme="minorHAnsi" w:hAnsiTheme="minorHAnsi"/>
          <w:bCs/>
        </w:rPr>
      </w:pPr>
      <w:r w:rsidRPr="00E631B0">
        <w:rPr>
          <w:rFonts w:asciiTheme="minorHAnsi" w:hAnsiTheme="minorHAnsi"/>
          <w:bCs/>
        </w:rPr>
        <w:t xml:space="preserve">engagement of independent external evaluators </w:t>
      </w:r>
    </w:p>
    <w:p w14:paraId="1E712BE0" w14:textId="03A9A3DE" w:rsidR="0000686B" w:rsidRPr="00E631B0" w:rsidRDefault="0000686B" w:rsidP="000B1039">
      <w:pPr>
        <w:pStyle w:val="ListParagraph"/>
        <w:numPr>
          <w:ilvl w:val="0"/>
          <w:numId w:val="7"/>
        </w:numPr>
        <w:spacing w:after="120" w:line="240" w:lineRule="auto"/>
        <w:ind w:left="425" w:hanging="425"/>
        <w:contextualSpacing w:val="0"/>
        <w:jc w:val="left"/>
        <w:rPr>
          <w:rFonts w:asciiTheme="minorHAnsi" w:hAnsiTheme="minorHAnsi"/>
          <w:bCs/>
        </w:rPr>
      </w:pPr>
      <w:r w:rsidRPr="00E631B0">
        <w:rPr>
          <w:rFonts w:asciiTheme="minorHAnsi" w:hAnsiTheme="minorHAnsi"/>
          <w:bCs/>
        </w:rPr>
        <w:t xml:space="preserve">undertaking a stakeholder forum to inform and engage with a wide range of stakeholders </w:t>
      </w:r>
      <w:r w:rsidR="00CD38B9" w:rsidRPr="00E631B0">
        <w:rPr>
          <w:rFonts w:asciiTheme="minorHAnsi" w:hAnsiTheme="minorHAnsi"/>
          <w:bCs/>
        </w:rPr>
        <w:t xml:space="preserve">as </w:t>
      </w:r>
      <w:r w:rsidRPr="00E631B0">
        <w:rPr>
          <w:rFonts w:asciiTheme="minorHAnsi" w:hAnsiTheme="minorHAnsi"/>
          <w:bCs/>
        </w:rPr>
        <w:t xml:space="preserve">recommended by the Reference Group </w:t>
      </w:r>
    </w:p>
    <w:p w14:paraId="76ACE80B" w14:textId="1E003C04" w:rsidR="0000686B" w:rsidRPr="00E631B0" w:rsidRDefault="0000686B" w:rsidP="000B1039">
      <w:pPr>
        <w:pStyle w:val="ListParagraph"/>
        <w:numPr>
          <w:ilvl w:val="0"/>
          <w:numId w:val="7"/>
        </w:numPr>
        <w:spacing w:after="120" w:line="240" w:lineRule="auto"/>
        <w:ind w:left="425" w:hanging="425"/>
        <w:contextualSpacing w:val="0"/>
        <w:jc w:val="left"/>
        <w:rPr>
          <w:rFonts w:asciiTheme="minorHAnsi" w:hAnsiTheme="minorHAnsi" w:cs="Arial"/>
          <w:b/>
          <w:iCs/>
          <w:szCs w:val="24"/>
        </w:rPr>
      </w:pPr>
      <w:r w:rsidRPr="00E631B0">
        <w:rPr>
          <w:rFonts w:asciiTheme="minorHAnsi" w:hAnsiTheme="minorHAnsi"/>
          <w:bCs/>
        </w:rPr>
        <w:lastRenderedPageBreak/>
        <w:t>preparation and publication of a report including all evidence prepared by evaluators and oth</w:t>
      </w:r>
      <w:r w:rsidR="00CD38B9" w:rsidRPr="00E631B0">
        <w:rPr>
          <w:rFonts w:asciiTheme="minorHAnsi" w:hAnsiTheme="minorHAnsi"/>
          <w:bCs/>
        </w:rPr>
        <w:t>er materials considered by the Reference G</w:t>
      </w:r>
      <w:r w:rsidRPr="00E631B0">
        <w:rPr>
          <w:rFonts w:asciiTheme="minorHAnsi" w:hAnsiTheme="minorHAnsi"/>
          <w:bCs/>
        </w:rPr>
        <w:t>roup</w:t>
      </w:r>
      <w:r w:rsidRPr="00E631B0">
        <w:rPr>
          <w:rFonts w:asciiTheme="minorHAnsi" w:hAnsiTheme="minorHAnsi" w:cs="Arial"/>
          <w:b/>
          <w:iCs/>
          <w:szCs w:val="24"/>
        </w:rPr>
        <w:t xml:space="preserve"> </w:t>
      </w:r>
    </w:p>
    <w:p w14:paraId="624EECA0" w14:textId="77777777" w:rsidR="0000686B" w:rsidRPr="00E631B0" w:rsidRDefault="0000686B" w:rsidP="000B1039">
      <w:pPr>
        <w:pStyle w:val="ListParagraph"/>
        <w:numPr>
          <w:ilvl w:val="0"/>
          <w:numId w:val="7"/>
        </w:numPr>
        <w:spacing w:after="120" w:line="240" w:lineRule="auto"/>
        <w:ind w:left="425" w:hanging="425"/>
        <w:contextualSpacing w:val="0"/>
        <w:jc w:val="left"/>
        <w:rPr>
          <w:rFonts w:asciiTheme="minorHAnsi" w:hAnsiTheme="minorHAnsi"/>
          <w:bCs/>
        </w:rPr>
      </w:pPr>
      <w:r w:rsidRPr="00E631B0">
        <w:rPr>
          <w:rFonts w:asciiTheme="minorHAnsi" w:hAnsiTheme="minorHAnsi"/>
          <w:bCs/>
        </w:rPr>
        <w:t>opportunity for all stakeholders to provide additional comments</w:t>
      </w:r>
    </w:p>
    <w:p w14:paraId="08D88EEB" w14:textId="77777777" w:rsidR="0000686B" w:rsidRPr="00E631B0" w:rsidRDefault="0000686B" w:rsidP="000B1039">
      <w:pPr>
        <w:pStyle w:val="ListParagraph"/>
        <w:numPr>
          <w:ilvl w:val="0"/>
          <w:numId w:val="7"/>
        </w:numPr>
        <w:spacing w:after="120" w:line="240" w:lineRule="auto"/>
        <w:ind w:left="425" w:hanging="425"/>
        <w:contextualSpacing w:val="0"/>
        <w:jc w:val="left"/>
        <w:rPr>
          <w:rFonts w:asciiTheme="minorHAnsi" w:hAnsiTheme="minorHAnsi"/>
          <w:bCs/>
        </w:rPr>
      </w:pPr>
      <w:r w:rsidRPr="00E631B0">
        <w:rPr>
          <w:rFonts w:asciiTheme="minorHAnsi" w:hAnsiTheme="minorHAnsi"/>
          <w:bCs/>
        </w:rPr>
        <w:t>finalisation of the report.</w:t>
      </w:r>
    </w:p>
    <w:p w14:paraId="76EF8A36" w14:textId="7CCC3143" w:rsidR="008B74D7" w:rsidRPr="005869C5" w:rsidRDefault="00CD38B9" w:rsidP="000B1039">
      <w:pPr>
        <w:spacing w:line="240" w:lineRule="auto"/>
        <w:jc w:val="left"/>
        <w:rPr>
          <w:rStyle w:val="Hyperlink"/>
          <w:color w:val="auto"/>
        </w:rPr>
      </w:pPr>
      <w:r w:rsidRPr="00E631B0">
        <w:rPr>
          <w:rFonts w:asciiTheme="minorHAnsi" w:hAnsiTheme="minorHAnsi"/>
          <w:bCs/>
        </w:rPr>
        <w:t>The final Review report wa</w:t>
      </w:r>
      <w:r w:rsidR="0000686B" w:rsidRPr="00E631B0">
        <w:rPr>
          <w:rFonts w:asciiTheme="minorHAnsi" w:hAnsiTheme="minorHAnsi"/>
          <w:bCs/>
        </w:rPr>
        <w:t>s provided to t</w:t>
      </w:r>
      <w:r w:rsidRPr="00E631B0">
        <w:rPr>
          <w:rFonts w:asciiTheme="minorHAnsi" w:hAnsiTheme="minorHAnsi"/>
          <w:bCs/>
        </w:rPr>
        <w:t xml:space="preserve">he PBAC. The PBAC considered the report and formed recommendations for the Minister. </w:t>
      </w:r>
      <w:r w:rsidR="0000686B" w:rsidRPr="00E631B0">
        <w:rPr>
          <w:rFonts w:asciiTheme="minorHAnsi" w:hAnsiTheme="minorHAnsi"/>
          <w:bCs/>
        </w:rPr>
        <w:t>Following consideration by t</w:t>
      </w:r>
      <w:r w:rsidRPr="00E631B0">
        <w:rPr>
          <w:rFonts w:asciiTheme="minorHAnsi" w:hAnsiTheme="minorHAnsi"/>
          <w:bCs/>
        </w:rPr>
        <w:t xml:space="preserve">he Minister, the final report </w:t>
      </w:r>
      <w:r w:rsidR="00D20B5C" w:rsidRPr="00E631B0">
        <w:rPr>
          <w:rFonts w:asciiTheme="minorHAnsi" w:hAnsiTheme="minorHAnsi"/>
          <w:bCs/>
        </w:rPr>
        <w:t>was</w:t>
      </w:r>
      <w:r w:rsidR="0000686B" w:rsidRPr="00E631B0">
        <w:rPr>
          <w:rFonts w:asciiTheme="minorHAnsi" w:hAnsiTheme="minorHAnsi"/>
          <w:bCs/>
        </w:rPr>
        <w:t xml:space="preserve"> published on the </w:t>
      </w:r>
      <w:hyperlink r:id="rId19" w:history="1">
        <w:r w:rsidRPr="00CD38B9">
          <w:rPr>
            <w:rStyle w:val="Hyperlink"/>
            <w:rFonts w:asciiTheme="minorHAnsi" w:hAnsiTheme="minorHAnsi"/>
            <w:bCs/>
          </w:rPr>
          <w:t xml:space="preserve">Ezetimibe </w:t>
        </w:r>
        <w:r w:rsidR="0000686B" w:rsidRPr="00CD38B9">
          <w:rPr>
            <w:rStyle w:val="Hyperlink"/>
            <w:rFonts w:asciiTheme="minorHAnsi" w:hAnsiTheme="minorHAnsi"/>
            <w:bCs/>
          </w:rPr>
          <w:t>Review website</w:t>
        </w:r>
      </w:hyperlink>
      <w:r w:rsidR="0000686B" w:rsidRPr="005869C5">
        <w:rPr>
          <w:rFonts w:asciiTheme="minorHAnsi" w:hAnsiTheme="minorHAnsi"/>
          <w:bCs/>
        </w:rPr>
        <w:t xml:space="preserve">. </w:t>
      </w:r>
    </w:p>
    <w:p w14:paraId="5E962656" w14:textId="64BFE4F3" w:rsidR="0000686B" w:rsidRPr="00E631B0" w:rsidRDefault="003848A8" w:rsidP="000B1039">
      <w:pPr>
        <w:pStyle w:val="Heading3"/>
        <w:jc w:val="left"/>
      </w:pPr>
      <w:bookmarkStart w:id="36" w:name="_Toc500510202"/>
      <w:r w:rsidRPr="00E631B0">
        <w:t>B.</w:t>
      </w:r>
      <w:r w:rsidR="002D6CEA" w:rsidRPr="00E631B0">
        <w:t>2.1</w:t>
      </w:r>
      <w:r w:rsidR="002D6CEA" w:rsidRPr="00E631B0">
        <w:tab/>
      </w:r>
      <w:r w:rsidR="0000686B" w:rsidRPr="00E631B0">
        <w:t>Review Reference Group</w:t>
      </w:r>
      <w:bookmarkEnd w:id="36"/>
    </w:p>
    <w:p w14:paraId="4149A0A9" w14:textId="75C347DE" w:rsidR="008B74D7" w:rsidRPr="00E631B0" w:rsidRDefault="0000686B" w:rsidP="000B1039">
      <w:pPr>
        <w:spacing w:line="240" w:lineRule="auto"/>
        <w:jc w:val="left"/>
        <w:rPr>
          <w:rFonts w:asciiTheme="minorHAnsi" w:hAnsiTheme="minorHAnsi"/>
          <w:szCs w:val="24"/>
        </w:rPr>
      </w:pPr>
      <w:r w:rsidRPr="00E631B0">
        <w:rPr>
          <w:rFonts w:asciiTheme="minorHAnsi" w:hAnsiTheme="minorHAnsi"/>
          <w:szCs w:val="24"/>
        </w:rPr>
        <w:t xml:space="preserve">A Reference Group </w:t>
      </w:r>
      <w:r w:rsidR="00CD38B9" w:rsidRPr="00E631B0">
        <w:rPr>
          <w:rFonts w:asciiTheme="minorHAnsi" w:hAnsiTheme="minorHAnsi"/>
          <w:szCs w:val="24"/>
        </w:rPr>
        <w:t>wa</w:t>
      </w:r>
      <w:r w:rsidR="009C07F7" w:rsidRPr="00E631B0">
        <w:rPr>
          <w:rFonts w:asciiTheme="minorHAnsi" w:hAnsiTheme="minorHAnsi"/>
          <w:szCs w:val="24"/>
        </w:rPr>
        <w:t xml:space="preserve">s formed </w:t>
      </w:r>
      <w:r w:rsidRPr="00E631B0">
        <w:rPr>
          <w:rFonts w:asciiTheme="minorHAnsi" w:hAnsiTheme="minorHAnsi"/>
          <w:szCs w:val="24"/>
        </w:rPr>
        <w:t>to assist in the review of the evidence a</w:t>
      </w:r>
      <w:r w:rsidR="00CD38B9" w:rsidRPr="00E631B0">
        <w:rPr>
          <w:rFonts w:asciiTheme="minorHAnsi" w:hAnsiTheme="minorHAnsi"/>
          <w:szCs w:val="24"/>
        </w:rPr>
        <w:t>nd information for each of the R</w:t>
      </w:r>
      <w:r w:rsidRPr="00E631B0">
        <w:rPr>
          <w:rFonts w:asciiTheme="minorHAnsi" w:hAnsiTheme="minorHAnsi"/>
          <w:szCs w:val="24"/>
        </w:rPr>
        <w:t>eview’s</w:t>
      </w:r>
      <w:r w:rsidR="00CD38B9" w:rsidRPr="00E631B0">
        <w:rPr>
          <w:rFonts w:asciiTheme="minorHAnsi" w:hAnsiTheme="minorHAnsi"/>
          <w:szCs w:val="24"/>
        </w:rPr>
        <w:t xml:space="preserve"> TOR</w:t>
      </w:r>
      <w:r w:rsidRPr="00E631B0">
        <w:rPr>
          <w:rFonts w:asciiTheme="minorHAnsi" w:hAnsiTheme="minorHAnsi"/>
          <w:szCs w:val="24"/>
        </w:rPr>
        <w:t>, and to ensure that th</w:t>
      </w:r>
      <w:r w:rsidR="00CD38B9" w:rsidRPr="00E631B0">
        <w:rPr>
          <w:rFonts w:asciiTheme="minorHAnsi" w:hAnsiTheme="minorHAnsi"/>
          <w:szCs w:val="24"/>
        </w:rPr>
        <w:t>e perspectives of stakeholders we</w:t>
      </w:r>
      <w:r w:rsidRPr="00E631B0">
        <w:rPr>
          <w:rFonts w:asciiTheme="minorHAnsi" w:hAnsiTheme="minorHAnsi"/>
          <w:szCs w:val="24"/>
        </w:rPr>
        <w:t xml:space="preserve">re considered in </w:t>
      </w:r>
      <w:r w:rsidR="00CD38B9" w:rsidRPr="00E631B0">
        <w:rPr>
          <w:rFonts w:asciiTheme="minorHAnsi" w:hAnsiTheme="minorHAnsi"/>
          <w:szCs w:val="24"/>
        </w:rPr>
        <w:t xml:space="preserve">the </w:t>
      </w:r>
      <w:r w:rsidRPr="00E631B0">
        <w:rPr>
          <w:rFonts w:asciiTheme="minorHAnsi" w:hAnsiTheme="minorHAnsi"/>
          <w:szCs w:val="24"/>
        </w:rPr>
        <w:t>preparation of the final report to th</w:t>
      </w:r>
      <w:r w:rsidR="00CD38B9" w:rsidRPr="00E631B0">
        <w:rPr>
          <w:rFonts w:asciiTheme="minorHAnsi" w:hAnsiTheme="minorHAnsi"/>
          <w:szCs w:val="24"/>
        </w:rPr>
        <w:t xml:space="preserve">e PBAC. The Reference Group </w:t>
      </w:r>
      <w:r w:rsidRPr="00E631B0">
        <w:rPr>
          <w:rFonts w:asciiTheme="minorHAnsi" w:hAnsiTheme="minorHAnsi"/>
          <w:szCs w:val="24"/>
        </w:rPr>
        <w:t>provide</w:t>
      </w:r>
      <w:r w:rsidR="00CD38B9" w:rsidRPr="00E631B0">
        <w:rPr>
          <w:rFonts w:asciiTheme="minorHAnsi" w:hAnsiTheme="minorHAnsi"/>
          <w:szCs w:val="24"/>
        </w:rPr>
        <w:t>d</w:t>
      </w:r>
      <w:r w:rsidRPr="00E631B0">
        <w:rPr>
          <w:rFonts w:asciiTheme="minorHAnsi" w:hAnsiTheme="minorHAnsi"/>
          <w:szCs w:val="24"/>
        </w:rPr>
        <w:t xml:space="preserve"> the PBAC with options</w:t>
      </w:r>
      <w:r w:rsidR="00CD38B9" w:rsidRPr="00E631B0">
        <w:rPr>
          <w:rFonts w:asciiTheme="minorHAnsi" w:hAnsiTheme="minorHAnsi"/>
          <w:szCs w:val="24"/>
        </w:rPr>
        <w:t xml:space="preserve"> and advice</w:t>
      </w:r>
      <w:r w:rsidRPr="00E631B0">
        <w:rPr>
          <w:rFonts w:asciiTheme="minorHAnsi" w:hAnsiTheme="minorHAnsi"/>
          <w:szCs w:val="24"/>
        </w:rPr>
        <w:t xml:space="preserve"> to address key findings. </w:t>
      </w:r>
      <w:r w:rsidR="00CD38B9" w:rsidRPr="00E631B0">
        <w:rPr>
          <w:rFonts w:asciiTheme="minorHAnsi" w:hAnsiTheme="minorHAnsi"/>
          <w:szCs w:val="24"/>
        </w:rPr>
        <w:t>Members of the Reference Group we</w:t>
      </w:r>
      <w:r w:rsidRPr="00E631B0">
        <w:rPr>
          <w:rFonts w:asciiTheme="minorHAnsi" w:hAnsiTheme="minorHAnsi"/>
          <w:szCs w:val="24"/>
        </w:rPr>
        <w:t>re appointed as either individuals or organisational represen</w:t>
      </w:r>
      <w:r w:rsidR="00CD38B9" w:rsidRPr="00E631B0">
        <w:rPr>
          <w:rFonts w:asciiTheme="minorHAnsi" w:hAnsiTheme="minorHAnsi"/>
          <w:szCs w:val="24"/>
        </w:rPr>
        <w:t>tatives. Representation included</w:t>
      </w:r>
      <w:r w:rsidRPr="00E631B0">
        <w:rPr>
          <w:rFonts w:asciiTheme="minorHAnsi" w:hAnsiTheme="minorHAnsi"/>
          <w:szCs w:val="24"/>
        </w:rPr>
        <w:t xml:space="preserve"> clinical experts, health economists</w:t>
      </w:r>
      <w:r w:rsidR="00CD38B9" w:rsidRPr="00E631B0">
        <w:rPr>
          <w:rFonts w:asciiTheme="minorHAnsi" w:hAnsiTheme="minorHAnsi"/>
          <w:szCs w:val="24"/>
        </w:rPr>
        <w:t>,</w:t>
      </w:r>
      <w:r w:rsidRPr="00E631B0">
        <w:rPr>
          <w:rFonts w:asciiTheme="minorHAnsi" w:hAnsiTheme="minorHAnsi"/>
          <w:szCs w:val="24"/>
        </w:rPr>
        <w:t xml:space="preserve"> and representatives of relevant health professional and consumer organisations.</w:t>
      </w:r>
      <w:r w:rsidR="00CD38B9" w:rsidRPr="00E631B0">
        <w:rPr>
          <w:rFonts w:asciiTheme="minorHAnsi" w:hAnsiTheme="minorHAnsi"/>
          <w:szCs w:val="24"/>
        </w:rPr>
        <w:t xml:space="preserve"> The Reference G</w:t>
      </w:r>
      <w:r w:rsidR="009C07F7" w:rsidRPr="00E631B0">
        <w:rPr>
          <w:rFonts w:asciiTheme="minorHAnsi" w:hAnsiTheme="minorHAnsi"/>
          <w:szCs w:val="24"/>
        </w:rPr>
        <w:t>roup for the Ezet</w:t>
      </w:r>
      <w:r w:rsidR="00CD38B9" w:rsidRPr="00E631B0">
        <w:rPr>
          <w:rFonts w:asciiTheme="minorHAnsi" w:hAnsiTheme="minorHAnsi"/>
          <w:szCs w:val="24"/>
        </w:rPr>
        <w:t>imibe Review was appointed on 8 </w:t>
      </w:r>
      <w:r w:rsidR="009C07F7" w:rsidRPr="00E631B0">
        <w:rPr>
          <w:rFonts w:asciiTheme="minorHAnsi" w:hAnsiTheme="minorHAnsi"/>
          <w:szCs w:val="24"/>
        </w:rPr>
        <w:t>April 2016.</w:t>
      </w:r>
      <w:r w:rsidR="008B74D7" w:rsidRPr="00E631B0">
        <w:rPr>
          <w:rFonts w:asciiTheme="minorHAnsi" w:hAnsiTheme="minorHAnsi"/>
        </w:rPr>
        <w:t xml:space="preserve"> A full list of Reference Group members </w:t>
      </w:r>
      <w:r w:rsidR="00CD38B9" w:rsidRPr="00E631B0">
        <w:rPr>
          <w:rFonts w:asciiTheme="minorHAnsi" w:hAnsiTheme="minorHAnsi"/>
        </w:rPr>
        <w:t xml:space="preserve">is </w:t>
      </w:r>
      <w:r w:rsidR="008B74D7" w:rsidRPr="00E631B0">
        <w:rPr>
          <w:rFonts w:asciiTheme="minorHAnsi" w:hAnsiTheme="minorHAnsi"/>
        </w:rPr>
        <w:t xml:space="preserve">at </w:t>
      </w:r>
      <w:r w:rsidR="008B74D7" w:rsidRPr="00E631B0">
        <w:rPr>
          <w:rFonts w:asciiTheme="minorHAnsi" w:hAnsiTheme="minorHAnsi"/>
          <w:b/>
        </w:rPr>
        <w:t>Appendix D</w:t>
      </w:r>
      <w:r w:rsidR="008B74D7" w:rsidRPr="00E631B0">
        <w:rPr>
          <w:rFonts w:asciiTheme="minorHAnsi" w:hAnsiTheme="minorHAnsi"/>
        </w:rPr>
        <w:t xml:space="preserve">. </w:t>
      </w:r>
    </w:p>
    <w:p w14:paraId="40A5510E" w14:textId="5FA906EF" w:rsidR="0000686B" w:rsidRPr="00E631B0" w:rsidRDefault="003848A8" w:rsidP="000B1039">
      <w:pPr>
        <w:pStyle w:val="Heading3"/>
        <w:jc w:val="left"/>
      </w:pPr>
      <w:bookmarkStart w:id="37" w:name="_Toc500510203"/>
      <w:r w:rsidRPr="00E631B0">
        <w:t>B.</w:t>
      </w:r>
      <w:r w:rsidR="002D6CEA" w:rsidRPr="00E631B0">
        <w:t>2.2</w:t>
      </w:r>
      <w:r w:rsidR="002D6CEA" w:rsidRPr="00E631B0">
        <w:tab/>
      </w:r>
      <w:r w:rsidR="0000686B" w:rsidRPr="00E631B0">
        <w:t>Report Sources</w:t>
      </w:r>
      <w:bookmarkEnd w:id="37"/>
    </w:p>
    <w:p w14:paraId="212361E0" w14:textId="1530B80D" w:rsidR="0000686B" w:rsidRPr="00E631B0" w:rsidRDefault="00CD38B9" w:rsidP="000B1039">
      <w:pPr>
        <w:spacing w:line="240" w:lineRule="auto"/>
        <w:jc w:val="left"/>
        <w:rPr>
          <w:rFonts w:asciiTheme="minorHAnsi" w:hAnsiTheme="minorHAnsi"/>
          <w:bCs/>
          <w:szCs w:val="24"/>
        </w:rPr>
      </w:pPr>
      <w:r w:rsidRPr="00E631B0">
        <w:rPr>
          <w:rFonts w:asciiTheme="minorHAnsi" w:hAnsiTheme="minorHAnsi"/>
          <w:bCs/>
          <w:szCs w:val="24"/>
        </w:rPr>
        <w:t>The Review report wa</w:t>
      </w:r>
      <w:r w:rsidR="0000686B" w:rsidRPr="00E631B0">
        <w:rPr>
          <w:rFonts w:asciiTheme="minorHAnsi" w:hAnsiTheme="minorHAnsi"/>
          <w:bCs/>
          <w:szCs w:val="24"/>
        </w:rPr>
        <w:t xml:space="preserve">s compiled from a wide range of sources including scientific literature, data analysis and stakeholder input. </w:t>
      </w:r>
    </w:p>
    <w:p w14:paraId="656E9568" w14:textId="666F00C4" w:rsidR="0000686B" w:rsidRPr="00E631B0" w:rsidRDefault="0000686B" w:rsidP="000B1039">
      <w:pPr>
        <w:spacing w:line="240" w:lineRule="auto"/>
        <w:jc w:val="left"/>
        <w:rPr>
          <w:rFonts w:asciiTheme="minorHAnsi" w:hAnsiTheme="minorHAnsi"/>
          <w:bCs/>
          <w:szCs w:val="24"/>
        </w:rPr>
      </w:pPr>
      <w:r w:rsidRPr="00E631B0">
        <w:rPr>
          <w:rFonts w:asciiTheme="minorHAnsi" w:hAnsiTheme="minorHAnsi"/>
          <w:bCs/>
          <w:szCs w:val="24"/>
        </w:rPr>
        <w:t>All material prepared by the external evaluation group and the Reference Group has no redacted information and is publicly acc</w:t>
      </w:r>
      <w:r w:rsidR="00CD38B9" w:rsidRPr="00E631B0">
        <w:rPr>
          <w:rFonts w:asciiTheme="minorHAnsi" w:hAnsiTheme="minorHAnsi"/>
          <w:bCs/>
          <w:szCs w:val="24"/>
        </w:rPr>
        <w:t xml:space="preserve">essible. </w:t>
      </w:r>
      <w:r w:rsidR="00425FDA" w:rsidRPr="00E631B0">
        <w:rPr>
          <w:rFonts w:asciiTheme="minorHAnsi" w:hAnsiTheme="minorHAnsi"/>
          <w:bCs/>
          <w:szCs w:val="24"/>
        </w:rPr>
        <w:t>However, some s</w:t>
      </w:r>
      <w:r w:rsidRPr="00E631B0">
        <w:rPr>
          <w:rFonts w:asciiTheme="minorHAnsi" w:hAnsiTheme="minorHAnsi"/>
          <w:bCs/>
          <w:szCs w:val="24"/>
        </w:rPr>
        <w:t>takeholder</w:t>
      </w:r>
      <w:r w:rsidR="00CD38B9" w:rsidRPr="00E631B0">
        <w:rPr>
          <w:rFonts w:asciiTheme="minorHAnsi" w:hAnsiTheme="minorHAnsi"/>
          <w:bCs/>
          <w:szCs w:val="24"/>
        </w:rPr>
        <w:t>s</w:t>
      </w:r>
      <w:r w:rsidRPr="00E631B0">
        <w:rPr>
          <w:rFonts w:asciiTheme="minorHAnsi" w:hAnsiTheme="minorHAnsi"/>
          <w:bCs/>
          <w:szCs w:val="24"/>
        </w:rPr>
        <w:t xml:space="preserve"> may </w:t>
      </w:r>
      <w:r w:rsidR="00425FDA" w:rsidRPr="00E631B0">
        <w:rPr>
          <w:rFonts w:asciiTheme="minorHAnsi" w:hAnsiTheme="minorHAnsi"/>
          <w:bCs/>
          <w:szCs w:val="24"/>
        </w:rPr>
        <w:t xml:space="preserve">have </w:t>
      </w:r>
      <w:r w:rsidRPr="00E631B0">
        <w:rPr>
          <w:rFonts w:asciiTheme="minorHAnsi" w:hAnsiTheme="minorHAnsi"/>
          <w:bCs/>
          <w:szCs w:val="24"/>
        </w:rPr>
        <w:t>request</w:t>
      </w:r>
      <w:r w:rsidR="00425FDA" w:rsidRPr="00E631B0">
        <w:rPr>
          <w:rFonts w:asciiTheme="minorHAnsi" w:hAnsiTheme="minorHAnsi"/>
          <w:bCs/>
          <w:szCs w:val="24"/>
        </w:rPr>
        <w:t>ed</w:t>
      </w:r>
      <w:r w:rsidRPr="00E631B0">
        <w:rPr>
          <w:rFonts w:asciiTheme="minorHAnsi" w:hAnsiTheme="minorHAnsi"/>
          <w:bCs/>
          <w:szCs w:val="24"/>
        </w:rPr>
        <w:t xml:space="preserve"> that their submission to the Review</w:t>
      </w:r>
      <w:r w:rsidR="00CD38B9" w:rsidRPr="00E631B0">
        <w:rPr>
          <w:rFonts w:asciiTheme="minorHAnsi" w:hAnsiTheme="minorHAnsi"/>
          <w:bCs/>
          <w:szCs w:val="24"/>
        </w:rPr>
        <w:t xml:space="preserve">, or details of the </w:t>
      </w:r>
      <w:r w:rsidR="00425FDA" w:rsidRPr="00E631B0">
        <w:rPr>
          <w:rFonts w:asciiTheme="minorHAnsi" w:hAnsiTheme="minorHAnsi"/>
          <w:bCs/>
          <w:szCs w:val="24"/>
        </w:rPr>
        <w:t>person or organisations making the</w:t>
      </w:r>
      <w:r w:rsidR="00CD38B9" w:rsidRPr="00E631B0">
        <w:rPr>
          <w:rFonts w:asciiTheme="minorHAnsi" w:hAnsiTheme="minorHAnsi"/>
          <w:bCs/>
          <w:szCs w:val="24"/>
        </w:rPr>
        <w:t xml:space="preserve"> submission</w:t>
      </w:r>
      <w:r w:rsidR="00425FDA" w:rsidRPr="00E631B0">
        <w:rPr>
          <w:rFonts w:asciiTheme="minorHAnsi" w:hAnsiTheme="minorHAnsi"/>
          <w:bCs/>
          <w:szCs w:val="24"/>
        </w:rPr>
        <w:t>, remain confidential</w:t>
      </w:r>
      <w:r w:rsidRPr="00E631B0">
        <w:rPr>
          <w:rFonts w:asciiTheme="minorHAnsi" w:hAnsiTheme="minorHAnsi"/>
          <w:bCs/>
          <w:szCs w:val="24"/>
        </w:rPr>
        <w:t>.</w:t>
      </w:r>
    </w:p>
    <w:p w14:paraId="5E66981D" w14:textId="2039346A" w:rsidR="0000686B" w:rsidRPr="005869C5" w:rsidRDefault="003848A8" w:rsidP="00920324">
      <w:pPr>
        <w:pStyle w:val="Heading2"/>
      </w:pPr>
      <w:bookmarkStart w:id="38" w:name="_Toc380492198"/>
      <w:bookmarkStart w:id="39" w:name="_Toc388453106"/>
      <w:bookmarkStart w:id="40" w:name="_Toc500510204"/>
      <w:r w:rsidRPr="005869C5">
        <w:t>B.</w:t>
      </w:r>
      <w:r w:rsidR="0000686B" w:rsidRPr="005869C5">
        <w:t>3</w:t>
      </w:r>
      <w:r w:rsidR="00EC7CB7">
        <w:t xml:space="preserve"> </w:t>
      </w:r>
      <w:r w:rsidR="000D3D03">
        <w:t>About the Ezetimibe Post-m</w:t>
      </w:r>
      <w:r w:rsidR="0000686B" w:rsidRPr="005869C5">
        <w:t>arket Review</w:t>
      </w:r>
      <w:bookmarkEnd w:id="38"/>
      <w:bookmarkEnd w:id="39"/>
      <w:bookmarkEnd w:id="40"/>
    </w:p>
    <w:p w14:paraId="20E66881" w14:textId="77777777" w:rsidR="0000686B" w:rsidRPr="00E631B0" w:rsidRDefault="0000686B" w:rsidP="00514129">
      <w:pPr>
        <w:spacing w:line="240" w:lineRule="auto"/>
        <w:rPr>
          <w:rFonts w:asciiTheme="minorHAnsi" w:hAnsiTheme="minorHAnsi"/>
          <w:bCs/>
          <w:szCs w:val="24"/>
        </w:rPr>
      </w:pPr>
      <w:r w:rsidRPr="00E631B0">
        <w:rPr>
          <w:rFonts w:asciiTheme="minorHAnsi" w:hAnsiTheme="minorHAnsi"/>
          <w:bCs/>
          <w:szCs w:val="24"/>
        </w:rPr>
        <w:t>The PBAC first recommended listing ezetimibe (Ezetrol®) on the PBS in June 2003</w:t>
      </w:r>
      <w:r w:rsidR="00425FDA" w:rsidRPr="00E631B0">
        <w:rPr>
          <w:rFonts w:asciiTheme="minorHAnsi" w:hAnsiTheme="minorHAnsi"/>
          <w:bCs/>
          <w:szCs w:val="24"/>
        </w:rPr>
        <w:t>,</w:t>
      </w:r>
      <w:r w:rsidRPr="00E631B0">
        <w:rPr>
          <w:rFonts w:asciiTheme="minorHAnsi" w:hAnsiTheme="minorHAnsi"/>
          <w:bCs/>
          <w:szCs w:val="24"/>
        </w:rPr>
        <w:t xml:space="preserve"> based on a comparison of data on lipid </w:t>
      </w:r>
      <w:r w:rsidR="004B1768" w:rsidRPr="00E631B0">
        <w:rPr>
          <w:rFonts w:asciiTheme="minorHAnsi" w:eastAsia="Times New Roman" w:hAnsiTheme="minorHAnsi" w:cs="Arial"/>
          <w:szCs w:val="24"/>
          <w:lang w:eastAsia="en-AU"/>
        </w:rPr>
        <w:t>concentrations</w:t>
      </w:r>
      <w:r w:rsidR="004B1768" w:rsidRPr="00E631B0">
        <w:rPr>
          <w:rFonts w:asciiTheme="minorHAnsi" w:hAnsiTheme="minorHAnsi"/>
          <w:bCs/>
          <w:szCs w:val="24"/>
        </w:rPr>
        <w:t xml:space="preserve"> </w:t>
      </w:r>
      <w:r w:rsidRPr="00E631B0">
        <w:rPr>
          <w:rFonts w:asciiTheme="minorHAnsi" w:hAnsiTheme="minorHAnsi"/>
          <w:bCs/>
          <w:szCs w:val="24"/>
        </w:rPr>
        <w:t xml:space="preserve">which was available at the time. Longer term studies to assess whether reduction of lipid </w:t>
      </w:r>
      <w:r w:rsidR="004B1768" w:rsidRPr="00E631B0">
        <w:rPr>
          <w:rFonts w:asciiTheme="minorHAnsi" w:eastAsia="Times New Roman" w:hAnsiTheme="minorHAnsi" w:cs="Arial"/>
          <w:szCs w:val="24"/>
          <w:lang w:eastAsia="en-AU"/>
        </w:rPr>
        <w:t>concentrations</w:t>
      </w:r>
      <w:r w:rsidR="004B1768" w:rsidRPr="00E631B0">
        <w:rPr>
          <w:rFonts w:asciiTheme="minorHAnsi" w:hAnsiTheme="minorHAnsi"/>
          <w:bCs/>
          <w:szCs w:val="24"/>
        </w:rPr>
        <w:t xml:space="preserve"> </w:t>
      </w:r>
      <w:r w:rsidRPr="00E631B0">
        <w:rPr>
          <w:rFonts w:asciiTheme="minorHAnsi" w:hAnsiTheme="minorHAnsi"/>
          <w:bCs/>
          <w:szCs w:val="24"/>
        </w:rPr>
        <w:t>by ezetimibe actually resulted in fewer cardiovascular events were not available.</w:t>
      </w:r>
      <w:r w:rsidRPr="00E631B0">
        <w:rPr>
          <w:rFonts w:asciiTheme="minorHAnsi" w:hAnsiTheme="minorHAnsi"/>
          <w:szCs w:val="24"/>
        </w:rPr>
        <w:t xml:space="preserve"> </w:t>
      </w:r>
      <w:r w:rsidRPr="00E631B0">
        <w:rPr>
          <w:rFonts w:asciiTheme="minorHAnsi" w:hAnsiTheme="minorHAnsi"/>
          <w:bCs/>
          <w:szCs w:val="24"/>
        </w:rPr>
        <w:t xml:space="preserve">A summary of the PBS listing history of ezetimibe and its combination products is at </w:t>
      </w:r>
      <w:r w:rsidRPr="00E631B0">
        <w:rPr>
          <w:rStyle w:val="Hyperlink"/>
          <w:rFonts w:asciiTheme="minorHAnsi" w:hAnsiTheme="minorHAnsi"/>
          <w:b/>
          <w:color w:val="auto"/>
          <w:szCs w:val="24"/>
          <w:u w:val="none"/>
        </w:rPr>
        <w:t>Appendix A</w:t>
      </w:r>
      <w:r w:rsidRPr="00E631B0">
        <w:rPr>
          <w:rFonts w:asciiTheme="minorHAnsi" w:hAnsiTheme="minorHAnsi"/>
          <w:bCs/>
          <w:szCs w:val="24"/>
        </w:rPr>
        <w:t xml:space="preserve">.  </w:t>
      </w:r>
    </w:p>
    <w:p w14:paraId="4243D9C8" w14:textId="58A460D9" w:rsidR="0000686B" w:rsidRPr="00E631B0" w:rsidRDefault="0000686B" w:rsidP="00514129">
      <w:pPr>
        <w:spacing w:line="240" w:lineRule="auto"/>
        <w:rPr>
          <w:rFonts w:asciiTheme="minorHAnsi" w:hAnsiTheme="minorHAnsi"/>
          <w:bCs/>
          <w:szCs w:val="24"/>
        </w:rPr>
      </w:pPr>
      <w:r w:rsidRPr="00E631B0">
        <w:rPr>
          <w:rFonts w:asciiTheme="minorHAnsi" w:hAnsiTheme="minorHAnsi"/>
          <w:bCs/>
          <w:szCs w:val="24"/>
        </w:rPr>
        <w:t xml:space="preserve">Ezetimibe is one of a group of medicines called lipid modifying agents. The most commonly used lipid modifying agents are </w:t>
      </w:r>
      <w:r w:rsidR="00425FDA" w:rsidRPr="00E631B0">
        <w:rPr>
          <w:rFonts w:asciiTheme="minorHAnsi" w:hAnsiTheme="minorHAnsi"/>
          <w:bCs/>
          <w:szCs w:val="24"/>
        </w:rPr>
        <w:t>HMG-CoA</w:t>
      </w:r>
      <w:r w:rsidRPr="00E631B0">
        <w:rPr>
          <w:rFonts w:asciiTheme="minorHAnsi" w:hAnsiTheme="minorHAnsi"/>
          <w:bCs/>
          <w:szCs w:val="24"/>
        </w:rPr>
        <w:t xml:space="preserve"> </w:t>
      </w:r>
      <w:r w:rsidRPr="00E631B0">
        <w:rPr>
          <w:rFonts w:asciiTheme="minorHAnsi" w:hAnsiTheme="minorHAnsi"/>
          <w:szCs w:val="24"/>
        </w:rPr>
        <w:t>reductase</w:t>
      </w:r>
      <w:r w:rsidRPr="00E631B0">
        <w:rPr>
          <w:rFonts w:asciiTheme="minorHAnsi" w:hAnsiTheme="minorHAnsi"/>
          <w:bCs/>
          <w:szCs w:val="24"/>
        </w:rPr>
        <w:t xml:space="preserve"> inhibitors, or statins.</w:t>
      </w:r>
    </w:p>
    <w:p w14:paraId="40069AFC" w14:textId="77777777" w:rsidR="0000686B" w:rsidRPr="00E631B0" w:rsidRDefault="0000686B" w:rsidP="00514129">
      <w:pPr>
        <w:spacing w:line="240" w:lineRule="auto"/>
        <w:rPr>
          <w:rFonts w:asciiTheme="minorHAnsi" w:hAnsiTheme="minorHAnsi"/>
          <w:szCs w:val="24"/>
        </w:rPr>
      </w:pPr>
      <w:r w:rsidRPr="00E631B0">
        <w:rPr>
          <w:rFonts w:asciiTheme="minorHAnsi" w:hAnsiTheme="minorHAnsi"/>
          <w:szCs w:val="24"/>
        </w:rPr>
        <w:t>Ezetimibe inhibits the absorption of dietary and biliary cholesterol and related plant sterols from the small intestine. This reduces delivery of cholesterol to the liver, decreasing cholesterol stores in the liver and increasing hepatic uptake of cholesterol from the blood</w:t>
      </w:r>
      <w:r w:rsidR="00106006" w:rsidRPr="00E631B0">
        <w:rPr>
          <w:rStyle w:val="EndnoteReference"/>
          <w:rFonts w:asciiTheme="minorHAnsi" w:hAnsiTheme="minorHAnsi"/>
          <w:szCs w:val="24"/>
        </w:rPr>
        <w:endnoteReference w:id="18"/>
      </w:r>
      <w:r w:rsidR="00106006" w:rsidRPr="00E631B0">
        <w:rPr>
          <w:rFonts w:asciiTheme="minorHAnsi" w:hAnsiTheme="minorHAnsi"/>
          <w:szCs w:val="24"/>
        </w:rPr>
        <w:t>.</w:t>
      </w:r>
      <w:r w:rsidR="0048730F" w:rsidRPr="00E631B0">
        <w:rPr>
          <w:rFonts w:asciiTheme="minorHAnsi" w:hAnsiTheme="minorHAnsi"/>
          <w:szCs w:val="24"/>
        </w:rPr>
        <w:t xml:space="preserve"> </w:t>
      </w:r>
      <w:r w:rsidRPr="00E631B0">
        <w:rPr>
          <w:rFonts w:asciiTheme="minorHAnsi" w:hAnsiTheme="minorHAnsi"/>
          <w:szCs w:val="24"/>
        </w:rPr>
        <w:t xml:space="preserve">In contrast, HMG-CoA reductase inhibitors, or statins, act by inhibiting cholesterol synthesis in the liver. </w:t>
      </w:r>
    </w:p>
    <w:p w14:paraId="58747A68" w14:textId="4CDB0342" w:rsidR="0000686B" w:rsidRPr="00E631B0" w:rsidRDefault="0000686B" w:rsidP="00514129">
      <w:pPr>
        <w:spacing w:line="240" w:lineRule="auto"/>
        <w:rPr>
          <w:rFonts w:asciiTheme="minorHAnsi" w:hAnsiTheme="minorHAnsi"/>
          <w:bCs/>
          <w:szCs w:val="24"/>
        </w:rPr>
      </w:pPr>
      <w:r w:rsidRPr="00E631B0">
        <w:rPr>
          <w:rFonts w:asciiTheme="minorHAnsi" w:hAnsiTheme="minorHAnsi"/>
          <w:bCs/>
          <w:szCs w:val="24"/>
        </w:rPr>
        <w:lastRenderedPageBreak/>
        <w:t xml:space="preserve">Lipid lowering agents (statins, ezetimibe, fenofibrate and gemfibrozil) are listed on the PBS for use in patients who meet the criteria set out in the General Statement for Lipid-Lowering Drugs (GSLLD). This statement is based on an </w:t>
      </w:r>
      <w:r w:rsidR="00425FDA" w:rsidRPr="00E631B0">
        <w:rPr>
          <w:rFonts w:asciiTheme="minorHAnsi" w:hAnsiTheme="minorHAnsi"/>
          <w:bCs/>
          <w:szCs w:val="24"/>
        </w:rPr>
        <w:t>approach to the absolute cardio</w:t>
      </w:r>
      <w:r w:rsidRPr="00E631B0">
        <w:rPr>
          <w:rFonts w:asciiTheme="minorHAnsi" w:hAnsiTheme="minorHAnsi"/>
          <w:bCs/>
          <w:szCs w:val="24"/>
        </w:rPr>
        <w:t>vascular risk to patients, taking into account the presence of certa</w:t>
      </w:r>
      <w:r w:rsidR="00425FDA" w:rsidRPr="00E631B0">
        <w:rPr>
          <w:rFonts w:asciiTheme="minorHAnsi" w:hAnsiTheme="minorHAnsi"/>
          <w:bCs/>
          <w:szCs w:val="24"/>
        </w:rPr>
        <w:t>in co-morbidities and total and</w:t>
      </w:r>
      <w:r w:rsidRPr="00E631B0">
        <w:rPr>
          <w:rFonts w:asciiTheme="minorHAnsi" w:hAnsiTheme="minorHAnsi"/>
          <w:bCs/>
          <w:szCs w:val="24"/>
        </w:rPr>
        <w:t xml:space="preserve">/or HDL cholesterol or triglyceride values. </w:t>
      </w:r>
    </w:p>
    <w:p w14:paraId="0788BEDA" w14:textId="77777777" w:rsidR="0000686B" w:rsidRPr="00E631B0" w:rsidRDefault="0000686B" w:rsidP="00514129">
      <w:pPr>
        <w:spacing w:line="240" w:lineRule="auto"/>
        <w:rPr>
          <w:rFonts w:asciiTheme="minorHAnsi" w:hAnsiTheme="minorHAnsi"/>
          <w:bCs/>
          <w:szCs w:val="24"/>
        </w:rPr>
      </w:pPr>
      <w:r w:rsidRPr="00E631B0">
        <w:rPr>
          <w:rFonts w:asciiTheme="minorHAnsi" w:hAnsiTheme="minorHAnsi"/>
          <w:bCs/>
          <w:szCs w:val="24"/>
        </w:rPr>
        <w:t xml:space="preserve">Ezetimibe is listed on the PBS for the treatment of high cholesterol in certain patient populations. The goal of treatment is a reduction in the risk of cardiovascular events such as heart attacks and stroke. However, additional restrictions apply to the PBS prescribing of ezetimibe including: a) a requirement that unless patients are contraindicated or intolerant of statins, ezetimibe must be co-administered with a statin; and b) patients must have cholesterol </w:t>
      </w:r>
      <w:r w:rsidR="004B1768" w:rsidRPr="00E631B0">
        <w:rPr>
          <w:rFonts w:asciiTheme="minorHAnsi" w:eastAsia="Times New Roman" w:hAnsiTheme="minorHAnsi" w:cs="Arial"/>
          <w:szCs w:val="24"/>
          <w:lang w:eastAsia="en-AU"/>
        </w:rPr>
        <w:t>concentrations</w:t>
      </w:r>
      <w:r w:rsidRPr="00E631B0">
        <w:rPr>
          <w:rFonts w:asciiTheme="minorHAnsi" w:hAnsiTheme="minorHAnsi"/>
          <w:bCs/>
          <w:szCs w:val="24"/>
        </w:rPr>
        <w:t xml:space="preserve"> that are inadequately controlled with a statin and suffer from a defined comorbid condition (coronary heart disease, diabetes mellitus, peripheral vascular disease, heterozygous familial hypercholesterolaemia, symptomatic cerebrovascular disease, family history of coronary heart disease, </w:t>
      </w:r>
      <w:r w:rsidR="000F1CF3" w:rsidRPr="00E631B0">
        <w:rPr>
          <w:rFonts w:asciiTheme="minorHAnsi" w:hAnsiTheme="minorHAnsi"/>
          <w:bCs/>
          <w:szCs w:val="24"/>
        </w:rPr>
        <w:t xml:space="preserve">or </w:t>
      </w:r>
      <w:r w:rsidRPr="00E631B0">
        <w:rPr>
          <w:rFonts w:asciiTheme="minorHAnsi" w:hAnsiTheme="minorHAnsi"/>
          <w:bCs/>
          <w:szCs w:val="24"/>
        </w:rPr>
        <w:t>hypertension).</w:t>
      </w:r>
    </w:p>
    <w:p w14:paraId="240E6738" w14:textId="77777777" w:rsidR="0000686B" w:rsidRPr="00E631B0" w:rsidRDefault="0000686B" w:rsidP="00514129">
      <w:pPr>
        <w:spacing w:line="240" w:lineRule="auto"/>
        <w:rPr>
          <w:rFonts w:asciiTheme="minorHAnsi" w:hAnsiTheme="minorHAnsi"/>
          <w:bCs/>
          <w:szCs w:val="24"/>
        </w:rPr>
      </w:pPr>
      <w:r w:rsidRPr="00E631B0">
        <w:rPr>
          <w:rFonts w:asciiTheme="minorHAnsi" w:hAnsiTheme="minorHAnsi"/>
          <w:bCs/>
          <w:szCs w:val="24"/>
        </w:rPr>
        <w:t xml:space="preserve">The abbreviated restriction criteria used to determine patient eligibility for subsidy is in Table 1, while the full restrictions are at </w:t>
      </w:r>
      <w:r w:rsidRPr="00E631B0">
        <w:rPr>
          <w:rFonts w:asciiTheme="minorHAnsi" w:hAnsiTheme="minorHAnsi"/>
          <w:b/>
          <w:bCs/>
          <w:szCs w:val="24"/>
        </w:rPr>
        <w:t>Appendix B</w:t>
      </w:r>
      <w:r w:rsidRPr="00E631B0">
        <w:rPr>
          <w:rFonts w:asciiTheme="minorHAnsi" w:hAnsiTheme="minorHAnsi"/>
          <w:bCs/>
          <w:szCs w:val="24"/>
        </w:rPr>
        <w:t xml:space="preserve">.  </w:t>
      </w:r>
    </w:p>
    <w:p w14:paraId="579AA7C2" w14:textId="77777777" w:rsidR="008B6729" w:rsidRPr="00AE1E65" w:rsidRDefault="008B6729" w:rsidP="00BE2E12">
      <w:pPr>
        <w:pStyle w:val="TableName"/>
      </w:pPr>
      <w:r w:rsidRPr="00AE1E65">
        <w:t>Table 1: PBS prescribing restrictions for ezetimibe (abbreviated)</w:t>
      </w:r>
    </w:p>
    <w:tbl>
      <w:tblPr>
        <w:tblW w:w="9781" w:type="dxa"/>
        <w:tblInd w:w="-318" w:type="dxa"/>
        <w:tblLook w:val="04A0" w:firstRow="1" w:lastRow="0" w:firstColumn="1" w:lastColumn="0" w:noHBand="0" w:noVBand="1"/>
        <w:tblCaption w:val="PBS prescribing restrictions for ezetimibe (abbreviated)"/>
      </w:tblPr>
      <w:tblGrid>
        <w:gridCol w:w="2694"/>
        <w:gridCol w:w="7087"/>
      </w:tblGrid>
      <w:tr w:rsidR="008B6729" w:rsidRPr="005869C5" w14:paraId="47724DAA" w14:textId="77777777" w:rsidTr="000D3D03">
        <w:trPr>
          <w:tblHeader/>
        </w:trPr>
        <w:tc>
          <w:tcPr>
            <w:tcW w:w="2694" w:type="dxa"/>
            <w:shd w:val="clear" w:color="auto" w:fill="EAF1DD" w:themeFill="accent3" w:themeFillTint="33"/>
          </w:tcPr>
          <w:p w14:paraId="6322A434" w14:textId="77777777" w:rsidR="008B6729" w:rsidRPr="005869C5" w:rsidRDefault="008B6729" w:rsidP="00221FBE">
            <w:pPr>
              <w:spacing w:before="60" w:after="60"/>
              <w:rPr>
                <w:rFonts w:asciiTheme="minorHAnsi" w:hAnsiTheme="minorHAnsi"/>
                <w:b/>
                <w:szCs w:val="24"/>
              </w:rPr>
            </w:pPr>
            <w:r w:rsidRPr="005869C5">
              <w:rPr>
                <w:rFonts w:asciiTheme="minorHAnsi" w:hAnsiTheme="minorHAnsi"/>
                <w:b/>
                <w:szCs w:val="24"/>
              </w:rPr>
              <w:t>Medicine</w:t>
            </w:r>
          </w:p>
        </w:tc>
        <w:tc>
          <w:tcPr>
            <w:tcW w:w="7087" w:type="dxa"/>
            <w:shd w:val="clear" w:color="auto" w:fill="EAF1DD" w:themeFill="accent3" w:themeFillTint="33"/>
          </w:tcPr>
          <w:p w14:paraId="430239DB" w14:textId="77777777" w:rsidR="008B6729" w:rsidRPr="005869C5" w:rsidRDefault="008B6729" w:rsidP="00221FBE">
            <w:pPr>
              <w:spacing w:before="60" w:after="60"/>
              <w:rPr>
                <w:rFonts w:asciiTheme="minorHAnsi" w:hAnsiTheme="minorHAnsi"/>
                <w:b/>
                <w:szCs w:val="24"/>
              </w:rPr>
            </w:pPr>
            <w:r w:rsidRPr="005869C5">
              <w:rPr>
                <w:rFonts w:asciiTheme="minorHAnsi" w:hAnsiTheme="minorHAnsi"/>
                <w:b/>
                <w:szCs w:val="24"/>
              </w:rPr>
              <w:t>PBS Restrictions</w:t>
            </w:r>
          </w:p>
        </w:tc>
      </w:tr>
      <w:tr w:rsidR="008B6729" w:rsidRPr="00375000" w14:paraId="7117EE08" w14:textId="77777777" w:rsidTr="000D3D03">
        <w:tc>
          <w:tcPr>
            <w:tcW w:w="2694" w:type="dxa"/>
            <w:vMerge w:val="restart"/>
            <w:shd w:val="clear" w:color="auto" w:fill="auto"/>
          </w:tcPr>
          <w:p w14:paraId="071A5B10" w14:textId="77777777" w:rsidR="000F1CF3" w:rsidRPr="000F1CF3" w:rsidRDefault="000F1CF3" w:rsidP="000F1CF3">
            <w:pPr>
              <w:spacing w:before="60" w:after="60"/>
              <w:rPr>
                <w:rFonts w:asciiTheme="minorHAnsi" w:hAnsiTheme="minorHAnsi"/>
                <w:b/>
                <w:color w:val="000000"/>
                <w:szCs w:val="24"/>
              </w:rPr>
            </w:pPr>
            <w:r w:rsidRPr="000F1CF3">
              <w:rPr>
                <w:rFonts w:asciiTheme="minorHAnsi" w:hAnsiTheme="minorHAnsi"/>
                <w:b/>
                <w:color w:val="000000"/>
                <w:szCs w:val="24"/>
              </w:rPr>
              <w:t>Monotherapy</w:t>
            </w:r>
          </w:p>
          <w:p w14:paraId="1924224C" w14:textId="77777777" w:rsidR="008B6729" w:rsidRPr="005869C5" w:rsidRDefault="008B6729" w:rsidP="008600B5">
            <w:pPr>
              <w:pStyle w:val="ListParagraph"/>
              <w:numPr>
                <w:ilvl w:val="0"/>
                <w:numId w:val="17"/>
              </w:numPr>
              <w:spacing w:before="60" w:after="60"/>
              <w:ind w:left="317" w:hanging="283"/>
              <w:rPr>
                <w:rFonts w:asciiTheme="minorHAnsi" w:hAnsiTheme="minorHAnsi"/>
                <w:b/>
                <w:i/>
                <w:color w:val="000000"/>
                <w:szCs w:val="24"/>
                <w:u w:val="single"/>
              </w:rPr>
            </w:pPr>
            <w:r w:rsidRPr="005869C5">
              <w:rPr>
                <w:rFonts w:asciiTheme="minorHAnsi" w:hAnsiTheme="minorHAnsi"/>
                <w:szCs w:val="24"/>
              </w:rPr>
              <w:t>Ezetimibe</w:t>
            </w:r>
          </w:p>
        </w:tc>
        <w:tc>
          <w:tcPr>
            <w:tcW w:w="7087" w:type="dxa"/>
            <w:shd w:val="clear" w:color="auto" w:fill="auto"/>
          </w:tcPr>
          <w:p w14:paraId="1A447AE7" w14:textId="77777777" w:rsidR="000F1CF3" w:rsidRDefault="000F1CF3" w:rsidP="000F1CF3">
            <w:pPr>
              <w:pStyle w:val="BodyText"/>
              <w:tabs>
                <w:tab w:val="left" w:pos="461"/>
              </w:tabs>
              <w:spacing w:after="0"/>
              <w:ind w:right="593"/>
              <w:rPr>
                <w:rFonts w:asciiTheme="minorHAnsi" w:hAnsiTheme="minorHAnsi"/>
                <w:color w:val="212121"/>
                <w:spacing w:val="-1"/>
                <w:szCs w:val="24"/>
              </w:rPr>
            </w:pPr>
            <w:r w:rsidRPr="005869C5">
              <w:rPr>
                <w:rFonts w:asciiTheme="minorHAnsi" w:hAnsiTheme="minorHAnsi"/>
                <w:b/>
                <w:szCs w:val="24"/>
              </w:rPr>
              <w:t>Authority Required (STREAMLINED)</w:t>
            </w:r>
          </w:p>
          <w:p w14:paraId="502BB9B9" w14:textId="77777777" w:rsidR="008B6729" w:rsidRPr="005869C5" w:rsidRDefault="008B6729" w:rsidP="00BE2E12">
            <w:pPr>
              <w:pStyle w:val="BodyText"/>
              <w:tabs>
                <w:tab w:val="left" w:pos="461"/>
              </w:tabs>
              <w:spacing w:after="0"/>
              <w:ind w:right="593"/>
              <w:rPr>
                <w:rFonts w:asciiTheme="minorHAnsi" w:hAnsiTheme="minorHAnsi"/>
                <w:spacing w:val="-1"/>
                <w:szCs w:val="24"/>
              </w:rPr>
            </w:pPr>
            <w:r w:rsidRPr="005869C5">
              <w:rPr>
                <w:rFonts w:asciiTheme="minorHAnsi" w:hAnsiTheme="minorHAnsi"/>
                <w:color w:val="212121"/>
                <w:spacing w:val="-1"/>
                <w:szCs w:val="24"/>
              </w:rPr>
              <w:t>Patient</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must</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meet</w:t>
            </w:r>
            <w:r w:rsidRPr="005869C5">
              <w:rPr>
                <w:rFonts w:asciiTheme="minorHAnsi" w:hAnsiTheme="minorHAnsi"/>
                <w:color w:val="212121"/>
                <w:spacing w:val="-2"/>
                <w:szCs w:val="24"/>
              </w:rPr>
              <w:t xml:space="preserve"> </w:t>
            </w:r>
            <w:r w:rsidRPr="005869C5">
              <w:rPr>
                <w:rFonts w:asciiTheme="minorHAnsi" w:hAnsiTheme="minorHAnsi"/>
                <w:color w:val="212121"/>
                <w:szCs w:val="24"/>
              </w:rPr>
              <w:t>the</w:t>
            </w:r>
            <w:r w:rsidRPr="005869C5">
              <w:rPr>
                <w:rFonts w:asciiTheme="minorHAnsi" w:hAnsiTheme="minorHAnsi"/>
                <w:color w:val="212121"/>
                <w:spacing w:val="-2"/>
                <w:szCs w:val="24"/>
              </w:rPr>
              <w:t xml:space="preserve"> </w:t>
            </w:r>
            <w:r w:rsidRPr="005869C5">
              <w:rPr>
                <w:rFonts w:asciiTheme="minorHAnsi" w:hAnsiTheme="minorHAnsi"/>
                <w:color w:val="212121"/>
                <w:spacing w:val="-1"/>
                <w:szCs w:val="24"/>
              </w:rPr>
              <w:t>criteria</w:t>
            </w:r>
            <w:r w:rsidRPr="005869C5">
              <w:rPr>
                <w:rFonts w:asciiTheme="minorHAnsi" w:hAnsiTheme="minorHAnsi"/>
                <w:color w:val="212121"/>
                <w:szCs w:val="24"/>
              </w:rPr>
              <w:t xml:space="preserve"> </w:t>
            </w:r>
            <w:r w:rsidRPr="005869C5">
              <w:rPr>
                <w:rFonts w:asciiTheme="minorHAnsi" w:hAnsiTheme="minorHAnsi"/>
                <w:color w:val="212121"/>
                <w:spacing w:val="-1"/>
                <w:szCs w:val="24"/>
              </w:rPr>
              <w:t>set</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out</w:t>
            </w:r>
            <w:r w:rsidRPr="005869C5">
              <w:rPr>
                <w:rFonts w:asciiTheme="minorHAnsi" w:hAnsiTheme="minorHAnsi"/>
                <w:color w:val="212121"/>
                <w:spacing w:val="-2"/>
                <w:szCs w:val="24"/>
              </w:rPr>
              <w:t xml:space="preserve"> </w:t>
            </w:r>
            <w:r w:rsidRPr="005869C5">
              <w:rPr>
                <w:rFonts w:asciiTheme="minorHAnsi" w:hAnsiTheme="minorHAnsi"/>
                <w:color w:val="212121"/>
                <w:szCs w:val="24"/>
              </w:rPr>
              <w:t xml:space="preserve">in </w:t>
            </w:r>
            <w:r w:rsidRPr="005869C5">
              <w:rPr>
                <w:rFonts w:asciiTheme="minorHAnsi" w:hAnsiTheme="minorHAnsi"/>
                <w:color w:val="212121"/>
                <w:spacing w:val="-1"/>
                <w:szCs w:val="24"/>
              </w:rPr>
              <w:t>the</w:t>
            </w:r>
            <w:r w:rsidRPr="005869C5">
              <w:rPr>
                <w:rFonts w:asciiTheme="minorHAnsi" w:hAnsiTheme="minorHAnsi"/>
                <w:color w:val="212121"/>
                <w:spacing w:val="3"/>
                <w:szCs w:val="24"/>
              </w:rPr>
              <w:t xml:space="preserve"> </w:t>
            </w:r>
            <w:r w:rsidRPr="005869C5">
              <w:rPr>
                <w:rFonts w:asciiTheme="minorHAnsi" w:hAnsiTheme="minorHAnsi"/>
                <w:spacing w:val="-1"/>
                <w:szCs w:val="24"/>
              </w:rPr>
              <w:t>General</w:t>
            </w:r>
            <w:r w:rsidRPr="005869C5">
              <w:rPr>
                <w:rFonts w:asciiTheme="minorHAnsi" w:hAnsiTheme="minorHAnsi"/>
                <w:szCs w:val="24"/>
              </w:rPr>
              <w:t xml:space="preserve"> </w:t>
            </w:r>
            <w:r w:rsidRPr="005869C5">
              <w:rPr>
                <w:rFonts w:asciiTheme="minorHAnsi" w:hAnsiTheme="minorHAnsi"/>
                <w:spacing w:val="-1"/>
                <w:szCs w:val="24"/>
              </w:rPr>
              <w:t>Statement</w:t>
            </w:r>
            <w:r w:rsidRPr="005869C5">
              <w:rPr>
                <w:rFonts w:asciiTheme="minorHAnsi" w:hAnsiTheme="minorHAnsi"/>
                <w:spacing w:val="1"/>
                <w:szCs w:val="24"/>
              </w:rPr>
              <w:t xml:space="preserve"> </w:t>
            </w:r>
            <w:r w:rsidRPr="005869C5">
              <w:rPr>
                <w:rFonts w:asciiTheme="minorHAnsi" w:hAnsiTheme="minorHAnsi"/>
                <w:spacing w:val="-1"/>
                <w:szCs w:val="24"/>
              </w:rPr>
              <w:t>for</w:t>
            </w:r>
            <w:r w:rsidRPr="005869C5">
              <w:rPr>
                <w:rFonts w:asciiTheme="minorHAnsi" w:hAnsiTheme="minorHAnsi"/>
                <w:szCs w:val="24"/>
              </w:rPr>
              <w:t xml:space="preserve"> </w:t>
            </w:r>
            <w:r w:rsidRPr="005869C5">
              <w:rPr>
                <w:rFonts w:asciiTheme="minorHAnsi" w:hAnsiTheme="minorHAnsi"/>
                <w:spacing w:val="-1"/>
                <w:szCs w:val="24"/>
              </w:rPr>
              <w:t>Lipid-Lowering</w:t>
            </w:r>
            <w:r w:rsidRPr="005869C5">
              <w:rPr>
                <w:rFonts w:asciiTheme="minorHAnsi" w:hAnsiTheme="minorHAnsi"/>
                <w:spacing w:val="-3"/>
                <w:szCs w:val="24"/>
              </w:rPr>
              <w:t xml:space="preserve"> </w:t>
            </w:r>
            <w:r w:rsidRPr="005869C5">
              <w:rPr>
                <w:rFonts w:asciiTheme="minorHAnsi" w:hAnsiTheme="minorHAnsi"/>
                <w:spacing w:val="-1"/>
                <w:szCs w:val="24"/>
              </w:rPr>
              <w:t xml:space="preserve">Drugs </w:t>
            </w:r>
          </w:p>
          <w:p w14:paraId="3880C4D3" w14:textId="77777777" w:rsidR="008B6729" w:rsidRPr="005869C5" w:rsidRDefault="008B6729" w:rsidP="00692E6E">
            <w:pPr>
              <w:pStyle w:val="NormalWeb"/>
              <w:spacing w:before="0" w:beforeAutospacing="0" w:after="0" w:afterAutospacing="0" w:line="300" w:lineRule="atLeast"/>
              <w:rPr>
                <w:rFonts w:asciiTheme="minorHAnsi" w:hAnsiTheme="minorHAnsi" w:cs="Arial"/>
                <w:b/>
                <w:bCs/>
              </w:rPr>
            </w:pPr>
            <w:r w:rsidRPr="005869C5">
              <w:rPr>
                <w:rFonts w:asciiTheme="minorHAnsi" w:hAnsiTheme="minorHAnsi" w:cs="Arial"/>
                <w:b/>
                <w:bCs/>
              </w:rPr>
              <w:t>AND</w:t>
            </w:r>
          </w:p>
          <w:p w14:paraId="3F0BAB98" w14:textId="77777777" w:rsidR="008B6729" w:rsidRPr="005869C5" w:rsidRDefault="008B6729" w:rsidP="00692E6E">
            <w:pPr>
              <w:pStyle w:val="NormalWeb"/>
              <w:spacing w:before="0" w:beforeAutospacing="0" w:after="0" w:afterAutospacing="0" w:line="300" w:lineRule="atLeast"/>
              <w:rPr>
                <w:rFonts w:asciiTheme="minorHAnsi" w:hAnsiTheme="minorHAnsi" w:cs="Arial"/>
              </w:rPr>
            </w:pPr>
            <w:r w:rsidRPr="005869C5">
              <w:rPr>
                <w:rFonts w:asciiTheme="minorHAnsi" w:hAnsiTheme="minorHAnsi" w:cs="Arial"/>
              </w:rPr>
              <w:t>The treatment must be in conjunction with dietary therapy and exercise,</w:t>
            </w:r>
          </w:p>
          <w:p w14:paraId="3DC2B0FF" w14:textId="77777777" w:rsidR="008B6729" w:rsidRPr="005869C5" w:rsidRDefault="008B6729" w:rsidP="00692E6E">
            <w:pPr>
              <w:pStyle w:val="NormalWeb"/>
              <w:spacing w:before="0" w:beforeAutospacing="0" w:after="0" w:afterAutospacing="0" w:line="300" w:lineRule="atLeast"/>
              <w:rPr>
                <w:rFonts w:asciiTheme="minorHAnsi" w:hAnsiTheme="minorHAnsi" w:cs="Arial"/>
              </w:rPr>
            </w:pPr>
            <w:r w:rsidRPr="005869C5">
              <w:rPr>
                <w:rFonts w:asciiTheme="minorHAnsi" w:hAnsiTheme="minorHAnsi" w:cs="Arial"/>
                <w:b/>
                <w:bCs/>
              </w:rPr>
              <w:t>AND</w:t>
            </w:r>
          </w:p>
          <w:p w14:paraId="710D0B1D" w14:textId="77777777" w:rsidR="008B6729" w:rsidRPr="005869C5" w:rsidRDefault="008B6729" w:rsidP="00692E6E">
            <w:pPr>
              <w:pStyle w:val="NormalWeb"/>
              <w:spacing w:before="0" w:beforeAutospacing="0" w:after="0" w:afterAutospacing="0" w:line="300" w:lineRule="atLeast"/>
              <w:rPr>
                <w:rFonts w:asciiTheme="minorHAnsi" w:hAnsiTheme="minorHAnsi" w:cs="Arial"/>
              </w:rPr>
            </w:pPr>
            <w:r w:rsidRPr="005869C5">
              <w:rPr>
                <w:rFonts w:asciiTheme="minorHAnsi" w:hAnsiTheme="minorHAnsi" w:cs="Arial"/>
              </w:rPr>
              <w:t>The treatment must be co-administered with an HMG CoA reductase inhibitor (statin),</w:t>
            </w:r>
          </w:p>
          <w:p w14:paraId="1C7047A1" w14:textId="77777777" w:rsidR="008B6729" w:rsidRPr="005869C5" w:rsidRDefault="008B6729" w:rsidP="00692E6E">
            <w:pPr>
              <w:pStyle w:val="NormalWeb"/>
              <w:spacing w:before="0" w:beforeAutospacing="0" w:after="0" w:afterAutospacing="0" w:line="300" w:lineRule="atLeast"/>
              <w:rPr>
                <w:rFonts w:asciiTheme="minorHAnsi" w:hAnsiTheme="minorHAnsi" w:cs="Arial"/>
              </w:rPr>
            </w:pPr>
            <w:r w:rsidRPr="005869C5">
              <w:rPr>
                <w:rFonts w:asciiTheme="minorHAnsi" w:hAnsiTheme="minorHAnsi" w:cs="Arial"/>
                <w:b/>
                <w:bCs/>
              </w:rPr>
              <w:t>AND</w:t>
            </w:r>
          </w:p>
          <w:p w14:paraId="1A78BB24" w14:textId="77777777" w:rsidR="008B6729" w:rsidRPr="005869C5" w:rsidRDefault="008B6729" w:rsidP="00692E6E">
            <w:pPr>
              <w:pStyle w:val="NormalWeb"/>
              <w:spacing w:before="0" w:beforeAutospacing="0" w:after="0" w:afterAutospacing="0" w:line="300" w:lineRule="atLeast"/>
              <w:rPr>
                <w:rFonts w:asciiTheme="minorHAnsi" w:hAnsiTheme="minorHAnsi" w:cs="Arial"/>
              </w:rPr>
            </w:pPr>
            <w:r w:rsidRPr="005869C5">
              <w:rPr>
                <w:rFonts w:asciiTheme="minorHAnsi" w:hAnsiTheme="minorHAnsi" w:cs="Arial"/>
              </w:rPr>
              <w:t xml:space="preserve">Patient must have cholesterol </w:t>
            </w:r>
            <w:r w:rsidR="004B1768" w:rsidRPr="005869C5">
              <w:rPr>
                <w:rFonts w:asciiTheme="minorHAnsi" w:hAnsiTheme="minorHAnsi" w:cs="Arial"/>
                <w:color w:val="222222"/>
              </w:rPr>
              <w:t>concentrations</w:t>
            </w:r>
            <w:r w:rsidR="004B1768" w:rsidRPr="005869C5">
              <w:rPr>
                <w:rFonts w:asciiTheme="minorHAnsi" w:hAnsiTheme="minorHAnsi" w:cs="Arial"/>
              </w:rPr>
              <w:t xml:space="preserve"> </w:t>
            </w:r>
            <w:r w:rsidRPr="005869C5">
              <w:rPr>
                <w:rFonts w:asciiTheme="minorHAnsi" w:hAnsiTheme="minorHAnsi" w:cs="Arial"/>
              </w:rPr>
              <w:t xml:space="preserve">that are inadequately controlled with an HMG CoA reductase inhibitor (statin), </w:t>
            </w:r>
          </w:p>
          <w:p w14:paraId="24B00AC7" w14:textId="77777777" w:rsidR="008B6729" w:rsidRPr="005869C5" w:rsidRDefault="008B6729" w:rsidP="00692E6E">
            <w:pPr>
              <w:pStyle w:val="NormalWeb"/>
              <w:spacing w:before="0" w:beforeAutospacing="0" w:after="0" w:afterAutospacing="0" w:line="300" w:lineRule="atLeast"/>
              <w:rPr>
                <w:rFonts w:asciiTheme="minorHAnsi" w:hAnsiTheme="minorHAnsi" w:cs="Arial"/>
                <w:b/>
                <w:bCs/>
              </w:rPr>
            </w:pPr>
            <w:r w:rsidRPr="005869C5">
              <w:rPr>
                <w:rFonts w:asciiTheme="minorHAnsi" w:hAnsiTheme="minorHAnsi" w:cs="Arial"/>
                <w:b/>
                <w:bCs/>
              </w:rPr>
              <w:t>AND</w:t>
            </w:r>
          </w:p>
          <w:p w14:paraId="109A3EB3" w14:textId="77777777" w:rsidR="008B6729" w:rsidRPr="005869C5" w:rsidRDefault="008B6729" w:rsidP="00692E6E">
            <w:pPr>
              <w:pStyle w:val="BodyText"/>
              <w:spacing w:after="0"/>
              <w:ind w:left="-8" w:firstLine="8"/>
              <w:jc w:val="left"/>
              <w:rPr>
                <w:rFonts w:asciiTheme="minorHAnsi" w:hAnsiTheme="minorHAnsi"/>
                <w:b/>
                <w:i/>
                <w:color w:val="000000"/>
                <w:szCs w:val="24"/>
                <w:u w:val="single"/>
              </w:rPr>
            </w:pPr>
            <w:r w:rsidRPr="005869C5">
              <w:rPr>
                <w:rFonts w:asciiTheme="minorHAnsi" w:hAnsiTheme="minorHAnsi"/>
                <w:szCs w:val="24"/>
              </w:rPr>
              <w:t xml:space="preserve">Patient must have one (or more) of the following: </w:t>
            </w:r>
          </w:p>
          <w:p w14:paraId="08641AAB" w14:textId="77777777" w:rsidR="008B6729" w:rsidRPr="005869C5" w:rsidRDefault="008B6729" w:rsidP="008600B5">
            <w:pPr>
              <w:pStyle w:val="BodyText"/>
              <w:widowControl w:val="0"/>
              <w:numPr>
                <w:ilvl w:val="0"/>
                <w:numId w:val="43"/>
              </w:numPr>
              <w:spacing w:after="0"/>
              <w:ind w:left="318"/>
              <w:jc w:val="left"/>
              <w:rPr>
                <w:rFonts w:asciiTheme="minorHAnsi" w:hAnsiTheme="minorHAnsi"/>
                <w:b/>
                <w:i/>
                <w:color w:val="000000"/>
                <w:szCs w:val="24"/>
                <w:u w:val="single"/>
              </w:rPr>
            </w:pPr>
            <w:r w:rsidRPr="005869C5">
              <w:rPr>
                <w:rFonts w:asciiTheme="minorHAnsi" w:hAnsiTheme="minorHAnsi"/>
                <w:color w:val="212121"/>
                <w:spacing w:val="-1"/>
                <w:szCs w:val="24"/>
              </w:rPr>
              <w:t>diabetes mellitus</w:t>
            </w:r>
          </w:p>
          <w:p w14:paraId="035FCA19" w14:textId="77777777" w:rsidR="008B6729" w:rsidRPr="005869C5" w:rsidRDefault="008B6729" w:rsidP="008600B5">
            <w:pPr>
              <w:pStyle w:val="BodyText"/>
              <w:widowControl w:val="0"/>
              <w:numPr>
                <w:ilvl w:val="0"/>
                <w:numId w:val="43"/>
              </w:numPr>
              <w:spacing w:after="0"/>
              <w:ind w:left="318"/>
              <w:jc w:val="left"/>
              <w:rPr>
                <w:rFonts w:asciiTheme="minorHAnsi" w:hAnsiTheme="minorHAnsi"/>
                <w:b/>
                <w:i/>
                <w:color w:val="000000"/>
                <w:szCs w:val="24"/>
                <w:u w:val="single"/>
              </w:rPr>
            </w:pPr>
            <w:r w:rsidRPr="005869C5">
              <w:rPr>
                <w:rFonts w:asciiTheme="minorHAnsi" w:hAnsiTheme="minorHAnsi"/>
                <w:color w:val="212121"/>
                <w:spacing w:val="-1"/>
                <w:szCs w:val="24"/>
              </w:rPr>
              <w:t>family</w:t>
            </w:r>
            <w:r w:rsidRPr="005869C5">
              <w:rPr>
                <w:rFonts w:asciiTheme="minorHAnsi" w:hAnsiTheme="minorHAnsi"/>
                <w:color w:val="212121"/>
                <w:spacing w:val="-3"/>
                <w:szCs w:val="24"/>
              </w:rPr>
              <w:t xml:space="preserve"> </w:t>
            </w:r>
            <w:r w:rsidRPr="005869C5">
              <w:rPr>
                <w:rFonts w:asciiTheme="minorHAnsi" w:hAnsiTheme="minorHAnsi"/>
                <w:color w:val="212121"/>
                <w:spacing w:val="-1"/>
                <w:szCs w:val="24"/>
              </w:rPr>
              <w:t>history</w:t>
            </w:r>
            <w:r w:rsidRPr="005869C5">
              <w:rPr>
                <w:rFonts w:asciiTheme="minorHAnsi" w:hAnsiTheme="minorHAnsi"/>
                <w:color w:val="212121"/>
                <w:spacing w:val="-3"/>
                <w:szCs w:val="24"/>
              </w:rPr>
              <w:t xml:space="preserve"> </w:t>
            </w:r>
            <w:r w:rsidRPr="005869C5">
              <w:rPr>
                <w:rFonts w:asciiTheme="minorHAnsi" w:hAnsiTheme="minorHAnsi"/>
                <w:color w:val="212121"/>
                <w:szCs w:val="24"/>
              </w:rPr>
              <w:t xml:space="preserve">of </w:t>
            </w:r>
            <w:r w:rsidRPr="005869C5">
              <w:rPr>
                <w:rFonts w:asciiTheme="minorHAnsi" w:hAnsiTheme="minorHAnsi"/>
                <w:color w:val="212121"/>
                <w:spacing w:val="-1"/>
                <w:szCs w:val="24"/>
              </w:rPr>
              <w:t>coronary</w:t>
            </w:r>
            <w:r w:rsidRPr="005869C5">
              <w:rPr>
                <w:rFonts w:asciiTheme="minorHAnsi" w:hAnsiTheme="minorHAnsi"/>
                <w:color w:val="212121"/>
                <w:spacing w:val="-3"/>
                <w:szCs w:val="24"/>
              </w:rPr>
              <w:t xml:space="preserve"> </w:t>
            </w:r>
            <w:r w:rsidRPr="005869C5">
              <w:rPr>
                <w:rFonts w:asciiTheme="minorHAnsi" w:hAnsiTheme="minorHAnsi"/>
                <w:color w:val="212121"/>
                <w:spacing w:val="-1"/>
                <w:szCs w:val="24"/>
              </w:rPr>
              <w:t>heart</w:t>
            </w:r>
            <w:r w:rsidRPr="005869C5">
              <w:rPr>
                <w:rFonts w:asciiTheme="minorHAnsi" w:hAnsiTheme="minorHAnsi"/>
                <w:color w:val="212121"/>
                <w:spacing w:val="1"/>
                <w:szCs w:val="24"/>
              </w:rPr>
              <w:t xml:space="preserve"> </w:t>
            </w:r>
            <w:r w:rsidRPr="005869C5">
              <w:rPr>
                <w:rFonts w:asciiTheme="minorHAnsi" w:hAnsiTheme="minorHAnsi"/>
                <w:color w:val="212121"/>
                <w:spacing w:val="-2"/>
                <w:szCs w:val="24"/>
              </w:rPr>
              <w:t>disease</w:t>
            </w:r>
            <w:r w:rsidRPr="005869C5">
              <w:rPr>
                <w:rFonts w:asciiTheme="minorHAnsi" w:hAnsiTheme="minorHAnsi"/>
                <w:color w:val="212121"/>
                <w:spacing w:val="4"/>
                <w:szCs w:val="24"/>
              </w:rPr>
              <w:t xml:space="preserve"> </w:t>
            </w:r>
          </w:p>
          <w:p w14:paraId="0CD8C87F" w14:textId="77777777" w:rsidR="008B6729" w:rsidRPr="005869C5" w:rsidRDefault="008B6729" w:rsidP="008600B5">
            <w:pPr>
              <w:pStyle w:val="BodyText"/>
              <w:widowControl w:val="0"/>
              <w:numPr>
                <w:ilvl w:val="0"/>
                <w:numId w:val="43"/>
              </w:numPr>
              <w:spacing w:after="0"/>
              <w:ind w:left="318"/>
              <w:jc w:val="left"/>
              <w:rPr>
                <w:rFonts w:asciiTheme="minorHAnsi" w:hAnsiTheme="minorHAnsi"/>
                <w:b/>
                <w:i/>
                <w:color w:val="000000"/>
                <w:szCs w:val="24"/>
                <w:u w:val="single"/>
              </w:rPr>
            </w:pPr>
            <w:r w:rsidRPr="005869C5">
              <w:rPr>
                <w:rFonts w:asciiTheme="minorHAnsi" w:hAnsiTheme="minorHAnsi"/>
                <w:color w:val="212121"/>
                <w:spacing w:val="-1"/>
                <w:szCs w:val="24"/>
              </w:rPr>
              <w:t>peripheral</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vascular</w:t>
            </w:r>
            <w:r w:rsidRPr="005869C5">
              <w:rPr>
                <w:rFonts w:asciiTheme="minorHAnsi" w:hAnsiTheme="minorHAnsi"/>
                <w:color w:val="212121"/>
                <w:spacing w:val="1"/>
                <w:szCs w:val="24"/>
              </w:rPr>
              <w:t xml:space="preserve"> </w:t>
            </w:r>
            <w:r w:rsidRPr="005869C5">
              <w:rPr>
                <w:rFonts w:asciiTheme="minorHAnsi" w:hAnsiTheme="minorHAnsi"/>
                <w:color w:val="212121"/>
                <w:spacing w:val="-2"/>
                <w:szCs w:val="24"/>
              </w:rPr>
              <w:t>disease</w:t>
            </w:r>
            <w:r w:rsidRPr="005869C5">
              <w:rPr>
                <w:rFonts w:asciiTheme="minorHAnsi" w:hAnsiTheme="minorHAnsi"/>
                <w:color w:val="212121"/>
                <w:szCs w:val="24"/>
              </w:rPr>
              <w:t xml:space="preserve"> </w:t>
            </w:r>
          </w:p>
          <w:p w14:paraId="73907871" w14:textId="77777777" w:rsidR="008B6729" w:rsidRPr="005869C5" w:rsidRDefault="008B6729" w:rsidP="008600B5">
            <w:pPr>
              <w:pStyle w:val="BodyText"/>
              <w:widowControl w:val="0"/>
              <w:numPr>
                <w:ilvl w:val="0"/>
                <w:numId w:val="43"/>
              </w:numPr>
              <w:spacing w:after="0"/>
              <w:ind w:left="318"/>
              <w:jc w:val="left"/>
              <w:rPr>
                <w:rFonts w:asciiTheme="minorHAnsi" w:hAnsiTheme="minorHAnsi"/>
                <w:b/>
                <w:i/>
                <w:color w:val="000000"/>
                <w:szCs w:val="24"/>
                <w:u w:val="single"/>
              </w:rPr>
            </w:pPr>
            <w:r w:rsidRPr="005869C5">
              <w:rPr>
                <w:rFonts w:asciiTheme="minorHAnsi" w:hAnsiTheme="minorHAnsi"/>
                <w:color w:val="212121"/>
                <w:spacing w:val="-1"/>
                <w:szCs w:val="24"/>
              </w:rPr>
              <w:t>heterozygous/homozygous</w:t>
            </w:r>
            <w:r w:rsidRPr="005869C5">
              <w:rPr>
                <w:rFonts w:asciiTheme="minorHAnsi" w:hAnsiTheme="minorHAnsi"/>
                <w:color w:val="212121"/>
                <w:szCs w:val="24"/>
              </w:rPr>
              <w:t xml:space="preserve"> </w:t>
            </w:r>
            <w:r w:rsidRPr="005869C5">
              <w:rPr>
                <w:rFonts w:asciiTheme="minorHAnsi" w:hAnsiTheme="minorHAnsi"/>
                <w:color w:val="212121"/>
                <w:spacing w:val="-1"/>
                <w:szCs w:val="24"/>
              </w:rPr>
              <w:t>familial</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hypercholesterolaemia</w:t>
            </w:r>
            <w:r w:rsidRPr="005869C5">
              <w:rPr>
                <w:rFonts w:asciiTheme="minorHAnsi" w:hAnsiTheme="minorHAnsi"/>
                <w:color w:val="212121"/>
                <w:szCs w:val="24"/>
              </w:rPr>
              <w:t xml:space="preserve"> </w:t>
            </w:r>
          </w:p>
          <w:p w14:paraId="08696BC2" w14:textId="77777777" w:rsidR="008B6729" w:rsidRPr="005869C5" w:rsidRDefault="008B6729" w:rsidP="008600B5">
            <w:pPr>
              <w:pStyle w:val="BodyText"/>
              <w:widowControl w:val="0"/>
              <w:numPr>
                <w:ilvl w:val="0"/>
                <w:numId w:val="43"/>
              </w:numPr>
              <w:spacing w:after="0"/>
              <w:ind w:left="318"/>
              <w:jc w:val="left"/>
              <w:rPr>
                <w:rFonts w:asciiTheme="minorHAnsi" w:hAnsiTheme="minorHAnsi"/>
                <w:b/>
                <w:i/>
                <w:color w:val="000000"/>
                <w:szCs w:val="24"/>
                <w:u w:val="single"/>
              </w:rPr>
            </w:pPr>
            <w:r w:rsidRPr="005869C5">
              <w:rPr>
                <w:rFonts w:asciiTheme="minorHAnsi" w:hAnsiTheme="minorHAnsi"/>
                <w:color w:val="212121"/>
                <w:spacing w:val="-1"/>
                <w:szCs w:val="24"/>
              </w:rPr>
              <w:t>symptomatic</w:t>
            </w:r>
            <w:r w:rsidRPr="005869C5">
              <w:rPr>
                <w:rFonts w:asciiTheme="minorHAnsi" w:hAnsiTheme="minorHAnsi"/>
                <w:color w:val="212121"/>
                <w:szCs w:val="24"/>
              </w:rPr>
              <w:t xml:space="preserve"> </w:t>
            </w:r>
            <w:r w:rsidRPr="005869C5">
              <w:rPr>
                <w:rFonts w:asciiTheme="minorHAnsi" w:hAnsiTheme="minorHAnsi"/>
                <w:color w:val="212121"/>
                <w:spacing w:val="-1"/>
                <w:szCs w:val="24"/>
              </w:rPr>
              <w:t>cerebrovascular</w:t>
            </w:r>
            <w:r w:rsidRPr="005869C5">
              <w:rPr>
                <w:rFonts w:asciiTheme="minorHAnsi" w:hAnsiTheme="minorHAnsi"/>
                <w:color w:val="212121"/>
                <w:szCs w:val="24"/>
              </w:rPr>
              <w:t xml:space="preserve"> </w:t>
            </w:r>
            <w:r w:rsidRPr="005869C5">
              <w:rPr>
                <w:rFonts w:asciiTheme="minorHAnsi" w:hAnsiTheme="minorHAnsi"/>
                <w:color w:val="212121"/>
                <w:spacing w:val="-1"/>
                <w:szCs w:val="24"/>
              </w:rPr>
              <w:t>disease</w:t>
            </w:r>
            <w:r w:rsidRPr="005869C5">
              <w:rPr>
                <w:rFonts w:asciiTheme="minorHAnsi" w:hAnsiTheme="minorHAnsi"/>
                <w:color w:val="212121"/>
                <w:spacing w:val="-2"/>
                <w:szCs w:val="24"/>
              </w:rPr>
              <w:t xml:space="preserve"> </w:t>
            </w:r>
          </w:p>
          <w:p w14:paraId="4F57A9BF" w14:textId="77777777" w:rsidR="008B6729" w:rsidRPr="005869C5" w:rsidRDefault="008B6729" w:rsidP="008600B5">
            <w:pPr>
              <w:pStyle w:val="BodyText"/>
              <w:widowControl w:val="0"/>
              <w:numPr>
                <w:ilvl w:val="0"/>
                <w:numId w:val="43"/>
              </w:numPr>
              <w:spacing w:after="0"/>
              <w:ind w:left="318"/>
              <w:jc w:val="left"/>
              <w:rPr>
                <w:rFonts w:asciiTheme="minorHAnsi" w:hAnsiTheme="minorHAnsi"/>
                <w:b/>
                <w:i/>
                <w:color w:val="000000"/>
                <w:szCs w:val="24"/>
                <w:u w:val="single"/>
              </w:rPr>
            </w:pPr>
            <w:r w:rsidRPr="005869C5">
              <w:rPr>
                <w:rFonts w:asciiTheme="minorHAnsi" w:hAnsiTheme="minorHAnsi"/>
                <w:color w:val="212121"/>
                <w:spacing w:val="-1"/>
                <w:szCs w:val="24"/>
              </w:rPr>
              <w:t>hypertension</w:t>
            </w:r>
          </w:p>
        </w:tc>
      </w:tr>
      <w:tr w:rsidR="008B6729" w:rsidRPr="00375000" w14:paraId="4851FECC" w14:textId="77777777" w:rsidTr="000D3D03">
        <w:tc>
          <w:tcPr>
            <w:tcW w:w="2694" w:type="dxa"/>
            <w:vMerge/>
            <w:shd w:val="clear" w:color="auto" w:fill="auto"/>
          </w:tcPr>
          <w:p w14:paraId="3E13AD74" w14:textId="77777777" w:rsidR="008B6729" w:rsidRPr="00692E6E" w:rsidRDefault="008B6729" w:rsidP="00221FBE">
            <w:pPr>
              <w:spacing w:before="60" w:after="60"/>
              <w:rPr>
                <w:rFonts w:asciiTheme="minorHAnsi" w:hAnsiTheme="minorHAnsi"/>
                <w:szCs w:val="24"/>
              </w:rPr>
            </w:pPr>
          </w:p>
        </w:tc>
        <w:tc>
          <w:tcPr>
            <w:tcW w:w="7087" w:type="dxa"/>
            <w:shd w:val="clear" w:color="auto" w:fill="auto"/>
          </w:tcPr>
          <w:p w14:paraId="13F2216C" w14:textId="77777777" w:rsidR="000F1CF3" w:rsidRDefault="000F1CF3" w:rsidP="000F1CF3">
            <w:pPr>
              <w:pStyle w:val="BodyText"/>
              <w:tabs>
                <w:tab w:val="left" w:pos="461"/>
              </w:tabs>
              <w:spacing w:after="0"/>
              <w:ind w:right="593"/>
              <w:rPr>
                <w:rFonts w:asciiTheme="minorHAnsi" w:hAnsiTheme="minorHAnsi"/>
                <w:color w:val="212121"/>
                <w:spacing w:val="-1"/>
                <w:szCs w:val="24"/>
              </w:rPr>
            </w:pPr>
            <w:r w:rsidRPr="005869C5">
              <w:rPr>
                <w:rFonts w:asciiTheme="minorHAnsi" w:hAnsiTheme="minorHAnsi"/>
                <w:b/>
                <w:szCs w:val="24"/>
              </w:rPr>
              <w:t>Authority Required (STREAMLINED)</w:t>
            </w:r>
          </w:p>
          <w:p w14:paraId="4AF8DD63" w14:textId="77777777" w:rsidR="008B6729" w:rsidRPr="00692E6E" w:rsidRDefault="008B6729" w:rsidP="00BE2E12">
            <w:pPr>
              <w:pStyle w:val="BodyText"/>
              <w:tabs>
                <w:tab w:val="left" w:pos="461"/>
              </w:tabs>
              <w:spacing w:after="0"/>
              <w:rPr>
                <w:rFonts w:asciiTheme="minorHAnsi" w:hAnsiTheme="minorHAnsi"/>
                <w:b/>
                <w:i/>
                <w:color w:val="000000"/>
                <w:szCs w:val="24"/>
                <w:u w:val="single"/>
              </w:rPr>
            </w:pPr>
            <w:r w:rsidRPr="00692E6E">
              <w:rPr>
                <w:rFonts w:asciiTheme="minorHAnsi" w:hAnsiTheme="minorHAnsi"/>
                <w:color w:val="212121"/>
                <w:spacing w:val="-1"/>
                <w:szCs w:val="24"/>
              </w:rPr>
              <w:t>Homozygous</w:t>
            </w:r>
            <w:r w:rsidRPr="00692E6E">
              <w:rPr>
                <w:rFonts w:asciiTheme="minorHAnsi" w:hAnsiTheme="minorHAnsi"/>
                <w:color w:val="212121"/>
                <w:szCs w:val="24"/>
              </w:rPr>
              <w:t xml:space="preserve"> </w:t>
            </w:r>
            <w:r w:rsidRPr="00692E6E">
              <w:rPr>
                <w:rFonts w:asciiTheme="minorHAnsi" w:hAnsiTheme="minorHAnsi"/>
                <w:color w:val="212121"/>
                <w:spacing w:val="-1"/>
                <w:szCs w:val="24"/>
              </w:rPr>
              <w:t>sitosterolaemia</w:t>
            </w:r>
          </w:p>
        </w:tc>
      </w:tr>
      <w:tr w:rsidR="008B6729" w:rsidRPr="008B6729" w14:paraId="11CC91B2" w14:textId="77777777" w:rsidTr="000D3D03">
        <w:tc>
          <w:tcPr>
            <w:tcW w:w="2694" w:type="dxa"/>
            <w:vMerge/>
            <w:shd w:val="clear" w:color="auto" w:fill="auto"/>
          </w:tcPr>
          <w:p w14:paraId="0CA8BE2A" w14:textId="77777777" w:rsidR="008B6729" w:rsidRPr="00692E6E" w:rsidRDefault="008B6729" w:rsidP="00221FBE">
            <w:pPr>
              <w:spacing w:before="60" w:after="60"/>
              <w:rPr>
                <w:rFonts w:asciiTheme="minorHAnsi" w:hAnsiTheme="minorHAnsi"/>
                <w:szCs w:val="24"/>
              </w:rPr>
            </w:pPr>
          </w:p>
        </w:tc>
        <w:tc>
          <w:tcPr>
            <w:tcW w:w="7087" w:type="dxa"/>
            <w:shd w:val="clear" w:color="auto" w:fill="auto"/>
          </w:tcPr>
          <w:p w14:paraId="408ACD6D" w14:textId="77777777" w:rsidR="00D20B5C" w:rsidRDefault="00D20B5C" w:rsidP="000F1CF3">
            <w:pPr>
              <w:pStyle w:val="BodyText"/>
              <w:tabs>
                <w:tab w:val="left" w:pos="461"/>
              </w:tabs>
              <w:spacing w:after="0"/>
              <w:ind w:right="593"/>
              <w:rPr>
                <w:rFonts w:asciiTheme="minorHAnsi" w:hAnsiTheme="minorHAnsi"/>
                <w:b/>
                <w:szCs w:val="24"/>
              </w:rPr>
            </w:pPr>
          </w:p>
          <w:p w14:paraId="409413DF" w14:textId="77777777" w:rsidR="000F1CF3" w:rsidRDefault="000F1CF3" w:rsidP="000F1CF3">
            <w:pPr>
              <w:pStyle w:val="BodyText"/>
              <w:tabs>
                <w:tab w:val="left" w:pos="461"/>
              </w:tabs>
              <w:spacing w:after="0"/>
              <w:ind w:right="593"/>
              <w:rPr>
                <w:rFonts w:asciiTheme="minorHAnsi" w:hAnsiTheme="minorHAnsi"/>
                <w:color w:val="212121"/>
                <w:spacing w:val="-1"/>
                <w:szCs w:val="24"/>
              </w:rPr>
            </w:pPr>
            <w:r w:rsidRPr="005869C5">
              <w:rPr>
                <w:rFonts w:asciiTheme="minorHAnsi" w:hAnsiTheme="minorHAnsi"/>
                <w:b/>
                <w:szCs w:val="24"/>
              </w:rPr>
              <w:lastRenderedPageBreak/>
              <w:t>Authority Required (STREAMLINED)</w:t>
            </w:r>
          </w:p>
          <w:p w14:paraId="0BCB17D9" w14:textId="77777777" w:rsidR="008B6729" w:rsidRPr="00692E6E" w:rsidRDefault="008B6729" w:rsidP="00BE2E12">
            <w:pPr>
              <w:pStyle w:val="BodyText"/>
              <w:tabs>
                <w:tab w:val="left" w:pos="461"/>
              </w:tabs>
              <w:spacing w:after="0"/>
              <w:ind w:right="593"/>
              <w:rPr>
                <w:rFonts w:asciiTheme="minorHAnsi" w:hAnsiTheme="minorHAnsi"/>
                <w:spacing w:val="-1"/>
                <w:szCs w:val="24"/>
              </w:rPr>
            </w:pPr>
            <w:r w:rsidRPr="00692E6E">
              <w:rPr>
                <w:rFonts w:asciiTheme="minorHAnsi" w:hAnsiTheme="minorHAnsi"/>
                <w:color w:val="212121"/>
                <w:spacing w:val="-1"/>
                <w:szCs w:val="24"/>
              </w:rPr>
              <w:t>Patient</w:t>
            </w:r>
            <w:r w:rsidRPr="00692E6E">
              <w:rPr>
                <w:rFonts w:asciiTheme="minorHAnsi" w:hAnsiTheme="minorHAnsi"/>
                <w:color w:val="212121"/>
                <w:spacing w:val="1"/>
                <w:szCs w:val="24"/>
              </w:rPr>
              <w:t xml:space="preserve"> </w:t>
            </w:r>
            <w:r w:rsidRPr="00692E6E">
              <w:rPr>
                <w:rFonts w:asciiTheme="minorHAnsi" w:hAnsiTheme="minorHAnsi"/>
                <w:color w:val="212121"/>
                <w:spacing w:val="-1"/>
                <w:szCs w:val="24"/>
              </w:rPr>
              <w:t>must</w:t>
            </w:r>
            <w:r w:rsidRPr="00692E6E">
              <w:rPr>
                <w:rFonts w:asciiTheme="minorHAnsi" w:hAnsiTheme="minorHAnsi"/>
                <w:color w:val="212121"/>
                <w:spacing w:val="1"/>
                <w:szCs w:val="24"/>
              </w:rPr>
              <w:t xml:space="preserve"> </w:t>
            </w:r>
            <w:r w:rsidRPr="00692E6E">
              <w:rPr>
                <w:rFonts w:asciiTheme="minorHAnsi" w:hAnsiTheme="minorHAnsi"/>
                <w:color w:val="212121"/>
                <w:spacing w:val="-1"/>
                <w:szCs w:val="24"/>
              </w:rPr>
              <w:t>meet</w:t>
            </w:r>
            <w:r w:rsidRPr="00692E6E">
              <w:rPr>
                <w:rFonts w:asciiTheme="minorHAnsi" w:hAnsiTheme="minorHAnsi"/>
                <w:color w:val="212121"/>
                <w:spacing w:val="-2"/>
                <w:szCs w:val="24"/>
              </w:rPr>
              <w:t xml:space="preserve"> </w:t>
            </w:r>
            <w:r w:rsidRPr="00692E6E">
              <w:rPr>
                <w:rFonts w:asciiTheme="minorHAnsi" w:hAnsiTheme="minorHAnsi"/>
                <w:color w:val="212121"/>
                <w:szCs w:val="24"/>
              </w:rPr>
              <w:t>the</w:t>
            </w:r>
            <w:r w:rsidRPr="00692E6E">
              <w:rPr>
                <w:rFonts w:asciiTheme="minorHAnsi" w:hAnsiTheme="minorHAnsi"/>
                <w:color w:val="212121"/>
                <w:spacing w:val="-2"/>
                <w:szCs w:val="24"/>
              </w:rPr>
              <w:t xml:space="preserve"> </w:t>
            </w:r>
            <w:r w:rsidRPr="00692E6E">
              <w:rPr>
                <w:rFonts w:asciiTheme="minorHAnsi" w:hAnsiTheme="minorHAnsi"/>
                <w:color w:val="212121"/>
                <w:spacing w:val="-1"/>
                <w:szCs w:val="24"/>
              </w:rPr>
              <w:t>criteria</w:t>
            </w:r>
            <w:r w:rsidRPr="00692E6E">
              <w:rPr>
                <w:rFonts w:asciiTheme="minorHAnsi" w:hAnsiTheme="minorHAnsi"/>
                <w:color w:val="212121"/>
                <w:szCs w:val="24"/>
              </w:rPr>
              <w:t xml:space="preserve"> </w:t>
            </w:r>
            <w:r w:rsidRPr="00692E6E">
              <w:rPr>
                <w:rFonts w:asciiTheme="minorHAnsi" w:hAnsiTheme="minorHAnsi"/>
                <w:color w:val="212121"/>
                <w:spacing w:val="-1"/>
                <w:szCs w:val="24"/>
              </w:rPr>
              <w:t>set</w:t>
            </w:r>
            <w:r w:rsidRPr="00692E6E">
              <w:rPr>
                <w:rFonts w:asciiTheme="minorHAnsi" w:hAnsiTheme="minorHAnsi"/>
                <w:color w:val="212121"/>
                <w:spacing w:val="1"/>
                <w:szCs w:val="24"/>
              </w:rPr>
              <w:t xml:space="preserve"> </w:t>
            </w:r>
            <w:r w:rsidRPr="00692E6E">
              <w:rPr>
                <w:rFonts w:asciiTheme="minorHAnsi" w:hAnsiTheme="minorHAnsi"/>
                <w:color w:val="212121"/>
                <w:spacing w:val="-1"/>
                <w:szCs w:val="24"/>
              </w:rPr>
              <w:t>out</w:t>
            </w:r>
            <w:r w:rsidRPr="00692E6E">
              <w:rPr>
                <w:rFonts w:asciiTheme="minorHAnsi" w:hAnsiTheme="minorHAnsi"/>
                <w:color w:val="212121"/>
                <w:spacing w:val="-2"/>
                <w:szCs w:val="24"/>
              </w:rPr>
              <w:t xml:space="preserve"> </w:t>
            </w:r>
            <w:r w:rsidRPr="00692E6E">
              <w:rPr>
                <w:rFonts w:asciiTheme="minorHAnsi" w:hAnsiTheme="minorHAnsi"/>
                <w:color w:val="212121"/>
                <w:szCs w:val="24"/>
              </w:rPr>
              <w:t xml:space="preserve">in </w:t>
            </w:r>
            <w:r w:rsidRPr="00692E6E">
              <w:rPr>
                <w:rFonts w:asciiTheme="minorHAnsi" w:hAnsiTheme="minorHAnsi"/>
                <w:color w:val="212121"/>
                <w:spacing w:val="-1"/>
                <w:szCs w:val="24"/>
              </w:rPr>
              <w:t>the</w:t>
            </w:r>
            <w:r w:rsidRPr="00692E6E">
              <w:rPr>
                <w:rFonts w:asciiTheme="minorHAnsi" w:hAnsiTheme="minorHAnsi"/>
                <w:color w:val="212121"/>
                <w:spacing w:val="3"/>
                <w:szCs w:val="24"/>
              </w:rPr>
              <w:t xml:space="preserve"> </w:t>
            </w:r>
            <w:r w:rsidRPr="00692E6E">
              <w:rPr>
                <w:rFonts w:asciiTheme="minorHAnsi" w:hAnsiTheme="minorHAnsi"/>
                <w:spacing w:val="-1"/>
                <w:szCs w:val="24"/>
              </w:rPr>
              <w:t>General</w:t>
            </w:r>
            <w:r w:rsidRPr="00692E6E">
              <w:rPr>
                <w:rFonts w:asciiTheme="minorHAnsi" w:hAnsiTheme="minorHAnsi"/>
                <w:szCs w:val="24"/>
              </w:rPr>
              <w:t xml:space="preserve"> </w:t>
            </w:r>
            <w:r w:rsidRPr="00692E6E">
              <w:rPr>
                <w:rFonts w:asciiTheme="minorHAnsi" w:hAnsiTheme="minorHAnsi"/>
                <w:spacing w:val="-1"/>
                <w:szCs w:val="24"/>
              </w:rPr>
              <w:t>Statement</w:t>
            </w:r>
            <w:r w:rsidRPr="00692E6E">
              <w:rPr>
                <w:rFonts w:asciiTheme="minorHAnsi" w:hAnsiTheme="minorHAnsi"/>
                <w:spacing w:val="1"/>
                <w:szCs w:val="24"/>
              </w:rPr>
              <w:t xml:space="preserve"> </w:t>
            </w:r>
            <w:r w:rsidRPr="00692E6E">
              <w:rPr>
                <w:rFonts w:asciiTheme="minorHAnsi" w:hAnsiTheme="minorHAnsi"/>
                <w:spacing w:val="-1"/>
                <w:szCs w:val="24"/>
              </w:rPr>
              <w:t>for</w:t>
            </w:r>
            <w:r w:rsidRPr="00692E6E">
              <w:rPr>
                <w:rFonts w:asciiTheme="minorHAnsi" w:hAnsiTheme="minorHAnsi"/>
                <w:szCs w:val="24"/>
              </w:rPr>
              <w:t xml:space="preserve"> </w:t>
            </w:r>
            <w:r w:rsidRPr="00692E6E">
              <w:rPr>
                <w:rFonts w:asciiTheme="minorHAnsi" w:hAnsiTheme="minorHAnsi"/>
                <w:spacing w:val="-1"/>
                <w:szCs w:val="24"/>
              </w:rPr>
              <w:t>Lipid-Lowering</w:t>
            </w:r>
            <w:r w:rsidRPr="00692E6E">
              <w:rPr>
                <w:rFonts w:asciiTheme="minorHAnsi" w:hAnsiTheme="minorHAnsi"/>
                <w:spacing w:val="-3"/>
                <w:szCs w:val="24"/>
              </w:rPr>
              <w:t xml:space="preserve"> </w:t>
            </w:r>
            <w:r w:rsidRPr="00692E6E">
              <w:rPr>
                <w:rFonts w:asciiTheme="minorHAnsi" w:hAnsiTheme="minorHAnsi"/>
                <w:spacing w:val="-1"/>
                <w:szCs w:val="24"/>
              </w:rPr>
              <w:t xml:space="preserve">Drugs </w:t>
            </w:r>
          </w:p>
          <w:p w14:paraId="095E9E67" w14:textId="77777777" w:rsidR="008B6729" w:rsidRPr="00692E6E" w:rsidRDefault="008B6729" w:rsidP="00692E6E">
            <w:pPr>
              <w:pStyle w:val="NormalWeb"/>
              <w:spacing w:before="0" w:beforeAutospacing="0" w:after="0" w:afterAutospacing="0" w:line="300" w:lineRule="atLeast"/>
              <w:rPr>
                <w:rFonts w:asciiTheme="minorHAnsi" w:hAnsiTheme="minorHAnsi" w:cs="Arial"/>
                <w:b/>
                <w:bCs/>
              </w:rPr>
            </w:pPr>
            <w:r w:rsidRPr="00692E6E">
              <w:rPr>
                <w:rFonts w:asciiTheme="minorHAnsi" w:hAnsiTheme="minorHAnsi" w:cs="Arial"/>
                <w:b/>
                <w:bCs/>
              </w:rPr>
              <w:t>AND</w:t>
            </w:r>
          </w:p>
          <w:p w14:paraId="0DEF7C3C" w14:textId="77777777" w:rsidR="008B6729" w:rsidRPr="00692E6E" w:rsidRDefault="008B6729" w:rsidP="00692E6E">
            <w:pPr>
              <w:pStyle w:val="BodyText"/>
              <w:tabs>
                <w:tab w:val="left" w:pos="461"/>
              </w:tabs>
              <w:spacing w:after="0"/>
              <w:ind w:right="593" w:hanging="8"/>
              <w:rPr>
                <w:rFonts w:asciiTheme="minorHAnsi" w:hAnsiTheme="minorHAnsi"/>
                <w:color w:val="212121"/>
                <w:spacing w:val="-1"/>
                <w:szCs w:val="24"/>
              </w:rPr>
            </w:pPr>
            <w:r w:rsidRPr="00692E6E">
              <w:rPr>
                <w:rFonts w:asciiTheme="minorHAnsi" w:hAnsiTheme="minorHAnsi"/>
                <w:color w:val="212121"/>
                <w:spacing w:val="-1"/>
                <w:szCs w:val="24"/>
              </w:rPr>
              <w:t>statins are contra-indicated</w:t>
            </w:r>
          </w:p>
          <w:p w14:paraId="377DC0B8" w14:textId="77777777" w:rsidR="008B6729" w:rsidRPr="00692E6E" w:rsidRDefault="008B6729" w:rsidP="00692E6E">
            <w:pPr>
              <w:pStyle w:val="BodyText"/>
              <w:tabs>
                <w:tab w:val="left" w:pos="461"/>
              </w:tabs>
              <w:spacing w:after="0"/>
              <w:ind w:right="593" w:hanging="8"/>
              <w:rPr>
                <w:rFonts w:asciiTheme="minorHAnsi" w:hAnsiTheme="minorHAnsi"/>
                <w:b/>
                <w:color w:val="212121"/>
                <w:spacing w:val="-1"/>
                <w:szCs w:val="24"/>
              </w:rPr>
            </w:pPr>
            <w:r w:rsidRPr="00692E6E">
              <w:rPr>
                <w:rFonts w:asciiTheme="minorHAnsi" w:hAnsiTheme="minorHAnsi"/>
                <w:b/>
                <w:color w:val="212121"/>
                <w:spacing w:val="-1"/>
                <w:szCs w:val="24"/>
              </w:rPr>
              <w:t>or</w:t>
            </w:r>
          </w:p>
          <w:p w14:paraId="6E573226" w14:textId="77777777" w:rsidR="008B6729" w:rsidRPr="00692E6E" w:rsidRDefault="008B6729" w:rsidP="00692E6E">
            <w:pPr>
              <w:pStyle w:val="BodyText"/>
              <w:tabs>
                <w:tab w:val="left" w:pos="461"/>
              </w:tabs>
              <w:spacing w:after="0"/>
              <w:ind w:right="593" w:hanging="8"/>
              <w:rPr>
                <w:rFonts w:asciiTheme="minorHAnsi" w:hAnsiTheme="minorHAnsi"/>
                <w:color w:val="212121"/>
                <w:spacing w:val="-1"/>
                <w:szCs w:val="24"/>
              </w:rPr>
            </w:pPr>
            <w:r w:rsidRPr="00692E6E">
              <w:rPr>
                <w:rFonts w:asciiTheme="minorHAnsi" w:hAnsiTheme="minorHAnsi"/>
                <w:color w:val="212121"/>
                <w:spacing w:val="-1"/>
                <w:szCs w:val="24"/>
              </w:rPr>
              <w:t>patient has developed a clinically important product related adverse drug event necessitating withdrawal of statin treatment</w:t>
            </w:r>
          </w:p>
          <w:p w14:paraId="222BDDCF" w14:textId="77777777" w:rsidR="008B6729" w:rsidRPr="00692E6E" w:rsidRDefault="008B6729" w:rsidP="00692E6E">
            <w:pPr>
              <w:pStyle w:val="BodyText"/>
              <w:tabs>
                <w:tab w:val="left" w:pos="461"/>
              </w:tabs>
              <w:spacing w:after="0"/>
              <w:rPr>
                <w:rFonts w:asciiTheme="minorHAnsi" w:hAnsiTheme="minorHAnsi"/>
                <w:b/>
                <w:color w:val="212121"/>
                <w:spacing w:val="-1"/>
                <w:szCs w:val="24"/>
              </w:rPr>
            </w:pPr>
            <w:r w:rsidRPr="00692E6E">
              <w:rPr>
                <w:rFonts w:asciiTheme="minorHAnsi" w:hAnsiTheme="minorHAnsi"/>
                <w:b/>
                <w:color w:val="212121"/>
                <w:spacing w:val="-1"/>
                <w:szCs w:val="24"/>
              </w:rPr>
              <w:t>or</w:t>
            </w:r>
          </w:p>
          <w:p w14:paraId="07E90760" w14:textId="77777777" w:rsidR="008B6729" w:rsidRPr="00692E6E" w:rsidRDefault="008B6729" w:rsidP="00692E6E">
            <w:pPr>
              <w:pStyle w:val="BodyText"/>
              <w:tabs>
                <w:tab w:val="left" w:pos="461"/>
              </w:tabs>
              <w:spacing w:after="0"/>
              <w:ind w:firstLine="34"/>
              <w:rPr>
                <w:rFonts w:asciiTheme="minorHAnsi" w:hAnsiTheme="minorHAnsi"/>
                <w:color w:val="212121"/>
                <w:spacing w:val="-1"/>
                <w:szCs w:val="24"/>
              </w:rPr>
            </w:pPr>
            <w:r w:rsidRPr="00692E6E">
              <w:rPr>
                <w:rFonts w:asciiTheme="minorHAnsi" w:hAnsiTheme="minorHAnsi"/>
                <w:color w:val="212121"/>
                <w:spacing w:val="-1"/>
                <w:szCs w:val="24"/>
              </w:rPr>
              <w:t>patient has developed a clinically important product related adverse drug event necessitating a reduction in statin dose</w:t>
            </w:r>
          </w:p>
        </w:tc>
      </w:tr>
      <w:tr w:rsidR="008B6729" w:rsidRPr="005869C5" w14:paraId="6CAE1355" w14:textId="77777777" w:rsidTr="000D3D03">
        <w:tc>
          <w:tcPr>
            <w:tcW w:w="2694" w:type="dxa"/>
            <w:shd w:val="clear" w:color="auto" w:fill="auto"/>
          </w:tcPr>
          <w:p w14:paraId="6FFE0665" w14:textId="77777777" w:rsidR="000F1CF3" w:rsidRPr="000F1CF3" w:rsidRDefault="000F1CF3" w:rsidP="000F1CF3">
            <w:pPr>
              <w:spacing w:before="60" w:after="60"/>
              <w:jc w:val="left"/>
              <w:rPr>
                <w:rFonts w:asciiTheme="minorHAnsi" w:hAnsiTheme="minorHAnsi"/>
                <w:b/>
                <w:color w:val="000000"/>
                <w:szCs w:val="24"/>
              </w:rPr>
            </w:pPr>
            <w:r w:rsidRPr="000F1CF3">
              <w:rPr>
                <w:rFonts w:asciiTheme="minorHAnsi" w:hAnsiTheme="minorHAnsi"/>
                <w:b/>
                <w:color w:val="000000"/>
                <w:szCs w:val="24"/>
              </w:rPr>
              <w:lastRenderedPageBreak/>
              <w:t>Combination Therapy</w:t>
            </w:r>
          </w:p>
          <w:p w14:paraId="7F483B63" w14:textId="77777777" w:rsidR="008B6729" w:rsidRPr="005869C5" w:rsidRDefault="008B6729" w:rsidP="008600B5">
            <w:pPr>
              <w:pStyle w:val="ListParagraph"/>
              <w:numPr>
                <w:ilvl w:val="0"/>
                <w:numId w:val="16"/>
              </w:numPr>
              <w:spacing w:before="60" w:after="60"/>
              <w:ind w:left="317" w:hanging="317"/>
              <w:jc w:val="left"/>
              <w:rPr>
                <w:rFonts w:asciiTheme="minorHAnsi" w:hAnsiTheme="minorHAnsi"/>
                <w:b/>
                <w:i/>
                <w:color w:val="000000"/>
                <w:szCs w:val="24"/>
                <w:u w:val="single"/>
              </w:rPr>
            </w:pPr>
            <w:r w:rsidRPr="005869C5">
              <w:rPr>
                <w:rFonts w:asciiTheme="minorHAnsi" w:hAnsiTheme="minorHAnsi"/>
                <w:szCs w:val="24"/>
              </w:rPr>
              <w:t xml:space="preserve">Ezetimibe </w:t>
            </w:r>
            <w:r w:rsidR="00A50B6D" w:rsidRPr="005869C5">
              <w:rPr>
                <w:rFonts w:asciiTheme="minorHAnsi" w:hAnsiTheme="minorHAnsi"/>
                <w:szCs w:val="24"/>
              </w:rPr>
              <w:t>plus</w:t>
            </w:r>
            <w:r w:rsidRPr="005869C5">
              <w:rPr>
                <w:rFonts w:asciiTheme="minorHAnsi" w:hAnsiTheme="minorHAnsi"/>
                <w:szCs w:val="24"/>
              </w:rPr>
              <w:t xml:space="preserve"> Atorvastatin</w:t>
            </w:r>
          </w:p>
          <w:p w14:paraId="111B37FC" w14:textId="77777777" w:rsidR="008B6729" w:rsidRPr="005869C5" w:rsidRDefault="008B6729" w:rsidP="008600B5">
            <w:pPr>
              <w:pStyle w:val="ListParagraph"/>
              <w:numPr>
                <w:ilvl w:val="0"/>
                <w:numId w:val="16"/>
              </w:numPr>
              <w:spacing w:before="60" w:after="60"/>
              <w:ind w:left="317" w:hanging="317"/>
              <w:jc w:val="left"/>
              <w:rPr>
                <w:rFonts w:asciiTheme="minorHAnsi" w:hAnsiTheme="minorHAnsi"/>
                <w:b/>
                <w:i/>
                <w:color w:val="000000"/>
                <w:szCs w:val="24"/>
                <w:u w:val="single"/>
              </w:rPr>
            </w:pPr>
            <w:r w:rsidRPr="005869C5">
              <w:rPr>
                <w:rFonts w:asciiTheme="minorHAnsi" w:hAnsiTheme="minorHAnsi"/>
                <w:szCs w:val="24"/>
              </w:rPr>
              <w:t xml:space="preserve">Ezetimibe </w:t>
            </w:r>
            <w:r w:rsidR="00A50B6D" w:rsidRPr="005869C5">
              <w:rPr>
                <w:rFonts w:asciiTheme="minorHAnsi" w:hAnsiTheme="minorHAnsi"/>
                <w:szCs w:val="24"/>
              </w:rPr>
              <w:t>plus</w:t>
            </w:r>
            <w:r w:rsidRPr="005869C5">
              <w:rPr>
                <w:rFonts w:asciiTheme="minorHAnsi" w:hAnsiTheme="minorHAnsi"/>
                <w:szCs w:val="24"/>
              </w:rPr>
              <w:t xml:space="preserve"> Simvastatin</w:t>
            </w:r>
          </w:p>
          <w:p w14:paraId="5C3F6B21" w14:textId="77777777" w:rsidR="008B6729" w:rsidRPr="005869C5" w:rsidRDefault="008B6729" w:rsidP="008600B5">
            <w:pPr>
              <w:pStyle w:val="ListParagraph"/>
              <w:numPr>
                <w:ilvl w:val="0"/>
                <w:numId w:val="16"/>
              </w:numPr>
              <w:spacing w:before="60" w:after="60"/>
              <w:ind w:left="317" w:hanging="317"/>
              <w:jc w:val="left"/>
              <w:rPr>
                <w:rFonts w:asciiTheme="minorHAnsi" w:hAnsiTheme="minorHAnsi"/>
                <w:b/>
                <w:i/>
                <w:color w:val="000000"/>
                <w:szCs w:val="24"/>
                <w:u w:val="single"/>
              </w:rPr>
            </w:pPr>
            <w:r w:rsidRPr="005869C5">
              <w:rPr>
                <w:rFonts w:asciiTheme="minorHAnsi" w:hAnsiTheme="minorHAnsi"/>
                <w:szCs w:val="24"/>
              </w:rPr>
              <w:t xml:space="preserve">Ezetimibe </w:t>
            </w:r>
            <w:r w:rsidR="00A50B6D" w:rsidRPr="005869C5">
              <w:rPr>
                <w:rFonts w:asciiTheme="minorHAnsi" w:hAnsiTheme="minorHAnsi"/>
                <w:szCs w:val="24"/>
              </w:rPr>
              <w:t>plus</w:t>
            </w:r>
            <w:r w:rsidRPr="005869C5">
              <w:rPr>
                <w:rFonts w:asciiTheme="minorHAnsi" w:hAnsiTheme="minorHAnsi"/>
                <w:szCs w:val="24"/>
              </w:rPr>
              <w:t xml:space="preserve"> Rosuvastatin </w:t>
            </w:r>
          </w:p>
        </w:tc>
        <w:tc>
          <w:tcPr>
            <w:tcW w:w="7087" w:type="dxa"/>
            <w:shd w:val="clear" w:color="auto" w:fill="auto"/>
          </w:tcPr>
          <w:p w14:paraId="07FDADC1" w14:textId="77777777" w:rsidR="000F1CF3" w:rsidRDefault="000F1CF3" w:rsidP="000F1CF3">
            <w:pPr>
              <w:pStyle w:val="BodyText"/>
              <w:tabs>
                <w:tab w:val="left" w:pos="461"/>
              </w:tabs>
              <w:spacing w:before="60" w:after="60"/>
              <w:ind w:right="593"/>
              <w:jc w:val="left"/>
              <w:rPr>
                <w:rFonts w:asciiTheme="minorHAnsi" w:hAnsiTheme="minorHAnsi"/>
                <w:b/>
                <w:szCs w:val="24"/>
              </w:rPr>
            </w:pPr>
            <w:r w:rsidRPr="00692E6E">
              <w:rPr>
                <w:rFonts w:asciiTheme="minorHAnsi" w:hAnsiTheme="minorHAnsi"/>
                <w:b/>
                <w:szCs w:val="24"/>
              </w:rPr>
              <w:t>Authority Required (STREAMLINED)</w:t>
            </w:r>
          </w:p>
          <w:p w14:paraId="29FF73A5" w14:textId="77777777" w:rsidR="008B6729" w:rsidRPr="005869C5" w:rsidRDefault="008B6729" w:rsidP="000F1CF3">
            <w:pPr>
              <w:pStyle w:val="BodyText"/>
              <w:tabs>
                <w:tab w:val="left" w:pos="461"/>
              </w:tabs>
              <w:spacing w:after="0"/>
              <w:ind w:right="593"/>
              <w:jc w:val="left"/>
              <w:rPr>
                <w:rFonts w:asciiTheme="minorHAnsi" w:hAnsiTheme="minorHAnsi"/>
                <w:spacing w:val="-1"/>
                <w:szCs w:val="24"/>
              </w:rPr>
            </w:pPr>
            <w:r w:rsidRPr="005869C5">
              <w:rPr>
                <w:rFonts w:asciiTheme="minorHAnsi" w:hAnsiTheme="minorHAnsi"/>
                <w:color w:val="212121"/>
                <w:spacing w:val="-1"/>
                <w:szCs w:val="24"/>
              </w:rPr>
              <w:t>Patient</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must</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meet</w:t>
            </w:r>
            <w:r w:rsidRPr="005869C5">
              <w:rPr>
                <w:rFonts w:asciiTheme="minorHAnsi" w:hAnsiTheme="minorHAnsi"/>
                <w:color w:val="212121"/>
                <w:spacing w:val="-2"/>
                <w:szCs w:val="24"/>
              </w:rPr>
              <w:t xml:space="preserve"> </w:t>
            </w:r>
            <w:r w:rsidRPr="005869C5">
              <w:rPr>
                <w:rFonts w:asciiTheme="minorHAnsi" w:hAnsiTheme="minorHAnsi"/>
                <w:color w:val="212121"/>
                <w:szCs w:val="24"/>
              </w:rPr>
              <w:t>the</w:t>
            </w:r>
            <w:r w:rsidRPr="005869C5">
              <w:rPr>
                <w:rFonts w:asciiTheme="minorHAnsi" w:hAnsiTheme="minorHAnsi"/>
                <w:color w:val="212121"/>
                <w:spacing w:val="-2"/>
                <w:szCs w:val="24"/>
              </w:rPr>
              <w:t xml:space="preserve"> </w:t>
            </w:r>
            <w:r w:rsidRPr="005869C5">
              <w:rPr>
                <w:rFonts w:asciiTheme="minorHAnsi" w:hAnsiTheme="minorHAnsi"/>
                <w:color w:val="212121"/>
                <w:spacing w:val="-1"/>
                <w:szCs w:val="24"/>
              </w:rPr>
              <w:t>criteria</w:t>
            </w:r>
            <w:r w:rsidRPr="005869C5">
              <w:rPr>
                <w:rFonts w:asciiTheme="minorHAnsi" w:hAnsiTheme="minorHAnsi"/>
                <w:color w:val="212121"/>
                <w:szCs w:val="24"/>
              </w:rPr>
              <w:t xml:space="preserve"> </w:t>
            </w:r>
            <w:r w:rsidRPr="005869C5">
              <w:rPr>
                <w:rFonts w:asciiTheme="minorHAnsi" w:hAnsiTheme="minorHAnsi"/>
                <w:color w:val="212121"/>
                <w:spacing w:val="-1"/>
                <w:szCs w:val="24"/>
              </w:rPr>
              <w:t>set</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out</w:t>
            </w:r>
            <w:r w:rsidRPr="005869C5">
              <w:rPr>
                <w:rFonts w:asciiTheme="minorHAnsi" w:hAnsiTheme="minorHAnsi"/>
                <w:color w:val="212121"/>
                <w:spacing w:val="-2"/>
                <w:szCs w:val="24"/>
              </w:rPr>
              <w:t xml:space="preserve"> </w:t>
            </w:r>
            <w:r w:rsidRPr="005869C5">
              <w:rPr>
                <w:rFonts w:asciiTheme="minorHAnsi" w:hAnsiTheme="minorHAnsi"/>
                <w:color w:val="212121"/>
                <w:szCs w:val="24"/>
              </w:rPr>
              <w:t xml:space="preserve">in </w:t>
            </w:r>
            <w:r w:rsidRPr="005869C5">
              <w:rPr>
                <w:rFonts w:asciiTheme="minorHAnsi" w:hAnsiTheme="minorHAnsi"/>
                <w:color w:val="212121"/>
                <w:spacing w:val="-1"/>
                <w:szCs w:val="24"/>
              </w:rPr>
              <w:t>the</w:t>
            </w:r>
            <w:r w:rsidRPr="005869C5">
              <w:rPr>
                <w:rFonts w:asciiTheme="minorHAnsi" w:hAnsiTheme="minorHAnsi"/>
                <w:color w:val="212121"/>
                <w:spacing w:val="3"/>
                <w:szCs w:val="24"/>
              </w:rPr>
              <w:t xml:space="preserve"> </w:t>
            </w:r>
            <w:r w:rsidRPr="005869C5">
              <w:rPr>
                <w:rFonts w:asciiTheme="minorHAnsi" w:hAnsiTheme="minorHAnsi"/>
                <w:spacing w:val="-1"/>
                <w:szCs w:val="24"/>
              </w:rPr>
              <w:t>General</w:t>
            </w:r>
            <w:r w:rsidRPr="005869C5">
              <w:rPr>
                <w:rFonts w:asciiTheme="minorHAnsi" w:hAnsiTheme="minorHAnsi"/>
                <w:szCs w:val="24"/>
              </w:rPr>
              <w:t xml:space="preserve"> </w:t>
            </w:r>
            <w:r w:rsidRPr="005869C5">
              <w:rPr>
                <w:rFonts w:asciiTheme="minorHAnsi" w:hAnsiTheme="minorHAnsi"/>
                <w:spacing w:val="-1"/>
                <w:szCs w:val="24"/>
              </w:rPr>
              <w:t>Statement</w:t>
            </w:r>
            <w:r w:rsidRPr="005869C5">
              <w:rPr>
                <w:rFonts w:asciiTheme="minorHAnsi" w:hAnsiTheme="minorHAnsi"/>
                <w:spacing w:val="1"/>
                <w:szCs w:val="24"/>
              </w:rPr>
              <w:t xml:space="preserve"> </w:t>
            </w:r>
            <w:r w:rsidRPr="005869C5">
              <w:rPr>
                <w:rFonts w:asciiTheme="minorHAnsi" w:hAnsiTheme="minorHAnsi"/>
                <w:spacing w:val="-1"/>
                <w:szCs w:val="24"/>
              </w:rPr>
              <w:t>for</w:t>
            </w:r>
            <w:r w:rsidRPr="005869C5">
              <w:rPr>
                <w:rFonts w:asciiTheme="minorHAnsi" w:hAnsiTheme="minorHAnsi"/>
                <w:szCs w:val="24"/>
              </w:rPr>
              <w:t xml:space="preserve"> </w:t>
            </w:r>
            <w:r w:rsidRPr="005869C5">
              <w:rPr>
                <w:rFonts w:asciiTheme="minorHAnsi" w:hAnsiTheme="minorHAnsi"/>
                <w:spacing w:val="-1"/>
                <w:szCs w:val="24"/>
              </w:rPr>
              <w:t>Lipid-Lowering</w:t>
            </w:r>
            <w:r w:rsidRPr="005869C5">
              <w:rPr>
                <w:rFonts w:asciiTheme="minorHAnsi" w:hAnsiTheme="minorHAnsi"/>
                <w:spacing w:val="-3"/>
                <w:szCs w:val="24"/>
              </w:rPr>
              <w:t xml:space="preserve"> </w:t>
            </w:r>
            <w:r w:rsidRPr="005869C5">
              <w:rPr>
                <w:rFonts w:asciiTheme="minorHAnsi" w:hAnsiTheme="minorHAnsi"/>
                <w:spacing w:val="-1"/>
                <w:szCs w:val="24"/>
              </w:rPr>
              <w:t xml:space="preserve">Drugs </w:t>
            </w:r>
          </w:p>
          <w:p w14:paraId="48045310" w14:textId="77777777" w:rsidR="008B6729" w:rsidRPr="005869C5" w:rsidRDefault="008B6729" w:rsidP="000F1CF3">
            <w:pPr>
              <w:pStyle w:val="NormalWeb"/>
              <w:spacing w:before="0" w:beforeAutospacing="0" w:after="0" w:afterAutospacing="0" w:line="300" w:lineRule="atLeast"/>
              <w:jc w:val="left"/>
              <w:rPr>
                <w:rFonts w:asciiTheme="minorHAnsi" w:hAnsiTheme="minorHAnsi" w:cs="Arial"/>
                <w:b/>
                <w:bCs/>
              </w:rPr>
            </w:pPr>
            <w:r w:rsidRPr="005869C5">
              <w:rPr>
                <w:rFonts w:asciiTheme="minorHAnsi" w:hAnsiTheme="minorHAnsi" w:cs="Arial"/>
                <w:b/>
                <w:bCs/>
              </w:rPr>
              <w:t>AND</w:t>
            </w:r>
          </w:p>
          <w:p w14:paraId="68F369A5" w14:textId="77777777" w:rsidR="008B6729" w:rsidRPr="005869C5" w:rsidRDefault="008B6729" w:rsidP="000F1CF3">
            <w:pPr>
              <w:pStyle w:val="NormalWeb"/>
              <w:spacing w:before="0" w:beforeAutospacing="0" w:after="0" w:afterAutospacing="0" w:line="300" w:lineRule="atLeast"/>
              <w:jc w:val="left"/>
              <w:rPr>
                <w:rFonts w:asciiTheme="minorHAnsi" w:hAnsiTheme="minorHAnsi" w:cs="Arial"/>
              </w:rPr>
            </w:pPr>
            <w:r w:rsidRPr="005869C5">
              <w:rPr>
                <w:rFonts w:asciiTheme="minorHAnsi" w:hAnsiTheme="minorHAnsi" w:cs="Arial"/>
              </w:rPr>
              <w:t>The treatment must be in conjunction with dietary therapy and exercise,</w:t>
            </w:r>
          </w:p>
          <w:p w14:paraId="5D28E12A" w14:textId="77777777" w:rsidR="008B6729" w:rsidRPr="005869C5" w:rsidRDefault="008B6729" w:rsidP="000F1CF3">
            <w:pPr>
              <w:pStyle w:val="NormalWeb"/>
              <w:spacing w:before="0" w:beforeAutospacing="0" w:after="0" w:afterAutospacing="0" w:line="300" w:lineRule="atLeast"/>
              <w:jc w:val="left"/>
              <w:rPr>
                <w:rFonts w:asciiTheme="minorHAnsi" w:hAnsiTheme="minorHAnsi" w:cs="Arial"/>
              </w:rPr>
            </w:pPr>
            <w:r w:rsidRPr="005869C5">
              <w:rPr>
                <w:rFonts w:asciiTheme="minorHAnsi" w:hAnsiTheme="minorHAnsi" w:cs="Arial"/>
                <w:b/>
                <w:bCs/>
              </w:rPr>
              <w:t>AND</w:t>
            </w:r>
          </w:p>
          <w:p w14:paraId="0452FCA0" w14:textId="77777777" w:rsidR="008B6729" w:rsidRPr="005869C5" w:rsidRDefault="008B6729" w:rsidP="000F1CF3">
            <w:pPr>
              <w:pStyle w:val="NormalWeb"/>
              <w:spacing w:before="0" w:beforeAutospacing="0" w:after="0" w:afterAutospacing="0" w:line="300" w:lineRule="atLeast"/>
              <w:jc w:val="left"/>
              <w:rPr>
                <w:rFonts w:asciiTheme="minorHAnsi" w:hAnsiTheme="minorHAnsi" w:cs="Arial"/>
              </w:rPr>
            </w:pPr>
            <w:r w:rsidRPr="005869C5">
              <w:rPr>
                <w:rFonts w:asciiTheme="minorHAnsi" w:hAnsiTheme="minorHAnsi" w:cs="Arial"/>
              </w:rPr>
              <w:t xml:space="preserve">Patient must have cholesterol </w:t>
            </w:r>
            <w:r w:rsidR="004B1768" w:rsidRPr="005869C5">
              <w:rPr>
                <w:rFonts w:asciiTheme="minorHAnsi" w:hAnsiTheme="minorHAnsi" w:cs="Arial"/>
                <w:color w:val="222222"/>
              </w:rPr>
              <w:t>concentrations</w:t>
            </w:r>
            <w:r w:rsidRPr="005869C5">
              <w:rPr>
                <w:rFonts w:asciiTheme="minorHAnsi" w:hAnsiTheme="minorHAnsi" w:cs="Arial"/>
              </w:rPr>
              <w:t xml:space="preserve"> that are inadequately controlled with an HMG CoA reductase inhibitor (statin), </w:t>
            </w:r>
          </w:p>
          <w:p w14:paraId="7EB23CF8" w14:textId="77777777" w:rsidR="008B6729" w:rsidRPr="005869C5" w:rsidRDefault="008B6729" w:rsidP="000F1CF3">
            <w:pPr>
              <w:pStyle w:val="NormalWeb"/>
              <w:spacing w:before="0" w:beforeAutospacing="0" w:after="0" w:afterAutospacing="0" w:line="300" w:lineRule="atLeast"/>
              <w:jc w:val="left"/>
              <w:rPr>
                <w:rFonts w:asciiTheme="minorHAnsi" w:hAnsiTheme="minorHAnsi" w:cs="Arial"/>
                <w:b/>
                <w:bCs/>
              </w:rPr>
            </w:pPr>
            <w:r w:rsidRPr="005869C5">
              <w:rPr>
                <w:rFonts w:asciiTheme="minorHAnsi" w:hAnsiTheme="minorHAnsi" w:cs="Arial"/>
                <w:b/>
                <w:bCs/>
              </w:rPr>
              <w:t>AND</w:t>
            </w:r>
          </w:p>
          <w:p w14:paraId="16D9F4CD" w14:textId="77777777" w:rsidR="008B6729" w:rsidRPr="005869C5" w:rsidRDefault="008B6729" w:rsidP="000F1CF3">
            <w:pPr>
              <w:pStyle w:val="BodyText"/>
              <w:spacing w:after="0"/>
              <w:ind w:left="-8" w:firstLine="8"/>
              <w:jc w:val="left"/>
              <w:rPr>
                <w:rFonts w:asciiTheme="minorHAnsi" w:hAnsiTheme="minorHAnsi"/>
                <w:b/>
                <w:i/>
                <w:color w:val="000000"/>
                <w:szCs w:val="24"/>
                <w:u w:val="single"/>
              </w:rPr>
            </w:pPr>
            <w:r w:rsidRPr="005869C5">
              <w:rPr>
                <w:rFonts w:asciiTheme="minorHAnsi" w:hAnsiTheme="minorHAnsi"/>
                <w:szCs w:val="24"/>
              </w:rPr>
              <w:t xml:space="preserve">Patient must have one (or more) of the following: </w:t>
            </w:r>
          </w:p>
          <w:p w14:paraId="429115F1" w14:textId="77777777" w:rsidR="008B6729" w:rsidRPr="005869C5" w:rsidRDefault="008B6729" w:rsidP="008600B5">
            <w:pPr>
              <w:pStyle w:val="BodyText"/>
              <w:widowControl w:val="0"/>
              <w:numPr>
                <w:ilvl w:val="1"/>
                <w:numId w:val="16"/>
              </w:numPr>
              <w:spacing w:after="0"/>
              <w:ind w:left="318"/>
              <w:jc w:val="left"/>
              <w:rPr>
                <w:rFonts w:asciiTheme="minorHAnsi" w:hAnsiTheme="minorHAnsi"/>
                <w:b/>
                <w:i/>
                <w:color w:val="000000"/>
                <w:szCs w:val="24"/>
                <w:u w:val="single"/>
              </w:rPr>
            </w:pPr>
            <w:r w:rsidRPr="005869C5">
              <w:rPr>
                <w:rFonts w:asciiTheme="minorHAnsi" w:hAnsiTheme="minorHAnsi"/>
                <w:color w:val="212121"/>
                <w:spacing w:val="-1"/>
                <w:szCs w:val="24"/>
              </w:rPr>
              <w:t>diabetes mellitus</w:t>
            </w:r>
          </w:p>
          <w:p w14:paraId="5303A49A" w14:textId="77777777" w:rsidR="008B6729" w:rsidRPr="005869C5" w:rsidRDefault="008B6729" w:rsidP="008600B5">
            <w:pPr>
              <w:pStyle w:val="BodyText"/>
              <w:widowControl w:val="0"/>
              <w:numPr>
                <w:ilvl w:val="1"/>
                <w:numId w:val="16"/>
              </w:numPr>
              <w:spacing w:after="0"/>
              <w:ind w:left="318"/>
              <w:jc w:val="left"/>
              <w:rPr>
                <w:rFonts w:asciiTheme="minorHAnsi" w:hAnsiTheme="minorHAnsi"/>
                <w:b/>
                <w:i/>
                <w:color w:val="000000"/>
                <w:szCs w:val="24"/>
                <w:u w:val="single"/>
              </w:rPr>
            </w:pPr>
            <w:r w:rsidRPr="005869C5">
              <w:rPr>
                <w:rFonts w:asciiTheme="minorHAnsi" w:hAnsiTheme="minorHAnsi"/>
                <w:color w:val="212121"/>
                <w:spacing w:val="-1"/>
                <w:szCs w:val="24"/>
              </w:rPr>
              <w:t>family</w:t>
            </w:r>
            <w:r w:rsidRPr="005869C5">
              <w:rPr>
                <w:rFonts w:asciiTheme="minorHAnsi" w:hAnsiTheme="minorHAnsi"/>
                <w:color w:val="212121"/>
                <w:spacing w:val="-3"/>
                <w:szCs w:val="24"/>
              </w:rPr>
              <w:t xml:space="preserve"> </w:t>
            </w:r>
            <w:r w:rsidRPr="005869C5">
              <w:rPr>
                <w:rFonts w:asciiTheme="minorHAnsi" w:hAnsiTheme="minorHAnsi"/>
                <w:color w:val="212121"/>
                <w:spacing w:val="-1"/>
                <w:szCs w:val="24"/>
              </w:rPr>
              <w:t>history</w:t>
            </w:r>
            <w:r w:rsidRPr="005869C5">
              <w:rPr>
                <w:rFonts w:asciiTheme="minorHAnsi" w:hAnsiTheme="minorHAnsi"/>
                <w:color w:val="212121"/>
                <w:spacing w:val="-3"/>
                <w:szCs w:val="24"/>
              </w:rPr>
              <w:t xml:space="preserve"> </w:t>
            </w:r>
            <w:r w:rsidRPr="005869C5">
              <w:rPr>
                <w:rFonts w:asciiTheme="minorHAnsi" w:hAnsiTheme="minorHAnsi"/>
                <w:color w:val="212121"/>
                <w:szCs w:val="24"/>
              </w:rPr>
              <w:t xml:space="preserve">of </w:t>
            </w:r>
            <w:r w:rsidRPr="005869C5">
              <w:rPr>
                <w:rFonts w:asciiTheme="minorHAnsi" w:hAnsiTheme="minorHAnsi"/>
                <w:color w:val="212121"/>
                <w:spacing w:val="-1"/>
                <w:szCs w:val="24"/>
              </w:rPr>
              <w:t>coronary</w:t>
            </w:r>
            <w:r w:rsidRPr="005869C5">
              <w:rPr>
                <w:rFonts w:asciiTheme="minorHAnsi" w:hAnsiTheme="minorHAnsi"/>
                <w:color w:val="212121"/>
                <w:spacing w:val="-3"/>
                <w:szCs w:val="24"/>
              </w:rPr>
              <w:t xml:space="preserve"> </w:t>
            </w:r>
            <w:r w:rsidRPr="005869C5">
              <w:rPr>
                <w:rFonts w:asciiTheme="minorHAnsi" w:hAnsiTheme="minorHAnsi"/>
                <w:color w:val="212121"/>
                <w:spacing w:val="-1"/>
                <w:szCs w:val="24"/>
              </w:rPr>
              <w:t>heart</w:t>
            </w:r>
            <w:r w:rsidRPr="005869C5">
              <w:rPr>
                <w:rFonts w:asciiTheme="minorHAnsi" w:hAnsiTheme="minorHAnsi"/>
                <w:color w:val="212121"/>
                <w:spacing w:val="1"/>
                <w:szCs w:val="24"/>
              </w:rPr>
              <w:t xml:space="preserve"> </w:t>
            </w:r>
            <w:r w:rsidRPr="005869C5">
              <w:rPr>
                <w:rFonts w:asciiTheme="minorHAnsi" w:hAnsiTheme="minorHAnsi"/>
                <w:color w:val="212121"/>
                <w:spacing w:val="-2"/>
                <w:szCs w:val="24"/>
              </w:rPr>
              <w:t>disease</w:t>
            </w:r>
            <w:r w:rsidRPr="005869C5">
              <w:rPr>
                <w:rFonts w:asciiTheme="minorHAnsi" w:hAnsiTheme="minorHAnsi"/>
                <w:color w:val="212121"/>
                <w:spacing w:val="4"/>
                <w:szCs w:val="24"/>
              </w:rPr>
              <w:t xml:space="preserve"> </w:t>
            </w:r>
          </w:p>
          <w:p w14:paraId="4DCE90EB" w14:textId="77777777" w:rsidR="008B6729" w:rsidRPr="005869C5" w:rsidRDefault="008B6729" w:rsidP="008600B5">
            <w:pPr>
              <w:pStyle w:val="BodyText"/>
              <w:widowControl w:val="0"/>
              <w:numPr>
                <w:ilvl w:val="1"/>
                <w:numId w:val="16"/>
              </w:numPr>
              <w:spacing w:after="0"/>
              <w:ind w:left="318"/>
              <w:jc w:val="left"/>
              <w:rPr>
                <w:rFonts w:asciiTheme="minorHAnsi" w:hAnsiTheme="minorHAnsi"/>
                <w:b/>
                <w:i/>
                <w:color w:val="000000"/>
                <w:szCs w:val="24"/>
                <w:u w:val="single"/>
              </w:rPr>
            </w:pPr>
            <w:r w:rsidRPr="005869C5">
              <w:rPr>
                <w:rFonts w:asciiTheme="minorHAnsi" w:hAnsiTheme="minorHAnsi"/>
                <w:color w:val="212121"/>
                <w:spacing w:val="-1"/>
                <w:szCs w:val="24"/>
              </w:rPr>
              <w:t>peripheral</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vascular</w:t>
            </w:r>
            <w:r w:rsidRPr="005869C5">
              <w:rPr>
                <w:rFonts w:asciiTheme="minorHAnsi" w:hAnsiTheme="minorHAnsi"/>
                <w:color w:val="212121"/>
                <w:spacing w:val="1"/>
                <w:szCs w:val="24"/>
              </w:rPr>
              <w:t xml:space="preserve"> </w:t>
            </w:r>
            <w:r w:rsidRPr="005869C5">
              <w:rPr>
                <w:rFonts w:asciiTheme="minorHAnsi" w:hAnsiTheme="minorHAnsi"/>
                <w:color w:val="212121"/>
                <w:spacing w:val="-2"/>
                <w:szCs w:val="24"/>
              </w:rPr>
              <w:t>disease</w:t>
            </w:r>
            <w:r w:rsidRPr="005869C5">
              <w:rPr>
                <w:rFonts w:asciiTheme="minorHAnsi" w:hAnsiTheme="minorHAnsi"/>
                <w:color w:val="212121"/>
                <w:szCs w:val="24"/>
              </w:rPr>
              <w:t xml:space="preserve"> </w:t>
            </w:r>
          </w:p>
          <w:p w14:paraId="089A7392" w14:textId="77777777" w:rsidR="008B6729" w:rsidRPr="005869C5" w:rsidRDefault="008B6729" w:rsidP="008600B5">
            <w:pPr>
              <w:pStyle w:val="BodyText"/>
              <w:widowControl w:val="0"/>
              <w:numPr>
                <w:ilvl w:val="1"/>
                <w:numId w:val="16"/>
              </w:numPr>
              <w:spacing w:after="0"/>
              <w:ind w:left="318"/>
              <w:jc w:val="left"/>
              <w:rPr>
                <w:rFonts w:asciiTheme="minorHAnsi" w:hAnsiTheme="minorHAnsi"/>
                <w:b/>
                <w:i/>
                <w:color w:val="000000"/>
                <w:szCs w:val="24"/>
                <w:u w:val="single"/>
              </w:rPr>
            </w:pPr>
            <w:r w:rsidRPr="005869C5">
              <w:rPr>
                <w:rFonts w:asciiTheme="minorHAnsi" w:hAnsiTheme="minorHAnsi"/>
                <w:color w:val="212121"/>
                <w:spacing w:val="-1"/>
                <w:szCs w:val="24"/>
              </w:rPr>
              <w:t>heterozygous/homozygous</w:t>
            </w:r>
            <w:r w:rsidRPr="005869C5">
              <w:rPr>
                <w:rFonts w:asciiTheme="minorHAnsi" w:hAnsiTheme="minorHAnsi"/>
                <w:color w:val="212121"/>
                <w:szCs w:val="24"/>
              </w:rPr>
              <w:t xml:space="preserve"> </w:t>
            </w:r>
            <w:r w:rsidRPr="005869C5">
              <w:rPr>
                <w:rFonts w:asciiTheme="minorHAnsi" w:hAnsiTheme="minorHAnsi"/>
                <w:color w:val="212121"/>
                <w:spacing w:val="-1"/>
                <w:szCs w:val="24"/>
              </w:rPr>
              <w:t>familial</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hypercholesterolaemia</w:t>
            </w:r>
            <w:r w:rsidRPr="005869C5">
              <w:rPr>
                <w:rFonts w:asciiTheme="minorHAnsi" w:hAnsiTheme="minorHAnsi"/>
                <w:color w:val="212121"/>
                <w:szCs w:val="24"/>
              </w:rPr>
              <w:t xml:space="preserve"> </w:t>
            </w:r>
          </w:p>
          <w:p w14:paraId="2850669B" w14:textId="77777777" w:rsidR="008B6729" w:rsidRPr="005869C5" w:rsidRDefault="008B6729" w:rsidP="008600B5">
            <w:pPr>
              <w:pStyle w:val="BodyText"/>
              <w:widowControl w:val="0"/>
              <w:numPr>
                <w:ilvl w:val="1"/>
                <w:numId w:val="16"/>
              </w:numPr>
              <w:spacing w:after="0"/>
              <w:ind w:left="318"/>
              <w:jc w:val="left"/>
              <w:rPr>
                <w:rFonts w:asciiTheme="minorHAnsi" w:hAnsiTheme="minorHAnsi"/>
                <w:b/>
                <w:i/>
                <w:color w:val="000000"/>
                <w:szCs w:val="24"/>
                <w:u w:val="single"/>
              </w:rPr>
            </w:pPr>
            <w:r w:rsidRPr="005869C5">
              <w:rPr>
                <w:rFonts w:asciiTheme="minorHAnsi" w:hAnsiTheme="minorHAnsi"/>
                <w:color w:val="212121"/>
                <w:spacing w:val="-1"/>
                <w:szCs w:val="24"/>
              </w:rPr>
              <w:t>symptomatic</w:t>
            </w:r>
            <w:r w:rsidRPr="005869C5">
              <w:rPr>
                <w:rFonts w:asciiTheme="minorHAnsi" w:hAnsiTheme="minorHAnsi"/>
                <w:color w:val="212121"/>
                <w:szCs w:val="24"/>
              </w:rPr>
              <w:t xml:space="preserve"> </w:t>
            </w:r>
            <w:r w:rsidRPr="005869C5">
              <w:rPr>
                <w:rFonts w:asciiTheme="minorHAnsi" w:hAnsiTheme="minorHAnsi"/>
                <w:color w:val="212121"/>
                <w:spacing w:val="-1"/>
                <w:szCs w:val="24"/>
              </w:rPr>
              <w:t>cerebrovascular</w:t>
            </w:r>
            <w:r w:rsidRPr="005869C5">
              <w:rPr>
                <w:rFonts w:asciiTheme="minorHAnsi" w:hAnsiTheme="minorHAnsi"/>
                <w:color w:val="212121"/>
                <w:szCs w:val="24"/>
              </w:rPr>
              <w:t xml:space="preserve"> </w:t>
            </w:r>
            <w:r w:rsidRPr="005869C5">
              <w:rPr>
                <w:rFonts w:asciiTheme="minorHAnsi" w:hAnsiTheme="minorHAnsi"/>
                <w:color w:val="212121"/>
                <w:spacing w:val="-1"/>
                <w:szCs w:val="24"/>
              </w:rPr>
              <w:t>disease</w:t>
            </w:r>
            <w:r w:rsidRPr="005869C5">
              <w:rPr>
                <w:rFonts w:asciiTheme="minorHAnsi" w:hAnsiTheme="minorHAnsi"/>
                <w:color w:val="212121"/>
                <w:spacing w:val="-2"/>
                <w:szCs w:val="24"/>
              </w:rPr>
              <w:t xml:space="preserve"> </w:t>
            </w:r>
          </w:p>
          <w:p w14:paraId="2F7D157C" w14:textId="77777777" w:rsidR="008B6729" w:rsidRPr="000F1CF3" w:rsidRDefault="008B6729" w:rsidP="008600B5">
            <w:pPr>
              <w:pStyle w:val="BodyText"/>
              <w:numPr>
                <w:ilvl w:val="1"/>
                <w:numId w:val="16"/>
              </w:numPr>
              <w:tabs>
                <w:tab w:val="left" w:pos="461"/>
              </w:tabs>
              <w:spacing w:after="0"/>
              <w:ind w:left="318"/>
              <w:jc w:val="left"/>
              <w:rPr>
                <w:rFonts w:asciiTheme="minorHAnsi" w:hAnsiTheme="minorHAnsi"/>
                <w:color w:val="212121"/>
                <w:spacing w:val="-1"/>
                <w:szCs w:val="24"/>
              </w:rPr>
            </w:pPr>
            <w:r w:rsidRPr="005869C5">
              <w:rPr>
                <w:rFonts w:asciiTheme="minorHAnsi" w:hAnsiTheme="minorHAnsi"/>
                <w:color w:val="212121"/>
                <w:spacing w:val="-1"/>
                <w:szCs w:val="24"/>
              </w:rPr>
              <w:t>hypertension</w:t>
            </w:r>
          </w:p>
        </w:tc>
      </w:tr>
      <w:tr w:rsidR="008B6729" w:rsidRPr="005869C5" w14:paraId="29223C69" w14:textId="77777777" w:rsidTr="000D3D03">
        <w:tc>
          <w:tcPr>
            <w:tcW w:w="2694" w:type="dxa"/>
            <w:shd w:val="clear" w:color="auto" w:fill="auto"/>
          </w:tcPr>
          <w:p w14:paraId="6D28832F" w14:textId="77777777" w:rsidR="000F1CF3" w:rsidRPr="000F1CF3" w:rsidRDefault="000F1CF3" w:rsidP="000F1CF3">
            <w:pPr>
              <w:spacing w:before="60" w:after="60"/>
              <w:jc w:val="left"/>
              <w:rPr>
                <w:rFonts w:asciiTheme="minorHAnsi" w:hAnsiTheme="minorHAnsi"/>
                <w:b/>
                <w:color w:val="000000"/>
                <w:szCs w:val="24"/>
              </w:rPr>
            </w:pPr>
            <w:r w:rsidRPr="000F1CF3">
              <w:rPr>
                <w:rFonts w:asciiTheme="minorHAnsi" w:hAnsiTheme="minorHAnsi"/>
                <w:b/>
                <w:color w:val="000000"/>
                <w:szCs w:val="24"/>
              </w:rPr>
              <w:t>Combination Therapy</w:t>
            </w:r>
          </w:p>
          <w:p w14:paraId="463DA413" w14:textId="77777777" w:rsidR="008B6729" w:rsidRPr="005869C5" w:rsidRDefault="008B6729" w:rsidP="008600B5">
            <w:pPr>
              <w:pStyle w:val="ListParagraph"/>
              <w:numPr>
                <w:ilvl w:val="0"/>
                <w:numId w:val="16"/>
              </w:numPr>
              <w:spacing w:before="60" w:after="60"/>
              <w:ind w:left="317" w:hanging="317"/>
              <w:jc w:val="left"/>
              <w:rPr>
                <w:rFonts w:asciiTheme="minorHAnsi" w:hAnsiTheme="minorHAnsi"/>
                <w:b/>
                <w:i/>
                <w:color w:val="000000"/>
                <w:szCs w:val="24"/>
                <w:u w:val="single"/>
              </w:rPr>
            </w:pPr>
            <w:r w:rsidRPr="005869C5">
              <w:rPr>
                <w:rFonts w:asciiTheme="minorHAnsi" w:hAnsiTheme="minorHAnsi"/>
                <w:szCs w:val="24"/>
              </w:rPr>
              <w:t xml:space="preserve">Ezetimibe </w:t>
            </w:r>
            <w:r w:rsidR="00A50B6D" w:rsidRPr="005869C5">
              <w:rPr>
                <w:rFonts w:asciiTheme="minorHAnsi" w:hAnsiTheme="minorHAnsi"/>
                <w:szCs w:val="24"/>
              </w:rPr>
              <w:t>plus</w:t>
            </w:r>
            <w:r w:rsidRPr="005869C5">
              <w:rPr>
                <w:rFonts w:asciiTheme="minorHAnsi" w:hAnsiTheme="minorHAnsi"/>
                <w:szCs w:val="24"/>
              </w:rPr>
              <w:t xml:space="preserve"> Atorvastatin 10/10 mg</w:t>
            </w:r>
          </w:p>
          <w:p w14:paraId="45CC4C70" w14:textId="77777777" w:rsidR="008B6729" w:rsidRPr="005869C5" w:rsidRDefault="008B6729" w:rsidP="008600B5">
            <w:pPr>
              <w:pStyle w:val="ListParagraph"/>
              <w:numPr>
                <w:ilvl w:val="0"/>
                <w:numId w:val="16"/>
              </w:numPr>
              <w:spacing w:before="60" w:after="60"/>
              <w:ind w:left="317" w:hanging="317"/>
              <w:jc w:val="left"/>
              <w:rPr>
                <w:rFonts w:asciiTheme="minorHAnsi" w:hAnsiTheme="minorHAnsi"/>
                <w:b/>
                <w:i/>
                <w:color w:val="000000"/>
                <w:szCs w:val="24"/>
                <w:u w:val="single"/>
              </w:rPr>
            </w:pPr>
            <w:r w:rsidRPr="005869C5">
              <w:rPr>
                <w:rFonts w:asciiTheme="minorHAnsi" w:hAnsiTheme="minorHAnsi"/>
                <w:szCs w:val="24"/>
              </w:rPr>
              <w:t xml:space="preserve">Ezetimibe </w:t>
            </w:r>
            <w:r w:rsidR="00A50B6D" w:rsidRPr="005869C5">
              <w:rPr>
                <w:rFonts w:asciiTheme="minorHAnsi" w:hAnsiTheme="minorHAnsi"/>
                <w:szCs w:val="24"/>
              </w:rPr>
              <w:t>plus</w:t>
            </w:r>
            <w:r w:rsidRPr="005869C5">
              <w:rPr>
                <w:rFonts w:asciiTheme="minorHAnsi" w:hAnsiTheme="minorHAnsi"/>
                <w:szCs w:val="24"/>
              </w:rPr>
              <w:t xml:space="preserve"> Simvastatin 10/10</w:t>
            </w:r>
            <w:r w:rsidR="00F64114" w:rsidRPr="005869C5">
              <w:rPr>
                <w:rFonts w:asciiTheme="minorHAnsi" w:hAnsiTheme="minorHAnsi"/>
                <w:szCs w:val="24"/>
              </w:rPr>
              <w:t xml:space="preserve"> mg</w:t>
            </w:r>
            <w:r w:rsidRPr="005869C5">
              <w:rPr>
                <w:rFonts w:asciiTheme="minorHAnsi" w:hAnsiTheme="minorHAnsi"/>
                <w:szCs w:val="24"/>
              </w:rPr>
              <w:t>, 10/20</w:t>
            </w:r>
            <w:r w:rsidR="00F64114" w:rsidRPr="005869C5">
              <w:rPr>
                <w:rFonts w:asciiTheme="minorHAnsi" w:hAnsiTheme="minorHAnsi"/>
                <w:szCs w:val="24"/>
              </w:rPr>
              <w:t xml:space="preserve"> mg</w:t>
            </w:r>
          </w:p>
          <w:p w14:paraId="499D2EDE" w14:textId="77777777" w:rsidR="008B6729" w:rsidRPr="005869C5" w:rsidRDefault="008B6729" w:rsidP="008600B5">
            <w:pPr>
              <w:pStyle w:val="ListParagraph"/>
              <w:numPr>
                <w:ilvl w:val="0"/>
                <w:numId w:val="16"/>
              </w:numPr>
              <w:spacing w:before="60" w:after="60"/>
              <w:ind w:left="317" w:hanging="317"/>
              <w:jc w:val="left"/>
              <w:rPr>
                <w:rFonts w:asciiTheme="minorHAnsi" w:hAnsiTheme="minorHAnsi"/>
                <w:szCs w:val="24"/>
              </w:rPr>
            </w:pPr>
            <w:r w:rsidRPr="005869C5">
              <w:rPr>
                <w:rFonts w:asciiTheme="minorHAnsi" w:hAnsiTheme="minorHAnsi"/>
                <w:szCs w:val="24"/>
              </w:rPr>
              <w:t xml:space="preserve">Ezetimibe </w:t>
            </w:r>
            <w:r w:rsidR="00A50B6D" w:rsidRPr="005869C5">
              <w:rPr>
                <w:rFonts w:asciiTheme="minorHAnsi" w:hAnsiTheme="minorHAnsi"/>
                <w:szCs w:val="24"/>
              </w:rPr>
              <w:t>plus</w:t>
            </w:r>
            <w:r w:rsidRPr="005869C5">
              <w:rPr>
                <w:rFonts w:asciiTheme="minorHAnsi" w:hAnsiTheme="minorHAnsi"/>
                <w:szCs w:val="24"/>
              </w:rPr>
              <w:t xml:space="preserve"> Rosuvastatin 5/10</w:t>
            </w:r>
            <w:r w:rsidR="00F64114" w:rsidRPr="005869C5">
              <w:rPr>
                <w:rFonts w:asciiTheme="minorHAnsi" w:hAnsiTheme="minorHAnsi"/>
                <w:szCs w:val="24"/>
              </w:rPr>
              <w:t xml:space="preserve"> mg</w:t>
            </w:r>
          </w:p>
        </w:tc>
        <w:tc>
          <w:tcPr>
            <w:tcW w:w="7087" w:type="dxa"/>
            <w:shd w:val="clear" w:color="auto" w:fill="auto"/>
          </w:tcPr>
          <w:p w14:paraId="2E1BCDBF" w14:textId="77777777" w:rsidR="000F1CF3" w:rsidRDefault="000F1CF3" w:rsidP="000F1CF3">
            <w:pPr>
              <w:pStyle w:val="BodyText"/>
              <w:tabs>
                <w:tab w:val="left" w:pos="461"/>
              </w:tabs>
              <w:spacing w:after="0"/>
              <w:ind w:right="593"/>
              <w:rPr>
                <w:rFonts w:asciiTheme="minorHAnsi" w:hAnsiTheme="minorHAnsi"/>
                <w:b/>
                <w:szCs w:val="24"/>
              </w:rPr>
            </w:pPr>
            <w:r w:rsidRPr="00692E6E">
              <w:rPr>
                <w:rFonts w:asciiTheme="minorHAnsi" w:hAnsiTheme="minorHAnsi"/>
                <w:b/>
                <w:szCs w:val="24"/>
              </w:rPr>
              <w:t>Authority Required (STREAMLINED)</w:t>
            </w:r>
          </w:p>
          <w:p w14:paraId="7BB0DCB8" w14:textId="77777777" w:rsidR="008B6729" w:rsidRPr="005869C5" w:rsidRDefault="008B6729" w:rsidP="000F1CF3">
            <w:pPr>
              <w:pStyle w:val="BodyText"/>
              <w:tabs>
                <w:tab w:val="left" w:pos="461"/>
              </w:tabs>
              <w:spacing w:after="0"/>
              <w:ind w:right="593"/>
              <w:rPr>
                <w:rFonts w:asciiTheme="minorHAnsi" w:hAnsiTheme="minorHAnsi"/>
                <w:spacing w:val="-1"/>
                <w:szCs w:val="24"/>
              </w:rPr>
            </w:pPr>
            <w:r w:rsidRPr="005869C5">
              <w:rPr>
                <w:rFonts w:asciiTheme="minorHAnsi" w:hAnsiTheme="minorHAnsi"/>
                <w:color w:val="212121"/>
                <w:spacing w:val="-1"/>
                <w:szCs w:val="24"/>
              </w:rPr>
              <w:t>Patient</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must</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meet</w:t>
            </w:r>
            <w:r w:rsidRPr="005869C5">
              <w:rPr>
                <w:rFonts w:asciiTheme="minorHAnsi" w:hAnsiTheme="minorHAnsi"/>
                <w:color w:val="212121"/>
                <w:spacing w:val="-2"/>
                <w:szCs w:val="24"/>
              </w:rPr>
              <w:t xml:space="preserve"> </w:t>
            </w:r>
            <w:r w:rsidRPr="005869C5">
              <w:rPr>
                <w:rFonts w:asciiTheme="minorHAnsi" w:hAnsiTheme="minorHAnsi"/>
                <w:color w:val="212121"/>
                <w:szCs w:val="24"/>
              </w:rPr>
              <w:t>the</w:t>
            </w:r>
            <w:r w:rsidRPr="005869C5">
              <w:rPr>
                <w:rFonts w:asciiTheme="minorHAnsi" w:hAnsiTheme="minorHAnsi"/>
                <w:color w:val="212121"/>
                <w:spacing w:val="-2"/>
                <w:szCs w:val="24"/>
              </w:rPr>
              <w:t xml:space="preserve"> </w:t>
            </w:r>
            <w:r w:rsidRPr="005869C5">
              <w:rPr>
                <w:rFonts w:asciiTheme="minorHAnsi" w:hAnsiTheme="minorHAnsi"/>
                <w:color w:val="212121"/>
                <w:spacing w:val="-1"/>
                <w:szCs w:val="24"/>
              </w:rPr>
              <w:t>criteria</w:t>
            </w:r>
            <w:r w:rsidRPr="005869C5">
              <w:rPr>
                <w:rFonts w:asciiTheme="minorHAnsi" w:hAnsiTheme="minorHAnsi"/>
                <w:color w:val="212121"/>
                <w:szCs w:val="24"/>
              </w:rPr>
              <w:t xml:space="preserve"> </w:t>
            </w:r>
            <w:r w:rsidRPr="005869C5">
              <w:rPr>
                <w:rFonts w:asciiTheme="minorHAnsi" w:hAnsiTheme="minorHAnsi"/>
                <w:color w:val="212121"/>
                <w:spacing w:val="-1"/>
                <w:szCs w:val="24"/>
              </w:rPr>
              <w:t>set</w:t>
            </w:r>
            <w:r w:rsidRPr="005869C5">
              <w:rPr>
                <w:rFonts w:asciiTheme="minorHAnsi" w:hAnsiTheme="minorHAnsi"/>
                <w:color w:val="212121"/>
                <w:spacing w:val="1"/>
                <w:szCs w:val="24"/>
              </w:rPr>
              <w:t xml:space="preserve"> </w:t>
            </w:r>
            <w:r w:rsidRPr="005869C5">
              <w:rPr>
                <w:rFonts w:asciiTheme="minorHAnsi" w:hAnsiTheme="minorHAnsi"/>
                <w:color w:val="212121"/>
                <w:spacing w:val="-1"/>
                <w:szCs w:val="24"/>
              </w:rPr>
              <w:t>out</w:t>
            </w:r>
            <w:r w:rsidRPr="005869C5">
              <w:rPr>
                <w:rFonts w:asciiTheme="minorHAnsi" w:hAnsiTheme="minorHAnsi"/>
                <w:color w:val="212121"/>
                <w:spacing w:val="-2"/>
                <w:szCs w:val="24"/>
              </w:rPr>
              <w:t xml:space="preserve"> </w:t>
            </w:r>
            <w:r w:rsidRPr="005869C5">
              <w:rPr>
                <w:rFonts w:asciiTheme="minorHAnsi" w:hAnsiTheme="minorHAnsi"/>
                <w:color w:val="212121"/>
                <w:szCs w:val="24"/>
              </w:rPr>
              <w:t xml:space="preserve">in </w:t>
            </w:r>
            <w:r w:rsidRPr="005869C5">
              <w:rPr>
                <w:rFonts w:asciiTheme="minorHAnsi" w:hAnsiTheme="minorHAnsi"/>
                <w:color w:val="212121"/>
                <w:spacing w:val="-1"/>
                <w:szCs w:val="24"/>
              </w:rPr>
              <w:t>the</w:t>
            </w:r>
            <w:r w:rsidRPr="005869C5">
              <w:rPr>
                <w:rFonts w:asciiTheme="minorHAnsi" w:hAnsiTheme="minorHAnsi"/>
                <w:color w:val="212121"/>
                <w:spacing w:val="3"/>
                <w:szCs w:val="24"/>
              </w:rPr>
              <w:t xml:space="preserve"> </w:t>
            </w:r>
            <w:r w:rsidRPr="005869C5">
              <w:rPr>
                <w:rFonts w:asciiTheme="minorHAnsi" w:hAnsiTheme="minorHAnsi"/>
                <w:spacing w:val="-1"/>
                <w:szCs w:val="24"/>
              </w:rPr>
              <w:t>General</w:t>
            </w:r>
            <w:r w:rsidRPr="005869C5">
              <w:rPr>
                <w:rFonts w:asciiTheme="minorHAnsi" w:hAnsiTheme="minorHAnsi"/>
                <w:szCs w:val="24"/>
              </w:rPr>
              <w:t xml:space="preserve"> </w:t>
            </w:r>
            <w:r w:rsidRPr="005869C5">
              <w:rPr>
                <w:rFonts w:asciiTheme="minorHAnsi" w:hAnsiTheme="minorHAnsi"/>
                <w:spacing w:val="-1"/>
                <w:szCs w:val="24"/>
              </w:rPr>
              <w:t>Statement</w:t>
            </w:r>
            <w:r w:rsidRPr="005869C5">
              <w:rPr>
                <w:rFonts w:asciiTheme="minorHAnsi" w:hAnsiTheme="minorHAnsi"/>
                <w:spacing w:val="1"/>
                <w:szCs w:val="24"/>
              </w:rPr>
              <w:t xml:space="preserve"> </w:t>
            </w:r>
            <w:r w:rsidRPr="005869C5">
              <w:rPr>
                <w:rFonts w:asciiTheme="minorHAnsi" w:hAnsiTheme="minorHAnsi"/>
                <w:spacing w:val="-1"/>
                <w:szCs w:val="24"/>
              </w:rPr>
              <w:t>for</w:t>
            </w:r>
            <w:r w:rsidRPr="005869C5">
              <w:rPr>
                <w:rFonts w:asciiTheme="minorHAnsi" w:hAnsiTheme="minorHAnsi"/>
                <w:szCs w:val="24"/>
              </w:rPr>
              <w:t xml:space="preserve"> </w:t>
            </w:r>
            <w:r w:rsidRPr="005869C5">
              <w:rPr>
                <w:rFonts w:asciiTheme="minorHAnsi" w:hAnsiTheme="minorHAnsi"/>
                <w:spacing w:val="-1"/>
                <w:szCs w:val="24"/>
              </w:rPr>
              <w:t>Lipid-Lowering</w:t>
            </w:r>
            <w:r w:rsidRPr="005869C5">
              <w:rPr>
                <w:rFonts w:asciiTheme="minorHAnsi" w:hAnsiTheme="minorHAnsi"/>
                <w:spacing w:val="-3"/>
                <w:szCs w:val="24"/>
              </w:rPr>
              <w:t xml:space="preserve"> </w:t>
            </w:r>
            <w:r w:rsidRPr="005869C5">
              <w:rPr>
                <w:rFonts w:asciiTheme="minorHAnsi" w:hAnsiTheme="minorHAnsi"/>
                <w:spacing w:val="-1"/>
                <w:szCs w:val="24"/>
              </w:rPr>
              <w:t xml:space="preserve">Drugs </w:t>
            </w:r>
          </w:p>
          <w:p w14:paraId="4B1071DC" w14:textId="77777777" w:rsidR="008B6729" w:rsidRPr="005869C5" w:rsidRDefault="008B6729" w:rsidP="000F1CF3">
            <w:pPr>
              <w:pStyle w:val="NormalWeb"/>
              <w:spacing w:before="0" w:beforeAutospacing="0" w:after="0" w:afterAutospacing="0" w:line="300" w:lineRule="atLeast"/>
              <w:rPr>
                <w:rFonts w:asciiTheme="minorHAnsi" w:hAnsiTheme="minorHAnsi" w:cs="Arial"/>
                <w:b/>
                <w:bCs/>
              </w:rPr>
            </w:pPr>
            <w:r w:rsidRPr="005869C5">
              <w:rPr>
                <w:rFonts w:asciiTheme="minorHAnsi" w:hAnsiTheme="minorHAnsi" w:cs="Arial"/>
                <w:b/>
                <w:bCs/>
              </w:rPr>
              <w:t>AND</w:t>
            </w:r>
          </w:p>
          <w:p w14:paraId="50ECD7DE" w14:textId="77777777" w:rsidR="008B6729" w:rsidRPr="005869C5" w:rsidRDefault="008B6729" w:rsidP="000F1CF3">
            <w:pPr>
              <w:pStyle w:val="BodyText"/>
              <w:tabs>
                <w:tab w:val="left" w:pos="461"/>
              </w:tabs>
              <w:spacing w:after="0"/>
              <w:ind w:firstLine="34"/>
              <w:rPr>
                <w:rFonts w:asciiTheme="minorHAnsi" w:hAnsiTheme="minorHAnsi"/>
                <w:color w:val="212121"/>
                <w:spacing w:val="-1"/>
                <w:szCs w:val="24"/>
              </w:rPr>
            </w:pPr>
            <w:r w:rsidRPr="005869C5">
              <w:rPr>
                <w:rFonts w:asciiTheme="minorHAnsi" w:hAnsiTheme="minorHAnsi"/>
                <w:color w:val="212121"/>
                <w:spacing w:val="-1"/>
                <w:szCs w:val="24"/>
              </w:rPr>
              <w:t>Patient has developed a clinically important product related adverse drug event necessitating a reduction in statin dose</w:t>
            </w:r>
          </w:p>
        </w:tc>
      </w:tr>
    </w:tbl>
    <w:p w14:paraId="55CFE464" w14:textId="77777777" w:rsidR="000D3D03" w:rsidRDefault="000D3D03" w:rsidP="00514129">
      <w:pPr>
        <w:pStyle w:val="Heading3"/>
        <w:jc w:val="left"/>
      </w:pPr>
    </w:p>
    <w:p w14:paraId="21745D0A" w14:textId="51BA917C" w:rsidR="0000686B" w:rsidRPr="00E631B0" w:rsidRDefault="003848A8" w:rsidP="00514129">
      <w:pPr>
        <w:pStyle w:val="Heading3"/>
        <w:jc w:val="left"/>
      </w:pPr>
      <w:bookmarkStart w:id="41" w:name="_Toc500510205"/>
      <w:r w:rsidRPr="00E631B0">
        <w:t>B.</w:t>
      </w:r>
      <w:r w:rsidR="002D6CEA" w:rsidRPr="00E631B0">
        <w:t>3.1</w:t>
      </w:r>
      <w:r w:rsidR="002D6CEA" w:rsidRPr="00E631B0">
        <w:tab/>
      </w:r>
      <w:r w:rsidR="000D3D03" w:rsidRPr="00E631B0">
        <w:t>Why review e</w:t>
      </w:r>
      <w:r w:rsidR="0000686B" w:rsidRPr="00E631B0">
        <w:t>zetimibe?</w:t>
      </w:r>
      <w:bookmarkEnd w:id="41"/>
    </w:p>
    <w:p w14:paraId="08221AC2" w14:textId="77777777" w:rsidR="0000686B" w:rsidRPr="00E631B0" w:rsidRDefault="0000686B" w:rsidP="000831ED">
      <w:pPr>
        <w:spacing w:line="240" w:lineRule="auto"/>
        <w:jc w:val="left"/>
        <w:rPr>
          <w:rFonts w:asciiTheme="minorHAnsi" w:hAnsiTheme="minorHAnsi"/>
          <w:bCs/>
        </w:rPr>
      </w:pPr>
      <w:r w:rsidRPr="00E631B0">
        <w:rPr>
          <w:rFonts w:asciiTheme="minorHAnsi" w:hAnsiTheme="minorHAnsi"/>
          <w:bCs/>
        </w:rPr>
        <w:t xml:space="preserve">In July 2013, the PBAC expressed concern that the listing of the ezetimibe </w:t>
      </w:r>
      <w:r w:rsidR="00750E7F" w:rsidRPr="00E631B0">
        <w:rPr>
          <w:rFonts w:asciiTheme="minorHAnsi" w:hAnsiTheme="minorHAnsi"/>
          <w:bCs/>
        </w:rPr>
        <w:t xml:space="preserve">plus </w:t>
      </w:r>
      <w:r w:rsidRPr="00E631B0">
        <w:rPr>
          <w:rFonts w:asciiTheme="minorHAnsi" w:hAnsiTheme="minorHAnsi"/>
          <w:bCs/>
        </w:rPr>
        <w:t>atorvastatin co-pack m</w:t>
      </w:r>
      <w:r w:rsidR="00750E7F" w:rsidRPr="00E631B0">
        <w:rPr>
          <w:rFonts w:asciiTheme="minorHAnsi" w:hAnsiTheme="minorHAnsi"/>
          <w:bCs/>
        </w:rPr>
        <w:t>ay</w:t>
      </w:r>
      <w:r w:rsidRPr="00E631B0">
        <w:rPr>
          <w:rFonts w:asciiTheme="minorHAnsi" w:hAnsiTheme="minorHAnsi"/>
          <w:bCs/>
        </w:rPr>
        <w:t xml:space="preserve"> direct use away from </w:t>
      </w:r>
      <w:r w:rsidR="00750E7F" w:rsidRPr="00E631B0">
        <w:rPr>
          <w:rFonts w:asciiTheme="minorHAnsi" w:hAnsiTheme="minorHAnsi"/>
          <w:bCs/>
        </w:rPr>
        <w:t xml:space="preserve">the </w:t>
      </w:r>
      <w:r w:rsidRPr="00E631B0">
        <w:rPr>
          <w:rFonts w:asciiTheme="minorHAnsi" w:hAnsiTheme="minorHAnsi"/>
          <w:bCs/>
        </w:rPr>
        <w:t>optimal titration of statin</w:t>
      </w:r>
      <w:r w:rsidR="00750E7F" w:rsidRPr="00E631B0">
        <w:rPr>
          <w:rFonts w:asciiTheme="minorHAnsi" w:hAnsiTheme="minorHAnsi"/>
          <w:bCs/>
        </w:rPr>
        <w:t xml:space="preserve"> monotherapy.</w:t>
      </w:r>
      <w:r w:rsidRPr="00E631B0">
        <w:rPr>
          <w:rFonts w:asciiTheme="minorHAnsi" w:hAnsiTheme="minorHAnsi"/>
          <w:bCs/>
        </w:rPr>
        <w:t xml:space="preserve"> Optimal titration of statins refers to the process of gradually adjusting the dose of a statin or prescribing a statin of higher potency until the maximum (or targeted) reduction in LDL-C concentration is achieved. Dose adjustments and choice of statin are balanced against any adverse effects that may occur. </w:t>
      </w:r>
    </w:p>
    <w:p w14:paraId="1F693AF4" w14:textId="77777777" w:rsidR="0000686B" w:rsidRPr="00E631B0" w:rsidRDefault="0000686B" w:rsidP="000831ED">
      <w:pPr>
        <w:spacing w:line="240" w:lineRule="auto"/>
        <w:jc w:val="left"/>
        <w:rPr>
          <w:rFonts w:asciiTheme="minorHAnsi" w:hAnsiTheme="minorHAnsi"/>
          <w:bCs/>
        </w:rPr>
      </w:pPr>
      <w:r w:rsidRPr="00E631B0">
        <w:rPr>
          <w:rFonts w:asciiTheme="minorHAnsi" w:hAnsiTheme="minorHAnsi"/>
          <w:bCs/>
        </w:rPr>
        <w:t xml:space="preserve">In November 2013, the PBAC again expressed concern when considering the listing of the ezetimibe </w:t>
      </w:r>
      <w:r w:rsidR="00750E7F" w:rsidRPr="00E631B0">
        <w:rPr>
          <w:rFonts w:asciiTheme="minorHAnsi" w:hAnsiTheme="minorHAnsi"/>
          <w:bCs/>
        </w:rPr>
        <w:t xml:space="preserve">plus </w:t>
      </w:r>
      <w:r w:rsidRPr="00E631B0">
        <w:rPr>
          <w:rFonts w:asciiTheme="minorHAnsi" w:hAnsiTheme="minorHAnsi"/>
          <w:bCs/>
        </w:rPr>
        <w:t xml:space="preserve">rosuvastatin co-pack. The PBAC noted at that time that there were no studies of ezetimibe with patient relevant outcome data, such as reduction in cardiovascular events or stroke or improved mortality. However, outcome studies had been undertaken for a number of statin medicines. </w:t>
      </w:r>
    </w:p>
    <w:p w14:paraId="23075824" w14:textId="57FE048B" w:rsidR="0000686B" w:rsidRPr="00E631B0" w:rsidRDefault="00750E7F" w:rsidP="000831ED">
      <w:pPr>
        <w:spacing w:line="240" w:lineRule="auto"/>
        <w:jc w:val="left"/>
        <w:rPr>
          <w:rFonts w:asciiTheme="minorHAnsi" w:hAnsiTheme="minorHAnsi"/>
          <w:bCs/>
        </w:rPr>
      </w:pPr>
      <w:r w:rsidRPr="00E631B0">
        <w:rPr>
          <w:rFonts w:asciiTheme="minorHAnsi" w:hAnsiTheme="minorHAnsi"/>
          <w:bCs/>
        </w:rPr>
        <w:t>T</w:t>
      </w:r>
      <w:r w:rsidR="0000686B" w:rsidRPr="00E631B0">
        <w:rPr>
          <w:rFonts w:asciiTheme="minorHAnsi" w:hAnsiTheme="minorHAnsi"/>
          <w:bCs/>
        </w:rPr>
        <w:t xml:space="preserve">here has been a </w:t>
      </w:r>
      <w:r w:rsidRPr="00E631B0">
        <w:rPr>
          <w:rFonts w:asciiTheme="minorHAnsi" w:hAnsiTheme="minorHAnsi"/>
          <w:bCs/>
        </w:rPr>
        <w:t xml:space="preserve">significant </w:t>
      </w:r>
      <w:r w:rsidR="0000686B" w:rsidRPr="00E631B0">
        <w:rPr>
          <w:rFonts w:asciiTheme="minorHAnsi" w:hAnsiTheme="minorHAnsi"/>
          <w:bCs/>
        </w:rPr>
        <w:t xml:space="preserve">reduction in the </w:t>
      </w:r>
      <w:r w:rsidR="00816EBE" w:rsidRPr="00E631B0">
        <w:rPr>
          <w:rFonts w:asciiTheme="minorHAnsi" w:hAnsiTheme="minorHAnsi"/>
          <w:bCs/>
        </w:rPr>
        <w:t xml:space="preserve">PBS </w:t>
      </w:r>
      <w:r w:rsidR="0000686B" w:rsidRPr="00E631B0">
        <w:rPr>
          <w:rFonts w:asciiTheme="minorHAnsi" w:hAnsiTheme="minorHAnsi"/>
          <w:bCs/>
        </w:rPr>
        <w:t>price of statins since 2003 through PBS Statutory Pricing policy</w:t>
      </w:r>
      <w:r w:rsidRPr="00E631B0">
        <w:rPr>
          <w:rFonts w:asciiTheme="minorHAnsi" w:hAnsiTheme="minorHAnsi"/>
          <w:bCs/>
        </w:rPr>
        <w:t xml:space="preserve"> whereas</w:t>
      </w:r>
      <w:r w:rsidR="0000686B" w:rsidRPr="00E631B0">
        <w:rPr>
          <w:rFonts w:asciiTheme="minorHAnsi" w:hAnsiTheme="minorHAnsi"/>
          <w:bCs/>
        </w:rPr>
        <w:t xml:space="preserve"> ezetimibe has taken </w:t>
      </w:r>
      <w:r w:rsidR="00816EBE" w:rsidRPr="00E631B0">
        <w:rPr>
          <w:rFonts w:asciiTheme="minorHAnsi" w:hAnsiTheme="minorHAnsi"/>
          <w:bCs/>
        </w:rPr>
        <w:t xml:space="preserve">only </w:t>
      </w:r>
      <w:r w:rsidR="0000686B" w:rsidRPr="00E631B0">
        <w:rPr>
          <w:rFonts w:asciiTheme="minorHAnsi" w:hAnsiTheme="minorHAnsi"/>
          <w:bCs/>
        </w:rPr>
        <w:t>one price reduction in April 2016 of 5%. The PBAC noted that the ezetimibe component was the largest contribution to the price</w:t>
      </w:r>
      <w:r w:rsidRPr="00E631B0">
        <w:rPr>
          <w:rFonts w:asciiTheme="minorHAnsi" w:hAnsiTheme="minorHAnsi"/>
          <w:bCs/>
        </w:rPr>
        <w:t xml:space="preserve"> of statin plus ezetimibe combinations</w:t>
      </w:r>
      <w:r w:rsidR="0000686B" w:rsidRPr="00E631B0">
        <w:rPr>
          <w:rFonts w:asciiTheme="minorHAnsi" w:hAnsiTheme="minorHAnsi"/>
          <w:bCs/>
        </w:rPr>
        <w:t>.  The PBAC asked the Minister to consider a review of the cost</w:t>
      </w:r>
      <w:r w:rsidR="00216B38" w:rsidRPr="00E631B0">
        <w:rPr>
          <w:rFonts w:asciiTheme="minorHAnsi" w:hAnsiTheme="minorHAnsi"/>
          <w:bCs/>
        </w:rPr>
        <w:t>-</w:t>
      </w:r>
      <w:r w:rsidR="0000686B" w:rsidRPr="00E631B0">
        <w:rPr>
          <w:rFonts w:asciiTheme="minorHAnsi" w:hAnsiTheme="minorHAnsi"/>
          <w:bCs/>
        </w:rPr>
        <w:t xml:space="preserve">effectiveness of ezetimibe. The PBAC noted that any such review should take into account the latest available evidence and best practice. </w:t>
      </w:r>
    </w:p>
    <w:p w14:paraId="6BCD2B13" w14:textId="77777777" w:rsidR="0000686B" w:rsidRPr="00E631B0" w:rsidRDefault="0000686B" w:rsidP="000831ED">
      <w:pPr>
        <w:spacing w:line="240" w:lineRule="auto"/>
        <w:jc w:val="left"/>
        <w:rPr>
          <w:rFonts w:asciiTheme="minorHAnsi" w:hAnsiTheme="minorHAnsi"/>
          <w:bCs/>
        </w:rPr>
      </w:pPr>
      <w:r w:rsidRPr="00E631B0">
        <w:rPr>
          <w:rFonts w:asciiTheme="minorHAnsi" w:hAnsiTheme="minorHAnsi"/>
          <w:bCs/>
        </w:rPr>
        <w:t xml:space="preserve">In July 2014, the PBAC reiterated this view in considering the ezetimibe </w:t>
      </w:r>
      <w:r w:rsidR="00750E7F" w:rsidRPr="00E631B0">
        <w:rPr>
          <w:rFonts w:asciiTheme="minorHAnsi" w:hAnsiTheme="minorHAnsi"/>
          <w:bCs/>
        </w:rPr>
        <w:t>plus</w:t>
      </w:r>
      <w:r w:rsidRPr="00E631B0">
        <w:rPr>
          <w:rFonts w:asciiTheme="minorHAnsi" w:hAnsiTheme="minorHAnsi"/>
          <w:bCs/>
        </w:rPr>
        <w:t xml:space="preserve"> rosuvastatin fixed dose combination (FDC). </w:t>
      </w:r>
    </w:p>
    <w:p w14:paraId="38FA7B7A" w14:textId="77777777" w:rsidR="0000686B" w:rsidRPr="00E631B0" w:rsidRDefault="0000686B" w:rsidP="000831ED">
      <w:pPr>
        <w:spacing w:line="240" w:lineRule="auto"/>
        <w:jc w:val="left"/>
        <w:rPr>
          <w:rFonts w:asciiTheme="minorHAnsi" w:hAnsiTheme="minorHAnsi"/>
          <w:bCs/>
        </w:rPr>
      </w:pPr>
      <w:r w:rsidRPr="00E631B0">
        <w:rPr>
          <w:rFonts w:asciiTheme="minorHAnsi" w:hAnsiTheme="minorHAnsi"/>
          <w:bCs/>
        </w:rPr>
        <w:t xml:space="preserve">In October 2014, the DUSC undertook an analysis of PBS utilisation of subsidised ezetimibe with simvastatin products. The analysis found that: </w:t>
      </w:r>
    </w:p>
    <w:p w14:paraId="7C5FCFA8" w14:textId="77777777" w:rsidR="0000686B" w:rsidRPr="00E631B0" w:rsidRDefault="0000686B" w:rsidP="000831ED">
      <w:pPr>
        <w:numPr>
          <w:ilvl w:val="0"/>
          <w:numId w:val="6"/>
        </w:numPr>
        <w:spacing w:after="120" w:line="240" w:lineRule="auto"/>
        <w:ind w:left="426" w:hanging="426"/>
        <w:jc w:val="left"/>
        <w:rPr>
          <w:rFonts w:asciiTheme="minorHAnsi" w:eastAsia="MS Mincho" w:hAnsiTheme="minorHAnsi"/>
          <w:szCs w:val="24"/>
          <w:lang w:eastAsia="en-AU"/>
        </w:rPr>
      </w:pPr>
      <w:r w:rsidRPr="00E631B0">
        <w:rPr>
          <w:rFonts w:asciiTheme="minorHAnsi" w:eastAsia="MS Mincho" w:hAnsiTheme="minorHAnsi"/>
          <w:szCs w:val="24"/>
          <w:lang w:eastAsia="en-AU"/>
        </w:rPr>
        <w:t>The number of new patients commencing ezetimibe in any presentation was steady, with approximately 38,000 new patients each year. The number of prevalent patients on ezetimibe was increasing over time, and the majority of patient use was ezetimibe added to a statin.</w:t>
      </w:r>
    </w:p>
    <w:p w14:paraId="02AE6628" w14:textId="77777777" w:rsidR="0000686B" w:rsidRPr="00E631B0" w:rsidRDefault="0000686B" w:rsidP="000831ED">
      <w:pPr>
        <w:numPr>
          <w:ilvl w:val="0"/>
          <w:numId w:val="6"/>
        </w:numPr>
        <w:spacing w:after="120" w:line="240" w:lineRule="auto"/>
        <w:ind w:left="425" w:hanging="425"/>
        <w:jc w:val="left"/>
        <w:rPr>
          <w:rFonts w:asciiTheme="minorHAnsi" w:eastAsia="MS Mincho" w:hAnsiTheme="minorHAnsi"/>
          <w:szCs w:val="24"/>
          <w:lang w:eastAsia="en-AU"/>
        </w:rPr>
      </w:pPr>
      <w:r w:rsidRPr="00E631B0">
        <w:rPr>
          <w:rFonts w:asciiTheme="minorHAnsi" w:eastAsia="MS Mincho" w:hAnsiTheme="minorHAnsi"/>
          <w:szCs w:val="24"/>
          <w:lang w:eastAsia="en-AU"/>
        </w:rPr>
        <w:t>The listings of the 10-10 mg and 10-20 mg FDCs of ezetimibe plus simvastatin were expected to replace the concomitant use of ezetimibe and simvastatin. This was not the case and twelve months after listing use of these two formulations had increased:</w:t>
      </w:r>
    </w:p>
    <w:p w14:paraId="7791C540" w14:textId="4701318C" w:rsidR="0000686B" w:rsidRPr="00E631B0" w:rsidRDefault="00816EBE" w:rsidP="000831ED">
      <w:pPr>
        <w:pStyle w:val="ListParagraph"/>
        <w:numPr>
          <w:ilvl w:val="1"/>
          <w:numId w:val="6"/>
        </w:numPr>
        <w:spacing w:after="120" w:line="240" w:lineRule="auto"/>
        <w:ind w:left="709" w:hanging="283"/>
        <w:contextualSpacing w:val="0"/>
        <w:jc w:val="left"/>
        <w:rPr>
          <w:rFonts w:asciiTheme="minorHAnsi" w:eastAsia="MS Mincho" w:hAnsiTheme="minorHAnsi"/>
          <w:szCs w:val="24"/>
          <w:lang w:eastAsia="en-AU"/>
        </w:rPr>
      </w:pPr>
      <w:r w:rsidRPr="00E631B0">
        <w:rPr>
          <w:rFonts w:asciiTheme="minorHAnsi" w:eastAsia="MS Mincho" w:hAnsiTheme="minorHAnsi"/>
          <w:szCs w:val="24"/>
          <w:lang w:eastAsia="en-AU"/>
        </w:rPr>
        <w:t>T</w:t>
      </w:r>
      <w:r w:rsidR="0000686B" w:rsidRPr="00E631B0">
        <w:rPr>
          <w:rFonts w:asciiTheme="minorHAnsi" w:eastAsia="MS Mincho" w:hAnsiTheme="minorHAnsi"/>
          <w:szCs w:val="24"/>
          <w:lang w:eastAsia="en-AU"/>
        </w:rPr>
        <w:t xml:space="preserve">he number of patients taking ezetimibe + simvastatin 10 mg or 20 mg (as the concomitant agents or in a FDC) increased from 9,800 to 12,872. </w:t>
      </w:r>
    </w:p>
    <w:p w14:paraId="2E491559" w14:textId="13D694AA" w:rsidR="0000686B" w:rsidRPr="00E631B0" w:rsidRDefault="00816EBE" w:rsidP="000831ED">
      <w:pPr>
        <w:pStyle w:val="ListParagraph"/>
        <w:numPr>
          <w:ilvl w:val="1"/>
          <w:numId w:val="6"/>
        </w:numPr>
        <w:spacing w:after="120" w:line="240" w:lineRule="auto"/>
        <w:ind w:left="709" w:hanging="283"/>
        <w:contextualSpacing w:val="0"/>
        <w:jc w:val="left"/>
        <w:rPr>
          <w:rFonts w:asciiTheme="minorHAnsi" w:eastAsia="MS Mincho" w:hAnsiTheme="minorHAnsi"/>
          <w:szCs w:val="24"/>
          <w:lang w:eastAsia="en-AU"/>
        </w:rPr>
      </w:pPr>
      <w:r w:rsidRPr="00E631B0">
        <w:rPr>
          <w:rFonts w:asciiTheme="minorHAnsi" w:eastAsia="MS Mincho" w:hAnsiTheme="minorHAnsi"/>
          <w:szCs w:val="24"/>
          <w:lang w:eastAsia="en-AU"/>
        </w:rPr>
        <w:t>A</w:t>
      </w:r>
      <w:r w:rsidR="0000686B" w:rsidRPr="00E631B0">
        <w:rPr>
          <w:rFonts w:asciiTheme="minorHAnsi" w:eastAsia="MS Mincho" w:hAnsiTheme="minorHAnsi"/>
          <w:szCs w:val="24"/>
          <w:lang w:eastAsia="en-AU"/>
        </w:rPr>
        <w:t xml:space="preserve">n additional 3,096 people were on the 10-10 </w:t>
      </w:r>
      <w:r w:rsidRPr="00E631B0">
        <w:rPr>
          <w:rFonts w:asciiTheme="minorHAnsi" w:eastAsia="MS Mincho" w:hAnsiTheme="minorHAnsi"/>
          <w:szCs w:val="24"/>
          <w:lang w:eastAsia="en-AU"/>
        </w:rPr>
        <w:t xml:space="preserve">mg </w:t>
      </w:r>
      <w:r w:rsidR="0000686B" w:rsidRPr="00E631B0">
        <w:rPr>
          <w:rFonts w:asciiTheme="minorHAnsi" w:eastAsia="MS Mincho" w:hAnsiTheme="minorHAnsi"/>
          <w:szCs w:val="24"/>
          <w:lang w:eastAsia="en-AU"/>
        </w:rPr>
        <w:t xml:space="preserve">and 10-20 </w:t>
      </w:r>
      <w:r w:rsidRPr="00E631B0">
        <w:rPr>
          <w:rFonts w:asciiTheme="minorHAnsi" w:eastAsia="MS Mincho" w:hAnsiTheme="minorHAnsi"/>
          <w:szCs w:val="24"/>
          <w:lang w:eastAsia="en-AU"/>
        </w:rPr>
        <w:t xml:space="preserve">mg </w:t>
      </w:r>
      <w:r w:rsidR="0000686B" w:rsidRPr="00E631B0">
        <w:rPr>
          <w:rFonts w:asciiTheme="minorHAnsi" w:eastAsia="MS Mincho" w:hAnsiTheme="minorHAnsi"/>
          <w:szCs w:val="24"/>
          <w:lang w:eastAsia="en-AU"/>
        </w:rPr>
        <w:t>FDC forms, but only 24 fewer patients were on the concomitant agents. That is, the FDC did not substitute for the concomitant agents as expected.</w:t>
      </w:r>
    </w:p>
    <w:p w14:paraId="44C4D3B8" w14:textId="2A0990D1" w:rsidR="0000686B" w:rsidRPr="00E631B0" w:rsidRDefault="0000686B" w:rsidP="000831ED">
      <w:pPr>
        <w:numPr>
          <w:ilvl w:val="0"/>
          <w:numId w:val="6"/>
        </w:numPr>
        <w:spacing w:after="120" w:line="240" w:lineRule="auto"/>
        <w:ind w:left="426" w:hanging="426"/>
        <w:jc w:val="left"/>
        <w:rPr>
          <w:rFonts w:asciiTheme="minorHAnsi" w:eastAsia="MS Mincho" w:hAnsiTheme="minorHAnsi"/>
          <w:szCs w:val="24"/>
          <w:lang w:eastAsia="en-AU"/>
        </w:rPr>
      </w:pPr>
      <w:r w:rsidRPr="00E631B0">
        <w:rPr>
          <w:rFonts w:asciiTheme="minorHAnsi" w:eastAsia="MS Mincho" w:hAnsiTheme="minorHAnsi"/>
          <w:szCs w:val="24"/>
          <w:lang w:eastAsia="en-AU"/>
        </w:rPr>
        <w:t>Analysis of the streamlined authority code data indicated that the majority of ezetimibe</w:t>
      </w:r>
      <w:r w:rsidR="003B5FC4" w:rsidRPr="00E631B0">
        <w:rPr>
          <w:rFonts w:asciiTheme="minorHAnsi" w:eastAsia="MS Mincho" w:hAnsiTheme="minorHAnsi"/>
          <w:szCs w:val="24"/>
          <w:lang w:eastAsia="en-AU"/>
        </w:rPr>
        <w:t xml:space="preserve"> use</w:t>
      </w:r>
      <w:r w:rsidRPr="00E631B0">
        <w:rPr>
          <w:rFonts w:asciiTheme="minorHAnsi" w:eastAsia="MS Mincho" w:hAnsiTheme="minorHAnsi"/>
          <w:szCs w:val="24"/>
          <w:lang w:eastAsia="en-AU"/>
        </w:rPr>
        <w:t xml:space="preserve"> as an ‘add on’ to a statin was in patients inadequately controlled on the maximum tolerated dose of a statin.</w:t>
      </w:r>
    </w:p>
    <w:p w14:paraId="4DFB1242" w14:textId="77777777" w:rsidR="0000686B" w:rsidRPr="00E631B0" w:rsidRDefault="0000686B" w:rsidP="000831ED">
      <w:pPr>
        <w:spacing w:line="240" w:lineRule="auto"/>
        <w:jc w:val="left"/>
        <w:rPr>
          <w:rFonts w:asciiTheme="minorHAnsi" w:eastAsia="MS Mincho" w:hAnsiTheme="minorHAnsi"/>
          <w:szCs w:val="24"/>
          <w:lang w:eastAsia="en-AU"/>
        </w:rPr>
      </w:pPr>
      <w:r w:rsidRPr="00E631B0">
        <w:rPr>
          <w:rFonts w:asciiTheme="minorHAnsi" w:eastAsia="MS Mincho" w:hAnsiTheme="minorHAnsi"/>
          <w:szCs w:val="24"/>
          <w:lang w:eastAsia="en-AU"/>
        </w:rPr>
        <w:lastRenderedPageBreak/>
        <w:t xml:space="preserve">The DUSC questioned whether patients are trialling maximum tolerated doses of a statin prior to commencing on the FDC product, as required for the PBS subsidy for hypercholesterolaemia, but noted that utilisation data alone would not be able to quantify this. </w:t>
      </w:r>
    </w:p>
    <w:p w14:paraId="33F854B4" w14:textId="0E6BB072" w:rsidR="0000686B" w:rsidRPr="00E631B0" w:rsidRDefault="003848A8" w:rsidP="00514129">
      <w:pPr>
        <w:pStyle w:val="Heading3"/>
        <w:jc w:val="left"/>
      </w:pPr>
      <w:bookmarkStart w:id="42" w:name="_Toc500510206"/>
      <w:r w:rsidRPr="00E631B0">
        <w:t>B.</w:t>
      </w:r>
      <w:r w:rsidR="0000686B" w:rsidRPr="00E631B0">
        <w:t>3.2</w:t>
      </w:r>
      <w:r w:rsidR="0000686B" w:rsidRPr="00E631B0">
        <w:tab/>
        <w:t>PBAC recommendation</w:t>
      </w:r>
      <w:bookmarkEnd w:id="42"/>
    </w:p>
    <w:p w14:paraId="58D6585A" w14:textId="7EF7A1FF" w:rsidR="0000686B" w:rsidRPr="00E631B0" w:rsidRDefault="0000686B" w:rsidP="000831ED">
      <w:pPr>
        <w:spacing w:line="240" w:lineRule="auto"/>
        <w:jc w:val="left"/>
        <w:rPr>
          <w:rFonts w:asciiTheme="minorHAnsi" w:hAnsiTheme="minorHAnsi"/>
          <w:bCs/>
        </w:rPr>
      </w:pPr>
      <w:r w:rsidRPr="00E631B0">
        <w:rPr>
          <w:rFonts w:asciiTheme="minorHAnsi" w:hAnsiTheme="minorHAnsi"/>
          <w:bCs/>
        </w:rPr>
        <w:t>In August 2015, the PBAC considered the history of PBAC recommendations to list ezetimibe (as a single preparation or in combination with a statin), the DUSC utilisation reports for ezetimibe, PBS utilisation and financial cost data</w:t>
      </w:r>
      <w:r w:rsidR="00E84073" w:rsidRPr="00E631B0">
        <w:rPr>
          <w:rFonts w:asciiTheme="minorHAnsi" w:hAnsiTheme="minorHAnsi"/>
          <w:bCs/>
        </w:rPr>
        <w:t>,</w:t>
      </w:r>
      <w:r w:rsidRPr="00E631B0">
        <w:rPr>
          <w:rFonts w:asciiTheme="minorHAnsi" w:hAnsiTheme="minorHAnsi"/>
          <w:bCs/>
        </w:rPr>
        <w:t xml:space="preserve"> and pricing relativity information </w:t>
      </w:r>
      <w:r w:rsidR="00E84073" w:rsidRPr="00E631B0">
        <w:rPr>
          <w:rFonts w:asciiTheme="minorHAnsi" w:hAnsiTheme="minorHAnsi"/>
          <w:bCs/>
        </w:rPr>
        <w:t>for all PBS-</w:t>
      </w:r>
      <w:r w:rsidRPr="00E631B0">
        <w:rPr>
          <w:rFonts w:asciiTheme="minorHAnsi" w:hAnsiTheme="minorHAnsi"/>
          <w:bCs/>
        </w:rPr>
        <w:t>listed lipid modifying age</w:t>
      </w:r>
      <w:r w:rsidR="00B94AAC" w:rsidRPr="00E631B0">
        <w:rPr>
          <w:rFonts w:asciiTheme="minorHAnsi" w:hAnsiTheme="minorHAnsi"/>
          <w:bCs/>
        </w:rPr>
        <w:t xml:space="preserve">nts and recommended that a </w:t>
      </w:r>
      <w:r w:rsidR="00E84073" w:rsidRPr="00E631B0">
        <w:rPr>
          <w:rFonts w:asciiTheme="minorHAnsi" w:hAnsiTheme="minorHAnsi"/>
          <w:bCs/>
        </w:rPr>
        <w:t xml:space="preserve">PMR </w:t>
      </w:r>
      <w:r w:rsidRPr="00E631B0">
        <w:rPr>
          <w:rFonts w:asciiTheme="minorHAnsi" w:hAnsiTheme="minorHAnsi"/>
          <w:bCs/>
        </w:rPr>
        <w:t>be undertaken.</w:t>
      </w:r>
    </w:p>
    <w:p w14:paraId="3208622B" w14:textId="481C802B" w:rsidR="0000686B" w:rsidRPr="00E631B0" w:rsidRDefault="0000686B" w:rsidP="000831ED">
      <w:pPr>
        <w:spacing w:line="240" w:lineRule="auto"/>
        <w:jc w:val="left"/>
        <w:rPr>
          <w:rFonts w:asciiTheme="minorHAnsi" w:hAnsiTheme="minorHAnsi"/>
          <w:bCs/>
        </w:rPr>
      </w:pPr>
      <w:r w:rsidRPr="00E631B0">
        <w:rPr>
          <w:rFonts w:asciiTheme="minorHAnsi" w:hAnsiTheme="minorHAnsi"/>
          <w:bCs/>
        </w:rPr>
        <w:t>On 28 September 2015, the Minister approv</w:t>
      </w:r>
      <w:r w:rsidR="00B94AAC" w:rsidRPr="00E631B0">
        <w:rPr>
          <w:rFonts w:asciiTheme="minorHAnsi" w:hAnsiTheme="minorHAnsi"/>
          <w:bCs/>
        </w:rPr>
        <w:t xml:space="preserve">ed the commencement of the </w:t>
      </w:r>
      <w:r w:rsidR="00E84073" w:rsidRPr="00E631B0">
        <w:rPr>
          <w:rFonts w:asciiTheme="minorHAnsi" w:hAnsiTheme="minorHAnsi"/>
          <w:bCs/>
        </w:rPr>
        <w:t>PMR of E</w:t>
      </w:r>
      <w:r w:rsidRPr="00E631B0">
        <w:rPr>
          <w:rFonts w:asciiTheme="minorHAnsi" w:hAnsiTheme="minorHAnsi"/>
          <w:bCs/>
        </w:rPr>
        <w:t>zetimibe, including</w:t>
      </w:r>
      <w:r w:rsidR="00E84073" w:rsidRPr="00E631B0">
        <w:rPr>
          <w:rFonts w:asciiTheme="minorHAnsi" w:hAnsiTheme="minorHAnsi"/>
          <w:bCs/>
        </w:rPr>
        <w:t xml:space="preserve"> the</w:t>
      </w:r>
      <w:r w:rsidRPr="00E631B0">
        <w:rPr>
          <w:rFonts w:asciiTheme="minorHAnsi" w:hAnsiTheme="minorHAnsi"/>
          <w:bCs/>
        </w:rPr>
        <w:t xml:space="preserve"> draft</w:t>
      </w:r>
      <w:r w:rsidR="00E84073" w:rsidRPr="00E631B0">
        <w:rPr>
          <w:rFonts w:asciiTheme="minorHAnsi" w:hAnsiTheme="minorHAnsi"/>
          <w:bCs/>
        </w:rPr>
        <w:t xml:space="preserve"> TOR</w:t>
      </w:r>
      <w:r w:rsidRPr="00E631B0">
        <w:rPr>
          <w:rFonts w:asciiTheme="minorHAnsi" w:hAnsiTheme="minorHAnsi"/>
          <w:bCs/>
        </w:rPr>
        <w:t>.</w:t>
      </w:r>
      <w:r w:rsidR="00E84073" w:rsidRPr="00E631B0">
        <w:rPr>
          <w:rFonts w:asciiTheme="minorHAnsi" w:hAnsiTheme="minorHAnsi"/>
          <w:bCs/>
        </w:rPr>
        <w:t xml:space="preserve"> The commencement of the R</w:t>
      </w:r>
      <w:r w:rsidRPr="00E631B0">
        <w:rPr>
          <w:rFonts w:asciiTheme="minorHAnsi" w:hAnsiTheme="minorHAnsi"/>
          <w:bCs/>
        </w:rPr>
        <w:t>eview was announced on 16 October 2015</w:t>
      </w:r>
      <w:r w:rsidR="00E84073" w:rsidRPr="00E631B0">
        <w:rPr>
          <w:rFonts w:asciiTheme="minorHAnsi" w:hAnsiTheme="minorHAnsi"/>
          <w:bCs/>
        </w:rPr>
        <w:t>,</w:t>
      </w:r>
      <w:r w:rsidRPr="00E631B0">
        <w:rPr>
          <w:rFonts w:asciiTheme="minorHAnsi" w:hAnsiTheme="minorHAnsi"/>
          <w:bCs/>
        </w:rPr>
        <w:t xml:space="preserve"> and submissions were sought on the draft</w:t>
      </w:r>
      <w:r w:rsidR="00E84073" w:rsidRPr="00E631B0">
        <w:rPr>
          <w:rFonts w:asciiTheme="minorHAnsi" w:hAnsiTheme="minorHAnsi"/>
          <w:bCs/>
        </w:rPr>
        <w:t xml:space="preserve"> TOR</w:t>
      </w:r>
      <w:r w:rsidRPr="00E631B0">
        <w:rPr>
          <w:rFonts w:asciiTheme="minorHAnsi" w:hAnsiTheme="minorHAnsi"/>
          <w:bCs/>
        </w:rPr>
        <w:t>.</w:t>
      </w:r>
    </w:p>
    <w:p w14:paraId="06AACD90" w14:textId="56187019" w:rsidR="0000686B" w:rsidRPr="00E631B0" w:rsidRDefault="0000686B" w:rsidP="000831ED">
      <w:pPr>
        <w:spacing w:line="240" w:lineRule="auto"/>
        <w:jc w:val="left"/>
        <w:rPr>
          <w:rFonts w:asciiTheme="minorHAnsi" w:hAnsiTheme="minorHAnsi"/>
          <w:bCs/>
        </w:rPr>
      </w:pPr>
      <w:r w:rsidRPr="00E631B0">
        <w:rPr>
          <w:rFonts w:asciiTheme="minorHAnsi" w:hAnsiTheme="minorHAnsi"/>
          <w:bCs/>
        </w:rPr>
        <w:t xml:space="preserve">The PBAC subsequently reviewed stakeholder submissions and finalised the </w:t>
      </w:r>
      <w:r w:rsidR="00E84073" w:rsidRPr="00E631B0">
        <w:rPr>
          <w:rFonts w:asciiTheme="minorHAnsi" w:hAnsiTheme="minorHAnsi"/>
          <w:bCs/>
        </w:rPr>
        <w:t xml:space="preserve">TOR </w:t>
      </w:r>
      <w:r w:rsidRPr="00E631B0">
        <w:rPr>
          <w:rFonts w:asciiTheme="minorHAnsi" w:hAnsiTheme="minorHAnsi"/>
          <w:bCs/>
        </w:rPr>
        <w:t xml:space="preserve">on 11 December 2015, and the Minister approved the final </w:t>
      </w:r>
      <w:r w:rsidR="00E84073" w:rsidRPr="00E631B0">
        <w:rPr>
          <w:rFonts w:asciiTheme="minorHAnsi" w:hAnsiTheme="minorHAnsi"/>
          <w:bCs/>
        </w:rPr>
        <w:t xml:space="preserve">TOR </w:t>
      </w:r>
      <w:r w:rsidRPr="00E631B0">
        <w:rPr>
          <w:rFonts w:asciiTheme="minorHAnsi" w:hAnsiTheme="minorHAnsi"/>
          <w:bCs/>
        </w:rPr>
        <w:t>on 24 February 2016.</w:t>
      </w:r>
    </w:p>
    <w:p w14:paraId="619CBACB" w14:textId="7F9ABDF0" w:rsidR="0000686B" w:rsidRPr="00E631B0" w:rsidRDefault="0000686B" w:rsidP="000831ED">
      <w:pPr>
        <w:keepNext/>
        <w:keepLines/>
        <w:spacing w:line="240" w:lineRule="auto"/>
        <w:jc w:val="left"/>
        <w:rPr>
          <w:rFonts w:asciiTheme="minorHAnsi" w:hAnsiTheme="minorHAnsi"/>
          <w:bCs/>
        </w:rPr>
      </w:pPr>
      <w:r w:rsidRPr="00E631B0">
        <w:rPr>
          <w:rFonts w:asciiTheme="minorHAnsi" w:hAnsiTheme="minorHAnsi"/>
          <w:bCs/>
        </w:rPr>
        <w:t>Medicines included in the</w:t>
      </w:r>
      <w:r w:rsidR="00B94AAC" w:rsidRPr="00E631B0">
        <w:rPr>
          <w:rFonts w:asciiTheme="minorHAnsi" w:hAnsiTheme="minorHAnsi"/>
          <w:bCs/>
        </w:rPr>
        <w:t xml:space="preserve"> </w:t>
      </w:r>
      <w:r w:rsidR="00E84073" w:rsidRPr="00E631B0">
        <w:rPr>
          <w:rFonts w:asciiTheme="minorHAnsi" w:hAnsiTheme="minorHAnsi"/>
          <w:bCs/>
        </w:rPr>
        <w:t xml:space="preserve">PMR </w:t>
      </w:r>
      <w:r w:rsidRPr="00E631B0">
        <w:rPr>
          <w:rFonts w:asciiTheme="minorHAnsi" w:hAnsiTheme="minorHAnsi"/>
          <w:bCs/>
        </w:rPr>
        <w:t xml:space="preserve">of Ezetimibe </w:t>
      </w:r>
      <w:r w:rsidR="00D20B5C" w:rsidRPr="00E631B0">
        <w:rPr>
          <w:rFonts w:asciiTheme="minorHAnsi" w:hAnsiTheme="minorHAnsi"/>
          <w:bCs/>
        </w:rPr>
        <w:t>were</w:t>
      </w:r>
      <w:r w:rsidRPr="00E631B0">
        <w:rPr>
          <w:rFonts w:asciiTheme="minorHAnsi" w:hAnsiTheme="minorHAnsi"/>
          <w:bCs/>
        </w:rPr>
        <w:t>:</w:t>
      </w:r>
    </w:p>
    <w:p w14:paraId="54B6E166" w14:textId="77777777" w:rsidR="0000686B" w:rsidRPr="00E631B0" w:rsidRDefault="0000686B" w:rsidP="000831ED">
      <w:pPr>
        <w:keepNext/>
        <w:keepLines/>
        <w:numPr>
          <w:ilvl w:val="0"/>
          <w:numId w:val="6"/>
        </w:numPr>
        <w:spacing w:after="120" w:line="240" w:lineRule="auto"/>
        <w:ind w:left="425" w:hanging="425"/>
        <w:jc w:val="left"/>
        <w:rPr>
          <w:rFonts w:asciiTheme="minorHAnsi" w:eastAsia="MS Mincho" w:hAnsiTheme="minorHAnsi"/>
          <w:szCs w:val="24"/>
          <w:lang w:eastAsia="en-AU"/>
        </w:rPr>
      </w:pPr>
      <w:r w:rsidRPr="00E631B0">
        <w:rPr>
          <w:rFonts w:asciiTheme="minorHAnsi" w:eastAsia="MS Mincho" w:hAnsiTheme="minorHAnsi"/>
          <w:szCs w:val="24"/>
          <w:lang w:eastAsia="en-AU"/>
        </w:rPr>
        <w:t>ezetimibe</w:t>
      </w:r>
    </w:p>
    <w:p w14:paraId="06F1F63A" w14:textId="77777777" w:rsidR="0000686B" w:rsidRPr="00E631B0" w:rsidRDefault="0000686B" w:rsidP="000831ED">
      <w:pPr>
        <w:numPr>
          <w:ilvl w:val="0"/>
          <w:numId w:val="6"/>
        </w:numPr>
        <w:spacing w:after="120" w:line="240" w:lineRule="auto"/>
        <w:ind w:left="425" w:hanging="425"/>
        <w:jc w:val="left"/>
        <w:rPr>
          <w:rFonts w:asciiTheme="minorHAnsi" w:eastAsia="MS Mincho" w:hAnsiTheme="minorHAnsi"/>
          <w:szCs w:val="24"/>
          <w:lang w:eastAsia="en-AU"/>
        </w:rPr>
      </w:pPr>
      <w:r w:rsidRPr="00E631B0">
        <w:rPr>
          <w:rFonts w:asciiTheme="minorHAnsi" w:eastAsia="MS Mincho" w:hAnsiTheme="minorHAnsi"/>
          <w:szCs w:val="24"/>
          <w:lang w:eastAsia="en-AU"/>
        </w:rPr>
        <w:t>ezetimibe and atorvastatin</w:t>
      </w:r>
    </w:p>
    <w:p w14:paraId="0B7FBF54" w14:textId="77777777" w:rsidR="0000686B" w:rsidRPr="00E631B0" w:rsidRDefault="0000686B" w:rsidP="000831ED">
      <w:pPr>
        <w:numPr>
          <w:ilvl w:val="0"/>
          <w:numId w:val="6"/>
        </w:numPr>
        <w:spacing w:after="120" w:line="240" w:lineRule="auto"/>
        <w:ind w:left="425" w:hanging="425"/>
        <w:jc w:val="left"/>
        <w:rPr>
          <w:rFonts w:asciiTheme="minorHAnsi" w:eastAsia="MS Mincho" w:hAnsiTheme="minorHAnsi"/>
          <w:szCs w:val="24"/>
          <w:lang w:eastAsia="en-AU"/>
        </w:rPr>
      </w:pPr>
      <w:r w:rsidRPr="00E631B0">
        <w:rPr>
          <w:rFonts w:asciiTheme="minorHAnsi" w:eastAsia="MS Mincho" w:hAnsiTheme="minorHAnsi"/>
          <w:szCs w:val="24"/>
          <w:lang w:eastAsia="en-AU"/>
        </w:rPr>
        <w:t>ezetimibe and simvastatin</w:t>
      </w:r>
    </w:p>
    <w:p w14:paraId="3EDBAC18" w14:textId="77777777" w:rsidR="0000686B" w:rsidRPr="00E631B0" w:rsidRDefault="0000686B" w:rsidP="000831ED">
      <w:pPr>
        <w:numPr>
          <w:ilvl w:val="0"/>
          <w:numId w:val="6"/>
        </w:numPr>
        <w:spacing w:after="120" w:line="240" w:lineRule="auto"/>
        <w:ind w:left="425" w:hanging="425"/>
        <w:jc w:val="left"/>
        <w:rPr>
          <w:rFonts w:asciiTheme="minorHAnsi" w:hAnsiTheme="minorHAnsi"/>
          <w:bCs/>
        </w:rPr>
      </w:pPr>
      <w:r w:rsidRPr="00E631B0">
        <w:rPr>
          <w:rFonts w:asciiTheme="minorHAnsi" w:eastAsia="MS Mincho" w:hAnsiTheme="minorHAnsi"/>
          <w:szCs w:val="24"/>
          <w:lang w:eastAsia="en-AU"/>
        </w:rPr>
        <w:t>ezetimibe and rosuvastatin</w:t>
      </w:r>
      <w:r w:rsidRPr="00E631B0">
        <w:rPr>
          <w:rFonts w:asciiTheme="minorHAnsi" w:hAnsiTheme="minorHAnsi"/>
          <w:bCs/>
        </w:rPr>
        <w:t>.</w:t>
      </w:r>
    </w:p>
    <w:p w14:paraId="0C65DF80" w14:textId="2947CBC5" w:rsidR="0000686B" w:rsidRPr="00E631B0" w:rsidRDefault="0000686B" w:rsidP="000831ED">
      <w:pPr>
        <w:spacing w:line="240" w:lineRule="auto"/>
        <w:jc w:val="left"/>
        <w:rPr>
          <w:rFonts w:asciiTheme="minorHAnsi" w:eastAsia="MS Mincho" w:hAnsiTheme="minorHAnsi"/>
          <w:szCs w:val="24"/>
          <w:lang w:eastAsia="en-AU"/>
        </w:rPr>
      </w:pPr>
      <w:r w:rsidRPr="00E631B0">
        <w:rPr>
          <w:rFonts w:asciiTheme="minorHAnsi" w:eastAsia="MS Mincho" w:hAnsiTheme="minorHAnsi"/>
          <w:szCs w:val="24"/>
          <w:lang w:eastAsia="en-AU"/>
        </w:rPr>
        <w:t xml:space="preserve">An overview of the </w:t>
      </w:r>
      <w:r w:rsidR="00E84073" w:rsidRPr="00E631B0">
        <w:rPr>
          <w:rFonts w:asciiTheme="minorHAnsi" w:eastAsia="MS Mincho" w:hAnsiTheme="minorHAnsi"/>
          <w:szCs w:val="24"/>
          <w:lang w:eastAsia="en-AU"/>
        </w:rPr>
        <w:t>Repatriation PBS (</w:t>
      </w:r>
      <w:r w:rsidRPr="00E631B0">
        <w:rPr>
          <w:rFonts w:asciiTheme="minorHAnsi" w:eastAsia="MS Mincho" w:hAnsiTheme="minorHAnsi"/>
          <w:szCs w:val="24"/>
          <w:lang w:eastAsia="en-AU"/>
        </w:rPr>
        <w:t>RPBS</w:t>
      </w:r>
      <w:r w:rsidR="00E84073" w:rsidRPr="00E631B0">
        <w:rPr>
          <w:rFonts w:asciiTheme="minorHAnsi" w:eastAsia="MS Mincho" w:hAnsiTheme="minorHAnsi"/>
          <w:szCs w:val="24"/>
          <w:lang w:eastAsia="en-AU"/>
        </w:rPr>
        <w:t>)</w:t>
      </w:r>
      <w:r w:rsidRPr="00E631B0">
        <w:rPr>
          <w:rFonts w:asciiTheme="minorHAnsi" w:eastAsia="MS Mincho" w:hAnsiTheme="minorHAnsi"/>
          <w:szCs w:val="24"/>
          <w:lang w:eastAsia="en-AU"/>
        </w:rPr>
        <w:t xml:space="preserve">/PBS use and cost for ezetimibe and ezetimibe combination products for the twelve months </w:t>
      </w:r>
      <w:r w:rsidR="00E84073" w:rsidRPr="00E631B0">
        <w:rPr>
          <w:rFonts w:asciiTheme="minorHAnsi" w:eastAsia="MS Mincho" w:hAnsiTheme="minorHAnsi"/>
          <w:szCs w:val="24"/>
          <w:lang w:eastAsia="en-AU"/>
        </w:rPr>
        <w:t xml:space="preserve">from </w:t>
      </w:r>
      <w:r w:rsidRPr="00E631B0">
        <w:rPr>
          <w:rFonts w:asciiTheme="minorHAnsi" w:eastAsia="MS Mincho" w:hAnsiTheme="minorHAnsi"/>
          <w:szCs w:val="24"/>
          <w:lang w:eastAsia="en-AU"/>
        </w:rPr>
        <w:t>1 July 2015 to 30 J</w:t>
      </w:r>
      <w:r w:rsidR="00E84073" w:rsidRPr="00E631B0">
        <w:rPr>
          <w:rFonts w:asciiTheme="minorHAnsi" w:eastAsia="MS Mincho" w:hAnsiTheme="minorHAnsi"/>
          <w:szCs w:val="24"/>
          <w:lang w:eastAsia="en-AU"/>
        </w:rPr>
        <w:t>une </w:t>
      </w:r>
      <w:r w:rsidRPr="00E631B0">
        <w:rPr>
          <w:rFonts w:asciiTheme="minorHAnsi" w:eastAsia="MS Mincho" w:hAnsiTheme="minorHAnsi"/>
          <w:szCs w:val="24"/>
          <w:lang w:eastAsia="en-AU"/>
        </w:rPr>
        <w:t>2016 is provided in Table 2.</w:t>
      </w:r>
    </w:p>
    <w:p w14:paraId="3B3BEF9E" w14:textId="42611C88" w:rsidR="0000686B" w:rsidRPr="00F404A5" w:rsidRDefault="00E84073" w:rsidP="00BE2E12">
      <w:pPr>
        <w:pStyle w:val="TableName"/>
      </w:pPr>
      <w:r w:rsidRPr="00AE1E65">
        <w:t xml:space="preserve">Table 2: RPBS/PBS </w:t>
      </w:r>
      <w:r>
        <w:t>u</w:t>
      </w:r>
      <w:r w:rsidR="0000686B" w:rsidRPr="00AE1E65">
        <w:t>tilisation of ezetimibe and combination products July 2015-June 2016</w:t>
      </w:r>
    </w:p>
    <w:tbl>
      <w:tblPr>
        <w:tblW w:w="0" w:type="auto"/>
        <w:tblLook w:val="04A0" w:firstRow="1" w:lastRow="0" w:firstColumn="1" w:lastColumn="0" w:noHBand="0" w:noVBand="1"/>
        <w:tblCaption w:val="RPBS/PBS utilisation of ezetimibe and combination products July 2015-June 2016"/>
      </w:tblPr>
      <w:tblGrid>
        <w:gridCol w:w="2763"/>
        <w:gridCol w:w="1958"/>
        <w:gridCol w:w="2056"/>
        <w:gridCol w:w="1745"/>
      </w:tblGrid>
      <w:tr w:rsidR="0000686B" w14:paraId="749BA529" w14:textId="77777777" w:rsidTr="005879E3">
        <w:tc>
          <w:tcPr>
            <w:tcW w:w="2310" w:type="dxa"/>
            <w:shd w:val="clear" w:color="auto" w:fill="BFBFBF" w:themeFill="background1" w:themeFillShade="BF"/>
          </w:tcPr>
          <w:p w14:paraId="05644A22" w14:textId="61334789" w:rsidR="0000686B" w:rsidRPr="00D12DB3" w:rsidRDefault="0000686B" w:rsidP="00514129">
            <w:pPr>
              <w:spacing w:before="60" w:after="60"/>
              <w:rPr>
                <w:rFonts w:asciiTheme="minorHAnsi" w:eastAsia="MS Mincho" w:hAnsiTheme="minorHAnsi"/>
                <w:b/>
              </w:rPr>
            </w:pPr>
            <w:r w:rsidRPr="00D12DB3">
              <w:rPr>
                <w:rFonts w:asciiTheme="minorHAnsi" w:hAnsiTheme="minorHAnsi"/>
                <w:b/>
                <w:bCs/>
              </w:rPr>
              <w:t>Medicine</w:t>
            </w:r>
          </w:p>
        </w:tc>
        <w:tc>
          <w:tcPr>
            <w:tcW w:w="2310" w:type="dxa"/>
            <w:shd w:val="clear" w:color="auto" w:fill="BFBFBF" w:themeFill="background1" w:themeFillShade="BF"/>
          </w:tcPr>
          <w:p w14:paraId="737CA3A2" w14:textId="77777777" w:rsidR="0000686B" w:rsidRPr="00D12DB3" w:rsidRDefault="0000686B" w:rsidP="00514129">
            <w:pPr>
              <w:spacing w:before="60" w:after="60"/>
              <w:rPr>
                <w:rFonts w:asciiTheme="minorHAnsi" w:eastAsia="MS Mincho" w:hAnsiTheme="minorHAnsi"/>
                <w:b/>
              </w:rPr>
            </w:pPr>
            <w:r w:rsidRPr="00D12DB3">
              <w:rPr>
                <w:rFonts w:asciiTheme="minorHAnsi" w:hAnsiTheme="minorHAnsi"/>
                <w:b/>
                <w:bCs/>
              </w:rPr>
              <w:t>Prescriptions dispensed</w:t>
            </w:r>
          </w:p>
        </w:tc>
        <w:tc>
          <w:tcPr>
            <w:tcW w:w="2311" w:type="dxa"/>
            <w:shd w:val="clear" w:color="auto" w:fill="BFBFBF" w:themeFill="background1" w:themeFillShade="BF"/>
          </w:tcPr>
          <w:p w14:paraId="0F9E8147" w14:textId="77777777" w:rsidR="0000686B" w:rsidRPr="00D12DB3" w:rsidRDefault="0000686B" w:rsidP="00514129">
            <w:pPr>
              <w:spacing w:before="60" w:after="60"/>
              <w:rPr>
                <w:rFonts w:asciiTheme="minorHAnsi" w:eastAsia="MS Mincho" w:hAnsiTheme="minorHAnsi"/>
                <w:b/>
              </w:rPr>
            </w:pPr>
            <w:r w:rsidRPr="00D12DB3">
              <w:rPr>
                <w:rFonts w:asciiTheme="minorHAnsi" w:hAnsiTheme="minorHAnsi"/>
                <w:b/>
                <w:bCs/>
              </w:rPr>
              <w:t>Benefits</w:t>
            </w:r>
          </w:p>
        </w:tc>
        <w:tc>
          <w:tcPr>
            <w:tcW w:w="2311" w:type="dxa"/>
            <w:shd w:val="clear" w:color="auto" w:fill="BFBFBF" w:themeFill="background1" w:themeFillShade="BF"/>
          </w:tcPr>
          <w:p w14:paraId="4ED24B32" w14:textId="77777777" w:rsidR="0000686B" w:rsidRPr="00D12DB3" w:rsidRDefault="0000686B" w:rsidP="00514129">
            <w:pPr>
              <w:spacing w:before="60" w:after="60"/>
              <w:rPr>
                <w:rFonts w:asciiTheme="minorHAnsi" w:eastAsia="MS Mincho" w:hAnsiTheme="minorHAnsi"/>
                <w:b/>
              </w:rPr>
            </w:pPr>
            <w:r w:rsidRPr="00D12DB3">
              <w:rPr>
                <w:rFonts w:asciiTheme="minorHAnsi" w:hAnsiTheme="minorHAnsi"/>
                <w:b/>
                <w:bCs/>
              </w:rPr>
              <w:t>Patients</w:t>
            </w:r>
          </w:p>
        </w:tc>
      </w:tr>
      <w:tr w:rsidR="0000686B" w14:paraId="6EC53273" w14:textId="77777777" w:rsidTr="005879E3">
        <w:tc>
          <w:tcPr>
            <w:tcW w:w="2310" w:type="dxa"/>
          </w:tcPr>
          <w:p w14:paraId="121C1A98" w14:textId="77777777" w:rsidR="0000686B" w:rsidRPr="00E11D43" w:rsidRDefault="0000686B" w:rsidP="00514129">
            <w:pPr>
              <w:spacing w:before="60" w:after="60"/>
              <w:rPr>
                <w:rFonts w:asciiTheme="minorHAnsi" w:eastAsia="MS Mincho" w:hAnsiTheme="minorHAnsi"/>
              </w:rPr>
            </w:pPr>
            <w:r w:rsidRPr="00E11D43">
              <w:rPr>
                <w:rFonts w:asciiTheme="minorHAnsi" w:hAnsiTheme="minorHAnsi"/>
                <w:bCs/>
                <w:color w:val="000000"/>
              </w:rPr>
              <w:t>Ezetimibe</w:t>
            </w:r>
          </w:p>
        </w:tc>
        <w:tc>
          <w:tcPr>
            <w:tcW w:w="2310" w:type="dxa"/>
          </w:tcPr>
          <w:p w14:paraId="5B350711"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1,190,359</w:t>
            </w:r>
          </w:p>
        </w:tc>
        <w:tc>
          <w:tcPr>
            <w:tcW w:w="2311" w:type="dxa"/>
          </w:tcPr>
          <w:p w14:paraId="1C5D0CD1"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$66,752,970.67</w:t>
            </w:r>
          </w:p>
        </w:tc>
        <w:tc>
          <w:tcPr>
            <w:tcW w:w="2311" w:type="dxa"/>
          </w:tcPr>
          <w:p w14:paraId="38C16825"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446,748</w:t>
            </w:r>
          </w:p>
        </w:tc>
      </w:tr>
      <w:tr w:rsidR="0000686B" w14:paraId="4CF41968" w14:textId="77777777" w:rsidTr="005879E3">
        <w:tc>
          <w:tcPr>
            <w:tcW w:w="2310" w:type="dxa"/>
          </w:tcPr>
          <w:p w14:paraId="1E2D4BE8"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Ezetimibe + Atorvastatin</w:t>
            </w:r>
          </w:p>
        </w:tc>
        <w:tc>
          <w:tcPr>
            <w:tcW w:w="2310" w:type="dxa"/>
          </w:tcPr>
          <w:p w14:paraId="4AC5CCEF"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191,819</w:t>
            </w:r>
          </w:p>
        </w:tc>
        <w:tc>
          <w:tcPr>
            <w:tcW w:w="2311" w:type="dxa"/>
          </w:tcPr>
          <w:p w14:paraId="2153DBDF"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$11,025,824.62</w:t>
            </w:r>
          </w:p>
        </w:tc>
        <w:tc>
          <w:tcPr>
            <w:tcW w:w="2311" w:type="dxa"/>
          </w:tcPr>
          <w:p w14:paraId="2926B4D5"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80,832</w:t>
            </w:r>
          </w:p>
        </w:tc>
      </w:tr>
      <w:tr w:rsidR="0000686B" w14:paraId="7974F888" w14:textId="77777777" w:rsidTr="005879E3">
        <w:tc>
          <w:tcPr>
            <w:tcW w:w="2310" w:type="dxa"/>
          </w:tcPr>
          <w:p w14:paraId="4B7F964E"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Ezetimibe + Simvastatin</w:t>
            </w:r>
          </w:p>
        </w:tc>
        <w:tc>
          <w:tcPr>
            <w:tcW w:w="2310" w:type="dxa"/>
          </w:tcPr>
          <w:p w14:paraId="78B5FAE9"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985,546</w:t>
            </w:r>
          </w:p>
        </w:tc>
        <w:tc>
          <w:tcPr>
            <w:tcW w:w="2311" w:type="dxa"/>
          </w:tcPr>
          <w:p w14:paraId="7867AEE8"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$58,206,343.03</w:t>
            </w:r>
          </w:p>
        </w:tc>
        <w:tc>
          <w:tcPr>
            <w:tcW w:w="2311" w:type="dxa"/>
          </w:tcPr>
          <w:p w14:paraId="3CADFAA2"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364,862</w:t>
            </w:r>
          </w:p>
        </w:tc>
      </w:tr>
      <w:tr w:rsidR="0000686B" w14:paraId="25510192" w14:textId="77777777" w:rsidTr="005879E3">
        <w:tc>
          <w:tcPr>
            <w:tcW w:w="2310" w:type="dxa"/>
          </w:tcPr>
          <w:p w14:paraId="176F77E3" w14:textId="77777777" w:rsidR="0000686B" w:rsidRPr="00E11D43" w:rsidRDefault="0000686B" w:rsidP="005869C5">
            <w:pPr>
              <w:spacing w:before="60" w:after="60"/>
              <w:rPr>
                <w:rFonts w:asciiTheme="minorHAnsi" w:eastAsia="MS Mincho" w:hAnsiTheme="minorHAnsi"/>
                <w:b/>
                <w:i/>
                <w:color w:val="000000"/>
                <w:u w:val="single"/>
              </w:rPr>
            </w:pPr>
            <w:r w:rsidRPr="00E11D43">
              <w:rPr>
                <w:rFonts w:asciiTheme="minorHAnsi" w:hAnsiTheme="minorHAnsi"/>
                <w:bCs/>
                <w:color w:val="000000"/>
              </w:rPr>
              <w:t>Ezetimibe  +  </w:t>
            </w:r>
            <w:r w:rsidR="005869C5">
              <w:rPr>
                <w:rFonts w:asciiTheme="minorHAnsi" w:hAnsiTheme="minorHAnsi"/>
                <w:bCs/>
                <w:color w:val="000000"/>
              </w:rPr>
              <w:t>R</w:t>
            </w:r>
            <w:r w:rsidRPr="00E11D43">
              <w:rPr>
                <w:rFonts w:asciiTheme="minorHAnsi" w:hAnsiTheme="minorHAnsi"/>
                <w:bCs/>
                <w:color w:val="000000"/>
              </w:rPr>
              <w:t>osuvastatin</w:t>
            </w:r>
          </w:p>
        </w:tc>
        <w:tc>
          <w:tcPr>
            <w:tcW w:w="2310" w:type="dxa"/>
          </w:tcPr>
          <w:p w14:paraId="2A570A52"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199,470</w:t>
            </w:r>
          </w:p>
        </w:tc>
        <w:tc>
          <w:tcPr>
            <w:tcW w:w="2311" w:type="dxa"/>
          </w:tcPr>
          <w:p w14:paraId="6833B0DF"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$11,471,063.27</w:t>
            </w:r>
          </w:p>
        </w:tc>
        <w:tc>
          <w:tcPr>
            <w:tcW w:w="2311" w:type="dxa"/>
          </w:tcPr>
          <w:p w14:paraId="221546FC" w14:textId="77777777" w:rsidR="0000686B" w:rsidRPr="00E11D43" w:rsidRDefault="0000686B" w:rsidP="00514129">
            <w:pPr>
              <w:spacing w:before="60" w:after="60"/>
              <w:rPr>
                <w:rFonts w:asciiTheme="minorHAnsi" w:eastAsia="MS Mincho" w:hAnsiTheme="minorHAnsi"/>
                <w:b/>
                <w:i/>
                <w:color w:val="000000"/>
                <w:u w:val="single"/>
              </w:rPr>
            </w:pPr>
            <w:r w:rsidRPr="00E11D43">
              <w:rPr>
                <w:rFonts w:asciiTheme="minorHAnsi" w:hAnsiTheme="minorHAnsi"/>
                <w:bCs/>
                <w:color w:val="000000"/>
              </w:rPr>
              <w:t>81,737</w:t>
            </w:r>
          </w:p>
        </w:tc>
      </w:tr>
      <w:tr w:rsidR="0000686B" w:rsidRPr="00601F67" w14:paraId="41B8D6C9" w14:textId="77777777" w:rsidTr="005879E3">
        <w:tc>
          <w:tcPr>
            <w:tcW w:w="2310" w:type="dxa"/>
          </w:tcPr>
          <w:p w14:paraId="2FB61794" w14:textId="25AA0091" w:rsidR="0000686B" w:rsidRPr="00E11D43" w:rsidRDefault="000D3D03" w:rsidP="00514129">
            <w:pPr>
              <w:spacing w:before="60" w:after="60"/>
              <w:rPr>
                <w:rFonts w:asciiTheme="minorHAnsi" w:eastAsia="MS Mincho" w:hAnsiTheme="minorHAnsi"/>
                <w:b/>
                <w:i/>
                <w:color w:val="000000"/>
                <w:u w:val="single"/>
              </w:rPr>
            </w:pPr>
            <w:r w:rsidRPr="004B3EB8">
              <w:rPr>
                <w:rFonts w:asciiTheme="minorHAnsi" w:eastAsia="MS Mincho" w:hAnsiTheme="minorHAnsi"/>
                <w:noProof/>
                <w:szCs w:val="24"/>
                <w:lang w:eastAsia="en-AU"/>
              </w:rPr>
              <mc:AlternateContent>
                <mc:Choice Requires="wps">
                  <w:drawing>
                    <wp:anchor distT="0" distB="0" distL="114300" distR="114300" simplePos="0" relativeHeight="251659264" behindDoc="0" locked="0" layoutInCell="1" allowOverlap="1" wp14:anchorId="54188ED6" wp14:editId="58B75EEB">
                      <wp:simplePos x="0" y="0"/>
                      <wp:positionH relativeFrom="column">
                        <wp:posOffset>-171450</wp:posOffset>
                      </wp:positionH>
                      <wp:positionV relativeFrom="paragraph">
                        <wp:posOffset>392430</wp:posOffset>
                      </wp:positionV>
                      <wp:extent cx="5133975" cy="466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66725"/>
                              </a:xfrm>
                              <a:prstGeom prst="rect">
                                <a:avLst/>
                              </a:prstGeom>
                              <a:solidFill>
                                <a:srgbClr val="FFFFFF"/>
                              </a:solidFill>
                              <a:ln w="9525">
                                <a:noFill/>
                                <a:miter lim="800000"/>
                                <a:headEnd/>
                                <a:tailEnd/>
                              </a:ln>
                            </wps:spPr>
                            <wps:txbx>
                              <w:txbxContent>
                                <w:p w14:paraId="4186EEA3" w14:textId="2C832D80" w:rsidR="006F6651" w:rsidRPr="00E11D43" w:rsidRDefault="006F6651" w:rsidP="000D3D03">
                                  <w:pPr>
                                    <w:pStyle w:val="Notes"/>
                                    <w:keepNext/>
                                    <w:keepLines/>
                                    <w:spacing w:after="200"/>
                                    <w:rPr>
                                      <w:rFonts w:asciiTheme="minorHAnsi" w:hAnsiTheme="minorHAnsi"/>
                                    </w:rPr>
                                  </w:pPr>
                                  <w:r w:rsidRPr="00E11D43">
                                    <w:rPr>
                                      <w:rFonts w:asciiTheme="minorHAnsi" w:hAnsiTheme="minorHAnsi"/>
                                    </w:rPr>
                                    <w:t xml:space="preserve">Source: Department of Human Services website accessed 23 November 2016, based on date of </w:t>
                                  </w:r>
                                  <w:r>
                                    <w:rPr>
                                      <w:rFonts w:asciiTheme="minorHAnsi" w:hAnsiTheme="minorHAnsi"/>
                                    </w:rPr>
                                    <w:t xml:space="preserve">    </w:t>
                                  </w:r>
                                  <w:r w:rsidRPr="00E11D43">
                                    <w:rPr>
                                      <w:rFonts w:asciiTheme="minorHAnsi" w:hAnsiTheme="minorHAnsi"/>
                                    </w:rPr>
                                    <w:t xml:space="preserve">supply data </w:t>
                                  </w:r>
                                </w:p>
                                <w:p w14:paraId="07483749" w14:textId="6FDE09D4" w:rsidR="006F6651" w:rsidRDefault="006F66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30.9pt;width:404.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" stroked="f">
                      <v:textbox>
                        <w:txbxContent>
                          <w:p w14:paraId="4186EEA3" w14:textId="2C832D80" w:rsidR="006F6651" w:rsidRPr="00E11D43" w:rsidRDefault="006F6651" w:rsidP="000D3D03">
                            <w:pPr>
                              <w:pStyle w:val="Notes"/>
                              <w:keepNext/>
                              <w:keepLines/>
                              <w:spacing w:after="200"/>
                              <w:rPr>
                                <w:rFonts w:asciiTheme="minorHAnsi" w:hAnsiTheme="minorHAnsi"/>
                              </w:rPr>
                            </w:pPr>
                            <w:r w:rsidRPr="00E11D43">
                              <w:rPr>
                                <w:rFonts w:asciiTheme="minorHAnsi" w:hAnsiTheme="minorHAnsi"/>
                              </w:rPr>
                              <w:t xml:space="preserve">Source: Department of Human Services website accessed 23 November 2016, based on date of </w:t>
                            </w:r>
                            <w:r>
                              <w:rPr>
                                <w:rFonts w:asciiTheme="minorHAnsi" w:hAnsiTheme="minorHAnsi"/>
                              </w:rPr>
                              <w:t xml:space="preserve">    </w:t>
                            </w:r>
                            <w:r w:rsidRPr="00E11D43">
                              <w:rPr>
                                <w:rFonts w:asciiTheme="minorHAnsi" w:hAnsiTheme="minorHAnsi"/>
                              </w:rPr>
                              <w:t xml:space="preserve">supply data </w:t>
                            </w:r>
                          </w:p>
                          <w:p w14:paraId="07483749" w14:textId="6FDE09D4" w:rsidR="006F6651" w:rsidRDefault="006F6651"/>
                        </w:txbxContent>
                      </v:textbox>
                    </v:shape>
                  </w:pict>
                </mc:Fallback>
              </mc:AlternateContent>
            </w:r>
            <w:r w:rsidR="0000686B" w:rsidRPr="00E11D43">
              <w:rPr>
                <w:rFonts w:asciiTheme="minorHAnsi" w:hAnsiTheme="minorHAnsi"/>
                <w:b/>
                <w:bCs/>
                <w:color w:val="000000"/>
              </w:rPr>
              <w:t>Total</w:t>
            </w:r>
          </w:p>
        </w:tc>
        <w:tc>
          <w:tcPr>
            <w:tcW w:w="2310" w:type="dxa"/>
          </w:tcPr>
          <w:p w14:paraId="77B364ED" w14:textId="77777777" w:rsidR="0000686B" w:rsidRPr="00E11D43" w:rsidRDefault="0000686B" w:rsidP="00514129">
            <w:pPr>
              <w:spacing w:before="60" w:after="60"/>
              <w:rPr>
                <w:rFonts w:asciiTheme="minorHAnsi" w:hAnsiTheme="minorHAnsi"/>
                <w:b/>
                <w:bCs/>
                <w:i/>
                <w:color w:val="000000"/>
                <w:u w:val="single"/>
              </w:rPr>
            </w:pPr>
            <w:r w:rsidRPr="00E11D43">
              <w:rPr>
                <w:rFonts w:asciiTheme="minorHAnsi" w:hAnsiTheme="minorHAnsi"/>
                <w:b/>
                <w:bCs/>
                <w:color w:val="000000"/>
              </w:rPr>
              <w:t>2,567,194</w:t>
            </w:r>
          </w:p>
        </w:tc>
        <w:tc>
          <w:tcPr>
            <w:tcW w:w="2311" w:type="dxa"/>
          </w:tcPr>
          <w:p w14:paraId="3833C1F9" w14:textId="77777777" w:rsidR="0000686B" w:rsidRPr="00E11D43" w:rsidRDefault="005869C5" w:rsidP="00514129">
            <w:pPr>
              <w:spacing w:before="60" w:after="60"/>
              <w:rPr>
                <w:rFonts w:asciiTheme="minorHAnsi" w:hAnsiTheme="minorHAnsi"/>
                <w:b/>
                <w:bCs/>
                <w:i/>
                <w:color w:val="000000"/>
                <w:u w:val="single"/>
              </w:rPr>
            </w:pPr>
            <w:r>
              <w:rPr>
                <w:rFonts w:asciiTheme="minorHAnsi" w:hAnsiTheme="minorHAnsi"/>
                <w:b/>
                <w:bCs/>
                <w:color w:val="000000"/>
              </w:rPr>
              <w:t>$</w:t>
            </w:r>
            <w:r w:rsidR="0000686B" w:rsidRPr="00E11D43">
              <w:rPr>
                <w:rFonts w:asciiTheme="minorHAnsi" w:hAnsiTheme="minorHAnsi"/>
                <w:b/>
                <w:bCs/>
                <w:color w:val="000000"/>
              </w:rPr>
              <w:t>147,456,202</w:t>
            </w:r>
          </w:p>
        </w:tc>
        <w:tc>
          <w:tcPr>
            <w:tcW w:w="2311" w:type="dxa"/>
          </w:tcPr>
          <w:p w14:paraId="34A53A42" w14:textId="77777777" w:rsidR="0000686B" w:rsidRPr="00E11D43" w:rsidRDefault="0000686B" w:rsidP="00514129">
            <w:pPr>
              <w:spacing w:before="60" w:after="60"/>
              <w:rPr>
                <w:rFonts w:asciiTheme="minorHAnsi" w:hAnsiTheme="minorHAnsi"/>
                <w:b/>
                <w:bCs/>
                <w:i/>
                <w:color w:val="000000"/>
                <w:u w:val="single"/>
              </w:rPr>
            </w:pPr>
            <w:r w:rsidRPr="00E11D43">
              <w:rPr>
                <w:rFonts w:asciiTheme="minorHAnsi" w:hAnsiTheme="minorHAnsi"/>
                <w:b/>
                <w:bCs/>
                <w:color w:val="000000"/>
              </w:rPr>
              <w:t>974,179</w:t>
            </w:r>
          </w:p>
        </w:tc>
      </w:tr>
    </w:tbl>
    <w:p w14:paraId="4B51A474" w14:textId="77777777" w:rsidR="000D3D03" w:rsidRDefault="000D3D03" w:rsidP="00514129">
      <w:pPr>
        <w:pStyle w:val="Heading3"/>
        <w:jc w:val="left"/>
      </w:pPr>
    </w:p>
    <w:p w14:paraId="12E07CCE" w14:textId="046FD189" w:rsidR="0000686B" w:rsidRPr="00F53453" w:rsidRDefault="003848A8" w:rsidP="00514129">
      <w:pPr>
        <w:pStyle w:val="Heading3"/>
        <w:jc w:val="left"/>
      </w:pPr>
      <w:bookmarkStart w:id="43" w:name="_Toc500510207"/>
      <w:r>
        <w:t>B.</w:t>
      </w:r>
      <w:r w:rsidR="0000686B" w:rsidRPr="00F53453">
        <w:t>3.3</w:t>
      </w:r>
      <w:r w:rsidR="0000686B" w:rsidRPr="00F53453">
        <w:tab/>
        <w:t>Undertaking the Review</w:t>
      </w:r>
      <w:bookmarkEnd w:id="43"/>
    </w:p>
    <w:p w14:paraId="4920B58A" w14:textId="23B17A77" w:rsidR="0000686B" w:rsidRPr="00EC7CB7" w:rsidRDefault="009303C6" w:rsidP="000D3D03">
      <w:pPr>
        <w:spacing w:after="0" w:line="240" w:lineRule="auto"/>
        <w:jc w:val="left"/>
        <w:rPr>
          <w:rFonts w:asciiTheme="minorHAnsi" w:eastAsia="Times New Roman" w:hAnsiTheme="minorHAnsi" w:cs="Times New Roman"/>
          <w:b/>
          <w:i/>
          <w:color w:val="000000"/>
          <w:szCs w:val="24"/>
          <w:lang w:eastAsia="en-AU"/>
        </w:rPr>
      </w:pPr>
      <w:r w:rsidRPr="00EC7CB7">
        <w:rPr>
          <w:rFonts w:asciiTheme="minorHAnsi" w:hAnsiTheme="minorHAnsi"/>
          <w:b/>
          <w:i/>
        </w:rPr>
        <w:t>B.</w:t>
      </w:r>
      <w:r w:rsidR="0000686B" w:rsidRPr="00EC7CB7">
        <w:rPr>
          <w:rFonts w:asciiTheme="minorHAnsi" w:hAnsiTheme="minorHAnsi"/>
          <w:b/>
          <w:i/>
        </w:rPr>
        <w:t>3.3.</w:t>
      </w:r>
      <w:r w:rsidR="008B74D7" w:rsidRPr="00EC7CB7">
        <w:rPr>
          <w:rFonts w:asciiTheme="minorHAnsi" w:hAnsiTheme="minorHAnsi"/>
          <w:b/>
          <w:i/>
        </w:rPr>
        <w:t>1</w:t>
      </w:r>
      <w:r w:rsidR="000D3D03" w:rsidRPr="00EC7CB7">
        <w:rPr>
          <w:rFonts w:asciiTheme="minorHAnsi" w:hAnsiTheme="minorHAnsi"/>
          <w:b/>
          <w:i/>
        </w:rPr>
        <w:t xml:space="preserve"> </w:t>
      </w:r>
      <w:r w:rsidR="0000686B" w:rsidRPr="00EC7CB7">
        <w:rPr>
          <w:rFonts w:asciiTheme="minorHAnsi" w:hAnsiTheme="minorHAnsi"/>
          <w:b/>
          <w:i/>
        </w:rPr>
        <w:t xml:space="preserve">Analysis and evaluation of scientific literature, utilisation data and additional relevant information </w:t>
      </w:r>
    </w:p>
    <w:p w14:paraId="6AB3EC89" w14:textId="77777777" w:rsidR="000D3D03" w:rsidRDefault="000D3D03" w:rsidP="000D3D03">
      <w:pPr>
        <w:tabs>
          <w:tab w:val="left" w:pos="0"/>
        </w:tabs>
        <w:spacing w:after="0" w:line="240" w:lineRule="auto"/>
        <w:jc w:val="left"/>
        <w:rPr>
          <w:rFonts w:asciiTheme="minorHAnsi" w:hAnsiTheme="minorHAnsi"/>
          <w:bCs/>
          <w:szCs w:val="24"/>
        </w:rPr>
      </w:pPr>
    </w:p>
    <w:p w14:paraId="06E14CA6" w14:textId="4BC1EF3F" w:rsidR="0000686B" w:rsidRPr="00E631B0" w:rsidRDefault="0000686B" w:rsidP="000D3D03">
      <w:pPr>
        <w:tabs>
          <w:tab w:val="left" w:pos="0"/>
        </w:tabs>
        <w:spacing w:after="0" w:line="240" w:lineRule="auto"/>
        <w:jc w:val="left"/>
        <w:rPr>
          <w:rFonts w:asciiTheme="minorHAnsi" w:hAnsiTheme="minorHAnsi"/>
          <w:bCs/>
          <w:szCs w:val="24"/>
        </w:rPr>
      </w:pPr>
      <w:r w:rsidRPr="00E631B0">
        <w:rPr>
          <w:rFonts w:asciiTheme="minorHAnsi" w:hAnsiTheme="minorHAnsi"/>
          <w:bCs/>
          <w:szCs w:val="24"/>
        </w:rPr>
        <w:t xml:space="preserve">The Department of Health (Health) commissioned Deakin University (Deakin) to undertake the </w:t>
      </w:r>
      <w:r w:rsidR="00E84073" w:rsidRPr="00E631B0">
        <w:rPr>
          <w:rFonts w:asciiTheme="minorHAnsi" w:hAnsiTheme="minorHAnsi"/>
          <w:bCs/>
          <w:szCs w:val="24"/>
        </w:rPr>
        <w:t xml:space="preserve">following </w:t>
      </w:r>
      <w:r w:rsidRPr="00E631B0">
        <w:rPr>
          <w:rFonts w:asciiTheme="minorHAnsi" w:hAnsiTheme="minorHAnsi"/>
          <w:bCs/>
          <w:szCs w:val="24"/>
        </w:rPr>
        <w:t>analyses and evaluation</w:t>
      </w:r>
      <w:r w:rsidR="00E84073" w:rsidRPr="00E631B0">
        <w:rPr>
          <w:rFonts w:asciiTheme="minorHAnsi" w:hAnsiTheme="minorHAnsi"/>
          <w:bCs/>
          <w:szCs w:val="24"/>
        </w:rPr>
        <w:t>s</w:t>
      </w:r>
      <w:r w:rsidRPr="00E631B0">
        <w:rPr>
          <w:rFonts w:asciiTheme="minorHAnsi" w:hAnsiTheme="minorHAnsi"/>
          <w:bCs/>
          <w:szCs w:val="24"/>
        </w:rPr>
        <w:t xml:space="preserve"> of the evidence to meet the Review</w:t>
      </w:r>
      <w:r w:rsidR="00E84073" w:rsidRPr="00E631B0">
        <w:rPr>
          <w:rFonts w:asciiTheme="minorHAnsi" w:hAnsiTheme="minorHAnsi"/>
          <w:bCs/>
          <w:szCs w:val="24"/>
        </w:rPr>
        <w:t xml:space="preserve"> TOR</w:t>
      </w:r>
      <w:r w:rsidRPr="00E631B0">
        <w:rPr>
          <w:rFonts w:asciiTheme="minorHAnsi" w:hAnsiTheme="minorHAnsi"/>
          <w:bCs/>
          <w:szCs w:val="24"/>
        </w:rPr>
        <w:t xml:space="preserve">: </w:t>
      </w:r>
    </w:p>
    <w:p w14:paraId="0C4623CC" w14:textId="77777777" w:rsidR="0000686B" w:rsidRPr="00E631B0" w:rsidRDefault="0000686B" w:rsidP="000831ED">
      <w:pPr>
        <w:numPr>
          <w:ilvl w:val="0"/>
          <w:numId w:val="6"/>
        </w:numPr>
        <w:spacing w:after="120" w:line="240" w:lineRule="auto"/>
        <w:ind w:left="425" w:hanging="425"/>
        <w:jc w:val="left"/>
        <w:rPr>
          <w:rFonts w:asciiTheme="minorHAnsi" w:eastAsia="MS Mincho" w:hAnsiTheme="minorHAnsi"/>
          <w:szCs w:val="24"/>
          <w:lang w:eastAsia="en-AU"/>
        </w:rPr>
      </w:pPr>
      <w:r w:rsidRPr="00E631B0">
        <w:rPr>
          <w:rFonts w:asciiTheme="minorHAnsi" w:eastAsia="MS Mincho" w:hAnsiTheme="minorHAnsi"/>
          <w:szCs w:val="24"/>
          <w:lang w:eastAsia="en-AU"/>
        </w:rPr>
        <w:t xml:space="preserve">Identification and summary of clinical evidence for ezetimibe (administered as monotherapy or combination therapy) in the treatment of hypercholesterolaemia not previously considered by the PBAC. </w:t>
      </w:r>
    </w:p>
    <w:p w14:paraId="79D7F204" w14:textId="3A686094" w:rsidR="0000686B" w:rsidRPr="00E631B0" w:rsidRDefault="0000686B" w:rsidP="000831ED">
      <w:pPr>
        <w:numPr>
          <w:ilvl w:val="0"/>
          <w:numId w:val="6"/>
        </w:numPr>
        <w:spacing w:after="120" w:line="240" w:lineRule="auto"/>
        <w:ind w:left="425" w:hanging="425"/>
        <w:jc w:val="left"/>
        <w:rPr>
          <w:rFonts w:asciiTheme="minorHAnsi" w:eastAsia="MS Mincho" w:hAnsiTheme="minorHAnsi"/>
          <w:szCs w:val="24"/>
          <w:lang w:eastAsia="en-AU"/>
        </w:rPr>
      </w:pPr>
      <w:r w:rsidRPr="00E631B0">
        <w:rPr>
          <w:rFonts w:asciiTheme="minorHAnsi" w:eastAsia="MS Mincho" w:hAnsiTheme="minorHAnsi"/>
          <w:szCs w:val="24"/>
          <w:lang w:eastAsia="en-AU"/>
        </w:rPr>
        <w:t>Identification of published health economic models for ezetimibe and consider</w:t>
      </w:r>
      <w:r w:rsidR="005C413E" w:rsidRPr="00E631B0">
        <w:rPr>
          <w:rFonts w:asciiTheme="minorHAnsi" w:eastAsia="MS Mincho" w:hAnsiTheme="minorHAnsi"/>
          <w:szCs w:val="24"/>
          <w:lang w:eastAsia="en-AU"/>
        </w:rPr>
        <w:t>ation of</w:t>
      </w:r>
      <w:r w:rsidRPr="00E631B0">
        <w:rPr>
          <w:rFonts w:asciiTheme="minorHAnsi" w:eastAsia="MS Mincho" w:hAnsiTheme="minorHAnsi"/>
          <w:szCs w:val="24"/>
          <w:lang w:eastAsia="en-AU"/>
        </w:rPr>
        <w:t xml:space="preserve"> the applicability of th</w:t>
      </w:r>
      <w:r w:rsidR="005C413E" w:rsidRPr="00E631B0">
        <w:rPr>
          <w:rFonts w:asciiTheme="minorHAnsi" w:eastAsia="MS Mincho" w:hAnsiTheme="minorHAnsi"/>
          <w:szCs w:val="24"/>
          <w:lang w:eastAsia="en-AU"/>
        </w:rPr>
        <w:t>e model structure and inputs to</w:t>
      </w:r>
      <w:r w:rsidRPr="00E631B0">
        <w:rPr>
          <w:rFonts w:asciiTheme="minorHAnsi" w:eastAsia="MS Mincho" w:hAnsiTheme="minorHAnsi"/>
          <w:szCs w:val="24"/>
          <w:lang w:eastAsia="en-AU"/>
        </w:rPr>
        <w:t xml:space="preserve"> the Australian health system.</w:t>
      </w:r>
    </w:p>
    <w:p w14:paraId="6C6C8A66" w14:textId="77777777" w:rsidR="0000686B" w:rsidRPr="00E631B0" w:rsidRDefault="0000686B" w:rsidP="000831ED">
      <w:pPr>
        <w:numPr>
          <w:ilvl w:val="0"/>
          <w:numId w:val="6"/>
        </w:numPr>
        <w:spacing w:after="120" w:line="240" w:lineRule="auto"/>
        <w:ind w:left="425" w:hanging="425"/>
        <w:jc w:val="left"/>
        <w:rPr>
          <w:rFonts w:asciiTheme="minorHAnsi" w:eastAsia="MS Mincho" w:hAnsiTheme="minorHAnsi"/>
          <w:szCs w:val="24"/>
          <w:lang w:eastAsia="en-AU"/>
        </w:rPr>
      </w:pPr>
      <w:r w:rsidRPr="00E631B0">
        <w:rPr>
          <w:rFonts w:asciiTheme="minorHAnsi" w:eastAsia="MS Mincho" w:hAnsiTheme="minorHAnsi"/>
          <w:szCs w:val="24"/>
          <w:lang w:eastAsia="en-AU"/>
        </w:rPr>
        <w:t>A review of the current utilisation of ezetimibe in Australia, as monotherapy and in combination therapy.</w:t>
      </w:r>
    </w:p>
    <w:p w14:paraId="1B064A24" w14:textId="77777777" w:rsidR="0000686B" w:rsidRPr="00E631B0" w:rsidRDefault="0000686B" w:rsidP="000831ED">
      <w:pPr>
        <w:numPr>
          <w:ilvl w:val="0"/>
          <w:numId w:val="6"/>
        </w:numPr>
        <w:spacing w:after="120" w:line="240" w:lineRule="auto"/>
        <w:ind w:left="425" w:hanging="425"/>
        <w:jc w:val="left"/>
        <w:rPr>
          <w:rFonts w:asciiTheme="minorHAnsi" w:hAnsiTheme="minorHAnsi"/>
          <w:bCs/>
          <w:szCs w:val="24"/>
        </w:rPr>
      </w:pPr>
      <w:r w:rsidRPr="00E631B0">
        <w:rPr>
          <w:rFonts w:asciiTheme="minorHAnsi" w:eastAsia="MS Mincho" w:hAnsiTheme="minorHAnsi"/>
          <w:szCs w:val="24"/>
          <w:lang w:eastAsia="en-AU"/>
        </w:rPr>
        <w:t>A review of</w:t>
      </w:r>
      <w:r w:rsidRPr="00E631B0">
        <w:rPr>
          <w:rFonts w:asciiTheme="minorHAnsi" w:hAnsiTheme="minorHAnsi"/>
          <w:bCs/>
          <w:szCs w:val="24"/>
        </w:rPr>
        <w:t xml:space="preserve"> recent clinical guidelines for the treatment of hypercholesterolaemia.</w:t>
      </w:r>
    </w:p>
    <w:p w14:paraId="5B570DE2" w14:textId="362DC64C" w:rsidR="0000686B" w:rsidRDefault="0000686B" w:rsidP="000831ED">
      <w:pPr>
        <w:spacing w:line="240" w:lineRule="auto"/>
        <w:jc w:val="left"/>
        <w:rPr>
          <w:rFonts w:asciiTheme="minorHAnsi" w:hAnsiTheme="minorHAnsi"/>
          <w:bCs/>
          <w:szCs w:val="24"/>
        </w:rPr>
      </w:pPr>
      <w:r w:rsidRPr="00E631B0">
        <w:rPr>
          <w:rFonts w:asciiTheme="minorHAnsi" w:hAnsiTheme="minorHAnsi"/>
          <w:bCs/>
          <w:szCs w:val="24"/>
        </w:rPr>
        <w:t xml:space="preserve">The executive summaries of each evaluation report for the </w:t>
      </w:r>
      <w:r w:rsidR="005C413E" w:rsidRPr="00E631B0">
        <w:rPr>
          <w:rFonts w:asciiTheme="minorHAnsi" w:hAnsiTheme="minorHAnsi"/>
          <w:bCs/>
          <w:szCs w:val="24"/>
        </w:rPr>
        <w:t xml:space="preserve">TOR </w:t>
      </w:r>
      <w:r w:rsidRPr="00E631B0">
        <w:rPr>
          <w:rFonts w:asciiTheme="minorHAnsi" w:hAnsiTheme="minorHAnsi"/>
          <w:bCs/>
          <w:szCs w:val="24"/>
        </w:rPr>
        <w:t xml:space="preserve">are provided in Sections 2, 3 and 4. A complete copy of the report is available from the Review Secretariat and published on the </w:t>
      </w:r>
      <w:hyperlink r:id="rId20" w:history="1">
        <w:r w:rsidR="005C413E">
          <w:rPr>
            <w:rStyle w:val="Hyperlink"/>
            <w:rFonts w:asciiTheme="minorHAnsi" w:hAnsiTheme="minorHAnsi"/>
            <w:bCs/>
            <w:szCs w:val="24"/>
          </w:rPr>
          <w:t>Review w</w:t>
        </w:r>
        <w:r w:rsidRPr="00B67417">
          <w:rPr>
            <w:rStyle w:val="Hyperlink"/>
            <w:rFonts w:asciiTheme="minorHAnsi" w:hAnsiTheme="minorHAnsi"/>
            <w:bCs/>
            <w:szCs w:val="24"/>
          </w:rPr>
          <w:t>ebsite</w:t>
        </w:r>
      </w:hyperlink>
      <w:r>
        <w:rPr>
          <w:rFonts w:asciiTheme="minorHAnsi" w:hAnsiTheme="minorHAnsi"/>
          <w:bCs/>
          <w:szCs w:val="24"/>
        </w:rPr>
        <w:t xml:space="preserve">. </w:t>
      </w:r>
    </w:p>
    <w:p w14:paraId="35BC89E5" w14:textId="1BD943C9" w:rsidR="0000686B" w:rsidRPr="00F53453" w:rsidRDefault="009303C6" w:rsidP="000831ED">
      <w:pPr>
        <w:pStyle w:val="Heading4"/>
        <w:jc w:val="left"/>
      </w:pPr>
      <w:r>
        <w:t>B.</w:t>
      </w:r>
      <w:r w:rsidR="0000686B" w:rsidRPr="00F53453">
        <w:t>3.3.</w:t>
      </w:r>
      <w:r w:rsidR="008B74D7">
        <w:t>2</w:t>
      </w:r>
      <w:r w:rsidR="00E30DCB">
        <w:tab/>
      </w:r>
      <w:r w:rsidR="0000686B" w:rsidRPr="00F53453">
        <w:t>Stakeholder consultation</w:t>
      </w:r>
    </w:p>
    <w:p w14:paraId="1D02D429" w14:textId="45986A62" w:rsidR="0000686B" w:rsidRPr="00E631B0" w:rsidRDefault="0000686B" w:rsidP="000831ED">
      <w:pPr>
        <w:spacing w:line="240" w:lineRule="auto"/>
        <w:jc w:val="left"/>
        <w:rPr>
          <w:rFonts w:asciiTheme="minorHAnsi" w:hAnsiTheme="minorHAnsi"/>
          <w:bCs/>
          <w:szCs w:val="24"/>
        </w:rPr>
      </w:pPr>
      <w:r w:rsidRPr="00E631B0">
        <w:rPr>
          <w:rFonts w:asciiTheme="minorHAnsi" w:hAnsiTheme="minorHAnsi"/>
          <w:bCs/>
          <w:szCs w:val="24"/>
        </w:rPr>
        <w:t>There were four formal opportunities for public stake</w:t>
      </w:r>
      <w:r w:rsidR="00B94AAC" w:rsidRPr="00E631B0">
        <w:rPr>
          <w:rFonts w:asciiTheme="minorHAnsi" w:hAnsiTheme="minorHAnsi"/>
          <w:bCs/>
          <w:szCs w:val="24"/>
        </w:rPr>
        <w:t xml:space="preserve">holder consultation on the </w:t>
      </w:r>
      <w:r w:rsidR="005C413E" w:rsidRPr="00E631B0">
        <w:rPr>
          <w:rFonts w:asciiTheme="minorHAnsi" w:hAnsiTheme="minorHAnsi"/>
          <w:bCs/>
          <w:szCs w:val="24"/>
        </w:rPr>
        <w:t xml:space="preserve">PMR </w:t>
      </w:r>
      <w:r w:rsidRPr="00E631B0">
        <w:rPr>
          <w:rFonts w:asciiTheme="minorHAnsi" w:hAnsiTheme="minorHAnsi"/>
          <w:bCs/>
          <w:szCs w:val="24"/>
        </w:rPr>
        <w:t>of Ezetimibe:</w:t>
      </w:r>
    </w:p>
    <w:p w14:paraId="1091E4B1" w14:textId="03360513" w:rsidR="0000686B" w:rsidRPr="00E631B0" w:rsidRDefault="0000686B" w:rsidP="000831ED">
      <w:pPr>
        <w:numPr>
          <w:ilvl w:val="0"/>
          <w:numId w:val="6"/>
        </w:numPr>
        <w:spacing w:after="120" w:line="240" w:lineRule="auto"/>
        <w:ind w:left="425" w:hanging="425"/>
        <w:jc w:val="left"/>
        <w:rPr>
          <w:rFonts w:asciiTheme="minorHAnsi" w:hAnsiTheme="minorHAnsi"/>
          <w:bCs/>
          <w:szCs w:val="24"/>
        </w:rPr>
      </w:pPr>
      <w:r w:rsidRPr="00E631B0">
        <w:rPr>
          <w:rFonts w:asciiTheme="minorHAnsi" w:hAnsiTheme="minorHAnsi"/>
          <w:bCs/>
          <w:szCs w:val="24"/>
        </w:rPr>
        <w:t xml:space="preserve">on the draft </w:t>
      </w:r>
      <w:r w:rsidR="005C413E" w:rsidRPr="00E631B0">
        <w:rPr>
          <w:rFonts w:asciiTheme="minorHAnsi" w:hAnsiTheme="minorHAnsi"/>
          <w:bCs/>
          <w:szCs w:val="24"/>
        </w:rPr>
        <w:t>TOR</w:t>
      </w:r>
    </w:p>
    <w:p w14:paraId="47FF0BD4" w14:textId="77777777" w:rsidR="0000686B" w:rsidRPr="00E631B0" w:rsidRDefault="0000686B" w:rsidP="000831ED">
      <w:pPr>
        <w:numPr>
          <w:ilvl w:val="0"/>
          <w:numId w:val="6"/>
        </w:numPr>
        <w:spacing w:after="120" w:line="240" w:lineRule="auto"/>
        <w:ind w:left="425" w:hanging="425"/>
        <w:jc w:val="left"/>
        <w:rPr>
          <w:rFonts w:asciiTheme="minorHAnsi" w:hAnsiTheme="minorHAnsi"/>
          <w:bCs/>
          <w:szCs w:val="24"/>
        </w:rPr>
      </w:pPr>
      <w:r w:rsidRPr="00E631B0">
        <w:rPr>
          <w:rFonts w:asciiTheme="minorHAnsi" w:hAnsiTheme="minorHAnsi"/>
          <w:bCs/>
          <w:szCs w:val="24"/>
        </w:rPr>
        <w:t xml:space="preserve">on the Review </w:t>
      </w:r>
    </w:p>
    <w:p w14:paraId="1E75A054" w14:textId="77777777" w:rsidR="0000686B" w:rsidRPr="00E631B0" w:rsidRDefault="0000686B" w:rsidP="000831ED">
      <w:pPr>
        <w:numPr>
          <w:ilvl w:val="0"/>
          <w:numId w:val="6"/>
        </w:numPr>
        <w:spacing w:after="120" w:line="240" w:lineRule="auto"/>
        <w:ind w:left="425" w:hanging="425"/>
        <w:jc w:val="left"/>
        <w:rPr>
          <w:rFonts w:asciiTheme="minorHAnsi" w:hAnsiTheme="minorHAnsi"/>
          <w:bCs/>
          <w:szCs w:val="24"/>
        </w:rPr>
      </w:pPr>
      <w:r w:rsidRPr="00E631B0">
        <w:rPr>
          <w:rFonts w:asciiTheme="minorHAnsi" w:hAnsiTheme="minorHAnsi"/>
          <w:bCs/>
          <w:szCs w:val="24"/>
        </w:rPr>
        <w:t>through a stakeholder forum</w:t>
      </w:r>
    </w:p>
    <w:p w14:paraId="219487F7" w14:textId="4A6D6AB7" w:rsidR="0000686B" w:rsidRPr="00E631B0" w:rsidRDefault="005C413E" w:rsidP="000831ED">
      <w:pPr>
        <w:numPr>
          <w:ilvl w:val="0"/>
          <w:numId w:val="6"/>
        </w:numPr>
        <w:spacing w:after="120" w:line="240" w:lineRule="auto"/>
        <w:ind w:left="425" w:hanging="425"/>
        <w:jc w:val="left"/>
        <w:rPr>
          <w:rFonts w:asciiTheme="minorHAnsi" w:hAnsiTheme="minorHAnsi"/>
          <w:bCs/>
          <w:szCs w:val="24"/>
        </w:rPr>
      </w:pPr>
      <w:r w:rsidRPr="00E631B0">
        <w:rPr>
          <w:rFonts w:asciiTheme="minorHAnsi" w:hAnsiTheme="minorHAnsi"/>
          <w:bCs/>
          <w:szCs w:val="24"/>
        </w:rPr>
        <w:t>on the draft R</w:t>
      </w:r>
      <w:r w:rsidR="0000686B" w:rsidRPr="00E631B0">
        <w:rPr>
          <w:rFonts w:asciiTheme="minorHAnsi" w:hAnsiTheme="minorHAnsi"/>
          <w:bCs/>
          <w:szCs w:val="24"/>
        </w:rPr>
        <w:t>eview report</w:t>
      </w:r>
      <w:r w:rsidRPr="00E631B0">
        <w:rPr>
          <w:rFonts w:asciiTheme="minorHAnsi" w:hAnsiTheme="minorHAnsi"/>
          <w:bCs/>
          <w:szCs w:val="24"/>
        </w:rPr>
        <w:t>.</w:t>
      </w:r>
    </w:p>
    <w:p w14:paraId="5A30D337" w14:textId="40F83293" w:rsidR="0000686B" w:rsidRPr="005869C5" w:rsidRDefault="003848A8" w:rsidP="00920324">
      <w:pPr>
        <w:pStyle w:val="Heading2"/>
      </w:pPr>
      <w:bookmarkStart w:id="44" w:name="_Toc500510208"/>
      <w:r>
        <w:t>B.</w:t>
      </w:r>
      <w:r w:rsidR="00C02F41">
        <w:t xml:space="preserve">4 </w:t>
      </w:r>
      <w:r w:rsidR="00C02F41">
        <w:tab/>
      </w:r>
      <w:r w:rsidR="0000686B" w:rsidRPr="00F43D38">
        <w:t>Epidemiology</w:t>
      </w:r>
      <w:r w:rsidR="00E30DCB">
        <w:t xml:space="preserve"> of </w:t>
      </w:r>
      <w:r w:rsidR="0000686B" w:rsidRPr="005869C5">
        <w:t>hypercholesterolemia</w:t>
      </w:r>
      <w:bookmarkEnd w:id="44"/>
      <w:r w:rsidR="0000686B" w:rsidRPr="005869C5">
        <w:t xml:space="preserve">  </w:t>
      </w:r>
    </w:p>
    <w:p w14:paraId="1E23BF92" w14:textId="71C23DF3" w:rsidR="0000686B" w:rsidRPr="00E631B0" w:rsidRDefault="0000686B" w:rsidP="000831ED">
      <w:pPr>
        <w:spacing w:line="240" w:lineRule="auto"/>
        <w:jc w:val="left"/>
        <w:rPr>
          <w:rFonts w:asciiTheme="minorHAnsi" w:hAnsiTheme="minorHAnsi"/>
        </w:rPr>
      </w:pPr>
      <w:bookmarkStart w:id="45" w:name="_Toc388453111"/>
      <w:r w:rsidRPr="00E631B0">
        <w:rPr>
          <w:rFonts w:asciiTheme="minorHAnsi" w:hAnsiTheme="minorHAnsi"/>
        </w:rPr>
        <w:t xml:space="preserve">Large numbers of Australians have high cholesterol </w:t>
      </w:r>
      <w:r w:rsidR="004C1339" w:rsidRPr="00E631B0">
        <w:rPr>
          <w:rFonts w:asciiTheme="minorHAnsi" w:eastAsia="Times New Roman" w:hAnsiTheme="minorHAnsi" w:cs="Arial"/>
          <w:szCs w:val="24"/>
          <w:lang w:eastAsia="en-AU"/>
        </w:rPr>
        <w:t>concentrations</w:t>
      </w:r>
      <w:r w:rsidR="005C413E" w:rsidRPr="00E631B0">
        <w:rPr>
          <w:rFonts w:asciiTheme="minorHAnsi" w:hAnsiTheme="minorHAnsi"/>
        </w:rPr>
        <w:t>. High cholesterol is a</w:t>
      </w:r>
      <w:r w:rsidRPr="00E631B0">
        <w:rPr>
          <w:rFonts w:asciiTheme="minorHAnsi" w:hAnsiTheme="minorHAnsi"/>
        </w:rPr>
        <w:t xml:space="preserve"> major risk factor for cor</w:t>
      </w:r>
      <w:r w:rsidR="005C413E" w:rsidRPr="00E631B0">
        <w:rPr>
          <w:rFonts w:asciiTheme="minorHAnsi" w:hAnsiTheme="minorHAnsi"/>
        </w:rPr>
        <w:t xml:space="preserve">onary heart disease, stroke, </w:t>
      </w:r>
      <w:r w:rsidRPr="00E631B0">
        <w:rPr>
          <w:rFonts w:asciiTheme="minorHAnsi" w:hAnsiTheme="minorHAnsi"/>
        </w:rPr>
        <w:t>peripheral vascular disease</w:t>
      </w:r>
      <w:r w:rsidR="005C413E" w:rsidRPr="00E631B0">
        <w:rPr>
          <w:rFonts w:asciiTheme="minorHAnsi" w:hAnsiTheme="minorHAnsi"/>
        </w:rPr>
        <w:t>, and premature death</w:t>
      </w:r>
      <w:r w:rsidRPr="00E631B0">
        <w:rPr>
          <w:rFonts w:asciiTheme="minorHAnsi" w:hAnsiTheme="minorHAnsi"/>
        </w:rPr>
        <w:t xml:space="preserve">. </w:t>
      </w:r>
    </w:p>
    <w:p w14:paraId="5C790EAB" w14:textId="43CF8DDC" w:rsidR="0000686B" w:rsidRPr="00E631B0" w:rsidRDefault="0000686B" w:rsidP="000831ED">
      <w:pPr>
        <w:spacing w:line="240" w:lineRule="auto"/>
        <w:jc w:val="left"/>
        <w:rPr>
          <w:rFonts w:asciiTheme="minorHAnsi" w:hAnsiTheme="minorHAnsi"/>
        </w:rPr>
      </w:pPr>
      <w:r w:rsidRPr="00E631B0">
        <w:rPr>
          <w:rFonts w:asciiTheme="minorHAnsi" w:hAnsiTheme="minorHAnsi"/>
        </w:rPr>
        <w:t>In 2003, around 6% of the burden of disease and injury in Australia was attributed to high cholesterol, making it fifth out of fourteen risk factors examined. High blood cholesterol was the second most important contributor to the cardiovascular disease burden (after high blood pressure)</w:t>
      </w:r>
      <w:r w:rsidR="00106006" w:rsidRPr="00E631B0">
        <w:rPr>
          <w:rStyle w:val="EndnoteReference"/>
          <w:rFonts w:asciiTheme="minorHAnsi" w:hAnsiTheme="minorHAnsi"/>
        </w:rPr>
        <w:endnoteReference w:id="19"/>
      </w:r>
      <w:r w:rsidR="005C413E" w:rsidRPr="00E631B0">
        <w:rPr>
          <w:rFonts w:asciiTheme="minorHAnsi" w:hAnsiTheme="minorHAnsi"/>
        </w:rPr>
        <w:t>.</w:t>
      </w:r>
      <w:r w:rsidR="00106006" w:rsidRPr="00E631B0">
        <w:rPr>
          <w:rFonts w:asciiTheme="minorHAnsi" w:hAnsiTheme="minorHAnsi"/>
        </w:rPr>
        <w:t xml:space="preserve"> </w:t>
      </w:r>
    </w:p>
    <w:p w14:paraId="2B348CAA" w14:textId="0C82110F" w:rsidR="00106006" w:rsidRPr="00E631B0" w:rsidRDefault="0000686B" w:rsidP="000831ED">
      <w:pPr>
        <w:spacing w:line="240" w:lineRule="auto"/>
        <w:jc w:val="left"/>
        <w:rPr>
          <w:rFonts w:asciiTheme="minorHAnsi" w:hAnsiTheme="minorHAnsi"/>
        </w:rPr>
      </w:pPr>
      <w:r w:rsidRPr="00E631B0">
        <w:rPr>
          <w:rFonts w:asciiTheme="minorHAnsi" w:hAnsiTheme="minorHAnsi"/>
        </w:rPr>
        <w:lastRenderedPageBreak/>
        <w:t>In 2013, ischaemic heart disease was the leading cause of death in Australia, accounting for around 20,000 deaths; cerebrovascular disease (including stroke) was the third leading cause of death. However, the number of deaths for which heart and cerebrovascular disease were an underlying cause has declined since 2004.</w:t>
      </w:r>
      <w:r w:rsidR="00106006" w:rsidRPr="00E631B0">
        <w:rPr>
          <w:rStyle w:val="EndnoteReference"/>
          <w:rFonts w:asciiTheme="minorHAnsi" w:hAnsiTheme="minorHAnsi"/>
        </w:rPr>
        <w:endnoteReference w:id="20"/>
      </w:r>
      <w:r w:rsidR="00106006" w:rsidRPr="00E631B0">
        <w:rPr>
          <w:rFonts w:asciiTheme="minorHAnsi" w:hAnsiTheme="minorHAnsi"/>
        </w:rPr>
        <w:t xml:space="preserve"> </w:t>
      </w:r>
      <w:r w:rsidRPr="00E631B0">
        <w:rPr>
          <w:rFonts w:asciiTheme="minorHAnsi" w:hAnsiTheme="minorHAnsi"/>
        </w:rPr>
        <w:t>Cardiovascular disease was also the second leading cause of fatal burden of disease (years of life lost) in Australia in 2010, accounting for 23% of the fatal burden of disease</w:t>
      </w:r>
      <w:r w:rsidR="00106006" w:rsidRPr="00E631B0">
        <w:rPr>
          <w:rStyle w:val="EndnoteReference"/>
          <w:rFonts w:asciiTheme="minorHAnsi" w:hAnsiTheme="minorHAnsi"/>
        </w:rPr>
        <w:endnoteReference w:id="21"/>
      </w:r>
      <w:r w:rsidR="005C413E" w:rsidRPr="00E631B0">
        <w:rPr>
          <w:rFonts w:asciiTheme="minorHAnsi" w:hAnsiTheme="minorHAnsi"/>
        </w:rPr>
        <w:t>.</w:t>
      </w:r>
    </w:p>
    <w:p w14:paraId="1A0527BB" w14:textId="32D915DA" w:rsidR="0000686B" w:rsidRPr="00E631B0" w:rsidRDefault="0000686B" w:rsidP="000831ED">
      <w:pPr>
        <w:spacing w:line="240" w:lineRule="auto"/>
        <w:jc w:val="left"/>
        <w:rPr>
          <w:rFonts w:asciiTheme="minorHAnsi" w:hAnsiTheme="minorHAnsi"/>
        </w:rPr>
      </w:pPr>
      <w:r w:rsidRPr="00E631B0">
        <w:rPr>
          <w:rFonts w:asciiTheme="minorHAnsi" w:hAnsiTheme="minorHAnsi"/>
        </w:rPr>
        <w:t xml:space="preserve">The 2011-12 Australian Health Survey showed that 32.8% of Australian adults, or 5.6 million people, had abnormal </w:t>
      </w:r>
      <w:r w:rsidR="004B1768" w:rsidRPr="00E631B0">
        <w:rPr>
          <w:rFonts w:asciiTheme="minorHAnsi" w:eastAsia="Times New Roman" w:hAnsiTheme="minorHAnsi" w:cs="Arial"/>
          <w:szCs w:val="24"/>
          <w:lang w:eastAsia="en-AU"/>
        </w:rPr>
        <w:t>concentrations</w:t>
      </w:r>
      <w:r w:rsidR="004B1768" w:rsidRPr="00E631B0">
        <w:rPr>
          <w:rFonts w:asciiTheme="minorHAnsi" w:hAnsiTheme="minorHAnsi"/>
        </w:rPr>
        <w:t xml:space="preserve"> </w:t>
      </w:r>
      <w:r w:rsidRPr="00E631B0">
        <w:rPr>
          <w:rFonts w:asciiTheme="minorHAnsi" w:hAnsiTheme="minorHAnsi"/>
        </w:rPr>
        <w:t>of total cholesterol (&gt;5.5</w:t>
      </w:r>
      <w:r w:rsidR="005C413E" w:rsidRPr="00E631B0">
        <w:rPr>
          <w:rFonts w:asciiTheme="minorHAnsi" w:hAnsiTheme="minorHAnsi"/>
        </w:rPr>
        <w:t xml:space="preserve"> </w:t>
      </w:r>
      <w:r w:rsidRPr="00E631B0">
        <w:rPr>
          <w:rFonts w:asciiTheme="minorHAnsi" w:hAnsiTheme="minorHAnsi"/>
        </w:rPr>
        <w:t xml:space="preserve">mmol/L), yet only around one in ten of these people self-reported high cholesterol as a current health condition. In addition, 76.4% of adults aged 45 years and over had dyslipidaemia, i.e. they were taking lipid lowering medication, or had one or more of </w:t>
      </w:r>
      <w:r w:rsidR="00D4030E" w:rsidRPr="00E631B0">
        <w:rPr>
          <w:rFonts w:asciiTheme="minorHAnsi" w:hAnsiTheme="minorHAnsi"/>
        </w:rPr>
        <w:t xml:space="preserve">the following: </w:t>
      </w:r>
      <w:r w:rsidRPr="00E631B0">
        <w:rPr>
          <w:rFonts w:asciiTheme="minorHAnsi" w:hAnsiTheme="minorHAnsi"/>
        </w:rPr>
        <w:t xml:space="preserve">high total cholesterol, low </w:t>
      </w:r>
      <w:r w:rsidR="005C413E" w:rsidRPr="00E631B0">
        <w:rPr>
          <w:rFonts w:asciiTheme="minorHAnsi" w:hAnsiTheme="minorHAnsi"/>
        </w:rPr>
        <w:t>HDL</w:t>
      </w:r>
      <w:r w:rsidRPr="00E631B0">
        <w:rPr>
          <w:rFonts w:asciiTheme="minorHAnsi" w:hAnsiTheme="minorHAnsi"/>
        </w:rPr>
        <w:t xml:space="preserve"> cholesterol, high </w:t>
      </w:r>
      <w:r w:rsidR="005C413E" w:rsidRPr="00E631B0">
        <w:rPr>
          <w:rFonts w:asciiTheme="minorHAnsi" w:hAnsiTheme="minorHAnsi"/>
        </w:rPr>
        <w:t>LDL</w:t>
      </w:r>
      <w:r w:rsidRPr="00E631B0">
        <w:rPr>
          <w:rFonts w:asciiTheme="minorHAnsi" w:hAnsiTheme="minorHAnsi"/>
        </w:rPr>
        <w:t xml:space="preserve"> cholesterol, or high triglyceride</w:t>
      </w:r>
      <w:r w:rsidR="005C413E" w:rsidRPr="00E631B0">
        <w:rPr>
          <w:rFonts w:asciiTheme="minorHAnsi" w:hAnsiTheme="minorHAnsi"/>
        </w:rPr>
        <w:t>.</w:t>
      </w:r>
      <w:r w:rsidRPr="00E631B0">
        <w:rPr>
          <w:rFonts w:asciiTheme="minorHAnsi" w:hAnsiTheme="minorHAnsi"/>
        </w:rPr>
        <w:t xml:space="preserve"> </w:t>
      </w:r>
    </w:p>
    <w:p w14:paraId="52D1FFD5" w14:textId="16598F30" w:rsidR="0000686B" w:rsidRPr="00F53453" w:rsidRDefault="003848A8" w:rsidP="00514129">
      <w:pPr>
        <w:pStyle w:val="Heading3"/>
        <w:jc w:val="left"/>
      </w:pPr>
      <w:bookmarkStart w:id="46" w:name="_Toc500510209"/>
      <w:r>
        <w:t>B.</w:t>
      </w:r>
      <w:r w:rsidR="0000686B" w:rsidRPr="00F53453">
        <w:t>4.1</w:t>
      </w:r>
      <w:r w:rsidR="0000686B" w:rsidRPr="00F53453">
        <w:tab/>
        <w:t>What are cardiovascular disease risk factors</w:t>
      </w:r>
      <w:r w:rsidR="00106006">
        <w:rPr>
          <w:rStyle w:val="EndnoteReference"/>
        </w:rPr>
        <w:endnoteReference w:id="22"/>
      </w:r>
      <w:r w:rsidR="00106006" w:rsidRPr="00F53453">
        <w:t>?</w:t>
      </w:r>
      <w:bookmarkEnd w:id="46"/>
    </w:p>
    <w:p w14:paraId="5D50727B" w14:textId="77777777" w:rsidR="0000686B" w:rsidRPr="00E631B0" w:rsidRDefault="0000686B" w:rsidP="000831ED">
      <w:pPr>
        <w:pStyle w:val="removeelement"/>
        <w:spacing w:after="200" w:line="240" w:lineRule="auto"/>
        <w:rPr>
          <w:rFonts w:asciiTheme="minorHAnsi" w:hAnsiTheme="minorHAnsi" w:cs="Arial"/>
          <w:color w:val="auto"/>
          <w:sz w:val="24"/>
          <w:szCs w:val="24"/>
        </w:rPr>
      </w:pPr>
      <w:r w:rsidRPr="00E631B0">
        <w:rPr>
          <w:rFonts w:asciiTheme="minorHAnsi" w:hAnsiTheme="minorHAnsi" w:cs="Arial"/>
          <w:color w:val="auto"/>
          <w:sz w:val="24"/>
          <w:szCs w:val="24"/>
        </w:rPr>
        <w:t>Cardiovascular disease includes coronary heart disease (myocardial infarct and angina), stroke, and other vascular disease such as peripheral arterial disease and renovascular disease. When a patient has one of these diseases this is referred to as a cardiovascular event.</w:t>
      </w:r>
    </w:p>
    <w:p w14:paraId="7244CC4C" w14:textId="77777777" w:rsidR="0000686B" w:rsidRPr="00E631B0" w:rsidRDefault="0000686B" w:rsidP="000831ED">
      <w:pPr>
        <w:pStyle w:val="removeelement"/>
        <w:spacing w:after="200" w:line="240" w:lineRule="auto"/>
        <w:rPr>
          <w:rFonts w:asciiTheme="minorHAnsi" w:hAnsiTheme="minorHAnsi" w:cs="Arial"/>
          <w:color w:val="auto"/>
          <w:sz w:val="24"/>
          <w:szCs w:val="24"/>
        </w:rPr>
      </w:pPr>
      <w:r w:rsidRPr="00E631B0">
        <w:rPr>
          <w:rFonts w:asciiTheme="minorHAnsi" w:hAnsiTheme="minorHAnsi" w:cs="Arial"/>
          <w:color w:val="auto"/>
          <w:sz w:val="24"/>
          <w:szCs w:val="24"/>
        </w:rPr>
        <w:t>Longitudinal epidemiological studies have shown that the majority of patients who develop a cardiovascular event have identifiable and modifiable cardiovascular risk factors that are amenable to behavio</w:t>
      </w:r>
      <w:r w:rsidR="005869C5" w:rsidRPr="00E631B0">
        <w:rPr>
          <w:rFonts w:asciiTheme="minorHAnsi" w:hAnsiTheme="minorHAnsi" w:cs="Arial"/>
          <w:color w:val="auto"/>
          <w:sz w:val="24"/>
          <w:szCs w:val="24"/>
        </w:rPr>
        <w:t>u</w:t>
      </w:r>
      <w:r w:rsidRPr="00E631B0">
        <w:rPr>
          <w:rFonts w:asciiTheme="minorHAnsi" w:hAnsiTheme="minorHAnsi" w:cs="Arial"/>
          <w:color w:val="auto"/>
          <w:sz w:val="24"/>
          <w:szCs w:val="24"/>
        </w:rPr>
        <w:t>ral and therapeutic (including drug) interventions. Improvements in the management of major risk factors such as smoking, elevated blood pressure (BP) and dyslipidaemia have led to a marked decline in the overall death rate for cardiovascular disease in the past 20 years.</w:t>
      </w:r>
    </w:p>
    <w:p w14:paraId="545E63DD" w14:textId="77777777" w:rsidR="0000686B" w:rsidRPr="00E631B0" w:rsidRDefault="0000686B" w:rsidP="000831ED">
      <w:pPr>
        <w:spacing w:line="240" w:lineRule="auto"/>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 xml:space="preserve">People with any of the following risk factors are already known to be at high risk of a cardiovascular event </w:t>
      </w:r>
    </w:p>
    <w:p w14:paraId="4429F079" w14:textId="77777777" w:rsidR="0000686B" w:rsidRPr="00E631B0" w:rsidRDefault="0000686B" w:rsidP="000831ED">
      <w:pPr>
        <w:numPr>
          <w:ilvl w:val="0"/>
          <w:numId w:val="9"/>
        </w:numPr>
        <w:spacing w:after="120" w:line="240" w:lineRule="auto"/>
        <w:ind w:left="493" w:hanging="357"/>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established cardiovascular disease</w:t>
      </w:r>
    </w:p>
    <w:p w14:paraId="17FB2DF9" w14:textId="77777777" w:rsidR="0000686B" w:rsidRPr="00E631B0" w:rsidRDefault="0000686B" w:rsidP="000831ED">
      <w:pPr>
        <w:numPr>
          <w:ilvl w:val="0"/>
          <w:numId w:val="9"/>
        </w:numPr>
        <w:spacing w:after="120" w:line="240" w:lineRule="auto"/>
        <w:ind w:left="493" w:hanging="357"/>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diabetes and age more than 60 years</w:t>
      </w:r>
    </w:p>
    <w:p w14:paraId="1A1F5F09" w14:textId="04D6E9C0" w:rsidR="0000686B" w:rsidRPr="00E631B0" w:rsidRDefault="0000686B" w:rsidP="000831ED">
      <w:pPr>
        <w:numPr>
          <w:ilvl w:val="0"/>
          <w:numId w:val="9"/>
        </w:numPr>
        <w:spacing w:after="120" w:line="240" w:lineRule="auto"/>
        <w:ind w:left="493" w:hanging="357"/>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 xml:space="preserve">diabetes with microalbuminuria (more than 20 </w:t>
      </w:r>
      <w:r w:rsidR="00F8465F" w:rsidRPr="00E631B0">
        <w:rPr>
          <w:rFonts w:asciiTheme="minorHAnsi" w:eastAsia="Times New Roman" w:hAnsiTheme="minorHAnsi" w:cs="Arial"/>
          <w:szCs w:val="24"/>
          <w:lang w:eastAsia="en-AU"/>
        </w:rPr>
        <w:t>µg</w:t>
      </w:r>
      <w:r w:rsidRPr="00E631B0">
        <w:rPr>
          <w:rFonts w:asciiTheme="minorHAnsi" w:eastAsia="Times New Roman" w:hAnsiTheme="minorHAnsi" w:cs="Arial"/>
          <w:szCs w:val="24"/>
          <w:lang w:eastAsia="en-AU"/>
        </w:rPr>
        <w:t>/min, or urinary albumin: creatinine ratio more than 2.5 mg/mmol for men or more than 3.5 mg/mmol for women)</w:t>
      </w:r>
    </w:p>
    <w:p w14:paraId="408D8AE0" w14:textId="77777777" w:rsidR="0000686B" w:rsidRPr="00E631B0" w:rsidRDefault="0000686B" w:rsidP="000831ED">
      <w:pPr>
        <w:numPr>
          <w:ilvl w:val="0"/>
          <w:numId w:val="9"/>
        </w:numPr>
        <w:spacing w:after="120" w:line="240" w:lineRule="auto"/>
        <w:ind w:left="493" w:hanging="357"/>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moderate or severe chronic kidney disease (persistent proteinuria or estimated glomerular filtration rate (eGFR) less than 45 mL/min/1.73 m</w:t>
      </w:r>
      <w:r w:rsidRPr="00E631B0">
        <w:rPr>
          <w:rFonts w:asciiTheme="minorHAnsi" w:eastAsia="Times New Roman" w:hAnsiTheme="minorHAnsi" w:cs="Arial"/>
          <w:szCs w:val="24"/>
          <w:vertAlign w:val="superscript"/>
          <w:lang w:eastAsia="en-AU"/>
        </w:rPr>
        <w:t>2</w:t>
      </w:r>
      <w:r w:rsidRPr="00E631B0">
        <w:rPr>
          <w:rFonts w:asciiTheme="minorHAnsi" w:eastAsia="Times New Roman" w:hAnsiTheme="minorHAnsi" w:cs="Arial"/>
          <w:szCs w:val="24"/>
          <w:lang w:eastAsia="en-AU"/>
        </w:rPr>
        <w:t>)</w:t>
      </w:r>
    </w:p>
    <w:p w14:paraId="11158C78" w14:textId="77777777" w:rsidR="0000686B" w:rsidRPr="00E631B0" w:rsidRDefault="0000686B" w:rsidP="000831ED">
      <w:pPr>
        <w:numPr>
          <w:ilvl w:val="0"/>
          <w:numId w:val="9"/>
        </w:numPr>
        <w:spacing w:after="120" w:line="240" w:lineRule="auto"/>
        <w:ind w:left="493" w:hanging="357"/>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a previous diagnosis of familial hypercholesterolaemia </w:t>
      </w:r>
    </w:p>
    <w:p w14:paraId="02BA89F3" w14:textId="6EF84793" w:rsidR="0000686B" w:rsidRPr="00E631B0" w:rsidRDefault="0000686B" w:rsidP="000831ED">
      <w:pPr>
        <w:numPr>
          <w:ilvl w:val="0"/>
          <w:numId w:val="9"/>
        </w:numPr>
        <w:spacing w:after="120" w:line="240" w:lineRule="auto"/>
        <w:ind w:left="493" w:hanging="357"/>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 xml:space="preserve">systolic </w:t>
      </w:r>
      <w:r w:rsidR="00F8465F" w:rsidRPr="00E631B0">
        <w:rPr>
          <w:rFonts w:asciiTheme="minorHAnsi" w:eastAsia="Times New Roman" w:hAnsiTheme="minorHAnsi" w:cs="Arial"/>
          <w:szCs w:val="24"/>
          <w:lang w:eastAsia="en-AU"/>
        </w:rPr>
        <w:t>BP</w:t>
      </w:r>
      <w:r w:rsidRPr="00E631B0">
        <w:rPr>
          <w:rFonts w:asciiTheme="minorHAnsi" w:eastAsia="Times New Roman" w:hAnsiTheme="minorHAnsi" w:cs="Arial"/>
          <w:szCs w:val="24"/>
          <w:lang w:eastAsia="en-AU"/>
        </w:rPr>
        <w:t xml:space="preserve"> 180 mm Hg or more, or diastolic BP 110 mm Hg or more </w:t>
      </w:r>
    </w:p>
    <w:p w14:paraId="494AE527" w14:textId="45DED36E" w:rsidR="0000686B" w:rsidRPr="00E631B0" w:rsidRDefault="0000686B" w:rsidP="000831ED">
      <w:pPr>
        <w:numPr>
          <w:ilvl w:val="0"/>
          <w:numId w:val="9"/>
        </w:numPr>
        <w:spacing w:after="120" w:line="240" w:lineRule="auto"/>
        <w:ind w:left="493" w:hanging="357"/>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serum total cholesterol more than 7.5</w:t>
      </w:r>
      <w:r w:rsidR="00F8465F" w:rsidRPr="00E631B0">
        <w:rPr>
          <w:rFonts w:asciiTheme="minorHAnsi" w:eastAsia="Times New Roman" w:hAnsiTheme="minorHAnsi" w:cs="Arial"/>
          <w:szCs w:val="24"/>
          <w:lang w:eastAsia="en-AU"/>
        </w:rPr>
        <w:t xml:space="preserve"> </w:t>
      </w:r>
      <w:r w:rsidRPr="00E631B0">
        <w:rPr>
          <w:rFonts w:asciiTheme="minorHAnsi" w:eastAsia="Times New Roman" w:hAnsiTheme="minorHAnsi" w:cs="Arial"/>
          <w:szCs w:val="24"/>
          <w:lang w:eastAsia="en-AU"/>
        </w:rPr>
        <w:t>mmol/L</w:t>
      </w:r>
    </w:p>
    <w:p w14:paraId="5945D3A6" w14:textId="77777777" w:rsidR="0000686B" w:rsidRPr="00E631B0" w:rsidRDefault="0000686B" w:rsidP="000831ED">
      <w:pPr>
        <w:numPr>
          <w:ilvl w:val="0"/>
          <w:numId w:val="9"/>
        </w:numPr>
        <w:spacing w:after="120" w:line="240" w:lineRule="auto"/>
        <w:ind w:left="493" w:hanging="357"/>
        <w:jc w:val="left"/>
        <w:rPr>
          <w:rFonts w:asciiTheme="minorHAnsi" w:eastAsia="Times New Roman" w:hAnsiTheme="minorHAnsi" w:cs="Arial"/>
          <w:szCs w:val="24"/>
          <w:lang w:eastAsia="en-AU"/>
        </w:rPr>
      </w:pPr>
      <w:r w:rsidRPr="00E631B0">
        <w:rPr>
          <w:rFonts w:asciiTheme="minorHAnsi" w:eastAsia="Times New Roman" w:hAnsiTheme="minorHAnsi" w:cs="Arial"/>
          <w:szCs w:val="24"/>
          <w:lang w:eastAsia="en-AU"/>
        </w:rPr>
        <w:t>Aboriginal and Torres Strait Islander adults aged more than 74 years</w:t>
      </w:r>
    </w:p>
    <w:p w14:paraId="66D566E9" w14:textId="4AD71A40" w:rsidR="0000686B" w:rsidRPr="00E631B0" w:rsidRDefault="0000686B" w:rsidP="000831ED">
      <w:pPr>
        <w:pStyle w:val="removeelement"/>
        <w:spacing w:after="200" w:line="240" w:lineRule="auto"/>
        <w:rPr>
          <w:rFonts w:asciiTheme="minorHAnsi" w:hAnsiTheme="minorHAnsi" w:cs="Arial"/>
          <w:color w:val="auto"/>
          <w:sz w:val="24"/>
          <w:szCs w:val="24"/>
        </w:rPr>
      </w:pPr>
      <w:r w:rsidRPr="00E631B0">
        <w:rPr>
          <w:rFonts w:asciiTheme="minorHAnsi" w:hAnsiTheme="minorHAnsi" w:cs="Arial"/>
          <w:color w:val="auto"/>
          <w:sz w:val="24"/>
          <w:szCs w:val="24"/>
        </w:rPr>
        <w:t xml:space="preserve">Where people have one or more risk factors for developing cardiovascular disease the treatment of dyslipidaemia is usually commenced at lower blood concentrations </w:t>
      </w:r>
      <w:r w:rsidRPr="00E631B0">
        <w:rPr>
          <w:rFonts w:asciiTheme="minorHAnsi" w:hAnsiTheme="minorHAnsi" w:cs="Arial"/>
          <w:color w:val="auto"/>
          <w:sz w:val="24"/>
          <w:szCs w:val="24"/>
        </w:rPr>
        <w:lastRenderedPageBreak/>
        <w:t>of LDL or total cholesterol. For the purpose of subsidised treatment on the PBS</w:t>
      </w:r>
      <w:r w:rsidR="004B3EB8" w:rsidRPr="00E631B0">
        <w:rPr>
          <w:rFonts w:asciiTheme="minorHAnsi" w:hAnsiTheme="minorHAnsi" w:cs="Arial"/>
          <w:color w:val="auto"/>
          <w:sz w:val="24"/>
          <w:szCs w:val="24"/>
        </w:rPr>
        <w:t>,</w:t>
      </w:r>
      <w:r w:rsidRPr="00E631B0">
        <w:rPr>
          <w:rFonts w:asciiTheme="minorHAnsi" w:hAnsiTheme="minorHAnsi" w:cs="Arial"/>
          <w:color w:val="auto"/>
          <w:sz w:val="24"/>
          <w:szCs w:val="24"/>
        </w:rPr>
        <w:t xml:space="preserve"> the qualifying criteria for commencing treatment with a lipid lowering medicine is set out in the ‘General Statement for Lipid Lowering Drugs Prescribed as Pharmaceutical Benefits’.  </w:t>
      </w:r>
    </w:p>
    <w:p w14:paraId="23D9F028" w14:textId="77777777" w:rsidR="0000686B" w:rsidRPr="00E631B0" w:rsidRDefault="0000686B" w:rsidP="000831ED">
      <w:pPr>
        <w:pStyle w:val="removeelement"/>
        <w:spacing w:after="200" w:line="240" w:lineRule="auto"/>
        <w:rPr>
          <w:rFonts w:asciiTheme="minorHAnsi" w:hAnsiTheme="minorHAnsi" w:cs="Helvetica"/>
          <w:color w:val="auto"/>
          <w:sz w:val="24"/>
          <w:szCs w:val="24"/>
        </w:rPr>
      </w:pPr>
      <w:r w:rsidRPr="00E631B0">
        <w:rPr>
          <w:rFonts w:asciiTheme="minorHAnsi" w:hAnsiTheme="minorHAnsi" w:cs="Helvetica"/>
          <w:color w:val="auto"/>
          <w:sz w:val="24"/>
          <w:szCs w:val="24"/>
        </w:rPr>
        <w:t xml:space="preserve">For patients at moderate absolute </w:t>
      </w:r>
      <w:r w:rsidRPr="00E631B0">
        <w:rPr>
          <w:rStyle w:val="abbrev"/>
          <w:rFonts w:asciiTheme="minorHAnsi" w:hAnsiTheme="minorHAnsi" w:cs="Helvetica"/>
          <w:color w:val="auto"/>
          <w:sz w:val="24"/>
          <w:szCs w:val="24"/>
        </w:rPr>
        <w:t>CVD</w:t>
      </w:r>
      <w:r w:rsidRPr="00E631B0">
        <w:rPr>
          <w:rFonts w:asciiTheme="minorHAnsi" w:hAnsiTheme="minorHAnsi" w:cs="Helvetica"/>
          <w:color w:val="auto"/>
          <w:sz w:val="24"/>
          <w:szCs w:val="24"/>
        </w:rPr>
        <w:t xml:space="preserve"> risk (10% to 15%), lipid-modifying therapy may be warranted (after 3 to 6 months of dietary and </w:t>
      </w:r>
      <w:r w:rsidR="004529EF" w:rsidRPr="00E631B0">
        <w:rPr>
          <w:rFonts w:asciiTheme="minorHAnsi" w:hAnsiTheme="minorHAnsi" w:cs="Helvetica"/>
          <w:color w:val="auto"/>
          <w:sz w:val="24"/>
          <w:szCs w:val="24"/>
        </w:rPr>
        <w:t>behavioural</w:t>
      </w:r>
      <w:r w:rsidRPr="00E631B0">
        <w:rPr>
          <w:rFonts w:asciiTheme="minorHAnsi" w:hAnsiTheme="minorHAnsi" w:cs="Helvetica"/>
          <w:color w:val="auto"/>
          <w:sz w:val="24"/>
          <w:szCs w:val="24"/>
        </w:rPr>
        <w:t xml:space="preserve"> risk factor modification) if there is a family history of premature </w:t>
      </w:r>
      <w:r w:rsidRPr="00E631B0">
        <w:rPr>
          <w:rStyle w:val="abbrev"/>
          <w:rFonts w:asciiTheme="minorHAnsi" w:hAnsiTheme="minorHAnsi" w:cs="Helvetica"/>
          <w:color w:val="auto"/>
          <w:sz w:val="24"/>
          <w:szCs w:val="24"/>
        </w:rPr>
        <w:t>CVD</w:t>
      </w:r>
      <w:r w:rsidRPr="00E631B0">
        <w:rPr>
          <w:rFonts w:asciiTheme="minorHAnsi" w:hAnsiTheme="minorHAnsi" w:cs="Helvetica"/>
          <w:color w:val="auto"/>
          <w:sz w:val="24"/>
          <w:szCs w:val="24"/>
        </w:rPr>
        <w:t xml:space="preserve"> (i.e. first-degree relative who developed </w:t>
      </w:r>
      <w:r w:rsidRPr="00E631B0">
        <w:rPr>
          <w:rStyle w:val="abbrev"/>
          <w:rFonts w:asciiTheme="minorHAnsi" w:hAnsiTheme="minorHAnsi" w:cs="Helvetica"/>
          <w:color w:val="auto"/>
          <w:sz w:val="24"/>
          <w:szCs w:val="24"/>
        </w:rPr>
        <w:t>CVD</w:t>
      </w:r>
      <w:r w:rsidRPr="00E631B0">
        <w:rPr>
          <w:rFonts w:asciiTheme="minorHAnsi" w:hAnsiTheme="minorHAnsi" w:cs="Helvetica"/>
          <w:color w:val="auto"/>
          <w:sz w:val="24"/>
          <w:szCs w:val="24"/>
        </w:rPr>
        <w:t xml:space="preserve"> before age 60 years).</w:t>
      </w:r>
    </w:p>
    <w:p w14:paraId="7ADEFD81" w14:textId="18EFE460" w:rsidR="0000686B" w:rsidRPr="00E631B0" w:rsidRDefault="003848A8" w:rsidP="000831ED">
      <w:pPr>
        <w:pStyle w:val="Heading3"/>
        <w:jc w:val="left"/>
      </w:pPr>
      <w:bookmarkStart w:id="47" w:name="_Toc500510210"/>
      <w:r w:rsidRPr="00E631B0">
        <w:t>B.</w:t>
      </w:r>
      <w:r w:rsidR="00E30DCB" w:rsidRPr="00E631B0">
        <w:t>4.2</w:t>
      </w:r>
      <w:r w:rsidR="00E30DCB" w:rsidRPr="00E631B0">
        <w:tab/>
      </w:r>
      <w:r w:rsidR="0000686B" w:rsidRPr="00E631B0">
        <w:t>What is dyslipidaemia?</w:t>
      </w:r>
      <w:bookmarkEnd w:id="47"/>
    </w:p>
    <w:p w14:paraId="1C1F4865" w14:textId="20E210DF" w:rsidR="0000686B" w:rsidRPr="00E631B0" w:rsidRDefault="0000686B" w:rsidP="000831ED">
      <w:pPr>
        <w:pStyle w:val="removeelement"/>
        <w:spacing w:after="200" w:line="240" w:lineRule="auto"/>
        <w:rPr>
          <w:rFonts w:asciiTheme="minorHAnsi" w:hAnsiTheme="minorHAnsi" w:cs="Arial"/>
          <w:color w:val="auto"/>
          <w:sz w:val="24"/>
          <w:szCs w:val="24"/>
        </w:rPr>
      </w:pPr>
      <w:r w:rsidRPr="00E631B0">
        <w:rPr>
          <w:rFonts w:asciiTheme="minorHAnsi" w:hAnsiTheme="minorHAnsi" w:cs="Arial"/>
          <w:color w:val="auto"/>
          <w:sz w:val="24"/>
          <w:szCs w:val="24"/>
        </w:rPr>
        <w:t>Dyslipid</w:t>
      </w:r>
      <w:r w:rsidR="005869C5" w:rsidRPr="00E631B0">
        <w:rPr>
          <w:rFonts w:asciiTheme="minorHAnsi" w:hAnsiTheme="minorHAnsi" w:cs="Arial"/>
          <w:color w:val="auto"/>
          <w:sz w:val="24"/>
          <w:szCs w:val="24"/>
        </w:rPr>
        <w:t>a</w:t>
      </w:r>
      <w:r w:rsidRPr="00E631B0">
        <w:rPr>
          <w:rFonts w:asciiTheme="minorHAnsi" w:hAnsiTheme="minorHAnsi" w:cs="Arial"/>
          <w:color w:val="auto"/>
          <w:sz w:val="24"/>
          <w:szCs w:val="24"/>
        </w:rPr>
        <w:t>emia</w:t>
      </w:r>
      <w:r w:rsidR="00106006" w:rsidRPr="00E631B0">
        <w:rPr>
          <w:rStyle w:val="EndnoteReference"/>
          <w:rFonts w:asciiTheme="minorHAnsi" w:hAnsiTheme="minorHAnsi" w:cs="Arial"/>
          <w:color w:val="auto"/>
          <w:sz w:val="24"/>
          <w:szCs w:val="24"/>
        </w:rPr>
        <w:endnoteReference w:id="23"/>
      </w:r>
      <w:r w:rsidR="00106006" w:rsidRPr="00E631B0">
        <w:rPr>
          <w:rFonts w:asciiTheme="minorHAnsi" w:hAnsiTheme="minorHAnsi" w:cs="Arial"/>
          <w:color w:val="auto"/>
          <w:sz w:val="24"/>
          <w:szCs w:val="24"/>
        </w:rPr>
        <w:t xml:space="preserve"> </w:t>
      </w:r>
      <w:r w:rsidRPr="00E631B0">
        <w:rPr>
          <w:rFonts w:asciiTheme="minorHAnsi" w:hAnsiTheme="minorHAnsi" w:cs="Arial"/>
          <w:color w:val="auto"/>
          <w:sz w:val="24"/>
          <w:szCs w:val="24"/>
        </w:rPr>
        <w:t xml:space="preserve">is the elevation of plasma cholesterol, triglycerides, or both, or a low </w:t>
      </w:r>
      <w:r w:rsidR="00F8465F" w:rsidRPr="00E631B0">
        <w:rPr>
          <w:rFonts w:asciiTheme="minorHAnsi" w:hAnsiTheme="minorHAnsi" w:cs="Arial"/>
          <w:color w:val="auto"/>
          <w:sz w:val="24"/>
          <w:szCs w:val="24"/>
        </w:rPr>
        <w:t>HDL</w:t>
      </w:r>
      <w:r w:rsidRPr="00E631B0">
        <w:rPr>
          <w:rFonts w:asciiTheme="minorHAnsi" w:hAnsiTheme="minorHAnsi" w:cs="Arial"/>
          <w:color w:val="auto"/>
          <w:sz w:val="24"/>
          <w:szCs w:val="24"/>
        </w:rPr>
        <w:t xml:space="preserve"> </w:t>
      </w:r>
      <w:r w:rsidR="00C25005" w:rsidRPr="00E631B0">
        <w:rPr>
          <w:rFonts w:asciiTheme="minorHAnsi" w:hAnsiTheme="minorHAnsi" w:cs="Arial"/>
          <w:color w:val="auto"/>
          <w:sz w:val="24"/>
          <w:szCs w:val="24"/>
        </w:rPr>
        <w:t xml:space="preserve">cholesterol </w:t>
      </w:r>
      <w:r w:rsidR="004B1768" w:rsidRPr="00E631B0">
        <w:rPr>
          <w:rFonts w:asciiTheme="minorHAnsi" w:hAnsiTheme="minorHAnsi" w:cs="Arial"/>
          <w:color w:val="auto"/>
          <w:sz w:val="24"/>
          <w:szCs w:val="24"/>
        </w:rPr>
        <w:t xml:space="preserve">concentration </w:t>
      </w:r>
      <w:r w:rsidRPr="00E631B0">
        <w:rPr>
          <w:rFonts w:asciiTheme="minorHAnsi" w:hAnsiTheme="minorHAnsi" w:cs="Arial"/>
          <w:color w:val="auto"/>
          <w:sz w:val="24"/>
          <w:szCs w:val="24"/>
        </w:rPr>
        <w:t xml:space="preserve">that contributes to the development of atherosclerosis. Causes may be primary (genetic) or secondary. Diagnosis is by measuring plasma </w:t>
      </w:r>
      <w:r w:rsidR="00C25005" w:rsidRPr="00E631B0">
        <w:rPr>
          <w:rFonts w:asciiTheme="minorHAnsi" w:hAnsiTheme="minorHAnsi" w:cs="Arial"/>
          <w:color w:val="auto"/>
          <w:sz w:val="24"/>
          <w:szCs w:val="24"/>
        </w:rPr>
        <w:t xml:space="preserve">concentrations </w:t>
      </w:r>
      <w:r w:rsidRPr="00E631B0">
        <w:rPr>
          <w:rFonts w:asciiTheme="minorHAnsi" w:hAnsiTheme="minorHAnsi" w:cs="Arial"/>
          <w:color w:val="auto"/>
          <w:sz w:val="24"/>
          <w:szCs w:val="24"/>
        </w:rPr>
        <w:t>of total cholesterol, triglycerides, and individual lipoproteins. The best approach to therapy for a particular patient depends on the nature of the predominant dyslipidaemia. Before starting drug therapy, it is necessary to confirm that the dyslipidaemia is not secondary to a treatable problem.</w:t>
      </w:r>
      <w:r w:rsidRPr="00E631B0">
        <w:rPr>
          <w:rFonts w:ascii="FranklinGothicITCbyBT-Book" w:hAnsi="FranklinGothicITCbyBT-Book" w:cs="Helvetica"/>
          <w:color w:val="auto"/>
        </w:rPr>
        <w:t xml:space="preserve"> </w:t>
      </w:r>
      <w:r w:rsidR="004B3EB8" w:rsidRPr="00E631B0">
        <w:rPr>
          <w:rFonts w:asciiTheme="minorHAnsi" w:hAnsiTheme="minorHAnsi" w:cs="Arial"/>
          <w:color w:val="auto"/>
          <w:sz w:val="24"/>
          <w:szCs w:val="24"/>
        </w:rPr>
        <w:t>Treatment of dyslipidaemia is generally life-long.</w:t>
      </w:r>
      <w:r w:rsidR="004B3EB8" w:rsidRPr="00E631B0">
        <w:rPr>
          <w:rFonts w:ascii="FranklinGothicITCbyBT-Book" w:hAnsi="FranklinGothicITCbyBT-Book" w:cs="Helvetica"/>
          <w:color w:val="auto"/>
        </w:rPr>
        <w:t xml:space="preserve"> </w:t>
      </w:r>
    </w:p>
    <w:p w14:paraId="77290FEC" w14:textId="3261B747" w:rsidR="0000686B" w:rsidRPr="00E631B0" w:rsidRDefault="003848A8" w:rsidP="000831ED">
      <w:pPr>
        <w:pStyle w:val="Heading3"/>
        <w:jc w:val="left"/>
      </w:pPr>
      <w:bookmarkStart w:id="48" w:name="_Toc500510211"/>
      <w:r w:rsidRPr="00E631B0">
        <w:t>B.</w:t>
      </w:r>
      <w:r w:rsidR="00E30DCB" w:rsidRPr="00E631B0">
        <w:t>4.3</w:t>
      </w:r>
      <w:r w:rsidR="00E30DCB" w:rsidRPr="00E631B0">
        <w:tab/>
      </w:r>
      <w:r w:rsidR="0000686B" w:rsidRPr="00E631B0">
        <w:t>What is familial hypercholesterolaemia?</w:t>
      </w:r>
      <w:bookmarkEnd w:id="48"/>
    </w:p>
    <w:p w14:paraId="7D54CAA4" w14:textId="69C0DFAE" w:rsidR="0000686B" w:rsidRPr="00E631B0" w:rsidRDefault="0000686B" w:rsidP="000831ED">
      <w:pPr>
        <w:spacing w:line="240" w:lineRule="auto"/>
        <w:jc w:val="left"/>
        <w:rPr>
          <w:rFonts w:asciiTheme="minorHAnsi" w:hAnsiTheme="minorHAnsi"/>
        </w:rPr>
      </w:pPr>
      <w:r w:rsidRPr="00E631B0">
        <w:rPr>
          <w:rFonts w:asciiTheme="minorHAnsi" w:hAnsiTheme="minorHAnsi" w:cs="Arial"/>
        </w:rPr>
        <w:t>Familial hypercholesterolaemia</w:t>
      </w:r>
      <w:r w:rsidR="00106006" w:rsidRPr="00E631B0">
        <w:rPr>
          <w:rStyle w:val="EndnoteReference"/>
          <w:rFonts w:asciiTheme="minorHAnsi" w:hAnsiTheme="minorHAnsi" w:cs="Arial"/>
        </w:rPr>
        <w:endnoteReference w:id="24"/>
      </w:r>
      <w:r w:rsidR="00106006" w:rsidRPr="00E631B0">
        <w:rPr>
          <w:rFonts w:asciiTheme="minorHAnsi" w:hAnsiTheme="minorHAnsi" w:cs="Arial"/>
        </w:rPr>
        <w:t xml:space="preserve"> </w:t>
      </w:r>
      <w:r w:rsidRPr="00E631B0">
        <w:rPr>
          <w:rFonts w:asciiTheme="minorHAnsi" w:hAnsiTheme="minorHAnsi" w:cs="Arial"/>
        </w:rPr>
        <w:t xml:space="preserve">is a dominantly inherited condition that affects over 1 in 500 people and leads to the onset of </w:t>
      </w:r>
      <w:r w:rsidR="00F8465F" w:rsidRPr="00E631B0">
        <w:rPr>
          <w:rFonts w:asciiTheme="minorHAnsi" w:hAnsiTheme="minorHAnsi" w:cs="Arial"/>
        </w:rPr>
        <w:t xml:space="preserve">CVD </w:t>
      </w:r>
      <w:r w:rsidRPr="00E631B0">
        <w:rPr>
          <w:rFonts w:asciiTheme="minorHAnsi" w:hAnsiTheme="minorHAnsi" w:cs="Arial"/>
        </w:rPr>
        <w:t>20 to 40 years earlier than in someone without the condition. Approximately 50% of members in affected family groups are affected.</w:t>
      </w:r>
    </w:p>
    <w:p w14:paraId="38EEE3CC" w14:textId="0F2DA07B" w:rsidR="0000686B" w:rsidRPr="00E631B0" w:rsidRDefault="003848A8" w:rsidP="000831ED">
      <w:pPr>
        <w:pStyle w:val="Heading3"/>
        <w:jc w:val="left"/>
      </w:pPr>
      <w:bookmarkStart w:id="49" w:name="_Toc500510212"/>
      <w:r w:rsidRPr="00E631B0">
        <w:t>B.</w:t>
      </w:r>
      <w:r w:rsidR="0000686B" w:rsidRPr="00E631B0">
        <w:t>4.4</w:t>
      </w:r>
      <w:r w:rsidR="0000686B" w:rsidRPr="00E631B0">
        <w:tab/>
        <w:t>Use of algorithms to estimate absolute risk of cardiovascular disease?</w:t>
      </w:r>
      <w:bookmarkEnd w:id="49"/>
    </w:p>
    <w:p w14:paraId="3FA5EA71" w14:textId="6EB01322" w:rsidR="0000686B" w:rsidRPr="00E631B0" w:rsidRDefault="0000686B" w:rsidP="000831ED">
      <w:pPr>
        <w:pStyle w:val="removeelement"/>
        <w:spacing w:after="200" w:line="240" w:lineRule="auto"/>
        <w:rPr>
          <w:rFonts w:asciiTheme="minorHAnsi" w:hAnsiTheme="minorHAnsi" w:cs="Arial"/>
          <w:color w:val="auto"/>
          <w:sz w:val="24"/>
          <w:szCs w:val="24"/>
        </w:rPr>
      </w:pPr>
      <w:r w:rsidRPr="00E631B0">
        <w:rPr>
          <w:rFonts w:asciiTheme="minorHAnsi" w:hAnsiTheme="minorHAnsi" w:cs="Arial"/>
          <w:color w:val="auto"/>
          <w:sz w:val="24"/>
          <w:szCs w:val="24"/>
        </w:rPr>
        <w:t>The PBS does not use a discrete absolute risk model as the basis for the qualifying criteria to commence treatment with</w:t>
      </w:r>
      <w:r w:rsidR="00F8465F" w:rsidRPr="00E631B0">
        <w:rPr>
          <w:rFonts w:asciiTheme="minorHAnsi" w:hAnsiTheme="minorHAnsi" w:cs="Arial"/>
          <w:color w:val="auto"/>
          <w:sz w:val="24"/>
          <w:szCs w:val="24"/>
        </w:rPr>
        <w:t xml:space="preserve"> LLT</w:t>
      </w:r>
      <w:r w:rsidRPr="00E631B0">
        <w:rPr>
          <w:rFonts w:asciiTheme="minorHAnsi" w:hAnsiTheme="minorHAnsi" w:cs="Arial"/>
          <w:color w:val="auto"/>
          <w:sz w:val="24"/>
          <w:szCs w:val="24"/>
        </w:rPr>
        <w:t xml:space="preserve">, but the </w:t>
      </w:r>
      <w:r w:rsidR="00F8465F" w:rsidRPr="00E631B0">
        <w:rPr>
          <w:rFonts w:asciiTheme="minorHAnsi" w:hAnsiTheme="minorHAnsi" w:cs="Arial"/>
          <w:color w:val="auto"/>
          <w:sz w:val="24"/>
          <w:szCs w:val="24"/>
        </w:rPr>
        <w:t xml:space="preserve">GSLLD uses </w:t>
      </w:r>
      <w:r w:rsidRPr="00E631B0">
        <w:rPr>
          <w:rFonts w:asciiTheme="minorHAnsi" w:hAnsiTheme="minorHAnsi" w:cs="Arial"/>
          <w:color w:val="auto"/>
          <w:sz w:val="24"/>
          <w:szCs w:val="24"/>
        </w:rPr>
        <w:t>a risk-based approach.</w:t>
      </w:r>
    </w:p>
    <w:p w14:paraId="5B1FC904" w14:textId="00170982" w:rsidR="00106006" w:rsidRPr="00E631B0" w:rsidRDefault="0000686B" w:rsidP="000831ED">
      <w:pPr>
        <w:pStyle w:val="removeelement"/>
        <w:spacing w:after="200" w:line="240" w:lineRule="auto"/>
        <w:rPr>
          <w:rFonts w:asciiTheme="minorHAnsi" w:hAnsiTheme="minorHAnsi" w:cs="Arial"/>
          <w:color w:val="auto"/>
          <w:sz w:val="24"/>
          <w:szCs w:val="24"/>
        </w:rPr>
      </w:pPr>
      <w:r w:rsidRPr="00E631B0">
        <w:rPr>
          <w:rFonts w:asciiTheme="minorHAnsi" w:hAnsiTheme="minorHAnsi" w:cs="Arial"/>
          <w:color w:val="auto"/>
          <w:sz w:val="24"/>
          <w:szCs w:val="24"/>
        </w:rPr>
        <w:t xml:space="preserve">Absolute risk models have been developed and validated in a number of countries. In Australia, the National Vascular Disease Prevention Alliance (NVDPA) absolute </w:t>
      </w:r>
      <w:r w:rsidRPr="00E631B0">
        <w:rPr>
          <w:rStyle w:val="abbrev"/>
          <w:rFonts w:asciiTheme="minorHAnsi" w:hAnsiTheme="minorHAnsi" w:cs="Arial"/>
          <w:color w:val="auto"/>
          <w:sz w:val="24"/>
          <w:szCs w:val="24"/>
        </w:rPr>
        <w:t>CVD</w:t>
      </w:r>
      <w:r w:rsidRPr="00E631B0">
        <w:rPr>
          <w:rFonts w:asciiTheme="minorHAnsi" w:hAnsiTheme="minorHAnsi" w:cs="Arial"/>
          <w:color w:val="auto"/>
          <w:sz w:val="24"/>
          <w:szCs w:val="24"/>
        </w:rPr>
        <w:t xml:space="preserve"> risk calculator and charts provide publicly accessible tools to estimate risk</w:t>
      </w:r>
      <w:r w:rsidR="00106006" w:rsidRPr="00E631B0">
        <w:rPr>
          <w:rStyle w:val="EndnoteReference"/>
          <w:rFonts w:asciiTheme="minorHAnsi" w:hAnsiTheme="minorHAnsi" w:cs="Arial"/>
          <w:color w:val="auto"/>
          <w:sz w:val="24"/>
          <w:szCs w:val="24"/>
        </w:rPr>
        <w:endnoteReference w:id="25"/>
      </w:r>
      <w:r w:rsidR="00F8465F" w:rsidRPr="00E631B0">
        <w:rPr>
          <w:rFonts w:asciiTheme="minorHAnsi" w:hAnsiTheme="minorHAnsi" w:cs="Arial"/>
          <w:color w:val="auto"/>
          <w:sz w:val="24"/>
          <w:szCs w:val="24"/>
        </w:rPr>
        <w:t>.</w:t>
      </w:r>
    </w:p>
    <w:p w14:paraId="6D6F81BB" w14:textId="0ED46B17" w:rsidR="0000686B" w:rsidRPr="00E631B0" w:rsidRDefault="0000686B" w:rsidP="000831ED">
      <w:pPr>
        <w:pStyle w:val="removeelement"/>
        <w:spacing w:after="200" w:line="240" w:lineRule="auto"/>
        <w:rPr>
          <w:rFonts w:asciiTheme="minorHAnsi" w:hAnsiTheme="minorHAnsi" w:cs="Arial"/>
          <w:color w:val="auto"/>
          <w:sz w:val="24"/>
          <w:szCs w:val="24"/>
        </w:rPr>
      </w:pPr>
      <w:r w:rsidRPr="00E631B0">
        <w:rPr>
          <w:rFonts w:asciiTheme="minorHAnsi" w:hAnsiTheme="minorHAnsi" w:cs="Arial"/>
          <w:color w:val="auto"/>
          <w:sz w:val="24"/>
          <w:szCs w:val="24"/>
        </w:rPr>
        <w:t xml:space="preserve">Absolute </w:t>
      </w:r>
      <w:r w:rsidRPr="00E631B0">
        <w:rPr>
          <w:rStyle w:val="abbrev"/>
          <w:rFonts w:asciiTheme="minorHAnsi" w:hAnsiTheme="minorHAnsi" w:cs="Arial"/>
          <w:color w:val="auto"/>
          <w:sz w:val="24"/>
          <w:szCs w:val="24"/>
        </w:rPr>
        <w:t>CVD</w:t>
      </w:r>
      <w:r w:rsidRPr="00E631B0">
        <w:rPr>
          <w:rFonts w:asciiTheme="minorHAnsi" w:hAnsiTheme="minorHAnsi" w:cs="Arial"/>
          <w:color w:val="auto"/>
          <w:sz w:val="24"/>
          <w:szCs w:val="24"/>
        </w:rPr>
        <w:t xml:space="preserve"> risk is defined as the probability (expressed as a percentage) of a person having a cardiovascular event within a specified period of time. The NVDPA risk calculators categorise a person's risk over 5 years: high absolute risk (more than 15%), moderate absolute risk (10% to 15%)</w:t>
      </w:r>
      <w:r w:rsidR="00F8465F" w:rsidRPr="00E631B0">
        <w:rPr>
          <w:rFonts w:asciiTheme="minorHAnsi" w:hAnsiTheme="minorHAnsi" w:cs="Arial"/>
          <w:color w:val="auto"/>
          <w:sz w:val="24"/>
          <w:szCs w:val="24"/>
        </w:rPr>
        <w:t>,</w:t>
      </w:r>
      <w:r w:rsidRPr="00E631B0">
        <w:rPr>
          <w:rFonts w:asciiTheme="minorHAnsi" w:hAnsiTheme="minorHAnsi" w:cs="Arial"/>
          <w:color w:val="auto"/>
          <w:sz w:val="24"/>
          <w:szCs w:val="24"/>
        </w:rPr>
        <w:t xml:space="preserve"> or low absolute risk (less than 10%).</w:t>
      </w:r>
    </w:p>
    <w:p w14:paraId="69D0D69F" w14:textId="53D37194" w:rsidR="0000686B" w:rsidRPr="00E631B0" w:rsidRDefault="003848A8" w:rsidP="000831ED">
      <w:pPr>
        <w:pStyle w:val="Heading3"/>
        <w:jc w:val="left"/>
      </w:pPr>
      <w:bookmarkStart w:id="50" w:name="_Toc500510213"/>
      <w:r w:rsidRPr="00E631B0">
        <w:t>B.</w:t>
      </w:r>
      <w:r w:rsidR="000D3D03" w:rsidRPr="00E631B0">
        <w:t>4.5</w:t>
      </w:r>
      <w:r w:rsidR="000D3D03" w:rsidRPr="00E631B0">
        <w:tab/>
        <w:t>Treatment g</w:t>
      </w:r>
      <w:r w:rsidR="0000686B" w:rsidRPr="00E631B0">
        <w:t>uidelines</w:t>
      </w:r>
      <w:bookmarkEnd w:id="50"/>
    </w:p>
    <w:p w14:paraId="0BC67CFD" w14:textId="1257C0AD" w:rsidR="0000686B" w:rsidRPr="00E631B0" w:rsidRDefault="0000686B" w:rsidP="000831ED">
      <w:pPr>
        <w:spacing w:line="240" w:lineRule="auto"/>
        <w:jc w:val="left"/>
        <w:rPr>
          <w:rFonts w:asciiTheme="minorHAnsi" w:hAnsiTheme="minorHAnsi"/>
          <w:bCs/>
          <w:szCs w:val="24"/>
        </w:rPr>
      </w:pPr>
      <w:r w:rsidRPr="00E631B0">
        <w:rPr>
          <w:rFonts w:asciiTheme="minorHAnsi" w:hAnsiTheme="minorHAnsi"/>
          <w:bCs/>
          <w:szCs w:val="24"/>
        </w:rPr>
        <w:t xml:space="preserve">A number of clinical guidelines for the treatment of dyslipidaemia are published in Australia and internationally. Section three of this report provides a review of the current clinical guidelines for the treatment of hypercholesterolaemia in accordance with </w:t>
      </w:r>
      <w:r w:rsidR="00F8465F" w:rsidRPr="00E631B0">
        <w:rPr>
          <w:rFonts w:asciiTheme="minorHAnsi" w:hAnsiTheme="minorHAnsi"/>
          <w:bCs/>
          <w:szCs w:val="24"/>
        </w:rPr>
        <w:t xml:space="preserve">TOR </w:t>
      </w:r>
      <w:r w:rsidRPr="00E631B0">
        <w:rPr>
          <w:rFonts w:asciiTheme="minorHAnsi" w:hAnsiTheme="minorHAnsi"/>
          <w:bCs/>
          <w:szCs w:val="24"/>
        </w:rPr>
        <w:t xml:space="preserve">2. </w:t>
      </w:r>
    </w:p>
    <w:p w14:paraId="58B5A69D" w14:textId="77777777" w:rsidR="0000686B" w:rsidRDefault="0000686B" w:rsidP="00514129">
      <w:pPr>
        <w:rPr>
          <w:rFonts w:asciiTheme="minorHAnsi" w:hAnsiTheme="minorHAnsi"/>
          <w:bCs/>
          <w:szCs w:val="24"/>
        </w:rPr>
      </w:pPr>
      <w:r>
        <w:rPr>
          <w:rFonts w:asciiTheme="minorHAnsi" w:hAnsiTheme="minorHAnsi"/>
          <w:bCs/>
          <w:szCs w:val="24"/>
        </w:rPr>
        <w:br w:type="page"/>
      </w:r>
    </w:p>
    <w:p w14:paraId="4BC5B16C" w14:textId="77777777" w:rsidR="0000686B" w:rsidRPr="00046125" w:rsidRDefault="0000686B" w:rsidP="00514129">
      <w:pPr>
        <w:spacing w:line="240" w:lineRule="auto"/>
        <w:rPr>
          <w:rFonts w:asciiTheme="minorHAnsi" w:hAnsiTheme="minorHAnsi"/>
          <w:bCs/>
          <w:szCs w:val="24"/>
        </w:rPr>
      </w:pPr>
    </w:p>
    <w:p w14:paraId="7A3454A6" w14:textId="77777777" w:rsidR="0000686B" w:rsidRPr="00A90FE3" w:rsidRDefault="0000686B" w:rsidP="00920324">
      <w:pPr>
        <w:pStyle w:val="Heading1"/>
      </w:pPr>
      <w:bookmarkStart w:id="51" w:name="_Toc500510214"/>
      <w:bookmarkStart w:id="52" w:name="_Toc388453120"/>
      <w:bookmarkEnd w:id="45"/>
      <w:r w:rsidRPr="00A90FE3">
        <w:t xml:space="preserve">Section </w:t>
      </w:r>
      <w:r w:rsidR="00AD0496">
        <w:t>1</w:t>
      </w:r>
      <w:r w:rsidR="001A5A6B">
        <w:t>: TOR</w:t>
      </w:r>
      <w:r w:rsidRPr="00A90FE3">
        <w:t xml:space="preserve"> 1</w:t>
      </w:r>
      <w:r w:rsidRPr="00A90FE3">
        <w:br/>
        <w:t>Utilisation of ezetimibe</w:t>
      </w:r>
      <w:bookmarkEnd w:id="51"/>
    </w:p>
    <w:p w14:paraId="44A04B08" w14:textId="4B8769B0" w:rsidR="001A5A6B" w:rsidRPr="00F03B50" w:rsidRDefault="00F03B50" w:rsidP="0051412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olor w:val="365F91" w:themeColor="accent1" w:themeShade="BF"/>
          <w:szCs w:val="24"/>
        </w:rPr>
      </w:pPr>
      <w:r w:rsidRPr="00F03B50">
        <w:rPr>
          <w:rFonts w:asciiTheme="minorHAnsi" w:hAnsiTheme="minorHAnsi"/>
          <w:color w:val="365F91" w:themeColor="accent1" w:themeShade="BF"/>
          <w:szCs w:val="24"/>
        </w:rPr>
        <w:t>Review current utilisation of Pharm</w:t>
      </w:r>
      <w:r w:rsidR="00F8465F">
        <w:rPr>
          <w:rFonts w:asciiTheme="minorHAnsi" w:hAnsiTheme="minorHAnsi"/>
          <w:color w:val="365F91" w:themeColor="accent1" w:themeShade="BF"/>
          <w:szCs w:val="24"/>
        </w:rPr>
        <w:t>aceutical Benefits Scheme (PBS)–</w:t>
      </w:r>
      <w:r w:rsidRPr="00F03B50">
        <w:rPr>
          <w:rFonts w:asciiTheme="minorHAnsi" w:hAnsiTheme="minorHAnsi"/>
          <w:color w:val="365F91" w:themeColor="accent1" w:themeShade="BF"/>
          <w:szCs w:val="24"/>
        </w:rPr>
        <w:t>listed ezetimibe</w:t>
      </w:r>
      <w:r w:rsidR="001A5A6B" w:rsidRPr="00F03B50">
        <w:rPr>
          <w:rFonts w:asciiTheme="minorHAnsi" w:hAnsiTheme="minorHAnsi"/>
          <w:color w:val="365F91" w:themeColor="accent1" w:themeShade="BF"/>
          <w:szCs w:val="24"/>
        </w:rPr>
        <w:t xml:space="preserve"> and ezetimibe combination products.</w:t>
      </w:r>
      <w:r>
        <w:rPr>
          <w:rFonts w:asciiTheme="minorHAnsi" w:hAnsiTheme="minorHAnsi"/>
          <w:color w:val="365F91" w:themeColor="accent1" w:themeShade="BF"/>
          <w:szCs w:val="24"/>
        </w:rPr>
        <w:t xml:space="preserve"> </w:t>
      </w:r>
      <w:r w:rsidRPr="00F03B50">
        <w:rPr>
          <w:rFonts w:asciiTheme="minorHAnsi" w:hAnsiTheme="minorHAnsi"/>
          <w:color w:val="365F91" w:themeColor="accent1" w:themeShade="BF"/>
          <w:szCs w:val="24"/>
        </w:rPr>
        <w:t>Any review will consider additional data sources that may inform the current utilisation of ezetimibe.</w:t>
      </w:r>
    </w:p>
    <w:p w14:paraId="546B4CF1" w14:textId="77777777" w:rsidR="0000686B" w:rsidRPr="00F03B50" w:rsidRDefault="003848A8" w:rsidP="000831ED">
      <w:pPr>
        <w:pStyle w:val="Heading2"/>
        <w:rPr>
          <w:rFonts w:ascii="Calibri" w:eastAsia="Calibri" w:hAnsi="Calibri"/>
        </w:rPr>
      </w:pPr>
      <w:bookmarkStart w:id="53" w:name="_Toc500510215"/>
      <w:r>
        <w:t>1</w:t>
      </w:r>
      <w:r w:rsidR="00C05E80" w:rsidRPr="00F03B50">
        <w:t>.</w:t>
      </w:r>
      <w:r w:rsidR="0000686B" w:rsidRPr="00F03B50">
        <w:t>1</w:t>
      </w:r>
      <w:r w:rsidR="0000686B" w:rsidRPr="00F03B50">
        <w:tab/>
        <w:t xml:space="preserve">Key findings for </w:t>
      </w:r>
      <w:r w:rsidR="00F03B50" w:rsidRPr="00F03B50">
        <w:t>TOR</w:t>
      </w:r>
      <w:r w:rsidR="0000686B" w:rsidRPr="00F03B50">
        <w:t xml:space="preserve"> 1</w:t>
      </w:r>
      <w:bookmarkEnd w:id="53"/>
      <w:r w:rsidR="0000686B" w:rsidRPr="00F03B50">
        <w:rPr>
          <w:rFonts w:ascii="Calibri" w:eastAsia="Calibri" w:hAnsi="Calibri"/>
        </w:rPr>
        <w:t xml:space="preserve"> </w:t>
      </w:r>
    </w:p>
    <w:p w14:paraId="3373ADFE" w14:textId="77777777" w:rsidR="0000686B" w:rsidRPr="00E631B0" w:rsidRDefault="0000686B" w:rsidP="000831ED">
      <w:pPr>
        <w:spacing w:line="240" w:lineRule="auto"/>
        <w:jc w:val="left"/>
        <w:rPr>
          <w:rFonts w:asciiTheme="minorHAnsi" w:eastAsia="Calibri" w:hAnsiTheme="minorHAnsi"/>
          <w:szCs w:val="24"/>
        </w:rPr>
      </w:pPr>
      <w:r w:rsidRPr="00E631B0">
        <w:rPr>
          <w:rFonts w:asciiTheme="minorHAnsi" w:eastAsia="Calibri" w:hAnsiTheme="minorHAnsi"/>
          <w:szCs w:val="24"/>
        </w:rPr>
        <w:t xml:space="preserve">The analysis of PBS data addressed the following research question: </w:t>
      </w:r>
    </w:p>
    <w:p w14:paraId="77E6A716" w14:textId="77777777" w:rsidR="0000686B" w:rsidRPr="00E631B0" w:rsidRDefault="0000686B" w:rsidP="000831ED">
      <w:pPr>
        <w:spacing w:before="240" w:line="240" w:lineRule="auto"/>
        <w:jc w:val="left"/>
        <w:rPr>
          <w:rFonts w:asciiTheme="minorHAnsi" w:eastAsia="Calibri" w:hAnsiTheme="minorHAnsi"/>
          <w:b/>
          <w:i/>
          <w:szCs w:val="24"/>
        </w:rPr>
      </w:pPr>
      <w:r w:rsidRPr="00E631B0">
        <w:rPr>
          <w:rFonts w:asciiTheme="minorHAnsi" w:eastAsia="Calibri" w:hAnsiTheme="minorHAnsi"/>
          <w:b/>
          <w:i/>
          <w:szCs w:val="24"/>
        </w:rPr>
        <w:t xml:space="preserve">“Is ezetimibe being prescribed on the PBS in accordance with the restrictions for ezetimibe which require patients to be treated with a maximally tolerated dose of statin before initiation of treatment with ezetimibe?” </w:t>
      </w:r>
    </w:p>
    <w:p w14:paraId="66A4F193" w14:textId="77777777" w:rsidR="0000686B" w:rsidRPr="00E631B0" w:rsidRDefault="0000686B" w:rsidP="000831ED">
      <w:pPr>
        <w:spacing w:line="240" w:lineRule="auto"/>
        <w:jc w:val="left"/>
        <w:rPr>
          <w:rFonts w:asciiTheme="minorHAnsi" w:eastAsia="Calibri" w:hAnsiTheme="minorHAnsi"/>
          <w:szCs w:val="24"/>
        </w:rPr>
      </w:pPr>
      <w:r w:rsidRPr="00E631B0">
        <w:rPr>
          <w:rFonts w:asciiTheme="minorHAnsi" w:eastAsia="Calibri" w:hAnsiTheme="minorHAnsi"/>
          <w:szCs w:val="24"/>
        </w:rPr>
        <w:t>The following results are summarised from the full report</w:t>
      </w:r>
      <w:r w:rsidR="004462DB" w:rsidRPr="00E631B0">
        <w:rPr>
          <w:rFonts w:asciiTheme="minorHAnsi" w:eastAsia="Calibri" w:hAnsiTheme="minorHAnsi"/>
          <w:szCs w:val="24"/>
        </w:rPr>
        <w:t xml:space="preserve"> </w:t>
      </w:r>
      <w:r w:rsidR="004462DB" w:rsidRPr="00E631B0">
        <w:rPr>
          <w:rFonts w:asciiTheme="minorHAnsi" w:eastAsia="Calibri" w:hAnsiTheme="minorHAnsi"/>
          <w:b/>
          <w:szCs w:val="24"/>
        </w:rPr>
        <w:t>(</w:t>
      </w:r>
      <w:r w:rsidR="00391A90" w:rsidRPr="00E631B0">
        <w:rPr>
          <w:rFonts w:asciiTheme="minorHAnsi" w:eastAsia="Calibri" w:hAnsiTheme="minorHAnsi"/>
          <w:b/>
          <w:szCs w:val="24"/>
        </w:rPr>
        <w:t xml:space="preserve">December 2016 and March 2017 </w:t>
      </w:r>
      <w:r w:rsidR="004462DB" w:rsidRPr="00E631B0">
        <w:rPr>
          <w:rFonts w:asciiTheme="minorHAnsi" w:eastAsia="Calibri" w:hAnsiTheme="minorHAnsi"/>
          <w:b/>
          <w:szCs w:val="24"/>
        </w:rPr>
        <w:t>Analyses)</w:t>
      </w:r>
      <w:r w:rsidRPr="00E631B0">
        <w:rPr>
          <w:rFonts w:asciiTheme="minorHAnsi" w:eastAsia="Calibri" w:hAnsiTheme="minorHAnsi"/>
          <w:szCs w:val="24"/>
        </w:rPr>
        <w:t xml:space="preserve"> of PBS</w:t>
      </w:r>
      <w:r w:rsidR="00752C36" w:rsidRPr="00E631B0">
        <w:rPr>
          <w:rFonts w:asciiTheme="minorHAnsi" w:eastAsia="Calibri" w:hAnsiTheme="minorHAnsi"/>
          <w:szCs w:val="24"/>
        </w:rPr>
        <w:t> </w:t>
      </w:r>
      <w:r w:rsidRPr="00E631B0">
        <w:rPr>
          <w:rFonts w:asciiTheme="minorHAnsi" w:eastAsia="Calibri" w:hAnsiTheme="minorHAnsi"/>
          <w:szCs w:val="24"/>
        </w:rPr>
        <w:t xml:space="preserve">ezetimibe utilisation prepared by the </w:t>
      </w:r>
      <w:r w:rsidRPr="00E631B0">
        <w:rPr>
          <w:rFonts w:asciiTheme="minorHAnsi" w:hAnsiTheme="minorHAnsi"/>
          <w:szCs w:val="24"/>
        </w:rPr>
        <w:t>Centre for Population Health Research (CPHR), Deakin University</w:t>
      </w:r>
      <w:r w:rsidRPr="00E631B0">
        <w:rPr>
          <w:rFonts w:asciiTheme="minorHAnsi" w:eastAsia="Calibri" w:hAnsiTheme="minorHAnsi"/>
          <w:szCs w:val="24"/>
        </w:rPr>
        <w:t xml:space="preserve">, provided at </w:t>
      </w:r>
      <w:r w:rsidRPr="00E631B0">
        <w:rPr>
          <w:rFonts w:asciiTheme="minorHAnsi" w:eastAsia="Calibri" w:hAnsiTheme="minorHAnsi"/>
          <w:b/>
          <w:szCs w:val="24"/>
        </w:rPr>
        <w:t>Appendix E.</w:t>
      </w:r>
    </w:p>
    <w:p w14:paraId="60D47489" w14:textId="77777777" w:rsidR="0000686B" w:rsidRPr="00E631B0" w:rsidRDefault="0000686B" w:rsidP="000831ED">
      <w:pPr>
        <w:numPr>
          <w:ilvl w:val="0"/>
          <w:numId w:val="39"/>
        </w:numPr>
        <w:spacing w:after="120" w:line="240" w:lineRule="auto"/>
        <w:jc w:val="left"/>
        <w:rPr>
          <w:rFonts w:asciiTheme="minorHAnsi" w:hAnsiTheme="minorHAnsi"/>
        </w:rPr>
      </w:pPr>
      <w:r w:rsidRPr="00E631B0">
        <w:rPr>
          <w:rFonts w:asciiTheme="minorHAnsi" w:hAnsiTheme="minorHAnsi"/>
        </w:rPr>
        <w:t>The number of people initiating ezetimibe in 2014-15 was 45,465.</w:t>
      </w:r>
    </w:p>
    <w:p w14:paraId="51878755" w14:textId="24EE71A9" w:rsidR="0000686B" w:rsidRPr="00E631B0" w:rsidRDefault="0000686B" w:rsidP="000831ED">
      <w:pPr>
        <w:numPr>
          <w:ilvl w:val="0"/>
          <w:numId w:val="38"/>
        </w:numPr>
        <w:spacing w:after="120" w:line="240" w:lineRule="auto"/>
        <w:jc w:val="left"/>
        <w:rPr>
          <w:rFonts w:asciiTheme="minorHAnsi" w:hAnsiTheme="minorHAnsi"/>
        </w:rPr>
      </w:pPr>
      <w:r w:rsidRPr="00E631B0">
        <w:rPr>
          <w:rFonts w:asciiTheme="minorHAnsi" w:hAnsiTheme="minorHAnsi"/>
        </w:rPr>
        <w:t xml:space="preserve">Analysis of all ezetimibe initiators in </w:t>
      </w:r>
      <w:r w:rsidR="00D4030E" w:rsidRPr="00E631B0">
        <w:rPr>
          <w:rFonts w:asciiTheme="minorHAnsi" w:hAnsiTheme="minorHAnsi"/>
        </w:rPr>
        <w:t xml:space="preserve">the 12 month period from 1 April </w:t>
      </w:r>
      <w:r w:rsidRPr="00E631B0">
        <w:rPr>
          <w:rFonts w:asciiTheme="minorHAnsi" w:hAnsiTheme="minorHAnsi"/>
        </w:rPr>
        <w:t>2014</w:t>
      </w:r>
      <w:r w:rsidR="00F8465F" w:rsidRPr="00E631B0">
        <w:rPr>
          <w:rFonts w:asciiTheme="minorHAnsi" w:hAnsiTheme="minorHAnsi"/>
        </w:rPr>
        <w:t xml:space="preserve"> to 31 </w:t>
      </w:r>
      <w:r w:rsidR="00D4030E" w:rsidRPr="00E631B0">
        <w:rPr>
          <w:rFonts w:asciiTheme="minorHAnsi" w:hAnsiTheme="minorHAnsi"/>
        </w:rPr>
        <w:t>March 2015 (2014-2015)</w:t>
      </w:r>
      <w:r w:rsidRPr="00E631B0">
        <w:rPr>
          <w:rFonts w:asciiTheme="minorHAnsi" w:hAnsiTheme="minorHAnsi"/>
        </w:rPr>
        <w:t xml:space="preserve"> found that 6,938 (or 15%) had no prior lipid lowering therapy dispensed in the prio</w:t>
      </w:r>
      <w:r w:rsidR="004462DB" w:rsidRPr="00E631B0">
        <w:rPr>
          <w:rFonts w:asciiTheme="minorHAnsi" w:hAnsiTheme="minorHAnsi"/>
        </w:rPr>
        <w:t xml:space="preserve">r 24 months (Cohort 1) and </w:t>
      </w:r>
      <w:r w:rsidRPr="00E631B0">
        <w:rPr>
          <w:rFonts w:asciiTheme="minorHAnsi" w:hAnsiTheme="minorHAnsi"/>
        </w:rPr>
        <w:t>38,707 (or 85%) had a</w:t>
      </w:r>
      <w:r w:rsidR="004462DB" w:rsidRPr="00E631B0">
        <w:rPr>
          <w:rFonts w:asciiTheme="minorHAnsi" w:hAnsiTheme="minorHAnsi"/>
        </w:rPr>
        <w:t>t</w:t>
      </w:r>
      <w:r w:rsidRPr="00E631B0">
        <w:rPr>
          <w:rFonts w:asciiTheme="minorHAnsi" w:hAnsiTheme="minorHAnsi"/>
        </w:rPr>
        <w:t xml:space="preserve"> least one lipid lowering </w:t>
      </w:r>
      <w:r w:rsidR="004462DB" w:rsidRPr="00E631B0">
        <w:rPr>
          <w:rFonts w:asciiTheme="minorHAnsi" w:hAnsiTheme="minorHAnsi"/>
        </w:rPr>
        <w:t xml:space="preserve">prescription dispensed </w:t>
      </w:r>
      <w:r w:rsidRPr="00E631B0">
        <w:rPr>
          <w:rFonts w:asciiTheme="minorHAnsi" w:hAnsiTheme="minorHAnsi"/>
        </w:rPr>
        <w:t xml:space="preserve">(Cohort 2) in the prior 24 months. The majority (97.7%) of </w:t>
      </w:r>
      <w:r w:rsidR="004462DB" w:rsidRPr="00E631B0">
        <w:rPr>
          <w:rFonts w:asciiTheme="minorHAnsi" w:hAnsiTheme="minorHAnsi"/>
        </w:rPr>
        <w:t>Cohort 2</w:t>
      </w:r>
      <w:r w:rsidRPr="00E631B0">
        <w:rPr>
          <w:rFonts w:asciiTheme="minorHAnsi" w:hAnsiTheme="minorHAnsi"/>
        </w:rPr>
        <w:t xml:space="preserve"> had received at least one statin prescription.</w:t>
      </w:r>
    </w:p>
    <w:p w14:paraId="575FA05E" w14:textId="77777777" w:rsidR="0000686B" w:rsidRPr="00E631B0" w:rsidRDefault="0000686B" w:rsidP="000831ED">
      <w:pPr>
        <w:numPr>
          <w:ilvl w:val="0"/>
          <w:numId w:val="37"/>
        </w:numPr>
        <w:spacing w:after="120" w:line="240" w:lineRule="auto"/>
        <w:jc w:val="left"/>
        <w:rPr>
          <w:rFonts w:asciiTheme="minorHAnsi" w:hAnsiTheme="minorHAnsi"/>
        </w:rPr>
      </w:pPr>
      <w:r w:rsidRPr="00E631B0">
        <w:rPr>
          <w:rFonts w:asciiTheme="minorHAnsi" w:hAnsiTheme="minorHAnsi"/>
        </w:rPr>
        <w:t xml:space="preserve">A significant </w:t>
      </w:r>
      <w:r w:rsidR="004462DB" w:rsidRPr="00E631B0">
        <w:rPr>
          <w:rFonts w:asciiTheme="minorHAnsi" w:hAnsiTheme="minorHAnsi"/>
        </w:rPr>
        <w:t>number 16,344 (</w:t>
      </w:r>
      <w:r w:rsidRPr="00E631B0">
        <w:rPr>
          <w:rFonts w:asciiTheme="minorHAnsi" w:hAnsiTheme="minorHAnsi"/>
        </w:rPr>
        <w:t>42.3%) of Cohort 2 had</w:t>
      </w:r>
      <w:r w:rsidR="004462DB" w:rsidRPr="00E631B0">
        <w:rPr>
          <w:rFonts w:asciiTheme="minorHAnsi" w:hAnsiTheme="minorHAnsi"/>
        </w:rPr>
        <w:t xml:space="preserve"> filled </w:t>
      </w:r>
      <w:r w:rsidRPr="00E631B0">
        <w:rPr>
          <w:rFonts w:asciiTheme="minorHAnsi" w:hAnsiTheme="minorHAnsi"/>
        </w:rPr>
        <w:t xml:space="preserve">less than three statin prescriptions in the 6 months prior to ezetimibe initiation. While this study did not measure adherence specifically, there appears to be poor adherence to statin therapy prior to initiating ezetimibe in this group.  </w:t>
      </w:r>
    </w:p>
    <w:p w14:paraId="0A9823D9" w14:textId="77777777" w:rsidR="0000686B" w:rsidRPr="00E631B0" w:rsidRDefault="0000686B" w:rsidP="000831ED">
      <w:pPr>
        <w:numPr>
          <w:ilvl w:val="0"/>
          <w:numId w:val="36"/>
        </w:numPr>
        <w:spacing w:after="120" w:line="240" w:lineRule="auto"/>
        <w:jc w:val="left"/>
        <w:rPr>
          <w:rFonts w:asciiTheme="minorHAnsi" w:hAnsiTheme="minorHAnsi"/>
        </w:rPr>
      </w:pPr>
      <w:r w:rsidRPr="00E631B0">
        <w:rPr>
          <w:rFonts w:asciiTheme="minorHAnsi" w:hAnsiTheme="minorHAnsi"/>
        </w:rPr>
        <w:t xml:space="preserve">A large </w:t>
      </w:r>
      <w:r w:rsidR="004462DB" w:rsidRPr="00E631B0">
        <w:rPr>
          <w:rFonts w:asciiTheme="minorHAnsi" w:hAnsiTheme="minorHAnsi"/>
        </w:rPr>
        <w:t xml:space="preserve">number 26,676 (69%) </w:t>
      </w:r>
      <w:r w:rsidRPr="00E631B0">
        <w:rPr>
          <w:rFonts w:asciiTheme="minorHAnsi" w:hAnsiTheme="minorHAnsi"/>
        </w:rPr>
        <w:t>of Cohort 2 patients remained on the same statin (in terms of the potency or dose) throughout the 24 months</w:t>
      </w:r>
      <w:r w:rsidR="004462DB" w:rsidRPr="00E631B0">
        <w:rPr>
          <w:rFonts w:asciiTheme="minorHAnsi" w:hAnsiTheme="minorHAnsi"/>
        </w:rPr>
        <w:t xml:space="preserve"> pre-ezetimibe period.</w:t>
      </w:r>
      <w:r w:rsidRPr="00E631B0">
        <w:rPr>
          <w:rFonts w:asciiTheme="minorHAnsi" w:hAnsiTheme="minorHAnsi"/>
        </w:rPr>
        <w:t xml:space="preserve"> It is not possible to know from PBS data if these people have been optimally treated with a statin, however approximately 20% (5,344) were receiving the highest dose of a high intensity statin.</w:t>
      </w:r>
    </w:p>
    <w:p w14:paraId="09A3EC50" w14:textId="77777777" w:rsidR="00D4030E" w:rsidRPr="00E631B0" w:rsidRDefault="004462DB" w:rsidP="000831ED">
      <w:pPr>
        <w:pStyle w:val="ListParagraph"/>
        <w:numPr>
          <w:ilvl w:val="0"/>
          <w:numId w:val="35"/>
        </w:numPr>
        <w:spacing w:after="120" w:line="240" w:lineRule="auto"/>
        <w:ind w:left="426"/>
        <w:jc w:val="left"/>
        <w:rPr>
          <w:rFonts w:asciiTheme="minorHAnsi" w:hAnsiTheme="minorHAnsi"/>
          <w:szCs w:val="24"/>
        </w:rPr>
      </w:pPr>
      <w:r w:rsidRPr="00E631B0">
        <w:rPr>
          <w:rFonts w:asciiTheme="minorHAnsi" w:hAnsiTheme="minorHAnsi"/>
        </w:rPr>
        <w:t xml:space="preserve">In </w:t>
      </w:r>
      <w:r w:rsidR="00A24486" w:rsidRPr="00E631B0">
        <w:rPr>
          <w:rFonts w:asciiTheme="minorHAnsi" w:hAnsiTheme="minorHAnsi"/>
        </w:rPr>
        <w:t xml:space="preserve">the </w:t>
      </w:r>
      <w:r w:rsidR="00A24486" w:rsidRPr="00E631B0">
        <w:rPr>
          <w:rFonts w:asciiTheme="minorHAnsi" w:eastAsia="Calibri" w:hAnsiTheme="minorHAnsi" w:cs="Times New Roman"/>
          <w:b/>
          <w:szCs w:val="24"/>
        </w:rPr>
        <w:t>December 2016 Analysis</w:t>
      </w:r>
      <w:r w:rsidR="00A24486" w:rsidRPr="00E631B0">
        <w:rPr>
          <w:rFonts w:asciiTheme="minorHAnsi" w:hAnsiTheme="minorHAnsi"/>
          <w:b/>
        </w:rPr>
        <w:t xml:space="preserve"> </w:t>
      </w:r>
      <w:r w:rsidRPr="00E631B0">
        <w:rPr>
          <w:rFonts w:asciiTheme="minorHAnsi" w:hAnsiTheme="minorHAnsi"/>
        </w:rPr>
        <w:t xml:space="preserve">the following groups were considered to have not complied with the PBS restriction for ezetimibe:  </w:t>
      </w:r>
    </w:p>
    <w:p w14:paraId="70AD808B" w14:textId="77777777" w:rsidR="00D4030E" w:rsidRPr="00E631B0" w:rsidRDefault="004462DB" w:rsidP="000831ED">
      <w:pPr>
        <w:numPr>
          <w:ilvl w:val="0"/>
          <w:numId w:val="13"/>
        </w:numPr>
        <w:spacing w:after="120" w:line="240" w:lineRule="auto"/>
        <w:ind w:left="851" w:hanging="425"/>
        <w:jc w:val="left"/>
        <w:rPr>
          <w:rFonts w:asciiTheme="minorHAnsi" w:hAnsiTheme="minorHAnsi"/>
          <w:szCs w:val="24"/>
        </w:rPr>
      </w:pPr>
      <w:r w:rsidRPr="00E631B0">
        <w:rPr>
          <w:rFonts w:asciiTheme="minorHAnsi" w:hAnsiTheme="minorHAnsi"/>
        </w:rPr>
        <w:t>people in Cohort 1 who initiated ezetimibe in combination with a statin</w:t>
      </w:r>
      <w:r w:rsidR="00EE7629" w:rsidRPr="00E631B0">
        <w:rPr>
          <w:rFonts w:asciiTheme="minorHAnsi" w:hAnsiTheme="minorHAnsi"/>
        </w:rPr>
        <w:t xml:space="preserve"> or later added statin </w:t>
      </w:r>
    </w:p>
    <w:p w14:paraId="4B293946" w14:textId="77777777" w:rsidR="00D4030E" w:rsidRPr="00E631B0" w:rsidRDefault="00D4030E" w:rsidP="000831ED">
      <w:pPr>
        <w:numPr>
          <w:ilvl w:val="0"/>
          <w:numId w:val="13"/>
        </w:numPr>
        <w:spacing w:after="120" w:line="240" w:lineRule="auto"/>
        <w:ind w:left="851" w:hanging="425"/>
        <w:jc w:val="left"/>
        <w:rPr>
          <w:rFonts w:asciiTheme="minorHAnsi" w:hAnsiTheme="minorHAnsi"/>
          <w:szCs w:val="24"/>
        </w:rPr>
      </w:pPr>
      <w:r w:rsidRPr="00E631B0">
        <w:rPr>
          <w:rFonts w:asciiTheme="minorHAnsi" w:hAnsiTheme="minorHAnsi"/>
        </w:rPr>
        <w:t xml:space="preserve">people </w:t>
      </w:r>
      <w:r w:rsidR="00EE7629" w:rsidRPr="00E631B0">
        <w:rPr>
          <w:rFonts w:asciiTheme="minorHAnsi" w:hAnsiTheme="minorHAnsi"/>
        </w:rPr>
        <w:t xml:space="preserve">in Cohort 2 who up-titrated their statin dose or potency following initiation of ezetimibe. </w:t>
      </w:r>
    </w:p>
    <w:p w14:paraId="0787181C" w14:textId="77777777" w:rsidR="00E730E1" w:rsidRPr="00E631B0" w:rsidRDefault="00EE7629" w:rsidP="000831ED">
      <w:pPr>
        <w:spacing w:after="120" w:line="240" w:lineRule="auto"/>
        <w:ind w:left="357"/>
        <w:jc w:val="left"/>
        <w:rPr>
          <w:rFonts w:asciiTheme="minorHAnsi" w:hAnsiTheme="minorHAnsi"/>
          <w:szCs w:val="24"/>
        </w:rPr>
      </w:pPr>
      <w:r w:rsidRPr="00E631B0">
        <w:rPr>
          <w:rFonts w:asciiTheme="minorHAnsi" w:hAnsiTheme="minorHAnsi"/>
        </w:rPr>
        <w:t xml:space="preserve">On this basis </w:t>
      </w:r>
      <w:r w:rsidR="00A24486" w:rsidRPr="00E631B0">
        <w:rPr>
          <w:rFonts w:asciiTheme="minorHAnsi" w:hAnsiTheme="minorHAnsi"/>
        </w:rPr>
        <w:t xml:space="preserve">the </w:t>
      </w:r>
      <w:r w:rsidR="00A24486" w:rsidRPr="00E631B0">
        <w:rPr>
          <w:rFonts w:asciiTheme="minorHAnsi" w:hAnsiTheme="minorHAnsi"/>
          <w:b/>
        </w:rPr>
        <w:t>December 2016 Analysis</w:t>
      </w:r>
      <w:r w:rsidR="00A24486" w:rsidRPr="00E631B0">
        <w:rPr>
          <w:rFonts w:asciiTheme="minorHAnsi" w:hAnsiTheme="minorHAnsi"/>
        </w:rPr>
        <w:t xml:space="preserve"> </w:t>
      </w:r>
      <w:r w:rsidRPr="00E631B0">
        <w:rPr>
          <w:rFonts w:asciiTheme="minorHAnsi" w:hAnsiTheme="minorHAnsi"/>
        </w:rPr>
        <w:t>estimated that 15.9% of new users of ezetimibe had not complied with the PBS restriction.</w:t>
      </w:r>
    </w:p>
    <w:p w14:paraId="64B4B04E" w14:textId="19C5C127" w:rsidR="00EE7629" w:rsidRPr="00E631B0" w:rsidRDefault="00EE7629" w:rsidP="000831ED">
      <w:pPr>
        <w:pStyle w:val="ListParagraph"/>
        <w:numPr>
          <w:ilvl w:val="0"/>
          <w:numId w:val="35"/>
        </w:numPr>
        <w:spacing w:after="120" w:line="240" w:lineRule="auto"/>
        <w:ind w:left="426" w:hanging="284"/>
        <w:jc w:val="left"/>
        <w:rPr>
          <w:rFonts w:asciiTheme="minorHAnsi" w:hAnsiTheme="minorHAnsi"/>
          <w:szCs w:val="24"/>
        </w:rPr>
      </w:pPr>
      <w:r w:rsidRPr="00E631B0">
        <w:rPr>
          <w:rFonts w:asciiTheme="minorHAnsi" w:eastAsia="Calibri" w:hAnsiTheme="minorHAnsi"/>
          <w:szCs w:val="24"/>
        </w:rPr>
        <w:lastRenderedPageBreak/>
        <w:t>F</w:t>
      </w:r>
      <w:r w:rsidR="0000686B" w:rsidRPr="00E631B0">
        <w:rPr>
          <w:rFonts w:asciiTheme="minorHAnsi" w:eastAsia="Calibri" w:hAnsiTheme="minorHAnsi"/>
          <w:szCs w:val="24"/>
        </w:rPr>
        <w:t>ollowing</w:t>
      </w:r>
      <w:r w:rsidRPr="00E631B0">
        <w:rPr>
          <w:rFonts w:asciiTheme="minorHAnsi" w:eastAsia="Calibri" w:hAnsiTheme="minorHAnsi"/>
          <w:szCs w:val="24"/>
        </w:rPr>
        <w:t xml:space="preserve"> DUSC consideration of </w:t>
      </w:r>
      <w:r w:rsidR="00A24486" w:rsidRPr="00E631B0">
        <w:rPr>
          <w:rFonts w:asciiTheme="minorHAnsi" w:eastAsia="Calibri" w:hAnsiTheme="minorHAnsi"/>
          <w:szCs w:val="24"/>
        </w:rPr>
        <w:t xml:space="preserve">the </w:t>
      </w:r>
      <w:r w:rsidR="00A24486" w:rsidRPr="00E631B0">
        <w:rPr>
          <w:rFonts w:asciiTheme="minorHAnsi" w:eastAsia="Calibri" w:hAnsiTheme="minorHAnsi" w:cs="Times New Roman"/>
          <w:szCs w:val="24"/>
        </w:rPr>
        <w:t>December 2016 Analysis</w:t>
      </w:r>
      <w:r w:rsidRPr="00E631B0">
        <w:rPr>
          <w:rFonts w:asciiTheme="minorHAnsi" w:eastAsia="Calibri" w:hAnsiTheme="minorHAnsi"/>
          <w:szCs w:val="24"/>
        </w:rPr>
        <w:t>, a s</w:t>
      </w:r>
      <w:r w:rsidR="00E730E1" w:rsidRPr="00E631B0">
        <w:rPr>
          <w:rFonts w:asciiTheme="minorHAnsi" w:eastAsia="Calibri" w:hAnsiTheme="minorHAnsi"/>
          <w:szCs w:val="24"/>
        </w:rPr>
        <w:t>econd analysis was conducted by</w:t>
      </w:r>
      <w:r w:rsidR="0000686B" w:rsidRPr="00E631B0">
        <w:rPr>
          <w:rFonts w:asciiTheme="minorHAnsi" w:eastAsia="Calibri" w:hAnsiTheme="minorHAnsi"/>
          <w:szCs w:val="24"/>
        </w:rPr>
        <w:t xml:space="preserve"> </w:t>
      </w:r>
      <w:r w:rsidR="00E730E1" w:rsidRPr="00E631B0">
        <w:rPr>
          <w:rFonts w:asciiTheme="minorHAnsi" w:hAnsiTheme="minorHAnsi"/>
          <w:szCs w:val="24"/>
        </w:rPr>
        <w:t>CPHR</w:t>
      </w:r>
      <w:r w:rsidR="0000686B" w:rsidRPr="00E631B0">
        <w:rPr>
          <w:rFonts w:asciiTheme="minorHAnsi" w:hAnsiTheme="minorHAnsi"/>
          <w:szCs w:val="24"/>
        </w:rPr>
        <w:t>, Deakin</w:t>
      </w:r>
      <w:r w:rsidR="0000686B" w:rsidRPr="00E631B0">
        <w:rPr>
          <w:rFonts w:asciiTheme="minorHAnsi" w:eastAsia="Calibri" w:hAnsiTheme="minorHAnsi"/>
          <w:szCs w:val="24"/>
        </w:rPr>
        <w:t xml:space="preserve">, provided at </w:t>
      </w:r>
      <w:r w:rsidR="0000686B" w:rsidRPr="00E631B0">
        <w:rPr>
          <w:rFonts w:asciiTheme="minorHAnsi" w:eastAsia="Calibri" w:hAnsiTheme="minorHAnsi"/>
          <w:b/>
          <w:szCs w:val="24"/>
        </w:rPr>
        <w:t>Appendix</w:t>
      </w:r>
      <w:r w:rsidRPr="00E631B0">
        <w:rPr>
          <w:rFonts w:asciiTheme="minorHAnsi" w:eastAsia="Calibri" w:hAnsiTheme="minorHAnsi"/>
          <w:b/>
          <w:szCs w:val="24"/>
        </w:rPr>
        <w:t xml:space="preserve"> E</w:t>
      </w:r>
      <w:r w:rsidR="004529EF" w:rsidRPr="00E631B0">
        <w:rPr>
          <w:rFonts w:asciiTheme="minorHAnsi" w:eastAsia="Calibri" w:hAnsiTheme="minorHAnsi"/>
          <w:b/>
          <w:szCs w:val="24"/>
        </w:rPr>
        <w:t xml:space="preserve"> (</w:t>
      </w:r>
      <w:r w:rsidR="009A2D33" w:rsidRPr="00E631B0">
        <w:rPr>
          <w:rFonts w:asciiTheme="minorHAnsi" w:eastAsia="Calibri" w:hAnsiTheme="minorHAnsi"/>
          <w:b/>
          <w:szCs w:val="24"/>
        </w:rPr>
        <w:t xml:space="preserve">Section 2.4 </w:t>
      </w:r>
      <w:r w:rsidRPr="00E631B0">
        <w:rPr>
          <w:rFonts w:asciiTheme="minorHAnsi" w:eastAsia="Calibri" w:hAnsiTheme="minorHAnsi"/>
          <w:b/>
          <w:szCs w:val="24"/>
        </w:rPr>
        <w:t>p.</w:t>
      </w:r>
      <w:r w:rsidR="0000686B" w:rsidRPr="00E631B0">
        <w:rPr>
          <w:rFonts w:asciiTheme="minorHAnsi" w:eastAsia="Calibri" w:hAnsiTheme="minorHAnsi"/>
          <w:b/>
          <w:szCs w:val="24"/>
        </w:rPr>
        <w:t xml:space="preserve"> </w:t>
      </w:r>
      <w:r w:rsidR="009F67BC" w:rsidRPr="00E631B0">
        <w:rPr>
          <w:rFonts w:asciiTheme="minorHAnsi" w:eastAsia="Calibri" w:hAnsiTheme="minorHAnsi"/>
          <w:b/>
          <w:szCs w:val="24"/>
        </w:rPr>
        <w:t>8</w:t>
      </w:r>
      <w:r w:rsidR="004529EF" w:rsidRPr="00E631B0">
        <w:rPr>
          <w:rFonts w:asciiTheme="minorHAnsi" w:eastAsia="Calibri" w:hAnsiTheme="minorHAnsi"/>
          <w:b/>
          <w:szCs w:val="24"/>
        </w:rPr>
        <w:t>)</w:t>
      </w:r>
      <w:r w:rsidR="0000686B" w:rsidRPr="00E631B0">
        <w:rPr>
          <w:rFonts w:asciiTheme="minorHAnsi" w:eastAsia="Calibri" w:hAnsiTheme="minorHAnsi"/>
          <w:b/>
          <w:szCs w:val="24"/>
        </w:rPr>
        <w:t>.</w:t>
      </w:r>
      <w:r w:rsidRPr="00E631B0">
        <w:rPr>
          <w:rFonts w:asciiTheme="minorHAnsi" w:eastAsia="Calibri" w:hAnsiTheme="minorHAnsi"/>
          <w:szCs w:val="24"/>
        </w:rPr>
        <w:t xml:space="preserve"> </w:t>
      </w:r>
      <w:r w:rsidR="009A2D33" w:rsidRPr="00E631B0">
        <w:rPr>
          <w:rFonts w:asciiTheme="minorHAnsi" w:eastAsia="Calibri" w:hAnsiTheme="minorHAnsi"/>
          <w:szCs w:val="24"/>
        </w:rPr>
        <w:t xml:space="preserve">The </w:t>
      </w:r>
      <w:r w:rsidR="001751C4" w:rsidRPr="00E631B0">
        <w:rPr>
          <w:rFonts w:asciiTheme="minorHAnsi" w:eastAsia="Calibri" w:hAnsiTheme="minorHAnsi"/>
          <w:b/>
          <w:szCs w:val="24"/>
        </w:rPr>
        <w:t xml:space="preserve">March 2017 </w:t>
      </w:r>
      <w:r w:rsidR="00294E37" w:rsidRPr="00E631B0">
        <w:rPr>
          <w:rFonts w:asciiTheme="minorHAnsi" w:eastAsia="Calibri" w:hAnsiTheme="minorHAnsi"/>
          <w:b/>
          <w:szCs w:val="24"/>
        </w:rPr>
        <w:t xml:space="preserve">Analysis </w:t>
      </w:r>
      <w:r w:rsidR="00294E37" w:rsidRPr="00E631B0">
        <w:rPr>
          <w:rFonts w:asciiTheme="minorHAnsi" w:eastAsia="Calibri" w:hAnsiTheme="minorHAnsi"/>
          <w:szCs w:val="24"/>
        </w:rPr>
        <w:t xml:space="preserve">was conducted in the same PBS dataset and the same Cohorts (1 and 2) as identified in </w:t>
      </w:r>
      <w:r w:rsidR="00A24486" w:rsidRPr="00E631B0">
        <w:rPr>
          <w:rFonts w:asciiTheme="minorHAnsi" w:eastAsia="Calibri" w:hAnsiTheme="minorHAnsi"/>
          <w:szCs w:val="24"/>
        </w:rPr>
        <w:t xml:space="preserve">the </w:t>
      </w:r>
      <w:r w:rsidR="00A24486" w:rsidRPr="00E631B0">
        <w:rPr>
          <w:rFonts w:asciiTheme="minorHAnsi" w:eastAsia="Calibri" w:hAnsiTheme="minorHAnsi" w:cs="Times New Roman"/>
          <w:szCs w:val="24"/>
        </w:rPr>
        <w:t>December 2016 Analysis</w:t>
      </w:r>
      <w:r w:rsidR="00294E37" w:rsidRPr="00E631B0">
        <w:rPr>
          <w:rFonts w:asciiTheme="minorHAnsi" w:eastAsia="Calibri" w:hAnsiTheme="minorHAnsi"/>
          <w:szCs w:val="24"/>
        </w:rPr>
        <w:t xml:space="preserve">. In addition, </w:t>
      </w:r>
      <w:r w:rsidR="001751C4" w:rsidRPr="00E631B0">
        <w:rPr>
          <w:rFonts w:asciiTheme="minorHAnsi" w:eastAsia="Calibri" w:hAnsiTheme="minorHAnsi"/>
          <w:szCs w:val="24"/>
        </w:rPr>
        <w:t xml:space="preserve">the March 2017 </w:t>
      </w:r>
      <w:r w:rsidRPr="00E631B0">
        <w:rPr>
          <w:rFonts w:asciiTheme="minorHAnsi" w:eastAsia="Calibri" w:hAnsiTheme="minorHAnsi"/>
          <w:szCs w:val="24"/>
        </w:rPr>
        <w:t xml:space="preserve">Analysis categorised all new users of ezetimibe </w:t>
      </w:r>
      <w:r w:rsidR="00294E37" w:rsidRPr="00E631B0">
        <w:rPr>
          <w:rFonts w:asciiTheme="minorHAnsi" w:eastAsia="Calibri" w:hAnsiTheme="minorHAnsi"/>
          <w:szCs w:val="24"/>
        </w:rPr>
        <w:t xml:space="preserve">according to both </w:t>
      </w:r>
      <w:r w:rsidRPr="00E631B0">
        <w:rPr>
          <w:rFonts w:asciiTheme="minorHAnsi" w:eastAsia="Calibri" w:hAnsiTheme="minorHAnsi"/>
          <w:szCs w:val="24"/>
        </w:rPr>
        <w:t>pre and post use of statins and other LLT into the following three groups:</w:t>
      </w:r>
    </w:p>
    <w:p w14:paraId="02DC7AC7" w14:textId="77777777" w:rsidR="00EE7629" w:rsidRPr="00E631B0" w:rsidRDefault="00EE7629" w:rsidP="000831ED">
      <w:pPr>
        <w:tabs>
          <w:tab w:val="left" w:pos="284"/>
        </w:tabs>
        <w:spacing w:after="0" w:line="240" w:lineRule="auto"/>
        <w:ind w:left="567" w:hanging="283"/>
        <w:jc w:val="left"/>
        <w:rPr>
          <w:rFonts w:ascii="Calibri" w:eastAsia="Times New Roman" w:hAnsi="Calibri" w:cs="Times New Roman"/>
          <w:szCs w:val="24"/>
          <w:lang w:eastAsia="zh-CN"/>
        </w:rPr>
      </w:pPr>
      <w:r w:rsidRPr="00E631B0">
        <w:rPr>
          <w:rFonts w:ascii="Calibri" w:eastAsia="Times New Roman" w:hAnsi="Calibri" w:cs="Times New Roman"/>
          <w:sz w:val="22"/>
          <w:lang w:eastAsia="zh-CN"/>
        </w:rPr>
        <w:t>•</w:t>
      </w:r>
      <w:r w:rsidRPr="00E631B0">
        <w:rPr>
          <w:rFonts w:ascii="Calibri" w:eastAsia="Times New Roman" w:hAnsi="Calibri" w:cs="Times New Roman"/>
          <w:sz w:val="22"/>
          <w:lang w:eastAsia="zh-CN"/>
        </w:rPr>
        <w:tab/>
      </w:r>
      <w:r w:rsidRPr="00E631B0">
        <w:rPr>
          <w:rFonts w:ascii="Calibri" w:eastAsia="Times New Roman" w:hAnsi="Calibri" w:cs="Times New Roman"/>
          <w:szCs w:val="24"/>
          <w:lang w:eastAsia="zh-CN"/>
        </w:rPr>
        <w:t xml:space="preserve">those initiating ezetimibe in accordance with the PBS restriction (green); </w:t>
      </w:r>
    </w:p>
    <w:p w14:paraId="5F5EE0FC" w14:textId="77777777" w:rsidR="00EE7629" w:rsidRPr="005869C5" w:rsidRDefault="00EE7629" w:rsidP="000831ED">
      <w:pPr>
        <w:tabs>
          <w:tab w:val="left" w:pos="284"/>
        </w:tabs>
        <w:spacing w:after="0" w:line="240" w:lineRule="auto"/>
        <w:ind w:left="567" w:hanging="283"/>
        <w:jc w:val="left"/>
        <w:rPr>
          <w:rFonts w:ascii="Calibri" w:eastAsia="Times New Roman" w:hAnsi="Calibri" w:cs="Times New Roman"/>
          <w:szCs w:val="24"/>
          <w:lang w:eastAsia="zh-CN"/>
        </w:rPr>
      </w:pPr>
      <w:r w:rsidRPr="00E631B0">
        <w:rPr>
          <w:rFonts w:ascii="Calibri" w:eastAsia="Times New Roman" w:hAnsi="Calibri" w:cs="Times New Roman"/>
          <w:szCs w:val="24"/>
          <w:lang w:eastAsia="zh-CN"/>
        </w:rPr>
        <w:t>•</w:t>
      </w:r>
      <w:r w:rsidRPr="00E631B0">
        <w:rPr>
          <w:rFonts w:ascii="Calibri" w:eastAsia="Times New Roman" w:hAnsi="Calibri" w:cs="Times New Roman"/>
          <w:szCs w:val="24"/>
          <w:lang w:eastAsia="zh-CN"/>
        </w:rPr>
        <w:tab/>
        <w:t xml:space="preserve">those initiating ezetimibe in a manner that is not consistent with the PBS restriction </w:t>
      </w:r>
      <w:r w:rsidRPr="005869C5">
        <w:rPr>
          <w:rFonts w:ascii="Calibri" w:eastAsia="Times New Roman" w:hAnsi="Calibri" w:cs="Times New Roman"/>
          <w:szCs w:val="24"/>
          <w:lang w:eastAsia="zh-CN"/>
        </w:rPr>
        <w:t>(</w:t>
      </w:r>
      <w:r w:rsidRPr="005869C5">
        <w:rPr>
          <w:rFonts w:ascii="Calibri" w:eastAsia="Times New Roman" w:hAnsi="Calibri" w:cs="Times New Roman"/>
          <w:color w:val="C00000"/>
          <w:szCs w:val="24"/>
          <w:lang w:eastAsia="zh-CN"/>
        </w:rPr>
        <w:t>red</w:t>
      </w:r>
      <w:r w:rsidRPr="005869C5">
        <w:rPr>
          <w:rFonts w:ascii="Calibri" w:eastAsia="Times New Roman" w:hAnsi="Calibri" w:cs="Times New Roman"/>
          <w:szCs w:val="24"/>
          <w:lang w:eastAsia="zh-CN"/>
        </w:rPr>
        <w:t xml:space="preserve">); </w:t>
      </w:r>
    </w:p>
    <w:p w14:paraId="55EA0255" w14:textId="528FB3BB" w:rsidR="00EE7629" w:rsidRPr="005869C5" w:rsidRDefault="00EE7629" w:rsidP="000831ED">
      <w:pPr>
        <w:tabs>
          <w:tab w:val="left" w:pos="284"/>
        </w:tabs>
        <w:spacing w:after="0" w:line="259" w:lineRule="auto"/>
        <w:ind w:left="567" w:hanging="283"/>
        <w:jc w:val="left"/>
        <w:rPr>
          <w:rFonts w:ascii="Calibri" w:eastAsia="Times New Roman" w:hAnsi="Calibri" w:cs="Times New Roman"/>
          <w:szCs w:val="24"/>
          <w:lang w:eastAsia="zh-CN"/>
        </w:rPr>
      </w:pPr>
      <w:r w:rsidRPr="005869C5">
        <w:rPr>
          <w:rFonts w:ascii="Calibri" w:eastAsia="Times New Roman" w:hAnsi="Calibri" w:cs="Times New Roman"/>
          <w:szCs w:val="24"/>
          <w:lang w:eastAsia="zh-CN"/>
        </w:rPr>
        <w:t>•</w:t>
      </w:r>
      <w:r w:rsidRPr="005869C5">
        <w:rPr>
          <w:rFonts w:ascii="Calibri" w:eastAsia="Times New Roman" w:hAnsi="Calibri" w:cs="Times New Roman"/>
          <w:szCs w:val="24"/>
          <w:lang w:eastAsia="zh-CN"/>
        </w:rPr>
        <w:tab/>
      </w:r>
      <w:r w:rsidRPr="00E631B0">
        <w:rPr>
          <w:rFonts w:ascii="Calibri" w:eastAsia="Times New Roman" w:hAnsi="Calibri" w:cs="Times New Roman"/>
          <w:szCs w:val="24"/>
          <w:lang w:eastAsia="zh-CN"/>
        </w:rPr>
        <w:t xml:space="preserve">the remainder for whom compliance with the PBS restriction is unknown </w:t>
      </w:r>
      <w:r w:rsidRPr="005869C5">
        <w:rPr>
          <w:rFonts w:ascii="Calibri" w:eastAsia="Times New Roman" w:hAnsi="Calibri" w:cs="Times New Roman"/>
          <w:szCs w:val="24"/>
          <w:lang w:eastAsia="zh-CN"/>
        </w:rPr>
        <w:t>(</w:t>
      </w:r>
      <w:r w:rsidRPr="005869C5">
        <w:rPr>
          <w:rFonts w:ascii="Calibri" w:eastAsia="Times New Roman" w:hAnsi="Calibri" w:cs="Times New Roman"/>
          <w:color w:val="FF6600"/>
          <w:szCs w:val="24"/>
          <w:lang w:eastAsia="zh-CN"/>
        </w:rPr>
        <w:t>orange</w:t>
      </w:r>
      <w:r w:rsidRPr="005869C5">
        <w:rPr>
          <w:rFonts w:ascii="Calibri" w:eastAsia="Times New Roman" w:hAnsi="Calibri" w:cs="Times New Roman"/>
          <w:szCs w:val="24"/>
          <w:lang w:eastAsia="zh-CN"/>
        </w:rPr>
        <w:t>).</w:t>
      </w:r>
    </w:p>
    <w:p w14:paraId="0D685F1C" w14:textId="77777777" w:rsidR="00EE7629" w:rsidRPr="00E631B0" w:rsidRDefault="001751C4" w:rsidP="000831ED">
      <w:pPr>
        <w:pStyle w:val="ListParagraph"/>
        <w:numPr>
          <w:ilvl w:val="0"/>
          <w:numId w:val="35"/>
        </w:numPr>
        <w:spacing w:before="120" w:line="240" w:lineRule="auto"/>
        <w:ind w:left="284"/>
        <w:jc w:val="left"/>
        <w:rPr>
          <w:rFonts w:asciiTheme="minorHAnsi" w:eastAsia="Calibri" w:hAnsiTheme="minorHAnsi" w:cs="Times New Roman"/>
          <w:szCs w:val="24"/>
        </w:rPr>
      </w:pPr>
      <w:r w:rsidRPr="00E631B0">
        <w:rPr>
          <w:rFonts w:asciiTheme="minorHAnsi" w:eastAsia="Calibri" w:hAnsiTheme="minorHAnsi" w:cs="Times New Roman"/>
          <w:b/>
          <w:szCs w:val="24"/>
        </w:rPr>
        <w:t xml:space="preserve">The March 2017 </w:t>
      </w:r>
      <w:r w:rsidR="00EE7629" w:rsidRPr="00E631B0">
        <w:rPr>
          <w:rFonts w:asciiTheme="minorHAnsi" w:eastAsia="Calibri" w:hAnsiTheme="minorHAnsi" w:cs="Times New Roman"/>
          <w:b/>
          <w:szCs w:val="24"/>
        </w:rPr>
        <w:t xml:space="preserve">Analysis </w:t>
      </w:r>
      <w:r w:rsidR="00EE7629" w:rsidRPr="00E631B0">
        <w:rPr>
          <w:rFonts w:asciiTheme="minorHAnsi" w:eastAsia="Calibri" w:hAnsiTheme="minorHAnsi" w:cs="Times New Roman"/>
          <w:szCs w:val="24"/>
        </w:rPr>
        <w:t>found that 46.9 % of patients were in the ‘green’ group described above, 18.4% of patients were in the ‘red’ group and 34.8% of patients were in the ‘orange’ group.</w:t>
      </w:r>
    </w:p>
    <w:p w14:paraId="78155BAF" w14:textId="77777777" w:rsidR="0011354D" w:rsidRPr="00E631B0" w:rsidRDefault="0011354D" w:rsidP="000831ED">
      <w:pPr>
        <w:pStyle w:val="ListParagraph"/>
        <w:numPr>
          <w:ilvl w:val="0"/>
          <w:numId w:val="35"/>
        </w:numPr>
        <w:spacing w:before="120" w:line="240" w:lineRule="auto"/>
        <w:ind w:left="284"/>
        <w:jc w:val="left"/>
        <w:rPr>
          <w:rFonts w:asciiTheme="minorHAnsi" w:eastAsia="Calibri" w:hAnsiTheme="minorHAnsi" w:cs="Times New Roman"/>
          <w:szCs w:val="24"/>
        </w:rPr>
      </w:pPr>
      <w:r w:rsidRPr="00E631B0">
        <w:rPr>
          <w:rFonts w:asciiTheme="minorHAnsi" w:eastAsia="Calibri" w:hAnsiTheme="minorHAnsi" w:cs="Times New Roman"/>
          <w:szCs w:val="24"/>
        </w:rPr>
        <w:t xml:space="preserve">The Reference Group noted stakeholder input that acknowledged the prescribing of ezetimibe ahead of up-titration of statins to avoid </w:t>
      </w:r>
      <w:r w:rsidR="00C17B2A" w:rsidRPr="00E631B0">
        <w:rPr>
          <w:rFonts w:asciiTheme="minorHAnsi" w:eastAsia="Calibri" w:hAnsiTheme="minorHAnsi" w:cs="Times New Roman"/>
          <w:szCs w:val="24"/>
        </w:rPr>
        <w:t xml:space="preserve">adverse </w:t>
      </w:r>
      <w:r w:rsidRPr="00E631B0">
        <w:rPr>
          <w:rFonts w:asciiTheme="minorHAnsi" w:eastAsia="Calibri" w:hAnsiTheme="minorHAnsi" w:cs="Times New Roman"/>
          <w:szCs w:val="24"/>
        </w:rPr>
        <w:t xml:space="preserve">effects. </w:t>
      </w:r>
    </w:p>
    <w:p w14:paraId="666B3059" w14:textId="6CD4451A" w:rsidR="0000686B" w:rsidRPr="00B34830" w:rsidRDefault="003848A8" w:rsidP="000831ED">
      <w:pPr>
        <w:pStyle w:val="Heading2"/>
      </w:pPr>
      <w:bookmarkStart w:id="54" w:name="_Toc500510216"/>
      <w:r w:rsidRPr="005869C5">
        <w:t>1</w:t>
      </w:r>
      <w:r w:rsidR="00C05E80" w:rsidRPr="005869C5">
        <w:t>.</w:t>
      </w:r>
      <w:r w:rsidR="0000686B" w:rsidRPr="005869C5">
        <w:t>2</w:t>
      </w:r>
      <w:r w:rsidR="00F03B50" w:rsidRPr="005869C5">
        <w:tab/>
      </w:r>
      <w:r w:rsidR="006842B1">
        <w:t>Summary of Ezetimibe Utilisation A</w:t>
      </w:r>
      <w:r w:rsidR="0000686B" w:rsidRPr="005869C5">
        <w:t>nalysis</w:t>
      </w:r>
      <w:bookmarkEnd w:id="54"/>
      <w:r w:rsidR="0000686B" w:rsidRPr="00B34830">
        <w:t xml:space="preserve"> </w:t>
      </w:r>
    </w:p>
    <w:p w14:paraId="392AB633" w14:textId="3994311B" w:rsidR="0000686B" w:rsidRPr="00B34830" w:rsidRDefault="003848A8" w:rsidP="000831ED">
      <w:pPr>
        <w:pStyle w:val="Heading3"/>
        <w:jc w:val="left"/>
      </w:pPr>
      <w:bookmarkStart w:id="55" w:name="_Toc500510217"/>
      <w:r>
        <w:t>1</w:t>
      </w:r>
      <w:r w:rsidR="00C05E80">
        <w:t>.</w:t>
      </w:r>
      <w:r w:rsidR="00F03B50">
        <w:t>2.1</w:t>
      </w:r>
      <w:r w:rsidR="00F03B50">
        <w:tab/>
      </w:r>
      <w:r w:rsidR="00920324">
        <w:tab/>
      </w:r>
      <w:r w:rsidR="0000686B" w:rsidRPr="00424CB2">
        <w:t xml:space="preserve">Methods – </w:t>
      </w:r>
      <w:r w:rsidR="00A24486">
        <w:rPr>
          <w:rFonts w:eastAsia="Calibri" w:cs="Times New Roman"/>
          <w:szCs w:val="24"/>
        </w:rPr>
        <w:t xml:space="preserve">December 2016 </w:t>
      </w:r>
      <w:r w:rsidR="00341378">
        <w:rPr>
          <w:rFonts w:eastAsia="Calibri" w:cs="Times New Roman"/>
          <w:szCs w:val="24"/>
        </w:rPr>
        <w:t>a</w:t>
      </w:r>
      <w:r w:rsidR="00A24486" w:rsidRPr="00F45531">
        <w:rPr>
          <w:rFonts w:eastAsia="Calibri" w:cs="Times New Roman"/>
          <w:szCs w:val="24"/>
        </w:rPr>
        <w:t>nalysis</w:t>
      </w:r>
      <w:bookmarkEnd w:id="55"/>
      <w:r w:rsidR="00A24486" w:rsidRPr="00424CB2">
        <w:t xml:space="preserve"> </w:t>
      </w:r>
    </w:p>
    <w:p w14:paraId="369CA3A3" w14:textId="6DEF0078" w:rsidR="0000686B" w:rsidRPr="00E631B0" w:rsidRDefault="0000686B" w:rsidP="000831ED">
      <w:pPr>
        <w:spacing w:line="240" w:lineRule="auto"/>
        <w:jc w:val="left"/>
        <w:rPr>
          <w:rFonts w:asciiTheme="minorHAnsi" w:hAnsiTheme="minorHAnsi"/>
        </w:rPr>
      </w:pPr>
      <w:r w:rsidRPr="00E631B0">
        <w:rPr>
          <w:rFonts w:asciiTheme="minorHAnsi" w:hAnsiTheme="minorHAnsi"/>
        </w:rPr>
        <w:t xml:space="preserve">Pharmacy claim data for all PBS prescriptions were used to analyse utilisation of ezetimibe in Australia. All PBS medicines coded Anatomical Therapeutic Classification (ATC) C10 dispensed from 1 April 2012 to 31 July 2016 were extracted from the PBS dataset (111.5 million records). The PBS dataset for this period contains records for all PBS prescriptions including those priced under the patient co-payment; it does not include private prescriptions or samples provided by industry. All records were sorted by date of supply.  </w:t>
      </w:r>
    </w:p>
    <w:p w14:paraId="323E6747" w14:textId="1ABF59CE" w:rsidR="0000686B" w:rsidRPr="00E631B0" w:rsidRDefault="0000686B" w:rsidP="000831ED">
      <w:pPr>
        <w:spacing w:line="240" w:lineRule="auto"/>
        <w:jc w:val="left"/>
        <w:rPr>
          <w:rFonts w:asciiTheme="minorHAnsi" w:hAnsiTheme="minorHAnsi"/>
        </w:rPr>
      </w:pPr>
      <w:r w:rsidRPr="00E631B0">
        <w:rPr>
          <w:rFonts w:asciiTheme="minorHAnsi" w:hAnsiTheme="minorHAnsi"/>
        </w:rPr>
        <w:t>From this dataset the eligible study population was identified as people who received their first dispensing supply of ezetim</w:t>
      </w:r>
      <w:r w:rsidR="00E730E1" w:rsidRPr="00E631B0">
        <w:rPr>
          <w:rFonts w:asciiTheme="minorHAnsi" w:hAnsiTheme="minorHAnsi"/>
        </w:rPr>
        <w:t>ibe between 1 April 2014 and 31 </w:t>
      </w:r>
      <w:r w:rsidRPr="00E631B0">
        <w:rPr>
          <w:rFonts w:asciiTheme="minorHAnsi" w:hAnsiTheme="minorHAnsi"/>
        </w:rPr>
        <w:t xml:space="preserve">March 2015. Initiation to ezetimibe (index date) was determined on the basis that there was no previous dispensing of ezetimibe for a minimum of 24 months look back.  </w:t>
      </w:r>
    </w:p>
    <w:p w14:paraId="1F0CD813" w14:textId="77777777" w:rsidR="0000686B" w:rsidRPr="00E631B0" w:rsidRDefault="0000686B" w:rsidP="000831ED">
      <w:pPr>
        <w:spacing w:line="240" w:lineRule="auto"/>
        <w:jc w:val="left"/>
        <w:rPr>
          <w:rFonts w:asciiTheme="minorHAnsi" w:hAnsiTheme="minorHAnsi"/>
        </w:rPr>
      </w:pPr>
      <w:r w:rsidRPr="00E631B0">
        <w:rPr>
          <w:rFonts w:asciiTheme="minorHAnsi" w:hAnsiTheme="minorHAnsi"/>
        </w:rPr>
        <w:t>The total eligible population of initiators to ezetimibe was then divided into two cohorts for analysis:</w:t>
      </w:r>
    </w:p>
    <w:p w14:paraId="4ACA1D1B" w14:textId="39E4F76C" w:rsidR="0000686B" w:rsidRPr="00E631B0" w:rsidRDefault="0000686B" w:rsidP="000831ED">
      <w:pPr>
        <w:numPr>
          <w:ilvl w:val="0"/>
          <w:numId w:val="10"/>
        </w:numPr>
        <w:spacing w:after="120" w:line="240" w:lineRule="auto"/>
        <w:ind w:left="714" w:hanging="357"/>
        <w:jc w:val="left"/>
        <w:rPr>
          <w:rFonts w:asciiTheme="minorHAnsi" w:hAnsiTheme="minorHAnsi"/>
        </w:rPr>
      </w:pPr>
      <w:r w:rsidRPr="00E631B0">
        <w:rPr>
          <w:rFonts w:asciiTheme="minorHAnsi" w:hAnsiTheme="minorHAnsi"/>
          <w:b/>
        </w:rPr>
        <w:t>Cohort 1</w:t>
      </w:r>
      <w:r w:rsidRPr="00E631B0">
        <w:rPr>
          <w:rFonts w:asciiTheme="minorHAnsi" w:hAnsiTheme="minorHAnsi"/>
        </w:rPr>
        <w:t xml:space="preserve"> – people who did not receive any dispensing for a C10 medicine (statin or other</w:t>
      </w:r>
      <w:r w:rsidR="00E730E1" w:rsidRPr="00E631B0">
        <w:rPr>
          <w:rFonts w:asciiTheme="minorHAnsi" w:hAnsiTheme="minorHAnsi"/>
        </w:rPr>
        <w:t xml:space="preserve"> LLT</w:t>
      </w:r>
      <w:r w:rsidRPr="00E631B0">
        <w:rPr>
          <w:rFonts w:asciiTheme="minorHAnsi" w:hAnsiTheme="minorHAnsi"/>
        </w:rPr>
        <w:t xml:space="preserve">) in the 24 months prior to initiation of ezetimibe.  </w:t>
      </w:r>
    </w:p>
    <w:p w14:paraId="46CB643C" w14:textId="77777777" w:rsidR="0000686B" w:rsidRPr="00E631B0" w:rsidRDefault="0000686B" w:rsidP="000831ED">
      <w:pPr>
        <w:numPr>
          <w:ilvl w:val="0"/>
          <w:numId w:val="10"/>
        </w:numPr>
        <w:spacing w:after="120" w:line="240" w:lineRule="auto"/>
        <w:ind w:left="714" w:hanging="357"/>
        <w:jc w:val="left"/>
        <w:rPr>
          <w:rFonts w:asciiTheme="minorHAnsi" w:hAnsiTheme="minorHAnsi"/>
        </w:rPr>
      </w:pPr>
      <w:r w:rsidRPr="00E631B0">
        <w:rPr>
          <w:rFonts w:asciiTheme="minorHAnsi" w:hAnsiTheme="minorHAnsi"/>
          <w:b/>
        </w:rPr>
        <w:t>Cohort 2</w:t>
      </w:r>
      <w:r w:rsidRPr="00E631B0">
        <w:rPr>
          <w:rFonts w:asciiTheme="minorHAnsi" w:hAnsiTheme="minorHAnsi"/>
        </w:rPr>
        <w:t xml:space="preserve"> – people who received one or more prescriptions of a C10 medicine in the 24 months prior to initiating ezetimibe.</w:t>
      </w:r>
    </w:p>
    <w:p w14:paraId="03D119F5" w14:textId="77777777" w:rsidR="0000686B" w:rsidRPr="00E631B0" w:rsidRDefault="0000686B" w:rsidP="000831ED">
      <w:pPr>
        <w:spacing w:line="240" w:lineRule="auto"/>
        <w:jc w:val="left"/>
        <w:rPr>
          <w:rFonts w:asciiTheme="minorHAnsi" w:hAnsiTheme="minorHAnsi"/>
        </w:rPr>
      </w:pPr>
      <w:r w:rsidRPr="00E631B0">
        <w:rPr>
          <w:rFonts w:asciiTheme="minorHAnsi" w:hAnsiTheme="minorHAnsi"/>
          <w:b/>
        </w:rPr>
        <w:t>Cohort 1 Analysis</w:t>
      </w:r>
      <w:r w:rsidRPr="00E631B0">
        <w:rPr>
          <w:rFonts w:asciiTheme="minorHAnsi" w:hAnsiTheme="minorHAnsi"/>
        </w:rPr>
        <w:t xml:space="preserve"> - included follow-up of all lipid lowering medicines dispensed in the 12 months post the ezetimibe index date. </w:t>
      </w:r>
    </w:p>
    <w:p w14:paraId="07DD7C69" w14:textId="1FF4BDEE" w:rsidR="0000686B" w:rsidRPr="00E631B0" w:rsidRDefault="0000686B" w:rsidP="000831ED">
      <w:pPr>
        <w:spacing w:line="240" w:lineRule="auto"/>
        <w:jc w:val="left"/>
        <w:rPr>
          <w:rFonts w:asciiTheme="minorHAnsi" w:hAnsiTheme="minorHAnsi"/>
        </w:rPr>
      </w:pPr>
      <w:r w:rsidRPr="00E631B0">
        <w:rPr>
          <w:rFonts w:asciiTheme="minorHAnsi" w:hAnsiTheme="minorHAnsi"/>
          <w:b/>
        </w:rPr>
        <w:t>Cohort 2 Analysis</w:t>
      </w:r>
      <w:r w:rsidRPr="00E631B0">
        <w:rPr>
          <w:rFonts w:asciiTheme="minorHAnsi" w:hAnsiTheme="minorHAnsi"/>
        </w:rPr>
        <w:t xml:space="preserve"> – prior use of </w:t>
      </w:r>
      <w:r w:rsidR="00E05DB4" w:rsidRPr="00E631B0">
        <w:rPr>
          <w:rFonts w:asciiTheme="minorHAnsi" w:hAnsiTheme="minorHAnsi"/>
        </w:rPr>
        <w:t xml:space="preserve">statins was analysed according </w:t>
      </w:r>
      <w:r w:rsidRPr="00E631B0">
        <w:rPr>
          <w:rFonts w:asciiTheme="minorHAnsi" w:hAnsiTheme="minorHAnsi"/>
        </w:rPr>
        <w:t>to</w:t>
      </w:r>
      <w:r w:rsidR="00E05DB4" w:rsidRPr="00E631B0">
        <w:rPr>
          <w:rFonts w:asciiTheme="minorHAnsi" w:hAnsiTheme="minorHAnsi"/>
        </w:rPr>
        <w:t>:</w:t>
      </w:r>
      <w:r w:rsidRPr="00E631B0">
        <w:rPr>
          <w:rFonts w:asciiTheme="minorHAnsi" w:hAnsiTheme="minorHAnsi"/>
        </w:rPr>
        <w:t xml:space="preserve"> the number of statins dispensed in the prior 24 months; the number of people continuously using </w:t>
      </w:r>
      <w:r w:rsidRPr="00E631B0">
        <w:rPr>
          <w:rFonts w:asciiTheme="minorHAnsi" w:hAnsiTheme="minorHAnsi"/>
        </w:rPr>
        <w:lastRenderedPageBreak/>
        <w:t xml:space="preserve">statins (three or more prescriptions) in the six months prior to ezetimibe initiation; and the number of people with a switch between statins or adjustment of statin dose. </w:t>
      </w:r>
    </w:p>
    <w:p w14:paraId="56FA88A8" w14:textId="77777777" w:rsidR="0000686B" w:rsidRPr="00E631B0" w:rsidRDefault="0000686B" w:rsidP="000831ED">
      <w:pPr>
        <w:spacing w:line="240" w:lineRule="auto"/>
        <w:jc w:val="left"/>
        <w:rPr>
          <w:rFonts w:asciiTheme="minorHAnsi" w:hAnsiTheme="minorHAnsi"/>
        </w:rPr>
      </w:pPr>
      <w:r w:rsidRPr="00E631B0">
        <w:rPr>
          <w:rFonts w:asciiTheme="minorHAnsi" w:hAnsiTheme="minorHAnsi"/>
        </w:rPr>
        <w:t>Following the ezetimibe index date, use of any C10 medicines was followed for 12 months for all individuals in Cohort 2.</w:t>
      </w:r>
    </w:p>
    <w:p w14:paraId="64597DEE" w14:textId="1DF9A58D" w:rsidR="0000686B" w:rsidRPr="00B34830" w:rsidRDefault="003848A8" w:rsidP="000831ED">
      <w:pPr>
        <w:pStyle w:val="Heading3"/>
        <w:jc w:val="left"/>
      </w:pPr>
      <w:bookmarkStart w:id="56" w:name="_Toc500510218"/>
      <w:r>
        <w:t>1</w:t>
      </w:r>
      <w:r w:rsidR="00C05E80">
        <w:t>.</w:t>
      </w:r>
      <w:r w:rsidR="0000686B" w:rsidRPr="00424CB2">
        <w:t>2.2</w:t>
      </w:r>
      <w:r w:rsidR="0000686B" w:rsidRPr="00424CB2">
        <w:tab/>
        <w:t xml:space="preserve">Results - </w:t>
      </w:r>
      <w:r w:rsidR="00A24486">
        <w:rPr>
          <w:rFonts w:eastAsia="Calibri" w:cs="Times New Roman"/>
          <w:szCs w:val="24"/>
        </w:rPr>
        <w:t xml:space="preserve">December 2016 </w:t>
      </w:r>
      <w:r w:rsidR="00341378">
        <w:rPr>
          <w:rFonts w:eastAsia="Calibri" w:cs="Times New Roman"/>
          <w:szCs w:val="24"/>
        </w:rPr>
        <w:t>a</w:t>
      </w:r>
      <w:r w:rsidR="00A24486" w:rsidRPr="00F45531">
        <w:rPr>
          <w:rFonts w:eastAsia="Calibri" w:cs="Times New Roman"/>
          <w:szCs w:val="24"/>
        </w:rPr>
        <w:t>nalysis</w:t>
      </w:r>
      <w:bookmarkEnd w:id="56"/>
      <w:r w:rsidR="00A24486" w:rsidRPr="00424CB2">
        <w:t xml:space="preserve"> </w:t>
      </w:r>
    </w:p>
    <w:p w14:paraId="5840F8B0" w14:textId="77777777" w:rsidR="0000686B" w:rsidRPr="00E631B0" w:rsidRDefault="0000686B" w:rsidP="000831ED">
      <w:pPr>
        <w:spacing w:line="240" w:lineRule="auto"/>
        <w:jc w:val="left"/>
        <w:rPr>
          <w:rFonts w:asciiTheme="minorHAnsi" w:hAnsiTheme="minorHAnsi"/>
        </w:rPr>
      </w:pPr>
      <w:r w:rsidRPr="00E631B0">
        <w:rPr>
          <w:rFonts w:asciiTheme="minorHAnsi" w:hAnsiTheme="minorHAnsi"/>
        </w:rPr>
        <w:t>A total of 45,645 patients were initiated on ezetimibe in the 12 months from April</w:t>
      </w:r>
      <w:r w:rsidR="00C02F41" w:rsidRPr="00E631B0">
        <w:rPr>
          <w:rFonts w:asciiTheme="minorHAnsi" w:hAnsiTheme="minorHAnsi"/>
        </w:rPr>
        <w:t> </w:t>
      </w:r>
      <w:r w:rsidRPr="00E631B0">
        <w:rPr>
          <w:rFonts w:asciiTheme="minorHAnsi" w:hAnsiTheme="minorHAnsi"/>
        </w:rPr>
        <w:t>2014 to March 2015. Just over 15% (n=6,938) of these patients had no prior dispensing for any lipid lowering medicines in the previous 24 months (</w:t>
      </w:r>
      <w:r w:rsidRPr="00E631B0">
        <w:rPr>
          <w:rFonts w:asciiTheme="minorHAnsi" w:hAnsiTheme="minorHAnsi"/>
          <w:b/>
        </w:rPr>
        <w:t>Cohort 1</w:t>
      </w:r>
      <w:r w:rsidRPr="00E631B0">
        <w:rPr>
          <w:rFonts w:asciiTheme="minorHAnsi" w:hAnsiTheme="minorHAnsi"/>
        </w:rPr>
        <w:t>); 85% (n=38,707) had received at least one prescription for a C10 medicine (</w:t>
      </w:r>
      <w:r w:rsidRPr="00E631B0">
        <w:rPr>
          <w:rFonts w:asciiTheme="minorHAnsi" w:hAnsiTheme="minorHAnsi"/>
          <w:b/>
        </w:rPr>
        <w:t>Cohort 2</w:t>
      </w:r>
      <w:r w:rsidRPr="00E631B0">
        <w:rPr>
          <w:rFonts w:asciiTheme="minorHAnsi" w:hAnsiTheme="minorHAnsi"/>
        </w:rPr>
        <w:t>).</w:t>
      </w:r>
    </w:p>
    <w:p w14:paraId="4F9160FD" w14:textId="77777777" w:rsidR="0000686B" w:rsidRPr="00E631B0" w:rsidRDefault="0000686B" w:rsidP="000831ED">
      <w:pPr>
        <w:spacing w:line="240" w:lineRule="auto"/>
        <w:jc w:val="left"/>
        <w:rPr>
          <w:rFonts w:asciiTheme="minorHAnsi" w:hAnsiTheme="minorHAnsi"/>
        </w:rPr>
      </w:pPr>
      <w:r w:rsidRPr="00E631B0">
        <w:rPr>
          <w:rFonts w:asciiTheme="minorHAnsi" w:hAnsiTheme="minorHAnsi"/>
        </w:rPr>
        <w:t>A summary of the population first prescribed ezeti</w:t>
      </w:r>
      <w:r w:rsidR="00C02F41" w:rsidRPr="00E631B0">
        <w:rPr>
          <w:rFonts w:asciiTheme="minorHAnsi" w:hAnsiTheme="minorHAnsi"/>
        </w:rPr>
        <w:t>mibe between 1 April 2014 and 1 </w:t>
      </w:r>
      <w:r w:rsidRPr="00E631B0">
        <w:rPr>
          <w:rFonts w:asciiTheme="minorHAnsi" w:hAnsiTheme="minorHAnsi"/>
        </w:rPr>
        <w:t>April 2015 is shown in the following table:</w:t>
      </w:r>
    </w:p>
    <w:p w14:paraId="174296B7" w14:textId="77777777" w:rsidR="0000686B" w:rsidRPr="00E12EF9" w:rsidRDefault="0000686B" w:rsidP="00382D53">
      <w:pPr>
        <w:pStyle w:val="TableName"/>
      </w:pPr>
      <w:r w:rsidRPr="00AE1E65">
        <w:t>Table 3:</w:t>
      </w:r>
      <w:r w:rsidRPr="00E12EF9">
        <w:t xml:space="preserve"> Summary of the population first prescribed ezetimibe in the base year</w:t>
      </w:r>
    </w:p>
    <w:tbl>
      <w:tblPr>
        <w:tblW w:w="0" w:type="auto"/>
        <w:tblLook w:val="04A0" w:firstRow="1" w:lastRow="0" w:firstColumn="1" w:lastColumn="0" w:noHBand="0" w:noVBand="1"/>
        <w:tblCaption w:val="Summary of the population first prescribed ezetimibe in the base year"/>
      </w:tblPr>
      <w:tblGrid>
        <w:gridCol w:w="1281"/>
        <w:gridCol w:w="1595"/>
        <w:gridCol w:w="2787"/>
        <w:gridCol w:w="2859"/>
      </w:tblGrid>
      <w:tr w:rsidR="0000686B" w:rsidRPr="00475263" w14:paraId="1B937DED" w14:textId="77777777" w:rsidTr="005879E3">
        <w:tc>
          <w:tcPr>
            <w:tcW w:w="1355" w:type="dxa"/>
            <w:shd w:val="clear" w:color="auto" w:fill="BFBFBF" w:themeFill="background1" w:themeFillShade="BF"/>
          </w:tcPr>
          <w:p w14:paraId="709CA4EC" w14:textId="77777777" w:rsidR="0000686B" w:rsidRPr="00475263" w:rsidRDefault="00E05DB4" w:rsidP="00203087">
            <w:pPr>
              <w:spacing w:before="60" w:after="60"/>
              <w:jc w:val="left"/>
              <w:rPr>
                <w:rFonts w:asciiTheme="minorHAnsi" w:hAnsiTheme="minorHAnsi"/>
                <w:b/>
              </w:rPr>
            </w:pPr>
            <w:r>
              <w:rPr>
                <w:rFonts w:asciiTheme="minorHAnsi" w:hAnsiTheme="minorHAnsi"/>
                <w:b/>
              </w:rPr>
              <w:t>Cohort No.</w:t>
            </w:r>
          </w:p>
        </w:tc>
        <w:tc>
          <w:tcPr>
            <w:tcW w:w="1703" w:type="dxa"/>
            <w:shd w:val="clear" w:color="auto" w:fill="BFBFBF" w:themeFill="background1" w:themeFillShade="BF"/>
          </w:tcPr>
          <w:p w14:paraId="446FE5A6" w14:textId="0B27292F" w:rsidR="0000686B" w:rsidRPr="00475263" w:rsidRDefault="00E05DB4" w:rsidP="00203087">
            <w:pPr>
              <w:spacing w:before="60" w:after="60"/>
              <w:jc w:val="left"/>
              <w:rPr>
                <w:rFonts w:asciiTheme="minorHAnsi" w:hAnsiTheme="minorHAnsi"/>
                <w:b/>
              </w:rPr>
            </w:pPr>
            <w:r>
              <w:rPr>
                <w:rFonts w:asciiTheme="minorHAnsi" w:hAnsiTheme="minorHAnsi"/>
                <w:b/>
              </w:rPr>
              <w:t>No.</w:t>
            </w:r>
            <w:r w:rsidR="0000686B" w:rsidRPr="00475263">
              <w:rPr>
                <w:rFonts w:asciiTheme="minorHAnsi" w:hAnsiTheme="minorHAnsi"/>
                <w:b/>
              </w:rPr>
              <w:t xml:space="preserve"> of patients </w:t>
            </w:r>
          </w:p>
        </w:tc>
        <w:tc>
          <w:tcPr>
            <w:tcW w:w="3033" w:type="dxa"/>
            <w:shd w:val="clear" w:color="auto" w:fill="BFBFBF" w:themeFill="background1" w:themeFillShade="BF"/>
          </w:tcPr>
          <w:p w14:paraId="13C9EB26" w14:textId="77777777" w:rsidR="0000686B" w:rsidRPr="00475263" w:rsidRDefault="0000686B" w:rsidP="00203087">
            <w:pPr>
              <w:spacing w:before="60" w:after="60"/>
              <w:jc w:val="left"/>
              <w:rPr>
                <w:rFonts w:asciiTheme="minorHAnsi" w:hAnsiTheme="minorHAnsi"/>
                <w:b/>
              </w:rPr>
            </w:pPr>
            <w:r w:rsidRPr="00475263">
              <w:rPr>
                <w:rFonts w:asciiTheme="minorHAnsi" w:hAnsiTheme="minorHAnsi"/>
                <w:b/>
              </w:rPr>
              <w:t>Mean number (SD) of statin prescriptions dispensed in 24</w:t>
            </w:r>
            <w:r>
              <w:rPr>
                <w:rFonts w:asciiTheme="minorHAnsi" w:hAnsiTheme="minorHAnsi"/>
                <w:b/>
              </w:rPr>
              <w:t> </w:t>
            </w:r>
            <w:r w:rsidRPr="00475263">
              <w:rPr>
                <w:rFonts w:asciiTheme="minorHAnsi" w:hAnsiTheme="minorHAnsi"/>
                <w:b/>
              </w:rPr>
              <w:t>months prior to ezetimibe initiation</w:t>
            </w:r>
          </w:p>
        </w:tc>
        <w:tc>
          <w:tcPr>
            <w:tcW w:w="3118" w:type="dxa"/>
            <w:shd w:val="clear" w:color="auto" w:fill="BFBFBF" w:themeFill="background1" w:themeFillShade="BF"/>
          </w:tcPr>
          <w:p w14:paraId="444EBC1D" w14:textId="77777777" w:rsidR="0000686B" w:rsidRPr="00475263" w:rsidRDefault="0000686B" w:rsidP="00203087">
            <w:pPr>
              <w:spacing w:before="60" w:after="60"/>
              <w:jc w:val="left"/>
              <w:rPr>
                <w:rFonts w:asciiTheme="minorHAnsi" w:hAnsiTheme="minorHAnsi"/>
                <w:b/>
              </w:rPr>
            </w:pPr>
            <w:r w:rsidRPr="00475263">
              <w:rPr>
                <w:rFonts w:asciiTheme="minorHAnsi" w:hAnsiTheme="minorHAnsi"/>
                <w:b/>
              </w:rPr>
              <w:t>Mean number (SD) of non-statin prescriptions dispensed in 24</w:t>
            </w:r>
            <w:r>
              <w:rPr>
                <w:rFonts w:asciiTheme="minorHAnsi" w:hAnsiTheme="minorHAnsi"/>
                <w:b/>
              </w:rPr>
              <w:t> </w:t>
            </w:r>
            <w:r w:rsidRPr="00475263">
              <w:rPr>
                <w:rFonts w:asciiTheme="minorHAnsi" w:hAnsiTheme="minorHAnsi"/>
                <w:b/>
              </w:rPr>
              <w:t>months prior to ezetimibe initiation</w:t>
            </w:r>
          </w:p>
        </w:tc>
      </w:tr>
      <w:tr w:rsidR="0000686B" w:rsidRPr="00475263" w14:paraId="794BDEB1" w14:textId="77777777" w:rsidTr="00382D53">
        <w:tc>
          <w:tcPr>
            <w:tcW w:w="1355" w:type="dxa"/>
          </w:tcPr>
          <w:p w14:paraId="0452BB54" w14:textId="77777777" w:rsidR="0000686B" w:rsidRPr="00475263" w:rsidRDefault="0000686B" w:rsidP="00514129">
            <w:pPr>
              <w:spacing w:before="60" w:after="60"/>
              <w:rPr>
                <w:rFonts w:asciiTheme="minorHAnsi" w:hAnsiTheme="minorHAnsi"/>
              </w:rPr>
            </w:pPr>
            <w:r w:rsidRPr="00475263">
              <w:rPr>
                <w:rFonts w:asciiTheme="minorHAnsi" w:hAnsiTheme="minorHAnsi"/>
              </w:rPr>
              <w:t>Cohort 1</w:t>
            </w:r>
          </w:p>
        </w:tc>
        <w:tc>
          <w:tcPr>
            <w:tcW w:w="1703" w:type="dxa"/>
          </w:tcPr>
          <w:p w14:paraId="74E92AE7"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6,938 (15%)</w:t>
            </w:r>
          </w:p>
        </w:tc>
        <w:tc>
          <w:tcPr>
            <w:tcW w:w="3033" w:type="dxa"/>
          </w:tcPr>
          <w:p w14:paraId="301FD243"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0</w:t>
            </w:r>
          </w:p>
          <w:p w14:paraId="4FD20EDC" w14:textId="77777777" w:rsidR="0000686B" w:rsidRPr="00475263" w:rsidRDefault="0000686B" w:rsidP="00514129">
            <w:pPr>
              <w:spacing w:before="60" w:after="60"/>
              <w:rPr>
                <w:rFonts w:asciiTheme="minorHAnsi" w:hAnsiTheme="minorHAnsi"/>
              </w:rPr>
            </w:pPr>
          </w:p>
        </w:tc>
        <w:tc>
          <w:tcPr>
            <w:tcW w:w="3118" w:type="dxa"/>
          </w:tcPr>
          <w:p w14:paraId="4890E271"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0</w:t>
            </w:r>
          </w:p>
        </w:tc>
      </w:tr>
      <w:tr w:rsidR="0000686B" w:rsidRPr="00475263" w14:paraId="496409A8" w14:textId="77777777" w:rsidTr="00382D53">
        <w:tc>
          <w:tcPr>
            <w:tcW w:w="1355" w:type="dxa"/>
          </w:tcPr>
          <w:p w14:paraId="6EAB1DBD"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Cohort 2</w:t>
            </w:r>
          </w:p>
        </w:tc>
        <w:tc>
          <w:tcPr>
            <w:tcW w:w="1703" w:type="dxa"/>
          </w:tcPr>
          <w:p w14:paraId="35A0DC03"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38,707 (85%)</w:t>
            </w:r>
          </w:p>
        </w:tc>
        <w:tc>
          <w:tcPr>
            <w:tcW w:w="3033" w:type="dxa"/>
          </w:tcPr>
          <w:p w14:paraId="77253EC5"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Mean: 13.49±8.425</w:t>
            </w:r>
          </w:p>
          <w:p w14:paraId="6AE60A0B"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 xml:space="preserve">Median (IQR): 14 (6-21) </w:t>
            </w:r>
          </w:p>
        </w:tc>
        <w:tc>
          <w:tcPr>
            <w:tcW w:w="3118" w:type="dxa"/>
          </w:tcPr>
          <w:p w14:paraId="161C3937"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Mean: 0.98±3.966</w:t>
            </w:r>
          </w:p>
          <w:p w14:paraId="53CBB823"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 xml:space="preserve">Median (IQR): 0 (0-0) </w:t>
            </w:r>
          </w:p>
        </w:tc>
      </w:tr>
      <w:tr w:rsidR="0000686B" w:rsidRPr="00475263" w14:paraId="7FDF7E1F" w14:textId="77777777" w:rsidTr="00382D53">
        <w:tc>
          <w:tcPr>
            <w:tcW w:w="1355" w:type="dxa"/>
          </w:tcPr>
          <w:p w14:paraId="1DD33DF0"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b/>
              </w:rPr>
              <w:t xml:space="preserve">Total </w:t>
            </w:r>
          </w:p>
        </w:tc>
        <w:tc>
          <w:tcPr>
            <w:tcW w:w="1703" w:type="dxa"/>
          </w:tcPr>
          <w:p w14:paraId="4BFBD3BD"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45,645 (100%)</w:t>
            </w:r>
          </w:p>
        </w:tc>
        <w:tc>
          <w:tcPr>
            <w:tcW w:w="3033" w:type="dxa"/>
          </w:tcPr>
          <w:p w14:paraId="16F6D24E"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w:t>
            </w:r>
          </w:p>
        </w:tc>
        <w:tc>
          <w:tcPr>
            <w:tcW w:w="3118" w:type="dxa"/>
          </w:tcPr>
          <w:p w14:paraId="15EEA93E" w14:textId="77777777" w:rsidR="0000686B" w:rsidRPr="00475263" w:rsidRDefault="0000686B" w:rsidP="00514129">
            <w:pPr>
              <w:spacing w:before="60" w:after="60"/>
              <w:rPr>
                <w:rFonts w:asciiTheme="minorHAnsi" w:hAnsiTheme="minorHAnsi"/>
                <w:b/>
                <w:i/>
                <w:color w:val="000000"/>
                <w:u w:val="single"/>
              </w:rPr>
            </w:pPr>
            <w:r w:rsidRPr="00475263">
              <w:rPr>
                <w:rFonts w:asciiTheme="minorHAnsi" w:hAnsiTheme="minorHAnsi"/>
              </w:rPr>
              <w:t>-</w:t>
            </w:r>
          </w:p>
        </w:tc>
      </w:tr>
    </w:tbl>
    <w:p w14:paraId="3BF659DB" w14:textId="77777777" w:rsidR="0000686B" w:rsidRPr="005869C5" w:rsidRDefault="0000686B" w:rsidP="00514129">
      <w:pPr>
        <w:spacing w:after="0" w:line="240" w:lineRule="auto"/>
        <w:rPr>
          <w:rFonts w:asciiTheme="minorHAnsi" w:hAnsiTheme="minorHAnsi"/>
          <w:sz w:val="20"/>
          <w:szCs w:val="20"/>
        </w:rPr>
      </w:pPr>
      <w:r w:rsidRPr="00712627">
        <w:rPr>
          <w:rFonts w:asciiTheme="minorHAnsi" w:hAnsiTheme="minorHAnsi"/>
          <w:sz w:val="20"/>
          <w:szCs w:val="20"/>
        </w:rPr>
        <w:t xml:space="preserve">SD=standard deviation; IQR=interquartile range, Cohort 1: no prior dispensing for any lipid lowering medicines in the previous 24 months, Cohort 2: received at least one prescription for a C10 </w:t>
      </w:r>
      <w:r w:rsidRPr="005869C5">
        <w:rPr>
          <w:rFonts w:asciiTheme="minorHAnsi" w:hAnsiTheme="minorHAnsi"/>
          <w:sz w:val="20"/>
          <w:szCs w:val="20"/>
        </w:rPr>
        <w:t>medicine in the previous 24 months</w:t>
      </w:r>
    </w:p>
    <w:p w14:paraId="74E2044A" w14:textId="77777777" w:rsidR="0000686B" w:rsidRPr="005869C5" w:rsidRDefault="0000686B" w:rsidP="00514129">
      <w:pPr>
        <w:spacing w:line="240" w:lineRule="auto"/>
        <w:rPr>
          <w:rFonts w:asciiTheme="minorHAnsi" w:hAnsiTheme="minorHAnsi"/>
          <w:sz w:val="20"/>
          <w:szCs w:val="20"/>
        </w:rPr>
      </w:pPr>
      <w:r w:rsidRPr="005869C5">
        <w:rPr>
          <w:rFonts w:asciiTheme="minorHAnsi" w:hAnsiTheme="minorHAnsi"/>
          <w:sz w:val="20"/>
          <w:szCs w:val="20"/>
        </w:rPr>
        <w:t xml:space="preserve">Source: Ezetimibe Review Analysis of Utilisation Data, CPHR Table </w:t>
      </w:r>
      <w:r w:rsidR="00D8435F" w:rsidRPr="005869C5">
        <w:rPr>
          <w:rFonts w:asciiTheme="minorHAnsi" w:hAnsiTheme="minorHAnsi"/>
          <w:sz w:val="20"/>
          <w:szCs w:val="20"/>
        </w:rPr>
        <w:t>4.1</w:t>
      </w:r>
      <w:r w:rsidRPr="005869C5">
        <w:rPr>
          <w:rFonts w:asciiTheme="minorHAnsi" w:hAnsiTheme="minorHAnsi"/>
          <w:sz w:val="20"/>
          <w:szCs w:val="20"/>
        </w:rPr>
        <w:t>, p</w:t>
      </w:r>
      <w:r w:rsidR="00D8435F" w:rsidRPr="005869C5">
        <w:rPr>
          <w:rFonts w:asciiTheme="minorHAnsi" w:hAnsiTheme="minorHAnsi"/>
          <w:sz w:val="20"/>
          <w:szCs w:val="20"/>
        </w:rPr>
        <w:t>1</w:t>
      </w:r>
      <w:r w:rsidR="009F67BC" w:rsidRPr="005869C5">
        <w:rPr>
          <w:rFonts w:asciiTheme="minorHAnsi" w:hAnsiTheme="minorHAnsi"/>
          <w:sz w:val="20"/>
          <w:szCs w:val="20"/>
        </w:rPr>
        <w:t>3</w:t>
      </w:r>
      <w:r w:rsidRPr="005869C5">
        <w:rPr>
          <w:rFonts w:asciiTheme="minorHAnsi" w:hAnsiTheme="minorHAnsi"/>
          <w:sz w:val="20"/>
          <w:szCs w:val="20"/>
        </w:rPr>
        <w:t xml:space="preserve"> </w:t>
      </w:r>
    </w:p>
    <w:p w14:paraId="1DCB9401" w14:textId="77777777" w:rsidR="0000686B" w:rsidRPr="005869C5" w:rsidRDefault="003848A8" w:rsidP="00382D53">
      <w:pPr>
        <w:pStyle w:val="Heading4new"/>
      </w:pPr>
      <w:r w:rsidRPr="005869C5">
        <w:t>1</w:t>
      </w:r>
      <w:r w:rsidR="00C05E80" w:rsidRPr="005869C5">
        <w:t>.</w:t>
      </w:r>
      <w:r w:rsidR="0000686B" w:rsidRPr="005869C5">
        <w:t>2.2.1</w:t>
      </w:r>
      <w:r w:rsidR="0000686B" w:rsidRPr="005869C5">
        <w:tab/>
        <w:t>Statin utilisation prior to ezetimibe (Cohort 2)</w:t>
      </w:r>
    </w:p>
    <w:p w14:paraId="25F9AD47" w14:textId="77777777" w:rsidR="0000686B" w:rsidRPr="00E631B0" w:rsidRDefault="0000686B" w:rsidP="000831ED">
      <w:pPr>
        <w:spacing w:line="240" w:lineRule="auto"/>
        <w:jc w:val="left"/>
        <w:rPr>
          <w:rFonts w:asciiTheme="minorHAnsi" w:hAnsiTheme="minorHAnsi"/>
        </w:rPr>
      </w:pPr>
      <w:r w:rsidRPr="00E631B0">
        <w:rPr>
          <w:rFonts w:asciiTheme="minorHAnsi" w:hAnsiTheme="minorHAnsi"/>
        </w:rPr>
        <w:t xml:space="preserve">In order to examine the question of whether or not patients were being treated optimally with statin therapy, the pattern of supply of statin prescriptions in the six months prior to initiation of ezetimibe for each patient was examined in detail. The results are presented in Table </w:t>
      </w:r>
      <w:r w:rsidR="004529EF" w:rsidRPr="00E631B0">
        <w:rPr>
          <w:rFonts w:asciiTheme="minorHAnsi" w:hAnsiTheme="minorHAnsi"/>
        </w:rPr>
        <w:t>4</w:t>
      </w:r>
      <w:r w:rsidRPr="00E631B0">
        <w:rPr>
          <w:rFonts w:asciiTheme="minorHAnsi" w:hAnsiTheme="minorHAnsi"/>
        </w:rPr>
        <w:t xml:space="preserve"> below. Continuous treatment was defined as 3 or more supplies in the six months prior to index ezetimibe. This is a conservative assumption to allow for patients who may have some additional prescription supplies on hand due to stockpiling that typically occurs around the end of the calendar year.</w:t>
      </w:r>
    </w:p>
    <w:p w14:paraId="76793822" w14:textId="77777777" w:rsidR="0000686B" w:rsidRPr="00F404A5" w:rsidRDefault="0000686B" w:rsidP="00382D53">
      <w:pPr>
        <w:pStyle w:val="TableName"/>
      </w:pPr>
      <w:r w:rsidRPr="00AE1E65">
        <w:lastRenderedPageBreak/>
        <w:t>Table 4: Distribution of Cohort 2 patients across the number of dispensed statin prescriptions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stribution of Cohort 2 patients across the number of dispensed statin prescriptions"/>
        <w:tblDescription w:val="Key findings are described in the text below."/>
      </w:tblPr>
      <w:tblGrid>
        <w:gridCol w:w="4402"/>
        <w:gridCol w:w="4120"/>
      </w:tblGrid>
      <w:tr w:rsidR="0000686B" w:rsidRPr="005869C5" w14:paraId="650F39AA" w14:textId="77777777" w:rsidTr="005879E3">
        <w:tc>
          <w:tcPr>
            <w:tcW w:w="4402" w:type="dxa"/>
            <w:shd w:val="clear" w:color="auto" w:fill="BFBFBF" w:themeFill="background1" w:themeFillShade="BF"/>
          </w:tcPr>
          <w:p w14:paraId="236B6B29" w14:textId="77777777" w:rsidR="0000686B" w:rsidRPr="005869C5" w:rsidRDefault="0000686B" w:rsidP="00514129">
            <w:pPr>
              <w:spacing w:before="60" w:after="60"/>
              <w:rPr>
                <w:rFonts w:asciiTheme="minorHAnsi" w:hAnsiTheme="minorHAnsi"/>
              </w:rPr>
            </w:pPr>
            <w:r w:rsidRPr="005869C5">
              <w:rPr>
                <w:rFonts w:asciiTheme="minorHAnsi" w:hAnsiTheme="minorHAnsi"/>
              </w:rPr>
              <w:t>Number of statin prescriptions dispensed in 6 months prior to ezetimibe initiation</w:t>
            </w:r>
          </w:p>
        </w:tc>
        <w:tc>
          <w:tcPr>
            <w:tcW w:w="4120" w:type="dxa"/>
            <w:shd w:val="clear" w:color="auto" w:fill="BFBFBF" w:themeFill="background1" w:themeFillShade="BF"/>
          </w:tcPr>
          <w:p w14:paraId="6AFAD2A4" w14:textId="77777777" w:rsidR="0000686B" w:rsidRPr="005869C5" w:rsidRDefault="0000686B" w:rsidP="00514129">
            <w:pPr>
              <w:spacing w:before="60" w:after="60"/>
              <w:rPr>
                <w:rFonts w:asciiTheme="minorHAnsi" w:hAnsiTheme="minorHAnsi"/>
              </w:rPr>
            </w:pPr>
            <w:r w:rsidRPr="005869C5">
              <w:rPr>
                <w:rFonts w:asciiTheme="minorHAnsi" w:hAnsiTheme="minorHAnsi"/>
              </w:rPr>
              <w:t>Number/Proportion of patients</w:t>
            </w:r>
          </w:p>
          <w:p w14:paraId="336FDA1C" w14:textId="77777777" w:rsidR="0000686B" w:rsidRPr="005869C5" w:rsidRDefault="0000686B" w:rsidP="00514129">
            <w:pPr>
              <w:spacing w:before="60" w:after="60"/>
              <w:rPr>
                <w:rFonts w:asciiTheme="minorHAnsi" w:hAnsiTheme="minorHAnsi"/>
              </w:rPr>
            </w:pPr>
          </w:p>
        </w:tc>
      </w:tr>
      <w:tr w:rsidR="0000686B" w:rsidRPr="005869C5" w14:paraId="46DD7692" w14:textId="77777777" w:rsidTr="005879E3">
        <w:trPr>
          <w:trHeight w:val="353"/>
        </w:trPr>
        <w:tc>
          <w:tcPr>
            <w:tcW w:w="8522" w:type="dxa"/>
            <w:gridSpan w:val="2"/>
          </w:tcPr>
          <w:p w14:paraId="14241244" w14:textId="77777777" w:rsidR="0000686B" w:rsidRPr="005869C5" w:rsidRDefault="0000686B" w:rsidP="00514129">
            <w:pPr>
              <w:spacing w:before="60" w:after="60"/>
              <w:rPr>
                <w:rFonts w:asciiTheme="minorHAnsi" w:hAnsiTheme="minorHAnsi"/>
                <w:b/>
                <w:i/>
              </w:rPr>
            </w:pPr>
            <w:r w:rsidRPr="005869C5">
              <w:rPr>
                <w:rFonts w:asciiTheme="minorHAnsi" w:hAnsiTheme="minorHAnsi"/>
                <w:b/>
                <w:i/>
              </w:rPr>
              <w:t xml:space="preserve">New to statin </w:t>
            </w:r>
            <w:r w:rsidR="003F547B" w:rsidRPr="005869C5">
              <w:rPr>
                <w:rFonts w:asciiTheme="minorHAnsi" w:hAnsiTheme="minorHAnsi"/>
                <w:b/>
                <w:i/>
              </w:rPr>
              <w:t>therapy i.e. no statin dispensed in the period 6 to 24 months prior to  ezetimibe initiation</w:t>
            </w:r>
          </w:p>
        </w:tc>
      </w:tr>
      <w:tr w:rsidR="0000686B" w:rsidRPr="005869C5" w14:paraId="1FE16936" w14:textId="77777777" w:rsidTr="005879E3">
        <w:tc>
          <w:tcPr>
            <w:tcW w:w="4402" w:type="dxa"/>
          </w:tcPr>
          <w:p w14:paraId="391A9DE6"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One-two statin prescriptions dispensed</w:t>
            </w:r>
          </w:p>
        </w:tc>
        <w:tc>
          <w:tcPr>
            <w:tcW w:w="4120" w:type="dxa"/>
          </w:tcPr>
          <w:p w14:paraId="4D2858BF"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b/>
              </w:rPr>
              <w:t>1,883 (4.9%)</w:t>
            </w:r>
          </w:p>
        </w:tc>
      </w:tr>
      <w:tr w:rsidR="0000686B" w:rsidRPr="005869C5" w14:paraId="5346031C" w14:textId="77777777" w:rsidTr="005879E3">
        <w:tc>
          <w:tcPr>
            <w:tcW w:w="8522" w:type="dxa"/>
            <w:gridSpan w:val="2"/>
          </w:tcPr>
          <w:p w14:paraId="258DFD95" w14:textId="77777777" w:rsidR="0000686B" w:rsidRPr="005869C5" w:rsidRDefault="003F547B" w:rsidP="00514129">
            <w:pPr>
              <w:spacing w:before="60" w:after="60"/>
              <w:rPr>
                <w:rFonts w:asciiTheme="minorHAnsi" w:hAnsiTheme="minorHAnsi"/>
                <w:b/>
                <w:i/>
                <w:color w:val="000000"/>
                <w:u w:val="single"/>
              </w:rPr>
            </w:pPr>
            <w:r w:rsidRPr="005869C5">
              <w:rPr>
                <w:rFonts w:asciiTheme="minorHAnsi" w:hAnsiTheme="minorHAnsi"/>
                <w:b/>
                <w:i/>
              </w:rPr>
              <w:t xml:space="preserve">Commenced statin therapy more than 6 months prior, and </w:t>
            </w:r>
            <w:r w:rsidR="0000686B" w:rsidRPr="005869C5">
              <w:rPr>
                <w:rFonts w:asciiTheme="minorHAnsi" w:hAnsiTheme="minorHAnsi"/>
                <w:b/>
                <w:i/>
              </w:rPr>
              <w:t>≥ 3  statin script dispensed (continuous treatment)</w:t>
            </w:r>
            <w:r w:rsidRPr="005869C5">
              <w:rPr>
                <w:rFonts w:asciiTheme="minorHAnsi" w:hAnsiTheme="minorHAnsi"/>
                <w:b/>
                <w:i/>
              </w:rPr>
              <w:t xml:space="preserve"> in the 6 months prior to ezetimibe initiation</w:t>
            </w:r>
          </w:p>
        </w:tc>
      </w:tr>
      <w:tr w:rsidR="0000686B" w:rsidRPr="005869C5" w14:paraId="5CE668B6" w14:textId="77777777" w:rsidTr="005879E3">
        <w:tc>
          <w:tcPr>
            <w:tcW w:w="4402" w:type="dxa"/>
          </w:tcPr>
          <w:p w14:paraId="3FF23C0A"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Three statin prescriptions dispensed</w:t>
            </w:r>
          </w:p>
        </w:tc>
        <w:tc>
          <w:tcPr>
            <w:tcW w:w="4120" w:type="dxa"/>
          </w:tcPr>
          <w:p w14:paraId="4AF61091"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3,707 (9.6%)</w:t>
            </w:r>
          </w:p>
        </w:tc>
      </w:tr>
      <w:tr w:rsidR="0000686B" w:rsidRPr="005869C5" w14:paraId="66B1DD88" w14:textId="77777777" w:rsidTr="005879E3">
        <w:tc>
          <w:tcPr>
            <w:tcW w:w="4402" w:type="dxa"/>
          </w:tcPr>
          <w:p w14:paraId="0E4BE663"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Four statin prescriptions dispensed</w:t>
            </w:r>
          </w:p>
        </w:tc>
        <w:tc>
          <w:tcPr>
            <w:tcW w:w="4120" w:type="dxa"/>
          </w:tcPr>
          <w:p w14:paraId="10D21665"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4,010 (10.3%)</w:t>
            </w:r>
          </w:p>
        </w:tc>
      </w:tr>
      <w:tr w:rsidR="0000686B" w:rsidRPr="005869C5" w14:paraId="451C21C9" w14:textId="77777777" w:rsidTr="005879E3">
        <w:tc>
          <w:tcPr>
            <w:tcW w:w="4402" w:type="dxa"/>
          </w:tcPr>
          <w:p w14:paraId="508C9720"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 xml:space="preserve">Five statin prescriptions dispensed </w:t>
            </w:r>
          </w:p>
        </w:tc>
        <w:tc>
          <w:tcPr>
            <w:tcW w:w="4120" w:type="dxa"/>
          </w:tcPr>
          <w:p w14:paraId="3C8E95F8"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6,275 (16.2%)</w:t>
            </w:r>
          </w:p>
        </w:tc>
      </w:tr>
      <w:tr w:rsidR="0000686B" w:rsidRPr="005869C5" w14:paraId="470C83C0" w14:textId="77777777" w:rsidTr="005879E3">
        <w:tc>
          <w:tcPr>
            <w:tcW w:w="4402" w:type="dxa"/>
          </w:tcPr>
          <w:p w14:paraId="6348FBED"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Six statin prescriptions dispensed</w:t>
            </w:r>
          </w:p>
        </w:tc>
        <w:tc>
          <w:tcPr>
            <w:tcW w:w="4120" w:type="dxa"/>
          </w:tcPr>
          <w:p w14:paraId="01F5A01F"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6,537 (16.9%)</w:t>
            </w:r>
          </w:p>
        </w:tc>
      </w:tr>
      <w:tr w:rsidR="0000686B" w:rsidRPr="005869C5" w14:paraId="3FCAC565" w14:textId="77777777" w:rsidTr="005879E3">
        <w:tc>
          <w:tcPr>
            <w:tcW w:w="4402" w:type="dxa"/>
          </w:tcPr>
          <w:p w14:paraId="46274953"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&gt;six statin prescriptions dispensed</w:t>
            </w:r>
          </w:p>
        </w:tc>
        <w:tc>
          <w:tcPr>
            <w:tcW w:w="4120" w:type="dxa"/>
          </w:tcPr>
          <w:p w14:paraId="6C34C732"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1,834 (4.7%)</w:t>
            </w:r>
          </w:p>
        </w:tc>
      </w:tr>
      <w:tr w:rsidR="0000686B" w:rsidRPr="005869C5" w14:paraId="3421FFB1" w14:textId="77777777" w:rsidTr="005879E3">
        <w:tc>
          <w:tcPr>
            <w:tcW w:w="4402" w:type="dxa"/>
          </w:tcPr>
          <w:p w14:paraId="610393AC"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b/>
              </w:rPr>
              <w:t>Sub-total</w:t>
            </w:r>
          </w:p>
        </w:tc>
        <w:tc>
          <w:tcPr>
            <w:tcW w:w="4120" w:type="dxa"/>
          </w:tcPr>
          <w:p w14:paraId="61452179"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b/>
              </w:rPr>
              <w:t>24,246 (57.7%)</w:t>
            </w:r>
          </w:p>
        </w:tc>
      </w:tr>
      <w:tr w:rsidR="0000686B" w:rsidRPr="005869C5" w14:paraId="34C74A3D" w14:textId="77777777" w:rsidTr="005879E3">
        <w:tc>
          <w:tcPr>
            <w:tcW w:w="4402" w:type="dxa"/>
          </w:tcPr>
          <w:p w14:paraId="175AEFE3"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Less than three prescriptions dispensed*</w:t>
            </w:r>
          </w:p>
        </w:tc>
        <w:tc>
          <w:tcPr>
            <w:tcW w:w="4120" w:type="dxa"/>
          </w:tcPr>
          <w:p w14:paraId="16B18EFD"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rPr>
              <w:t>14,461 (37.4%)</w:t>
            </w:r>
          </w:p>
        </w:tc>
      </w:tr>
      <w:tr w:rsidR="0000686B" w:rsidRPr="005869C5" w14:paraId="6ABB2260" w14:textId="77777777" w:rsidTr="005879E3">
        <w:tc>
          <w:tcPr>
            <w:tcW w:w="4402" w:type="dxa"/>
          </w:tcPr>
          <w:p w14:paraId="5C77E731"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b/>
              </w:rPr>
              <w:t>Total</w:t>
            </w:r>
          </w:p>
        </w:tc>
        <w:tc>
          <w:tcPr>
            <w:tcW w:w="4120" w:type="dxa"/>
          </w:tcPr>
          <w:p w14:paraId="7EED2541" w14:textId="77777777" w:rsidR="0000686B" w:rsidRPr="005869C5" w:rsidRDefault="0000686B" w:rsidP="00514129">
            <w:pPr>
              <w:spacing w:before="60" w:after="60"/>
              <w:rPr>
                <w:rFonts w:asciiTheme="minorHAnsi" w:hAnsiTheme="minorHAnsi"/>
                <w:b/>
                <w:i/>
                <w:color w:val="000000"/>
                <w:u w:val="single"/>
              </w:rPr>
            </w:pPr>
            <w:r w:rsidRPr="005869C5">
              <w:rPr>
                <w:rFonts w:asciiTheme="minorHAnsi" w:hAnsiTheme="minorHAnsi"/>
                <w:b/>
              </w:rPr>
              <w:t>38,707 (100%)</w:t>
            </w:r>
          </w:p>
        </w:tc>
      </w:tr>
    </w:tbl>
    <w:p w14:paraId="2822AF24" w14:textId="77777777" w:rsidR="0000686B" w:rsidRPr="005869C5" w:rsidRDefault="0000686B" w:rsidP="00514129">
      <w:pPr>
        <w:spacing w:after="0" w:line="240" w:lineRule="auto"/>
        <w:rPr>
          <w:rFonts w:asciiTheme="minorHAnsi" w:hAnsiTheme="minorHAnsi"/>
          <w:i/>
          <w:sz w:val="20"/>
          <w:szCs w:val="20"/>
        </w:rPr>
      </w:pPr>
      <w:r w:rsidRPr="005869C5">
        <w:rPr>
          <w:rFonts w:asciiTheme="minorHAnsi" w:hAnsiTheme="minorHAnsi"/>
          <w:i/>
          <w:sz w:val="20"/>
          <w:szCs w:val="20"/>
        </w:rPr>
        <w:t>*Have also had statin dispensed in period 6 -24 months prior to index ezetimibe</w:t>
      </w:r>
    </w:p>
    <w:p w14:paraId="55A5D1FE" w14:textId="77777777" w:rsidR="0000686B" w:rsidRPr="005869C5" w:rsidRDefault="0000686B" w:rsidP="00514129">
      <w:pPr>
        <w:spacing w:after="0" w:line="240" w:lineRule="auto"/>
        <w:rPr>
          <w:rFonts w:asciiTheme="minorHAnsi" w:hAnsiTheme="minorHAnsi"/>
          <w:sz w:val="20"/>
          <w:szCs w:val="20"/>
        </w:rPr>
      </w:pPr>
      <w:r w:rsidRPr="005869C5">
        <w:rPr>
          <w:rFonts w:asciiTheme="minorHAnsi" w:hAnsiTheme="minorHAnsi"/>
          <w:sz w:val="20"/>
          <w:szCs w:val="20"/>
        </w:rPr>
        <w:t>Cohort</w:t>
      </w:r>
      <w:r w:rsidRPr="00712627">
        <w:rPr>
          <w:rFonts w:asciiTheme="minorHAnsi" w:hAnsiTheme="minorHAnsi"/>
          <w:sz w:val="20"/>
          <w:szCs w:val="20"/>
        </w:rPr>
        <w:t xml:space="preserve"> 2: received at </w:t>
      </w:r>
      <w:r w:rsidRPr="005869C5">
        <w:rPr>
          <w:rFonts w:asciiTheme="minorHAnsi" w:hAnsiTheme="minorHAnsi"/>
          <w:sz w:val="20"/>
          <w:szCs w:val="20"/>
        </w:rPr>
        <w:t>least one prescription for a C10 medicine in the previous 24 months</w:t>
      </w:r>
    </w:p>
    <w:p w14:paraId="5575D5EA" w14:textId="77777777" w:rsidR="0000686B" w:rsidRPr="005869C5" w:rsidRDefault="0000686B" w:rsidP="00514129">
      <w:pPr>
        <w:spacing w:line="240" w:lineRule="auto"/>
        <w:rPr>
          <w:rFonts w:asciiTheme="minorHAnsi" w:hAnsiTheme="minorHAnsi"/>
          <w:sz w:val="20"/>
          <w:szCs w:val="20"/>
        </w:rPr>
      </w:pPr>
      <w:r w:rsidRPr="005869C5">
        <w:rPr>
          <w:rFonts w:asciiTheme="minorHAnsi" w:hAnsiTheme="minorHAnsi"/>
          <w:sz w:val="20"/>
          <w:szCs w:val="20"/>
        </w:rPr>
        <w:t xml:space="preserve">Source: Ezetimibe Review Analysis of Utilisation Data, CPHR Table </w:t>
      </w:r>
      <w:r w:rsidR="00D8435F" w:rsidRPr="005869C5">
        <w:rPr>
          <w:rFonts w:asciiTheme="minorHAnsi" w:hAnsiTheme="minorHAnsi"/>
          <w:sz w:val="20"/>
          <w:szCs w:val="20"/>
        </w:rPr>
        <w:t>4</w:t>
      </w:r>
      <w:r w:rsidRPr="005869C5">
        <w:rPr>
          <w:rFonts w:asciiTheme="minorHAnsi" w:hAnsiTheme="minorHAnsi"/>
          <w:sz w:val="20"/>
          <w:szCs w:val="20"/>
        </w:rPr>
        <w:t>.1.1, p</w:t>
      </w:r>
      <w:r w:rsidR="00D8435F" w:rsidRPr="005869C5">
        <w:rPr>
          <w:rFonts w:asciiTheme="minorHAnsi" w:hAnsiTheme="minorHAnsi"/>
          <w:sz w:val="20"/>
          <w:szCs w:val="20"/>
        </w:rPr>
        <w:t xml:space="preserve"> 1</w:t>
      </w:r>
      <w:r w:rsidR="009F67BC" w:rsidRPr="005869C5">
        <w:rPr>
          <w:rFonts w:asciiTheme="minorHAnsi" w:hAnsiTheme="minorHAnsi"/>
          <w:sz w:val="20"/>
          <w:szCs w:val="20"/>
        </w:rPr>
        <w:t>5</w:t>
      </w:r>
      <w:r w:rsidRPr="005869C5">
        <w:rPr>
          <w:rFonts w:asciiTheme="minorHAnsi" w:hAnsiTheme="minorHAnsi"/>
          <w:sz w:val="20"/>
          <w:szCs w:val="20"/>
        </w:rPr>
        <w:t xml:space="preserve"> </w:t>
      </w:r>
    </w:p>
    <w:p w14:paraId="249C4747" w14:textId="77777777" w:rsidR="0000686B" w:rsidRPr="00E631B0" w:rsidRDefault="0000686B" w:rsidP="000831ED">
      <w:pPr>
        <w:spacing w:line="240" w:lineRule="auto"/>
        <w:jc w:val="left"/>
        <w:rPr>
          <w:rFonts w:asciiTheme="minorHAnsi" w:hAnsiTheme="minorHAnsi"/>
        </w:rPr>
      </w:pPr>
      <w:r w:rsidRPr="00E631B0">
        <w:rPr>
          <w:rFonts w:asciiTheme="minorHAnsi" w:hAnsiTheme="minorHAnsi"/>
        </w:rPr>
        <w:t xml:space="preserve">In Cohort 2, 57.7% of patients were considered to have received continuous treatment with a statin (i.e. at least 3 dispensings in the previous 6 months prior to index ezetimibe). A further 4.9% were considered to have initiated statin treatment in the 6 months prior to initiation of ezetimibe and 37.4% were considered not to be on continuous statin therapy in the 6 months prior to the index ezetimibe date. </w:t>
      </w:r>
    </w:p>
    <w:p w14:paraId="1A673D65" w14:textId="77777777" w:rsidR="0000686B" w:rsidRPr="00E631B0" w:rsidRDefault="0000686B" w:rsidP="000831ED">
      <w:pPr>
        <w:spacing w:line="240" w:lineRule="auto"/>
        <w:jc w:val="left"/>
        <w:rPr>
          <w:rFonts w:asciiTheme="minorHAnsi" w:hAnsiTheme="minorHAnsi"/>
        </w:rPr>
      </w:pPr>
      <w:r w:rsidRPr="00E631B0">
        <w:rPr>
          <w:rFonts w:asciiTheme="minorHAnsi" w:hAnsiTheme="minorHAnsi"/>
        </w:rPr>
        <w:t>There are a number of possible reasons for patients commencing ezetimibe with a history of non-continuous statin use. Some of these patients may have had adverse events and not returned immediately to their general practitioner to seek further treatment for dyslipidaemia, or were reluctant to continue treatment with a statin. Other patients may represent those who are non-adherent to statin therapy i.e</w:t>
      </w:r>
      <w:r w:rsidR="004529EF" w:rsidRPr="00E631B0">
        <w:rPr>
          <w:rFonts w:asciiTheme="minorHAnsi" w:hAnsiTheme="minorHAnsi"/>
        </w:rPr>
        <w:t>.</w:t>
      </w:r>
      <w:r w:rsidRPr="00E631B0">
        <w:rPr>
          <w:rFonts w:asciiTheme="minorHAnsi" w:hAnsiTheme="minorHAnsi"/>
        </w:rPr>
        <w:t xml:space="preserve"> do not take their medication consistently. </w:t>
      </w:r>
    </w:p>
    <w:p w14:paraId="05AB13ED" w14:textId="78639BC1" w:rsidR="0000686B" w:rsidRPr="00E631B0" w:rsidRDefault="0000686B" w:rsidP="000831ED">
      <w:pPr>
        <w:spacing w:line="240" w:lineRule="auto"/>
        <w:jc w:val="left"/>
        <w:rPr>
          <w:rFonts w:asciiTheme="minorHAnsi" w:hAnsiTheme="minorHAnsi"/>
        </w:rPr>
      </w:pPr>
      <w:r w:rsidRPr="00E631B0">
        <w:rPr>
          <w:rFonts w:asciiTheme="minorHAnsi" w:hAnsiTheme="minorHAnsi"/>
        </w:rPr>
        <w:t>The supplies of types and strengths of statins dispensed prior to ezetimibe were examined for patients in Cohort 2. The study assumed that patients seeking to optimise</w:t>
      </w:r>
      <w:r w:rsidR="00E05DB4" w:rsidRPr="00E631B0">
        <w:rPr>
          <w:rFonts w:asciiTheme="minorHAnsi" w:hAnsiTheme="minorHAnsi"/>
        </w:rPr>
        <w:t xml:space="preserve"> LLT</w:t>
      </w:r>
      <w:r w:rsidRPr="00E631B0">
        <w:rPr>
          <w:rFonts w:asciiTheme="minorHAnsi" w:hAnsiTheme="minorHAnsi"/>
        </w:rPr>
        <w:t xml:space="preserve">, consistent with guideline recommendations and PBS restrictions, would be titrating statin therapy or be taking higher strengths of the more potent statins. </w:t>
      </w:r>
    </w:p>
    <w:p w14:paraId="0F282279" w14:textId="77777777" w:rsidR="0000686B" w:rsidRPr="00E631B0" w:rsidRDefault="0000686B" w:rsidP="000831ED">
      <w:pPr>
        <w:spacing w:line="240" w:lineRule="auto"/>
        <w:jc w:val="left"/>
        <w:rPr>
          <w:rFonts w:asciiTheme="minorHAnsi" w:hAnsiTheme="minorHAnsi"/>
        </w:rPr>
      </w:pPr>
      <w:r w:rsidRPr="00E631B0">
        <w:rPr>
          <w:rFonts w:asciiTheme="minorHAnsi" w:hAnsiTheme="minorHAnsi"/>
        </w:rPr>
        <w:lastRenderedPageBreak/>
        <w:t>For patients in Cohort 2, the analysis found that 68.9% (26,676/38,707) remained on the same statin dose or potency in the 2 years preceding ezetimibe initiation</w:t>
      </w:r>
      <w:r w:rsidR="003F547B" w:rsidRPr="00E631B0">
        <w:rPr>
          <w:rFonts w:asciiTheme="minorHAnsi" w:hAnsiTheme="minorHAnsi"/>
        </w:rPr>
        <w:t xml:space="preserve"> (Table 5)</w:t>
      </w:r>
      <w:r w:rsidRPr="00E631B0">
        <w:rPr>
          <w:rFonts w:asciiTheme="minorHAnsi" w:hAnsiTheme="minorHAnsi"/>
        </w:rPr>
        <w:t>.</w:t>
      </w:r>
      <w:r w:rsidR="003F547B" w:rsidRPr="00E631B0">
        <w:rPr>
          <w:rFonts w:asciiTheme="minorHAnsi" w:hAnsiTheme="minorHAnsi"/>
        </w:rPr>
        <w:t xml:space="preserve"> However approximately 50% were dispensed high intensity statins (Table 6 below)</w:t>
      </w:r>
      <w:r w:rsidRPr="00E631B0">
        <w:rPr>
          <w:rFonts w:asciiTheme="minorHAnsi" w:hAnsiTheme="minorHAnsi"/>
        </w:rPr>
        <w:t xml:space="preserve"> </w:t>
      </w:r>
    </w:p>
    <w:p w14:paraId="11BF385A" w14:textId="77777777" w:rsidR="0000686B" w:rsidRPr="00E631B0" w:rsidRDefault="00866F52" w:rsidP="000831ED">
      <w:pPr>
        <w:spacing w:line="240" w:lineRule="auto"/>
        <w:jc w:val="left"/>
        <w:rPr>
          <w:rFonts w:asciiTheme="minorHAnsi" w:hAnsiTheme="minorHAnsi"/>
        </w:rPr>
      </w:pPr>
      <w:r w:rsidRPr="00E631B0">
        <w:rPr>
          <w:rFonts w:asciiTheme="minorHAnsi" w:hAnsiTheme="minorHAnsi"/>
        </w:rPr>
        <w:t>Another 11,124</w:t>
      </w:r>
      <w:r w:rsidR="003F547B" w:rsidRPr="00E631B0">
        <w:rPr>
          <w:rFonts w:asciiTheme="minorHAnsi" w:hAnsiTheme="minorHAnsi"/>
        </w:rPr>
        <w:t xml:space="preserve"> patients</w:t>
      </w:r>
      <w:r w:rsidRPr="00E631B0">
        <w:rPr>
          <w:rFonts w:asciiTheme="minorHAnsi" w:hAnsiTheme="minorHAnsi"/>
        </w:rPr>
        <w:t xml:space="preserve"> in Cohort 2</w:t>
      </w:r>
      <w:r w:rsidR="003F547B" w:rsidRPr="00E631B0">
        <w:rPr>
          <w:rFonts w:asciiTheme="minorHAnsi" w:hAnsiTheme="minorHAnsi"/>
        </w:rPr>
        <w:t xml:space="preserve"> </w:t>
      </w:r>
      <w:r w:rsidRPr="00E631B0">
        <w:rPr>
          <w:rFonts w:asciiTheme="minorHAnsi" w:hAnsiTheme="minorHAnsi"/>
        </w:rPr>
        <w:t xml:space="preserve">had evidence of either up, down or both up and down titration of statins (Table 5). </w:t>
      </w:r>
      <w:r w:rsidR="0000686B" w:rsidRPr="00E631B0">
        <w:rPr>
          <w:rFonts w:asciiTheme="minorHAnsi" w:hAnsiTheme="minorHAnsi"/>
        </w:rPr>
        <w:t xml:space="preserve">Therefore, at least 34.8% of Cohort 2 would appear to meet the PBS restriction requirement that patients are treated with the maximum tolerated dose of a statin prior to initiating ezetimibe. </w:t>
      </w:r>
    </w:p>
    <w:p w14:paraId="6FE1979B" w14:textId="77777777" w:rsidR="0000686B" w:rsidRPr="00F404A5" w:rsidRDefault="0000686B" w:rsidP="00382D53">
      <w:pPr>
        <w:pStyle w:val="TableName"/>
      </w:pPr>
      <w:r w:rsidRPr="00AE1E65">
        <w:t>Table 5:</w:t>
      </w:r>
      <w:r w:rsidRPr="00E12EF9">
        <w:t xml:space="preserve"> Proportion of the total Cohort 2 patients in each of the categories of the 24-month pre-ezetimibe history of</w:t>
      </w:r>
      <w:r w:rsidRPr="00F404A5">
        <w:t xml:space="preserve"> LLT</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rtion of the total Cohort 2 patients in each of the categories of the 24-month pre-ezetimibe history of LLT"/>
      </w:tblPr>
      <w:tblGrid>
        <w:gridCol w:w="5827"/>
        <w:gridCol w:w="2552"/>
      </w:tblGrid>
      <w:tr w:rsidR="00F903DD" w:rsidRPr="00F903DD" w14:paraId="462B7CA2" w14:textId="77777777" w:rsidTr="00F903DD">
        <w:trPr>
          <w:trHeight w:val="330"/>
        </w:trPr>
        <w:tc>
          <w:tcPr>
            <w:tcW w:w="5827" w:type="dxa"/>
            <w:shd w:val="clear" w:color="auto" w:fill="BFBFBF" w:themeFill="background1" w:themeFillShade="BF"/>
            <w:vAlign w:val="center"/>
            <w:hideMark/>
          </w:tcPr>
          <w:p w14:paraId="3C81F704" w14:textId="77777777" w:rsidR="00F903DD" w:rsidRPr="00F903DD" w:rsidRDefault="00F903DD" w:rsidP="00F903DD">
            <w:pPr>
              <w:pStyle w:val="TableName"/>
              <w:spacing w:before="60" w:after="60"/>
            </w:pPr>
            <w:r w:rsidRPr="00C11542">
              <w:t>24-month pre-ezetimibe LLT</w:t>
            </w:r>
          </w:p>
        </w:tc>
        <w:tc>
          <w:tcPr>
            <w:tcW w:w="2552" w:type="dxa"/>
            <w:shd w:val="clear" w:color="auto" w:fill="BFBFBF" w:themeFill="background1" w:themeFillShade="BF"/>
            <w:vAlign w:val="center"/>
            <w:hideMark/>
          </w:tcPr>
          <w:p w14:paraId="60EE28E5" w14:textId="77777777" w:rsidR="00F903DD" w:rsidRPr="00F903DD" w:rsidRDefault="00F903DD" w:rsidP="00F903DD">
            <w:pPr>
              <w:spacing w:before="60" w:after="60" w:line="240" w:lineRule="auto"/>
              <w:jc w:val="center"/>
              <w:rPr>
                <w:rFonts w:ascii="Calibri" w:eastAsia="Times New Roman" w:hAnsi="Calibri" w:cs="Times New Roman"/>
                <w:b/>
                <w:color w:val="000000"/>
                <w:szCs w:val="24"/>
                <w:lang w:eastAsia="en-AU"/>
              </w:rPr>
            </w:pPr>
            <w:r w:rsidRPr="00F903DD">
              <w:rPr>
                <w:rFonts w:ascii="Calibri" w:eastAsia="Times New Roman" w:hAnsi="Calibri" w:cs="Times New Roman"/>
                <w:b/>
                <w:color w:val="000000"/>
                <w:szCs w:val="24"/>
                <w:lang w:eastAsia="en-AU"/>
              </w:rPr>
              <w:t xml:space="preserve">No. of patients </w:t>
            </w:r>
          </w:p>
          <w:p w14:paraId="2BA3CE3B" w14:textId="77777777" w:rsidR="00F903DD" w:rsidRPr="00F903DD" w:rsidRDefault="00F903DD" w:rsidP="00F903DD">
            <w:pPr>
              <w:spacing w:before="60" w:after="60" w:line="240" w:lineRule="auto"/>
              <w:jc w:val="center"/>
              <w:rPr>
                <w:rFonts w:ascii="Calibri" w:eastAsia="Times New Roman" w:hAnsi="Calibri" w:cs="Times New Roman"/>
                <w:color w:val="000000"/>
                <w:szCs w:val="24"/>
                <w:lang w:eastAsia="en-AU"/>
              </w:rPr>
            </w:pPr>
            <w:r w:rsidRPr="00F903DD">
              <w:rPr>
                <w:rFonts w:ascii="Calibri" w:eastAsia="Times New Roman" w:hAnsi="Calibri" w:cs="Times New Roman"/>
                <w:b/>
                <w:color w:val="000000"/>
                <w:szCs w:val="24"/>
                <w:lang w:eastAsia="en-AU"/>
              </w:rPr>
              <w:t>(Total N=38,707)</w:t>
            </w:r>
          </w:p>
        </w:tc>
      </w:tr>
      <w:tr w:rsidR="00F903DD" w:rsidRPr="00F903DD" w14:paraId="2913132D" w14:textId="77777777" w:rsidTr="00F903DD">
        <w:trPr>
          <w:trHeight w:val="375"/>
        </w:trPr>
        <w:tc>
          <w:tcPr>
            <w:tcW w:w="5827" w:type="dxa"/>
            <w:shd w:val="clear" w:color="auto" w:fill="auto"/>
            <w:vAlign w:val="center"/>
            <w:hideMark/>
          </w:tcPr>
          <w:p w14:paraId="0D592C78" w14:textId="77777777" w:rsidR="00F903DD" w:rsidRPr="00F903DD" w:rsidRDefault="00F903DD" w:rsidP="00F903DD">
            <w:pPr>
              <w:spacing w:before="60" w:after="60" w:line="240" w:lineRule="auto"/>
              <w:jc w:val="left"/>
              <w:rPr>
                <w:rFonts w:ascii="Calibri" w:eastAsia="Times New Roman" w:hAnsi="Calibri" w:cs="Times New Roman"/>
                <w:color w:val="000000"/>
                <w:szCs w:val="24"/>
                <w:lang w:eastAsia="en-AU"/>
              </w:rPr>
            </w:pPr>
            <w:r w:rsidRPr="00F903DD">
              <w:rPr>
                <w:rFonts w:ascii="Calibri" w:eastAsia="Times New Roman" w:hAnsi="Calibri" w:cs="Times New Roman"/>
                <w:color w:val="000000"/>
                <w:szCs w:val="24"/>
                <w:lang w:eastAsia="en-AU"/>
              </w:rPr>
              <w:t>Remained on non-statin LLT</w:t>
            </w:r>
            <w:r w:rsidRPr="00F903DD">
              <w:rPr>
                <w:rFonts w:ascii="Calibri" w:eastAsia="Times New Roman" w:hAnsi="Calibri" w:cs="Times New Roman"/>
                <w:color w:val="000000"/>
                <w:szCs w:val="24"/>
                <w:vertAlign w:val="superscript"/>
                <w:lang w:eastAsia="en-AU"/>
              </w:rPr>
              <w:t>*</w:t>
            </w:r>
          </w:p>
        </w:tc>
        <w:tc>
          <w:tcPr>
            <w:tcW w:w="2552" w:type="dxa"/>
            <w:shd w:val="clear" w:color="auto" w:fill="auto"/>
            <w:vAlign w:val="center"/>
            <w:hideMark/>
          </w:tcPr>
          <w:p w14:paraId="310BB45D" w14:textId="77777777" w:rsidR="00F903DD" w:rsidRPr="00F903DD" w:rsidRDefault="00F903DD" w:rsidP="00F903DD">
            <w:pPr>
              <w:spacing w:before="60" w:after="60" w:line="240" w:lineRule="auto"/>
              <w:jc w:val="center"/>
              <w:rPr>
                <w:rFonts w:ascii="Calibri" w:eastAsia="Times New Roman" w:hAnsi="Calibri" w:cs="Times New Roman"/>
                <w:color w:val="000000"/>
                <w:szCs w:val="24"/>
                <w:lang w:eastAsia="en-AU"/>
              </w:rPr>
            </w:pPr>
            <w:r w:rsidRPr="00F903DD">
              <w:rPr>
                <w:rFonts w:ascii="Calibri" w:eastAsia="Times New Roman" w:hAnsi="Calibri" w:cs="Times New Roman"/>
                <w:color w:val="000000"/>
                <w:szCs w:val="24"/>
                <w:lang w:eastAsia="en-AU"/>
              </w:rPr>
              <w:t>907 (2.3%)</w:t>
            </w:r>
          </w:p>
        </w:tc>
      </w:tr>
      <w:tr w:rsidR="00F903DD" w:rsidRPr="00F903DD" w14:paraId="2DD78826" w14:textId="77777777" w:rsidTr="00F903DD">
        <w:trPr>
          <w:trHeight w:val="363"/>
        </w:trPr>
        <w:tc>
          <w:tcPr>
            <w:tcW w:w="5827" w:type="dxa"/>
            <w:shd w:val="clear" w:color="auto" w:fill="auto"/>
            <w:vAlign w:val="center"/>
            <w:hideMark/>
          </w:tcPr>
          <w:p w14:paraId="5BD37273" w14:textId="77777777" w:rsidR="00F903DD" w:rsidRPr="00F903DD" w:rsidRDefault="00F903DD" w:rsidP="00F903DD">
            <w:pPr>
              <w:spacing w:before="60" w:after="60" w:line="240" w:lineRule="auto"/>
              <w:jc w:val="left"/>
              <w:rPr>
                <w:rFonts w:ascii="Calibri" w:eastAsia="Times New Roman" w:hAnsi="Calibri" w:cs="Times New Roman"/>
                <w:color w:val="000000"/>
                <w:szCs w:val="24"/>
                <w:lang w:eastAsia="en-AU"/>
              </w:rPr>
            </w:pPr>
            <w:r w:rsidRPr="00F903DD">
              <w:rPr>
                <w:rFonts w:ascii="Calibri" w:eastAsia="Times New Roman" w:hAnsi="Calibri" w:cs="Times New Roman"/>
                <w:color w:val="000000"/>
                <w:szCs w:val="24"/>
                <w:lang w:eastAsia="en-AU"/>
              </w:rPr>
              <w:t>Remained on the same statin dose or potency</w:t>
            </w:r>
            <w:r w:rsidRPr="00F903DD">
              <w:rPr>
                <w:rFonts w:ascii="Calibri" w:eastAsia="Times New Roman" w:hAnsi="Calibri" w:cs="Times New Roman"/>
                <w:color w:val="000000"/>
                <w:szCs w:val="24"/>
                <w:vertAlign w:val="superscript"/>
                <w:lang w:eastAsia="en-AU"/>
              </w:rPr>
              <w:t>ǂ</w:t>
            </w:r>
          </w:p>
        </w:tc>
        <w:tc>
          <w:tcPr>
            <w:tcW w:w="2552" w:type="dxa"/>
            <w:shd w:val="clear" w:color="auto" w:fill="auto"/>
            <w:vAlign w:val="center"/>
            <w:hideMark/>
          </w:tcPr>
          <w:p w14:paraId="59DA7C18" w14:textId="77777777" w:rsidR="00F903DD" w:rsidRPr="00F903DD" w:rsidRDefault="00F903DD" w:rsidP="00F903DD">
            <w:pPr>
              <w:spacing w:before="60" w:after="60" w:line="240" w:lineRule="auto"/>
              <w:jc w:val="center"/>
              <w:rPr>
                <w:rFonts w:ascii="Calibri" w:eastAsia="Times New Roman" w:hAnsi="Calibri" w:cs="Times New Roman"/>
                <w:color w:val="000000"/>
                <w:szCs w:val="24"/>
                <w:lang w:eastAsia="en-AU"/>
              </w:rPr>
            </w:pPr>
            <w:r w:rsidRPr="00F903DD">
              <w:rPr>
                <w:rFonts w:ascii="Calibri" w:eastAsia="Times New Roman" w:hAnsi="Calibri" w:cs="Times New Roman"/>
                <w:color w:val="000000"/>
                <w:szCs w:val="24"/>
                <w:lang w:eastAsia="en-AU"/>
              </w:rPr>
              <w:t>26,676 (68.9%)</w:t>
            </w:r>
          </w:p>
        </w:tc>
      </w:tr>
      <w:tr w:rsidR="00F903DD" w:rsidRPr="00F903DD" w14:paraId="40478659" w14:textId="77777777" w:rsidTr="00F903DD">
        <w:trPr>
          <w:trHeight w:val="70"/>
        </w:trPr>
        <w:tc>
          <w:tcPr>
            <w:tcW w:w="5827" w:type="dxa"/>
            <w:shd w:val="clear" w:color="auto" w:fill="auto"/>
            <w:vAlign w:val="center"/>
            <w:hideMark/>
          </w:tcPr>
          <w:p w14:paraId="408EF511" w14:textId="77777777" w:rsidR="00F903DD" w:rsidRPr="00F903DD" w:rsidRDefault="00F903DD" w:rsidP="00F903DD">
            <w:pPr>
              <w:spacing w:before="60" w:after="60" w:line="240" w:lineRule="auto"/>
              <w:jc w:val="left"/>
              <w:rPr>
                <w:rFonts w:ascii="Calibri" w:eastAsia="Times New Roman" w:hAnsi="Calibri" w:cs="Times New Roman"/>
                <w:color w:val="000000"/>
                <w:szCs w:val="24"/>
                <w:lang w:eastAsia="en-AU"/>
              </w:rPr>
            </w:pPr>
            <w:r w:rsidRPr="00F903DD">
              <w:rPr>
                <w:rFonts w:ascii="Calibri" w:eastAsia="Times New Roman" w:hAnsi="Calibri" w:cs="Times New Roman"/>
                <w:color w:val="000000"/>
                <w:szCs w:val="24"/>
                <w:lang w:eastAsia="en-AU"/>
              </w:rPr>
              <w:t>Up-titration only of statin dose or potency</w:t>
            </w:r>
          </w:p>
        </w:tc>
        <w:tc>
          <w:tcPr>
            <w:tcW w:w="2552" w:type="dxa"/>
            <w:shd w:val="clear" w:color="auto" w:fill="auto"/>
            <w:vAlign w:val="center"/>
            <w:hideMark/>
          </w:tcPr>
          <w:p w14:paraId="475C7028" w14:textId="77777777" w:rsidR="00F903DD" w:rsidRPr="00F903DD" w:rsidRDefault="00F903DD" w:rsidP="00F903DD">
            <w:pPr>
              <w:spacing w:before="60" w:after="60" w:line="240" w:lineRule="auto"/>
              <w:jc w:val="center"/>
              <w:rPr>
                <w:rFonts w:ascii="Calibri" w:eastAsia="Times New Roman" w:hAnsi="Calibri" w:cs="Times New Roman"/>
                <w:color w:val="000000"/>
                <w:szCs w:val="24"/>
                <w:lang w:eastAsia="en-AU"/>
              </w:rPr>
            </w:pPr>
            <w:r w:rsidRPr="00F903DD">
              <w:rPr>
                <w:rFonts w:ascii="Calibri" w:eastAsia="Times New Roman" w:hAnsi="Calibri" w:cs="Times New Roman"/>
                <w:color w:val="000000"/>
                <w:szCs w:val="24"/>
                <w:lang w:eastAsia="en-AU"/>
              </w:rPr>
              <w:t>4,525 (11.7%)</w:t>
            </w:r>
          </w:p>
        </w:tc>
      </w:tr>
      <w:tr w:rsidR="00382D53" w:rsidRPr="00F903DD" w14:paraId="26509D32" w14:textId="77777777" w:rsidTr="008C22F9">
        <w:trPr>
          <w:trHeight w:val="70"/>
        </w:trPr>
        <w:tc>
          <w:tcPr>
            <w:tcW w:w="5827" w:type="dxa"/>
            <w:shd w:val="clear" w:color="auto" w:fill="auto"/>
            <w:vAlign w:val="center"/>
            <w:hideMark/>
          </w:tcPr>
          <w:p w14:paraId="5666C0D8" w14:textId="77777777" w:rsidR="00382D53" w:rsidRPr="00382D53" w:rsidRDefault="00382D53" w:rsidP="00382D53">
            <w:pPr>
              <w:spacing w:before="60" w:after="60" w:line="240" w:lineRule="auto"/>
              <w:jc w:val="left"/>
              <w:rPr>
                <w:rFonts w:ascii="Calibri" w:hAnsi="Calibri"/>
                <w:color w:val="000000"/>
              </w:rPr>
            </w:pPr>
            <w:r w:rsidRPr="00382D53">
              <w:rPr>
                <w:rFonts w:ascii="Calibri" w:hAnsi="Calibri"/>
                <w:color w:val="000000"/>
              </w:rPr>
              <w:t>Down-titration only of statin dose or potency</w:t>
            </w:r>
          </w:p>
        </w:tc>
        <w:tc>
          <w:tcPr>
            <w:tcW w:w="2552" w:type="dxa"/>
            <w:shd w:val="clear" w:color="auto" w:fill="auto"/>
            <w:vAlign w:val="center"/>
            <w:hideMark/>
          </w:tcPr>
          <w:p w14:paraId="3F010CB0" w14:textId="184BA490" w:rsidR="00382D53" w:rsidRPr="00382D53" w:rsidRDefault="00382D53" w:rsidP="00382D53">
            <w:pPr>
              <w:spacing w:before="60" w:after="60" w:line="240" w:lineRule="auto"/>
              <w:jc w:val="center"/>
              <w:rPr>
                <w:rFonts w:ascii="Calibri" w:hAnsi="Calibri"/>
                <w:color w:val="000000"/>
              </w:rPr>
            </w:pPr>
            <w:r w:rsidRPr="00F903DD">
              <w:rPr>
                <w:rFonts w:ascii="Calibri" w:eastAsia="Times New Roman" w:hAnsi="Calibri" w:cs="Times New Roman"/>
                <w:color w:val="000000"/>
                <w:szCs w:val="24"/>
                <w:lang w:eastAsia="en-AU"/>
              </w:rPr>
              <w:t>2707 (7.0%)</w:t>
            </w:r>
          </w:p>
        </w:tc>
      </w:tr>
      <w:tr w:rsidR="00382D53" w:rsidRPr="00F903DD" w14:paraId="6F076BF6" w14:textId="77777777" w:rsidTr="008C22F9">
        <w:trPr>
          <w:trHeight w:val="70"/>
        </w:trPr>
        <w:tc>
          <w:tcPr>
            <w:tcW w:w="5827" w:type="dxa"/>
            <w:shd w:val="clear" w:color="auto" w:fill="auto"/>
            <w:vAlign w:val="center"/>
            <w:hideMark/>
          </w:tcPr>
          <w:p w14:paraId="286DC5D8" w14:textId="77777777" w:rsidR="00382D53" w:rsidRPr="00382D53" w:rsidRDefault="00382D53" w:rsidP="00382D53">
            <w:pPr>
              <w:spacing w:before="60" w:after="60" w:line="240" w:lineRule="auto"/>
              <w:jc w:val="left"/>
              <w:rPr>
                <w:rFonts w:ascii="Calibri" w:hAnsi="Calibri"/>
                <w:color w:val="000000"/>
              </w:rPr>
            </w:pPr>
            <w:r w:rsidRPr="00382D53">
              <w:rPr>
                <w:rFonts w:ascii="Calibri" w:hAnsi="Calibri"/>
                <w:color w:val="000000"/>
              </w:rPr>
              <w:t>Both up- and down- titration of statin dose or potency</w:t>
            </w:r>
          </w:p>
        </w:tc>
        <w:tc>
          <w:tcPr>
            <w:tcW w:w="2552" w:type="dxa"/>
            <w:shd w:val="clear" w:color="auto" w:fill="auto"/>
            <w:vAlign w:val="center"/>
            <w:hideMark/>
          </w:tcPr>
          <w:p w14:paraId="164BA50C" w14:textId="77777777" w:rsidR="00382D53" w:rsidRPr="00382D53" w:rsidRDefault="00382D53" w:rsidP="00382D53">
            <w:pPr>
              <w:spacing w:before="60" w:after="60" w:line="240" w:lineRule="auto"/>
              <w:jc w:val="center"/>
              <w:rPr>
                <w:rFonts w:ascii="Calibri" w:hAnsi="Calibri"/>
                <w:color w:val="000000"/>
              </w:rPr>
            </w:pPr>
            <w:r w:rsidRPr="00382D53">
              <w:rPr>
                <w:rFonts w:ascii="Calibri" w:hAnsi="Calibri"/>
                <w:color w:val="000000"/>
              </w:rPr>
              <w:t>3,892 (10.1%)</w:t>
            </w:r>
          </w:p>
        </w:tc>
      </w:tr>
    </w:tbl>
    <w:p w14:paraId="2EBC7147" w14:textId="18FD4251" w:rsidR="0000686B" w:rsidRPr="008064A3" w:rsidRDefault="0000686B" w:rsidP="00514129">
      <w:pPr>
        <w:spacing w:after="0" w:line="240" w:lineRule="auto"/>
        <w:rPr>
          <w:rFonts w:asciiTheme="minorHAnsi" w:hAnsiTheme="minorHAnsi"/>
          <w:sz w:val="20"/>
          <w:szCs w:val="20"/>
        </w:rPr>
      </w:pPr>
      <w:r w:rsidRPr="008064A3">
        <w:rPr>
          <w:rFonts w:asciiTheme="minorHAnsi" w:hAnsiTheme="minorHAnsi"/>
          <w:b/>
          <w:sz w:val="20"/>
          <w:szCs w:val="20"/>
          <w:vertAlign w:val="superscript"/>
        </w:rPr>
        <w:t>*</w:t>
      </w:r>
      <w:r w:rsidRPr="008064A3">
        <w:rPr>
          <w:rFonts w:asciiTheme="minorHAnsi" w:hAnsiTheme="minorHAnsi"/>
          <w:sz w:val="20"/>
          <w:szCs w:val="20"/>
        </w:rPr>
        <w:t>the dose change in non-statin LLT was not examined</w:t>
      </w:r>
    </w:p>
    <w:p w14:paraId="0E5273A2" w14:textId="77777777" w:rsidR="0000686B" w:rsidRPr="008064A3" w:rsidRDefault="0000686B" w:rsidP="00514129">
      <w:pPr>
        <w:spacing w:after="0" w:line="240" w:lineRule="auto"/>
        <w:rPr>
          <w:rFonts w:asciiTheme="minorHAnsi" w:hAnsiTheme="minorHAnsi"/>
          <w:sz w:val="20"/>
          <w:szCs w:val="20"/>
        </w:rPr>
      </w:pPr>
      <w:r w:rsidRPr="008064A3">
        <w:rPr>
          <w:rFonts w:asciiTheme="minorHAnsi" w:hAnsiTheme="minorHAnsi"/>
          <w:b/>
          <w:sz w:val="20"/>
          <w:szCs w:val="20"/>
          <w:vertAlign w:val="superscript"/>
        </w:rPr>
        <w:t>ǂ “</w:t>
      </w:r>
      <w:r w:rsidRPr="008064A3">
        <w:rPr>
          <w:rFonts w:asciiTheme="minorHAnsi" w:hAnsiTheme="minorHAnsi"/>
          <w:sz w:val="20"/>
          <w:szCs w:val="20"/>
        </w:rPr>
        <w:t>remained on the same dose” means that a patient had at least two statin prescriptions dispensed during the pre-ezetimibe period and did not experienced any up- or down-titration either in terms of a dose or a potency of a statin.</w:t>
      </w:r>
    </w:p>
    <w:p w14:paraId="0C2AC23B" w14:textId="77777777" w:rsidR="0000686B" w:rsidRPr="005869C5" w:rsidRDefault="0000686B" w:rsidP="00514129">
      <w:pPr>
        <w:spacing w:line="240" w:lineRule="auto"/>
        <w:rPr>
          <w:rFonts w:asciiTheme="minorHAnsi" w:hAnsiTheme="minorHAnsi"/>
          <w:sz w:val="20"/>
          <w:szCs w:val="20"/>
        </w:rPr>
      </w:pPr>
      <w:r w:rsidRPr="005869C5">
        <w:rPr>
          <w:rFonts w:asciiTheme="minorHAnsi" w:hAnsiTheme="minorHAnsi"/>
          <w:sz w:val="20"/>
          <w:szCs w:val="20"/>
        </w:rPr>
        <w:t xml:space="preserve">Source: Ezetimibe Review Analysis of Utilisation Data, CPHR Table </w:t>
      </w:r>
      <w:r w:rsidR="00D8435F" w:rsidRPr="005869C5">
        <w:rPr>
          <w:rFonts w:asciiTheme="minorHAnsi" w:hAnsiTheme="minorHAnsi"/>
          <w:sz w:val="20"/>
          <w:szCs w:val="20"/>
        </w:rPr>
        <w:t>4</w:t>
      </w:r>
      <w:r w:rsidRPr="005869C5">
        <w:rPr>
          <w:rFonts w:asciiTheme="minorHAnsi" w:hAnsiTheme="minorHAnsi"/>
          <w:sz w:val="20"/>
          <w:szCs w:val="20"/>
        </w:rPr>
        <w:t>.1.2, p1</w:t>
      </w:r>
      <w:r w:rsidR="009F67BC" w:rsidRPr="005869C5">
        <w:rPr>
          <w:rFonts w:asciiTheme="minorHAnsi" w:hAnsiTheme="minorHAnsi"/>
          <w:sz w:val="20"/>
          <w:szCs w:val="20"/>
        </w:rPr>
        <w:t>6</w:t>
      </w:r>
      <w:r w:rsidRPr="005869C5">
        <w:rPr>
          <w:rFonts w:asciiTheme="minorHAnsi" w:hAnsiTheme="minorHAnsi"/>
          <w:sz w:val="20"/>
          <w:szCs w:val="20"/>
        </w:rPr>
        <w:t xml:space="preserve"> </w:t>
      </w:r>
    </w:p>
    <w:p w14:paraId="5F6A03A2" w14:textId="77777777" w:rsidR="0000686B" w:rsidRPr="00F404A5" w:rsidRDefault="0000686B" w:rsidP="00382D53">
      <w:pPr>
        <w:pStyle w:val="TableName"/>
      </w:pPr>
      <w:r w:rsidRPr="00AE1E65">
        <w:t>Table 6: Cohort 2: Remained on the same dose or potency of statin prior to ezetimibe initiation (N=26,676)</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hort 2: Remained on the same dose or potency of statin prior to ezetimibe initiation (N=26,676)"/>
      </w:tblPr>
      <w:tblGrid>
        <w:gridCol w:w="2835"/>
        <w:gridCol w:w="1942"/>
        <w:gridCol w:w="3728"/>
      </w:tblGrid>
      <w:tr w:rsidR="0000686B" w:rsidRPr="005869C5" w14:paraId="470F08B4" w14:textId="77777777" w:rsidTr="00382D53">
        <w:trPr>
          <w:trHeight w:val="183"/>
        </w:trPr>
        <w:tc>
          <w:tcPr>
            <w:tcW w:w="4777" w:type="dxa"/>
            <w:gridSpan w:val="2"/>
            <w:shd w:val="clear" w:color="auto" w:fill="BFBFBF" w:themeFill="background1" w:themeFillShade="BF"/>
          </w:tcPr>
          <w:p w14:paraId="011A5285" w14:textId="77777777" w:rsidR="0000686B" w:rsidRPr="00382D53" w:rsidRDefault="0000686B" w:rsidP="00382D53">
            <w:pPr>
              <w:spacing w:before="60" w:after="60"/>
              <w:jc w:val="left"/>
              <w:rPr>
                <w:rFonts w:asciiTheme="minorHAnsi" w:hAnsiTheme="minorHAnsi"/>
                <w:b/>
              </w:rPr>
            </w:pPr>
            <w:r w:rsidRPr="00382D53">
              <w:rPr>
                <w:rFonts w:asciiTheme="minorHAnsi" w:hAnsiTheme="minorHAnsi"/>
                <w:b/>
              </w:rPr>
              <w:t>Potency of statin</w:t>
            </w:r>
          </w:p>
        </w:tc>
        <w:tc>
          <w:tcPr>
            <w:tcW w:w="3728" w:type="dxa"/>
            <w:shd w:val="clear" w:color="auto" w:fill="BFBFBF" w:themeFill="background1" w:themeFillShade="BF"/>
            <w:vAlign w:val="center"/>
          </w:tcPr>
          <w:p w14:paraId="69DC64AC" w14:textId="46E5E668" w:rsidR="0000686B" w:rsidRPr="00382D53" w:rsidRDefault="007E5147" w:rsidP="00382D53">
            <w:pPr>
              <w:spacing w:before="60" w:after="60"/>
              <w:jc w:val="center"/>
              <w:rPr>
                <w:rFonts w:asciiTheme="minorHAnsi" w:hAnsiTheme="minorHAnsi"/>
                <w:b/>
              </w:rPr>
            </w:pPr>
            <w:r>
              <w:rPr>
                <w:rFonts w:asciiTheme="minorHAnsi" w:hAnsiTheme="minorHAnsi"/>
                <w:b/>
              </w:rPr>
              <w:t>No.</w:t>
            </w:r>
            <w:r w:rsidR="0000686B" w:rsidRPr="00382D53">
              <w:rPr>
                <w:rFonts w:asciiTheme="minorHAnsi" w:hAnsiTheme="minorHAnsi"/>
                <w:b/>
              </w:rPr>
              <w:t xml:space="preserve"> of patients (%)</w:t>
            </w:r>
          </w:p>
        </w:tc>
      </w:tr>
      <w:tr w:rsidR="0000686B" w:rsidRPr="005869C5" w14:paraId="15EC59A6" w14:textId="77777777" w:rsidTr="007E5147">
        <w:tc>
          <w:tcPr>
            <w:tcW w:w="4777" w:type="dxa"/>
            <w:gridSpan w:val="2"/>
            <w:vAlign w:val="center"/>
          </w:tcPr>
          <w:p w14:paraId="26CDCE1D" w14:textId="77777777" w:rsidR="0000686B" w:rsidRPr="005869C5" w:rsidRDefault="0000686B" w:rsidP="00382D53">
            <w:pPr>
              <w:spacing w:before="60" w:after="60"/>
              <w:rPr>
                <w:rFonts w:asciiTheme="minorHAnsi" w:hAnsiTheme="minorHAnsi"/>
                <w:i/>
              </w:rPr>
            </w:pPr>
            <w:r w:rsidRPr="005869C5">
              <w:rPr>
                <w:rFonts w:asciiTheme="minorHAnsi" w:hAnsiTheme="minorHAnsi"/>
                <w:i/>
              </w:rPr>
              <w:t>Low-intensity statin</w:t>
            </w:r>
          </w:p>
        </w:tc>
        <w:tc>
          <w:tcPr>
            <w:tcW w:w="3728" w:type="dxa"/>
            <w:vAlign w:val="center"/>
          </w:tcPr>
          <w:p w14:paraId="4068F784" w14:textId="77777777" w:rsidR="0000686B" w:rsidRPr="005869C5" w:rsidRDefault="0000686B" w:rsidP="00382D53">
            <w:pPr>
              <w:tabs>
                <w:tab w:val="left" w:pos="3512"/>
              </w:tabs>
              <w:spacing w:before="60" w:after="60"/>
              <w:jc w:val="center"/>
              <w:rPr>
                <w:rFonts w:asciiTheme="minorHAnsi" w:hAnsiTheme="minorHAnsi"/>
                <w:b/>
                <w:i/>
                <w:color w:val="000000"/>
                <w:u w:val="single"/>
              </w:rPr>
            </w:pPr>
            <w:r w:rsidRPr="005869C5">
              <w:rPr>
                <w:rFonts w:asciiTheme="minorHAnsi" w:hAnsiTheme="minorHAnsi"/>
              </w:rPr>
              <w:t>649 (2.4%)</w:t>
            </w:r>
          </w:p>
        </w:tc>
      </w:tr>
      <w:tr w:rsidR="0000686B" w:rsidRPr="005869C5" w14:paraId="101E67EF" w14:textId="77777777" w:rsidTr="00382D53">
        <w:tc>
          <w:tcPr>
            <w:tcW w:w="2835" w:type="dxa"/>
            <w:vMerge w:val="restart"/>
          </w:tcPr>
          <w:p w14:paraId="2737EEDA" w14:textId="77777777" w:rsidR="0000686B" w:rsidRPr="005869C5" w:rsidRDefault="0000686B" w:rsidP="00382D53">
            <w:pPr>
              <w:spacing w:before="60" w:after="60"/>
              <w:rPr>
                <w:rFonts w:asciiTheme="minorHAnsi" w:hAnsiTheme="minorHAnsi"/>
                <w:b/>
                <w:i/>
                <w:color w:val="000000"/>
                <w:u w:val="single"/>
              </w:rPr>
            </w:pPr>
            <w:r w:rsidRPr="005869C5">
              <w:rPr>
                <w:rFonts w:asciiTheme="minorHAnsi" w:hAnsiTheme="minorHAnsi"/>
              </w:rPr>
              <w:t>Moderate-intensity statin</w:t>
            </w:r>
          </w:p>
        </w:tc>
        <w:tc>
          <w:tcPr>
            <w:tcW w:w="1942" w:type="dxa"/>
          </w:tcPr>
          <w:p w14:paraId="27D2E7DB" w14:textId="77777777" w:rsidR="0000686B" w:rsidRPr="005869C5" w:rsidRDefault="0000686B" w:rsidP="00382D53">
            <w:pPr>
              <w:spacing w:before="60" w:after="60"/>
              <w:rPr>
                <w:rFonts w:asciiTheme="minorHAnsi" w:hAnsiTheme="minorHAnsi"/>
                <w:b/>
                <w:i/>
                <w:color w:val="000000"/>
                <w:u w:val="single"/>
              </w:rPr>
            </w:pPr>
            <w:r w:rsidRPr="005869C5">
              <w:rPr>
                <w:rFonts w:asciiTheme="minorHAnsi" w:hAnsiTheme="minorHAnsi"/>
              </w:rPr>
              <w:t>Lower dose</w:t>
            </w:r>
          </w:p>
        </w:tc>
        <w:tc>
          <w:tcPr>
            <w:tcW w:w="3728" w:type="dxa"/>
            <w:vAlign w:val="center"/>
          </w:tcPr>
          <w:p w14:paraId="61157B0C" w14:textId="77777777" w:rsidR="0000686B" w:rsidRPr="005869C5" w:rsidRDefault="0000686B" w:rsidP="00382D53">
            <w:pPr>
              <w:tabs>
                <w:tab w:val="left" w:pos="3512"/>
              </w:tabs>
              <w:spacing w:before="60" w:after="60"/>
              <w:jc w:val="center"/>
              <w:rPr>
                <w:rFonts w:asciiTheme="minorHAnsi" w:hAnsiTheme="minorHAnsi"/>
                <w:b/>
                <w:i/>
                <w:color w:val="000000"/>
                <w:u w:val="single"/>
              </w:rPr>
            </w:pPr>
            <w:r w:rsidRPr="005869C5">
              <w:rPr>
                <w:rFonts w:asciiTheme="minorHAnsi" w:hAnsiTheme="minorHAnsi"/>
              </w:rPr>
              <w:t>4,301 (16.1%)</w:t>
            </w:r>
          </w:p>
        </w:tc>
      </w:tr>
      <w:tr w:rsidR="0000686B" w:rsidRPr="005869C5" w14:paraId="7E549473" w14:textId="77777777" w:rsidTr="00382D53">
        <w:tc>
          <w:tcPr>
            <w:tcW w:w="2835" w:type="dxa"/>
            <w:vMerge/>
          </w:tcPr>
          <w:p w14:paraId="7985F6DD" w14:textId="77777777" w:rsidR="0000686B" w:rsidRPr="005869C5" w:rsidRDefault="0000686B" w:rsidP="00382D53">
            <w:pPr>
              <w:spacing w:before="60" w:after="60"/>
              <w:rPr>
                <w:rFonts w:asciiTheme="minorHAnsi" w:hAnsiTheme="minorHAnsi"/>
              </w:rPr>
            </w:pPr>
          </w:p>
        </w:tc>
        <w:tc>
          <w:tcPr>
            <w:tcW w:w="1942" w:type="dxa"/>
          </w:tcPr>
          <w:p w14:paraId="235C8196" w14:textId="77777777" w:rsidR="0000686B" w:rsidRPr="005869C5" w:rsidRDefault="0000686B" w:rsidP="00382D53">
            <w:pPr>
              <w:spacing w:before="60" w:after="60"/>
              <w:rPr>
                <w:rFonts w:asciiTheme="minorHAnsi" w:hAnsiTheme="minorHAnsi"/>
                <w:b/>
                <w:i/>
                <w:color w:val="000000"/>
                <w:u w:val="single"/>
              </w:rPr>
            </w:pPr>
            <w:r w:rsidRPr="005869C5">
              <w:rPr>
                <w:rFonts w:asciiTheme="minorHAnsi" w:hAnsiTheme="minorHAnsi"/>
              </w:rPr>
              <w:t>Higher dose</w:t>
            </w:r>
          </w:p>
        </w:tc>
        <w:tc>
          <w:tcPr>
            <w:tcW w:w="3728" w:type="dxa"/>
            <w:vAlign w:val="center"/>
          </w:tcPr>
          <w:p w14:paraId="2EE4105D" w14:textId="77777777" w:rsidR="0000686B" w:rsidRPr="005869C5" w:rsidRDefault="0000686B" w:rsidP="00382D53">
            <w:pPr>
              <w:tabs>
                <w:tab w:val="left" w:pos="3512"/>
              </w:tabs>
              <w:spacing w:before="60" w:after="60"/>
              <w:jc w:val="center"/>
              <w:rPr>
                <w:rFonts w:asciiTheme="minorHAnsi" w:hAnsiTheme="minorHAnsi"/>
                <w:b/>
                <w:i/>
                <w:color w:val="000000"/>
                <w:u w:val="single"/>
              </w:rPr>
            </w:pPr>
            <w:r w:rsidRPr="005869C5">
              <w:rPr>
                <w:rFonts w:asciiTheme="minorHAnsi" w:hAnsiTheme="minorHAnsi"/>
              </w:rPr>
              <w:t>8,202 (30.7%)</w:t>
            </w:r>
          </w:p>
        </w:tc>
      </w:tr>
      <w:tr w:rsidR="0000686B" w:rsidRPr="005869C5" w14:paraId="212A7D9B" w14:textId="77777777" w:rsidTr="007E5147">
        <w:tc>
          <w:tcPr>
            <w:tcW w:w="4777" w:type="dxa"/>
            <w:gridSpan w:val="2"/>
            <w:vAlign w:val="center"/>
          </w:tcPr>
          <w:p w14:paraId="0DD009B9" w14:textId="77777777" w:rsidR="0000686B" w:rsidRPr="005869C5" w:rsidRDefault="0000686B" w:rsidP="00382D53">
            <w:pPr>
              <w:spacing w:before="60" w:after="60"/>
              <w:rPr>
                <w:rFonts w:asciiTheme="minorHAnsi" w:hAnsiTheme="minorHAnsi"/>
                <w:b/>
                <w:i/>
                <w:color w:val="000000"/>
                <w:u w:val="single"/>
              </w:rPr>
            </w:pPr>
            <w:r w:rsidRPr="005869C5">
              <w:rPr>
                <w:rFonts w:asciiTheme="minorHAnsi" w:hAnsiTheme="minorHAnsi"/>
                <w:i/>
              </w:rPr>
              <w:t xml:space="preserve">Moderate intensity statin (subtotal) </w:t>
            </w:r>
          </w:p>
        </w:tc>
        <w:tc>
          <w:tcPr>
            <w:tcW w:w="3728" w:type="dxa"/>
            <w:vAlign w:val="center"/>
          </w:tcPr>
          <w:p w14:paraId="0111C11F" w14:textId="77777777" w:rsidR="0000686B" w:rsidRPr="005869C5" w:rsidRDefault="0000686B" w:rsidP="00382D53">
            <w:pPr>
              <w:tabs>
                <w:tab w:val="left" w:pos="3512"/>
              </w:tabs>
              <w:spacing w:before="60" w:after="60"/>
              <w:jc w:val="center"/>
              <w:rPr>
                <w:rFonts w:asciiTheme="minorHAnsi" w:hAnsiTheme="minorHAnsi"/>
                <w:b/>
                <w:i/>
                <w:color w:val="000000"/>
                <w:u w:val="single"/>
              </w:rPr>
            </w:pPr>
            <w:r w:rsidRPr="005869C5">
              <w:rPr>
                <w:rFonts w:asciiTheme="minorHAnsi" w:hAnsiTheme="minorHAnsi"/>
              </w:rPr>
              <w:t>12,503 (46.9%)</w:t>
            </w:r>
          </w:p>
        </w:tc>
      </w:tr>
      <w:tr w:rsidR="0000686B" w:rsidRPr="005869C5" w14:paraId="6EAFBCF8" w14:textId="77777777" w:rsidTr="00382D53">
        <w:tc>
          <w:tcPr>
            <w:tcW w:w="2835" w:type="dxa"/>
            <w:vMerge w:val="restart"/>
          </w:tcPr>
          <w:p w14:paraId="762177C0" w14:textId="77777777" w:rsidR="0000686B" w:rsidRPr="005869C5" w:rsidRDefault="0000686B" w:rsidP="00382D53">
            <w:pPr>
              <w:spacing w:before="60" w:after="60"/>
              <w:rPr>
                <w:rFonts w:asciiTheme="minorHAnsi" w:hAnsiTheme="minorHAnsi"/>
                <w:b/>
                <w:i/>
                <w:color w:val="000000"/>
                <w:u w:val="single"/>
              </w:rPr>
            </w:pPr>
            <w:r w:rsidRPr="005869C5">
              <w:rPr>
                <w:rFonts w:asciiTheme="minorHAnsi" w:hAnsiTheme="minorHAnsi"/>
              </w:rPr>
              <w:t>High-intensity statin</w:t>
            </w:r>
          </w:p>
        </w:tc>
        <w:tc>
          <w:tcPr>
            <w:tcW w:w="1942" w:type="dxa"/>
          </w:tcPr>
          <w:p w14:paraId="7CFC0149" w14:textId="77777777" w:rsidR="0000686B" w:rsidRPr="005869C5" w:rsidRDefault="0000686B" w:rsidP="00382D53">
            <w:pPr>
              <w:spacing w:before="60" w:after="60"/>
              <w:rPr>
                <w:rFonts w:asciiTheme="minorHAnsi" w:hAnsiTheme="minorHAnsi"/>
                <w:b/>
                <w:i/>
                <w:color w:val="000000"/>
                <w:u w:val="single"/>
              </w:rPr>
            </w:pPr>
            <w:r w:rsidRPr="005869C5">
              <w:rPr>
                <w:rFonts w:asciiTheme="minorHAnsi" w:hAnsiTheme="minorHAnsi"/>
              </w:rPr>
              <w:t>Lower dose</w:t>
            </w:r>
          </w:p>
        </w:tc>
        <w:tc>
          <w:tcPr>
            <w:tcW w:w="3728" w:type="dxa"/>
            <w:vAlign w:val="center"/>
          </w:tcPr>
          <w:p w14:paraId="6ACA51C4" w14:textId="77777777" w:rsidR="0000686B" w:rsidRPr="005869C5" w:rsidRDefault="0000686B" w:rsidP="00382D53">
            <w:pPr>
              <w:tabs>
                <w:tab w:val="left" w:pos="3512"/>
              </w:tabs>
              <w:spacing w:before="60" w:after="60"/>
              <w:jc w:val="center"/>
              <w:rPr>
                <w:rFonts w:asciiTheme="minorHAnsi" w:hAnsiTheme="minorHAnsi"/>
                <w:b/>
                <w:i/>
                <w:color w:val="000000"/>
                <w:u w:val="single"/>
              </w:rPr>
            </w:pPr>
            <w:r w:rsidRPr="005869C5">
              <w:rPr>
                <w:rFonts w:asciiTheme="minorHAnsi" w:hAnsiTheme="minorHAnsi"/>
              </w:rPr>
              <w:t>8,180 (30.7%)</w:t>
            </w:r>
          </w:p>
        </w:tc>
      </w:tr>
      <w:tr w:rsidR="0000686B" w:rsidRPr="005869C5" w14:paraId="563D73AF" w14:textId="77777777" w:rsidTr="00382D53">
        <w:tc>
          <w:tcPr>
            <w:tcW w:w="2835" w:type="dxa"/>
            <w:vMerge/>
          </w:tcPr>
          <w:p w14:paraId="66F15E2B" w14:textId="77777777" w:rsidR="0000686B" w:rsidRPr="005869C5" w:rsidRDefault="0000686B" w:rsidP="00382D53">
            <w:pPr>
              <w:spacing w:before="60" w:after="60"/>
              <w:rPr>
                <w:rFonts w:asciiTheme="minorHAnsi" w:hAnsiTheme="minorHAnsi"/>
              </w:rPr>
            </w:pPr>
          </w:p>
        </w:tc>
        <w:tc>
          <w:tcPr>
            <w:tcW w:w="1942" w:type="dxa"/>
          </w:tcPr>
          <w:p w14:paraId="54B67D00" w14:textId="77777777" w:rsidR="0000686B" w:rsidRPr="005869C5" w:rsidRDefault="0000686B" w:rsidP="00382D53">
            <w:pPr>
              <w:spacing w:before="60" w:after="60"/>
              <w:rPr>
                <w:rFonts w:asciiTheme="minorHAnsi" w:hAnsiTheme="minorHAnsi"/>
                <w:b/>
                <w:i/>
                <w:color w:val="000000"/>
                <w:u w:val="single"/>
              </w:rPr>
            </w:pPr>
            <w:r w:rsidRPr="005869C5">
              <w:rPr>
                <w:rFonts w:asciiTheme="minorHAnsi" w:hAnsiTheme="minorHAnsi"/>
              </w:rPr>
              <w:t>Higher dose</w:t>
            </w:r>
          </w:p>
        </w:tc>
        <w:tc>
          <w:tcPr>
            <w:tcW w:w="3728" w:type="dxa"/>
            <w:vAlign w:val="center"/>
          </w:tcPr>
          <w:p w14:paraId="77E6399F" w14:textId="77777777" w:rsidR="0000686B" w:rsidRPr="005869C5" w:rsidRDefault="0000686B" w:rsidP="00382D53">
            <w:pPr>
              <w:tabs>
                <w:tab w:val="left" w:pos="3512"/>
              </w:tabs>
              <w:spacing w:before="60" w:after="60"/>
              <w:jc w:val="center"/>
              <w:rPr>
                <w:rFonts w:asciiTheme="minorHAnsi" w:hAnsiTheme="minorHAnsi"/>
                <w:b/>
                <w:i/>
                <w:color w:val="000000"/>
                <w:u w:val="single"/>
              </w:rPr>
            </w:pPr>
            <w:r w:rsidRPr="005869C5">
              <w:rPr>
                <w:rFonts w:asciiTheme="minorHAnsi" w:hAnsiTheme="minorHAnsi"/>
              </w:rPr>
              <w:t>5,344 (20.0%)</w:t>
            </w:r>
          </w:p>
        </w:tc>
      </w:tr>
      <w:tr w:rsidR="0000686B" w:rsidRPr="005869C5" w14:paraId="559450BA" w14:textId="77777777" w:rsidTr="007E5147">
        <w:tc>
          <w:tcPr>
            <w:tcW w:w="4777" w:type="dxa"/>
            <w:gridSpan w:val="2"/>
            <w:vAlign w:val="center"/>
          </w:tcPr>
          <w:p w14:paraId="0E8BE236" w14:textId="77777777" w:rsidR="0000686B" w:rsidRPr="005869C5" w:rsidRDefault="0000686B" w:rsidP="00382D53">
            <w:pPr>
              <w:spacing w:before="60" w:after="60"/>
              <w:rPr>
                <w:rFonts w:asciiTheme="minorHAnsi" w:hAnsiTheme="minorHAnsi"/>
                <w:b/>
                <w:i/>
                <w:color w:val="000000"/>
                <w:u w:val="single"/>
              </w:rPr>
            </w:pPr>
            <w:r w:rsidRPr="005869C5">
              <w:rPr>
                <w:rFonts w:asciiTheme="minorHAnsi" w:hAnsiTheme="minorHAnsi"/>
                <w:i/>
              </w:rPr>
              <w:t>High intensity statin (subtotal</w:t>
            </w:r>
            <w:r w:rsidRPr="005869C5">
              <w:rPr>
                <w:rFonts w:asciiTheme="minorHAnsi" w:hAnsiTheme="minorHAnsi"/>
              </w:rPr>
              <w:t>)</w:t>
            </w:r>
          </w:p>
        </w:tc>
        <w:tc>
          <w:tcPr>
            <w:tcW w:w="3728" w:type="dxa"/>
            <w:vAlign w:val="center"/>
          </w:tcPr>
          <w:p w14:paraId="2771D8BB" w14:textId="77777777" w:rsidR="0000686B" w:rsidRPr="005869C5" w:rsidRDefault="0000686B" w:rsidP="00382D53">
            <w:pPr>
              <w:tabs>
                <w:tab w:val="left" w:pos="3512"/>
              </w:tabs>
              <w:spacing w:before="60" w:after="60"/>
              <w:jc w:val="center"/>
              <w:rPr>
                <w:rFonts w:asciiTheme="minorHAnsi" w:hAnsiTheme="minorHAnsi"/>
                <w:b/>
                <w:i/>
                <w:color w:val="000000"/>
                <w:u w:val="single"/>
              </w:rPr>
            </w:pPr>
            <w:r w:rsidRPr="005869C5">
              <w:rPr>
                <w:rFonts w:asciiTheme="minorHAnsi" w:hAnsiTheme="minorHAnsi"/>
              </w:rPr>
              <w:t>13,524 (50.7%)</w:t>
            </w:r>
          </w:p>
        </w:tc>
      </w:tr>
    </w:tbl>
    <w:p w14:paraId="35E9E4C2" w14:textId="77777777" w:rsidR="0000686B" w:rsidRPr="005869C5" w:rsidRDefault="0000686B" w:rsidP="00514129">
      <w:pPr>
        <w:spacing w:line="240" w:lineRule="auto"/>
        <w:rPr>
          <w:rFonts w:asciiTheme="minorHAnsi" w:hAnsiTheme="minorHAnsi"/>
          <w:sz w:val="20"/>
          <w:szCs w:val="20"/>
        </w:rPr>
      </w:pPr>
      <w:r w:rsidRPr="005869C5">
        <w:rPr>
          <w:rFonts w:asciiTheme="minorHAnsi" w:hAnsiTheme="minorHAnsi"/>
          <w:sz w:val="20"/>
          <w:szCs w:val="20"/>
        </w:rPr>
        <w:t xml:space="preserve">Source: Ezetimibe Review Analysis of Utilisation Data, CPHR Table </w:t>
      </w:r>
      <w:r w:rsidR="00D8435F" w:rsidRPr="005869C5">
        <w:rPr>
          <w:rFonts w:asciiTheme="minorHAnsi" w:hAnsiTheme="minorHAnsi"/>
          <w:sz w:val="20"/>
          <w:szCs w:val="20"/>
        </w:rPr>
        <w:t>4</w:t>
      </w:r>
      <w:r w:rsidRPr="005869C5">
        <w:rPr>
          <w:rFonts w:asciiTheme="minorHAnsi" w:hAnsiTheme="minorHAnsi"/>
          <w:sz w:val="20"/>
          <w:szCs w:val="20"/>
        </w:rPr>
        <w:t>.1.3, p</w:t>
      </w:r>
      <w:r w:rsidR="00D8435F" w:rsidRPr="005869C5">
        <w:rPr>
          <w:rFonts w:asciiTheme="minorHAnsi" w:hAnsiTheme="minorHAnsi"/>
          <w:sz w:val="20"/>
          <w:szCs w:val="20"/>
        </w:rPr>
        <w:t xml:space="preserve"> 1</w:t>
      </w:r>
      <w:r w:rsidR="00D15002" w:rsidRPr="005869C5">
        <w:rPr>
          <w:rFonts w:asciiTheme="minorHAnsi" w:hAnsiTheme="minorHAnsi"/>
          <w:sz w:val="20"/>
          <w:szCs w:val="20"/>
        </w:rPr>
        <w:t>6</w:t>
      </w:r>
      <w:r w:rsidRPr="005869C5">
        <w:rPr>
          <w:rFonts w:asciiTheme="minorHAnsi" w:hAnsiTheme="minorHAnsi"/>
          <w:sz w:val="20"/>
          <w:szCs w:val="20"/>
        </w:rPr>
        <w:t xml:space="preserve"> </w:t>
      </w:r>
    </w:p>
    <w:p w14:paraId="3949D80D" w14:textId="77777777" w:rsidR="004B3EB8" w:rsidRDefault="004B3EB8" w:rsidP="00382D53">
      <w:pPr>
        <w:pStyle w:val="Heading4new"/>
      </w:pPr>
    </w:p>
    <w:p w14:paraId="60F233C7" w14:textId="77777777" w:rsidR="004B3EB8" w:rsidRDefault="004B3EB8" w:rsidP="00382D53">
      <w:pPr>
        <w:pStyle w:val="Heading4new"/>
      </w:pPr>
    </w:p>
    <w:p w14:paraId="46B936F4" w14:textId="77777777" w:rsidR="004B3EB8" w:rsidRDefault="004B3EB8" w:rsidP="00382D53">
      <w:pPr>
        <w:pStyle w:val="Heading4new"/>
      </w:pPr>
    </w:p>
    <w:p w14:paraId="68F9C39C" w14:textId="77777777" w:rsidR="0000686B" w:rsidRPr="00E631B0" w:rsidRDefault="003848A8" w:rsidP="00382D53">
      <w:pPr>
        <w:pStyle w:val="Heading4new"/>
        <w:rPr>
          <w:color w:val="auto"/>
        </w:rPr>
      </w:pPr>
      <w:r w:rsidRPr="00E631B0">
        <w:rPr>
          <w:color w:val="auto"/>
        </w:rPr>
        <w:lastRenderedPageBreak/>
        <w:t>1.</w:t>
      </w:r>
      <w:r w:rsidR="0000686B" w:rsidRPr="00E631B0">
        <w:rPr>
          <w:color w:val="auto"/>
        </w:rPr>
        <w:t>2.2.2</w:t>
      </w:r>
      <w:r w:rsidR="0000686B" w:rsidRPr="00E631B0">
        <w:rPr>
          <w:color w:val="auto"/>
        </w:rPr>
        <w:tab/>
        <w:t>Lipid lowering therapy post ezetimibe initiation</w:t>
      </w:r>
    </w:p>
    <w:p w14:paraId="50D22F68" w14:textId="77777777" w:rsidR="0000686B" w:rsidRPr="00E631B0" w:rsidRDefault="001751C4" w:rsidP="00514129">
      <w:pPr>
        <w:spacing w:line="240" w:lineRule="auto"/>
        <w:jc w:val="left"/>
        <w:rPr>
          <w:rFonts w:asciiTheme="minorHAnsi" w:hAnsiTheme="minorHAnsi"/>
        </w:rPr>
      </w:pPr>
      <w:r w:rsidRPr="00E631B0">
        <w:rPr>
          <w:rFonts w:asciiTheme="minorHAnsi" w:hAnsiTheme="minorHAnsi"/>
        </w:rPr>
        <w:t xml:space="preserve">The </w:t>
      </w:r>
      <w:r w:rsidRPr="00E631B0">
        <w:rPr>
          <w:rFonts w:asciiTheme="minorHAnsi" w:eastAsia="Calibri" w:hAnsiTheme="minorHAnsi" w:cs="Times New Roman"/>
          <w:szCs w:val="24"/>
        </w:rPr>
        <w:t>December 2016 Analysis</w:t>
      </w:r>
      <w:r w:rsidRPr="00E631B0">
        <w:rPr>
          <w:rFonts w:asciiTheme="minorHAnsi" w:hAnsiTheme="minorHAnsi"/>
        </w:rPr>
        <w:t xml:space="preserve"> </w:t>
      </w:r>
      <w:r w:rsidR="00CD260F" w:rsidRPr="00E631B0">
        <w:rPr>
          <w:rFonts w:asciiTheme="minorHAnsi" w:hAnsiTheme="minorHAnsi"/>
        </w:rPr>
        <w:t xml:space="preserve">provided a </w:t>
      </w:r>
      <w:r w:rsidR="0000686B" w:rsidRPr="00E631B0">
        <w:rPr>
          <w:rFonts w:asciiTheme="minorHAnsi" w:hAnsiTheme="minorHAnsi"/>
        </w:rPr>
        <w:t>limited analysis of changes in LLT for patients in the 12 months post initiation of ezetimibe for both Cohort 1 and Cohort 2</w:t>
      </w:r>
      <w:r w:rsidR="00CD260F" w:rsidRPr="00E631B0">
        <w:rPr>
          <w:rFonts w:asciiTheme="minorHAnsi" w:hAnsiTheme="minorHAnsi"/>
        </w:rPr>
        <w:t xml:space="preserve"> (see </w:t>
      </w:r>
      <w:r w:rsidR="00CD260F" w:rsidRPr="00E631B0">
        <w:rPr>
          <w:rFonts w:asciiTheme="minorHAnsi" w:hAnsiTheme="minorHAnsi"/>
          <w:b/>
        </w:rPr>
        <w:t>Ap</w:t>
      </w:r>
      <w:r w:rsidR="00AD0496" w:rsidRPr="00E631B0">
        <w:rPr>
          <w:rFonts w:asciiTheme="minorHAnsi" w:hAnsiTheme="minorHAnsi"/>
          <w:b/>
        </w:rPr>
        <w:t>p</w:t>
      </w:r>
      <w:r w:rsidR="00CD260F" w:rsidRPr="00E631B0">
        <w:rPr>
          <w:rFonts w:asciiTheme="minorHAnsi" w:hAnsiTheme="minorHAnsi"/>
          <w:b/>
        </w:rPr>
        <w:t>endix E</w:t>
      </w:r>
      <w:r w:rsidR="00CD260F" w:rsidRPr="00E631B0">
        <w:rPr>
          <w:rFonts w:asciiTheme="minorHAnsi" w:hAnsiTheme="minorHAnsi"/>
        </w:rPr>
        <w:t xml:space="preserve"> p.</w:t>
      </w:r>
      <w:r w:rsidR="009A2D33" w:rsidRPr="00E631B0">
        <w:rPr>
          <w:rFonts w:asciiTheme="minorHAnsi" w:hAnsiTheme="minorHAnsi"/>
        </w:rPr>
        <w:t>2</w:t>
      </w:r>
      <w:r w:rsidR="00D15002" w:rsidRPr="00E631B0">
        <w:rPr>
          <w:rFonts w:asciiTheme="minorHAnsi" w:hAnsiTheme="minorHAnsi"/>
        </w:rPr>
        <w:t>1</w:t>
      </w:r>
      <w:r w:rsidR="00CD260F" w:rsidRPr="00E631B0">
        <w:rPr>
          <w:rFonts w:asciiTheme="minorHAnsi" w:hAnsiTheme="minorHAnsi"/>
        </w:rPr>
        <w:t xml:space="preserve"> Table </w:t>
      </w:r>
      <w:r w:rsidR="009A2D33" w:rsidRPr="00E631B0">
        <w:rPr>
          <w:rFonts w:asciiTheme="minorHAnsi" w:hAnsiTheme="minorHAnsi"/>
        </w:rPr>
        <w:t>4</w:t>
      </w:r>
      <w:r w:rsidR="00CD260F" w:rsidRPr="00E631B0">
        <w:rPr>
          <w:rFonts w:asciiTheme="minorHAnsi" w:hAnsiTheme="minorHAnsi"/>
        </w:rPr>
        <w:t xml:space="preserve">.2.5). This analysis was respecified in </w:t>
      </w:r>
      <w:r w:rsidRPr="00E631B0">
        <w:rPr>
          <w:rFonts w:asciiTheme="minorHAnsi" w:hAnsiTheme="minorHAnsi"/>
        </w:rPr>
        <w:t xml:space="preserve">the </w:t>
      </w:r>
      <w:r w:rsidRPr="00E631B0">
        <w:rPr>
          <w:rFonts w:asciiTheme="minorHAnsi" w:eastAsia="Calibri" w:hAnsiTheme="minorHAnsi"/>
          <w:szCs w:val="24"/>
        </w:rPr>
        <w:t xml:space="preserve">March 2017 </w:t>
      </w:r>
      <w:r w:rsidR="00CD260F" w:rsidRPr="00E631B0">
        <w:rPr>
          <w:rFonts w:asciiTheme="minorHAnsi" w:hAnsiTheme="minorHAnsi"/>
        </w:rPr>
        <w:t>Analysis and is therefore not presented here to avoid confusion.</w:t>
      </w:r>
      <w:r w:rsidR="0000686B" w:rsidRPr="00E631B0">
        <w:rPr>
          <w:rFonts w:asciiTheme="minorHAnsi" w:hAnsiTheme="minorHAnsi"/>
        </w:rPr>
        <w:t xml:space="preserve"> </w:t>
      </w:r>
    </w:p>
    <w:p w14:paraId="2A718CAA" w14:textId="22F4B0EB" w:rsidR="0000686B" w:rsidRPr="00E631B0" w:rsidRDefault="003848A8" w:rsidP="00382D53">
      <w:pPr>
        <w:pStyle w:val="Heading4new"/>
        <w:rPr>
          <w:color w:val="auto"/>
        </w:rPr>
      </w:pPr>
      <w:r w:rsidRPr="00E631B0">
        <w:rPr>
          <w:color w:val="auto"/>
        </w:rPr>
        <w:t>1</w:t>
      </w:r>
      <w:r w:rsidR="00C05E80" w:rsidRPr="00E631B0">
        <w:rPr>
          <w:color w:val="auto"/>
        </w:rPr>
        <w:t>.</w:t>
      </w:r>
      <w:r w:rsidR="0000686B" w:rsidRPr="00E631B0">
        <w:rPr>
          <w:color w:val="auto"/>
        </w:rPr>
        <w:t>2.2.3</w:t>
      </w:r>
      <w:r w:rsidR="0000686B" w:rsidRPr="00E631B0">
        <w:rPr>
          <w:color w:val="auto"/>
        </w:rPr>
        <w:tab/>
        <w:t>Estimate of PBS population not meeting PBS restriction</w:t>
      </w:r>
      <w:r w:rsidR="00CD260F" w:rsidRPr="00E631B0">
        <w:rPr>
          <w:color w:val="auto"/>
        </w:rPr>
        <w:t xml:space="preserve"> – </w:t>
      </w:r>
      <w:r w:rsidR="001751C4" w:rsidRPr="00E631B0">
        <w:rPr>
          <w:color w:val="auto"/>
        </w:rPr>
        <w:t>December 2016</w:t>
      </w:r>
      <w:r w:rsidR="00341378" w:rsidRPr="00E631B0">
        <w:rPr>
          <w:color w:val="auto"/>
        </w:rPr>
        <w:t xml:space="preserve"> a</w:t>
      </w:r>
      <w:r w:rsidR="001751C4" w:rsidRPr="00E631B0">
        <w:rPr>
          <w:color w:val="auto"/>
        </w:rPr>
        <w:t xml:space="preserve">nalysis </w:t>
      </w:r>
    </w:p>
    <w:p w14:paraId="612E0E1A" w14:textId="77777777" w:rsidR="00CD260F" w:rsidRPr="00E631B0" w:rsidRDefault="00CD260F" w:rsidP="00AD7EAC">
      <w:pPr>
        <w:spacing w:line="240" w:lineRule="auto"/>
        <w:jc w:val="left"/>
        <w:rPr>
          <w:rFonts w:asciiTheme="minorHAnsi" w:hAnsiTheme="minorHAnsi"/>
          <w:szCs w:val="24"/>
        </w:rPr>
      </w:pPr>
      <w:r w:rsidRPr="00E631B0">
        <w:rPr>
          <w:rFonts w:asciiTheme="minorHAnsi" w:hAnsiTheme="minorHAnsi"/>
          <w:szCs w:val="24"/>
        </w:rPr>
        <w:t xml:space="preserve">In </w:t>
      </w:r>
      <w:r w:rsidR="001751C4" w:rsidRPr="00E631B0">
        <w:rPr>
          <w:rFonts w:asciiTheme="minorHAnsi" w:hAnsiTheme="minorHAnsi"/>
          <w:szCs w:val="24"/>
        </w:rPr>
        <w:t xml:space="preserve">the </w:t>
      </w:r>
      <w:r w:rsidR="001751C4" w:rsidRPr="00E631B0">
        <w:rPr>
          <w:rFonts w:asciiTheme="minorHAnsi" w:eastAsia="Calibri" w:hAnsiTheme="minorHAnsi" w:cs="Times New Roman"/>
          <w:szCs w:val="24"/>
        </w:rPr>
        <w:t xml:space="preserve">December 2016 </w:t>
      </w:r>
      <w:r w:rsidRPr="00E631B0">
        <w:rPr>
          <w:rFonts w:asciiTheme="minorHAnsi" w:hAnsiTheme="minorHAnsi"/>
          <w:szCs w:val="24"/>
        </w:rPr>
        <w:t xml:space="preserve">the following groups were considered to have not complied with the PBS restriction for ezetimibe:  people in Cohort 1 who initiated ezetimibe in combination with a statin or later added statin; and those in Cohort 2 who up-titrated their statin dose or potency following initiation of ezetimibe. On this basis </w:t>
      </w:r>
      <w:r w:rsidR="001751C4" w:rsidRPr="00E631B0">
        <w:rPr>
          <w:rFonts w:asciiTheme="minorHAnsi" w:hAnsiTheme="minorHAnsi"/>
          <w:szCs w:val="24"/>
        </w:rPr>
        <w:t xml:space="preserve">the </w:t>
      </w:r>
      <w:r w:rsidR="001751C4" w:rsidRPr="00E631B0">
        <w:rPr>
          <w:rFonts w:asciiTheme="minorHAnsi" w:eastAsia="Calibri" w:hAnsiTheme="minorHAnsi" w:cs="Times New Roman"/>
          <w:szCs w:val="24"/>
        </w:rPr>
        <w:t>December 2016 Analysis</w:t>
      </w:r>
      <w:r w:rsidR="001751C4" w:rsidRPr="00E631B0">
        <w:rPr>
          <w:rFonts w:asciiTheme="minorHAnsi" w:hAnsiTheme="minorHAnsi"/>
          <w:szCs w:val="24"/>
        </w:rPr>
        <w:t xml:space="preserve"> </w:t>
      </w:r>
      <w:r w:rsidRPr="00E631B0">
        <w:rPr>
          <w:rFonts w:asciiTheme="minorHAnsi" w:hAnsiTheme="minorHAnsi"/>
          <w:szCs w:val="24"/>
        </w:rPr>
        <w:t>estimated that 15.9% of new users of ezetimibe had not complied with the PBS restriction.</w:t>
      </w:r>
    </w:p>
    <w:p w14:paraId="3EDFEC10" w14:textId="0298AEE7" w:rsidR="00CD260F" w:rsidRPr="00E631B0" w:rsidRDefault="003848A8" w:rsidP="00382D53">
      <w:pPr>
        <w:pStyle w:val="Heading3"/>
      </w:pPr>
      <w:bookmarkStart w:id="57" w:name="_Toc500510219"/>
      <w:r w:rsidRPr="00E631B0">
        <w:t>1</w:t>
      </w:r>
      <w:r w:rsidR="00C05E80" w:rsidRPr="00E631B0">
        <w:t>.2.3</w:t>
      </w:r>
      <w:r w:rsidR="00C05E80" w:rsidRPr="00E631B0">
        <w:tab/>
        <w:t>Background</w:t>
      </w:r>
      <w:r w:rsidR="00CD260F" w:rsidRPr="00E631B0">
        <w:t xml:space="preserve"> - </w:t>
      </w:r>
      <w:r w:rsidR="001751C4" w:rsidRPr="00E631B0">
        <w:t xml:space="preserve">March 2017 </w:t>
      </w:r>
      <w:r w:rsidR="00341378" w:rsidRPr="00E631B0">
        <w:t>a</w:t>
      </w:r>
      <w:r w:rsidR="00CD260F" w:rsidRPr="00E631B0">
        <w:t>nalysis</w:t>
      </w:r>
      <w:bookmarkEnd w:id="57"/>
      <w:r w:rsidR="00CD260F" w:rsidRPr="00E631B0">
        <w:t xml:space="preserve"> </w:t>
      </w:r>
    </w:p>
    <w:p w14:paraId="2F6FFBE1" w14:textId="142F0103" w:rsidR="00981892" w:rsidRPr="00E631B0" w:rsidRDefault="00981892" w:rsidP="00AD7EAC">
      <w:pPr>
        <w:spacing w:line="240" w:lineRule="auto"/>
        <w:jc w:val="left"/>
        <w:rPr>
          <w:rFonts w:asciiTheme="minorHAnsi" w:hAnsiTheme="minorHAnsi"/>
          <w:szCs w:val="24"/>
        </w:rPr>
      </w:pPr>
      <w:r w:rsidRPr="00E631B0">
        <w:rPr>
          <w:rFonts w:asciiTheme="minorHAnsi" w:hAnsiTheme="minorHAnsi"/>
          <w:szCs w:val="24"/>
        </w:rPr>
        <w:t xml:space="preserve">The </w:t>
      </w:r>
      <w:r w:rsidR="00DF59D2" w:rsidRPr="00E631B0">
        <w:rPr>
          <w:rFonts w:asciiTheme="minorHAnsi" w:hAnsiTheme="minorHAnsi"/>
          <w:szCs w:val="24"/>
        </w:rPr>
        <w:t>DUSC</w:t>
      </w:r>
      <w:r w:rsidRPr="00E631B0">
        <w:rPr>
          <w:rFonts w:asciiTheme="minorHAnsi" w:hAnsiTheme="minorHAnsi"/>
          <w:szCs w:val="24"/>
        </w:rPr>
        <w:t xml:space="preserve"> </w:t>
      </w:r>
      <w:r w:rsidR="00DF59D2" w:rsidRPr="00E631B0">
        <w:rPr>
          <w:rFonts w:asciiTheme="minorHAnsi" w:hAnsiTheme="minorHAnsi"/>
          <w:szCs w:val="24"/>
        </w:rPr>
        <w:t>reviewed the results of the</w:t>
      </w:r>
      <w:r w:rsidRPr="00E631B0">
        <w:rPr>
          <w:rFonts w:asciiTheme="minorHAnsi" w:hAnsiTheme="minorHAnsi"/>
          <w:szCs w:val="24"/>
        </w:rPr>
        <w:t xml:space="preserve"> initial </w:t>
      </w:r>
      <w:r w:rsidR="00DF59D2" w:rsidRPr="00E631B0">
        <w:rPr>
          <w:rFonts w:asciiTheme="minorHAnsi" w:hAnsiTheme="minorHAnsi"/>
          <w:szCs w:val="24"/>
        </w:rPr>
        <w:t xml:space="preserve">December 2016 Analysis </w:t>
      </w:r>
      <w:r w:rsidRPr="00E631B0">
        <w:rPr>
          <w:rFonts w:asciiTheme="minorHAnsi" w:hAnsiTheme="minorHAnsi"/>
          <w:szCs w:val="24"/>
        </w:rPr>
        <w:t>in February 2017 and requested an additional analysis using the same dataset be conducted to more comprehensively answer the above research question to address TOR 1. The DUSC’s view was that not all utilisation pre and post ezetimibe initiation had been linked at the individual patient level and that this was likely to have underestimated the number of patients who were not using ezetimibe in accordance with the restriction.</w:t>
      </w:r>
    </w:p>
    <w:p w14:paraId="761EA6F3" w14:textId="77777777" w:rsidR="0000686B" w:rsidRPr="00E631B0" w:rsidRDefault="0000686B" w:rsidP="00AD7EAC">
      <w:pPr>
        <w:spacing w:line="240" w:lineRule="auto"/>
        <w:jc w:val="left"/>
        <w:rPr>
          <w:rFonts w:asciiTheme="minorHAnsi" w:hAnsiTheme="minorHAnsi" w:cs="Arial"/>
          <w:szCs w:val="24"/>
        </w:rPr>
      </w:pPr>
      <w:r w:rsidRPr="00E631B0">
        <w:rPr>
          <w:rFonts w:asciiTheme="minorHAnsi" w:hAnsiTheme="minorHAnsi" w:cs="Arial"/>
          <w:szCs w:val="24"/>
        </w:rPr>
        <w:t>DUSC was also concerned that some of the methodology for the analysis of PBS data was not sufficiently defined in the report and suggested further clarification of these methods should be provided along with any additional analysis of the data.</w:t>
      </w:r>
    </w:p>
    <w:p w14:paraId="10F7ABAC" w14:textId="140B11FE" w:rsidR="0000686B" w:rsidRPr="00E631B0" w:rsidRDefault="003848A8" w:rsidP="00382D53">
      <w:pPr>
        <w:pStyle w:val="Heading3"/>
      </w:pPr>
      <w:bookmarkStart w:id="58" w:name="_Toc500510220"/>
      <w:r w:rsidRPr="00E631B0">
        <w:t>1</w:t>
      </w:r>
      <w:r w:rsidR="00C05E80" w:rsidRPr="00E631B0">
        <w:t>.</w:t>
      </w:r>
      <w:r w:rsidR="0000686B" w:rsidRPr="00E631B0">
        <w:t>2.</w:t>
      </w:r>
      <w:r w:rsidR="00CD260F" w:rsidRPr="00E631B0">
        <w:t>4</w:t>
      </w:r>
      <w:r w:rsidR="0000686B" w:rsidRPr="00E631B0">
        <w:tab/>
        <w:t xml:space="preserve"> Methods - </w:t>
      </w:r>
      <w:r w:rsidR="001751C4" w:rsidRPr="00E631B0">
        <w:t xml:space="preserve">March 2017 </w:t>
      </w:r>
      <w:r w:rsidR="00341378" w:rsidRPr="00E631B0">
        <w:t>a</w:t>
      </w:r>
      <w:r w:rsidR="0000686B" w:rsidRPr="00E631B0">
        <w:t>nalysis</w:t>
      </w:r>
      <w:bookmarkEnd w:id="58"/>
      <w:r w:rsidR="0000686B" w:rsidRPr="00E631B0">
        <w:t xml:space="preserve"> </w:t>
      </w:r>
    </w:p>
    <w:p w14:paraId="08818E79" w14:textId="4F282918" w:rsidR="009C01A7" w:rsidRPr="00E631B0" w:rsidRDefault="009C01A7" w:rsidP="00AD7EAC">
      <w:pPr>
        <w:spacing w:line="240" w:lineRule="auto"/>
        <w:jc w:val="left"/>
        <w:rPr>
          <w:rFonts w:asciiTheme="minorHAnsi" w:eastAsiaTheme="majorEastAsia" w:hAnsiTheme="minorHAnsi" w:cstheme="majorBidi"/>
          <w:szCs w:val="24"/>
        </w:rPr>
      </w:pPr>
      <w:r w:rsidRPr="00E631B0">
        <w:rPr>
          <w:rFonts w:asciiTheme="minorHAnsi" w:eastAsiaTheme="majorEastAsia" w:hAnsiTheme="minorHAnsi" w:cstheme="majorBidi"/>
          <w:szCs w:val="24"/>
        </w:rPr>
        <w:t>The approach for the additional analysis of PBS prescription data replicates and expands on the approach described in the original report</w:t>
      </w:r>
      <w:r w:rsidR="00431C89" w:rsidRPr="00E631B0">
        <w:rPr>
          <w:rFonts w:asciiTheme="minorHAnsi" w:eastAsiaTheme="majorEastAsia" w:hAnsiTheme="minorHAnsi" w:cstheme="majorBidi"/>
          <w:szCs w:val="24"/>
        </w:rPr>
        <w:t xml:space="preserve"> (see </w:t>
      </w:r>
      <w:r w:rsidR="00431C89" w:rsidRPr="00E631B0">
        <w:rPr>
          <w:rFonts w:asciiTheme="minorHAnsi" w:eastAsiaTheme="majorEastAsia" w:hAnsiTheme="minorHAnsi" w:cstheme="majorBidi"/>
          <w:b/>
          <w:szCs w:val="24"/>
        </w:rPr>
        <w:t>Appendix E</w:t>
      </w:r>
      <w:r w:rsidR="00431C89" w:rsidRPr="00E631B0">
        <w:rPr>
          <w:rFonts w:asciiTheme="minorHAnsi" w:eastAsiaTheme="majorEastAsia" w:hAnsiTheme="minorHAnsi" w:cstheme="majorBidi"/>
          <w:szCs w:val="24"/>
        </w:rPr>
        <w:t xml:space="preserve"> </w:t>
      </w:r>
      <w:r w:rsidR="00537890" w:rsidRPr="00E631B0">
        <w:rPr>
          <w:rFonts w:asciiTheme="minorHAnsi" w:eastAsiaTheme="majorEastAsia" w:hAnsiTheme="minorHAnsi" w:cstheme="majorBidi"/>
          <w:szCs w:val="24"/>
        </w:rPr>
        <w:t>S</w:t>
      </w:r>
      <w:r w:rsidR="00431C89" w:rsidRPr="00E631B0">
        <w:rPr>
          <w:rFonts w:asciiTheme="minorHAnsi" w:eastAsiaTheme="majorEastAsia" w:hAnsiTheme="minorHAnsi" w:cstheme="majorBidi"/>
          <w:szCs w:val="24"/>
        </w:rPr>
        <w:t>ection 2.3 p.8</w:t>
      </w:r>
      <w:r w:rsidR="00537890" w:rsidRPr="00E631B0">
        <w:rPr>
          <w:rFonts w:asciiTheme="minorHAnsi" w:eastAsiaTheme="majorEastAsia" w:hAnsiTheme="minorHAnsi" w:cstheme="majorBidi"/>
          <w:szCs w:val="24"/>
        </w:rPr>
        <w:t>). P</w:t>
      </w:r>
      <w:r w:rsidRPr="00E631B0">
        <w:rPr>
          <w:rFonts w:asciiTheme="minorHAnsi" w:eastAsiaTheme="majorEastAsia" w:hAnsiTheme="minorHAnsi" w:cstheme="majorBidi"/>
          <w:szCs w:val="24"/>
        </w:rPr>
        <w:t>re- and post-ezetimibe history of statin use</w:t>
      </w:r>
      <w:r w:rsidR="00537890" w:rsidRPr="00E631B0">
        <w:rPr>
          <w:rFonts w:asciiTheme="minorHAnsi" w:eastAsiaTheme="majorEastAsia" w:hAnsiTheme="minorHAnsi" w:cstheme="majorBidi"/>
          <w:szCs w:val="24"/>
        </w:rPr>
        <w:t xml:space="preserve"> was linked by i</w:t>
      </w:r>
      <w:r w:rsidRPr="00E631B0">
        <w:rPr>
          <w:rFonts w:asciiTheme="minorHAnsi" w:eastAsiaTheme="majorEastAsia" w:hAnsiTheme="minorHAnsi" w:cstheme="majorBidi"/>
          <w:szCs w:val="24"/>
        </w:rPr>
        <w:t xml:space="preserve">dentifying patients in Cohort 2 in whom statin therapy was up-titrated at the time of, or after, initiation of ezetimibe. This approach allows for an estimation of the use of ezetimibe on the PBS, which is inconsistent with </w:t>
      </w:r>
      <w:r w:rsidR="003A476E" w:rsidRPr="00E631B0">
        <w:rPr>
          <w:rFonts w:asciiTheme="minorHAnsi" w:eastAsiaTheme="majorEastAsia" w:hAnsiTheme="minorHAnsi" w:cstheme="majorBidi"/>
          <w:szCs w:val="24"/>
        </w:rPr>
        <w:t xml:space="preserve">the PBS </w:t>
      </w:r>
      <w:r w:rsidRPr="00E631B0">
        <w:rPr>
          <w:rFonts w:asciiTheme="minorHAnsi" w:eastAsiaTheme="majorEastAsia" w:hAnsiTheme="minorHAnsi" w:cstheme="majorBidi"/>
          <w:szCs w:val="24"/>
        </w:rPr>
        <w:t xml:space="preserve">restriction. </w:t>
      </w:r>
    </w:p>
    <w:p w14:paraId="6D437924" w14:textId="77777777" w:rsidR="009C01A7" w:rsidRPr="00E631B0" w:rsidRDefault="009C01A7" w:rsidP="00AD7EAC">
      <w:pPr>
        <w:spacing w:after="120" w:line="240" w:lineRule="auto"/>
        <w:jc w:val="left"/>
        <w:rPr>
          <w:rFonts w:asciiTheme="minorHAnsi" w:hAnsiTheme="minorHAnsi"/>
          <w:szCs w:val="24"/>
        </w:rPr>
      </w:pPr>
      <w:r w:rsidRPr="00E631B0">
        <w:rPr>
          <w:rFonts w:asciiTheme="minorHAnsi" w:hAnsiTheme="minorHAnsi"/>
          <w:szCs w:val="24"/>
        </w:rPr>
        <w:t>DUSC suggested that the following three groups could be more accurately identified in PBS data:</w:t>
      </w:r>
    </w:p>
    <w:p w14:paraId="508B5B54" w14:textId="77777777" w:rsidR="009C01A7" w:rsidRPr="005869C5" w:rsidRDefault="009C01A7" w:rsidP="00AD7EAC">
      <w:pPr>
        <w:tabs>
          <w:tab w:val="left" w:pos="284"/>
        </w:tabs>
        <w:spacing w:after="120" w:line="240" w:lineRule="auto"/>
        <w:ind w:left="567" w:hanging="283"/>
        <w:jc w:val="left"/>
        <w:rPr>
          <w:rFonts w:asciiTheme="minorHAnsi" w:hAnsiTheme="minorHAnsi"/>
          <w:szCs w:val="24"/>
        </w:rPr>
      </w:pPr>
      <w:r w:rsidRPr="005869C5">
        <w:rPr>
          <w:rFonts w:asciiTheme="minorHAnsi" w:hAnsiTheme="minorHAnsi"/>
          <w:szCs w:val="24"/>
        </w:rPr>
        <w:t>•</w:t>
      </w:r>
      <w:r w:rsidRPr="005869C5">
        <w:rPr>
          <w:rFonts w:asciiTheme="minorHAnsi" w:hAnsiTheme="minorHAnsi"/>
          <w:szCs w:val="24"/>
        </w:rPr>
        <w:tab/>
      </w:r>
      <w:r w:rsidRPr="00E631B0">
        <w:rPr>
          <w:rFonts w:asciiTheme="minorHAnsi" w:hAnsiTheme="minorHAnsi"/>
          <w:szCs w:val="24"/>
        </w:rPr>
        <w:t xml:space="preserve">those initiating ezetimibe in accordance with the PBS restriction </w:t>
      </w:r>
      <w:r w:rsidRPr="005869C5">
        <w:rPr>
          <w:rFonts w:asciiTheme="minorHAnsi" w:hAnsiTheme="minorHAnsi"/>
          <w:szCs w:val="24"/>
        </w:rPr>
        <w:t>(</w:t>
      </w:r>
      <w:r w:rsidRPr="005869C5">
        <w:rPr>
          <w:rFonts w:asciiTheme="minorHAnsi" w:hAnsiTheme="minorHAnsi"/>
          <w:color w:val="00B050"/>
          <w:szCs w:val="24"/>
        </w:rPr>
        <w:t>green</w:t>
      </w:r>
      <w:r w:rsidRPr="005869C5">
        <w:rPr>
          <w:rFonts w:asciiTheme="minorHAnsi" w:hAnsiTheme="minorHAnsi"/>
          <w:szCs w:val="24"/>
        </w:rPr>
        <w:t xml:space="preserve">); </w:t>
      </w:r>
    </w:p>
    <w:p w14:paraId="0D3B8C19" w14:textId="6A468B22" w:rsidR="009C01A7" w:rsidRPr="005869C5" w:rsidRDefault="009C01A7" w:rsidP="00AD7EAC">
      <w:pPr>
        <w:tabs>
          <w:tab w:val="left" w:pos="284"/>
        </w:tabs>
        <w:spacing w:after="120" w:line="240" w:lineRule="auto"/>
        <w:ind w:left="567" w:hanging="283"/>
        <w:jc w:val="left"/>
        <w:rPr>
          <w:rFonts w:asciiTheme="minorHAnsi" w:hAnsiTheme="minorHAnsi"/>
          <w:szCs w:val="24"/>
        </w:rPr>
      </w:pPr>
      <w:r w:rsidRPr="005869C5">
        <w:rPr>
          <w:rFonts w:asciiTheme="minorHAnsi" w:hAnsiTheme="minorHAnsi"/>
          <w:szCs w:val="24"/>
        </w:rPr>
        <w:t>•</w:t>
      </w:r>
      <w:r w:rsidRPr="005869C5">
        <w:rPr>
          <w:rFonts w:asciiTheme="minorHAnsi" w:hAnsiTheme="minorHAnsi"/>
          <w:szCs w:val="24"/>
        </w:rPr>
        <w:tab/>
      </w:r>
      <w:r w:rsidRPr="00E631B0">
        <w:rPr>
          <w:rFonts w:asciiTheme="minorHAnsi" w:hAnsiTheme="minorHAnsi"/>
          <w:szCs w:val="24"/>
        </w:rPr>
        <w:t xml:space="preserve">those initiating ezetimibe in a manner that is not consistent with the PBS restriction </w:t>
      </w:r>
      <w:r w:rsidRPr="005869C5">
        <w:rPr>
          <w:rFonts w:asciiTheme="minorHAnsi" w:hAnsiTheme="minorHAnsi"/>
          <w:szCs w:val="24"/>
        </w:rPr>
        <w:t>(</w:t>
      </w:r>
      <w:r w:rsidRPr="005869C5">
        <w:rPr>
          <w:rFonts w:asciiTheme="minorHAnsi" w:hAnsiTheme="minorHAnsi"/>
          <w:color w:val="C00000"/>
          <w:szCs w:val="24"/>
        </w:rPr>
        <w:t>red</w:t>
      </w:r>
      <w:r w:rsidRPr="005869C5">
        <w:rPr>
          <w:rFonts w:asciiTheme="minorHAnsi" w:hAnsiTheme="minorHAnsi"/>
          <w:szCs w:val="24"/>
        </w:rPr>
        <w:t>);</w:t>
      </w:r>
      <w:r w:rsidR="00981892" w:rsidRPr="005869C5">
        <w:rPr>
          <w:rFonts w:asciiTheme="minorHAnsi" w:hAnsiTheme="minorHAnsi"/>
          <w:szCs w:val="24"/>
        </w:rPr>
        <w:t xml:space="preserve"> </w:t>
      </w:r>
      <w:r w:rsidRPr="005869C5">
        <w:rPr>
          <w:rFonts w:asciiTheme="minorHAnsi" w:hAnsiTheme="minorHAnsi"/>
          <w:szCs w:val="24"/>
        </w:rPr>
        <w:t xml:space="preserve">and </w:t>
      </w:r>
    </w:p>
    <w:p w14:paraId="407A41BF" w14:textId="77777777" w:rsidR="009C01A7" w:rsidRPr="005869C5" w:rsidRDefault="009C01A7" w:rsidP="00AD7EAC">
      <w:pPr>
        <w:tabs>
          <w:tab w:val="left" w:pos="284"/>
        </w:tabs>
        <w:spacing w:after="120" w:line="240" w:lineRule="auto"/>
        <w:ind w:left="567" w:hanging="283"/>
        <w:jc w:val="left"/>
        <w:rPr>
          <w:rFonts w:asciiTheme="minorHAnsi" w:hAnsiTheme="minorHAnsi"/>
          <w:szCs w:val="24"/>
        </w:rPr>
      </w:pPr>
      <w:r w:rsidRPr="005869C5">
        <w:rPr>
          <w:rFonts w:asciiTheme="minorHAnsi" w:hAnsiTheme="minorHAnsi"/>
          <w:szCs w:val="24"/>
        </w:rPr>
        <w:t>•</w:t>
      </w:r>
      <w:r w:rsidRPr="005869C5">
        <w:rPr>
          <w:rFonts w:asciiTheme="minorHAnsi" w:hAnsiTheme="minorHAnsi"/>
          <w:szCs w:val="24"/>
        </w:rPr>
        <w:tab/>
      </w:r>
      <w:r w:rsidRPr="00E631B0">
        <w:rPr>
          <w:rFonts w:asciiTheme="minorHAnsi" w:hAnsiTheme="minorHAnsi"/>
          <w:szCs w:val="24"/>
        </w:rPr>
        <w:t xml:space="preserve">the remainder for whom compliance with the PBS restriction is unknown </w:t>
      </w:r>
      <w:r w:rsidRPr="005869C5">
        <w:rPr>
          <w:rFonts w:asciiTheme="minorHAnsi" w:hAnsiTheme="minorHAnsi"/>
          <w:szCs w:val="24"/>
        </w:rPr>
        <w:t>(</w:t>
      </w:r>
      <w:r w:rsidRPr="005869C5">
        <w:rPr>
          <w:rFonts w:asciiTheme="minorHAnsi" w:hAnsiTheme="minorHAnsi"/>
          <w:color w:val="FF6600"/>
          <w:szCs w:val="24"/>
        </w:rPr>
        <w:t>orange</w:t>
      </w:r>
      <w:r w:rsidRPr="005869C5">
        <w:rPr>
          <w:rFonts w:asciiTheme="minorHAnsi" w:hAnsiTheme="minorHAnsi"/>
          <w:szCs w:val="24"/>
        </w:rPr>
        <w:t xml:space="preserve">).  </w:t>
      </w:r>
    </w:p>
    <w:p w14:paraId="2D390BBD" w14:textId="2F547649" w:rsidR="009C01A7" w:rsidRPr="00E631B0" w:rsidRDefault="009C01A7" w:rsidP="00AD7EAC">
      <w:pPr>
        <w:spacing w:line="240" w:lineRule="auto"/>
        <w:jc w:val="left"/>
        <w:rPr>
          <w:rFonts w:asciiTheme="minorHAnsi" w:hAnsiTheme="minorHAnsi"/>
          <w:szCs w:val="24"/>
        </w:rPr>
      </w:pPr>
      <w:r w:rsidRPr="005869C5">
        <w:rPr>
          <w:rFonts w:asciiTheme="minorHAnsi" w:hAnsiTheme="minorHAnsi"/>
          <w:szCs w:val="24"/>
        </w:rPr>
        <w:lastRenderedPageBreak/>
        <w:t>The tables representing the decision matrix for classifying patients into these three groups (</w:t>
      </w:r>
      <w:r w:rsidRPr="005869C5">
        <w:rPr>
          <w:rFonts w:asciiTheme="minorHAnsi" w:hAnsiTheme="minorHAnsi"/>
          <w:color w:val="C00000"/>
          <w:szCs w:val="24"/>
        </w:rPr>
        <w:t>red,</w:t>
      </w:r>
      <w:r w:rsidRPr="005869C5">
        <w:rPr>
          <w:rFonts w:asciiTheme="minorHAnsi" w:hAnsiTheme="minorHAnsi"/>
          <w:color w:val="FF0000"/>
          <w:szCs w:val="24"/>
        </w:rPr>
        <w:t xml:space="preserve"> </w:t>
      </w:r>
      <w:r w:rsidRPr="005869C5">
        <w:rPr>
          <w:rFonts w:asciiTheme="minorHAnsi" w:hAnsiTheme="minorHAnsi"/>
          <w:color w:val="00B050"/>
          <w:szCs w:val="24"/>
        </w:rPr>
        <w:t>green</w:t>
      </w:r>
      <w:r w:rsidRPr="005869C5">
        <w:rPr>
          <w:rFonts w:asciiTheme="minorHAnsi" w:hAnsiTheme="minorHAnsi"/>
          <w:szCs w:val="24"/>
        </w:rPr>
        <w:t xml:space="preserve"> and </w:t>
      </w:r>
      <w:r w:rsidRPr="005869C5">
        <w:rPr>
          <w:rFonts w:asciiTheme="minorHAnsi" w:hAnsiTheme="minorHAnsi"/>
          <w:color w:val="FF6600"/>
          <w:szCs w:val="24"/>
        </w:rPr>
        <w:t>orange</w:t>
      </w:r>
      <w:r w:rsidRPr="00E631B0">
        <w:rPr>
          <w:rFonts w:asciiTheme="minorHAnsi" w:hAnsiTheme="minorHAnsi"/>
          <w:szCs w:val="24"/>
        </w:rPr>
        <w:t xml:space="preserve">) according to the history of dispensing of lipid lowering medicines before and after initiating ezetimibe are presented in </w:t>
      </w:r>
      <w:r w:rsidR="00DF59D2" w:rsidRPr="00E631B0">
        <w:rPr>
          <w:rFonts w:asciiTheme="minorHAnsi" w:hAnsiTheme="minorHAnsi"/>
          <w:b/>
        </w:rPr>
        <w:t>Appendix</w:t>
      </w:r>
      <w:r w:rsidR="00DF59D2" w:rsidRPr="00E631B0">
        <w:rPr>
          <w:rFonts w:asciiTheme="minorHAnsi" w:hAnsiTheme="minorHAnsi"/>
          <w:b/>
          <w:szCs w:val="24"/>
        </w:rPr>
        <w:t> </w:t>
      </w:r>
      <w:r w:rsidR="00981892" w:rsidRPr="00E631B0">
        <w:rPr>
          <w:rFonts w:asciiTheme="minorHAnsi" w:hAnsiTheme="minorHAnsi"/>
          <w:b/>
        </w:rPr>
        <w:t>E</w:t>
      </w:r>
      <w:r w:rsidR="00981892" w:rsidRPr="00E631B0">
        <w:rPr>
          <w:rFonts w:asciiTheme="minorHAnsi" w:hAnsiTheme="minorHAnsi"/>
          <w:szCs w:val="24"/>
        </w:rPr>
        <w:t xml:space="preserve">, </w:t>
      </w:r>
      <w:r w:rsidR="001751C4" w:rsidRPr="00E631B0">
        <w:rPr>
          <w:rFonts w:asciiTheme="minorHAnsi" w:hAnsiTheme="minorHAnsi"/>
          <w:szCs w:val="24"/>
        </w:rPr>
        <w:t xml:space="preserve">March 2017 </w:t>
      </w:r>
      <w:r w:rsidR="00981892" w:rsidRPr="00E631B0">
        <w:rPr>
          <w:rFonts w:asciiTheme="minorHAnsi" w:hAnsiTheme="minorHAnsi"/>
          <w:szCs w:val="24"/>
        </w:rPr>
        <w:t>Analysis</w:t>
      </w:r>
      <w:r w:rsidR="00DF59D2" w:rsidRPr="00E631B0">
        <w:rPr>
          <w:rFonts w:asciiTheme="minorHAnsi" w:hAnsiTheme="minorHAnsi"/>
          <w:szCs w:val="24"/>
        </w:rPr>
        <w:t>,</w:t>
      </w:r>
      <w:r w:rsidR="00981892" w:rsidRPr="00E631B0">
        <w:rPr>
          <w:rFonts w:asciiTheme="minorHAnsi" w:hAnsiTheme="minorHAnsi"/>
          <w:szCs w:val="24"/>
        </w:rPr>
        <w:t xml:space="preserve"> </w:t>
      </w:r>
      <w:r w:rsidR="00D443D1" w:rsidRPr="00E631B0">
        <w:rPr>
          <w:rFonts w:asciiTheme="minorHAnsi" w:hAnsiTheme="minorHAnsi"/>
          <w:szCs w:val="24"/>
        </w:rPr>
        <w:t>Tables B1 and B2</w:t>
      </w:r>
      <w:r w:rsidR="00DF59D2" w:rsidRPr="00E631B0">
        <w:rPr>
          <w:rFonts w:asciiTheme="minorHAnsi" w:hAnsiTheme="minorHAnsi"/>
          <w:szCs w:val="24"/>
        </w:rPr>
        <w:t>,</w:t>
      </w:r>
      <w:r w:rsidR="00D443D1" w:rsidRPr="00E631B0">
        <w:rPr>
          <w:rFonts w:asciiTheme="minorHAnsi" w:hAnsiTheme="minorHAnsi"/>
          <w:szCs w:val="24"/>
        </w:rPr>
        <w:t xml:space="preserve"> </w:t>
      </w:r>
      <w:r w:rsidR="00981892" w:rsidRPr="00E631B0">
        <w:rPr>
          <w:rFonts w:asciiTheme="minorHAnsi" w:hAnsiTheme="minorHAnsi"/>
          <w:szCs w:val="24"/>
        </w:rPr>
        <w:t>p</w:t>
      </w:r>
      <w:r w:rsidR="002A465C" w:rsidRPr="00E631B0">
        <w:rPr>
          <w:rFonts w:asciiTheme="minorHAnsi" w:hAnsiTheme="minorHAnsi"/>
          <w:szCs w:val="24"/>
        </w:rPr>
        <w:t xml:space="preserve"> 3</w:t>
      </w:r>
      <w:r w:rsidR="00D15002" w:rsidRPr="00E631B0">
        <w:rPr>
          <w:rFonts w:asciiTheme="minorHAnsi" w:hAnsiTheme="minorHAnsi"/>
          <w:szCs w:val="24"/>
        </w:rPr>
        <w:t>6</w:t>
      </w:r>
      <w:r w:rsidRPr="00E631B0">
        <w:rPr>
          <w:rFonts w:asciiTheme="minorHAnsi" w:hAnsiTheme="minorHAnsi"/>
          <w:szCs w:val="24"/>
        </w:rPr>
        <w:t xml:space="preserve">. These tables were presented to the Reference Group on 17 March 2017, to seek additional clinical input and agreement on the colour coding of each cell in the decision matrix. All coloured cells include discrete patient numbers from Cohort 1 and Cohort 2. </w:t>
      </w:r>
    </w:p>
    <w:p w14:paraId="008412DA" w14:textId="5728A3CB" w:rsidR="009C01A7" w:rsidRPr="00E631B0" w:rsidRDefault="009C01A7" w:rsidP="00AD7EAC">
      <w:pPr>
        <w:spacing w:after="120" w:line="240" w:lineRule="auto"/>
        <w:jc w:val="left"/>
        <w:rPr>
          <w:rFonts w:asciiTheme="minorHAnsi" w:hAnsiTheme="minorHAnsi"/>
          <w:szCs w:val="24"/>
        </w:rPr>
      </w:pPr>
      <w:r w:rsidRPr="00E631B0">
        <w:rPr>
          <w:rFonts w:asciiTheme="minorHAnsi" w:hAnsiTheme="minorHAnsi"/>
          <w:szCs w:val="24"/>
        </w:rPr>
        <w:t xml:space="preserve">This additional analysis </w:t>
      </w:r>
      <w:r w:rsidR="00D007AE" w:rsidRPr="00E631B0">
        <w:rPr>
          <w:rFonts w:asciiTheme="minorHAnsi" w:hAnsiTheme="minorHAnsi"/>
          <w:szCs w:val="24"/>
        </w:rPr>
        <w:t xml:space="preserve">used </w:t>
      </w:r>
      <w:r w:rsidRPr="00E631B0">
        <w:rPr>
          <w:rFonts w:asciiTheme="minorHAnsi" w:hAnsiTheme="minorHAnsi"/>
          <w:szCs w:val="24"/>
        </w:rPr>
        <w:t xml:space="preserve">the same study population identified in Deakin’s ezetimibe utilisation </w:t>
      </w:r>
      <w:r w:rsidR="00D007AE" w:rsidRPr="00E631B0">
        <w:rPr>
          <w:rFonts w:asciiTheme="minorHAnsi" w:hAnsiTheme="minorHAnsi"/>
          <w:szCs w:val="24"/>
        </w:rPr>
        <w:t xml:space="preserve">December </w:t>
      </w:r>
      <w:r w:rsidRPr="00E631B0">
        <w:rPr>
          <w:rFonts w:asciiTheme="minorHAnsi" w:hAnsiTheme="minorHAnsi"/>
          <w:szCs w:val="24"/>
        </w:rPr>
        <w:t xml:space="preserve">2016 </w:t>
      </w:r>
      <w:r w:rsidR="00D007AE" w:rsidRPr="00E631B0">
        <w:rPr>
          <w:rFonts w:asciiTheme="minorHAnsi" w:hAnsiTheme="minorHAnsi"/>
          <w:szCs w:val="24"/>
        </w:rPr>
        <w:t xml:space="preserve">Analysis </w:t>
      </w:r>
      <w:r w:rsidRPr="00E631B0">
        <w:rPr>
          <w:rFonts w:asciiTheme="minorHAnsi" w:hAnsiTheme="minorHAnsi"/>
          <w:szCs w:val="24"/>
        </w:rPr>
        <w:t>(</w:t>
      </w:r>
      <w:r w:rsidRPr="00E631B0">
        <w:rPr>
          <w:rFonts w:asciiTheme="minorHAnsi" w:hAnsiTheme="minorHAnsi"/>
          <w:b/>
          <w:szCs w:val="24"/>
        </w:rPr>
        <w:t>Appendix E</w:t>
      </w:r>
      <w:r w:rsidR="00D007AE" w:rsidRPr="00E631B0">
        <w:rPr>
          <w:rFonts w:asciiTheme="minorHAnsi" w:hAnsiTheme="minorHAnsi"/>
          <w:b/>
          <w:szCs w:val="24"/>
        </w:rPr>
        <w:t>,</w:t>
      </w:r>
      <w:r w:rsidRPr="00E631B0">
        <w:rPr>
          <w:rFonts w:asciiTheme="minorHAnsi" w:hAnsiTheme="minorHAnsi"/>
          <w:szCs w:val="24"/>
        </w:rPr>
        <w:t xml:space="preserve"> p</w:t>
      </w:r>
      <w:r w:rsidR="002A465C" w:rsidRPr="00E631B0">
        <w:rPr>
          <w:rFonts w:asciiTheme="minorHAnsi" w:hAnsiTheme="minorHAnsi"/>
          <w:szCs w:val="24"/>
        </w:rPr>
        <w:t xml:space="preserve"> </w:t>
      </w:r>
      <w:r w:rsidR="00D15002" w:rsidRPr="00E631B0">
        <w:rPr>
          <w:rFonts w:asciiTheme="minorHAnsi" w:hAnsiTheme="minorHAnsi"/>
          <w:szCs w:val="24"/>
        </w:rPr>
        <w:t>2</w:t>
      </w:r>
      <w:r w:rsidRPr="00E631B0">
        <w:rPr>
          <w:rFonts w:asciiTheme="minorHAnsi" w:hAnsiTheme="minorHAnsi"/>
          <w:szCs w:val="24"/>
        </w:rPr>
        <w:t>) i</w:t>
      </w:r>
      <w:r w:rsidR="00AD0496" w:rsidRPr="00E631B0">
        <w:rPr>
          <w:rFonts w:asciiTheme="minorHAnsi" w:hAnsiTheme="minorHAnsi"/>
          <w:szCs w:val="24"/>
        </w:rPr>
        <w:t>.</w:t>
      </w:r>
      <w:r w:rsidRPr="00E631B0">
        <w:rPr>
          <w:rFonts w:asciiTheme="minorHAnsi" w:hAnsiTheme="minorHAnsi"/>
          <w:szCs w:val="24"/>
        </w:rPr>
        <w:t>e</w:t>
      </w:r>
      <w:r w:rsidR="00AD0496" w:rsidRPr="00E631B0">
        <w:rPr>
          <w:rFonts w:asciiTheme="minorHAnsi" w:hAnsiTheme="minorHAnsi"/>
          <w:szCs w:val="24"/>
        </w:rPr>
        <w:t>.</w:t>
      </w:r>
      <w:r w:rsidRPr="00E631B0">
        <w:rPr>
          <w:rFonts w:asciiTheme="minorHAnsi" w:hAnsiTheme="minorHAnsi"/>
          <w:szCs w:val="24"/>
        </w:rPr>
        <w:t>, people who received their first prescription for ezetimibe be</w:t>
      </w:r>
      <w:r w:rsidR="00D007AE" w:rsidRPr="00E631B0">
        <w:rPr>
          <w:rFonts w:asciiTheme="minorHAnsi" w:hAnsiTheme="minorHAnsi"/>
          <w:szCs w:val="24"/>
        </w:rPr>
        <w:t>tween 1 April 2014 and 31 March </w:t>
      </w:r>
      <w:r w:rsidRPr="00E631B0">
        <w:rPr>
          <w:rFonts w:asciiTheme="minorHAnsi" w:hAnsiTheme="minorHAnsi"/>
          <w:szCs w:val="24"/>
        </w:rPr>
        <w:t>2015. Initiators to ezetimibe were further categorised into the following two cohorts, those with:</w:t>
      </w:r>
    </w:p>
    <w:p w14:paraId="65D3E9B8" w14:textId="4D208101" w:rsidR="009C01A7" w:rsidRPr="00E631B0" w:rsidRDefault="009C01A7" w:rsidP="00AD7EAC">
      <w:pPr>
        <w:pStyle w:val="ListParagraph"/>
        <w:numPr>
          <w:ilvl w:val="0"/>
          <w:numId w:val="27"/>
        </w:numPr>
        <w:spacing w:line="240" w:lineRule="auto"/>
        <w:ind w:left="567" w:hanging="283"/>
        <w:jc w:val="left"/>
        <w:rPr>
          <w:rFonts w:asciiTheme="minorHAnsi" w:hAnsiTheme="minorHAnsi"/>
          <w:szCs w:val="24"/>
        </w:rPr>
      </w:pPr>
      <w:r w:rsidRPr="00E631B0">
        <w:rPr>
          <w:rFonts w:asciiTheme="minorHAnsi" w:hAnsiTheme="minorHAnsi"/>
          <w:szCs w:val="24"/>
        </w:rPr>
        <w:t>no history of statin or non-statin LLT in the 24 months prior to ezetimibe initiation (</w:t>
      </w:r>
      <w:r w:rsidRPr="00E631B0">
        <w:rPr>
          <w:rFonts w:asciiTheme="minorHAnsi" w:hAnsiTheme="minorHAnsi"/>
          <w:b/>
          <w:szCs w:val="24"/>
        </w:rPr>
        <w:t>Cohort 1</w:t>
      </w:r>
      <w:r w:rsidR="00D007AE" w:rsidRPr="00E631B0">
        <w:rPr>
          <w:rFonts w:asciiTheme="minorHAnsi" w:hAnsiTheme="minorHAnsi"/>
          <w:szCs w:val="24"/>
        </w:rPr>
        <w:t>)</w:t>
      </w:r>
    </w:p>
    <w:p w14:paraId="0DBA1E5A" w14:textId="77777777" w:rsidR="009C01A7" w:rsidRPr="00E631B0" w:rsidRDefault="009C01A7" w:rsidP="00AD7EAC">
      <w:pPr>
        <w:pStyle w:val="ListParagraph"/>
        <w:numPr>
          <w:ilvl w:val="0"/>
          <w:numId w:val="27"/>
        </w:numPr>
        <w:spacing w:line="240" w:lineRule="auto"/>
        <w:ind w:left="567" w:hanging="283"/>
        <w:jc w:val="left"/>
        <w:rPr>
          <w:rFonts w:asciiTheme="minorHAnsi" w:hAnsiTheme="minorHAnsi"/>
          <w:szCs w:val="24"/>
        </w:rPr>
      </w:pPr>
      <w:r w:rsidRPr="00E631B0">
        <w:rPr>
          <w:rFonts w:asciiTheme="minorHAnsi" w:hAnsiTheme="minorHAnsi"/>
          <w:szCs w:val="24"/>
        </w:rPr>
        <w:t>a history of statin or non-statin LLT in the 24 months prior to ezetimibe initiation (</w:t>
      </w:r>
      <w:r w:rsidRPr="00E631B0">
        <w:rPr>
          <w:rFonts w:asciiTheme="minorHAnsi" w:hAnsiTheme="minorHAnsi"/>
          <w:b/>
          <w:szCs w:val="24"/>
        </w:rPr>
        <w:t>Cohort 2</w:t>
      </w:r>
      <w:r w:rsidRPr="00E631B0">
        <w:rPr>
          <w:rFonts w:asciiTheme="minorHAnsi" w:hAnsiTheme="minorHAnsi"/>
          <w:szCs w:val="24"/>
        </w:rPr>
        <w:t xml:space="preserve">). </w:t>
      </w:r>
    </w:p>
    <w:p w14:paraId="382B0DDB" w14:textId="77777777" w:rsidR="009C01A7" w:rsidRPr="00E631B0" w:rsidRDefault="009C01A7" w:rsidP="00AD7EAC">
      <w:pPr>
        <w:pStyle w:val="ListParagraph"/>
        <w:spacing w:line="240" w:lineRule="auto"/>
        <w:ind w:left="284"/>
        <w:jc w:val="left"/>
        <w:rPr>
          <w:rFonts w:asciiTheme="minorHAnsi" w:hAnsiTheme="minorHAnsi"/>
          <w:sz w:val="22"/>
        </w:rPr>
      </w:pPr>
    </w:p>
    <w:p w14:paraId="66BF5602" w14:textId="77777777" w:rsidR="009C01A7" w:rsidRPr="00E631B0" w:rsidRDefault="009C01A7" w:rsidP="00AD7EAC">
      <w:pPr>
        <w:pStyle w:val="ListParagraph"/>
        <w:spacing w:line="240" w:lineRule="auto"/>
        <w:ind w:left="0"/>
        <w:jc w:val="left"/>
        <w:rPr>
          <w:rFonts w:asciiTheme="minorHAnsi" w:hAnsiTheme="minorHAnsi"/>
          <w:szCs w:val="24"/>
        </w:rPr>
      </w:pPr>
      <w:r w:rsidRPr="00E631B0">
        <w:rPr>
          <w:rFonts w:asciiTheme="minorHAnsi" w:hAnsiTheme="minorHAnsi"/>
          <w:szCs w:val="24"/>
        </w:rPr>
        <w:t>Additional analyses of sub-groups of those in Cohort 2 were also conducted (see below).</w:t>
      </w:r>
    </w:p>
    <w:p w14:paraId="5553878E" w14:textId="7301F088" w:rsidR="009C01A7" w:rsidRPr="00E631B0" w:rsidRDefault="009C01A7" w:rsidP="00AD7EAC">
      <w:pPr>
        <w:spacing w:line="240" w:lineRule="auto"/>
        <w:jc w:val="left"/>
        <w:rPr>
          <w:rFonts w:asciiTheme="minorHAnsi" w:hAnsiTheme="minorHAnsi"/>
          <w:szCs w:val="24"/>
          <w:u w:val="single"/>
        </w:rPr>
      </w:pPr>
      <w:r w:rsidRPr="00E631B0">
        <w:rPr>
          <w:rFonts w:asciiTheme="minorHAnsi" w:hAnsiTheme="minorHAnsi"/>
          <w:szCs w:val="24"/>
        </w:rPr>
        <w:t xml:space="preserve">Compliance with ezetimibe restrictions requires consideration of the nature of both pre and </w:t>
      </w:r>
      <w:r w:rsidR="00D007AE" w:rsidRPr="00E631B0">
        <w:rPr>
          <w:rFonts w:asciiTheme="minorHAnsi" w:hAnsiTheme="minorHAnsi"/>
          <w:szCs w:val="24"/>
        </w:rPr>
        <w:t xml:space="preserve">post ezetimibe LLT utilisation. </w:t>
      </w:r>
      <w:r w:rsidR="00981892" w:rsidRPr="00E631B0">
        <w:rPr>
          <w:rFonts w:asciiTheme="minorHAnsi" w:hAnsiTheme="minorHAnsi"/>
          <w:szCs w:val="24"/>
        </w:rPr>
        <w:t>T</w:t>
      </w:r>
      <w:r w:rsidRPr="00E631B0">
        <w:rPr>
          <w:rFonts w:asciiTheme="minorHAnsi" w:hAnsiTheme="minorHAnsi"/>
          <w:szCs w:val="24"/>
        </w:rPr>
        <w:t>itration of statin dose/potency was considered pre ezetimibe initiation. Post ezetimibe statin dose was th</w:t>
      </w:r>
      <w:r w:rsidR="00981892" w:rsidRPr="00E631B0">
        <w:rPr>
          <w:rFonts w:asciiTheme="minorHAnsi" w:hAnsiTheme="minorHAnsi"/>
          <w:szCs w:val="24"/>
        </w:rPr>
        <w:t xml:space="preserve">en compared with </w:t>
      </w:r>
      <w:r w:rsidRPr="00E631B0">
        <w:rPr>
          <w:rFonts w:asciiTheme="minorHAnsi" w:hAnsiTheme="minorHAnsi"/>
          <w:szCs w:val="24"/>
        </w:rPr>
        <w:t>patient’s pre statin doses to ascertain if up-titration had occurred following initiation of ezetimibe. This pattern of dispensing would indicate that these patients had not been optimally titrated with statins prior to commencing ezetimibe.</w:t>
      </w:r>
    </w:p>
    <w:p w14:paraId="008443F5" w14:textId="77777777" w:rsidR="00833088" w:rsidRPr="00E631B0" w:rsidRDefault="009C01A7" w:rsidP="00843188">
      <w:pPr>
        <w:pStyle w:val="Heading4"/>
      </w:pPr>
      <w:r w:rsidRPr="00E631B0">
        <w:t>Definitions</w:t>
      </w:r>
    </w:p>
    <w:p w14:paraId="6D2FBAA9" w14:textId="51062012" w:rsidR="00D007AE" w:rsidRPr="00E631B0" w:rsidRDefault="009C01A7" w:rsidP="00AD7EAC">
      <w:pPr>
        <w:spacing w:line="240" w:lineRule="auto"/>
        <w:jc w:val="left"/>
        <w:rPr>
          <w:rFonts w:asciiTheme="minorHAnsi" w:hAnsiTheme="minorHAnsi"/>
          <w:szCs w:val="24"/>
        </w:rPr>
      </w:pPr>
      <w:r w:rsidRPr="00E631B0">
        <w:rPr>
          <w:rFonts w:asciiTheme="minorHAnsi" w:hAnsiTheme="minorHAnsi"/>
          <w:i/>
          <w:szCs w:val="24"/>
        </w:rPr>
        <w:t>Initiation to ezetimibe</w:t>
      </w:r>
      <w:r w:rsidRPr="00E631B0">
        <w:rPr>
          <w:rFonts w:asciiTheme="minorHAnsi" w:hAnsiTheme="minorHAnsi"/>
          <w:szCs w:val="24"/>
        </w:rPr>
        <w:t xml:space="preserve">: individuals dispensed their first prescription for ezetimibe or a </w:t>
      </w:r>
      <w:r w:rsidR="00D007AE" w:rsidRPr="00E631B0">
        <w:rPr>
          <w:rFonts w:asciiTheme="minorHAnsi" w:hAnsiTheme="minorHAnsi"/>
          <w:szCs w:val="24"/>
        </w:rPr>
        <w:t>FDC</w:t>
      </w:r>
      <w:r w:rsidRPr="00E631B0">
        <w:rPr>
          <w:rFonts w:asciiTheme="minorHAnsi" w:hAnsiTheme="minorHAnsi"/>
          <w:szCs w:val="24"/>
        </w:rPr>
        <w:t xml:space="preserve"> containing ezetimibe between 1 April 2014 and 31 March 2015 in the dataset</w:t>
      </w:r>
      <w:r w:rsidR="00AD0496" w:rsidRPr="00E631B0">
        <w:rPr>
          <w:rFonts w:asciiTheme="minorHAnsi" w:hAnsiTheme="minorHAnsi"/>
          <w:szCs w:val="24"/>
        </w:rPr>
        <w:t>.</w:t>
      </w:r>
    </w:p>
    <w:p w14:paraId="5B18C920" w14:textId="77777777" w:rsidR="009C01A7" w:rsidRPr="00E631B0" w:rsidRDefault="009C01A7" w:rsidP="00AD7EAC">
      <w:pPr>
        <w:spacing w:line="240" w:lineRule="auto"/>
        <w:jc w:val="left"/>
        <w:rPr>
          <w:rFonts w:asciiTheme="minorHAnsi" w:hAnsiTheme="minorHAnsi"/>
          <w:szCs w:val="24"/>
        </w:rPr>
      </w:pPr>
      <w:r w:rsidRPr="00E631B0">
        <w:rPr>
          <w:rFonts w:asciiTheme="minorHAnsi" w:hAnsiTheme="minorHAnsi"/>
          <w:i/>
          <w:szCs w:val="24"/>
        </w:rPr>
        <w:t>Initiation to combination ezetimibe and statin (or other LLT)</w:t>
      </w:r>
      <w:r w:rsidRPr="00E631B0">
        <w:rPr>
          <w:rFonts w:asciiTheme="minorHAnsi" w:hAnsiTheme="minorHAnsi"/>
          <w:szCs w:val="24"/>
        </w:rPr>
        <w:t xml:space="preserve">: individuals dispensed a statin or other LLT on the same day or within the following 30 days of the ezetimibe initiation date. </w:t>
      </w:r>
    </w:p>
    <w:p w14:paraId="60E8ACDC" w14:textId="73092662" w:rsidR="009C01A7" w:rsidRPr="00E631B0" w:rsidRDefault="009C01A7" w:rsidP="00AD7EAC">
      <w:pPr>
        <w:spacing w:line="240" w:lineRule="auto"/>
        <w:jc w:val="left"/>
        <w:rPr>
          <w:rFonts w:asciiTheme="minorHAnsi" w:hAnsiTheme="minorHAnsi"/>
          <w:szCs w:val="24"/>
        </w:rPr>
      </w:pPr>
      <w:r w:rsidRPr="00E631B0">
        <w:rPr>
          <w:rFonts w:asciiTheme="minorHAnsi" w:hAnsiTheme="minorHAnsi"/>
          <w:szCs w:val="24"/>
        </w:rPr>
        <w:t xml:space="preserve">Among patients in Cohort 2, prior use of </w:t>
      </w:r>
      <w:r w:rsidR="00D007AE" w:rsidRPr="00E631B0">
        <w:rPr>
          <w:rFonts w:asciiTheme="minorHAnsi" w:hAnsiTheme="minorHAnsi"/>
          <w:szCs w:val="24"/>
        </w:rPr>
        <w:t xml:space="preserve">LLT </w:t>
      </w:r>
      <w:r w:rsidRPr="00E631B0">
        <w:rPr>
          <w:rFonts w:asciiTheme="minorHAnsi" w:hAnsiTheme="minorHAnsi"/>
          <w:szCs w:val="24"/>
        </w:rPr>
        <w:t xml:space="preserve">was categorised into eight groups, defined in Table </w:t>
      </w:r>
      <w:r w:rsidR="00A50B6D" w:rsidRPr="00E631B0">
        <w:rPr>
          <w:rFonts w:asciiTheme="minorHAnsi" w:hAnsiTheme="minorHAnsi"/>
          <w:szCs w:val="24"/>
        </w:rPr>
        <w:t>7</w:t>
      </w:r>
      <w:r w:rsidR="00AC3FB3" w:rsidRPr="00E631B0">
        <w:rPr>
          <w:rFonts w:asciiTheme="minorHAnsi" w:hAnsiTheme="minorHAnsi"/>
          <w:szCs w:val="24"/>
        </w:rPr>
        <w:t xml:space="preserve"> below</w:t>
      </w:r>
      <w:r w:rsidRPr="00E631B0">
        <w:rPr>
          <w:rFonts w:asciiTheme="minorHAnsi" w:hAnsiTheme="minorHAnsi"/>
          <w:szCs w:val="24"/>
        </w:rPr>
        <w:t>.</w:t>
      </w:r>
    </w:p>
    <w:p w14:paraId="593C64C3" w14:textId="77777777" w:rsidR="009C01A7" w:rsidRPr="00F404A5" w:rsidRDefault="009C01A7" w:rsidP="00843188">
      <w:pPr>
        <w:pStyle w:val="TableName"/>
        <w:keepNext/>
        <w:keepLines/>
      </w:pPr>
      <w:r w:rsidRPr="00AE1E65">
        <w:lastRenderedPageBreak/>
        <w:t xml:space="preserve">Table </w:t>
      </w:r>
      <w:r w:rsidR="00A50B6D" w:rsidRPr="00E12EF9">
        <w:t>7</w:t>
      </w:r>
      <w:r w:rsidRPr="00E12EF9">
        <w:t>: Definitions of lipid lowering use prior to eze</w:t>
      </w:r>
      <w:r w:rsidRPr="00F404A5">
        <w:t>timibe initiation (applicable to Cohort 2)</w:t>
      </w:r>
    </w:p>
    <w:tbl>
      <w:tblPr>
        <w:tblStyle w:val="TableGrid"/>
        <w:tblW w:w="9214" w:type="dxa"/>
        <w:tblInd w:w="-5" w:type="dxa"/>
        <w:tblCellMar>
          <w:left w:w="28" w:type="dxa"/>
          <w:right w:w="28" w:type="dxa"/>
        </w:tblCellMar>
        <w:tblLook w:val="04A0" w:firstRow="1" w:lastRow="0" w:firstColumn="1" w:lastColumn="0" w:noHBand="0" w:noVBand="1"/>
        <w:tblCaption w:val="Definitions of lipid lowering use prior to ezetimibe initiation (applicable to Cohort 2)"/>
      </w:tblPr>
      <w:tblGrid>
        <w:gridCol w:w="2018"/>
        <w:gridCol w:w="7196"/>
      </w:tblGrid>
      <w:tr w:rsidR="009C01A7" w:rsidRPr="005869C5" w14:paraId="615846A8" w14:textId="77777777" w:rsidTr="00843188">
        <w:tc>
          <w:tcPr>
            <w:tcW w:w="2018" w:type="dxa"/>
            <w:vAlign w:val="center"/>
          </w:tcPr>
          <w:p w14:paraId="7CF27BCE" w14:textId="77777777" w:rsidR="009C01A7" w:rsidRPr="005869C5" w:rsidRDefault="009C01A7" w:rsidP="00843188">
            <w:pPr>
              <w:pStyle w:val="ListParagraph"/>
              <w:keepNext/>
              <w:keepLines/>
              <w:spacing w:before="60" w:after="60"/>
              <w:ind w:left="0"/>
              <w:rPr>
                <w:rFonts w:ascii="Arial Narrow" w:hAnsi="Arial Narrow"/>
                <w:sz w:val="20"/>
              </w:rPr>
            </w:pPr>
            <w:r w:rsidRPr="005869C5">
              <w:rPr>
                <w:rFonts w:ascii="Arial Narrow" w:hAnsi="Arial Narrow"/>
                <w:sz w:val="20"/>
              </w:rPr>
              <w:t>Ceasing statin therapy</w:t>
            </w:r>
          </w:p>
        </w:tc>
        <w:tc>
          <w:tcPr>
            <w:tcW w:w="7196" w:type="dxa"/>
            <w:vAlign w:val="center"/>
          </w:tcPr>
          <w:p w14:paraId="7D848E69" w14:textId="77777777" w:rsidR="009C01A7" w:rsidRPr="005869C5" w:rsidRDefault="009C01A7" w:rsidP="00843188">
            <w:pPr>
              <w:pStyle w:val="ListParagraph"/>
              <w:keepNext/>
              <w:keepLines/>
              <w:spacing w:before="60" w:after="60"/>
              <w:ind w:left="0"/>
              <w:rPr>
                <w:rFonts w:ascii="Arial Narrow" w:hAnsi="Arial Narrow"/>
                <w:sz w:val="20"/>
              </w:rPr>
            </w:pPr>
            <w:r w:rsidRPr="005869C5">
              <w:rPr>
                <w:rFonts w:ascii="Arial Narrow" w:hAnsi="Arial Narrow"/>
                <w:sz w:val="20"/>
              </w:rPr>
              <w:t>Received statin in the 24 months prior, but did not have any statin prescriptions dispensed in the 6 months immediately prior to initiating ezetimibe</w:t>
            </w:r>
          </w:p>
        </w:tc>
      </w:tr>
      <w:tr w:rsidR="009C01A7" w:rsidRPr="005869C5" w14:paraId="737A42AD" w14:textId="77777777" w:rsidTr="00020350">
        <w:tc>
          <w:tcPr>
            <w:tcW w:w="9214" w:type="dxa"/>
            <w:gridSpan w:val="2"/>
            <w:vAlign w:val="center"/>
          </w:tcPr>
          <w:p w14:paraId="129B8642" w14:textId="77777777" w:rsidR="009C01A7" w:rsidRPr="005869C5" w:rsidRDefault="009C01A7" w:rsidP="00843188">
            <w:pPr>
              <w:pStyle w:val="ListParagraph"/>
              <w:keepNext/>
              <w:keepLines/>
              <w:spacing w:before="60" w:after="60"/>
              <w:ind w:left="0"/>
              <w:rPr>
                <w:rFonts w:ascii="Arial Narrow" w:hAnsi="Arial Narrow"/>
                <w:sz w:val="20"/>
              </w:rPr>
            </w:pPr>
            <w:r w:rsidRPr="005869C5">
              <w:rPr>
                <w:rFonts w:ascii="Arial Narrow" w:hAnsi="Arial Narrow"/>
                <w:sz w:val="20"/>
              </w:rPr>
              <w:t>Patients with at least one statin prescription dispensed in the 6 months prior to ezetimibe initiation</w:t>
            </w:r>
          </w:p>
        </w:tc>
      </w:tr>
      <w:tr w:rsidR="009C01A7" w:rsidRPr="005869C5" w14:paraId="526A7F3C" w14:textId="77777777" w:rsidTr="00843188">
        <w:trPr>
          <w:trHeight w:val="212"/>
        </w:trPr>
        <w:tc>
          <w:tcPr>
            <w:tcW w:w="2018" w:type="dxa"/>
            <w:vMerge w:val="restart"/>
            <w:vAlign w:val="center"/>
          </w:tcPr>
          <w:p w14:paraId="345CE999" w14:textId="77777777" w:rsidR="009C01A7" w:rsidRPr="005869C5" w:rsidRDefault="009C01A7" w:rsidP="00843188">
            <w:pPr>
              <w:pStyle w:val="ListParagraph"/>
              <w:keepNext/>
              <w:keepLines/>
              <w:spacing w:before="60" w:after="60"/>
              <w:ind w:left="0"/>
              <w:rPr>
                <w:rFonts w:ascii="Arial Narrow" w:hAnsi="Arial Narrow"/>
                <w:b/>
                <w:i/>
                <w:color w:val="000000"/>
                <w:sz w:val="20"/>
                <w:u w:val="single"/>
              </w:rPr>
            </w:pPr>
            <w:r w:rsidRPr="005869C5">
              <w:rPr>
                <w:rFonts w:ascii="Arial Narrow" w:hAnsi="Arial Narrow"/>
                <w:sz w:val="20"/>
              </w:rPr>
              <w:t xml:space="preserve">Mutually exclusive groups </w:t>
            </w:r>
          </w:p>
        </w:tc>
        <w:tc>
          <w:tcPr>
            <w:tcW w:w="7196" w:type="dxa"/>
            <w:vAlign w:val="center"/>
          </w:tcPr>
          <w:p w14:paraId="6B7A6B12" w14:textId="77777777" w:rsidR="009C01A7" w:rsidRPr="005869C5" w:rsidRDefault="009C01A7" w:rsidP="00843188">
            <w:pPr>
              <w:pStyle w:val="ListParagraph"/>
              <w:keepNext/>
              <w:keepLines/>
              <w:spacing w:before="60" w:after="60"/>
              <w:ind w:left="0"/>
              <w:rPr>
                <w:rFonts w:ascii="Arial Narrow" w:hAnsi="Arial Narrow"/>
                <w:b/>
                <w:i/>
                <w:color w:val="000000"/>
                <w:sz w:val="20"/>
                <w:u w:val="single"/>
              </w:rPr>
            </w:pPr>
            <w:r w:rsidRPr="005869C5">
              <w:rPr>
                <w:rFonts w:ascii="Arial Narrow" w:hAnsi="Arial Narrow"/>
                <w:sz w:val="20"/>
              </w:rPr>
              <w:t>Down-titrated statin only or on the lowest statin dose</w:t>
            </w:r>
          </w:p>
        </w:tc>
      </w:tr>
      <w:tr w:rsidR="009C01A7" w:rsidRPr="005869C5" w14:paraId="0D17223B" w14:textId="77777777" w:rsidTr="00843188">
        <w:trPr>
          <w:trHeight w:val="210"/>
        </w:trPr>
        <w:tc>
          <w:tcPr>
            <w:tcW w:w="2018" w:type="dxa"/>
            <w:vMerge/>
            <w:vAlign w:val="center"/>
          </w:tcPr>
          <w:p w14:paraId="5A9FF7A3" w14:textId="77777777" w:rsidR="009C01A7" w:rsidRPr="005869C5" w:rsidRDefault="009C01A7" w:rsidP="00843188">
            <w:pPr>
              <w:pStyle w:val="ListParagraph"/>
              <w:keepNext/>
              <w:keepLines/>
              <w:spacing w:before="60" w:after="60"/>
              <w:ind w:left="0"/>
              <w:rPr>
                <w:rFonts w:ascii="Arial Narrow" w:hAnsi="Arial Narrow"/>
                <w:sz w:val="20"/>
              </w:rPr>
            </w:pPr>
          </w:p>
        </w:tc>
        <w:tc>
          <w:tcPr>
            <w:tcW w:w="7196" w:type="dxa"/>
            <w:vAlign w:val="center"/>
          </w:tcPr>
          <w:p w14:paraId="45EC160F" w14:textId="77777777" w:rsidR="009C01A7" w:rsidRPr="005869C5" w:rsidRDefault="009C01A7" w:rsidP="00843188">
            <w:pPr>
              <w:pStyle w:val="ListParagraph"/>
              <w:keepNext/>
              <w:keepLines/>
              <w:spacing w:before="60" w:after="60"/>
              <w:ind w:left="0"/>
              <w:rPr>
                <w:rFonts w:ascii="Arial Narrow" w:hAnsi="Arial Narrow"/>
                <w:b/>
                <w:i/>
                <w:color w:val="000000"/>
                <w:sz w:val="20"/>
                <w:u w:val="single"/>
              </w:rPr>
            </w:pPr>
            <w:r w:rsidRPr="005869C5">
              <w:rPr>
                <w:rFonts w:ascii="Arial Narrow" w:hAnsi="Arial Narrow"/>
                <w:sz w:val="20"/>
              </w:rPr>
              <w:t xml:space="preserve">Up-titrated statin </w:t>
            </w:r>
            <w:r w:rsidRPr="005869C5">
              <w:rPr>
                <w:rFonts w:ascii="Arial Narrow" w:hAnsi="Arial Narrow"/>
                <w:sz w:val="20"/>
                <w:u w:val="single"/>
              </w:rPr>
              <w:t>only</w:t>
            </w:r>
            <w:r w:rsidRPr="005869C5">
              <w:rPr>
                <w:rFonts w:ascii="Arial Narrow" w:hAnsi="Arial Narrow"/>
                <w:sz w:val="20"/>
              </w:rPr>
              <w:t>, but not to the highest statin dose</w:t>
            </w:r>
          </w:p>
        </w:tc>
      </w:tr>
      <w:tr w:rsidR="009C01A7" w:rsidRPr="005869C5" w14:paraId="2D563DA7" w14:textId="77777777" w:rsidTr="00843188">
        <w:trPr>
          <w:trHeight w:val="210"/>
        </w:trPr>
        <w:tc>
          <w:tcPr>
            <w:tcW w:w="2018" w:type="dxa"/>
            <w:vMerge/>
            <w:vAlign w:val="center"/>
          </w:tcPr>
          <w:p w14:paraId="4B88F0AC" w14:textId="77777777" w:rsidR="009C01A7" w:rsidRPr="005869C5" w:rsidRDefault="009C01A7" w:rsidP="00843188">
            <w:pPr>
              <w:pStyle w:val="ListParagraph"/>
              <w:keepNext/>
              <w:keepLines/>
              <w:spacing w:before="60" w:after="60"/>
              <w:ind w:left="0"/>
              <w:rPr>
                <w:rFonts w:ascii="Arial Narrow" w:hAnsi="Arial Narrow"/>
                <w:sz w:val="20"/>
              </w:rPr>
            </w:pPr>
          </w:p>
        </w:tc>
        <w:tc>
          <w:tcPr>
            <w:tcW w:w="7196" w:type="dxa"/>
            <w:vAlign w:val="center"/>
          </w:tcPr>
          <w:p w14:paraId="5F85DC03" w14:textId="77777777" w:rsidR="009C01A7" w:rsidRPr="005869C5" w:rsidRDefault="009C01A7" w:rsidP="00843188">
            <w:pPr>
              <w:pStyle w:val="ListParagraph"/>
              <w:keepNext/>
              <w:keepLines/>
              <w:spacing w:before="60" w:after="60"/>
              <w:ind w:left="0"/>
              <w:rPr>
                <w:rFonts w:ascii="Arial Narrow" w:hAnsi="Arial Narrow"/>
                <w:b/>
                <w:i/>
                <w:color w:val="000000"/>
                <w:sz w:val="20"/>
                <w:u w:val="single"/>
              </w:rPr>
            </w:pPr>
            <w:r w:rsidRPr="005869C5">
              <w:rPr>
                <w:rFonts w:ascii="Arial Narrow" w:hAnsi="Arial Narrow"/>
                <w:sz w:val="20"/>
              </w:rPr>
              <w:t>Last dose of statin before ezetimibe initiation was the highest dose of statin (including those who were up-titrated to the highest dose)</w:t>
            </w:r>
          </w:p>
        </w:tc>
      </w:tr>
      <w:tr w:rsidR="009C01A7" w:rsidRPr="005869C5" w14:paraId="79480505" w14:textId="77777777" w:rsidTr="00843188">
        <w:trPr>
          <w:trHeight w:val="210"/>
        </w:trPr>
        <w:tc>
          <w:tcPr>
            <w:tcW w:w="2018" w:type="dxa"/>
            <w:vMerge/>
            <w:vAlign w:val="center"/>
          </w:tcPr>
          <w:p w14:paraId="6087EBFC" w14:textId="77777777" w:rsidR="009C01A7" w:rsidRPr="005869C5" w:rsidRDefault="009C01A7" w:rsidP="00843188">
            <w:pPr>
              <w:pStyle w:val="ListParagraph"/>
              <w:keepNext/>
              <w:keepLines/>
              <w:spacing w:before="60" w:after="60"/>
              <w:ind w:left="0"/>
              <w:rPr>
                <w:rFonts w:ascii="Arial Narrow" w:hAnsi="Arial Narrow"/>
                <w:sz w:val="20"/>
              </w:rPr>
            </w:pPr>
          </w:p>
        </w:tc>
        <w:tc>
          <w:tcPr>
            <w:tcW w:w="7196" w:type="dxa"/>
            <w:vAlign w:val="center"/>
          </w:tcPr>
          <w:p w14:paraId="597504DA" w14:textId="77777777" w:rsidR="009C01A7" w:rsidRPr="005869C5" w:rsidRDefault="009C01A7" w:rsidP="00843188">
            <w:pPr>
              <w:pStyle w:val="ListParagraph"/>
              <w:keepNext/>
              <w:keepLines/>
              <w:spacing w:before="60" w:after="60"/>
              <w:ind w:left="0"/>
              <w:rPr>
                <w:rFonts w:ascii="Arial Narrow" w:hAnsi="Arial Narrow"/>
                <w:b/>
                <w:i/>
                <w:color w:val="000000"/>
                <w:sz w:val="20"/>
                <w:u w:val="single"/>
              </w:rPr>
            </w:pPr>
            <w:r w:rsidRPr="005869C5">
              <w:rPr>
                <w:rFonts w:ascii="Arial Narrow" w:hAnsi="Arial Narrow"/>
                <w:sz w:val="20"/>
              </w:rPr>
              <w:t>Stayed on the same dose of statin which was neither the highest nor the lowest dose of statin</w:t>
            </w:r>
          </w:p>
        </w:tc>
      </w:tr>
      <w:tr w:rsidR="009C01A7" w:rsidRPr="005869C5" w14:paraId="2D414138" w14:textId="77777777" w:rsidTr="00843188">
        <w:tc>
          <w:tcPr>
            <w:tcW w:w="2018" w:type="dxa"/>
            <w:vMerge/>
            <w:vAlign w:val="center"/>
          </w:tcPr>
          <w:p w14:paraId="5AF58B3F" w14:textId="77777777" w:rsidR="009C01A7" w:rsidRPr="005869C5" w:rsidRDefault="009C01A7" w:rsidP="00843188">
            <w:pPr>
              <w:pStyle w:val="ListParagraph"/>
              <w:keepNext/>
              <w:keepLines/>
              <w:tabs>
                <w:tab w:val="left" w:pos="159"/>
              </w:tabs>
              <w:spacing w:before="60" w:after="60"/>
              <w:ind w:left="109" w:hanging="109"/>
              <w:rPr>
                <w:rFonts w:ascii="Arial Narrow" w:hAnsi="Arial Narrow"/>
                <w:sz w:val="20"/>
              </w:rPr>
            </w:pPr>
          </w:p>
        </w:tc>
        <w:tc>
          <w:tcPr>
            <w:tcW w:w="7196" w:type="dxa"/>
            <w:vAlign w:val="center"/>
          </w:tcPr>
          <w:p w14:paraId="18EBE873" w14:textId="77777777" w:rsidR="009C01A7" w:rsidRPr="005869C5" w:rsidRDefault="009C01A7" w:rsidP="00843188">
            <w:pPr>
              <w:pStyle w:val="ListParagraph"/>
              <w:keepNext/>
              <w:keepLines/>
              <w:spacing w:before="60" w:after="60"/>
              <w:ind w:left="0"/>
              <w:rPr>
                <w:rFonts w:ascii="Arial Narrow" w:hAnsi="Arial Narrow"/>
                <w:b/>
                <w:i/>
                <w:color w:val="000000"/>
                <w:sz w:val="20"/>
                <w:u w:val="single"/>
              </w:rPr>
            </w:pPr>
            <w:r w:rsidRPr="005869C5">
              <w:rPr>
                <w:rFonts w:ascii="Arial Narrow" w:hAnsi="Arial Narrow"/>
                <w:sz w:val="20"/>
              </w:rPr>
              <w:t>Both up- and down- titrated statin (excluding those who were on the highest dose and lowest dose prior to initiation)</w:t>
            </w:r>
          </w:p>
        </w:tc>
      </w:tr>
      <w:tr w:rsidR="009C01A7" w:rsidRPr="005869C5" w14:paraId="78D6C2D6" w14:textId="77777777" w:rsidTr="00843188">
        <w:tc>
          <w:tcPr>
            <w:tcW w:w="2018" w:type="dxa"/>
            <w:vAlign w:val="center"/>
          </w:tcPr>
          <w:p w14:paraId="3B6FD916" w14:textId="77777777" w:rsidR="009C01A7" w:rsidRPr="005869C5" w:rsidRDefault="009C01A7" w:rsidP="00843188">
            <w:pPr>
              <w:pStyle w:val="ListParagraph"/>
              <w:keepNext/>
              <w:keepLines/>
              <w:tabs>
                <w:tab w:val="left" w:pos="0"/>
              </w:tabs>
              <w:spacing w:before="60" w:after="60"/>
              <w:ind w:left="0"/>
              <w:rPr>
                <w:rFonts w:ascii="Arial Narrow" w:hAnsi="Arial Narrow"/>
                <w:b/>
                <w:i/>
                <w:color w:val="000000"/>
                <w:sz w:val="20"/>
                <w:u w:val="single"/>
              </w:rPr>
            </w:pPr>
            <w:r w:rsidRPr="005869C5">
              <w:rPr>
                <w:rFonts w:ascii="Arial Narrow" w:hAnsi="Arial Narrow"/>
                <w:sz w:val="20"/>
              </w:rPr>
              <w:t>Patients with prior non-statin LLT only</w:t>
            </w:r>
          </w:p>
        </w:tc>
        <w:tc>
          <w:tcPr>
            <w:tcW w:w="7196" w:type="dxa"/>
            <w:vAlign w:val="center"/>
          </w:tcPr>
          <w:p w14:paraId="4CE7EF5E" w14:textId="77777777" w:rsidR="009C01A7" w:rsidRPr="005869C5" w:rsidRDefault="009C01A7" w:rsidP="00843188">
            <w:pPr>
              <w:pStyle w:val="ListParagraph"/>
              <w:keepNext/>
              <w:keepLines/>
              <w:spacing w:before="60" w:after="60"/>
              <w:ind w:left="0"/>
              <w:rPr>
                <w:rFonts w:ascii="Arial Narrow" w:hAnsi="Arial Narrow"/>
                <w:b/>
                <w:i/>
                <w:color w:val="000000"/>
                <w:sz w:val="20"/>
                <w:u w:val="single"/>
              </w:rPr>
            </w:pPr>
            <w:r w:rsidRPr="005869C5">
              <w:rPr>
                <w:rFonts w:ascii="Arial Narrow" w:hAnsi="Arial Narrow"/>
                <w:sz w:val="20"/>
              </w:rPr>
              <w:t xml:space="preserve">Over the 24 months prior to ezetimibe initiation, no statin prescriptions were dispensed, but at least one non-statin LLT prescription was dispensed </w:t>
            </w:r>
          </w:p>
        </w:tc>
      </w:tr>
    </w:tbl>
    <w:p w14:paraId="61FD75D7" w14:textId="77777777" w:rsidR="009C01A7" w:rsidRPr="005869C5" w:rsidRDefault="009C01A7" w:rsidP="00843188">
      <w:pPr>
        <w:spacing w:after="120"/>
      </w:pPr>
    </w:p>
    <w:p w14:paraId="539E9ABC" w14:textId="7929EAC7" w:rsidR="009C01A7" w:rsidRPr="00E631B0" w:rsidRDefault="009C01A7" w:rsidP="00AD7EAC">
      <w:pPr>
        <w:spacing w:line="240" w:lineRule="auto"/>
        <w:jc w:val="left"/>
        <w:rPr>
          <w:rFonts w:asciiTheme="minorHAnsi" w:hAnsiTheme="minorHAnsi"/>
        </w:rPr>
      </w:pPr>
      <w:r w:rsidRPr="00E631B0">
        <w:rPr>
          <w:rFonts w:asciiTheme="minorHAnsi" w:eastAsiaTheme="majorEastAsia" w:hAnsiTheme="minorHAnsi" w:cstheme="majorBidi"/>
        </w:rPr>
        <w:t>The additional</w:t>
      </w:r>
      <w:r w:rsidR="00D007AE" w:rsidRPr="00E631B0">
        <w:rPr>
          <w:rFonts w:asciiTheme="minorHAnsi" w:eastAsiaTheme="majorEastAsia" w:hAnsiTheme="minorHAnsi" w:cstheme="majorBidi"/>
        </w:rPr>
        <w:t xml:space="preserve"> analysis of the 12 months post </w:t>
      </w:r>
      <w:r w:rsidRPr="00E631B0">
        <w:rPr>
          <w:rFonts w:asciiTheme="minorHAnsi" w:eastAsiaTheme="majorEastAsia" w:hAnsiTheme="minorHAnsi" w:cstheme="majorBidi"/>
        </w:rPr>
        <w:t xml:space="preserve">ezetimibe LLT use was primarily focused on patients described </w:t>
      </w:r>
      <w:r w:rsidRPr="00E631B0">
        <w:rPr>
          <w:rFonts w:asciiTheme="minorHAnsi" w:hAnsiTheme="minorHAnsi"/>
        </w:rPr>
        <w:t xml:space="preserve">in Table </w:t>
      </w:r>
      <w:r w:rsidR="00A50B6D" w:rsidRPr="00E631B0">
        <w:rPr>
          <w:rFonts w:asciiTheme="minorHAnsi" w:hAnsiTheme="minorHAnsi"/>
        </w:rPr>
        <w:t>8</w:t>
      </w:r>
      <w:r w:rsidRPr="00E631B0">
        <w:rPr>
          <w:rFonts w:asciiTheme="minorHAnsi" w:hAnsiTheme="minorHAnsi"/>
        </w:rPr>
        <w:t>. However, no anal</w:t>
      </w:r>
      <w:r w:rsidR="009A02FD" w:rsidRPr="00E631B0">
        <w:rPr>
          <w:rFonts w:asciiTheme="minorHAnsi" w:hAnsiTheme="minorHAnsi"/>
        </w:rPr>
        <w:t xml:space="preserve">ysis of the full 12 months post </w:t>
      </w:r>
      <w:r w:rsidRPr="00E631B0">
        <w:rPr>
          <w:rFonts w:asciiTheme="minorHAnsi" w:hAnsiTheme="minorHAnsi"/>
        </w:rPr>
        <w:t xml:space="preserve">ezetimibe was conducted on those in Cohort 1 who were initiated on ezetimibe </w:t>
      </w:r>
      <w:r w:rsidR="00AD0496" w:rsidRPr="00E631B0">
        <w:rPr>
          <w:rFonts w:asciiTheme="minorHAnsi" w:hAnsiTheme="minorHAnsi"/>
        </w:rPr>
        <w:t>plus</w:t>
      </w:r>
      <w:r w:rsidRPr="00E631B0">
        <w:rPr>
          <w:rFonts w:asciiTheme="minorHAnsi" w:hAnsiTheme="minorHAnsi"/>
        </w:rPr>
        <w:t xml:space="preserve"> statin (all considered to be use outside of the restriction) or ezetimibe </w:t>
      </w:r>
      <w:r w:rsidR="00AD0496" w:rsidRPr="00E631B0">
        <w:rPr>
          <w:rFonts w:asciiTheme="minorHAnsi" w:hAnsiTheme="minorHAnsi"/>
        </w:rPr>
        <w:t>plus</w:t>
      </w:r>
      <w:r w:rsidRPr="00E631B0">
        <w:rPr>
          <w:rFonts w:asciiTheme="minorHAnsi" w:hAnsiTheme="minorHAnsi"/>
        </w:rPr>
        <w:t xml:space="preserve"> non-statin LLT (all considered to be use within the restriction). Although there is a possibility that among those who initiated therapy with ezetimibe </w:t>
      </w:r>
      <w:r w:rsidR="00AD0496" w:rsidRPr="00E631B0">
        <w:rPr>
          <w:rFonts w:asciiTheme="minorHAnsi" w:hAnsiTheme="minorHAnsi"/>
        </w:rPr>
        <w:t>plus</w:t>
      </w:r>
      <w:r w:rsidRPr="00E631B0">
        <w:rPr>
          <w:rFonts w:asciiTheme="minorHAnsi" w:hAnsiTheme="minorHAnsi"/>
        </w:rPr>
        <w:t xml:space="preserve"> non-statin LLT may have added a statin over the following 12 months (which would represent use of ezetimibe outside of the restriction), this population of 40 patients represents less than 0.1% of the entire study population (N=45,645) and their exclusion from this further analysis </w:t>
      </w:r>
      <w:r w:rsidR="00981892" w:rsidRPr="00E631B0">
        <w:rPr>
          <w:rFonts w:asciiTheme="minorHAnsi" w:hAnsiTheme="minorHAnsi"/>
        </w:rPr>
        <w:t>had</w:t>
      </w:r>
      <w:r w:rsidRPr="00E631B0">
        <w:rPr>
          <w:rFonts w:asciiTheme="minorHAnsi" w:hAnsiTheme="minorHAnsi"/>
        </w:rPr>
        <w:t xml:space="preserve"> minimal effect.</w:t>
      </w:r>
    </w:p>
    <w:p w14:paraId="06A31224" w14:textId="5820D146" w:rsidR="009C01A7" w:rsidRPr="00F404A5" w:rsidRDefault="009C01A7" w:rsidP="00843188">
      <w:pPr>
        <w:pStyle w:val="TableName"/>
      </w:pPr>
      <w:r w:rsidRPr="00AE1E65">
        <w:t>Table</w:t>
      </w:r>
      <w:r w:rsidR="00A50B6D" w:rsidRPr="00E12EF9">
        <w:t xml:space="preserve"> 8</w:t>
      </w:r>
      <w:r w:rsidRPr="00E12EF9">
        <w:t xml:space="preserve">: Definitions of </w:t>
      </w:r>
      <w:r w:rsidR="009A02FD">
        <w:t>LLT</w:t>
      </w:r>
      <w:r w:rsidR="009A02FD" w:rsidRPr="00AE1E65">
        <w:t xml:space="preserve"> </w:t>
      </w:r>
      <w:r w:rsidRPr="00E12EF9">
        <w:t>use after ezetimibe initiation for both Cohort</w:t>
      </w:r>
      <w:r w:rsidR="00C24DBD" w:rsidRPr="00E12EF9">
        <w:t xml:space="preserve"> </w:t>
      </w:r>
      <w:r w:rsidRPr="00F404A5">
        <w:t xml:space="preserve">1 and 2 </w:t>
      </w:r>
    </w:p>
    <w:tbl>
      <w:tblPr>
        <w:tblStyle w:val="TableGrid"/>
        <w:tblW w:w="9356" w:type="dxa"/>
        <w:tblInd w:w="-5" w:type="dxa"/>
        <w:tblCellMar>
          <w:left w:w="28" w:type="dxa"/>
          <w:right w:w="28" w:type="dxa"/>
        </w:tblCellMar>
        <w:tblLook w:val="04A0" w:firstRow="1" w:lastRow="0" w:firstColumn="1" w:lastColumn="0" w:noHBand="0" w:noVBand="1"/>
        <w:tblCaption w:val="Definitions of lipid lowering use after ezetimibe initiation for both Cohort 1 and 2 "/>
      </w:tblPr>
      <w:tblGrid>
        <w:gridCol w:w="851"/>
        <w:gridCol w:w="8505"/>
      </w:tblGrid>
      <w:tr w:rsidR="009C01A7" w:rsidRPr="005869C5" w14:paraId="6A8122A4" w14:textId="77777777" w:rsidTr="00843188">
        <w:trPr>
          <w:trHeight w:val="212"/>
          <w:tblHeader/>
        </w:trPr>
        <w:tc>
          <w:tcPr>
            <w:tcW w:w="851" w:type="dxa"/>
            <w:shd w:val="clear" w:color="auto" w:fill="BFBFBF" w:themeFill="background1" w:themeFillShade="BF"/>
            <w:vAlign w:val="center"/>
          </w:tcPr>
          <w:p w14:paraId="38FB9B83" w14:textId="77777777" w:rsidR="009C01A7" w:rsidRPr="005869C5" w:rsidRDefault="009C01A7" w:rsidP="00843188">
            <w:pPr>
              <w:keepNext/>
              <w:keepLines/>
              <w:spacing w:before="60" w:after="60"/>
              <w:rPr>
                <w:rFonts w:ascii="Arial Narrow" w:hAnsi="Arial Narrow"/>
                <w:b/>
                <w:sz w:val="20"/>
                <w:szCs w:val="20"/>
              </w:rPr>
            </w:pPr>
            <w:r w:rsidRPr="005869C5">
              <w:rPr>
                <w:rFonts w:ascii="Arial Narrow" w:hAnsi="Arial Narrow"/>
                <w:b/>
                <w:sz w:val="20"/>
                <w:szCs w:val="20"/>
              </w:rPr>
              <w:t xml:space="preserve">Cohort </w:t>
            </w:r>
          </w:p>
        </w:tc>
        <w:tc>
          <w:tcPr>
            <w:tcW w:w="8505" w:type="dxa"/>
            <w:shd w:val="clear" w:color="auto" w:fill="BFBFBF" w:themeFill="background1" w:themeFillShade="BF"/>
            <w:vAlign w:val="center"/>
          </w:tcPr>
          <w:p w14:paraId="2789BF6B" w14:textId="77777777" w:rsidR="009C01A7" w:rsidRPr="005869C5" w:rsidRDefault="009C01A7" w:rsidP="00843188">
            <w:pPr>
              <w:pStyle w:val="ListParagraph"/>
              <w:keepNext/>
              <w:keepLines/>
              <w:spacing w:before="60" w:after="60"/>
              <w:ind w:left="0"/>
              <w:rPr>
                <w:rFonts w:ascii="Arial Narrow" w:hAnsi="Arial Narrow"/>
                <w:b/>
                <w:sz w:val="20"/>
                <w:szCs w:val="20"/>
              </w:rPr>
            </w:pPr>
            <w:r w:rsidRPr="005869C5">
              <w:rPr>
                <w:rFonts w:ascii="Arial Narrow" w:hAnsi="Arial Narrow"/>
                <w:b/>
                <w:sz w:val="20"/>
                <w:szCs w:val="20"/>
              </w:rPr>
              <w:t>Status at initiation and follow – up of 365 days</w:t>
            </w:r>
          </w:p>
        </w:tc>
      </w:tr>
      <w:tr w:rsidR="009C01A7" w:rsidRPr="005869C5" w14:paraId="5EA92955" w14:textId="77777777" w:rsidTr="00020350">
        <w:trPr>
          <w:trHeight w:val="212"/>
        </w:trPr>
        <w:tc>
          <w:tcPr>
            <w:tcW w:w="851" w:type="dxa"/>
            <w:vMerge w:val="restart"/>
            <w:vAlign w:val="center"/>
          </w:tcPr>
          <w:p w14:paraId="771AE54F" w14:textId="77777777" w:rsidR="009C01A7" w:rsidRPr="005869C5" w:rsidRDefault="009C01A7" w:rsidP="00843188">
            <w:pPr>
              <w:keepNext/>
              <w:keepLines/>
              <w:spacing w:before="60" w:after="60"/>
              <w:rPr>
                <w:rFonts w:ascii="Arial Narrow" w:hAnsi="Arial Narrow"/>
                <w:sz w:val="20"/>
                <w:szCs w:val="20"/>
              </w:rPr>
            </w:pPr>
            <w:r w:rsidRPr="005869C5">
              <w:rPr>
                <w:rFonts w:ascii="Arial Narrow" w:hAnsi="Arial Narrow"/>
                <w:sz w:val="20"/>
                <w:szCs w:val="20"/>
              </w:rPr>
              <w:t xml:space="preserve">Cohort 1 </w:t>
            </w:r>
          </w:p>
        </w:tc>
        <w:tc>
          <w:tcPr>
            <w:tcW w:w="8505" w:type="dxa"/>
            <w:vAlign w:val="center"/>
          </w:tcPr>
          <w:p w14:paraId="5DDC11F1" w14:textId="77777777" w:rsidR="009C01A7" w:rsidRPr="005869C5" w:rsidRDefault="009C01A7" w:rsidP="00843188">
            <w:pPr>
              <w:keepNext/>
              <w:keepLines/>
              <w:spacing w:before="60" w:after="60"/>
              <w:rPr>
                <w:rFonts w:ascii="Arial Narrow" w:hAnsi="Arial Narrow"/>
                <w:b/>
                <w:i/>
                <w:color w:val="000000"/>
                <w:sz w:val="20"/>
                <w:szCs w:val="20"/>
                <w:u w:val="single"/>
              </w:rPr>
            </w:pPr>
            <w:r w:rsidRPr="005869C5">
              <w:rPr>
                <w:rFonts w:ascii="Arial Narrow" w:hAnsi="Arial Narrow"/>
                <w:sz w:val="20"/>
                <w:szCs w:val="20"/>
              </w:rPr>
              <w:t xml:space="preserve">Initiate and remain on ezetimibe monotherapy </w:t>
            </w:r>
          </w:p>
        </w:tc>
      </w:tr>
      <w:tr w:rsidR="009C01A7" w:rsidRPr="005869C5" w14:paraId="5C01BEEF" w14:textId="77777777" w:rsidTr="00020350">
        <w:trPr>
          <w:trHeight w:val="212"/>
        </w:trPr>
        <w:tc>
          <w:tcPr>
            <w:tcW w:w="851" w:type="dxa"/>
            <w:vMerge/>
            <w:vAlign w:val="center"/>
          </w:tcPr>
          <w:p w14:paraId="1AA39978" w14:textId="77777777" w:rsidR="009C01A7" w:rsidRPr="005869C5" w:rsidRDefault="009C01A7" w:rsidP="00843188">
            <w:pPr>
              <w:keepNext/>
              <w:keepLines/>
              <w:spacing w:before="60" w:after="60"/>
              <w:rPr>
                <w:rFonts w:ascii="Arial Narrow" w:hAnsi="Arial Narrow"/>
                <w:sz w:val="20"/>
                <w:szCs w:val="20"/>
              </w:rPr>
            </w:pPr>
          </w:p>
        </w:tc>
        <w:tc>
          <w:tcPr>
            <w:tcW w:w="8505" w:type="dxa"/>
            <w:vAlign w:val="center"/>
          </w:tcPr>
          <w:p w14:paraId="1143402D" w14:textId="77777777" w:rsidR="009C01A7" w:rsidRPr="005869C5" w:rsidRDefault="009C01A7" w:rsidP="00843188">
            <w:pPr>
              <w:keepNext/>
              <w:keepLines/>
              <w:spacing w:before="60" w:after="60"/>
              <w:rPr>
                <w:rFonts w:ascii="Arial Narrow" w:hAnsi="Arial Narrow"/>
                <w:b/>
                <w:i/>
                <w:color w:val="000000"/>
                <w:sz w:val="20"/>
                <w:szCs w:val="20"/>
                <w:u w:val="single"/>
              </w:rPr>
            </w:pPr>
            <w:r w:rsidRPr="005869C5">
              <w:rPr>
                <w:rFonts w:ascii="Arial Narrow" w:hAnsi="Arial Narrow"/>
                <w:sz w:val="20"/>
                <w:szCs w:val="20"/>
              </w:rPr>
              <w:t xml:space="preserve">Initiate ezetimibe in combination with a statin or later add or switch to therapy involving a statin </w:t>
            </w:r>
          </w:p>
        </w:tc>
      </w:tr>
      <w:tr w:rsidR="009C01A7" w:rsidRPr="005869C5" w14:paraId="2B366035" w14:textId="77777777" w:rsidTr="00020350">
        <w:trPr>
          <w:trHeight w:val="212"/>
        </w:trPr>
        <w:tc>
          <w:tcPr>
            <w:tcW w:w="851" w:type="dxa"/>
            <w:vMerge/>
            <w:vAlign w:val="center"/>
          </w:tcPr>
          <w:p w14:paraId="4A06C6B1" w14:textId="77777777" w:rsidR="009C01A7" w:rsidRPr="005869C5" w:rsidRDefault="009C01A7" w:rsidP="00843188">
            <w:pPr>
              <w:keepNext/>
              <w:keepLines/>
              <w:spacing w:before="60" w:after="60"/>
              <w:rPr>
                <w:rFonts w:ascii="Arial Narrow" w:hAnsi="Arial Narrow"/>
                <w:sz w:val="20"/>
                <w:szCs w:val="20"/>
              </w:rPr>
            </w:pPr>
          </w:p>
        </w:tc>
        <w:tc>
          <w:tcPr>
            <w:tcW w:w="8505" w:type="dxa"/>
            <w:vAlign w:val="center"/>
          </w:tcPr>
          <w:p w14:paraId="01015569" w14:textId="77777777" w:rsidR="009C01A7" w:rsidRPr="005869C5" w:rsidRDefault="009C01A7" w:rsidP="00843188">
            <w:pPr>
              <w:keepNext/>
              <w:keepLines/>
              <w:spacing w:before="60" w:after="60"/>
              <w:rPr>
                <w:rFonts w:ascii="Arial Narrow" w:hAnsi="Arial Narrow"/>
                <w:b/>
                <w:i/>
                <w:color w:val="000000"/>
                <w:sz w:val="20"/>
                <w:szCs w:val="20"/>
                <w:u w:val="single"/>
              </w:rPr>
            </w:pPr>
            <w:r w:rsidRPr="005869C5">
              <w:rPr>
                <w:rFonts w:ascii="Arial Narrow" w:hAnsi="Arial Narrow"/>
                <w:sz w:val="20"/>
                <w:szCs w:val="20"/>
              </w:rPr>
              <w:t xml:space="preserve">Initiate ezetimibe in combination with or later add/switch </w:t>
            </w:r>
            <w:r w:rsidR="00AD0496" w:rsidRPr="005869C5">
              <w:rPr>
                <w:rFonts w:ascii="Arial Narrow" w:hAnsi="Arial Narrow"/>
                <w:sz w:val="20"/>
                <w:szCs w:val="20"/>
              </w:rPr>
              <w:t xml:space="preserve">to </w:t>
            </w:r>
            <w:r w:rsidRPr="005869C5">
              <w:rPr>
                <w:rFonts w:ascii="Arial Narrow" w:hAnsi="Arial Narrow"/>
                <w:sz w:val="20"/>
                <w:szCs w:val="20"/>
              </w:rPr>
              <w:t>a non-statin LLT</w:t>
            </w:r>
          </w:p>
        </w:tc>
      </w:tr>
      <w:tr w:rsidR="009C01A7" w:rsidRPr="005869C5" w14:paraId="34006D11" w14:textId="77777777" w:rsidTr="00020350">
        <w:trPr>
          <w:trHeight w:val="70"/>
        </w:trPr>
        <w:tc>
          <w:tcPr>
            <w:tcW w:w="851" w:type="dxa"/>
            <w:vMerge w:val="restart"/>
            <w:vAlign w:val="center"/>
          </w:tcPr>
          <w:p w14:paraId="60159A89" w14:textId="77777777" w:rsidR="009C01A7" w:rsidRPr="005869C5" w:rsidRDefault="009C01A7" w:rsidP="00843188">
            <w:pPr>
              <w:keepNext/>
              <w:keepLines/>
              <w:spacing w:before="60" w:after="60"/>
              <w:rPr>
                <w:rFonts w:ascii="Arial Narrow" w:hAnsi="Arial Narrow"/>
                <w:b/>
                <w:i/>
                <w:color w:val="000000"/>
                <w:sz w:val="20"/>
                <w:szCs w:val="20"/>
                <w:u w:val="single"/>
              </w:rPr>
            </w:pPr>
            <w:r w:rsidRPr="005869C5">
              <w:rPr>
                <w:rFonts w:ascii="Arial Narrow" w:hAnsi="Arial Narrow"/>
                <w:sz w:val="20"/>
                <w:szCs w:val="20"/>
              </w:rPr>
              <w:t xml:space="preserve">Cohort 2 </w:t>
            </w:r>
          </w:p>
        </w:tc>
        <w:tc>
          <w:tcPr>
            <w:tcW w:w="8505" w:type="dxa"/>
            <w:vAlign w:val="center"/>
          </w:tcPr>
          <w:p w14:paraId="37D65179" w14:textId="77777777" w:rsidR="009C01A7" w:rsidRPr="005869C5" w:rsidRDefault="009C01A7" w:rsidP="00843188">
            <w:pPr>
              <w:pStyle w:val="ListParagraph"/>
              <w:keepNext/>
              <w:keepLines/>
              <w:spacing w:before="60" w:after="60"/>
              <w:ind w:left="0"/>
              <w:rPr>
                <w:rFonts w:ascii="Arial Narrow" w:hAnsi="Arial Narrow"/>
                <w:b/>
                <w:i/>
                <w:color w:val="000000"/>
                <w:sz w:val="20"/>
                <w:szCs w:val="20"/>
                <w:u w:val="single"/>
              </w:rPr>
            </w:pPr>
            <w:r w:rsidRPr="005869C5">
              <w:rPr>
                <w:rFonts w:ascii="Arial Narrow" w:hAnsi="Arial Narrow"/>
                <w:sz w:val="20"/>
                <w:szCs w:val="20"/>
              </w:rPr>
              <w:t>Initiate and remain on ezetimibe monotherapy (</w:t>
            </w:r>
            <w:r w:rsidR="00687FC0" w:rsidRPr="005869C5">
              <w:rPr>
                <w:rFonts w:ascii="Arial Narrow" w:hAnsi="Arial Narrow"/>
                <w:sz w:val="20"/>
                <w:szCs w:val="20"/>
              </w:rPr>
              <w:t>i.e.</w:t>
            </w:r>
            <w:r w:rsidRPr="005869C5">
              <w:rPr>
                <w:rFonts w:ascii="Arial Narrow" w:hAnsi="Arial Narrow"/>
                <w:sz w:val="20"/>
                <w:szCs w:val="20"/>
              </w:rPr>
              <w:t xml:space="preserve">, receive no other LLT) </w:t>
            </w:r>
          </w:p>
        </w:tc>
      </w:tr>
      <w:tr w:rsidR="009C01A7" w:rsidRPr="005869C5" w14:paraId="58308324" w14:textId="77777777" w:rsidTr="00020350">
        <w:trPr>
          <w:trHeight w:val="210"/>
        </w:trPr>
        <w:tc>
          <w:tcPr>
            <w:tcW w:w="851" w:type="dxa"/>
            <w:vMerge/>
            <w:vAlign w:val="center"/>
          </w:tcPr>
          <w:p w14:paraId="0F65046A" w14:textId="77777777" w:rsidR="009C01A7" w:rsidRPr="005869C5" w:rsidRDefault="009C01A7" w:rsidP="00843188">
            <w:pPr>
              <w:pStyle w:val="ListParagraph"/>
              <w:keepNext/>
              <w:keepLines/>
              <w:spacing w:before="60" w:after="60"/>
              <w:ind w:left="0"/>
              <w:rPr>
                <w:rFonts w:ascii="Arial Narrow" w:hAnsi="Arial Narrow"/>
                <w:sz w:val="20"/>
                <w:szCs w:val="20"/>
              </w:rPr>
            </w:pPr>
          </w:p>
        </w:tc>
        <w:tc>
          <w:tcPr>
            <w:tcW w:w="8505" w:type="dxa"/>
            <w:vAlign w:val="center"/>
          </w:tcPr>
          <w:p w14:paraId="316704D1" w14:textId="77777777" w:rsidR="009C01A7" w:rsidRPr="005869C5" w:rsidRDefault="009C01A7" w:rsidP="00843188">
            <w:pPr>
              <w:pStyle w:val="ListParagraph"/>
              <w:keepNext/>
              <w:keepLines/>
              <w:spacing w:before="60" w:after="60"/>
              <w:ind w:left="0"/>
              <w:rPr>
                <w:rFonts w:ascii="Arial Narrow" w:hAnsi="Arial Narrow"/>
                <w:b/>
                <w:i/>
                <w:color w:val="000000"/>
                <w:sz w:val="20"/>
                <w:szCs w:val="20"/>
                <w:u w:val="single"/>
              </w:rPr>
            </w:pPr>
            <w:r w:rsidRPr="005869C5">
              <w:rPr>
                <w:rFonts w:ascii="Arial Narrow" w:hAnsi="Arial Narrow"/>
                <w:sz w:val="20"/>
                <w:szCs w:val="20"/>
              </w:rPr>
              <w:t>Initiate ezetimibe in combination with statin at higher intensity* or later add/ switch to statin at higher intensity*</w:t>
            </w:r>
          </w:p>
        </w:tc>
      </w:tr>
      <w:tr w:rsidR="009C01A7" w:rsidRPr="005869C5" w14:paraId="7E9DCCF8" w14:textId="77777777" w:rsidTr="00020350">
        <w:trPr>
          <w:trHeight w:val="210"/>
        </w:trPr>
        <w:tc>
          <w:tcPr>
            <w:tcW w:w="851" w:type="dxa"/>
            <w:vMerge/>
            <w:vAlign w:val="center"/>
          </w:tcPr>
          <w:p w14:paraId="5823E547" w14:textId="77777777" w:rsidR="009C01A7" w:rsidRPr="005869C5" w:rsidRDefault="009C01A7" w:rsidP="00843188">
            <w:pPr>
              <w:pStyle w:val="ListParagraph"/>
              <w:keepNext/>
              <w:keepLines/>
              <w:spacing w:before="60" w:after="60"/>
              <w:ind w:left="0"/>
              <w:rPr>
                <w:rFonts w:ascii="Arial Narrow" w:hAnsi="Arial Narrow"/>
                <w:sz w:val="20"/>
                <w:szCs w:val="20"/>
              </w:rPr>
            </w:pPr>
          </w:p>
        </w:tc>
        <w:tc>
          <w:tcPr>
            <w:tcW w:w="8505" w:type="dxa"/>
            <w:vAlign w:val="center"/>
          </w:tcPr>
          <w:p w14:paraId="741FAF87" w14:textId="77777777" w:rsidR="009C01A7" w:rsidRPr="005869C5" w:rsidRDefault="009C01A7" w:rsidP="00843188">
            <w:pPr>
              <w:pStyle w:val="ListParagraph"/>
              <w:keepNext/>
              <w:keepLines/>
              <w:spacing w:before="60" w:after="60"/>
              <w:ind w:left="0"/>
              <w:rPr>
                <w:rFonts w:ascii="Arial Narrow" w:hAnsi="Arial Narrow"/>
                <w:b/>
                <w:i/>
                <w:color w:val="000000"/>
                <w:sz w:val="20"/>
                <w:szCs w:val="20"/>
                <w:u w:val="single"/>
              </w:rPr>
            </w:pPr>
            <w:r w:rsidRPr="005869C5">
              <w:rPr>
                <w:rFonts w:ascii="Arial Narrow" w:hAnsi="Arial Narrow"/>
                <w:sz w:val="20"/>
                <w:szCs w:val="20"/>
              </w:rPr>
              <w:t>Initiate ezetimibe in combination with statin at same intensity** or later add/ switch to statin at same intensity**</w:t>
            </w:r>
          </w:p>
        </w:tc>
      </w:tr>
      <w:tr w:rsidR="009C01A7" w:rsidRPr="005869C5" w14:paraId="52420741" w14:textId="77777777" w:rsidTr="00020350">
        <w:trPr>
          <w:trHeight w:val="210"/>
        </w:trPr>
        <w:tc>
          <w:tcPr>
            <w:tcW w:w="851" w:type="dxa"/>
            <w:vMerge/>
            <w:vAlign w:val="center"/>
          </w:tcPr>
          <w:p w14:paraId="06CD3AC3" w14:textId="77777777" w:rsidR="009C01A7" w:rsidRPr="005869C5" w:rsidRDefault="009C01A7" w:rsidP="00843188">
            <w:pPr>
              <w:pStyle w:val="ListParagraph"/>
              <w:keepNext/>
              <w:keepLines/>
              <w:spacing w:before="60" w:after="60"/>
              <w:ind w:left="0"/>
              <w:rPr>
                <w:rFonts w:ascii="Arial Narrow" w:hAnsi="Arial Narrow"/>
                <w:sz w:val="20"/>
                <w:szCs w:val="20"/>
              </w:rPr>
            </w:pPr>
          </w:p>
        </w:tc>
        <w:tc>
          <w:tcPr>
            <w:tcW w:w="8505" w:type="dxa"/>
            <w:vAlign w:val="center"/>
          </w:tcPr>
          <w:p w14:paraId="0A53F747" w14:textId="77777777" w:rsidR="009C01A7" w:rsidRPr="005869C5" w:rsidRDefault="009C01A7" w:rsidP="00843188">
            <w:pPr>
              <w:pStyle w:val="ListParagraph"/>
              <w:keepNext/>
              <w:keepLines/>
              <w:spacing w:before="60" w:after="60"/>
              <w:ind w:left="0"/>
              <w:rPr>
                <w:rFonts w:ascii="Arial Narrow" w:hAnsi="Arial Narrow"/>
                <w:b/>
                <w:i/>
                <w:color w:val="000000"/>
                <w:sz w:val="20"/>
                <w:szCs w:val="20"/>
                <w:u w:val="single"/>
              </w:rPr>
            </w:pPr>
            <w:r w:rsidRPr="005869C5">
              <w:rPr>
                <w:rFonts w:ascii="Arial Narrow" w:hAnsi="Arial Narrow"/>
                <w:sz w:val="20"/>
                <w:szCs w:val="20"/>
              </w:rPr>
              <w:t>Initiate ezetimibe in combination with statin at lower intensity*** or later add/ switch to statin at lower intensity***</w:t>
            </w:r>
          </w:p>
        </w:tc>
      </w:tr>
      <w:tr w:rsidR="009C01A7" w:rsidRPr="005869C5" w14:paraId="75CA7123" w14:textId="77777777" w:rsidTr="00020350">
        <w:trPr>
          <w:trHeight w:val="210"/>
        </w:trPr>
        <w:tc>
          <w:tcPr>
            <w:tcW w:w="851" w:type="dxa"/>
            <w:vMerge/>
            <w:vAlign w:val="center"/>
          </w:tcPr>
          <w:p w14:paraId="4A1D25C0" w14:textId="77777777" w:rsidR="009C01A7" w:rsidRPr="005869C5" w:rsidRDefault="009C01A7" w:rsidP="00843188">
            <w:pPr>
              <w:pStyle w:val="ListParagraph"/>
              <w:keepNext/>
              <w:keepLines/>
              <w:spacing w:before="60" w:after="60"/>
              <w:ind w:left="0"/>
              <w:rPr>
                <w:rFonts w:ascii="Arial Narrow" w:hAnsi="Arial Narrow"/>
                <w:sz w:val="20"/>
                <w:szCs w:val="20"/>
              </w:rPr>
            </w:pPr>
          </w:p>
        </w:tc>
        <w:tc>
          <w:tcPr>
            <w:tcW w:w="8505" w:type="dxa"/>
            <w:vAlign w:val="center"/>
          </w:tcPr>
          <w:p w14:paraId="5B3E081F" w14:textId="77777777" w:rsidR="009C01A7" w:rsidRPr="005869C5" w:rsidRDefault="009C01A7" w:rsidP="00843188">
            <w:pPr>
              <w:pStyle w:val="ListParagraph"/>
              <w:keepNext/>
              <w:keepLines/>
              <w:spacing w:before="60" w:after="60"/>
              <w:ind w:left="0"/>
              <w:rPr>
                <w:rFonts w:ascii="Arial Narrow" w:hAnsi="Arial Narrow"/>
                <w:b/>
                <w:i/>
                <w:color w:val="000000"/>
                <w:sz w:val="20"/>
                <w:szCs w:val="20"/>
                <w:u w:val="single"/>
              </w:rPr>
            </w:pPr>
            <w:r w:rsidRPr="005869C5">
              <w:rPr>
                <w:rFonts w:ascii="Arial Narrow" w:hAnsi="Arial Narrow"/>
                <w:sz w:val="20"/>
                <w:szCs w:val="20"/>
              </w:rPr>
              <w:t xml:space="preserve">Initiate and remain on ezetimibe in combination with other non-statin LLT or, add/switch to other LLT </w:t>
            </w:r>
          </w:p>
        </w:tc>
      </w:tr>
    </w:tbl>
    <w:p w14:paraId="726350C9" w14:textId="77777777" w:rsidR="009C01A7" w:rsidRPr="005869C5" w:rsidRDefault="009C01A7" w:rsidP="00C02F41">
      <w:pPr>
        <w:keepNext/>
        <w:keepLines/>
        <w:tabs>
          <w:tab w:val="left" w:pos="284"/>
        </w:tabs>
        <w:spacing w:after="0" w:line="240" w:lineRule="auto"/>
        <w:ind w:right="-188"/>
        <w:rPr>
          <w:rFonts w:ascii="Arial Narrow" w:hAnsi="Arial Narrow"/>
          <w:sz w:val="18"/>
          <w:szCs w:val="16"/>
        </w:rPr>
      </w:pPr>
      <w:r w:rsidRPr="005869C5">
        <w:rPr>
          <w:rFonts w:ascii="Arial Narrow" w:hAnsi="Arial Narrow"/>
          <w:sz w:val="18"/>
          <w:szCs w:val="16"/>
        </w:rPr>
        <w:t>*</w:t>
      </w:r>
      <w:r w:rsidRPr="005869C5">
        <w:rPr>
          <w:rFonts w:ascii="Arial Narrow" w:hAnsi="Arial Narrow"/>
          <w:sz w:val="18"/>
          <w:szCs w:val="16"/>
        </w:rPr>
        <w:tab/>
        <w:t>If any statin prescriptions post ezetimibe initiation (365 days) at higher intensity than last statin strength dispensed before starting ezetimibe</w:t>
      </w:r>
    </w:p>
    <w:p w14:paraId="671F1FA2" w14:textId="77777777" w:rsidR="009C01A7" w:rsidRPr="005869C5" w:rsidRDefault="009C01A7" w:rsidP="00C02F41">
      <w:pPr>
        <w:keepNext/>
        <w:keepLines/>
        <w:tabs>
          <w:tab w:val="left" w:pos="284"/>
        </w:tabs>
        <w:spacing w:after="0" w:line="240" w:lineRule="auto"/>
        <w:ind w:right="-188"/>
        <w:rPr>
          <w:rFonts w:ascii="Arial Narrow" w:hAnsi="Arial Narrow"/>
          <w:sz w:val="18"/>
          <w:szCs w:val="16"/>
        </w:rPr>
      </w:pPr>
      <w:r w:rsidRPr="005869C5">
        <w:rPr>
          <w:rFonts w:ascii="Arial Narrow" w:hAnsi="Arial Narrow"/>
          <w:sz w:val="18"/>
          <w:szCs w:val="16"/>
        </w:rPr>
        <w:t xml:space="preserve">** </w:t>
      </w:r>
      <w:r w:rsidRPr="005869C5">
        <w:rPr>
          <w:rFonts w:ascii="Arial Narrow" w:hAnsi="Arial Narrow"/>
          <w:sz w:val="18"/>
          <w:szCs w:val="16"/>
        </w:rPr>
        <w:tab/>
        <w:t>Patients with the highest intensity in all statins prescribed in post-ezetimibe period being equal in intensity to the last pre-ezetimibe statin</w:t>
      </w:r>
    </w:p>
    <w:p w14:paraId="300D8A5B" w14:textId="77777777" w:rsidR="009C01A7" w:rsidRDefault="009C01A7" w:rsidP="00C02F41">
      <w:pPr>
        <w:keepNext/>
        <w:keepLines/>
        <w:tabs>
          <w:tab w:val="left" w:pos="284"/>
        </w:tabs>
        <w:spacing w:after="0" w:line="240" w:lineRule="auto"/>
        <w:ind w:right="-188"/>
        <w:rPr>
          <w:rFonts w:ascii="Arial Narrow" w:hAnsi="Arial Narrow"/>
          <w:sz w:val="18"/>
          <w:szCs w:val="16"/>
        </w:rPr>
      </w:pPr>
      <w:r w:rsidRPr="005869C5">
        <w:rPr>
          <w:rFonts w:ascii="Arial Narrow" w:hAnsi="Arial Narrow"/>
          <w:sz w:val="18"/>
          <w:szCs w:val="16"/>
        </w:rPr>
        <w:t xml:space="preserve">*** </w:t>
      </w:r>
      <w:r w:rsidRPr="005869C5">
        <w:rPr>
          <w:rFonts w:ascii="Arial Narrow" w:hAnsi="Arial Narrow"/>
          <w:sz w:val="18"/>
          <w:szCs w:val="16"/>
        </w:rPr>
        <w:tab/>
        <w:t>If all statin prescriptions post ezetimibe initiation at a lower intensity than the last statin pre-ezetimibe statin prescription</w:t>
      </w:r>
    </w:p>
    <w:p w14:paraId="12818C3E" w14:textId="77777777" w:rsidR="00C02F41" w:rsidRDefault="00C02F41" w:rsidP="00C02F41">
      <w:pPr>
        <w:keepNext/>
        <w:keepLines/>
        <w:tabs>
          <w:tab w:val="left" w:pos="284"/>
        </w:tabs>
        <w:spacing w:after="0" w:line="240" w:lineRule="auto"/>
        <w:ind w:right="-188"/>
        <w:rPr>
          <w:rFonts w:ascii="Arial Narrow" w:hAnsi="Arial Narrow"/>
          <w:sz w:val="16"/>
          <w:szCs w:val="16"/>
        </w:rPr>
      </w:pPr>
    </w:p>
    <w:p w14:paraId="0EEDEF6F" w14:textId="77777777" w:rsidR="00C24DBD" w:rsidRPr="00C24DBD" w:rsidRDefault="00C24DBD" w:rsidP="00C02F41">
      <w:pPr>
        <w:keepNext/>
        <w:keepLines/>
        <w:tabs>
          <w:tab w:val="left" w:pos="284"/>
        </w:tabs>
        <w:spacing w:after="0" w:line="240" w:lineRule="auto"/>
        <w:ind w:right="-188"/>
        <w:rPr>
          <w:rFonts w:ascii="Arial Narrow" w:hAnsi="Arial Narrow"/>
          <w:sz w:val="16"/>
          <w:szCs w:val="16"/>
        </w:rPr>
      </w:pPr>
    </w:p>
    <w:p w14:paraId="4A7E0A6D" w14:textId="77777777" w:rsidR="004B3EB8" w:rsidRDefault="004B3EB8" w:rsidP="005A2287">
      <w:pPr>
        <w:spacing w:line="240" w:lineRule="auto"/>
        <w:rPr>
          <w:rFonts w:asciiTheme="minorHAnsi" w:hAnsiTheme="minorHAnsi"/>
        </w:rPr>
      </w:pPr>
    </w:p>
    <w:p w14:paraId="59071EAF" w14:textId="77777777" w:rsidR="009C01A7" w:rsidRPr="00E631B0" w:rsidRDefault="009C01A7" w:rsidP="00AD7EAC">
      <w:pPr>
        <w:spacing w:line="240" w:lineRule="auto"/>
        <w:jc w:val="left"/>
        <w:rPr>
          <w:rFonts w:asciiTheme="minorHAnsi" w:hAnsiTheme="minorHAnsi"/>
        </w:rPr>
      </w:pPr>
      <w:r w:rsidRPr="00E631B0">
        <w:rPr>
          <w:rFonts w:asciiTheme="minorHAnsi" w:hAnsiTheme="minorHAnsi"/>
        </w:rPr>
        <w:lastRenderedPageBreak/>
        <w:t xml:space="preserve">References to the highest and lowest statin doses and changes resulting from up or down titration of statins described in Table </w:t>
      </w:r>
      <w:r w:rsidR="00EA7D7C" w:rsidRPr="00E631B0">
        <w:rPr>
          <w:rFonts w:asciiTheme="minorHAnsi" w:hAnsiTheme="minorHAnsi"/>
        </w:rPr>
        <w:t>8</w:t>
      </w:r>
      <w:r w:rsidRPr="00E631B0">
        <w:rPr>
          <w:rFonts w:asciiTheme="minorHAnsi" w:hAnsiTheme="minorHAnsi"/>
        </w:rPr>
        <w:t xml:space="preserve"> are defined in Figure </w:t>
      </w:r>
      <w:r w:rsidR="00A50B6D" w:rsidRPr="00E631B0">
        <w:rPr>
          <w:rFonts w:asciiTheme="minorHAnsi" w:hAnsiTheme="minorHAnsi"/>
        </w:rPr>
        <w:t>1</w:t>
      </w:r>
      <w:r w:rsidRPr="00E631B0">
        <w:rPr>
          <w:rFonts w:asciiTheme="minorHAnsi" w:hAnsiTheme="minorHAnsi"/>
        </w:rPr>
        <w:t xml:space="preserve">. </w:t>
      </w:r>
    </w:p>
    <w:p w14:paraId="0131039C" w14:textId="77777777" w:rsidR="009C01A7" w:rsidRDefault="009C01A7" w:rsidP="00C24DBD">
      <w:pPr>
        <w:keepNext/>
        <w:keepLines/>
        <w:spacing w:after="0"/>
        <w:rPr>
          <w:rFonts w:asciiTheme="minorHAnsi" w:hAnsiTheme="minorHAnsi"/>
          <w:b/>
        </w:rPr>
      </w:pPr>
      <w:r w:rsidRPr="005869C5">
        <w:rPr>
          <w:rFonts w:asciiTheme="minorHAnsi" w:hAnsiTheme="minorHAnsi"/>
          <w:b/>
        </w:rPr>
        <w:t xml:space="preserve">Figure </w:t>
      </w:r>
      <w:r w:rsidR="00A50B6D" w:rsidRPr="005869C5">
        <w:rPr>
          <w:rFonts w:asciiTheme="minorHAnsi" w:hAnsiTheme="minorHAnsi"/>
          <w:b/>
        </w:rPr>
        <w:t>1</w:t>
      </w:r>
      <w:r w:rsidRPr="005869C5">
        <w:rPr>
          <w:rFonts w:asciiTheme="minorHAnsi" w:hAnsiTheme="minorHAnsi"/>
          <w:b/>
        </w:rPr>
        <w:t xml:space="preserve">: Definitions applied in this analysis for “highest” and “lowest” dose statins and movement from higher to lower (or lower to higher) intensities and doses assumed to </w:t>
      </w:r>
      <w:r w:rsidR="009A02FD">
        <w:rPr>
          <w:rFonts w:asciiTheme="minorHAnsi" w:hAnsiTheme="minorHAnsi"/>
          <w:b/>
        </w:rPr>
        <w:t xml:space="preserve">be </w:t>
      </w:r>
      <w:r w:rsidRPr="005869C5">
        <w:rPr>
          <w:rFonts w:asciiTheme="minorHAnsi" w:hAnsiTheme="minorHAnsi"/>
          <w:b/>
        </w:rPr>
        <w:t>the “same” across statins</w:t>
      </w:r>
    </w:p>
    <w:p w14:paraId="6EBABBCD" w14:textId="77777777" w:rsidR="002102A1" w:rsidRDefault="002102A1" w:rsidP="00C24DBD">
      <w:pPr>
        <w:keepNext/>
        <w:keepLines/>
        <w:spacing w:after="0"/>
        <w:rPr>
          <w:rFonts w:ascii="Arial Narrow" w:hAnsi="Arial Narrow"/>
          <w:b/>
          <w:sz w:val="20"/>
          <w:szCs w:val="20"/>
        </w:rPr>
      </w:pPr>
    </w:p>
    <w:p w14:paraId="58C22C6C" w14:textId="26825753" w:rsidR="002102A1" w:rsidRPr="005869C5" w:rsidRDefault="002102A1" w:rsidP="00843188">
      <w:pPr>
        <w:keepNext/>
        <w:keepLines/>
        <w:spacing w:after="0"/>
        <w:jc w:val="center"/>
        <w:rPr>
          <w:rFonts w:asciiTheme="minorHAnsi" w:hAnsiTheme="minorHAnsi"/>
          <w:b/>
        </w:rPr>
      </w:pPr>
      <w:r w:rsidRPr="005869C5">
        <w:rPr>
          <w:rFonts w:ascii="Arial Narrow" w:hAnsi="Arial Narrow"/>
          <w:b/>
          <w:sz w:val="20"/>
          <w:szCs w:val="20"/>
        </w:rPr>
        <w:t>Down-titration to lower intensity</w:t>
      </w:r>
    </w:p>
    <w:p w14:paraId="50641797" w14:textId="711758A8" w:rsidR="009C01A7" w:rsidRPr="005869C5" w:rsidRDefault="002102A1" w:rsidP="00C24DBD">
      <w:pPr>
        <w:keepNext/>
        <w:keepLines/>
        <w:spacing w:after="0"/>
        <w:rPr>
          <w:rFonts w:ascii="Arial Narrow" w:hAnsi="Arial Narrow"/>
          <w:b/>
          <w:sz w:val="20"/>
          <w:szCs w:val="20"/>
        </w:rPr>
      </w:pPr>
      <w:r w:rsidRPr="005869C5">
        <w:rPr>
          <w:noProof/>
          <w:lang w:eastAsia="en-AU"/>
        </w:rPr>
        <mc:AlternateContent>
          <mc:Choice Requires="wps">
            <w:drawing>
              <wp:inline distT="0" distB="0" distL="0" distR="0" wp14:anchorId="25CC5D54" wp14:editId="625AC7B4">
                <wp:extent cx="5286375" cy="1"/>
                <wp:effectExtent l="0" t="95250" r="0" b="95250"/>
                <wp:docPr id="2" name="Straight Arrow Connector 2" title="Arrow direction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86375" cy="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id="_x0000_t32" coordsize="21600,21600" o:spt="32" o:oned="t" path="m,l21600,21600e" filled="f">
                <v:path arrowok="t" fillok="f" o:connecttype="none"/>
                <o:lock v:ext="edit" shapetype="t"/>
              </v:shapetype>
              <v:shape id="Straight Arrow Connector 2" o:spid="_x0000_s1026" type="#_x0000_t32" alt="Title: Arrow direction right" style="width:416.25pt;height:0;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" strokecolor="black [3213]" strokeweight="2.25pt">
                <v:stroke endarrow="block"/>
                <o:lock v:ext="edit" shapetype="f"/>
                <w10:anchorlock/>
              </v:shape>
            </w:pict>
          </mc:Fallback>
        </mc:AlternateContent>
      </w:r>
    </w:p>
    <w:tbl>
      <w:tblPr>
        <w:tblStyle w:val="TableGrid"/>
        <w:tblW w:w="0" w:type="auto"/>
        <w:tblCellMar>
          <w:left w:w="28" w:type="dxa"/>
          <w:right w:w="28" w:type="dxa"/>
        </w:tblCellMar>
        <w:tblLook w:val="04A0" w:firstRow="1" w:lastRow="0" w:firstColumn="1" w:lastColumn="0" w:noHBand="0" w:noVBand="1"/>
        <w:tblCaption w:val="Definitions applied in this analysis for “highest” and “lowest” dose statins and movement from higher to lower (or lower to higher) intensities and doses assumed to be the “same” across statins"/>
      </w:tblPr>
      <w:tblGrid>
        <w:gridCol w:w="1675"/>
        <w:gridCol w:w="1675"/>
        <w:gridCol w:w="1676"/>
        <w:gridCol w:w="1676"/>
        <w:gridCol w:w="1660"/>
      </w:tblGrid>
      <w:tr w:rsidR="009C01A7" w:rsidRPr="005869C5" w14:paraId="4EB5F817" w14:textId="77777777" w:rsidTr="00843188">
        <w:trPr>
          <w:cantSplit/>
          <w:trHeight w:val="313"/>
        </w:trPr>
        <w:tc>
          <w:tcPr>
            <w:tcW w:w="3350" w:type="dxa"/>
            <w:gridSpan w:val="2"/>
            <w:tcBorders>
              <w:left w:val="single" w:sz="4" w:space="0" w:color="auto"/>
            </w:tcBorders>
            <w:shd w:val="clear" w:color="auto" w:fill="BFBFBF" w:themeFill="background1" w:themeFillShade="BF"/>
            <w:vAlign w:val="center"/>
          </w:tcPr>
          <w:p w14:paraId="429B215B" w14:textId="77777777" w:rsidR="009C01A7" w:rsidRPr="005869C5" w:rsidRDefault="009C01A7" w:rsidP="00843188">
            <w:pPr>
              <w:keepNext/>
              <w:keepLines/>
              <w:jc w:val="center"/>
              <w:rPr>
                <w:rFonts w:ascii="Arial Narrow" w:hAnsi="Arial Narrow"/>
                <w:b/>
                <w:sz w:val="20"/>
                <w:szCs w:val="20"/>
              </w:rPr>
            </w:pPr>
            <w:r w:rsidRPr="005869C5">
              <w:rPr>
                <w:rFonts w:ascii="Arial Narrow" w:hAnsi="Arial Narrow"/>
                <w:b/>
                <w:sz w:val="20"/>
                <w:szCs w:val="20"/>
              </w:rPr>
              <w:t>High potency statin</w:t>
            </w:r>
          </w:p>
        </w:tc>
        <w:tc>
          <w:tcPr>
            <w:tcW w:w="3352" w:type="dxa"/>
            <w:gridSpan w:val="2"/>
            <w:shd w:val="clear" w:color="auto" w:fill="BFBFBF" w:themeFill="background1" w:themeFillShade="BF"/>
            <w:vAlign w:val="center"/>
          </w:tcPr>
          <w:p w14:paraId="545B6597" w14:textId="77777777" w:rsidR="009C01A7" w:rsidRPr="005869C5" w:rsidRDefault="009C01A7" w:rsidP="00843188">
            <w:pPr>
              <w:keepNext/>
              <w:keepLines/>
              <w:jc w:val="center"/>
              <w:rPr>
                <w:rFonts w:ascii="Arial Narrow" w:hAnsi="Arial Narrow"/>
                <w:b/>
                <w:i/>
                <w:color w:val="000000"/>
                <w:sz w:val="20"/>
                <w:szCs w:val="20"/>
                <w:u w:val="single"/>
              </w:rPr>
            </w:pPr>
            <w:r w:rsidRPr="005869C5">
              <w:rPr>
                <w:rFonts w:ascii="Arial Narrow" w:hAnsi="Arial Narrow"/>
                <w:b/>
                <w:sz w:val="20"/>
                <w:szCs w:val="20"/>
              </w:rPr>
              <w:t>Moderate potency statin</w:t>
            </w:r>
          </w:p>
        </w:tc>
        <w:tc>
          <w:tcPr>
            <w:tcW w:w="1660" w:type="dxa"/>
            <w:tcBorders>
              <w:right w:val="single" w:sz="4" w:space="0" w:color="auto"/>
            </w:tcBorders>
            <w:shd w:val="clear" w:color="auto" w:fill="BFBFBF" w:themeFill="background1" w:themeFillShade="BF"/>
            <w:vAlign w:val="center"/>
          </w:tcPr>
          <w:p w14:paraId="51554146" w14:textId="77777777" w:rsidR="009C01A7" w:rsidRPr="005869C5" w:rsidRDefault="009C01A7" w:rsidP="00843188">
            <w:pPr>
              <w:keepNext/>
              <w:keepLines/>
              <w:jc w:val="center"/>
              <w:rPr>
                <w:rFonts w:ascii="Arial Narrow" w:hAnsi="Arial Narrow"/>
                <w:b/>
                <w:i/>
                <w:color w:val="000000"/>
                <w:sz w:val="20"/>
                <w:szCs w:val="20"/>
                <w:u w:val="single"/>
              </w:rPr>
            </w:pPr>
            <w:r w:rsidRPr="005869C5">
              <w:rPr>
                <w:rFonts w:ascii="Arial Narrow" w:hAnsi="Arial Narrow"/>
                <w:b/>
                <w:sz w:val="20"/>
                <w:szCs w:val="20"/>
              </w:rPr>
              <w:t>Low potency statin</w:t>
            </w:r>
          </w:p>
        </w:tc>
      </w:tr>
      <w:tr w:rsidR="009C01A7" w:rsidRPr="005869C5" w14:paraId="7E2FDE06" w14:textId="77777777" w:rsidTr="00843188">
        <w:trPr>
          <w:cantSplit/>
        </w:trPr>
        <w:tc>
          <w:tcPr>
            <w:tcW w:w="1675" w:type="dxa"/>
            <w:vAlign w:val="center"/>
          </w:tcPr>
          <w:p w14:paraId="35FB6625" w14:textId="77777777" w:rsidR="009C01A7" w:rsidRPr="005869C5" w:rsidRDefault="009C01A7" w:rsidP="00C24DBD">
            <w:pPr>
              <w:keepNext/>
              <w:keepLines/>
              <w:spacing w:after="40"/>
              <w:rPr>
                <w:rFonts w:ascii="Arial Narrow" w:hAnsi="Arial Narrow"/>
                <w:b/>
                <w:i/>
                <w:color w:val="000000"/>
                <w:sz w:val="20"/>
                <w:szCs w:val="20"/>
                <w:u w:val="single"/>
              </w:rPr>
            </w:pPr>
            <w:r w:rsidRPr="005869C5">
              <w:rPr>
                <w:rFonts w:ascii="Arial Narrow" w:hAnsi="Arial Narrow"/>
                <w:b/>
                <w:sz w:val="20"/>
                <w:szCs w:val="20"/>
              </w:rPr>
              <w:t xml:space="preserve">Highest dose </w:t>
            </w:r>
          </w:p>
          <w:p w14:paraId="088A607A"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Atorvastatin, 80mg</w:t>
            </w:r>
          </w:p>
          <w:p w14:paraId="3FA3E34A"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Rosuvastatin, 40 mg</w:t>
            </w:r>
          </w:p>
        </w:tc>
        <w:tc>
          <w:tcPr>
            <w:tcW w:w="1675" w:type="dxa"/>
            <w:vAlign w:val="center"/>
          </w:tcPr>
          <w:p w14:paraId="0D5365DA"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Atorvastatin, 40 mg</w:t>
            </w:r>
          </w:p>
          <w:p w14:paraId="5377191C"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Rosuvastatin, 20 mg</w:t>
            </w:r>
          </w:p>
          <w:p w14:paraId="1B0B3ADD"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Simvastatin 80 mg</w:t>
            </w:r>
          </w:p>
        </w:tc>
        <w:tc>
          <w:tcPr>
            <w:tcW w:w="1676" w:type="dxa"/>
            <w:vAlign w:val="center"/>
          </w:tcPr>
          <w:p w14:paraId="18DDF526"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Atorvastatin, 20 mg</w:t>
            </w:r>
          </w:p>
          <w:p w14:paraId="16126383"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Rosuvastatin, 10 mg</w:t>
            </w:r>
          </w:p>
          <w:p w14:paraId="5A804E9D"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Simvastatin, 40 mg</w:t>
            </w:r>
          </w:p>
          <w:p w14:paraId="0754B574"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Pravastatin, 80mg</w:t>
            </w:r>
          </w:p>
          <w:p w14:paraId="57C1E381"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Fluvastatin, 80mg</w:t>
            </w:r>
          </w:p>
        </w:tc>
        <w:tc>
          <w:tcPr>
            <w:tcW w:w="1676" w:type="dxa"/>
            <w:vAlign w:val="center"/>
          </w:tcPr>
          <w:p w14:paraId="4441A6D4"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Atorvastatin, 10 mg</w:t>
            </w:r>
          </w:p>
          <w:p w14:paraId="25A9DA20"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Rosuvastatin, 5 mg</w:t>
            </w:r>
          </w:p>
          <w:p w14:paraId="0021BF91"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Simvastatin, 20 mg</w:t>
            </w:r>
          </w:p>
          <w:p w14:paraId="29BECB29" w14:textId="77777777" w:rsidR="009C01A7" w:rsidRPr="005869C5" w:rsidRDefault="009C01A7" w:rsidP="00C24DBD">
            <w:pPr>
              <w:keepNext/>
              <w:keepLines/>
              <w:rPr>
                <w:rFonts w:ascii="Arial Narrow" w:hAnsi="Arial Narrow"/>
                <w:b/>
                <w:i/>
                <w:color w:val="000000"/>
                <w:sz w:val="20"/>
                <w:szCs w:val="20"/>
                <w:u w:val="single"/>
              </w:rPr>
            </w:pPr>
            <w:r w:rsidRPr="005869C5">
              <w:rPr>
                <w:rFonts w:ascii="Arial Narrow" w:hAnsi="Arial Narrow"/>
                <w:sz w:val="20"/>
                <w:szCs w:val="20"/>
              </w:rPr>
              <w:t>Pravastatin, 40mg</w:t>
            </w:r>
          </w:p>
        </w:tc>
        <w:tc>
          <w:tcPr>
            <w:tcW w:w="1660" w:type="dxa"/>
            <w:vAlign w:val="center"/>
          </w:tcPr>
          <w:p w14:paraId="1784A131" w14:textId="77777777" w:rsidR="009C01A7" w:rsidRPr="005869C5" w:rsidRDefault="009C01A7" w:rsidP="00C24DBD">
            <w:pPr>
              <w:keepNext/>
              <w:keepLines/>
              <w:spacing w:after="40"/>
              <w:rPr>
                <w:rFonts w:ascii="Arial Narrow" w:hAnsi="Arial Narrow"/>
                <w:b/>
                <w:sz w:val="20"/>
                <w:szCs w:val="20"/>
              </w:rPr>
            </w:pPr>
            <w:r w:rsidRPr="005869C5">
              <w:rPr>
                <w:rFonts w:ascii="Arial Narrow" w:hAnsi="Arial Narrow"/>
                <w:b/>
                <w:sz w:val="20"/>
                <w:szCs w:val="20"/>
              </w:rPr>
              <w:t>Lowest dose*</w:t>
            </w:r>
          </w:p>
          <w:p w14:paraId="562886A1" w14:textId="77777777" w:rsidR="009C01A7" w:rsidRPr="005869C5" w:rsidRDefault="009C01A7" w:rsidP="00C24DBD">
            <w:pPr>
              <w:keepNext/>
              <w:keepLines/>
              <w:rPr>
                <w:rFonts w:ascii="Arial Narrow" w:hAnsi="Arial Narrow"/>
                <w:sz w:val="20"/>
                <w:szCs w:val="20"/>
              </w:rPr>
            </w:pPr>
            <w:r w:rsidRPr="005869C5">
              <w:rPr>
                <w:rFonts w:ascii="Arial Narrow" w:hAnsi="Arial Narrow"/>
                <w:sz w:val="20"/>
                <w:szCs w:val="20"/>
              </w:rPr>
              <w:t>Simvastatin, 5-10 mg</w:t>
            </w:r>
          </w:p>
          <w:p w14:paraId="6BC1A04F" w14:textId="77777777" w:rsidR="009C01A7" w:rsidRPr="005869C5" w:rsidRDefault="009C01A7" w:rsidP="00C24DBD">
            <w:pPr>
              <w:keepNext/>
              <w:keepLines/>
              <w:spacing w:after="160"/>
              <w:rPr>
                <w:rFonts w:ascii="Arial Narrow" w:hAnsi="Arial Narrow"/>
                <w:sz w:val="20"/>
                <w:szCs w:val="20"/>
              </w:rPr>
            </w:pPr>
            <w:r w:rsidRPr="005869C5">
              <w:rPr>
                <w:rFonts w:ascii="Arial Narrow" w:hAnsi="Arial Narrow"/>
                <w:sz w:val="20"/>
                <w:szCs w:val="20"/>
              </w:rPr>
              <w:t>Pravastatin, 10-20mg</w:t>
            </w:r>
          </w:p>
        </w:tc>
      </w:tr>
    </w:tbl>
    <w:p w14:paraId="70DC2E9B" w14:textId="0BE85DD3" w:rsidR="002102A1" w:rsidRDefault="002102A1" w:rsidP="00843188">
      <w:pPr>
        <w:tabs>
          <w:tab w:val="left" w:pos="0"/>
        </w:tabs>
        <w:jc w:val="center"/>
        <w:rPr>
          <w:rFonts w:ascii="Arial Narrow" w:hAnsi="Arial Narrow"/>
          <w:b/>
          <w:sz w:val="20"/>
          <w:szCs w:val="20"/>
        </w:rPr>
      </w:pPr>
      <w:r w:rsidRPr="005869C5">
        <w:rPr>
          <w:noProof/>
          <w:lang w:eastAsia="en-AU"/>
        </w:rPr>
        <mc:AlternateContent>
          <mc:Choice Requires="wps">
            <w:drawing>
              <wp:inline distT="0" distB="0" distL="0" distR="0" wp14:anchorId="0DA8F719" wp14:editId="4423107A">
                <wp:extent cx="5238750" cy="0"/>
                <wp:effectExtent l="0" t="95250" r="0" b="95250"/>
                <wp:docPr id="3" name="Straight Arrow Connector 3" title="Arrow direction lef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38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id="Straight Arrow Connector 3" o:spid="_x0000_s1026" type="#_x0000_t32" alt="Title: Arrow direction left" style="width:412.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" strokecolor="black [3213]" strokeweight="2.25pt">
                <v:stroke endarrow="block"/>
                <o:lock v:ext="edit" shapetype="f"/>
                <w10:anchorlock/>
              </v:shape>
            </w:pict>
          </mc:Fallback>
        </mc:AlternateContent>
      </w:r>
    </w:p>
    <w:p w14:paraId="3AD8FC03" w14:textId="19141E38" w:rsidR="002102A1" w:rsidRDefault="002102A1" w:rsidP="00843188">
      <w:pPr>
        <w:tabs>
          <w:tab w:val="left" w:pos="0"/>
        </w:tabs>
        <w:jc w:val="center"/>
        <w:rPr>
          <w:rFonts w:ascii="Arial Narrow" w:hAnsi="Arial Narrow"/>
          <w:sz w:val="18"/>
          <w:szCs w:val="18"/>
        </w:rPr>
      </w:pPr>
      <w:r w:rsidRPr="005869C5">
        <w:rPr>
          <w:rFonts w:ascii="Arial Narrow" w:hAnsi="Arial Narrow"/>
          <w:b/>
          <w:sz w:val="20"/>
          <w:szCs w:val="20"/>
        </w:rPr>
        <w:t>Up-titration to higher intensity</w:t>
      </w:r>
    </w:p>
    <w:p w14:paraId="60AF7BD1" w14:textId="77777777" w:rsidR="009C01A7" w:rsidRPr="005869C5" w:rsidRDefault="009A02FD" w:rsidP="00C24DBD">
      <w:pPr>
        <w:tabs>
          <w:tab w:val="left" w:pos="0"/>
        </w:tabs>
        <w:rPr>
          <w:rFonts w:ascii="Arial Narrow" w:hAnsi="Arial Narrow"/>
          <w:sz w:val="18"/>
          <w:szCs w:val="18"/>
        </w:rPr>
      </w:pPr>
      <w:r>
        <w:rPr>
          <w:rFonts w:ascii="Arial Narrow" w:hAnsi="Arial Narrow"/>
          <w:sz w:val="18"/>
          <w:szCs w:val="18"/>
        </w:rPr>
        <w:t xml:space="preserve">* </w:t>
      </w:r>
      <w:r w:rsidR="009C01A7" w:rsidRPr="005869C5">
        <w:rPr>
          <w:rFonts w:ascii="Arial Narrow" w:hAnsi="Arial Narrow"/>
          <w:sz w:val="18"/>
          <w:szCs w:val="18"/>
        </w:rPr>
        <w:t>As defined in Table 5 of Stone et al 2013</w:t>
      </w:r>
      <w:r w:rsidR="00106006" w:rsidRPr="005869C5">
        <w:rPr>
          <w:rStyle w:val="EndnoteReference"/>
          <w:rFonts w:ascii="Arial Narrow" w:hAnsi="Arial Narrow"/>
          <w:sz w:val="18"/>
          <w:szCs w:val="18"/>
        </w:rPr>
        <w:endnoteReference w:id="26"/>
      </w:r>
      <w:r w:rsidR="00106006" w:rsidRPr="005869C5">
        <w:rPr>
          <w:rFonts w:ascii="Arial Narrow" w:hAnsi="Arial Narrow"/>
          <w:sz w:val="18"/>
          <w:szCs w:val="18"/>
        </w:rPr>
        <w:t>,</w:t>
      </w:r>
      <w:r w:rsidR="009C01A7" w:rsidRPr="005869C5">
        <w:rPr>
          <w:rFonts w:ascii="Arial Narrow" w:hAnsi="Arial Narrow"/>
          <w:sz w:val="18"/>
          <w:szCs w:val="18"/>
        </w:rPr>
        <w:t xml:space="preserve"> the “lowest” dose aggregates two strengths of simvastatin (5mg and 10 mg) and two strengths of pravastatin (10 and 20mg)</w:t>
      </w:r>
    </w:p>
    <w:p w14:paraId="472DE508" w14:textId="1D1D23AD" w:rsidR="009C01A7" w:rsidRPr="00E631B0" w:rsidRDefault="003848A8" w:rsidP="00C24DBD">
      <w:pPr>
        <w:jc w:val="left"/>
        <w:rPr>
          <w:rFonts w:asciiTheme="minorHAnsi" w:hAnsiTheme="minorHAnsi"/>
          <w:b/>
          <w:i/>
          <w:sz w:val="28"/>
          <w:szCs w:val="28"/>
        </w:rPr>
      </w:pPr>
      <w:r w:rsidRPr="00E631B0">
        <w:rPr>
          <w:rFonts w:asciiTheme="minorHAnsi" w:hAnsiTheme="minorHAnsi"/>
          <w:b/>
          <w:i/>
          <w:sz w:val="28"/>
          <w:szCs w:val="28"/>
        </w:rPr>
        <w:t>1</w:t>
      </w:r>
      <w:r w:rsidR="00C05E80" w:rsidRPr="00E631B0">
        <w:rPr>
          <w:rFonts w:asciiTheme="minorHAnsi" w:hAnsiTheme="minorHAnsi"/>
          <w:b/>
          <w:i/>
          <w:sz w:val="28"/>
          <w:szCs w:val="28"/>
        </w:rPr>
        <w:t>.</w:t>
      </w:r>
      <w:r w:rsidR="00C24DBD" w:rsidRPr="00E631B0">
        <w:rPr>
          <w:rFonts w:asciiTheme="minorHAnsi" w:hAnsiTheme="minorHAnsi"/>
          <w:b/>
          <w:i/>
          <w:sz w:val="28"/>
          <w:szCs w:val="28"/>
        </w:rPr>
        <w:t>2.5</w:t>
      </w:r>
      <w:r w:rsidR="00C24DBD" w:rsidRPr="00E631B0">
        <w:rPr>
          <w:rFonts w:asciiTheme="minorHAnsi" w:hAnsiTheme="minorHAnsi"/>
          <w:b/>
          <w:i/>
          <w:sz w:val="28"/>
          <w:szCs w:val="28"/>
        </w:rPr>
        <w:tab/>
        <w:t xml:space="preserve">  </w:t>
      </w:r>
      <w:r w:rsidR="001751C4" w:rsidRPr="00E631B0">
        <w:rPr>
          <w:rFonts w:asciiTheme="minorHAnsi" w:hAnsiTheme="minorHAnsi"/>
          <w:b/>
          <w:i/>
          <w:sz w:val="28"/>
          <w:szCs w:val="28"/>
        </w:rPr>
        <w:t xml:space="preserve">March 2017 </w:t>
      </w:r>
      <w:r w:rsidR="00341378" w:rsidRPr="00E631B0">
        <w:rPr>
          <w:rFonts w:asciiTheme="minorHAnsi" w:hAnsiTheme="minorHAnsi"/>
          <w:b/>
          <w:i/>
          <w:sz w:val="28"/>
          <w:szCs w:val="28"/>
        </w:rPr>
        <w:t>a</w:t>
      </w:r>
      <w:r w:rsidR="003A476E" w:rsidRPr="00E631B0">
        <w:rPr>
          <w:rFonts w:asciiTheme="minorHAnsi" w:hAnsiTheme="minorHAnsi"/>
          <w:b/>
          <w:i/>
          <w:sz w:val="28"/>
          <w:szCs w:val="28"/>
        </w:rPr>
        <w:t>nalysis</w:t>
      </w:r>
      <w:r w:rsidR="001751C4" w:rsidRPr="00E631B0">
        <w:rPr>
          <w:rFonts w:asciiTheme="minorHAnsi" w:hAnsiTheme="minorHAnsi"/>
          <w:b/>
          <w:i/>
          <w:sz w:val="28"/>
          <w:szCs w:val="28"/>
        </w:rPr>
        <w:t xml:space="preserve"> </w:t>
      </w:r>
      <w:r w:rsidR="00C05E80" w:rsidRPr="00E631B0">
        <w:rPr>
          <w:rFonts w:asciiTheme="minorHAnsi" w:hAnsiTheme="minorHAnsi"/>
          <w:b/>
          <w:i/>
          <w:sz w:val="28"/>
          <w:szCs w:val="28"/>
        </w:rPr>
        <w:t>-</w:t>
      </w:r>
      <w:r w:rsidR="003A476E" w:rsidRPr="00E631B0">
        <w:rPr>
          <w:rFonts w:asciiTheme="minorHAnsi" w:hAnsiTheme="minorHAnsi"/>
          <w:b/>
          <w:i/>
          <w:sz w:val="28"/>
          <w:szCs w:val="28"/>
        </w:rPr>
        <w:t xml:space="preserve"> </w:t>
      </w:r>
      <w:r w:rsidR="009C01A7" w:rsidRPr="00E631B0">
        <w:rPr>
          <w:rFonts w:asciiTheme="minorHAnsi" w:hAnsiTheme="minorHAnsi"/>
          <w:b/>
          <w:i/>
          <w:sz w:val="28"/>
          <w:szCs w:val="28"/>
        </w:rPr>
        <w:t xml:space="preserve">Results </w:t>
      </w:r>
    </w:p>
    <w:p w14:paraId="2342AFCA" w14:textId="446A5E4A" w:rsidR="009C01A7" w:rsidRPr="00E631B0" w:rsidRDefault="009C01A7" w:rsidP="00AD7EAC">
      <w:pPr>
        <w:spacing w:after="0" w:line="240" w:lineRule="auto"/>
        <w:jc w:val="left"/>
        <w:rPr>
          <w:rFonts w:asciiTheme="minorHAnsi" w:eastAsia="Calibri" w:hAnsiTheme="minorHAnsi" w:cs="Times New Roman"/>
        </w:rPr>
      </w:pPr>
      <w:r w:rsidRPr="00E631B0">
        <w:rPr>
          <w:rFonts w:asciiTheme="minorHAnsi" w:hAnsiTheme="minorHAnsi"/>
        </w:rPr>
        <w:t>Of the 45,645 patients who were first dispensed ezetimibe between 1 April 2014 and 31 March 2015, 6,938 patients were represented in Cohort 1 (had no history of LLT in the 24 months prior to ezetimibe initiation) and 38,707 patients were represented in Cohort 2 (had a history of LLT in the 24 months prior to ezetimibe initiation).</w:t>
      </w:r>
    </w:p>
    <w:p w14:paraId="6C3B69F2" w14:textId="77777777" w:rsidR="00926C2A" w:rsidRPr="00E631B0" w:rsidRDefault="00926C2A" w:rsidP="00AD7EAC">
      <w:pPr>
        <w:spacing w:after="0" w:line="240" w:lineRule="auto"/>
        <w:jc w:val="left"/>
        <w:rPr>
          <w:rFonts w:asciiTheme="minorHAnsi" w:eastAsia="Calibri" w:hAnsiTheme="minorHAnsi" w:cs="Times New Roman"/>
        </w:rPr>
      </w:pPr>
    </w:p>
    <w:p w14:paraId="505E8D35" w14:textId="3FB0215D" w:rsidR="009C01A7" w:rsidRPr="005869C5" w:rsidRDefault="009C01A7" w:rsidP="00AD7EAC">
      <w:pPr>
        <w:spacing w:line="240" w:lineRule="auto"/>
        <w:jc w:val="left"/>
        <w:rPr>
          <w:rFonts w:asciiTheme="minorHAnsi" w:hAnsiTheme="minorHAnsi"/>
        </w:rPr>
      </w:pPr>
      <w:r w:rsidRPr="00E631B0">
        <w:rPr>
          <w:rFonts w:asciiTheme="minorHAnsi" w:hAnsiTheme="minorHAnsi"/>
        </w:rPr>
        <w:t xml:space="preserve">In Cohort 1, 3,148 patients initiated on </w:t>
      </w:r>
      <w:r w:rsidR="009A02FD" w:rsidRPr="00E631B0">
        <w:rPr>
          <w:rFonts w:asciiTheme="minorHAnsi" w:hAnsiTheme="minorHAnsi"/>
        </w:rPr>
        <w:t xml:space="preserve">ezetimibe </w:t>
      </w:r>
      <w:r w:rsidRPr="00E631B0">
        <w:rPr>
          <w:rFonts w:asciiTheme="minorHAnsi" w:hAnsiTheme="minorHAnsi"/>
        </w:rPr>
        <w:t xml:space="preserve">monotherapy and stayed on monotherapy for the next 12 months. This number includes patients with a single ezetimibe prescription. There is insufficient evidence to establish compliance with the PBS restriction in this subgroup of Cohort 1 patients and </w:t>
      </w:r>
      <w:r w:rsidR="009A02FD" w:rsidRPr="00E631B0">
        <w:rPr>
          <w:rFonts w:asciiTheme="minorHAnsi" w:hAnsiTheme="minorHAnsi"/>
        </w:rPr>
        <w:t xml:space="preserve">they </w:t>
      </w:r>
      <w:r w:rsidRPr="00E631B0">
        <w:rPr>
          <w:rFonts w:asciiTheme="minorHAnsi" w:hAnsiTheme="minorHAnsi"/>
        </w:rPr>
        <w:t>are therefore considered part of the</w:t>
      </w:r>
      <w:r w:rsidRPr="005869C5">
        <w:rPr>
          <w:rFonts w:asciiTheme="minorHAnsi" w:hAnsiTheme="minorHAnsi"/>
        </w:rPr>
        <w:t xml:space="preserve"> </w:t>
      </w:r>
      <w:r w:rsidRPr="005869C5">
        <w:rPr>
          <w:rFonts w:asciiTheme="minorHAnsi" w:hAnsiTheme="minorHAnsi"/>
          <w:color w:val="F79646" w:themeColor="accent6"/>
        </w:rPr>
        <w:t>orange</w:t>
      </w:r>
      <w:r w:rsidRPr="005869C5">
        <w:rPr>
          <w:rFonts w:asciiTheme="minorHAnsi" w:hAnsiTheme="minorHAnsi"/>
        </w:rPr>
        <w:t xml:space="preserve"> group. A further 3,647 patients initiated ezetimibe and received a statin in the following 12 months (</w:t>
      </w:r>
      <w:r w:rsidRPr="005869C5">
        <w:rPr>
          <w:rFonts w:asciiTheme="minorHAnsi" w:hAnsiTheme="minorHAnsi"/>
          <w:color w:val="FF0000"/>
        </w:rPr>
        <w:t xml:space="preserve">red </w:t>
      </w:r>
      <w:r w:rsidRPr="005869C5">
        <w:rPr>
          <w:rFonts w:asciiTheme="minorHAnsi" w:hAnsiTheme="minorHAnsi"/>
        </w:rPr>
        <w:t xml:space="preserve">group). The remaining 143 patients in Cohort 1 initiated ezetimibe and received only </w:t>
      </w:r>
      <w:r w:rsidR="009A02FD">
        <w:rPr>
          <w:rFonts w:asciiTheme="minorHAnsi" w:hAnsiTheme="minorHAnsi"/>
        </w:rPr>
        <w:t>dispensing</w:t>
      </w:r>
      <w:r w:rsidR="002D2F13" w:rsidRPr="005869C5">
        <w:rPr>
          <w:rFonts w:asciiTheme="minorHAnsi" w:hAnsiTheme="minorHAnsi"/>
        </w:rPr>
        <w:t>s</w:t>
      </w:r>
      <w:r w:rsidRPr="005869C5">
        <w:rPr>
          <w:rFonts w:asciiTheme="minorHAnsi" w:hAnsiTheme="minorHAnsi"/>
        </w:rPr>
        <w:t xml:space="preserve"> for other non-statin LLT in the following 12 months (</w:t>
      </w:r>
      <w:r w:rsidRPr="005869C5">
        <w:rPr>
          <w:rFonts w:asciiTheme="minorHAnsi" w:hAnsiTheme="minorHAnsi"/>
          <w:color w:val="00B050"/>
        </w:rPr>
        <w:t xml:space="preserve">green </w:t>
      </w:r>
      <w:r w:rsidRPr="005869C5">
        <w:rPr>
          <w:rFonts w:asciiTheme="minorHAnsi" w:hAnsiTheme="minorHAnsi"/>
        </w:rPr>
        <w:t xml:space="preserve">group). </w:t>
      </w:r>
      <w:r w:rsidR="00561A9A">
        <w:rPr>
          <w:rFonts w:asciiTheme="minorHAnsi" w:hAnsiTheme="minorHAnsi"/>
        </w:rPr>
        <w:t>Results for Cohort 1 are summarised in Table 9.</w:t>
      </w:r>
    </w:p>
    <w:p w14:paraId="565C0644" w14:textId="62FCB683" w:rsidR="004576DF" w:rsidRPr="00F404A5" w:rsidRDefault="004576DF" w:rsidP="00843188">
      <w:pPr>
        <w:pStyle w:val="TableName"/>
        <w:keepNext/>
        <w:keepLines/>
      </w:pPr>
      <w:r w:rsidRPr="00AE1E65">
        <w:lastRenderedPageBreak/>
        <w:t xml:space="preserve">Table </w:t>
      </w:r>
      <w:r w:rsidR="00EA7D7C" w:rsidRPr="00E12EF9">
        <w:t>9</w:t>
      </w:r>
      <w:r w:rsidRPr="00E12EF9">
        <w:t xml:space="preserve">: Results Cohort 1 (patients initiating ezetimibe with no prior dispensing of any </w:t>
      </w:r>
      <w:r w:rsidR="009A02FD">
        <w:rPr>
          <w:snapToGrid w:val="0"/>
          <w:lang w:eastAsia="zh-CN"/>
        </w:rPr>
        <w:t>LLT</w:t>
      </w:r>
      <w:r w:rsidR="009A02FD" w:rsidRPr="00AE1E65">
        <w:t xml:space="preserve"> </w:t>
      </w:r>
      <w:r w:rsidRPr="00E12EF9">
        <w:t>in</w:t>
      </w:r>
      <w:r w:rsidRPr="005869C5">
        <w:rPr>
          <w:snapToGrid w:val="0"/>
          <w:lang w:eastAsia="zh-CN"/>
        </w:rPr>
        <w:t xml:space="preserve"> </w:t>
      </w:r>
      <w:r w:rsidR="009A02FD">
        <w:rPr>
          <w:snapToGrid w:val="0"/>
          <w:lang w:eastAsia="zh-CN"/>
        </w:rPr>
        <w:t>the</w:t>
      </w:r>
      <w:r w:rsidR="009A02FD" w:rsidRPr="00AE1E65">
        <w:t xml:space="preserve"> </w:t>
      </w:r>
      <w:r w:rsidRPr="00E12EF9">
        <w:t>24 months prior to ezetimibe initiation; N=6,938)</w:t>
      </w:r>
    </w:p>
    <w:tbl>
      <w:tblPr>
        <w:tblStyle w:val="TableGrid"/>
        <w:tblW w:w="9209" w:type="dxa"/>
        <w:tblCellMar>
          <w:left w:w="28" w:type="dxa"/>
          <w:right w:w="28" w:type="dxa"/>
        </w:tblCellMar>
        <w:tblLook w:val="04A0" w:firstRow="1" w:lastRow="0" w:firstColumn="1" w:lastColumn="0" w:noHBand="0" w:noVBand="1"/>
        <w:tblCaption w:val="Results Cohort 1 (patients initiating ezetimibe with no prior dispensing of any LLT in the 24 months prior to ezetimibe initiation; N=6,938)"/>
      </w:tblPr>
      <w:tblGrid>
        <w:gridCol w:w="1696"/>
        <w:gridCol w:w="2504"/>
        <w:gridCol w:w="2504"/>
        <w:gridCol w:w="2505"/>
      </w:tblGrid>
      <w:tr w:rsidR="004576DF" w:rsidRPr="005869C5" w14:paraId="489925F3" w14:textId="77777777" w:rsidTr="00843188">
        <w:trPr>
          <w:tblHeader/>
        </w:trPr>
        <w:tc>
          <w:tcPr>
            <w:tcW w:w="1696" w:type="dxa"/>
            <w:vMerge w:val="restart"/>
            <w:vAlign w:val="bottom"/>
          </w:tcPr>
          <w:p w14:paraId="23693AA4" w14:textId="13F2B59B" w:rsidR="004576DF" w:rsidRPr="005869C5" w:rsidRDefault="00561A9A" w:rsidP="009A02FD">
            <w:pPr>
              <w:keepNext/>
              <w:keepLines/>
              <w:widowControl w:val="0"/>
              <w:spacing w:before="60" w:after="60"/>
              <w:rPr>
                <w:rFonts w:ascii="Arial Narrow" w:hAnsi="Arial Narrow"/>
                <w:b/>
                <w:sz w:val="20"/>
                <w:szCs w:val="20"/>
              </w:rPr>
            </w:pPr>
            <w:r>
              <w:rPr>
                <w:rFonts w:ascii="Arial Narrow" w:hAnsi="Arial Narrow" w:cs="Arial"/>
                <w:b/>
                <w:color w:val="000000"/>
                <w:sz w:val="20"/>
                <w:szCs w:val="20"/>
              </w:rPr>
              <w:t>LLT in p</w:t>
            </w:r>
            <w:r w:rsidR="004576DF" w:rsidRPr="005869C5">
              <w:rPr>
                <w:rFonts w:ascii="Arial Narrow" w:hAnsi="Arial Narrow" w:cs="Arial"/>
                <w:b/>
                <w:color w:val="000000"/>
                <w:sz w:val="20"/>
                <w:szCs w:val="20"/>
              </w:rPr>
              <w:t>rior 24 months</w:t>
            </w:r>
          </w:p>
        </w:tc>
        <w:tc>
          <w:tcPr>
            <w:tcW w:w="7513" w:type="dxa"/>
            <w:gridSpan w:val="3"/>
            <w:vAlign w:val="center"/>
          </w:tcPr>
          <w:p w14:paraId="16FB7A8D" w14:textId="77777777" w:rsidR="004576DF" w:rsidRPr="005869C5" w:rsidRDefault="004576DF" w:rsidP="009A02FD">
            <w:pPr>
              <w:keepNext/>
              <w:keepLines/>
              <w:spacing w:before="60" w:after="60"/>
              <w:rPr>
                <w:rFonts w:ascii="Arial Narrow" w:hAnsi="Arial Narrow"/>
                <w:b/>
                <w:color w:val="000000"/>
                <w:sz w:val="20"/>
                <w:szCs w:val="20"/>
              </w:rPr>
            </w:pPr>
            <w:r w:rsidRPr="005869C5">
              <w:rPr>
                <w:rFonts w:ascii="Arial Narrow" w:hAnsi="Arial Narrow" w:cs="Arial"/>
                <w:b/>
                <w:color w:val="000000"/>
                <w:sz w:val="20"/>
                <w:szCs w:val="20"/>
              </w:rPr>
              <w:t>Post-ezetimibe LLT (followed for 12 months)</w:t>
            </w:r>
          </w:p>
        </w:tc>
      </w:tr>
      <w:tr w:rsidR="004576DF" w:rsidRPr="005869C5" w14:paraId="783B9FA7" w14:textId="77777777" w:rsidTr="00020350">
        <w:tc>
          <w:tcPr>
            <w:tcW w:w="1696" w:type="dxa"/>
            <w:vMerge/>
            <w:vAlign w:val="center"/>
          </w:tcPr>
          <w:p w14:paraId="3651B3FE" w14:textId="77777777" w:rsidR="004576DF" w:rsidRPr="005869C5" w:rsidRDefault="004576DF" w:rsidP="009A02FD">
            <w:pPr>
              <w:keepNext/>
              <w:keepLines/>
              <w:widowControl w:val="0"/>
              <w:spacing w:before="60" w:after="60"/>
              <w:rPr>
                <w:rFonts w:ascii="Arial Narrow" w:hAnsi="Arial Narrow"/>
                <w:b/>
                <w:sz w:val="20"/>
                <w:szCs w:val="20"/>
              </w:rPr>
            </w:pPr>
          </w:p>
        </w:tc>
        <w:tc>
          <w:tcPr>
            <w:tcW w:w="2504" w:type="dxa"/>
            <w:vAlign w:val="center"/>
          </w:tcPr>
          <w:p w14:paraId="7772F382" w14:textId="77777777" w:rsidR="004576DF" w:rsidRPr="005869C5" w:rsidRDefault="004576DF" w:rsidP="009A02FD">
            <w:pPr>
              <w:keepNext/>
              <w:keepLines/>
              <w:spacing w:before="60" w:after="60"/>
              <w:rPr>
                <w:rFonts w:ascii="Arial Narrow" w:hAnsi="Arial Narrow"/>
                <w:b/>
                <w:i/>
                <w:color w:val="000000"/>
                <w:sz w:val="20"/>
                <w:szCs w:val="20"/>
                <w:u w:val="single"/>
              </w:rPr>
            </w:pPr>
            <w:r w:rsidRPr="005869C5">
              <w:rPr>
                <w:rFonts w:ascii="Arial Narrow" w:hAnsi="Arial Narrow"/>
                <w:color w:val="000000"/>
                <w:sz w:val="20"/>
                <w:szCs w:val="20"/>
              </w:rPr>
              <w:t>stay on ezetimibe monotherapy</w:t>
            </w:r>
          </w:p>
        </w:tc>
        <w:tc>
          <w:tcPr>
            <w:tcW w:w="2504" w:type="dxa"/>
            <w:vAlign w:val="center"/>
          </w:tcPr>
          <w:p w14:paraId="0FF4B312" w14:textId="77777777" w:rsidR="004576DF" w:rsidRPr="005869C5" w:rsidRDefault="004576DF" w:rsidP="009A02FD">
            <w:pPr>
              <w:keepNext/>
              <w:keepLines/>
              <w:spacing w:before="60" w:after="60"/>
              <w:rPr>
                <w:rFonts w:ascii="Arial Narrow" w:hAnsi="Arial Narrow"/>
                <w:b/>
                <w:i/>
                <w:color w:val="000000"/>
                <w:sz w:val="20"/>
                <w:szCs w:val="20"/>
                <w:u w:val="single"/>
              </w:rPr>
            </w:pPr>
            <w:r w:rsidRPr="005869C5">
              <w:rPr>
                <w:rFonts w:ascii="Arial Narrow" w:hAnsi="Arial Narrow"/>
                <w:color w:val="000000"/>
                <w:sz w:val="20"/>
                <w:szCs w:val="20"/>
              </w:rPr>
              <w:t>start/add/switch to a statin</w:t>
            </w:r>
          </w:p>
        </w:tc>
        <w:tc>
          <w:tcPr>
            <w:tcW w:w="2505" w:type="dxa"/>
            <w:vAlign w:val="center"/>
          </w:tcPr>
          <w:p w14:paraId="39868225" w14:textId="3112C122" w:rsidR="004576DF" w:rsidRPr="005869C5" w:rsidRDefault="00561A9A" w:rsidP="00561A9A">
            <w:pPr>
              <w:keepNext/>
              <w:keepLines/>
              <w:spacing w:before="60" w:after="60"/>
              <w:rPr>
                <w:rFonts w:ascii="Arial Narrow" w:hAnsi="Arial Narrow"/>
                <w:color w:val="000000"/>
                <w:sz w:val="20"/>
                <w:szCs w:val="20"/>
              </w:rPr>
            </w:pPr>
            <w:r>
              <w:rPr>
                <w:rFonts w:ascii="Arial Narrow" w:hAnsi="Arial Narrow" w:cs="Arial"/>
                <w:color w:val="000000"/>
                <w:sz w:val="20"/>
                <w:szCs w:val="20"/>
              </w:rPr>
              <w:t xml:space="preserve">switch or add non-statin </w:t>
            </w:r>
            <w:r w:rsidR="004576DF" w:rsidRPr="005869C5">
              <w:rPr>
                <w:rFonts w:ascii="Arial Narrow" w:hAnsi="Arial Narrow" w:cs="Arial"/>
                <w:color w:val="000000"/>
                <w:sz w:val="20"/>
                <w:szCs w:val="20"/>
              </w:rPr>
              <w:t>LLT</w:t>
            </w:r>
          </w:p>
        </w:tc>
      </w:tr>
      <w:tr w:rsidR="004576DF" w:rsidRPr="005869C5" w14:paraId="6DC2E978" w14:textId="77777777" w:rsidTr="004576DF">
        <w:trPr>
          <w:trHeight w:val="129"/>
        </w:trPr>
        <w:tc>
          <w:tcPr>
            <w:tcW w:w="1696" w:type="dxa"/>
            <w:vAlign w:val="center"/>
          </w:tcPr>
          <w:p w14:paraId="2268BE2F" w14:textId="77777777" w:rsidR="004576DF" w:rsidRPr="005869C5" w:rsidRDefault="004576DF" w:rsidP="009A02FD">
            <w:pPr>
              <w:keepNext/>
              <w:keepLines/>
              <w:widowControl w:val="0"/>
              <w:spacing w:before="60" w:after="60"/>
              <w:rPr>
                <w:rFonts w:ascii="Arial Narrow" w:hAnsi="Arial Narrow" w:cs="Arial"/>
                <w:snapToGrid w:val="0"/>
                <w:sz w:val="20"/>
                <w:szCs w:val="20"/>
              </w:rPr>
            </w:pPr>
            <w:r w:rsidRPr="005869C5">
              <w:rPr>
                <w:rFonts w:ascii="Arial Narrow" w:hAnsi="Arial Narrow" w:cs="Arial"/>
                <w:snapToGrid w:val="0"/>
                <w:sz w:val="20"/>
                <w:szCs w:val="20"/>
              </w:rPr>
              <w:t>No LLT</w:t>
            </w:r>
          </w:p>
        </w:tc>
        <w:tc>
          <w:tcPr>
            <w:tcW w:w="2504" w:type="dxa"/>
            <w:shd w:val="clear" w:color="auto" w:fill="F79646" w:themeFill="accent6"/>
            <w:vAlign w:val="center"/>
          </w:tcPr>
          <w:p w14:paraId="2754D5EF" w14:textId="77777777" w:rsidR="004576DF" w:rsidRPr="005869C5" w:rsidRDefault="004576DF" w:rsidP="009A02FD">
            <w:pPr>
              <w:keepNext/>
              <w:keepLines/>
              <w:widowControl w:val="0"/>
              <w:spacing w:before="60" w:after="60"/>
              <w:rPr>
                <w:rFonts w:ascii="Arial Narrow" w:hAnsi="Arial Narrow" w:cs="Arial"/>
                <w:b/>
                <w:i/>
                <w:snapToGrid w:val="0"/>
                <w:color w:val="000000"/>
                <w:sz w:val="20"/>
                <w:szCs w:val="20"/>
                <w:u w:val="single"/>
              </w:rPr>
            </w:pPr>
            <w:r w:rsidRPr="005869C5">
              <w:rPr>
                <w:rFonts w:ascii="Arial Narrow" w:hAnsi="Arial Narrow"/>
                <w:color w:val="FFFFFF" w:themeColor="background1"/>
                <w:sz w:val="20"/>
                <w:szCs w:val="20"/>
              </w:rPr>
              <w:t>N=3,148 (45.4%)</w:t>
            </w:r>
          </w:p>
        </w:tc>
        <w:tc>
          <w:tcPr>
            <w:tcW w:w="2504" w:type="dxa"/>
            <w:shd w:val="clear" w:color="auto" w:fill="FF0000"/>
            <w:vAlign w:val="center"/>
          </w:tcPr>
          <w:p w14:paraId="7CA008E3" w14:textId="77777777" w:rsidR="004576DF" w:rsidRPr="005869C5" w:rsidRDefault="004576DF" w:rsidP="009A02FD">
            <w:pPr>
              <w:keepNext/>
              <w:keepLines/>
              <w:spacing w:before="60" w:after="60"/>
              <w:rPr>
                <w:rFonts w:ascii="Arial Narrow" w:hAnsi="Arial Narrow"/>
                <w:b/>
                <w:i/>
                <w:color w:val="000000"/>
                <w:sz w:val="20"/>
                <w:szCs w:val="20"/>
                <w:u w:val="single"/>
              </w:rPr>
            </w:pPr>
            <w:r w:rsidRPr="005869C5">
              <w:rPr>
                <w:rFonts w:ascii="Arial Narrow" w:hAnsi="Arial Narrow"/>
                <w:color w:val="FFFFFF" w:themeColor="background1"/>
                <w:sz w:val="20"/>
                <w:szCs w:val="20"/>
              </w:rPr>
              <w:t>N=3,647 (52.6%)</w:t>
            </w:r>
          </w:p>
        </w:tc>
        <w:tc>
          <w:tcPr>
            <w:tcW w:w="2505" w:type="dxa"/>
            <w:shd w:val="clear" w:color="auto" w:fill="00B050"/>
            <w:vAlign w:val="center"/>
          </w:tcPr>
          <w:p w14:paraId="2281EF38" w14:textId="77777777" w:rsidR="004576DF" w:rsidRPr="005869C5" w:rsidRDefault="004576DF" w:rsidP="009A02FD">
            <w:pPr>
              <w:keepNext/>
              <w:keepLines/>
              <w:spacing w:before="60" w:after="60"/>
              <w:rPr>
                <w:rFonts w:ascii="Arial Narrow" w:hAnsi="Arial Narrow"/>
                <w:b/>
                <w:i/>
                <w:color w:val="000000"/>
                <w:sz w:val="20"/>
                <w:szCs w:val="20"/>
                <w:u w:val="single"/>
              </w:rPr>
            </w:pPr>
            <w:r w:rsidRPr="005869C5">
              <w:rPr>
                <w:rFonts w:ascii="Arial Narrow" w:hAnsi="Arial Narrow"/>
                <w:color w:val="FFFFFF" w:themeColor="background1"/>
                <w:sz w:val="20"/>
                <w:szCs w:val="20"/>
              </w:rPr>
              <w:t>N=143 (2.0%)</w:t>
            </w:r>
          </w:p>
        </w:tc>
      </w:tr>
    </w:tbl>
    <w:p w14:paraId="69838E49" w14:textId="77777777" w:rsidR="00BC068B" w:rsidRPr="005869C5" w:rsidRDefault="00BC068B" w:rsidP="00843188">
      <w:pPr>
        <w:keepNext/>
        <w:keepLines/>
        <w:spacing w:after="120"/>
        <w:rPr>
          <w:rFonts w:asciiTheme="minorHAnsi" w:hAnsiTheme="minorHAnsi"/>
        </w:rPr>
      </w:pPr>
    </w:p>
    <w:p w14:paraId="76F683B9" w14:textId="5FCD9E10" w:rsidR="009C01A7" w:rsidRPr="00E631B0" w:rsidRDefault="009C01A7" w:rsidP="00AD7EAC">
      <w:pPr>
        <w:spacing w:line="240" w:lineRule="auto"/>
        <w:jc w:val="left"/>
        <w:rPr>
          <w:rFonts w:asciiTheme="minorHAnsi" w:hAnsiTheme="minorHAnsi"/>
        </w:rPr>
      </w:pPr>
      <w:r w:rsidRPr="00E631B0">
        <w:rPr>
          <w:rFonts w:asciiTheme="minorHAnsi" w:hAnsiTheme="minorHAnsi"/>
        </w:rPr>
        <w:t>In Cohort 2</w:t>
      </w:r>
      <w:r w:rsidR="00561A9A" w:rsidRPr="00E631B0">
        <w:rPr>
          <w:rFonts w:asciiTheme="minorHAnsi" w:hAnsiTheme="minorHAnsi"/>
        </w:rPr>
        <w:t>,</w:t>
      </w:r>
      <w:r w:rsidRPr="00E631B0">
        <w:rPr>
          <w:rFonts w:asciiTheme="minorHAnsi" w:hAnsiTheme="minorHAnsi"/>
        </w:rPr>
        <w:t xml:space="preserve"> a total of </w:t>
      </w:r>
      <w:r w:rsidR="00561A9A" w:rsidRPr="00E631B0">
        <w:rPr>
          <w:rFonts w:asciiTheme="minorHAnsi" w:hAnsiTheme="minorHAnsi"/>
        </w:rPr>
        <w:t xml:space="preserve">4,713 patients were found to </w:t>
      </w:r>
      <w:r w:rsidRPr="00E631B0">
        <w:rPr>
          <w:rFonts w:asciiTheme="minorHAnsi" w:hAnsiTheme="minorHAnsi"/>
        </w:rPr>
        <w:t xml:space="preserve">have patterns of statin dispensing that suggested further up-titration occurred following initiation to ezetimibe and were grouped </w:t>
      </w:r>
      <w:r w:rsidRPr="005869C5">
        <w:rPr>
          <w:rFonts w:asciiTheme="minorHAnsi" w:hAnsiTheme="minorHAnsi"/>
          <w:color w:val="FF0000"/>
        </w:rPr>
        <w:t>red</w:t>
      </w:r>
      <w:r w:rsidR="00847F3C" w:rsidRPr="00E631B0">
        <w:rPr>
          <w:rFonts w:asciiTheme="minorHAnsi" w:hAnsiTheme="minorHAnsi"/>
        </w:rPr>
        <w:t>. A furthe</w:t>
      </w:r>
      <w:r w:rsidR="002B63EB" w:rsidRPr="00E631B0">
        <w:rPr>
          <w:rFonts w:asciiTheme="minorHAnsi" w:hAnsiTheme="minorHAnsi"/>
        </w:rPr>
        <w:t>r</w:t>
      </w:r>
      <w:r w:rsidRPr="00E631B0">
        <w:rPr>
          <w:rFonts w:asciiTheme="minorHAnsi" w:hAnsiTheme="minorHAnsi"/>
        </w:rPr>
        <w:t xml:space="preserve"> 21,243 patient’s LLT dispensing patterns suggest that they were initiated to ezetimibe in accordance with the PBS restriction and were grouped as</w:t>
      </w:r>
      <w:r w:rsidRPr="005869C5">
        <w:rPr>
          <w:rFonts w:asciiTheme="minorHAnsi" w:hAnsiTheme="minorHAnsi"/>
        </w:rPr>
        <w:t xml:space="preserve"> </w:t>
      </w:r>
      <w:r w:rsidRPr="005869C5">
        <w:rPr>
          <w:rFonts w:asciiTheme="minorHAnsi" w:hAnsiTheme="minorHAnsi"/>
          <w:color w:val="00B050"/>
        </w:rPr>
        <w:t>green</w:t>
      </w:r>
      <w:r w:rsidR="00847F3C" w:rsidRPr="005869C5">
        <w:rPr>
          <w:rFonts w:asciiTheme="minorHAnsi" w:hAnsiTheme="minorHAnsi"/>
        </w:rPr>
        <w:t>.</w:t>
      </w:r>
      <w:r w:rsidRPr="005869C5">
        <w:rPr>
          <w:rFonts w:asciiTheme="minorHAnsi" w:hAnsiTheme="minorHAnsi"/>
        </w:rPr>
        <w:t xml:space="preserve"> </w:t>
      </w:r>
      <w:r w:rsidRPr="00E631B0">
        <w:rPr>
          <w:rFonts w:asciiTheme="minorHAnsi" w:hAnsiTheme="minorHAnsi"/>
        </w:rPr>
        <w:t xml:space="preserve">It was unclear from the dispensing patterns of the remaining 12,751 patients, whether or not they were treated in accordance with the PBS restrictions and were grouped </w:t>
      </w:r>
      <w:r w:rsidRPr="00843188">
        <w:rPr>
          <w:rFonts w:asciiTheme="minorHAnsi" w:hAnsiTheme="minorHAnsi"/>
          <w:color w:val="E36C0A" w:themeColor="accent6" w:themeShade="BF"/>
        </w:rPr>
        <w:t>orange</w:t>
      </w:r>
      <w:r w:rsidRPr="005869C5">
        <w:rPr>
          <w:rFonts w:asciiTheme="minorHAnsi" w:hAnsiTheme="minorHAnsi"/>
        </w:rPr>
        <w:t xml:space="preserve">. </w:t>
      </w:r>
      <w:r w:rsidR="00561A9A" w:rsidRPr="00E631B0">
        <w:rPr>
          <w:rFonts w:asciiTheme="minorHAnsi" w:hAnsiTheme="minorHAnsi"/>
        </w:rPr>
        <w:t>Results for Cohort 2 are summarised in Table 10.</w:t>
      </w:r>
    </w:p>
    <w:p w14:paraId="6A283E0D" w14:textId="77777777" w:rsidR="002D2F13" w:rsidRPr="005869C5" w:rsidRDefault="002D2F13" w:rsidP="00C24DBD">
      <w:pPr>
        <w:keepNext/>
        <w:keepLines/>
        <w:widowControl w:val="0"/>
        <w:spacing w:after="0" w:line="259" w:lineRule="auto"/>
        <w:rPr>
          <w:rFonts w:asciiTheme="minorHAnsi" w:eastAsiaTheme="minorEastAsia" w:hAnsiTheme="minorHAnsi" w:cs="Arial"/>
          <w:szCs w:val="24"/>
          <w:lang w:eastAsia="zh-CN"/>
        </w:rPr>
      </w:pPr>
      <w:r w:rsidRPr="005869C5">
        <w:rPr>
          <w:rFonts w:asciiTheme="minorHAnsi" w:eastAsiaTheme="minorEastAsia" w:hAnsiTheme="minorHAnsi" w:cs="Arial"/>
          <w:b/>
          <w:snapToGrid w:val="0"/>
          <w:szCs w:val="24"/>
          <w:lang w:eastAsia="zh-CN"/>
        </w:rPr>
        <w:lastRenderedPageBreak/>
        <w:t xml:space="preserve">Table </w:t>
      </w:r>
      <w:r w:rsidR="00EA7D7C" w:rsidRPr="005869C5">
        <w:rPr>
          <w:rFonts w:asciiTheme="minorHAnsi" w:eastAsiaTheme="minorEastAsia" w:hAnsiTheme="minorHAnsi" w:cs="Arial"/>
          <w:b/>
          <w:snapToGrid w:val="0"/>
          <w:szCs w:val="24"/>
          <w:lang w:eastAsia="zh-CN"/>
        </w:rPr>
        <w:t>10</w:t>
      </w:r>
      <w:r w:rsidRPr="005869C5">
        <w:rPr>
          <w:rFonts w:asciiTheme="minorHAnsi" w:eastAsiaTheme="minorEastAsia" w:hAnsiTheme="minorHAnsi" w:cs="Arial"/>
          <w:b/>
          <w:snapToGrid w:val="0"/>
          <w:szCs w:val="24"/>
          <w:lang w:eastAsia="zh-CN"/>
        </w:rPr>
        <w:t xml:space="preserve">: </w:t>
      </w:r>
      <w:r w:rsidR="00BC068B" w:rsidRPr="005869C5">
        <w:rPr>
          <w:rFonts w:asciiTheme="minorHAnsi" w:eastAsiaTheme="minorEastAsia" w:hAnsiTheme="minorHAnsi" w:cs="Arial"/>
          <w:b/>
          <w:snapToGrid w:val="0"/>
          <w:szCs w:val="24"/>
          <w:lang w:eastAsia="zh-CN"/>
        </w:rPr>
        <w:t xml:space="preserve">Cohort 2 according to use of LLT pre and post </w:t>
      </w:r>
      <w:r w:rsidRPr="005869C5">
        <w:rPr>
          <w:rFonts w:asciiTheme="minorHAnsi" w:eastAsiaTheme="minorEastAsia" w:hAnsiTheme="minorHAnsi" w:cs="Arial"/>
          <w:b/>
          <w:snapToGrid w:val="0"/>
          <w:szCs w:val="24"/>
          <w:lang w:eastAsia="zh-CN"/>
        </w:rPr>
        <w:t xml:space="preserve">ezetimibe initiation N=38,707 </w:t>
      </w:r>
    </w:p>
    <w:tbl>
      <w:tblPr>
        <w:tblStyle w:val="TableGrid17"/>
        <w:tblW w:w="9214" w:type="dxa"/>
        <w:tblInd w:w="28" w:type="dxa"/>
        <w:tblCellMar>
          <w:left w:w="28" w:type="dxa"/>
          <w:right w:w="28" w:type="dxa"/>
        </w:tblCellMar>
        <w:tblLook w:val="04A0" w:firstRow="1" w:lastRow="0" w:firstColumn="1" w:lastColumn="0" w:noHBand="0" w:noVBand="1"/>
        <w:tblCaption w:val="Cohort 2 according to use of LLT pre and post ezetimibe initiation N=38,707 "/>
      </w:tblPr>
      <w:tblGrid>
        <w:gridCol w:w="1701"/>
        <w:gridCol w:w="851"/>
        <w:gridCol w:w="1332"/>
        <w:gridCol w:w="1332"/>
        <w:gridCol w:w="1333"/>
        <w:gridCol w:w="1332"/>
        <w:gridCol w:w="1333"/>
      </w:tblGrid>
      <w:tr w:rsidR="002D2F13" w:rsidRPr="00C01A97" w14:paraId="454A1617" w14:textId="77777777" w:rsidTr="00843188">
        <w:trPr>
          <w:tblHeader/>
        </w:trPr>
        <w:tc>
          <w:tcPr>
            <w:tcW w:w="1701" w:type="dxa"/>
            <w:vMerge w:val="restart"/>
            <w:tcBorders>
              <w:right w:val="single" w:sz="4" w:space="0" w:color="auto"/>
            </w:tcBorders>
          </w:tcPr>
          <w:p w14:paraId="24E15D81" w14:textId="77777777" w:rsidR="002D2F13" w:rsidRPr="00C01A97" w:rsidRDefault="002D2F13" w:rsidP="00C24DBD">
            <w:pPr>
              <w:keepNext/>
              <w:keepLines/>
              <w:widowControl w:val="0"/>
              <w:spacing w:before="60" w:after="60" w:line="259" w:lineRule="auto"/>
              <w:rPr>
                <w:rFonts w:ascii="Arial Narrow" w:eastAsiaTheme="minorEastAsia" w:hAnsi="Arial Narrow" w:cs="Arial"/>
                <w:b/>
                <w:snapToGrid w:val="0"/>
                <w:sz w:val="20"/>
                <w:szCs w:val="20"/>
                <w:lang w:eastAsia="zh-CN"/>
              </w:rPr>
            </w:pPr>
            <w:r w:rsidRPr="00C01A97">
              <w:rPr>
                <w:rFonts w:ascii="Arial Narrow" w:eastAsiaTheme="minorEastAsia" w:hAnsi="Arial Narrow" w:cs="Arial"/>
                <w:b/>
                <w:bCs/>
                <w:color w:val="000000"/>
                <w:sz w:val="20"/>
                <w:szCs w:val="20"/>
                <w:lang w:eastAsia="zh-CN"/>
              </w:rPr>
              <w:t>Pre Ezetimibe LLT</w:t>
            </w:r>
          </w:p>
        </w:tc>
        <w:tc>
          <w:tcPr>
            <w:tcW w:w="851" w:type="dxa"/>
            <w:vMerge w:val="restart"/>
            <w:tcBorders>
              <w:left w:val="single" w:sz="4" w:space="0" w:color="auto"/>
            </w:tcBorders>
          </w:tcPr>
          <w:p w14:paraId="74CCDD1A" w14:textId="6E35B083" w:rsidR="002D2F13" w:rsidRPr="00C01A97" w:rsidRDefault="002D2F13" w:rsidP="00C24DBD">
            <w:pPr>
              <w:keepNext/>
              <w:keepLines/>
              <w:widowControl w:val="0"/>
              <w:spacing w:before="60" w:after="60" w:line="259" w:lineRule="auto"/>
              <w:rPr>
                <w:rFonts w:ascii="Arial Narrow" w:eastAsiaTheme="minorEastAsia" w:hAnsi="Arial Narrow" w:cs="Arial"/>
                <w:b/>
                <w:snapToGrid w:val="0"/>
                <w:sz w:val="20"/>
                <w:szCs w:val="20"/>
                <w:lang w:eastAsia="zh-CN"/>
              </w:rPr>
            </w:pPr>
            <w:r w:rsidRPr="00C01A97">
              <w:rPr>
                <w:rFonts w:ascii="Arial Narrow" w:eastAsiaTheme="minorEastAsia" w:hAnsi="Arial Narrow" w:cs="Arial"/>
                <w:b/>
                <w:snapToGrid w:val="0"/>
                <w:sz w:val="20"/>
                <w:szCs w:val="20"/>
                <w:lang w:eastAsia="zh-CN"/>
              </w:rPr>
              <w:t>N</w:t>
            </w:r>
            <w:r w:rsidR="00561A9A">
              <w:rPr>
                <w:rFonts w:ascii="Arial Narrow" w:eastAsiaTheme="minorEastAsia" w:hAnsi="Arial Narrow" w:cs="Arial"/>
                <w:b/>
                <w:snapToGrid w:val="0"/>
                <w:sz w:val="20"/>
                <w:szCs w:val="20"/>
                <w:lang w:eastAsia="zh-CN"/>
              </w:rPr>
              <w:t>o.</w:t>
            </w:r>
          </w:p>
        </w:tc>
        <w:tc>
          <w:tcPr>
            <w:tcW w:w="6662" w:type="dxa"/>
            <w:gridSpan w:val="5"/>
            <w:vAlign w:val="center"/>
          </w:tcPr>
          <w:p w14:paraId="724B13F8" w14:textId="77777777" w:rsidR="002D2F13" w:rsidRPr="00C01A97" w:rsidRDefault="002D2F13" w:rsidP="00C24DBD">
            <w:pPr>
              <w:keepNext/>
              <w:keepLines/>
              <w:widowControl w:val="0"/>
              <w:spacing w:before="60" w:after="60" w:line="259" w:lineRule="auto"/>
              <w:rPr>
                <w:rFonts w:ascii="Arial Narrow" w:eastAsiaTheme="minorEastAsia" w:hAnsi="Arial Narrow" w:cs="Arial"/>
                <w:b/>
                <w:snapToGrid w:val="0"/>
                <w:sz w:val="20"/>
                <w:szCs w:val="20"/>
                <w:lang w:eastAsia="zh-CN"/>
              </w:rPr>
            </w:pPr>
            <w:r w:rsidRPr="00C01A97">
              <w:rPr>
                <w:rFonts w:ascii="Arial Narrow" w:eastAsiaTheme="minorEastAsia" w:hAnsi="Arial Narrow" w:cs="Arial"/>
                <w:b/>
                <w:color w:val="000000"/>
                <w:sz w:val="20"/>
                <w:lang w:eastAsia="zh-CN"/>
              </w:rPr>
              <w:t>Post-ezetimibe LLT (followed for 12 months)</w:t>
            </w:r>
          </w:p>
        </w:tc>
      </w:tr>
      <w:tr w:rsidR="00BC068B" w:rsidRPr="00C01A97" w14:paraId="19ECE535" w14:textId="77777777" w:rsidTr="00847F3C">
        <w:tc>
          <w:tcPr>
            <w:tcW w:w="1701" w:type="dxa"/>
            <w:vMerge/>
            <w:tcBorders>
              <w:right w:val="single" w:sz="4" w:space="0" w:color="auto"/>
            </w:tcBorders>
          </w:tcPr>
          <w:p w14:paraId="463E5A14" w14:textId="77777777" w:rsidR="002D2F13" w:rsidRPr="00C01A97" w:rsidRDefault="002D2F13" w:rsidP="00C24DBD">
            <w:pPr>
              <w:keepNext/>
              <w:keepLines/>
              <w:widowControl w:val="0"/>
              <w:spacing w:before="60" w:after="60" w:line="259" w:lineRule="auto"/>
              <w:rPr>
                <w:rFonts w:ascii="Arial Narrow" w:eastAsiaTheme="minorEastAsia" w:hAnsi="Arial Narrow" w:cs="Arial"/>
                <w:snapToGrid w:val="0"/>
                <w:sz w:val="20"/>
                <w:szCs w:val="20"/>
                <w:lang w:eastAsia="zh-CN"/>
              </w:rPr>
            </w:pPr>
          </w:p>
        </w:tc>
        <w:tc>
          <w:tcPr>
            <w:tcW w:w="851" w:type="dxa"/>
            <w:vMerge/>
            <w:tcBorders>
              <w:left w:val="single" w:sz="4" w:space="0" w:color="auto"/>
            </w:tcBorders>
          </w:tcPr>
          <w:p w14:paraId="6112966B" w14:textId="77777777" w:rsidR="002D2F13" w:rsidRPr="00C01A97" w:rsidRDefault="002D2F13" w:rsidP="00C24DBD">
            <w:pPr>
              <w:keepNext/>
              <w:keepLines/>
              <w:widowControl w:val="0"/>
              <w:spacing w:before="60" w:after="60" w:line="259" w:lineRule="auto"/>
              <w:rPr>
                <w:rFonts w:ascii="Arial Narrow" w:eastAsiaTheme="minorEastAsia" w:hAnsi="Arial Narrow" w:cs="Arial"/>
                <w:snapToGrid w:val="0"/>
                <w:sz w:val="20"/>
                <w:szCs w:val="20"/>
                <w:lang w:eastAsia="zh-CN"/>
              </w:rPr>
            </w:pPr>
          </w:p>
        </w:tc>
        <w:tc>
          <w:tcPr>
            <w:tcW w:w="1332" w:type="dxa"/>
            <w:vAlign w:val="center"/>
          </w:tcPr>
          <w:p w14:paraId="212168F4" w14:textId="77777777" w:rsidR="002D2F13" w:rsidRPr="00C01A97" w:rsidRDefault="002D2F13" w:rsidP="00C24DBD">
            <w:pPr>
              <w:keepNext/>
              <w:keepLines/>
              <w:spacing w:before="60" w:after="60" w:line="259" w:lineRule="auto"/>
              <w:rPr>
                <w:rFonts w:ascii="Arial Narrow" w:eastAsiaTheme="minorEastAsia" w:hAnsi="Arial Narrow"/>
                <w:b/>
                <w:i/>
                <w:color w:val="000000"/>
                <w:sz w:val="20"/>
                <w:szCs w:val="20"/>
                <w:u w:val="single"/>
                <w:vertAlign w:val="superscript"/>
                <w:lang w:eastAsia="zh-CN"/>
              </w:rPr>
            </w:pPr>
            <w:r w:rsidRPr="00C01A97">
              <w:rPr>
                <w:rFonts w:ascii="Arial Narrow" w:eastAsiaTheme="minorEastAsia" w:hAnsi="Arial Narrow"/>
                <w:color w:val="000000"/>
                <w:sz w:val="20"/>
                <w:szCs w:val="20"/>
                <w:lang w:eastAsia="zh-CN"/>
              </w:rPr>
              <w:t>stay on ezetimibe monotherapy</w:t>
            </w:r>
            <w:r w:rsidRPr="00C01A97">
              <w:rPr>
                <w:rFonts w:ascii="Arial Narrow" w:eastAsiaTheme="minorEastAsia" w:hAnsi="Arial Narrow"/>
                <w:color w:val="000000"/>
                <w:sz w:val="20"/>
                <w:szCs w:val="20"/>
                <w:vertAlign w:val="superscript"/>
                <w:lang w:eastAsia="zh-CN"/>
              </w:rPr>
              <w:t>a</w:t>
            </w:r>
          </w:p>
        </w:tc>
        <w:tc>
          <w:tcPr>
            <w:tcW w:w="1332" w:type="dxa"/>
            <w:vAlign w:val="center"/>
          </w:tcPr>
          <w:p w14:paraId="19C42991" w14:textId="77777777" w:rsidR="002D2F13" w:rsidRPr="00C01A97" w:rsidRDefault="002D2F13" w:rsidP="00C24DBD">
            <w:pPr>
              <w:keepNext/>
              <w:keepLines/>
              <w:spacing w:before="60" w:after="60" w:line="259" w:lineRule="auto"/>
              <w:rPr>
                <w:rFonts w:ascii="Arial Narrow" w:eastAsiaTheme="minorEastAsia" w:hAnsi="Arial Narrow"/>
                <w:b/>
                <w:i/>
                <w:color w:val="000000"/>
                <w:sz w:val="20"/>
                <w:szCs w:val="20"/>
                <w:u w:val="single"/>
                <w:vertAlign w:val="superscript"/>
                <w:lang w:eastAsia="zh-CN"/>
              </w:rPr>
            </w:pPr>
            <w:r w:rsidRPr="00C01A97">
              <w:rPr>
                <w:rFonts w:ascii="Arial Narrow" w:eastAsiaTheme="minorEastAsia" w:hAnsi="Arial Narrow"/>
                <w:color w:val="000000"/>
                <w:sz w:val="20"/>
                <w:szCs w:val="20"/>
                <w:lang w:eastAsia="zh-CN"/>
              </w:rPr>
              <w:t>start/add/switch statin to higher dose*</w:t>
            </w:r>
            <w:r w:rsidRPr="00C01A97">
              <w:rPr>
                <w:rFonts w:ascii="Arial Narrow" w:eastAsiaTheme="minorEastAsia" w:hAnsi="Arial Narrow"/>
                <w:color w:val="000000"/>
                <w:sz w:val="20"/>
                <w:szCs w:val="20"/>
                <w:vertAlign w:val="superscript"/>
                <w:lang w:eastAsia="zh-CN"/>
              </w:rPr>
              <w:t>,b</w:t>
            </w:r>
          </w:p>
        </w:tc>
        <w:tc>
          <w:tcPr>
            <w:tcW w:w="1333" w:type="dxa"/>
            <w:vAlign w:val="center"/>
          </w:tcPr>
          <w:p w14:paraId="157B59C0" w14:textId="77777777" w:rsidR="002D2F13" w:rsidRPr="00C01A97" w:rsidRDefault="002D2F13" w:rsidP="00C24DBD">
            <w:pPr>
              <w:keepNext/>
              <w:keepLines/>
              <w:spacing w:before="60" w:after="60" w:line="259" w:lineRule="auto"/>
              <w:rPr>
                <w:rFonts w:ascii="Arial Narrow" w:eastAsiaTheme="minorEastAsia" w:hAnsi="Arial Narrow"/>
                <w:color w:val="000000"/>
                <w:sz w:val="20"/>
                <w:szCs w:val="20"/>
                <w:vertAlign w:val="superscript"/>
                <w:lang w:eastAsia="zh-CN"/>
              </w:rPr>
            </w:pPr>
            <w:r w:rsidRPr="00C01A97">
              <w:rPr>
                <w:rFonts w:ascii="Arial Narrow" w:eastAsiaTheme="minorEastAsia" w:hAnsi="Arial Narrow"/>
                <w:color w:val="000000"/>
                <w:sz w:val="20"/>
                <w:szCs w:val="20"/>
                <w:lang w:eastAsia="zh-CN"/>
              </w:rPr>
              <w:t>start/add/switch statin to same dose**</w:t>
            </w:r>
            <w:r w:rsidRPr="00C01A97">
              <w:rPr>
                <w:rFonts w:ascii="Arial Narrow" w:eastAsiaTheme="minorEastAsia" w:hAnsi="Arial Narrow"/>
                <w:color w:val="000000"/>
                <w:sz w:val="20"/>
                <w:szCs w:val="20"/>
                <w:vertAlign w:val="superscript"/>
                <w:lang w:eastAsia="zh-CN"/>
              </w:rPr>
              <w:t>,b</w:t>
            </w:r>
          </w:p>
        </w:tc>
        <w:tc>
          <w:tcPr>
            <w:tcW w:w="1332" w:type="dxa"/>
            <w:vAlign w:val="center"/>
          </w:tcPr>
          <w:p w14:paraId="382EC576" w14:textId="77777777" w:rsidR="002D2F13" w:rsidRPr="00C01A97" w:rsidRDefault="002D2F13" w:rsidP="00C24DBD">
            <w:pPr>
              <w:keepNext/>
              <w:keepLines/>
              <w:spacing w:before="60" w:after="60" w:line="259" w:lineRule="auto"/>
              <w:rPr>
                <w:rFonts w:ascii="Arial Narrow" w:eastAsiaTheme="minorEastAsia" w:hAnsi="Arial Narrow"/>
                <w:color w:val="000000"/>
                <w:sz w:val="20"/>
                <w:szCs w:val="20"/>
                <w:vertAlign w:val="superscript"/>
                <w:lang w:eastAsia="zh-CN"/>
              </w:rPr>
            </w:pPr>
            <w:r w:rsidRPr="00C01A97">
              <w:rPr>
                <w:rFonts w:ascii="Arial Narrow" w:eastAsiaTheme="minorEastAsia" w:hAnsi="Arial Narrow"/>
                <w:color w:val="000000"/>
                <w:sz w:val="20"/>
                <w:szCs w:val="20"/>
                <w:lang w:eastAsia="zh-CN"/>
              </w:rPr>
              <w:t>start/add/switch statin to lower dose***</w:t>
            </w:r>
            <w:r w:rsidRPr="00C01A97">
              <w:rPr>
                <w:rFonts w:ascii="Arial Narrow" w:eastAsiaTheme="minorEastAsia" w:hAnsi="Arial Narrow"/>
                <w:color w:val="000000"/>
                <w:sz w:val="20"/>
                <w:szCs w:val="20"/>
                <w:vertAlign w:val="superscript"/>
                <w:lang w:eastAsia="zh-CN"/>
              </w:rPr>
              <w:t>,b</w:t>
            </w:r>
          </w:p>
        </w:tc>
        <w:tc>
          <w:tcPr>
            <w:tcW w:w="1333" w:type="dxa"/>
            <w:vAlign w:val="center"/>
          </w:tcPr>
          <w:p w14:paraId="755A07DF" w14:textId="77777777" w:rsidR="002D2F13" w:rsidRPr="00C01A97" w:rsidRDefault="002D2F13" w:rsidP="00C24DBD">
            <w:pPr>
              <w:keepNext/>
              <w:keepLines/>
              <w:widowControl w:val="0"/>
              <w:spacing w:before="60" w:after="60" w:line="259" w:lineRule="auto"/>
              <w:rPr>
                <w:rFonts w:ascii="Arial Narrow" w:eastAsiaTheme="minorEastAsia" w:hAnsi="Arial Narrow" w:cs="Arial"/>
                <w:snapToGrid w:val="0"/>
                <w:sz w:val="20"/>
                <w:szCs w:val="20"/>
                <w:vertAlign w:val="superscript"/>
                <w:lang w:eastAsia="zh-CN"/>
              </w:rPr>
            </w:pPr>
            <w:r w:rsidRPr="00C01A97">
              <w:rPr>
                <w:rFonts w:ascii="Arial Narrow" w:eastAsiaTheme="minorEastAsia" w:hAnsi="Arial Narrow"/>
                <w:sz w:val="20"/>
                <w:szCs w:val="20"/>
                <w:lang w:eastAsia="zh-CN"/>
              </w:rPr>
              <w:t>start/stay/</w:t>
            </w:r>
            <w:r w:rsidRPr="00C01A97">
              <w:rPr>
                <w:rFonts w:ascii="Arial Narrow" w:eastAsiaTheme="minorEastAsia" w:hAnsi="Arial Narrow" w:cs="Arial"/>
                <w:snapToGrid w:val="0"/>
                <w:sz w:val="20"/>
                <w:szCs w:val="20"/>
                <w:lang w:eastAsia="zh-CN"/>
              </w:rPr>
              <w:t>add other LLT only</w:t>
            </w:r>
            <w:r w:rsidRPr="00C01A97">
              <w:rPr>
                <w:rFonts w:ascii="Arial Narrow" w:eastAsiaTheme="minorEastAsia" w:hAnsi="Arial Narrow" w:cs="Arial"/>
                <w:snapToGrid w:val="0"/>
                <w:sz w:val="20"/>
                <w:szCs w:val="20"/>
                <w:vertAlign w:val="superscript"/>
                <w:lang w:eastAsia="zh-CN"/>
              </w:rPr>
              <w:t>c</w:t>
            </w:r>
          </w:p>
        </w:tc>
      </w:tr>
      <w:tr w:rsidR="002D2F13" w:rsidRPr="00C01A97" w14:paraId="538F4F4B" w14:textId="77777777" w:rsidTr="00847F3C">
        <w:tc>
          <w:tcPr>
            <w:tcW w:w="1701" w:type="dxa"/>
            <w:tcBorders>
              <w:right w:val="single" w:sz="4" w:space="0" w:color="auto"/>
            </w:tcBorders>
            <w:vAlign w:val="bottom"/>
          </w:tcPr>
          <w:p w14:paraId="3021EB03" w14:textId="77777777" w:rsidR="002D2F13" w:rsidRPr="00C01A97" w:rsidRDefault="002D2F13" w:rsidP="00C24DBD">
            <w:pPr>
              <w:keepNext/>
              <w:keepLines/>
              <w:widowControl w:val="0"/>
              <w:spacing w:before="60" w:after="60" w:line="259" w:lineRule="auto"/>
              <w:rPr>
                <w:rFonts w:ascii="Arial Narrow" w:eastAsiaTheme="minorEastAsia" w:hAnsi="Arial Narrow" w:cs="Arial"/>
                <w:snapToGrid w:val="0"/>
                <w:sz w:val="20"/>
                <w:szCs w:val="20"/>
                <w:lang w:eastAsia="zh-CN"/>
              </w:rPr>
            </w:pPr>
            <w:r w:rsidRPr="00C01A97">
              <w:rPr>
                <w:rFonts w:ascii="Arial Narrow" w:eastAsiaTheme="minorEastAsia" w:hAnsi="Arial Narrow" w:cs="Arial"/>
                <w:color w:val="000000"/>
                <w:sz w:val="20"/>
                <w:szCs w:val="20"/>
                <w:lang w:eastAsia="zh-CN"/>
              </w:rPr>
              <w:t>Ceased statin more than 6 months prior ezetimibe</w:t>
            </w:r>
          </w:p>
        </w:tc>
        <w:tc>
          <w:tcPr>
            <w:tcW w:w="851" w:type="dxa"/>
            <w:tcBorders>
              <w:left w:val="single" w:sz="4" w:space="0" w:color="auto"/>
            </w:tcBorders>
            <w:vAlign w:val="center"/>
          </w:tcPr>
          <w:p w14:paraId="204193E1" w14:textId="77777777" w:rsidR="002D2F13" w:rsidRPr="00C01A97" w:rsidRDefault="002D2F13" w:rsidP="00C24DBD">
            <w:pPr>
              <w:keepNext/>
              <w:keepLines/>
              <w:widowControl w:val="0"/>
              <w:spacing w:before="60" w:after="60" w:line="259" w:lineRule="auto"/>
              <w:ind w:right="114"/>
              <w:rPr>
                <w:rFonts w:ascii="Arial Narrow" w:eastAsiaTheme="minorEastAsia" w:hAnsi="Arial Narrow" w:cs="Arial"/>
                <w:b/>
                <w:i/>
                <w:snapToGrid w:val="0"/>
                <w:color w:val="000000"/>
                <w:szCs w:val="20"/>
                <w:u w:val="single"/>
                <w:lang w:eastAsia="zh-CN"/>
              </w:rPr>
            </w:pPr>
            <w:r w:rsidRPr="00C01A97">
              <w:rPr>
                <w:rFonts w:ascii="Arial Narrow" w:eastAsiaTheme="minorEastAsia" w:hAnsi="Arial Narrow" w:cs="Arial"/>
                <w:snapToGrid w:val="0"/>
                <w:szCs w:val="20"/>
                <w:lang w:eastAsia="zh-CN"/>
              </w:rPr>
              <w:t>7,327</w:t>
            </w:r>
          </w:p>
        </w:tc>
        <w:tc>
          <w:tcPr>
            <w:tcW w:w="1332" w:type="dxa"/>
            <w:shd w:val="clear" w:color="auto" w:fill="00B050"/>
            <w:vAlign w:val="center"/>
          </w:tcPr>
          <w:p w14:paraId="0ED2E4A6" w14:textId="77777777" w:rsidR="002D2F13" w:rsidRPr="00C01A97" w:rsidRDefault="002D2F13" w:rsidP="00C24DBD">
            <w:pPr>
              <w:keepNext/>
              <w:keepLines/>
              <w:widowControl w:val="0"/>
              <w:tabs>
                <w:tab w:val="left" w:pos="681"/>
              </w:tabs>
              <w:spacing w:before="60" w:after="60" w:line="259" w:lineRule="auto"/>
              <w:ind w:right="454"/>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3,327</w:t>
            </w:r>
          </w:p>
        </w:tc>
        <w:tc>
          <w:tcPr>
            <w:tcW w:w="1332" w:type="dxa"/>
            <w:shd w:val="clear" w:color="auto" w:fill="CC0000"/>
            <w:vAlign w:val="center"/>
          </w:tcPr>
          <w:p w14:paraId="4B9A79D6"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615</w:t>
            </w:r>
          </w:p>
        </w:tc>
        <w:tc>
          <w:tcPr>
            <w:tcW w:w="1333" w:type="dxa"/>
            <w:shd w:val="clear" w:color="auto" w:fill="FF6600"/>
            <w:vAlign w:val="center"/>
          </w:tcPr>
          <w:p w14:paraId="0040F62A"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1,545</w:t>
            </w:r>
          </w:p>
        </w:tc>
        <w:tc>
          <w:tcPr>
            <w:tcW w:w="1332" w:type="dxa"/>
            <w:shd w:val="clear" w:color="auto" w:fill="00B050"/>
            <w:vAlign w:val="center"/>
          </w:tcPr>
          <w:p w14:paraId="5730608E"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1,587</w:t>
            </w:r>
          </w:p>
        </w:tc>
        <w:tc>
          <w:tcPr>
            <w:tcW w:w="1333" w:type="dxa"/>
            <w:shd w:val="clear" w:color="auto" w:fill="00B050"/>
            <w:vAlign w:val="center"/>
          </w:tcPr>
          <w:p w14:paraId="75F5035F" w14:textId="77777777" w:rsidR="002D2F13" w:rsidRPr="00C01A97" w:rsidRDefault="002D2F13" w:rsidP="00C24DBD">
            <w:pPr>
              <w:keepNext/>
              <w:keepLines/>
              <w:widowControl w:val="0"/>
              <w:tabs>
                <w:tab w:val="left" w:pos="596"/>
              </w:tabs>
              <w:spacing w:before="60" w:after="60" w:line="259" w:lineRule="auto"/>
              <w:ind w:right="457"/>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253</w:t>
            </w:r>
          </w:p>
        </w:tc>
      </w:tr>
      <w:tr w:rsidR="002D2F13" w:rsidRPr="00C01A97" w14:paraId="7E4D4654" w14:textId="77777777" w:rsidTr="00847F3C">
        <w:tc>
          <w:tcPr>
            <w:tcW w:w="1701" w:type="dxa"/>
            <w:tcBorders>
              <w:right w:val="single" w:sz="4" w:space="0" w:color="auto"/>
            </w:tcBorders>
            <w:shd w:val="clear" w:color="auto" w:fill="FFFFFF" w:themeFill="background1"/>
            <w:vAlign w:val="bottom"/>
          </w:tcPr>
          <w:p w14:paraId="3BE1CCC8"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000000"/>
                <w:sz w:val="20"/>
                <w:szCs w:val="20"/>
                <w:u w:val="single"/>
                <w:lang w:eastAsia="zh-CN"/>
              </w:rPr>
            </w:pPr>
            <w:r w:rsidRPr="00C01A97">
              <w:rPr>
                <w:rFonts w:ascii="Arial Narrow" w:eastAsiaTheme="minorEastAsia" w:hAnsi="Arial Narrow" w:cs="Arial"/>
                <w:color w:val="000000"/>
                <w:sz w:val="20"/>
                <w:szCs w:val="20"/>
                <w:lang w:eastAsia="zh-CN"/>
              </w:rPr>
              <w:t>Down titrated statin or on lowest dose</w:t>
            </w:r>
          </w:p>
        </w:tc>
        <w:tc>
          <w:tcPr>
            <w:tcW w:w="851" w:type="dxa"/>
            <w:tcBorders>
              <w:left w:val="single" w:sz="4" w:space="0" w:color="auto"/>
            </w:tcBorders>
            <w:vAlign w:val="center"/>
          </w:tcPr>
          <w:p w14:paraId="6079FB02" w14:textId="77777777" w:rsidR="002D2F13" w:rsidRPr="00C01A97" w:rsidRDefault="002D2F13" w:rsidP="00C24DBD">
            <w:pPr>
              <w:keepNext/>
              <w:keepLines/>
              <w:widowControl w:val="0"/>
              <w:spacing w:before="60" w:after="60" w:line="259" w:lineRule="auto"/>
              <w:ind w:right="114"/>
              <w:rPr>
                <w:rFonts w:ascii="Arial Narrow" w:eastAsiaTheme="minorEastAsia" w:hAnsi="Arial Narrow" w:cs="Arial"/>
                <w:b/>
                <w:i/>
                <w:snapToGrid w:val="0"/>
                <w:color w:val="000000"/>
                <w:szCs w:val="20"/>
                <w:u w:val="single"/>
                <w:lang w:eastAsia="zh-CN"/>
              </w:rPr>
            </w:pPr>
            <w:r w:rsidRPr="00C01A97">
              <w:rPr>
                <w:rFonts w:ascii="Arial Narrow" w:eastAsiaTheme="minorEastAsia" w:hAnsi="Arial Narrow" w:cs="Arial"/>
                <w:snapToGrid w:val="0"/>
                <w:szCs w:val="20"/>
                <w:lang w:eastAsia="zh-CN"/>
              </w:rPr>
              <w:t>2,837</w:t>
            </w:r>
          </w:p>
        </w:tc>
        <w:tc>
          <w:tcPr>
            <w:tcW w:w="1332" w:type="dxa"/>
            <w:shd w:val="clear" w:color="auto" w:fill="00B050"/>
            <w:vAlign w:val="center"/>
          </w:tcPr>
          <w:p w14:paraId="429F5A36" w14:textId="77777777" w:rsidR="002D2F13" w:rsidRPr="00C01A97" w:rsidRDefault="002D2F13" w:rsidP="00C24DBD">
            <w:pPr>
              <w:keepNext/>
              <w:keepLines/>
              <w:widowControl w:val="0"/>
              <w:tabs>
                <w:tab w:val="left" w:pos="681"/>
              </w:tabs>
              <w:spacing w:before="60" w:after="60" w:line="259" w:lineRule="auto"/>
              <w:ind w:right="454"/>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912</w:t>
            </w:r>
          </w:p>
        </w:tc>
        <w:tc>
          <w:tcPr>
            <w:tcW w:w="1332" w:type="dxa"/>
            <w:shd w:val="clear" w:color="auto" w:fill="CC0000"/>
            <w:vAlign w:val="center"/>
          </w:tcPr>
          <w:p w14:paraId="7654A554"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601</w:t>
            </w:r>
          </w:p>
        </w:tc>
        <w:tc>
          <w:tcPr>
            <w:tcW w:w="1333" w:type="dxa"/>
            <w:shd w:val="clear" w:color="auto" w:fill="00B050"/>
            <w:vAlign w:val="center"/>
          </w:tcPr>
          <w:p w14:paraId="28576DF2"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1,022</w:t>
            </w:r>
          </w:p>
        </w:tc>
        <w:tc>
          <w:tcPr>
            <w:tcW w:w="1332" w:type="dxa"/>
            <w:shd w:val="clear" w:color="auto" w:fill="00B050"/>
            <w:vAlign w:val="center"/>
          </w:tcPr>
          <w:p w14:paraId="3D219C14"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222</w:t>
            </w:r>
          </w:p>
        </w:tc>
        <w:tc>
          <w:tcPr>
            <w:tcW w:w="1333" w:type="dxa"/>
            <w:shd w:val="clear" w:color="auto" w:fill="00B050"/>
            <w:vAlign w:val="center"/>
          </w:tcPr>
          <w:p w14:paraId="4D6D89D3" w14:textId="77777777" w:rsidR="002D2F13" w:rsidRPr="00C01A97" w:rsidRDefault="002D2F13" w:rsidP="00C24DBD">
            <w:pPr>
              <w:keepNext/>
              <w:keepLines/>
              <w:widowControl w:val="0"/>
              <w:tabs>
                <w:tab w:val="left" w:pos="596"/>
              </w:tabs>
              <w:spacing w:before="60" w:after="60" w:line="259" w:lineRule="auto"/>
              <w:ind w:right="457"/>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80</w:t>
            </w:r>
          </w:p>
        </w:tc>
      </w:tr>
      <w:tr w:rsidR="002D2F13" w:rsidRPr="00C01A97" w14:paraId="2E86EFB8" w14:textId="77777777" w:rsidTr="00847F3C">
        <w:tc>
          <w:tcPr>
            <w:tcW w:w="1701" w:type="dxa"/>
            <w:tcBorders>
              <w:right w:val="single" w:sz="4" w:space="0" w:color="auto"/>
            </w:tcBorders>
            <w:shd w:val="clear" w:color="auto" w:fill="FFFFFF" w:themeFill="background1"/>
            <w:vAlign w:val="bottom"/>
          </w:tcPr>
          <w:p w14:paraId="75900D2F"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000000"/>
                <w:sz w:val="20"/>
                <w:szCs w:val="20"/>
                <w:u w:val="single"/>
                <w:lang w:eastAsia="zh-CN"/>
              </w:rPr>
            </w:pPr>
            <w:r w:rsidRPr="00C01A97">
              <w:rPr>
                <w:rFonts w:ascii="Arial Narrow" w:eastAsiaTheme="minorEastAsia" w:hAnsi="Arial Narrow" w:cs="Arial"/>
                <w:color w:val="000000"/>
                <w:sz w:val="20"/>
                <w:szCs w:val="20"/>
                <w:lang w:eastAsia="zh-CN"/>
              </w:rPr>
              <w:t>Up titrated statin ( not on highest)</w:t>
            </w:r>
          </w:p>
        </w:tc>
        <w:tc>
          <w:tcPr>
            <w:tcW w:w="851" w:type="dxa"/>
            <w:tcBorders>
              <w:left w:val="single" w:sz="4" w:space="0" w:color="auto"/>
            </w:tcBorders>
            <w:vAlign w:val="center"/>
          </w:tcPr>
          <w:p w14:paraId="3256A9E7" w14:textId="77777777" w:rsidR="002D2F13" w:rsidRPr="00C01A97" w:rsidRDefault="002D2F13" w:rsidP="00C24DBD">
            <w:pPr>
              <w:keepNext/>
              <w:keepLines/>
              <w:widowControl w:val="0"/>
              <w:spacing w:before="60" w:after="60" w:line="259" w:lineRule="auto"/>
              <w:ind w:right="114"/>
              <w:rPr>
                <w:rFonts w:ascii="Arial Narrow" w:eastAsiaTheme="minorEastAsia" w:hAnsi="Arial Narrow" w:cs="Arial"/>
                <w:b/>
                <w:i/>
                <w:snapToGrid w:val="0"/>
                <w:color w:val="000000"/>
                <w:szCs w:val="20"/>
                <w:u w:val="single"/>
                <w:lang w:eastAsia="zh-CN"/>
              </w:rPr>
            </w:pPr>
            <w:r w:rsidRPr="00C01A97">
              <w:rPr>
                <w:rFonts w:ascii="Arial Narrow" w:eastAsiaTheme="minorEastAsia" w:hAnsi="Arial Narrow" w:cs="Arial"/>
                <w:snapToGrid w:val="0"/>
                <w:szCs w:val="20"/>
                <w:lang w:eastAsia="zh-CN"/>
              </w:rPr>
              <w:t>2,401</w:t>
            </w:r>
          </w:p>
        </w:tc>
        <w:tc>
          <w:tcPr>
            <w:tcW w:w="1332" w:type="dxa"/>
            <w:shd w:val="clear" w:color="auto" w:fill="CC0000"/>
            <w:vAlign w:val="center"/>
          </w:tcPr>
          <w:p w14:paraId="41C0D710" w14:textId="77777777" w:rsidR="002D2F13" w:rsidRPr="00C01A97" w:rsidRDefault="002D2F13" w:rsidP="00C24DBD">
            <w:pPr>
              <w:keepNext/>
              <w:keepLines/>
              <w:widowControl w:val="0"/>
              <w:tabs>
                <w:tab w:val="left" w:pos="681"/>
              </w:tabs>
              <w:spacing w:before="60" w:after="60" w:line="259" w:lineRule="auto"/>
              <w:ind w:right="454"/>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306</w:t>
            </w:r>
          </w:p>
        </w:tc>
        <w:tc>
          <w:tcPr>
            <w:tcW w:w="1332" w:type="dxa"/>
            <w:shd w:val="clear" w:color="auto" w:fill="CC0000"/>
            <w:vAlign w:val="center"/>
          </w:tcPr>
          <w:p w14:paraId="1E0759FB"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258</w:t>
            </w:r>
          </w:p>
        </w:tc>
        <w:tc>
          <w:tcPr>
            <w:tcW w:w="1333" w:type="dxa"/>
            <w:shd w:val="clear" w:color="auto" w:fill="00B050"/>
            <w:vAlign w:val="center"/>
          </w:tcPr>
          <w:p w14:paraId="1B13AB82"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1,285</w:t>
            </w:r>
          </w:p>
        </w:tc>
        <w:tc>
          <w:tcPr>
            <w:tcW w:w="1332" w:type="dxa"/>
            <w:shd w:val="clear" w:color="auto" w:fill="00B050"/>
            <w:vAlign w:val="center"/>
          </w:tcPr>
          <w:p w14:paraId="5CA74BFA"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515</w:t>
            </w:r>
          </w:p>
        </w:tc>
        <w:tc>
          <w:tcPr>
            <w:tcW w:w="1333" w:type="dxa"/>
            <w:shd w:val="clear" w:color="auto" w:fill="FF6600"/>
            <w:vAlign w:val="center"/>
          </w:tcPr>
          <w:p w14:paraId="191AA70A" w14:textId="77777777" w:rsidR="002D2F13" w:rsidRPr="00C01A97" w:rsidRDefault="002D2F13" w:rsidP="00C24DBD">
            <w:pPr>
              <w:keepNext/>
              <w:keepLines/>
              <w:widowControl w:val="0"/>
              <w:tabs>
                <w:tab w:val="left" w:pos="596"/>
              </w:tabs>
              <w:spacing w:before="60" w:after="60" w:line="259" w:lineRule="auto"/>
              <w:ind w:right="457"/>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37</w:t>
            </w:r>
          </w:p>
        </w:tc>
      </w:tr>
      <w:tr w:rsidR="002D2F13" w:rsidRPr="00C01A97" w14:paraId="7BE7DDE4" w14:textId="77777777" w:rsidTr="00847F3C">
        <w:tc>
          <w:tcPr>
            <w:tcW w:w="1701" w:type="dxa"/>
            <w:tcBorders>
              <w:right w:val="single" w:sz="4" w:space="0" w:color="auto"/>
            </w:tcBorders>
            <w:shd w:val="clear" w:color="auto" w:fill="FFFFFF" w:themeFill="background1"/>
            <w:vAlign w:val="bottom"/>
          </w:tcPr>
          <w:p w14:paraId="09A72B75"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000000"/>
                <w:sz w:val="20"/>
                <w:szCs w:val="20"/>
                <w:u w:val="single"/>
                <w:lang w:eastAsia="zh-CN"/>
              </w:rPr>
            </w:pPr>
            <w:r w:rsidRPr="00C01A97">
              <w:rPr>
                <w:rFonts w:ascii="Arial Narrow" w:eastAsiaTheme="minorEastAsia" w:hAnsi="Arial Narrow" w:cs="Arial"/>
                <w:color w:val="000000"/>
                <w:sz w:val="20"/>
                <w:szCs w:val="20"/>
                <w:lang w:eastAsia="zh-CN"/>
              </w:rPr>
              <w:t>On highest dose of statin</w:t>
            </w:r>
          </w:p>
        </w:tc>
        <w:tc>
          <w:tcPr>
            <w:tcW w:w="851" w:type="dxa"/>
            <w:tcBorders>
              <w:left w:val="single" w:sz="4" w:space="0" w:color="auto"/>
            </w:tcBorders>
            <w:vAlign w:val="center"/>
          </w:tcPr>
          <w:p w14:paraId="6D3AD129" w14:textId="77777777" w:rsidR="002D2F13" w:rsidRPr="00C01A97" w:rsidRDefault="002D2F13" w:rsidP="00C24DBD">
            <w:pPr>
              <w:keepNext/>
              <w:keepLines/>
              <w:widowControl w:val="0"/>
              <w:spacing w:before="60" w:after="60" w:line="259" w:lineRule="auto"/>
              <w:ind w:right="114"/>
              <w:rPr>
                <w:rFonts w:ascii="Arial Narrow" w:eastAsiaTheme="minorEastAsia" w:hAnsi="Arial Narrow" w:cs="Arial"/>
                <w:b/>
                <w:i/>
                <w:snapToGrid w:val="0"/>
                <w:color w:val="000000"/>
                <w:szCs w:val="20"/>
                <w:u w:val="single"/>
                <w:lang w:eastAsia="zh-CN"/>
              </w:rPr>
            </w:pPr>
            <w:r w:rsidRPr="00C01A97">
              <w:rPr>
                <w:rFonts w:ascii="Arial Narrow" w:eastAsiaTheme="minorEastAsia" w:hAnsi="Arial Narrow" w:cs="Arial"/>
                <w:snapToGrid w:val="0"/>
                <w:szCs w:val="20"/>
                <w:lang w:eastAsia="zh-CN"/>
              </w:rPr>
              <w:t>6,986</w:t>
            </w:r>
          </w:p>
        </w:tc>
        <w:tc>
          <w:tcPr>
            <w:tcW w:w="1332" w:type="dxa"/>
            <w:shd w:val="clear" w:color="auto" w:fill="CC0000"/>
            <w:vAlign w:val="center"/>
          </w:tcPr>
          <w:p w14:paraId="047711CD" w14:textId="77777777" w:rsidR="002D2F13" w:rsidRPr="00C01A97" w:rsidRDefault="002D2F13" w:rsidP="00C24DBD">
            <w:pPr>
              <w:keepNext/>
              <w:keepLines/>
              <w:widowControl w:val="0"/>
              <w:tabs>
                <w:tab w:val="left" w:pos="681"/>
              </w:tabs>
              <w:spacing w:before="60" w:after="60" w:line="259" w:lineRule="auto"/>
              <w:ind w:right="454"/>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245</w:t>
            </w:r>
          </w:p>
        </w:tc>
        <w:tc>
          <w:tcPr>
            <w:tcW w:w="1332" w:type="dxa"/>
            <w:shd w:val="clear" w:color="auto" w:fill="auto"/>
            <w:vAlign w:val="center"/>
          </w:tcPr>
          <w:p w14:paraId="66F29B58"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843188">
              <w:rPr>
                <w:rFonts w:ascii="Arial Narrow" w:hAnsi="Arial Narrow"/>
              </w:rPr>
              <w:t>N/A</w:t>
            </w:r>
          </w:p>
        </w:tc>
        <w:tc>
          <w:tcPr>
            <w:tcW w:w="1333" w:type="dxa"/>
            <w:shd w:val="clear" w:color="auto" w:fill="00B050"/>
            <w:vAlign w:val="center"/>
          </w:tcPr>
          <w:p w14:paraId="043E6FD1"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4,930</w:t>
            </w:r>
          </w:p>
        </w:tc>
        <w:tc>
          <w:tcPr>
            <w:tcW w:w="1332" w:type="dxa"/>
            <w:shd w:val="clear" w:color="auto" w:fill="00B050"/>
            <w:vAlign w:val="center"/>
          </w:tcPr>
          <w:p w14:paraId="6A54472A"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1,778</w:t>
            </w:r>
          </w:p>
        </w:tc>
        <w:tc>
          <w:tcPr>
            <w:tcW w:w="1333" w:type="dxa"/>
            <w:shd w:val="clear" w:color="auto" w:fill="00B050"/>
            <w:vAlign w:val="center"/>
          </w:tcPr>
          <w:p w14:paraId="3E3B16D6" w14:textId="77777777" w:rsidR="002D2F13" w:rsidRPr="00C01A97" w:rsidRDefault="002D2F13" w:rsidP="00C24DBD">
            <w:pPr>
              <w:keepNext/>
              <w:keepLines/>
              <w:widowControl w:val="0"/>
              <w:tabs>
                <w:tab w:val="left" w:pos="596"/>
              </w:tabs>
              <w:spacing w:before="60" w:after="60" w:line="259" w:lineRule="auto"/>
              <w:ind w:right="457"/>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33</w:t>
            </w:r>
          </w:p>
        </w:tc>
      </w:tr>
      <w:tr w:rsidR="002D2F13" w:rsidRPr="00C01A97" w14:paraId="75EA232B" w14:textId="77777777" w:rsidTr="00847F3C">
        <w:tc>
          <w:tcPr>
            <w:tcW w:w="1701" w:type="dxa"/>
            <w:tcBorders>
              <w:right w:val="single" w:sz="4" w:space="0" w:color="auto"/>
            </w:tcBorders>
            <w:shd w:val="clear" w:color="auto" w:fill="FFFFFF" w:themeFill="background1"/>
            <w:vAlign w:val="bottom"/>
          </w:tcPr>
          <w:p w14:paraId="09385EFB"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000000"/>
                <w:sz w:val="20"/>
                <w:szCs w:val="20"/>
                <w:u w:val="single"/>
                <w:lang w:eastAsia="zh-CN"/>
              </w:rPr>
            </w:pPr>
            <w:r w:rsidRPr="00C01A97">
              <w:rPr>
                <w:rFonts w:ascii="Arial Narrow" w:eastAsiaTheme="minorEastAsia" w:hAnsi="Arial Narrow" w:cs="Arial"/>
                <w:color w:val="000000"/>
                <w:sz w:val="20"/>
                <w:szCs w:val="20"/>
                <w:lang w:eastAsia="zh-CN"/>
              </w:rPr>
              <w:t>Stayed on same dose of statin</w:t>
            </w:r>
          </w:p>
        </w:tc>
        <w:tc>
          <w:tcPr>
            <w:tcW w:w="851" w:type="dxa"/>
            <w:tcBorders>
              <w:left w:val="single" w:sz="4" w:space="0" w:color="auto"/>
            </w:tcBorders>
            <w:vAlign w:val="center"/>
          </w:tcPr>
          <w:p w14:paraId="52A06CEB" w14:textId="77777777" w:rsidR="002D2F13" w:rsidRPr="00C01A97" w:rsidRDefault="002D2F13" w:rsidP="00C24DBD">
            <w:pPr>
              <w:keepNext/>
              <w:keepLines/>
              <w:widowControl w:val="0"/>
              <w:spacing w:before="60" w:after="60" w:line="259" w:lineRule="auto"/>
              <w:ind w:right="114"/>
              <w:rPr>
                <w:rFonts w:ascii="Arial Narrow" w:eastAsiaTheme="minorEastAsia" w:hAnsi="Arial Narrow" w:cs="Arial"/>
                <w:b/>
                <w:i/>
                <w:snapToGrid w:val="0"/>
                <w:color w:val="000000"/>
                <w:szCs w:val="20"/>
                <w:u w:val="single"/>
                <w:lang w:eastAsia="zh-CN"/>
              </w:rPr>
            </w:pPr>
            <w:r w:rsidRPr="00C01A97">
              <w:rPr>
                <w:rFonts w:ascii="Arial Narrow" w:eastAsiaTheme="minorEastAsia" w:hAnsi="Arial Narrow" w:cs="Arial"/>
                <w:snapToGrid w:val="0"/>
                <w:szCs w:val="20"/>
                <w:lang w:eastAsia="zh-CN"/>
              </w:rPr>
              <w:t>15,616</w:t>
            </w:r>
          </w:p>
        </w:tc>
        <w:tc>
          <w:tcPr>
            <w:tcW w:w="1332" w:type="dxa"/>
            <w:shd w:val="clear" w:color="auto" w:fill="FF6600"/>
            <w:vAlign w:val="center"/>
          </w:tcPr>
          <w:p w14:paraId="6F7F53E0" w14:textId="77777777" w:rsidR="002D2F13" w:rsidRPr="00C01A97" w:rsidRDefault="002D2F13" w:rsidP="00C24DBD">
            <w:pPr>
              <w:keepNext/>
              <w:keepLines/>
              <w:widowControl w:val="0"/>
              <w:tabs>
                <w:tab w:val="left" w:pos="681"/>
              </w:tabs>
              <w:spacing w:before="60" w:after="60" w:line="259" w:lineRule="auto"/>
              <w:ind w:right="454"/>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3,147</w:t>
            </w:r>
          </w:p>
        </w:tc>
        <w:tc>
          <w:tcPr>
            <w:tcW w:w="1332" w:type="dxa"/>
            <w:shd w:val="clear" w:color="auto" w:fill="CC0000"/>
            <w:vAlign w:val="center"/>
          </w:tcPr>
          <w:p w14:paraId="02C1B6C8"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1,787</w:t>
            </w:r>
          </w:p>
        </w:tc>
        <w:tc>
          <w:tcPr>
            <w:tcW w:w="1333" w:type="dxa"/>
            <w:shd w:val="clear" w:color="auto" w:fill="FF6600"/>
            <w:vAlign w:val="center"/>
          </w:tcPr>
          <w:p w14:paraId="5C8DDA9D"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8,022</w:t>
            </w:r>
          </w:p>
        </w:tc>
        <w:tc>
          <w:tcPr>
            <w:tcW w:w="1332" w:type="dxa"/>
            <w:shd w:val="clear" w:color="auto" w:fill="00B050"/>
            <w:vAlign w:val="center"/>
          </w:tcPr>
          <w:p w14:paraId="4908AF93"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2,463</w:t>
            </w:r>
          </w:p>
        </w:tc>
        <w:tc>
          <w:tcPr>
            <w:tcW w:w="1333" w:type="dxa"/>
            <w:shd w:val="clear" w:color="auto" w:fill="00B050"/>
            <w:vAlign w:val="center"/>
          </w:tcPr>
          <w:p w14:paraId="6D447284" w14:textId="77777777" w:rsidR="002D2F13" w:rsidRPr="00C01A97" w:rsidRDefault="002D2F13" w:rsidP="00C24DBD">
            <w:pPr>
              <w:keepNext/>
              <w:keepLines/>
              <w:widowControl w:val="0"/>
              <w:tabs>
                <w:tab w:val="left" w:pos="596"/>
              </w:tabs>
              <w:spacing w:before="60" w:after="60" w:line="259" w:lineRule="auto"/>
              <w:ind w:right="457"/>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197</w:t>
            </w:r>
          </w:p>
        </w:tc>
      </w:tr>
      <w:tr w:rsidR="002D2F13" w:rsidRPr="00C01A97" w14:paraId="361EF518" w14:textId="77777777" w:rsidTr="00847F3C">
        <w:tc>
          <w:tcPr>
            <w:tcW w:w="1701" w:type="dxa"/>
            <w:tcBorders>
              <w:right w:val="single" w:sz="4" w:space="0" w:color="auto"/>
            </w:tcBorders>
            <w:shd w:val="clear" w:color="auto" w:fill="FFFFFF" w:themeFill="background1"/>
            <w:vAlign w:val="bottom"/>
          </w:tcPr>
          <w:p w14:paraId="32541425"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000000"/>
                <w:sz w:val="20"/>
                <w:szCs w:val="20"/>
                <w:u w:val="single"/>
                <w:lang w:eastAsia="zh-CN"/>
              </w:rPr>
            </w:pPr>
            <w:r w:rsidRPr="00C01A97">
              <w:rPr>
                <w:rFonts w:ascii="Arial Narrow" w:eastAsiaTheme="minorEastAsia" w:hAnsi="Arial Narrow" w:cs="Arial"/>
                <w:color w:val="000000"/>
                <w:sz w:val="20"/>
                <w:szCs w:val="20"/>
                <w:lang w:eastAsia="zh-CN"/>
              </w:rPr>
              <w:t>Up and down titrated statin</w:t>
            </w:r>
          </w:p>
        </w:tc>
        <w:tc>
          <w:tcPr>
            <w:tcW w:w="851" w:type="dxa"/>
            <w:tcBorders>
              <w:left w:val="single" w:sz="4" w:space="0" w:color="auto"/>
            </w:tcBorders>
            <w:vAlign w:val="center"/>
          </w:tcPr>
          <w:p w14:paraId="5E959C17" w14:textId="77777777" w:rsidR="002D2F13" w:rsidRPr="00C01A97" w:rsidRDefault="002D2F13" w:rsidP="00C24DBD">
            <w:pPr>
              <w:keepNext/>
              <w:keepLines/>
              <w:widowControl w:val="0"/>
              <w:spacing w:before="60" w:after="60" w:line="259" w:lineRule="auto"/>
              <w:ind w:right="114"/>
              <w:rPr>
                <w:rFonts w:ascii="Arial Narrow" w:eastAsiaTheme="minorEastAsia" w:hAnsi="Arial Narrow" w:cs="Arial"/>
                <w:b/>
                <w:i/>
                <w:snapToGrid w:val="0"/>
                <w:color w:val="000000"/>
                <w:szCs w:val="20"/>
                <w:u w:val="single"/>
                <w:lang w:eastAsia="zh-CN"/>
              </w:rPr>
            </w:pPr>
            <w:r w:rsidRPr="00C01A97">
              <w:rPr>
                <w:rFonts w:ascii="Arial Narrow" w:eastAsiaTheme="minorEastAsia" w:hAnsi="Arial Narrow" w:cs="Arial"/>
                <w:snapToGrid w:val="0"/>
                <w:szCs w:val="20"/>
                <w:lang w:eastAsia="zh-CN"/>
              </w:rPr>
              <w:t>2,633</w:t>
            </w:r>
          </w:p>
        </w:tc>
        <w:tc>
          <w:tcPr>
            <w:tcW w:w="1332" w:type="dxa"/>
            <w:shd w:val="clear" w:color="auto" w:fill="00B050"/>
            <w:vAlign w:val="center"/>
          </w:tcPr>
          <w:p w14:paraId="2C921797" w14:textId="77777777" w:rsidR="002D2F13" w:rsidRPr="00C01A97" w:rsidRDefault="002D2F13" w:rsidP="00C24DBD">
            <w:pPr>
              <w:keepNext/>
              <w:keepLines/>
              <w:widowControl w:val="0"/>
              <w:tabs>
                <w:tab w:val="left" w:pos="681"/>
              </w:tabs>
              <w:spacing w:before="60" w:after="60" w:line="259" w:lineRule="auto"/>
              <w:ind w:right="454"/>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331</w:t>
            </w:r>
          </w:p>
        </w:tc>
        <w:tc>
          <w:tcPr>
            <w:tcW w:w="1332" w:type="dxa"/>
            <w:shd w:val="clear" w:color="auto" w:fill="CC0000"/>
            <w:vAlign w:val="center"/>
          </w:tcPr>
          <w:p w14:paraId="7B9FD1A5"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517</w:t>
            </w:r>
          </w:p>
        </w:tc>
        <w:tc>
          <w:tcPr>
            <w:tcW w:w="1333" w:type="dxa"/>
            <w:shd w:val="clear" w:color="auto" w:fill="00B050"/>
            <w:vAlign w:val="center"/>
          </w:tcPr>
          <w:p w14:paraId="3D3AA652"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1,320</w:t>
            </w:r>
          </w:p>
        </w:tc>
        <w:tc>
          <w:tcPr>
            <w:tcW w:w="1332" w:type="dxa"/>
            <w:shd w:val="clear" w:color="auto" w:fill="00B050"/>
            <w:vAlign w:val="center"/>
          </w:tcPr>
          <w:p w14:paraId="0E0B698A" w14:textId="77777777" w:rsidR="002D2F13" w:rsidRPr="00C01A97" w:rsidRDefault="002D2F13" w:rsidP="00C24DBD">
            <w:pPr>
              <w:keepNext/>
              <w:keepLines/>
              <w:widowControl w:val="0"/>
              <w:spacing w:before="60" w:after="60" w:line="259" w:lineRule="auto"/>
              <w:ind w:right="456"/>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425</w:t>
            </w:r>
          </w:p>
        </w:tc>
        <w:tc>
          <w:tcPr>
            <w:tcW w:w="1333" w:type="dxa"/>
            <w:shd w:val="clear" w:color="auto" w:fill="00B050"/>
            <w:vAlign w:val="center"/>
          </w:tcPr>
          <w:p w14:paraId="66DC8D20" w14:textId="77777777" w:rsidR="002D2F13" w:rsidRPr="00C01A97" w:rsidRDefault="002D2F13" w:rsidP="00C24DBD">
            <w:pPr>
              <w:keepNext/>
              <w:keepLines/>
              <w:widowControl w:val="0"/>
              <w:tabs>
                <w:tab w:val="left" w:pos="596"/>
              </w:tabs>
              <w:spacing w:before="60" w:after="60" w:line="259" w:lineRule="auto"/>
              <w:ind w:right="457"/>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40</w:t>
            </w:r>
          </w:p>
        </w:tc>
      </w:tr>
      <w:tr w:rsidR="00BC068B" w:rsidRPr="00C01A97" w14:paraId="275798D0" w14:textId="77777777" w:rsidTr="00847F3C">
        <w:tc>
          <w:tcPr>
            <w:tcW w:w="1701" w:type="dxa"/>
            <w:tcBorders>
              <w:right w:val="single" w:sz="4" w:space="0" w:color="auto"/>
            </w:tcBorders>
            <w:vAlign w:val="bottom"/>
          </w:tcPr>
          <w:p w14:paraId="5CAD65D8"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000000"/>
                <w:sz w:val="20"/>
                <w:szCs w:val="20"/>
                <w:u w:val="single"/>
                <w:lang w:eastAsia="zh-CN"/>
              </w:rPr>
            </w:pPr>
            <w:r w:rsidRPr="00C01A97">
              <w:rPr>
                <w:rFonts w:ascii="Arial Narrow" w:eastAsiaTheme="minorEastAsia" w:hAnsi="Arial Narrow" w:cs="Arial"/>
                <w:color w:val="000000"/>
                <w:sz w:val="20"/>
                <w:szCs w:val="20"/>
                <w:lang w:eastAsia="zh-CN"/>
              </w:rPr>
              <w:t>All other LLT (no statin)</w:t>
            </w:r>
          </w:p>
        </w:tc>
        <w:tc>
          <w:tcPr>
            <w:tcW w:w="851" w:type="dxa"/>
            <w:tcBorders>
              <w:left w:val="single" w:sz="4" w:space="0" w:color="auto"/>
            </w:tcBorders>
            <w:vAlign w:val="center"/>
          </w:tcPr>
          <w:p w14:paraId="0328FE4B" w14:textId="77777777" w:rsidR="002D2F13" w:rsidRPr="00C01A97" w:rsidRDefault="002D2F13" w:rsidP="00C24DBD">
            <w:pPr>
              <w:keepNext/>
              <w:keepLines/>
              <w:widowControl w:val="0"/>
              <w:spacing w:before="60" w:after="60" w:line="259" w:lineRule="auto"/>
              <w:ind w:right="114"/>
              <w:rPr>
                <w:rFonts w:ascii="Arial Narrow" w:eastAsiaTheme="minorEastAsia" w:hAnsi="Arial Narrow" w:cs="Arial"/>
                <w:b/>
                <w:i/>
                <w:snapToGrid w:val="0"/>
                <w:color w:val="000000"/>
                <w:szCs w:val="20"/>
                <w:u w:val="single"/>
                <w:lang w:eastAsia="zh-CN"/>
              </w:rPr>
            </w:pPr>
            <w:r w:rsidRPr="00C01A97">
              <w:rPr>
                <w:rFonts w:ascii="Arial Narrow" w:eastAsiaTheme="minorEastAsia" w:hAnsi="Arial Narrow" w:cs="Arial"/>
                <w:snapToGrid w:val="0"/>
                <w:szCs w:val="20"/>
                <w:lang w:eastAsia="zh-CN"/>
              </w:rPr>
              <w:t>907</w:t>
            </w:r>
          </w:p>
        </w:tc>
        <w:tc>
          <w:tcPr>
            <w:tcW w:w="1332" w:type="dxa"/>
            <w:shd w:val="clear" w:color="auto" w:fill="00B050"/>
            <w:vAlign w:val="center"/>
          </w:tcPr>
          <w:p w14:paraId="56B02929" w14:textId="77777777" w:rsidR="002D2F13" w:rsidRPr="00C01A97" w:rsidRDefault="002D2F13" w:rsidP="00C24DBD">
            <w:pPr>
              <w:keepNext/>
              <w:keepLines/>
              <w:widowControl w:val="0"/>
              <w:tabs>
                <w:tab w:val="left" w:pos="681"/>
              </w:tabs>
              <w:spacing w:before="60" w:after="60" w:line="259" w:lineRule="auto"/>
              <w:ind w:right="454"/>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303</w:t>
            </w:r>
          </w:p>
        </w:tc>
        <w:tc>
          <w:tcPr>
            <w:tcW w:w="3997" w:type="dxa"/>
            <w:gridSpan w:val="3"/>
            <w:shd w:val="clear" w:color="auto" w:fill="CC0000"/>
            <w:vAlign w:val="center"/>
          </w:tcPr>
          <w:p w14:paraId="3F27E04A" w14:textId="77777777" w:rsidR="002D2F13" w:rsidRPr="00C01A97" w:rsidRDefault="002D2F13" w:rsidP="00C24DBD">
            <w:pPr>
              <w:keepNext/>
              <w:keepLines/>
              <w:widowControl w:val="0"/>
              <w:spacing w:before="60" w:after="60" w:line="259" w:lineRule="auto"/>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384</w:t>
            </w:r>
          </w:p>
        </w:tc>
        <w:tc>
          <w:tcPr>
            <w:tcW w:w="1333" w:type="dxa"/>
            <w:shd w:val="clear" w:color="auto" w:fill="00B050"/>
            <w:vAlign w:val="center"/>
          </w:tcPr>
          <w:p w14:paraId="77D451EB" w14:textId="77777777" w:rsidR="002D2F13" w:rsidRPr="00C01A97" w:rsidRDefault="002D2F13" w:rsidP="00C24DBD">
            <w:pPr>
              <w:keepNext/>
              <w:keepLines/>
              <w:widowControl w:val="0"/>
              <w:tabs>
                <w:tab w:val="left" w:pos="596"/>
              </w:tabs>
              <w:spacing w:before="60" w:after="60" w:line="259" w:lineRule="auto"/>
              <w:ind w:right="457"/>
              <w:rPr>
                <w:rFonts w:ascii="Arial Narrow" w:eastAsiaTheme="minorEastAsia" w:hAnsi="Arial Narrow" w:cs="Arial"/>
                <w:b/>
                <w:i/>
                <w:snapToGrid w:val="0"/>
                <w:color w:val="FFFFFF" w:themeColor="background1"/>
                <w:szCs w:val="20"/>
                <w:u w:val="single"/>
                <w:lang w:eastAsia="zh-CN"/>
              </w:rPr>
            </w:pPr>
            <w:r w:rsidRPr="00C01A97">
              <w:rPr>
                <w:rFonts w:ascii="Arial Narrow" w:eastAsiaTheme="minorEastAsia" w:hAnsi="Arial Narrow" w:cs="Arial"/>
                <w:snapToGrid w:val="0"/>
                <w:color w:val="FFFFFF" w:themeColor="background1"/>
                <w:szCs w:val="20"/>
                <w:lang w:eastAsia="zh-CN"/>
              </w:rPr>
              <w:t>220</w:t>
            </w:r>
          </w:p>
        </w:tc>
      </w:tr>
    </w:tbl>
    <w:p w14:paraId="668E2160" w14:textId="77777777" w:rsidR="002D2F13" w:rsidRPr="005869C5" w:rsidRDefault="002D2F13" w:rsidP="00C24DBD">
      <w:pPr>
        <w:keepNext/>
        <w:keepLines/>
        <w:spacing w:after="0" w:line="240" w:lineRule="auto"/>
        <w:rPr>
          <w:rFonts w:ascii="Arial Narrow" w:eastAsiaTheme="minorEastAsia" w:hAnsi="Arial Narrow"/>
          <w:color w:val="000000"/>
          <w:sz w:val="20"/>
          <w:szCs w:val="20"/>
          <w:lang w:eastAsia="zh-CN"/>
        </w:rPr>
      </w:pPr>
      <w:r w:rsidRPr="005869C5">
        <w:rPr>
          <w:rFonts w:ascii="Arial Narrow" w:eastAsiaTheme="minorEastAsia" w:hAnsi="Arial Narrow"/>
          <w:color w:val="000000"/>
          <w:sz w:val="20"/>
          <w:szCs w:val="20"/>
          <w:lang w:eastAsia="zh-CN"/>
        </w:rPr>
        <w:t>N/A= not applicable, LLT = lipid lowering therapy</w:t>
      </w:r>
    </w:p>
    <w:p w14:paraId="75A35A74" w14:textId="77777777" w:rsidR="002D2F13" w:rsidRPr="005869C5" w:rsidRDefault="002D2F13" w:rsidP="00C24DBD">
      <w:pPr>
        <w:keepNext/>
        <w:keepLines/>
        <w:tabs>
          <w:tab w:val="left" w:pos="284"/>
        </w:tabs>
        <w:spacing w:after="0" w:line="240" w:lineRule="auto"/>
        <w:ind w:right="-188"/>
        <w:rPr>
          <w:rFonts w:ascii="Arial Narrow" w:eastAsiaTheme="minorEastAsia" w:hAnsi="Arial Narrow"/>
          <w:sz w:val="20"/>
          <w:szCs w:val="20"/>
          <w:lang w:eastAsia="zh-CN"/>
        </w:rPr>
      </w:pPr>
      <w:r w:rsidRPr="005869C5">
        <w:rPr>
          <w:rFonts w:ascii="Arial Narrow" w:eastAsiaTheme="minorEastAsia" w:hAnsi="Arial Narrow"/>
          <w:color w:val="000000"/>
          <w:sz w:val="20"/>
          <w:szCs w:val="20"/>
          <w:lang w:eastAsia="zh-CN"/>
        </w:rPr>
        <w:t>Grey cells pre ezetimibe indicate that at least one statin prescription was dispensed in the 6 months prior to starting ezetimibe</w:t>
      </w:r>
    </w:p>
    <w:p w14:paraId="16D21AA4" w14:textId="77777777" w:rsidR="002D2F13" w:rsidRPr="005869C5" w:rsidRDefault="002D2F13" w:rsidP="00C24DBD">
      <w:pPr>
        <w:keepNext/>
        <w:keepLines/>
        <w:tabs>
          <w:tab w:val="left" w:pos="284"/>
        </w:tabs>
        <w:spacing w:after="0" w:line="240" w:lineRule="auto"/>
        <w:ind w:right="-188"/>
        <w:rPr>
          <w:rFonts w:ascii="Arial Narrow" w:eastAsiaTheme="minorEastAsia" w:hAnsi="Arial Narrow"/>
          <w:sz w:val="20"/>
          <w:szCs w:val="20"/>
          <w:lang w:eastAsia="zh-CN"/>
        </w:rPr>
      </w:pPr>
      <w:r w:rsidRPr="005869C5">
        <w:rPr>
          <w:rFonts w:ascii="Arial Narrow" w:eastAsiaTheme="minorEastAsia" w:hAnsi="Arial Narrow"/>
          <w:sz w:val="20"/>
          <w:szCs w:val="20"/>
          <w:lang w:eastAsia="zh-CN"/>
        </w:rPr>
        <w:t>*</w:t>
      </w:r>
      <w:r w:rsidRPr="005869C5">
        <w:rPr>
          <w:rFonts w:ascii="Arial Narrow" w:eastAsiaTheme="minorEastAsia" w:hAnsi="Arial Narrow"/>
          <w:sz w:val="20"/>
          <w:szCs w:val="20"/>
          <w:lang w:eastAsia="zh-CN"/>
        </w:rPr>
        <w:tab/>
        <w:t>If any statin scripts post ezetimibe initiation (365 days) at higher dose than last statin strength dispensed before starting ezetimibe</w:t>
      </w:r>
    </w:p>
    <w:p w14:paraId="1554BADB" w14:textId="77777777" w:rsidR="002D2F13" w:rsidRPr="005869C5" w:rsidRDefault="002D2F13" w:rsidP="00C24DBD">
      <w:pPr>
        <w:keepNext/>
        <w:keepLines/>
        <w:tabs>
          <w:tab w:val="left" w:pos="284"/>
        </w:tabs>
        <w:spacing w:after="0" w:line="240" w:lineRule="auto"/>
        <w:ind w:right="-188"/>
        <w:rPr>
          <w:rFonts w:ascii="Arial Narrow" w:eastAsiaTheme="minorEastAsia" w:hAnsi="Arial Narrow"/>
          <w:sz w:val="20"/>
          <w:szCs w:val="20"/>
          <w:lang w:eastAsia="zh-CN"/>
        </w:rPr>
      </w:pPr>
      <w:r w:rsidRPr="005869C5">
        <w:rPr>
          <w:rFonts w:ascii="Arial Narrow" w:eastAsiaTheme="minorEastAsia" w:hAnsi="Arial Narrow"/>
          <w:sz w:val="20"/>
          <w:szCs w:val="20"/>
          <w:lang w:eastAsia="zh-CN"/>
        </w:rPr>
        <w:t xml:space="preserve">** </w:t>
      </w:r>
      <w:r w:rsidRPr="005869C5">
        <w:rPr>
          <w:rFonts w:ascii="Arial Narrow" w:eastAsiaTheme="minorEastAsia" w:hAnsi="Arial Narrow"/>
          <w:sz w:val="20"/>
          <w:szCs w:val="20"/>
          <w:lang w:eastAsia="zh-CN"/>
        </w:rPr>
        <w:tab/>
        <w:t>Patients with the highest intensity in all statins prescribed in post-ezetimibe period being equal in intensity to the last pre-ezetimibe statin</w:t>
      </w:r>
    </w:p>
    <w:p w14:paraId="6E911CA7" w14:textId="77777777" w:rsidR="002D2F13" w:rsidRPr="005869C5" w:rsidRDefault="002D2F13" w:rsidP="00C24DBD">
      <w:pPr>
        <w:keepNext/>
        <w:keepLines/>
        <w:tabs>
          <w:tab w:val="left" w:pos="284"/>
        </w:tabs>
        <w:spacing w:after="0" w:line="240" w:lineRule="auto"/>
        <w:ind w:right="-188"/>
        <w:rPr>
          <w:rFonts w:ascii="Arial Narrow" w:eastAsiaTheme="minorEastAsia" w:hAnsi="Arial Narrow"/>
          <w:sz w:val="20"/>
          <w:szCs w:val="20"/>
          <w:lang w:eastAsia="zh-CN"/>
        </w:rPr>
      </w:pPr>
      <w:r w:rsidRPr="005869C5">
        <w:rPr>
          <w:rFonts w:ascii="Arial Narrow" w:eastAsiaTheme="minorEastAsia" w:hAnsi="Arial Narrow"/>
          <w:sz w:val="20"/>
          <w:szCs w:val="20"/>
          <w:lang w:eastAsia="zh-CN"/>
        </w:rPr>
        <w:t xml:space="preserve">*** </w:t>
      </w:r>
      <w:r w:rsidRPr="005869C5">
        <w:rPr>
          <w:rFonts w:ascii="Arial Narrow" w:eastAsiaTheme="minorEastAsia" w:hAnsi="Arial Narrow"/>
          <w:sz w:val="20"/>
          <w:szCs w:val="20"/>
          <w:lang w:eastAsia="zh-CN"/>
        </w:rPr>
        <w:tab/>
        <w:t>If all statin scripts post ezetimibe initiation at a lower dose than the last statin pre-ezetimibe statin script</w:t>
      </w:r>
    </w:p>
    <w:p w14:paraId="50051C3E" w14:textId="77777777" w:rsidR="002D2F13" w:rsidRPr="005869C5" w:rsidRDefault="002D2F13" w:rsidP="00C24DBD">
      <w:pPr>
        <w:keepNext/>
        <w:keepLines/>
        <w:tabs>
          <w:tab w:val="left" w:pos="284"/>
        </w:tabs>
        <w:spacing w:after="0" w:line="240" w:lineRule="auto"/>
        <w:ind w:right="-188"/>
        <w:rPr>
          <w:rFonts w:ascii="Arial Narrow" w:eastAsiaTheme="minorEastAsia" w:hAnsi="Arial Narrow"/>
          <w:sz w:val="20"/>
          <w:szCs w:val="20"/>
          <w:lang w:eastAsia="zh-CN"/>
        </w:rPr>
      </w:pPr>
      <w:r w:rsidRPr="005869C5">
        <w:rPr>
          <w:rFonts w:ascii="Arial Narrow" w:eastAsiaTheme="minorEastAsia" w:hAnsi="Arial Narrow"/>
          <w:sz w:val="20"/>
          <w:szCs w:val="20"/>
          <w:vertAlign w:val="superscript"/>
          <w:lang w:eastAsia="zh-CN"/>
        </w:rPr>
        <w:t>a</w:t>
      </w:r>
      <w:r w:rsidRPr="005869C5">
        <w:rPr>
          <w:rFonts w:ascii="Arial Narrow" w:eastAsiaTheme="minorEastAsia" w:hAnsi="Arial Narrow"/>
          <w:sz w:val="20"/>
          <w:szCs w:val="20"/>
          <w:vertAlign w:val="superscript"/>
          <w:lang w:eastAsia="zh-CN"/>
        </w:rPr>
        <w:tab/>
      </w:r>
      <w:r w:rsidRPr="005869C5">
        <w:rPr>
          <w:rFonts w:ascii="Arial Narrow" w:eastAsiaTheme="minorEastAsia" w:hAnsi="Arial Narrow"/>
          <w:sz w:val="20"/>
          <w:szCs w:val="20"/>
          <w:lang w:eastAsia="zh-CN"/>
        </w:rPr>
        <w:t>only relevant to those initiating ezetimibe monotherapy</w:t>
      </w:r>
    </w:p>
    <w:p w14:paraId="6F194DD0" w14:textId="77777777" w:rsidR="002D2F13" w:rsidRPr="005869C5" w:rsidRDefault="002D2F13" w:rsidP="00C24DBD">
      <w:pPr>
        <w:keepNext/>
        <w:keepLines/>
        <w:tabs>
          <w:tab w:val="left" w:pos="284"/>
        </w:tabs>
        <w:spacing w:after="0" w:line="240" w:lineRule="auto"/>
        <w:ind w:left="284" w:right="-188" w:hanging="284"/>
        <w:rPr>
          <w:rFonts w:ascii="Arial Narrow" w:eastAsiaTheme="minorEastAsia" w:hAnsi="Arial Narrow"/>
          <w:sz w:val="20"/>
          <w:szCs w:val="20"/>
          <w:lang w:eastAsia="zh-CN"/>
        </w:rPr>
      </w:pPr>
      <w:r w:rsidRPr="005869C5">
        <w:rPr>
          <w:rFonts w:ascii="Arial Narrow" w:eastAsiaTheme="minorEastAsia" w:hAnsi="Arial Narrow"/>
          <w:sz w:val="20"/>
          <w:szCs w:val="20"/>
          <w:vertAlign w:val="superscript"/>
          <w:lang w:eastAsia="zh-CN"/>
        </w:rPr>
        <w:t>b</w:t>
      </w:r>
      <w:r w:rsidRPr="005869C5">
        <w:rPr>
          <w:rFonts w:ascii="Arial Narrow" w:eastAsiaTheme="minorEastAsia" w:hAnsi="Arial Narrow"/>
          <w:sz w:val="20"/>
          <w:szCs w:val="20"/>
          <w:lang w:eastAsia="zh-CN"/>
        </w:rPr>
        <w:tab/>
        <w:t xml:space="preserve">applies to all initiators (ezetimibe monotherapy, ezetimibe + statin combination or ezetimibe + non-statin LLT) combination. </w:t>
      </w:r>
    </w:p>
    <w:p w14:paraId="38CB15DB" w14:textId="77777777" w:rsidR="002D2F13" w:rsidRPr="005869C5" w:rsidRDefault="002D2F13" w:rsidP="00C24DBD">
      <w:pPr>
        <w:keepNext/>
        <w:keepLines/>
        <w:tabs>
          <w:tab w:val="left" w:pos="284"/>
        </w:tabs>
        <w:spacing w:after="0" w:line="240" w:lineRule="auto"/>
        <w:ind w:left="284" w:right="-188" w:hanging="284"/>
        <w:rPr>
          <w:rFonts w:ascii="Arial Narrow" w:eastAsiaTheme="minorEastAsia" w:hAnsi="Arial Narrow"/>
          <w:sz w:val="20"/>
          <w:szCs w:val="20"/>
          <w:lang w:eastAsia="zh-CN"/>
        </w:rPr>
      </w:pPr>
      <w:r w:rsidRPr="005869C5">
        <w:rPr>
          <w:rFonts w:ascii="Arial Narrow" w:eastAsiaTheme="minorEastAsia" w:hAnsi="Arial Narrow"/>
          <w:sz w:val="20"/>
          <w:szCs w:val="20"/>
          <w:lang w:eastAsia="zh-CN"/>
        </w:rPr>
        <w:tab/>
        <w:t>For those initiating on ezetimibe + statin combination, this may represent the single initiating statin intensity</w:t>
      </w:r>
    </w:p>
    <w:p w14:paraId="62123E9C" w14:textId="77777777" w:rsidR="002D2F13" w:rsidRPr="005869C5" w:rsidRDefault="002D2F13" w:rsidP="00C24DBD">
      <w:pPr>
        <w:keepNext/>
        <w:keepLines/>
        <w:tabs>
          <w:tab w:val="left" w:pos="284"/>
        </w:tabs>
        <w:spacing w:after="0" w:line="240" w:lineRule="auto"/>
        <w:ind w:right="-188"/>
        <w:rPr>
          <w:rFonts w:ascii="Arial Narrow" w:eastAsiaTheme="minorEastAsia" w:hAnsi="Arial Narrow"/>
          <w:sz w:val="20"/>
          <w:szCs w:val="20"/>
          <w:lang w:eastAsia="zh-CN"/>
        </w:rPr>
      </w:pPr>
      <w:r w:rsidRPr="005869C5">
        <w:rPr>
          <w:rFonts w:ascii="Arial Narrow" w:eastAsiaTheme="minorEastAsia" w:hAnsi="Arial Narrow"/>
          <w:sz w:val="20"/>
          <w:szCs w:val="20"/>
          <w:vertAlign w:val="superscript"/>
          <w:lang w:eastAsia="zh-CN"/>
        </w:rPr>
        <w:t>c</w:t>
      </w:r>
      <w:r w:rsidRPr="005869C5">
        <w:rPr>
          <w:rFonts w:ascii="Arial Narrow" w:eastAsiaTheme="minorEastAsia" w:hAnsi="Arial Narrow"/>
          <w:sz w:val="20"/>
          <w:szCs w:val="20"/>
          <w:lang w:eastAsia="zh-CN"/>
        </w:rPr>
        <w:tab/>
        <w:t>only relevant to those initiating ezetimibe monotherapy and ezetimibe + non-statin LLT combination therapy</w:t>
      </w:r>
    </w:p>
    <w:p w14:paraId="70F8CE85" w14:textId="77777777" w:rsidR="009C01A7" w:rsidRPr="005869C5" w:rsidRDefault="009C01A7" w:rsidP="005A2287">
      <w:pPr>
        <w:spacing w:after="240" w:line="240" w:lineRule="auto"/>
        <w:rPr>
          <w:rFonts w:asciiTheme="minorHAnsi" w:hAnsiTheme="minorHAnsi"/>
        </w:rPr>
      </w:pPr>
    </w:p>
    <w:p w14:paraId="1417BB15" w14:textId="77777777" w:rsidR="009C01A7" w:rsidRPr="00E631B0" w:rsidRDefault="009C01A7" w:rsidP="00AD7EAC">
      <w:pPr>
        <w:spacing w:after="240" w:line="240" w:lineRule="auto"/>
        <w:jc w:val="left"/>
        <w:rPr>
          <w:rFonts w:asciiTheme="minorHAnsi" w:hAnsiTheme="minorHAnsi" w:cstheme="minorHAnsi"/>
          <w:szCs w:val="20"/>
        </w:rPr>
      </w:pPr>
      <w:r w:rsidRPr="00E631B0">
        <w:rPr>
          <w:rFonts w:asciiTheme="minorHAnsi" w:hAnsiTheme="minorHAnsi" w:cstheme="minorHAnsi"/>
          <w:szCs w:val="20"/>
        </w:rPr>
        <w:t xml:space="preserve">Of the 45,645 patients included in </w:t>
      </w:r>
      <w:r w:rsidR="001751C4" w:rsidRPr="00E631B0">
        <w:rPr>
          <w:rFonts w:asciiTheme="minorHAnsi" w:hAnsiTheme="minorHAnsi" w:cstheme="minorHAnsi"/>
          <w:szCs w:val="20"/>
        </w:rPr>
        <w:t xml:space="preserve">the March 2017 </w:t>
      </w:r>
      <w:r w:rsidR="004576DF" w:rsidRPr="00E631B0">
        <w:rPr>
          <w:rFonts w:asciiTheme="minorHAnsi" w:hAnsiTheme="minorHAnsi" w:cstheme="minorHAnsi"/>
          <w:szCs w:val="20"/>
        </w:rPr>
        <w:t>A</w:t>
      </w:r>
      <w:r w:rsidRPr="00E631B0">
        <w:rPr>
          <w:rFonts w:asciiTheme="minorHAnsi" w:hAnsiTheme="minorHAnsi" w:cstheme="minorHAnsi"/>
          <w:szCs w:val="20"/>
        </w:rPr>
        <w:t>nalysis</w:t>
      </w:r>
      <w:r w:rsidR="004576DF" w:rsidRPr="00E631B0">
        <w:rPr>
          <w:rFonts w:asciiTheme="minorHAnsi" w:hAnsiTheme="minorHAnsi" w:cstheme="minorHAnsi"/>
          <w:szCs w:val="20"/>
        </w:rPr>
        <w:t xml:space="preserve"> </w:t>
      </w:r>
      <w:r w:rsidRPr="00E631B0">
        <w:rPr>
          <w:rFonts w:asciiTheme="minorHAnsi" w:hAnsiTheme="minorHAnsi" w:cstheme="minorHAnsi"/>
          <w:szCs w:val="20"/>
        </w:rPr>
        <w:t>(Cohorts 1 and 2):</w:t>
      </w:r>
    </w:p>
    <w:p w14:paraId="6D70C45B" w14:textId="77777777" w:rsidR="009C01A7" w:rsidRPr="00E631B0" w:rsidRDefault="009C01A7" w:rsidP="00AD7EAC">
      <w:pPr>
        <w:pStyle w:val="ListParagraph"/>
        <w:numPr>
          <w:ilvl w:val="0"/>
          <w:numId w:val="31"/>
        </w:numPr>
        <w:spacing w:after="240" w:line="240" w:lineRule="auto"/>
        <w:ind w:left="284" w:hanging="284"/>
        <w:jc w:val="left"/>
        <w:rPr>
          <w:rFonts w:asciiTheme="minorHAnsi" w:hAnsiTheme="minorHAnsi" w:cstheme="minorHAnsi"/>
        </w:rPr>
      </w:pPr>
      <w:r w:rsidRPr="00E631B0">
        <w:rPr>
          <w:rFonts w:asciiTheme="minorHAnsi" w:hAnsiTheme="minorHAnsi" w:cstheme="minorHAnsi"/>
          <w:szCs w:val="20"/>
        </w:rPr>
        <w:t xml:space="preserve">143 + 21,243 = 21,386 (46.9%) filled LLT prescriptions in a manner that </w:t>
      </w:r>
      <w:r w:rsidRPr="00E631B0">
        <w:rPr>
          <w:rFonts w:asciiTheme="minorHAnsi" w:hAnsiTheme="minorHAnsi" w:cstheme="minorHAnsi"/>
          <w:i/>
          <w:szCs w:val="20"/>
        </w:rPr>
        <w:t>was in accordance with the PBS restriction</w:t>
      </w:r>
      <w:r w:rsidRPr="00E631B0">
        <w:rPr>
          <w:rFonts w:asciiTheme="minorHAnsi" w:hAnsiTheme="minorHAnsi" w:cstheme="minorHAnsi"/>
          <w:szCs w:val="20"/>
        </w:rPr>
        <w:t xml:space="preserve"> for ezetimibe;</w:t>
      </w:r>
    </w:p>
    <w:p w14:paraId="1A29CBF3" w14:textId="77777777" w:rsidR="009C01A7" w:rsidRPr="00E631B0" w:rsidRDefault="009C01A7" w:rsidP="00AD7EAC">
      <w:pPr>
        <w:pStyle w:val="ListParagraph"/>
        <w:numPr>
          <w:ilvl w:val="0"/>
          <w:numId w:val="31"/>
        </w:numPr>
        <w:spacing w:after="240" w:line="240" w:lineRule="auto"/>
        <w:ind w:left="284" w:hanging="284"/>
        <w:jc w:val="left"/>
        <w:rPr>
          <w:rFonts w:asciiTheme="minorHAnsi" w:hAnsiTheme="minorHAnsi" w:cstheme="minorHAnsi"/>
        </w:rPr>
      </w:pPr>
      <w:r w:rsidRPr="00E631B0">
        <w:rPr>
          <w:rFonts w:asciiTheme="minorHAnsi" w:hAnsiTheme="minorHAnsi"/>
        </w:rPr>
        <w:t xml:space="preserve">3,647 + 4,713 = </w:t>
      </w:r>
      <w:r w:rsidRPr="00E631B0">
        <w:rPr>
          <w:rFonts w:asciiTheme="minorHAnsi" w:hAnsiTheme="minorHAnsi" w:cstheme="minorHAnsi"/>
          <w:szCs w:val="20"/>
        </w:rPr>
        <w:t xml:space="preserve">8,360 (18.4%) filled LLT prescriptions in a manner that was </w:t>
      </w:r>
      <w:r w:rsidRPr="00E631B0">
        <w:rPr>
          <w:rFonts w:asciiTheme="minorHAnsi" w:hAnsiTheme="minorHAnsi" w:cstheme="minorHAnsi"/>
          <w:i/>
          <w:szCs w:val="20"/>
        </w:rPr>
        <w:t>not in accordance with the PBS restriction</w:t>
      </w:r>
      <w:r w:rsidRPr="00E631B0">
        <w:rPr>
          <w:rFonts w:asciiTheme="minorHAnsi" w:hAnsiTheme="minorHAnsi" w:cstheme="minorHAnsi"/>
          <w:szCs w:val="20"/>
        </w:rPr>
        <w:t xml:space="preserve"> for ezetimibe; and </w:t>
      </w:r>
    </w:p>
    <w:p w14:paraId="5081EA8A" w14:textId="77777777" w:rsidR="009C01A7" w:rsidRPr="00E631B0" w:rsidRDefault="009C01A7" w:rsidP="00AD7EAC">
      <w:pPr>
        <w:pStyle w:val="ListParagraph"/>
        <w:numPr>
          <w:ilvl w:val="0"/>
          <w:numId w:val="31"/>
        </w:numPr>
        <w:spacing w:after="240" w:line="240" w:lineRule="auto"/>
        <w:ind w:left="284" w:hanging="284"/>
        <w:jc w:val="left"/>
        <w:rPr>
          <w:rFonts w:asciiTheme="minorHAnsi" w:hAnsiTheme="minorHAnsi"/>
        </w:rPr>
      </w:pPr>
      <w:r w:rsidRPr="00E631B0">
        <w:rPr>
          <w:rFonts w:asciiTheme="minorHAnsi" w:hAnsiTheme="minorHAnsi"/>
        </w:rPr>
        <w:t>3,148+ 12,751 = 15,899 (</w:t>
      </w:r>
      <w:r w:rsidRPr="00E631B0">
        <w:rPr>
          <w:rFonts w:asciiTheme="minorHAnsi" w:hAnsiTheme="minorHAnsi" w:cstheme="minorHAnsi"/>
          <w:szCs w:val="20"/>
        </w:rPr>
        <w:t>34.8</w:t>
      </w:r>
      <w:r w:rsidRPr="00E631B0">
        <w:rPr>
          <w:rFonts w:asciiTheme="minorHAnsi" w:hAnsiTheme="minorHAnsi"/>
        </w:rPr>
        <w:t xml:space="preserve">%) </w:t>
      </w:r>
      <w:r w:rsidRPr="00E631B0">
        <w:rPr>
          <w:rFonts w:asciiTheme="minorHAnsi" w:hAnsiTheme="minorHAnsi" w:cstheme="minorHAnsi"/>
          <w:szCs w:val="20"/>
        </w:rPr>
        <w:t xml:space="preserve">filled LLT prescriptions </w:t>
      </w:r>
      <w:r w:rsidRPr="00E631B0">
        <w:rPr>
          <w:rFonts w:asciiTheme="minorHAnsi" w:hAnsiTheme="minorHAnsi"/>
        </w:rPr>
        <w:t xml:space="preserve">in a manner in </w:t>
      </w:r>
      <w:r w:rsidRPr="00E631B0">
        <w:rPr>
          <w:rFonts w:asciiTheme="minorHAnsi" w:hAnsiTheme="minorHAnsi"/>
          <w:i/>
        </w:rPr>
        <w:t>which accordance with the PBS restriction for ezetimibe is unknown.</w:t>
      </w:r>
    </w:p>
    <w:p w14:paraId="6062E4FE" w14:textId="77777777" w:rsidR="004B3EB8" w:rsidRDefault="004B3EB8" w:rsidP="005A2287">
      <w:pPr>
        <w:pStyle w:val="Heading2"/>
      </w:pPr>
    </w:p>
    <w:p w14:paraId="230F91FE" w14:textId="1CC19697" w:rsidR="0000686B" w:rsidRPr="005869C5" w:rsidRDefault="003848A8" w:rsidP="005A2287">
      <w:pPr>
        <w:pStyle w:val="Heading2"/>
      </w:pPr>
      <w:bookmarkStart w:id="59" w:name="_Toc500510221"/>
      <w:r w:rsidRPr="005869C5">
        <w:t>1</w:t>
      </w:r>
      <w:r w:rsidR="00C05E80" w:rsidRPr="005869C5">
        <w:t>.</w:t>
      </w:r>
      <w:r w:rsidR="0000686B" w:rsidRPr="005869C5">
        <w:t>3</w:t>
      </w:r>
      <w:r w:rsidR="00F03B50" w:rsidRPr="005869C5">
        <w:tab/>
      </w:r>
      <w:r w:rsidR="0000686B" w:rsidRPr="005869C5">
        <w:t>Key issues raised by stakeholders</w:t>
      </w:r>
      <w:r w:rsidR="00FD70C6">
        <w:t xml:space="preserve"> </w:t>
      </w:r>
      <w:r w:rsidR="000F1815">
        <w:t>on TO</w:t>
      </w:r>
      <w:r w:rsidR="00FD70C6">
        <w:t>R 1</w:t>
      </w:r>
      <w:bookmarkEnd w:id="59"/>
    </w:p>
    <w:p w14:paraId="2760794B" w14:textId="513C81DC" w:rsidR="0000686B" w:rsidRPr="00E631B0" w:rsidRDefault="0000686B" w:rsidP="00AD7EAC">
      <w:pPr>
        <w:spacing w:line="240" w:lineRule="auto"/>
        <w:jc w:val="left"/>
        <w:rPr>
          <w:rFonts w:asciiTheme="minorHAnsi" w:hAnsiTheme="minorHAnsi"/>
          <w:b/>
        </w:rPr>
      </w:pPr>
      <w:r w:rsidRPr="00E631B0">
        <w:rPr>
          <w:rFonts w:asciiTheme="minorHAnsi" w:hAnsiTheme="minorHAnsi"/>
        </w:rPr>
        <w:t xml:space="preserve">Details of the submissions to the Review and responses to the Stakeholder Forum Outcome Statement are provided in </w:t>
      </w:r>
      <w:r w:rsidRPr="00E631B0">
        <w:rPr>
          <w:rFonts w:asciiTheme="minorHAnsi" w:hAnsiTheme="minorHAnsi"/>
          <w:b/>
        </w:rPr>
        <w:t xml:space="preserve">Appendix F </w:t>
      </w:r>
      <w:r w:rsidRPr="00E631B0">
        <w:rPr>
          <w:rFonts w:asciiTheme="minorHAnsi" w:hAnsiTheme="minorHAnsi"/>
        </w:rPr>
        <w:t>and</w:t>
      </w:r>
      <w:r w:rsidRPr="00E631B0">
        <w:rPr>
          <w:rFonts w:asciiTheme="minorHAnsi" w:hAnsiTheme="minorHAnsi"/>
          <w:b/>
        </w:rPr>
        <w:t xml:space="preserve"> Appendix H</w:t>
      </w:r>
      <w:r w:rsidR="00FD70C6" w:rsidRPr="00E631B0">
        <w:rPr>
          <w:rFonts w:asciiTheme="minorHAnsi" w:hAnsiTheme="minorHAnsi"/>
        </w:rPr>
        <w:t>, respectively</w:t>
      </w:r>
      <w:r w:rsidRPr="00E631B0">
        <w:rPr>
          <w:rFonts w:asciiTheme="minorHAnsi" w:hAnsiTheme="minorHAnsi"/>
        </w:rPr>
        <w:t>.</w:t>
      </w:r>
      <w:r w:rsidRPr="00E631B0">
        <w:rPr>
          <w:rFonts w:asciiTheme="minorHAnsi" w:hAnsiTheme="minorHAnsi"/>
          <w:b/>
        </w:rPr>
        <w:t xml:space="preserve">  </w:t>
      </w:r>
    </w:p>
    <w:p w14:paraId="3B19F8AE" w14:textId="057C1106" w:rsidR="0000686B" w:rsidRPr="00E631B0" w:rsidRDefault="003848A8" w:rsidP="005A2287">
      <w:pPr>
        <w:pStyle w:val="Heading3"/>
        <w:jc w:val="left"/>
      </w:pPr>
      <w:bookmarkStart w:id="60" w:name="_Toc500510222"/>
      <w:r w:rsidRPr="00E631B0">
        <w:t>1</w:t>
      </w:r>
      <w:r w:rsidR="00C05E80" w:rsidRPr="00E631B0">
        <w:t>.</w:t>
      </w:r>
      <w:r w:rsidR="00D52C20" w:rsidRPr="00E631B0">
        <w:t>3.1</w:t>
      </w:r>
      <w:r w:rsidR="00D52C20" w:rsidRPr="00E631B0">
        <w:tab/>
        <w:t>S</w:t>
      </w:r>
      <w:r w:rsidR="00561A9A" w:rsidRPr="00E631B0">
        <w:t>ubmissions to the R</w:t>
      </w:r>
      <w:r w:rsidR="0000686B" w:rsidRPr="00E631B0">
        <w:t>eview</w:t>
      </w:r>
      <w:bookmarkEnd w:id="60"/>
    </w:p>
    <w:p w14:paraId="6E65FB28" w14:textId="7572D539" w:rsidR="0000686B" w:rsidRPr="00E631B0" w:rsidRDefault="002B63EB" w:rsidP="00AD7EAC">
      <w:pPr>
        <w:spacing w:line="240" w:lineRule="auto"/>
        <w:jc w:val="left"/>
        <w:rPr>
          <w:rFonts w:asciiTheme="minorHAnsi" w:hAnsiTheme="minorHAnsi"/>
        </w:rPr>
      </w:pPr>
      <w:r w:rsidRPr="00E631B0">
        <w:rPr>
          <w:rFonts w:asciiTheme="minorHAnsi" w:hAnsiTheme="minorHAnsi"/>
        </w:rPr>
        <w:t>In the seven week public consultation held between 4 March and 22 April 2016 s</w:t>
      </w:r>
      <w:r w:rsidR="0000686B" w:rsidRPr="00E631B0">
        <w:rPr>
          <w:rFonts w:asciiTheme="minorHAnsi" w:hAnsiTheme="minorHAnsi"/>
        </w:rPr>
        <w:t xml:space="preserve">takeholders raised the following key points in relation to </w:t>
      </w:r>
      <w:r w:rsidR="00561A9A" w:rsidRPr="00E631B0">
        <w:rPr>
          <w:rFonts w:asciiTheme="minorHAnsi" w:hAnsiTheme="minorHAnsi"/>
        </w:rPr>
        <w:t xml:space="preserve">TOR </w:t>
      </w:r>
      <w:r w:rsidR="0000686B" w:rsidRPr="00E631B0">
        <w:rPr>
          <w:rFonts w:asciiTheme="minorHAnsi" w:hAnsiTheme="minorHAnsi"/>
        </w:rPr>
        <w:t>1:</w:t>
      </w:r>
    </w:p>
    <w:p w14:paraId="59612677" w14:textId="77777777" w:rsidR="0000686B" w:rsidRPr="00E631B0" w:rsidRDefault="00687FC0" w:rsidP="00AD7EAC">
      <w:pPr>
        <w:numPr>
          <w:ilvl w:val="0"/>
          <w:numId w:val="8"/>
        </w:numPr>
        <w:spacing w:after="120" w:line="240" w:lineRule="auto"/>
        <w:ind w:left="714" w:hanging="357"/>
        <w:jc w:val="left"/>
        <w:rPr>
          <w:rFonts w:asciiTheme="minorHAnsi" w:hAnsiTheme="minorHAnsi"/>
        </w:rPr>
      </w:pPr>
      <w:r w:rsidRPr="00E631B0">
        <w:rPr>
          <w:rFonts w:asciiTheme="minorHAnsi" w:hAnsiTheme="minorHAnsi"/>
        </w:rPr>
        <w:t>Prescribers in the community setting write the majority of prescriptions</w:t>
      </w:r>
      <w:r w:rsidR="0000686B" w:rsidRPr="00E631B0">
        <w:rPr>
          <w:rFonts w:asciiTheme="minorHAnsi" w:hAnsiTheme="minorHAnsi"/>
        </w:rPr>
        <w:t xml:space="preserve">. </w:t>
      </w:r>
    </w:p>
    <w:p w14:paraId="7F0D8383" w14:textId="77777777" w:rsidR="0000686B" w:rsidRPr="00E631B0" w:rsidRDefault="0000686B" w:rsidP="00AD7EAC">
      <w:pPr>
        <w:pStyle w:val="ListParagraph"/>
        <w:numPr>
          <w:ilvl w:val="0"/>
          <w:numId w:val="8"/>
        </w:numPr>
        <w:spacing w:after="120" w:line="240" w:lineRule="auto"/>
        <w:ind w:left="714" w:hanging="357"/>
        <w:contextualSpacing w:val="0"/>
        <w:jc w:val="left"/>
        <w:rPr>
          <w:rFonts w:asciiTheme="minorHAnsi" w:hAnsiTheme="minorHAnsi"/>
        </w:rPr>
      </w:pPr>
      <w:r w:rsidRPr="00E631B0">
        <w:rPr>
          <w:rFonts w:asciiTheme="minorHAnsi" w:hAnsiTheme="minorHAnsi"/>
        </w:rPr>
        <w:t>Access to non-statin therapies is important for patients who are unable to achieve treatment targets, or for those who are unable to tolerate statins.</w:t>
      </w:r>
    </w:p>
    <w:p w14:paraId="447B2217" w14:textId="77777777" w:rsidR="0000686B" w:rsidRPr="00E631B0" w:rsidRDefault="0000686B" w:rsidP="00AD7EAC">
      <w:pPr>
        <w:pStyle w:val="ListParagraph"/>
        <w:numPr>
          <w:ilvl w:val="0"/>
          <w:numId w:val="8"/>
        </w:numPr>
        <w:spacing w:after="120" w:line="240" w:lineRule="auto"/>
        <w:ind w:left="714" w:hanging="357"/>
        <w:contextualSpacing w:val="0"/>
        <w:jc w:val="left"/>
        <w:rPr>
          <w:rFonts w:asciiTheme="minorHAnsi" w:hAnsiTheme="minorHAnsi"/>
        </w:rPr>
      </w:pPr>
      <w:r w:rsidRPr="00E631B0">
        <w:rPr>
          <w:rFonts w:asciiTheme="minorHAnsi" w:hAnsiTheme="minorHAnsi"/>
        </w:rPr>
        <w:t>Ezetimibe is the predominant non-statin therapy reflecting the focus on LDL</w:t>
      </w:r>
      <w:r w:rsidR="00C24DBD" w:rsidRPr="00E631B0">
        <w:rPr>
          <w:rFonts w:asciiTheme="minorHAnsi" w:hAnsiTheme="minorHAnsi"/>
        </w:rPr>
        <w:noBreakHyphen/>
      </w:r>
      <w:r w:rsidRPr="00E631B0">
        <w:rPr>
          <w:rFonts w:asciiTheme="minorHAnsi" w:hAnsiTheme="minorHAnsi"/>
        </w:rPr>
        <w:t>C as the primary treatment target.</w:t>
      </w:r>
    </w:p>
    <w:p w14:paraId="42D79C9B" w14:textId="0BEAD3E0" w:rsidR="0000686B" w:rsidRPr="00E631B0" w:rsidRDefault="0000686B" w:rsidP="00AD7EAC">
      <w:pPr>
        <w:numPr>
          <w:ilvl w:val="0"/>
          <w:numId w:val="8"/>
        </w:numPr>
        <w:spacing w:after="120" w:line="240" w:lineRule="auto"/>
        <w:ind w:left="714" w:hanging="357"/>
        <w:jc w:val="left"/>
        <w:rPr>
          <w:rFonts w:asciiTheme="minorHAnsi" w:hAnsiTheme="minorHAnsi"/>
        </w:rPr>
      </w:pPr>
      <w:r w:rsidRPr="00E631B0">
        <w:rPr>
          <w:rFonts w:asciiTheme="minorHAnsi" w:hAnsiTheme="minorHAnsi"/>
        </w:rPr>
        <w:t xml:space="preserve">The </w:t>
      </w:r>
      <w:r w:rsidR="002B63EB" w:rsidRPr="00E631B0">
        <w:rPr>
          <w:rFonts w:asciiTheme="minorHAnsi" w:hAnsiTheme="minorHAnsi"/>
        </w:rPr>
        <w:t xml:space="preserve">submission from the sponsor of ezetimibe </w:t>
      </w:r>
      <w:r w:rsidRPr="00E631B0">
        <w:rPr>
          <w:rFonts w:asciiTheme="minorHAnsi" w:hAnsiTheme="minorHAnsi"/>
        </w:rPr>
        <w:t>included an analysis of PBS data (10% sample) between 2010 and 2015. The sponsor claims that 88.5% of all PBS use of ezetimibe is in accordance with the PBS restriction. This analysis was limited to concessional patients and is potentially misleading as individual patients had the potential to initiate ezetimibe and ezetimibe/statin FDC on multiple occasions.</w:t>
      </w:r>
    </w:p>
    <w:p w14:paraId="649FAE63" w14:textId="77777777" w:rsidR="0000686B" w:rsidRPr="00E631B0" w:rsidRDefault="003848A8" w:rsidP="005A2287">
      <w:pPr>
        <w:pStyle w:val="Heading3"/>
        <w:jc w:val="left"/>
      </w:pPr>
      <w:bookmarkStart w:id="61" w:name="_Toc500510223"/>
      <w:r w:rsidRPr="00E631B0">
        <w:t>1</w:t>
      </w:r>
      <w:r w:rsidR="00C05E80" w:rsidRPr="00E631B0">
        <w:t>.</w:t>
      </w:r>
      <w:r w:rsidR="0000686B" w:rsidRPr="00E631B0">
        <w:t>3.2</w:t>
      </w:r>
      <w:r w:rsidR="0000686B" w:rsidRPr="00E631B0">
        <w:tab/>
        <w:t>Outcomes from the stakeholder forum</w:t>
      </w:r>
      <w:bookmarkEnd w:id="61"/>
    </w:p>
    <w:p w14:paraId="5CF20220" w14:textId="4ACEF9C9" w:rsidR="0000686B" w:rsidRPr="00E631B0" w:rsidRDefault="0000686B" w:rsidP="00AD7EAC">
      <w:pPr>
        <w:spacing w:line="240" w:lineRule="auto"/>
        <w:jc w:val="left"/>
        <w:rPr>
          <w:rFonts w:asciiTheme="minorHAnsi" w:hAnsiTheme="minorHAnsi"/>
        </w:rPr>
      </w:pPr>
      <w:r w:rsidRPr="00E631B0">
        <w:rPr>
          <w:rFonts w:asciiTheme="minorHAnsi" w:hAnsiTheme="minorHAnsi"/>
        </w:rPr>
        <w:t xml:space="preserve">Participants made a number of comments relevant to the evidence collated under </w:t>
      </w:r>
      <w:r w:rsidR="00561A9A" w:rsidRPr="00E631B0">
        <w:rPr>
          <w:rFonts w:asciiTheme="minorHAnsi" w:hAnsiTheme="minorHAnsi"/>
        </w:rPr>
        <w:t xml:space="preserve">TOR </w:t>
      </w:r>
      <w:r w:rsidRPr="00E631B0">
        <w:rPr>
          <w:rFonts w:asciiTheme="minorHAnsi" w:hAnsiTheme="minorHAnsi"/>
        </w:rPr>
        <w:t xml:space="preserve">1 and </w:t>
      </w:r>
      <w:r w:rsidR="002B63EB" w:rsidRPr="00E631B0">
        <w:rPr>
          <w:rFonts w:asciiTheme="minorHAnsi" w:hAnsiTheme="minorHAnsi"/>
        </w:rPr>
        <w:t xml:space="preserve">the </w:t>
      </w:r>
      <w:r w:rsidRPr="00E631B0">
        <w:rPr>
          <w:rFonts w:asciiTheme="minorHAnsi" w:hAnsiTheme="minorHAnsi"/>
        </w:rPr>
        <w:t>questions posed by the Reference Group.</w:t>
      </w:r>
    </w:p>
    <w:p w14:paraId="4B48709F" w14:textId="015183D1" w:rsidR="0000686B" w:rsidRPr="00E631B0" w:rsidRDefault="0000686B" w:rsidP="00AD7EAC">
      <w:pPr>
        <w:spacing w:line="240" w:lineRule="auto"/>
        <w:jc w:val="left"/>
        <w:rPr>
          <w:rFonts w:asciiTheme="minorHAnsi" w:hAnsiTheme="minorHAnsi"/>
        </w:rPr>
      </w:pPr>
      <w:r w:rsidRPr="00E631B0">
        <w:rPr>
          <w:rFonts w:asciiTheme="minorHAnsi" w:hAnsiTheme="minorHAnsi"/>
        </w:rPr>
        <w:t>I</w:t>
      </w:r>
      <w:r w:rsidR="00561A9A" w:rsidRPr="00E631B0">
        <w:rPr>
          <w:rFonts w:asciiTheme="minorHAnsi" w:hAnsiTheme="minorHAnsi"/>
        </w:rPr>
        <w:t>n relation to the study finding</w:t>
      </w:r>
      <w:r w:rsidRPr="00E631B0">
        <w:rPr>
          <w:rFonts w:asciiTheme="minorHAnsi" w:hAnsiTheme="minorHAnsi"/>
        </w:rPr>
        <w:t xml:space="preserve"> that </w:t>
      </w:r>
      <w:r w:rsidR="002B63EB" w:rsidRPr="00E631B0">
        <w:rPr>
          <w:rFonts w:asciiTheme="minorHAnsi" w:hAnsiTheme="minorHAnsi"/>
        </w:rPr>
        <w:t>68.9</w:t>
      </w:r>
      <w:r w:rsidRPr="00E631B0">
        <w:rPr>
          <w:rFonts w:asciiTheme="minorHAnsi" w:hAnsiTheme="minorHAnsi"/>
        </w:rPr>
        <w:t>% of Cohort 2 patients had not had their statin dose increased, it was suggested that clinicians may be choosing to not titrate to the maximum tolerated dose to avoid side-effects such as muscle aches and pains.</w:t>
      </w:r>
    </w:p>
    <w:p w14:paraId="35156C4A" w14:textId="77777777" w:rsidR="0000686B" w:rsidRPr="00E631B0" w:rsidRDefault="0000686B" w:rsidP="00AD7EAC">
      <w:pPr>
        <w:pStyle w:val="BodyText"/>
        <w:spacing w:after="200" w:line="240" w:lineRule="auto"/>
        <w:jc w:val="left"/>
        <w:rPr>
          <w:rFonts w:asciiTheme="minorHAnsi" w:hAnsiTheme="minorHAnsi"/>
        </w:rPr>
      </w:pPr>
      <w:r w:rsidRPr="00E631B0">
        <w:rPr>
          <w:rFonts w:asciiTheme="minorHAnsi" w:hAnsiTheme="minorHAnsi"/>
        </w:rPr>
        <w:t xml:space="preserve">In considering sources of evidence available to assist in determining the size of the population truly contraindicated to statins, participants acknowledged that there were studies available and agreed to provide information to the Review Secretariat. Following the stakeholder forum the </w:t>
      </w:r>
      <w:r w:rsidR="004631BF" w:rsidRPr="00E631B0">
        <w:rPr>
          <w:rFonts w:asciiTheme="minorHAnsi" w:hAnsiTheme="minorHAnsi"/>
        </w:rPr>
        <w:t>sponsor provided the citations</w:t>
      </w:r>
      <w:r w:rsidRPr="00E631B0">
        <w:rPr>
          <w:rFonts w:asciiTheme="minorHAnsi" w:hAnsiTheme="minorHAnsi"/>
        </w:rPr>
        <w:t xml:space="preserve">. </w:t>
      </w:r>
    </w:p>
    <w:p w14:paraId="11E81546" w14:textId="77777777" w:rsidR="0000686B" w:rsidRPr="00E631B0" w:rsidRDefault="0000686B" w:rsidP="00AD7EAC">
      <w:pPr>
        <w:pStyle w:val="BodyText"/>
        <w:spacing w:after="200" w:line="240" w:lineRule="auto"/>
        <w:jc w:val="left"/>
        <w:rPr>
          <w:rFonts w:asciiTheme="minorHAnsi" w:hAnsiTheme="minorHAnsi"/>
        </w:rPr>
      </w:pPr>
      <w:r w:rsidRPr="00E631B0">
        <w:rPr>
          <w:rFonts w:asciiTheme="minorHAnsi" w:hAnsiTheme="minorHAnsi"/>
        </w:rPr>
        <w:t>The difference between intolerance and contraindication was discussed. Participants suggested that although patients say they are intolerant to statin therapy, only a small proportion of patients are truly intolerant to statins. For example, clinical trials show that approximately 1-5% of patients are intolerant, with possibly up to 10% of patients partially intolerant.</w:t>
      </w:r>
    </w:p>
    <w:p w14:paraId="0F84CF5C" w14:textId="77777777" w:rsidR="0000686B" w:rsidRPr="00E631B0" w:rsidRDefault="0000686B" w:rsidP="00AD7EAC">
      <w:pPr>
        <w:spacing w:line="240" w:lineRule="auto"/>
        <w:jc w:val="left"/>
        <w:rPr>
          <w:rFonts w:asciiTheme="minorHAnsi" w:hAnsiTheme="minorHAnsi"/>
        </w:rPr>
      </w:pPr>
      <w:r w:rsidRPr="00E631B0">
        <w:rPr>
          <w:rFonts w:asciiTheme="minorHAnsi" w:hAnsiTheme="minorHAnsi"/>
        </w:rPr>
        <w:t xml:space="preserve">Participants also commented that negative publicity from the Catalyst program (ABC, October 2013) has had a significant impact on patient perceptions and preferences and may impact on the proportion of patients that start ezetimibe without having first taken a statin. </w:t>
      </w:r>
    </w:p>
    <w:p w14:paraId="7513C759" w14:textId="77777777" w:rsidR="0000686B" w:rsidRPr="00E631B0" w:rsidRDefault="0000686B" w:rsidP="00AD7EAC">
      <w:pPr>
        <w:spacing w:line="240" w:lineRule="auto"/>
        <w:jc w:val="left"/>
        <w:rPr>
          <w:rFonts w:asciiTheme="minorHAnsi" w:hAnsiTheme="minorHAnsi"/>
        </w:rPr>
      </w:pPr>
      <w:r w:rsidRPr="00E631B0">
        <w:rPr>
          <w:rFonts w:asciiTheme="minorHAnsi" w:hAnsiTheme="minorHAnsi"/>
        </w:rPr>
        <w:lastRenderedPageBreak/>
        <w:t>It was also suggested that in considering the rationale for initiating ezetimibe without first trialling a statin alone, the figure of 15% (</w:t>
      </w:r>
      <w:r w:rsidR="00BC068B" w:rsidRPr="00E631B0">
        <w:rPr>
          <w:rFonts w:asciiTheme="minorHAnsi" w:hAnsiTheme="minorHAnsi"/>
        </w:rPr>
        <w:t>Cohort 1</w:t>
      </w:r>
      <w:r w:rsidRPr="00E631B0">
        <w:rPr>
          <w:rFonts w:asciiTheme="minorHAnsi" w:hAnsiTheme="minorHAnsi"/>
        </w:rPr>
        <w:t xml:space="preserve"> patients </w:t>
      </w:r>
      <w:r w:rsidR="00BC068B" w:rsidRPr="00E631B0">
        <w:rPr>
          <w:rFonts w:asciiTheme="minorHAnsi" w:hAnsiTheme="minorHAnsi"/>
        </w:rPr>
        <w:t xml:space="preserve">who </w:t>
      </w:r>
      <w:r w:rsidRPr="00E631B0">
        <w:rPr>
          <w:rFonts w:asciiTheme="minorHAnsi" w:hAnsiTheme="minorHAnsi"/>
        </w:rPr>
        <w:t>initiated without a history of statins or other LLTs) needs to be understood in the context of:</w:t>
      </w:r>
    </w:p>
    <w:p w14:paraId="12D393C0" w14:textId="77777777" w:rsidR="0000686B" w:rsidRPr="00E631B0" w:rsidRDefault="0000686B" w:rsidP="00AD7EAC">
      <w:pPr>
        <w:pStyle w:val="ListBullet"/>
        <w:spacing w:before="0" w:after="120" w:line="240" w:lineRule="auto"/>
        <w:rPr>
          <w:rFonts w:eastAsiaTheme="minorHAnsi" w:cstheme="minorBidi"/>
          <w:sz w:val="24"/>
          <w:lang w:eastAsia="en-US"/>
        </w:rPr>
      </w:pPr>
      <w:r w:rsidRPr="00E631B0">
        <w:rPr>
          <w:rFonts w:eastAsiaTheme="minorHAnsi" w:cstheme="minorBidi"/>
          <w:sz w:val="24"/>
          <w:lang w:eastAsia="en-US"/>
        </w:rPr>
        <w:t>the number of patients who are genuinely contraindicated</w:t>
      </w:r>
    </w:p>
    <w:p w14:paraId="59D7EE50" w14:textId="77777777" w:rsidR="0000686B" w:rsidRPr="00E631B0" w:rsidRDefault="0000686B" w:rsidP="00AD7EAC">
      <w:pPr>
        <w:pStyle w:val="ListBullet"/>
        <w:spacing w:before="0" w:after="120" w:line="240" w:lineRule="auto"/>
        <w:rPr>
          <w:rFonts w:eastAsiaTheme="minorHAnsi" w:cstheme="minorBidi"/>
          <w:sz w:val="24"/>
          <w:lang w:eastAsia="en-US"/>
        </w:rPr>
      </w:pPr>
      <w:r w:rsidRPr="00E631B0">
        <w:rPr>
          <w:rFonts w:eastAsiaTheme="minorHAnsi" w:cstheme="minorBidi"/>
          <w:sz w:val="24"/>
          <w:lang w:eastAsia="en-US"/>
        </w:rPr>
        <w:t>the number of patients who had a history of statins or other LLTs beyond the two years preceding initiation of ezetimibe</w:t>
      </w:r>
    </w:p>
    <w:p w14:paraId="4BDE4A6E" w14:textId="77777777" w:rsidR="0000686B" w:rsidRPr="00E631B0" w:rsidRDefault="0000686B" w:rsidP="00AD7EAC">
      <w:pPr>
        <w:pStyle w:val="ListBullet"/>
        <w:spacing w:before="0" w:after="120" w:line="240" w:lineRule="auto"/>
        <w:rPr>
          <w:rFonts w:eastAsiaTheme="minorHAnsi" w:cstheme="minorBidi"/>
          <w:sz w:val="24"/>
          <w:lang w:eastAsia="en-US"/>
        </w:rPr>
      </w:pPr>
      <w:r w:rsidRPr="00E631B0">
        <w:rPr>
          <w:rFonts w:eastAsiaTheme="minorHAnsi" w:cstheme="minorBidi"/>
          <w:sz w:val="24"/>
          <w:lang w:eastAsia="en-US"/>
        </w:rPr>
        <w:t>the number of patients who were dispensed statins privately as the price for some products is below the non-concessional co-payment</w:t>
      </w:r>
    </w:p>
    <w:p w14:paraId="29DA2FDC" w14:textId="77777777" w:rsidR="0000686B" w:rsidRPr="00E631B0" w:rsidRDefault="0000686B" w:rsidP="00AD7EAC">
      <w:pPr>
        <w:pStyle w:val="ListBullet"/>
        <w:spacing w:before="0" w:after="120" w:line="240" w:lineRule="auto"/>
        <w:rPr>
          <w:rFonts w:eastAsiaTheme="minorHAnsi" w:cstheme="minorBidi"/>
          <w:sz w:val="24"/>
          <w:lang w:eastAsia="en-US"/>
        </w:rPr>
      </w:pPr>
      <w:r w:rsidRPr="00E631B0">
        <w:rPr>
          <w:rFonts w:eastAsiaTheme="minorHAnsi" w:cstheme="minorBidi"/>
          <w:sz w:val="24"/>
          <w:lang w:eastAsia="en-US"/>
        </w:rPr>
        <w:t xml:space="preserve">the number of patients who are prescribed ezetimibe and whose scripts are not dispensed – this was considered to be a very small percentage and not highly relevant. </w:t>
      </w:r>
    </w:p>
    <w:p w14:paraId="326AD2DB" w14:textId="77777777" w:rsidR="0000686B" w:rsidRPr="00EA6D21" w:rsidRDefault="0000686B" w:rsidP="00AD7EAC">
      <w:pPr>
        <w:pStyle w:val="ListBullet"/>
        <w:numPr>
          <w:ilvl w:val="0"/>
          <w:numId w:val="0"/>
        </w:numPr>
        <w:ind w:left="425"/>
        <w:rPr>
          <w:rFonts w:eastAsiaTheme="minorHAnsi" w:cstheme="minorBidi"/>
          <w:sz w:val="24"/>
          <w:lang w:eastAsia="en-US"/>
        </w:rPr>
      </w:pPr>
    </w:p>
    <w:p w14:paraId="4727DD6C" w14:textId="77777777" w:rsidR="0000686B" w:rsidRPr="00E631B0" w:rsidRDefault="0000686B" w:rsidP="00AD7EAC">
      <w:pPr>
        <w:pStyle w:val="BodyText"/>
        <w:spacing w:after="200" w:line="240" w:lineRule="auto"/>
        <w:jc w:val="left"/>
        <w:rPr>
          <w:rFonts w:asciiTheme="minorHAnsi" w:hAnsiTheme="minorHAnsi"/>
          <w:szCs w:val="24"/>
        </w:rPr>
      </w:pPr>
      <w:r w:rsidRPr="00E631B0">
        <w:rPr>
          <w:rFonts w:asciiTheme="minorHAnsi" w:hAnsiTheme="minorHAnsi"/>
          <w:szCs w:val="24"/>
        </w:rPr>
        <w:t xml:space="preserve">Some clinicians commented that initiation to a statin </w:t>
      </w:r>
      <w:r w:rsidR="002B63EB" w:rsidRPr="00E631B0">
        <w:rPr>
          <w:rFonts w:asciiTheme="minorHAnsi" w:hAnsiTheme="minorHAnsi"/>
          <w:szCs w:val="24"/>
        </w:rPr>
        <w:t xml:space="preserve">plus </w:t>
      </w:r>
      <w:r w:rsidRPr="00E631B0">
        <w:rPr>
          <w:rFonts w:asciiTheme="minorHAnsi" w:hAnsiTheme="minorHAnsi"/>
          <w:szCs w:val="24"/>
        </w:rPr>
        <w:t>ezetimibe combination without a statin trial may occur in the clinical situation where LDL-C is high and needs reducing quickly.</w:t>
      </w:r>
    </w:p>
    <w:p w14:paraId="5F66451C" w14:textId="769A6C92" w:rsidR="00D52C20" w:rsidRPr="00D52C20" w:rsidRDefault="00D52C20" w:rsidP="00AD7EAC">
      <w:pPr>
        <w:spacing w:line="240" w:lineRule="auto"/>
        <w:jc w:val="left"/>
        <w:rPr>
          <w:rStyle w:val="Hyperlink"/>
          <w:rFonts w:asciiTheme="minorHAnsi" w:hAnsiTheme="minorHAnsi"/>
          <w:szCs w:val="24"/>
        </w:rPr>
      </w:pPr>
      <w:r>
        <w:rPr>
          <w:rFonts w:asciiTheme="minorHAnsi" w:hAnsiTheme="minorHAnsi"/>
          <w:szCs w:val="24"/>
        </w:rPr>
        <w:t>T</w:t>
      </w:r>
      <w:r w:rsidRPr="00FA7D1A">
        <w:rPr>
          <w:rFonts w:asciiTheme="minorHAnsi" w:hAnsiTheme="minorHAnsi"/>
          <w:szCs w:val="24"/>
        </w:rPr>
        <w:t xml:space="preserve">he </w:t>
      </w:r>
      <w:hyperlink r:id="rId21" w:history="1">
        <w:r w:rsidRPr="00252863">
          <w:rPr>
            <w:rStyle w:val="Hyperlink"/>
            <w:rFonts w:asciiTheme="minorHAnsi" w:hAnsiTheme="minorHAnsi"/>
            <w:szCs w:val="24"/>
          </w:rPr>
          <w:t>Stakeholder Forum Outcome Statement</w:t>
        </w:r>
      </w:hyperlink>
      <w:r>
        <w:rPr>
          <w:rFonts w:asciiTheme="minorHAnsi" w:hAnsiTheme="minorHAnsi"/>
          <w:szCs w:val="24"/>
        </w:rPr>
        <w:t xml:space="preserve"> is available on the Review website</w:t>
      </w:r>
      <w:r w:rsidRPr="009623C7">
        <w:rPr>
          <w:rStyle w:val="Hyperlink"/>
          <w:rFonts w:asciiTheme="minorHAnsi" w:hAnsiTheme="minorHAnsi"/>
          <w:color w:val="auto"/>
          <w:szCs w:val="24"/>
          <w:u w:val="none"/>
        </w:rPr>
        <w:t>.</w:t>
      </w:r>
      <w:r>
        <w:rPr>
          <w:rStyle w:val="Hyperlink"/>
          <w:rFonts w:asciiTheme="minorHAnsi" w:hAnsiTheme="minorHAnsi"/>
          <w:szCs w:val="24"/>
        </w:rPr>
        <w:t xml:space="preserve"> </w:t>
      </w:r>
      <w:r w:rsidRPr="00204D95">
        <w:rPr>
          <w:rFonts w:asciiTheme="minorHAnsi" w:hAnsiTheme="minorHAnsi"/>
          <w:szCs w:val="24"/>
        </w:rPr>
        <w:t xml:space="preserve">Stakeholder </w:t>
      </w:r>
      <w:r w:rsidRPr="00833088">
        <w:rPr>
          <w:rFonts w:asciiTheme="minorHAnsi" w:hAnsiTheme="minorHAnsi"/>
          <w:szCs w:val="24"/>
        </w:rPr>
        <w:t>responses to the Stakeholder Forum Outcome Statement</w:t>
      </w:r>
      <w:r>
        <w:rPr>
          <w:rFonts w:asciiTheme="minorHAnsi" w:hAnsiTheme="minorHAnsi"/>
          <w:szCs w:val="24"/>
        </w:rPr>
        <w:t xml:space="preserve"> are available on the Review’s </w:t>
      </w:r>
      <w:hyperlink r:id="rId22" w:history="1">
        <w:r w:rsidRPr="00D52C20">
          <w:rPr>
            <w:rStyle w:val="Hyperlink"/>
            <w:rFonts w:asciiTheme="minorHAnsi" w:hAnsiTheme="minorHAnsi"/>
            <w:szCs w:val="24"/>
          </w:rPr>
          <w:t>Public Consultation website</w:t>
        </w:r>
      </w:hyperlink>
      <w:r w:rsidRPr="00843188">
        <w:t>.</w:t>
      </w:r>
    </w:p>
    <w:p w14:paraId="71762AF2" w14:textId="1D4417D0" w:rsidR="0000686B" w:rsidRPr="00E631B0" w:rsidRDefault="003848A8" w:rsidP="005A2287">
      <w:pPr>
        <w:pStyle w:val="Heading3"/>
        <w:jc w:val="left"/>
      </w:pPr>
      <w:bookmarkStart w:id="62" w:name="_Toc500510224"/>
      <w:r w:rsidRPr="00E631B0">
        <w:t>1.</w:t>
      </w:r>
      <w:r w:rsidR="0000686B" w:rsidRPr="00E631B0">
        <w:t>3.3</w:t>
      </w:r>
      <w:r w:rsidR="003E1D8D" w:rsidRPr="00E631B0">
        <w:tab/>
      </w:r>
      <w:r w:rsidR="0000686B" w:rsidRPr="00E631B0">
        <w:t>Stakeholder submissions to the draft Report</w:t>
      </w:r>
      <w:bookmarkEnd w:id="62"/>
    </w:p>
    <w:p w14:paraId="5D5A75B5" w14:textId="3B34522A"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Stakeholders raised the following points in their responses to the draft Report provided on the PMR website for publi</w:t>
      </w:r>
      <w:r w:rsidR="00252863" w:rsidRPr="00E631B0">
        <w:rPr>
          <w:rFonts w:asciiTheme="minorHAnsi" w:hAnsiTheme="minorHAnsi"/>
          <w:szCs w:val="24"/>
        </w:rPr>
        <w:t>c consultation from 30 January to 10 February </w:t>
      </w:r>
      <w:r w:rsidRPr="00E631B0">
        <w:rPr>
          <w:rFonts w:asciiTheme="minorHAnsi" w:hAnsiTheme="minorHAnsi"/>
          <w:szCs w:val="24"/>
        </w:rPr>
        <w:t>2017.</w:t>
      </w:r>
    </w:p>
    <w:p w14:paraId="72627AE4" w14:textId="6140F9F6" w:rsidR="0000686B" w:rsidRPr="00E631B0" w:rsidRDefault="002B63EB" w:rsidP="00AD7EAC">
      <w:pPr>
        <w:pStyle w:val="ListParagraph"/>
        <w:numPr>
          <w:ilvl w:val="0"/>
          <w:numId w:val="23"/>
        </w:numPr>
        <w:spacing w:line="240" w:lineRule="auto"/>
        <w:jc w:val="left"/>
        <w:rPr>
          <w:rFonts w:asciiTheme="minorHAnsi" w:hAnsiTheme="minorHAnsi"/>
          <w:szCs w:val="24"/>
        </w:rPr>
      </w:pPr>
      <w:r w:rsidRPr="00E631B0">
        <w:rPr>
          <w:rFonts w:asciiTheme="minorHAnsi" w:hAnsiTheme="minorHAnsi"/>
          <w:szCs w:val="24"/>
        </w:rPr>
        <w:t xml:space="preserve">That a </w:t>
      </w:r>
      <w:r w:rsidR="0000686B" w:rsidRPr="00E631B0">
        <w:rPr>
          <w:rFonts w:asciiTheme="minorHAnsi" w:hAnsiTheme="minorHAnsi"/>
          <w:szCs w:val="24"/>
        </w:rPr>
        <w:t xml:space="preserve">small proportion of people were </w:t>
      </w:r>
      <w:r w:rsidRPr="00E631B0">
        <w:rPr>
          <w:rFonts w:asciiTheme="minorHAnsi" w:hAnsiTheme="minorHAnsi"/>
          <w:szCs w:val="24"/>
        </w:rPr>
        <w:t xml:space="preserve">likely to be </w:t>
      </w:r>
      <w:r w:rsidR="00252863" w:rsidRPr="00E631B0">
        <w:rPr>
          <w:rFonts w:asciiTheme="minorHAnsi" w:hAnsiTheme="minorHAnsi"/>
          <w:szCs w:val="24"/>
        </w:rPr>
        <w:t>non-adherent</w:t>
      </w:r>
      <w:r w:rsidR="0000686B" w:rsidRPr="00E631B0">
        <w:rPr>
          <w:rFonts w:asciiTheme="minorHAnsi" w:hAnsiTheme="minorHAnsi"/>
          <w:szCs w:val="24"/>
        </w:rPr>
        <w:t xml:space="preserve"> to the PBS restrictions</w:t>
      </w:r>
      <w:r w:rsidR="00252863" w:rsidRPr="00E631B0">
        <w:rPr>
          <w:rFonts w:asciiTheme="minorHAnsi" w:hAnsiTheme="minorHAnsi"/>
          <w:szCs w:val="24"/>
        </w:rPr>
        <w:t>,</w:t>
      </w:r>
      <w:r w:rsidR="0000686B" w:rsidRPr="00E631B0">
        <w:rPr>
          <w:rFonts w:asciiTheme="minorHAnsi" w:hAnsiTheme="minorHAnsi"/>
          <w:szCs w:val="24"/>
        </w:rPr>
        <w:t xml:space="preserve"> but no submissions considered this was a significant problem.</w:t>
      </w:r>
    </w:p>
    <w:p w14:paraId="47116A60" w14:textId="77777777" w:rsidR="0000686B" w:rsidRPr="00E631B0" w:rsidRDefault="0000686B" w:rsidP="00AD7EAC">
      <w:pPr>
        <w:pStyle w:val="ListParagraph"/>
        <w:numPr>
          <w:ilvl w:val="0"/>
          <w:numId w:val="23"/>
        </w:numPr>
        <w:spacing w:line="240" w:lineRule="auto"/>
        <w:jc w:val="left"/>
        <w:rPr>
          <w:rFonts w:asciiTheme="minorHAnsi" w:hAnsiTheme="minorHAnsi"/>
          <w:szCs w:val="24"/>
        </w:rPr>
      </w:pPr>
      <w:r w:rsidRPr="00E631B0">
        <w:rPr>
          <w:rFonts w:ascii="Calibri" w:hAnsi="Calibri"/>
        </w:rPr>
        <w:t>Statin intolerance occurs in about 10% of patients but 20% of patients report side-effects, especially muscle aching.</w:t>
      </w:r>
      <w:r w:rsidRPr="00E631B0">
        <w:rPr>
          <w:rFonts w:asciiTheme="minorHAnsi" w:hAnsiTheme="minorHAnsi"/>
          <w:szCs w:val="24"/>
        </w:rPr>
        <w:t xml:space="preserve"> </w:t>
      </w:r>
    </w:p>
    <w:p w14:paraId="022AADC9" w14:textId="77777777" w:rsidR="0000686B" w:rsidRPr="00E631B0" w:rsidRDefault="0000686B" w:rsidP="00AD7EAC">
      <w:pPr>
        <w:pStyle w:val="ListParagraph"/>
        <w:numPr>
          <w:ilvl w:val="0"/>
          <w:numId w:val="23"/>
        </w:numPr>
        <w:spacing w:line="240" w:lineRule="auto"/>
        <w:jc w:val="left"/>
        <w:rPr>
          <w:rFonts w:asciiTheme="minorHAnsi" w:hAnsiTheme="minorHAnsi"/>
          <w:szCs w:val="24"/>
        </w:rPr>
      </w:pPr>
      <w:r w:rsidRPr="00E631B0">
        <w:rPr>
          <w:rFonts w:asciiTheme="minorHAnsi" w:hAnsiTheme="minorHAnsi"/>
          <w:szCs w:val="24"/>
        </w:rPr>
        <w:t>The reasons put forward in the report for patients commencing ezetimibe without trialling maximal doses of statins were clinically reasonable.</w:t>
      </w:r>
    </w:p>
    <w:p w14:paraId="3A59A161" w14:textId="77777777" w:rsidR="003A476E" w:rsidRPr="00E631B0" w:rsidRDefault="0000686B" w:rsidP="00AD7EAC">
      <w:pPr>
        <w:pStyle w:val="ListParagraph"/>
        <w:numPr>
          <w:ilvl w:val="0"/>
          <w:numId w:val="23"/>
        </w:numPr>
        <w:spacing w:line="240" w:lineRule="auto"/>
        <w:jc w:val="left"/>
        <w:rPr>
          <w:rFonts w:asciiTheme="minorHAnsi" w:hAnsiTheme="minorHAnsi"/>
          <w:szCs w:val="24"/>
        </w:rPr>
      </w:pPr>
      <w:r w:rsidRPr="00E631B0">
        <w:rPr>
          <w:rFonts w:asciiTheme="minorHAnsi" w:hAnsiTheme="minorHAnsi"/>
          <w:szCs w:val="24"/>
        </w:rPr>
        <w:t xml:space="preserve">Submissions were supportive of measures to improve prescriber, pharmacist and patient education and to promote programs that support patients being compliant to therapy. </w:t>
      </w:r>
    </w:p>
    <w:p w14:paraId="1B90EA46" w14:textId="1311DC7E" w:rsidR="003A476E" w:rsidRPr="00E631B0" w:rsidRDefault="005869C5" w:rsidP="00AD7EAC">
      <w:pPr>
        <w:pStyle w:val="ListParagraph"/>
        <w:numPr>
          <w:ilvl w:val="0"/>
          <w:numId w:val="23"/>
        </w:numPr>
        <w:spacing w:line="240" w:lineRule="auto"/>
        <w:jc w:val="left"/>
        <w:rPr>
          <w:rFonts w:asciiTheme="minorHAnsi" w:hAnsiTheme="minorHAnsi"/>
          <w:szCs w:val="24"/>
        </w:rPr>
      </w:pPr>
      <w:r w:rsidRPr="00E631B0">
        <w:rPr>
          <w:rFonts w:asciiTheme="minorHAnsi" w:hAnsiTheme="minorHAnsi"/>
          <w:szCs w:val="24"/>
        </w:rPr>
        <w:t>P</w:t>
      </w:r>
      <w:r w:rsidR="0000686B" w:rsidRPr="00E631B0">
        <w:rPr>
          <w:rFonts w:asciiTheme="minorHAnsi" w:hAnsiTheme="minorHAnsi"/>
          <w:szCs w:val="24"/>
        </w:rPr>
        <w:t xml:space="preserve">rescribers and patients place significant value on ezetimibe’s ability to lower LDL-C and event risk without increasing the likelihood of </w:t>
      </w:r>
      <w:r w:rsidR="00C17B2A" w:rsidRPr="00E631B0">
        <w:rPr>
          <w:rFonts w:asciiTheme="minorHAnsi" w:hAnsiTheme="minorHAnsi"/>
          <w:szCs w:val="24"/>
        </w:rPr>
        <w:t xml:space="preserve">adverse </w:t>
      </w:r>
      <w:r w:rsidR="0000686B" w:rsidRPr="00E631B0">
        <w:rPr>
          <w:rFonts w:asciiTheme="minorHAnsi" w:hAnsiTheme="minorHAnsi"/>
          <w:szCs w:val="24"/>
        </w:rPr>
        <w:t>effects associa</w:t>
      </w:r>
      <w:r w:rsidR="00252863" w:rsidRPr="00E631B0">
        <w:rPr>
          <w:rFonts w:asciiTheme="minorHAnsi" w:hAnsiTheme="minorHAnsi"/>
          <w:szCs w:val="24"/>
        </w:rPr>
        <w:t>ted with higher statin doses (</w:t>
      </w:r>
      <w:r w:rsidR="0000686B" w:rsidRPr="00E631B0">
        <w:rPr>
          <w:rFonts w:asciiTheme="minorHAnsi" w:hAnsiTheme="minorHAnsi"/>
          <w:szCs w:val="24"/>
        </w:rPr>
        <w:t xml:space="preserve">MSD </w:t>
      </w:r>
      <w:r w:rsidR="004631BF" w:rsidRPr="00E631B0">
        <w:rPr>
          <w:rFonts w:asciiTheme="minorHAnsi" w:hAnsiTheme="minorHAnsi"/>
          <w:szCs w:val="24"/>
        </w:rPr>
        <w:t>January 2017</w:t>
      </w:r>
      <w:r w:rsidR="00252863" w:rsidRPr="00E631B0">
        <w:rPr>
          <w:rFonts w:asciiTheme="minorHAnsi" w:hAnsiTheme="minorHAnsi"/>
          <w:szCs w:val="24"/>
        </w:rPr>
        <w:t xml:space="preserve"> </w:t>
      </w:r>
      <w:r w:rsidR="0000686B" w:rsidRPr="00E631B0">
        <w:rPr>
          <w:rFonts w:asciiTheme="minorHAnsi" w:hAnsiTheme="minorHAnsi"/>
          <w:szCs w:val="24"/>
        </w:rPr>
        <w:t>response</w:t>
      </w:r>
      <w:r w:rsidR="00252863" w:rsidRPr="00E631B0">
        <w:rPr>
          <w:rFonts w:asciiTheme="minorHAnsi" w:hAnsiTheme="minorHAnsi"/>
          <w:szCs w:val="24"/>
        </w:rPr>
        <w:t>, p 2</w:t>
      </w:r>
      <w:r w:rsidR="0000686B" w:rsidRPr="00E631B0">
        <w:rPr>
          <w:rFonts w:asciiTheme="minorHAnsi" w:hAnsiTheme="minorHAnsi"/>
          <w:szCs w:val="24"/>
        </w:rPr>
        <w:t xml:space="preserve">). </w:t>
      </w:r>
    </w:p>
    <w:p w14:paraId="2178365B" w14:textId="77777777"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 xml:space="preserve">This </w:t>
      </w:r>
      <w:r w:rsidR="003A476E" w:rsidRPr="00E631B0">
        <w:rPr>
          <w:rFonts w:asciiTheme="minorHAnsi" w:hAnsiTheme="minorHAnsi"/>
          <w:szCs w:val="24"/>
        </w:rPr>
        <w:t xml:space="preserve">last point </w:t>
      </w:r>
      <w:r w:rsidRPr="00E631B0">
        <w:rPr>
          <w:rFonts w:asciiTheme="minorHAnsi" w:hAnsiTheme="minorHAnsi"/>
          <w:szCs w:val="24"/>
        </w:rPr>
        <w:t>further reinforced the Reference Group’s view that there is a significant patient population for whom ezetimibe is added to statin therapy before maximum tolerated doses of statins are trialled.</w:t>
      </w:r>
    </w:p>
    <w:p w14:paraId="1BC9FA02" w14:textId="2F448DB0" w:rsidR="0000686B" w:rsidRPr="004B11B2" w:rsidRDefault="003848A8" w:rsidP="005A2287">
      <w:pPr>
        <w:pStyle w:val="Heading2"/>
      </w:pPr>
      <w:bookmarkStart w:id="63" w:name="_Toc500510225"/>
      <w:r>
        <w:lastRenderedPageBreak/>
        <w:t>1.</w:t>
      </w:r>
      <w:r w:rsidR="0000686B">
        <w:t>4</w:t>
      </w:r>
      <w:r w:rsidR="0000686B" w:rsidRPr="00F73F7C">
        <w:tab/>
      </w:r>
      <w:r w:rsidR="0000686B">
        <w:t xml:space="preserve">Reference </w:t>
      </w:r>
      <w:r w:rsidR="0000686B" w:rsidRPr="00F03B50">
        <w:t>Group</w:t>
      </w:r>
      <w:r w:rsidR="0000686B">
        <w:t xml:space="preserve"> </w:t>
      </w:r>
      <w:r w:rsidR="00252863">
        <w:t>c</w:t>
      </w:r>
      <w:r w:rsidR="003A476E">
        <w:t>onsideration</w:t>
      </w:r>
      <w:bookmarkEnd w:id="63"/>
      <w:r w:rsidR="003A476E">
        <w:t xml:space="preserve"> </w:t>
      </w:r>
    </w:p>
    <w:p w14:paraId="2E88D401" w14:textId="72B9C395" w:rsidR="0000686B" w:rsidRPr="00E631B0" w:rsidRDefault="0000686B" w:rsidP="00AD7EAC">
      <w:pPr>
        <w:spacing w:line="240" w:lineRule="auto"/>
        <w:jc w:val="left"/>
        <w:rPr>
          <w:rFonts w:asciiTheme="minorHAnsi" w:eastAsia="Calibri" w:hAnsiTheme="minorHAnsi" w:cs="Times New Roman"/>
        </w:rPr>
      </w:pPr>
      <w:r w:rsidRPr="00E631B0">
        <w:rPr>
          <w:rFonts w:asciiTheme="minorHAnsi" w:eastAsia="Calibri" w:hAnsiTheme="minorHAnsi" w:cs="Times New Roman"/>
        </w:rPr>
        <w:t>The Reference Group has considered the evidence provided in the evaluators’ report on current utilisation of P</w:t>
      </w:r>
      <w:r w:rsidR="00252863" w:rsidRPr="00E631B0">
        <w:rPr>
          <w:rFonts w:asciiTheme="minorHAnsi" w:eastAsia="Calibri" w:hAnsiTheme="minorHAnsi" w:cs="Times New Roman"/>
        </w:rPr>
        <w:t>BS-</w:t>
      </w:r>
      <w:r w:rsidRPr="00E631B0">
        <w:rPr>
          <w:rFonts w:asciiTheme="minorHAnsi" w:eastAsia="Calibri" w:hAnsiTheme="minorHAnsi" w:cs="Times New Roman"/>
        </w:rPr>
        <w:t>listed ezetimibe and ezetimibe combination products, stakeholder input and its collective views for this</w:t>
      </w:r>
      <w:r w:rsidR="00252863" w:rsidRPr="00E631B0">
        <w:rPr>
          <w:rFonts w:asciiTheme="minorHAnsi" w:eastAsia="Calibri" w:hAnsiTheme="minorHAnsi" w:cs="Times New Roman"/>
        </w:rPr>
        <w:t xml:space="preserve"> TOR</w:t>
      </w:r>
      <w:r w:rsidR="003A476E" w:rsidRPr="00E631B0">
        <w:rPr>
          <w:rFonts w:asciiTheme="minorHAnsi" w:eastAsia="Calibri" w:hAnsiTheme="minorHAnsi" w:cs="Times New Roman"/>
        </w:rPr>
        <w:t>.</w:t>
      </w:r>
      <w:r w:rsidRPr="00E631B0">
        <w:rPr>
          <w:rFonts w:asciiTheme="minorHAnsi" w:eastAsia="Calibri" w:hAnsiTheme="minorHAnsi" w:cs="Times New Roman"/>
        </w:rPr>
        <w:t xml:space="preserve"> </w:t>
      </w:r>
    </w:p>
    <w:p w14:paraId="5239E375" w14:textId="77777777" w:rsidR="0000686B" w:rsidRPr="002F173B" w:rsidRDefault="003848A8" w:rsidP="00AD7EAC">
      <w:pPr>
        <w:pStyle w:val="Heading3"/>
        <w:jc w:val="left"/>
      </w:pPr>
      <w:bookmarkStart w:id="64" w:name="_Toc500510226"/>
      <w:r>
        <w:t>1.</w:t>
      </w:r>
      <w:r w:rsidR="0000686B">
        <w:t>4.1</w:t>
      </w:r>
      <w:r w:rsidR="0000686B">
        <w:tab/>
      </w:r>
      <w:r w:rsidR="0000686B" w:rsidRPr="002F173B">
        <w:t>Compliance with PBS restrictions</w:t>
      </w:r>
      <w:bookmarkEnd w:id="64"/>
    </w:p>
    <w:p w14:paraId="11D7E915" w14:textId="77777777" w:rsidR="0000686B" w:rsidRPr="00E631B0" w:rsidRDefault="0000686B" w:rsidP="00AD7EAC">
      <w:pPr>
        <w:spacing w:line="240" w:lineRule="auto"/>
        <w:jc w:val="left"/>
        <w:rPr>
          <w:rFonts w:asciiTheme="minorHAnsi" w:hAnsiTheme="minorHAnsi"/>
          <w:szCs w:val="24"/>
        </w:rPr>
      </w:pPr>
      <w:r w:rsidRPr="00E631B0">
        <w:rPr>
          <w:rFonts w:asciiTheme="minorHAnsi" w:eastAsia="Calibri" w:hAnsiTheme="minorHAnsi" w:cs="Times New Roman"/>
          <w:szCs w:val="24"/>
        </w:rPr>
        <w:t xml:space="preserve">From </w:t>
      </w:r>
      <w:r w:rsidR="001751C4" w:rsidRPr="00E631B0">
        <w:rPr>
          <w:rFonts w:asciiTheme="minorHAnsi" w:eastAsia="Calibri" w:hAnsiTheme="minorHAnsi" w:cs="Times New Roman"/>
          <w:szCs w:val="24"/>
        </w:rPr>
        <w:t>the December 2016 Analysis</w:t>
      </w:r>
      <w:r w:rsidRPr="00E631B0">
        <w:rPr>
          <w:rFonts w:asciiTheme="minorHAnsi" w:eastAsia="Calibri" w:hAnsiTheme="minorHAnsi" w:cs="Times New Roman"/>
          <w:szCs w:val="24"/>
        </w:rPr>
        <w:t xml:space="preserve">, 15% of patients had no prior exposure to statins or other LLT in the 24 months prior to the first use of ezetimibe. </w:t>
      </w:r>
      <w:r w:rsidRPr="00E631B0">
        <w:rPr>
          <w:rFonts w:asciiTheme="minorHAnsi" w:hAnsiTheme="minorHAnsi"/>
          <w:szCs w:val="24"/>
        </w:rPr>
        <w:t xml:space="preserve">Analysis of all ezetimibe initiators in 2015-16 found that 6,408 (or 12%) had no prior lipid lowering therapy dispensed in the prior 36 months. This would indicate that a longer look back period is likely to detect further LLT history. The Reference Group noted stakeholder views that there are a number of reasons why the Cohort 1 patients initiate ezetimibe or ezetimibe statin combination therapy without prior statin use. It was also noted that the number of patients intolerant or contraindicated to statins was likely to be much lower than the 15% reported in the utilisation study, but that the final number was difficult to estimate from these data alone. </w:t>
      </w:r>
    </w:p>
    <w:p w14:paraId="23157B7C" w14:textId="77777777" w:rsidR="0000686B" w:rsidRPr="00E631B0" w:rsidRDefault="001751C4" w:rsidP="00AD7EAC">
      <w:pPr>
        <w:spacing w:line="240" w:lineRule="auto"/>
        <w:jc w:val="left"/>
        <w:rPr>
          <w:rFonts w:asciiTheme="minorHAnsi" w:eastAsia="Calibri" w:hAnsiTheme="minorHAnsi" w:cs="Times New Roman"/>
          <w:szCs w:val="24"/>
        </w:rPr>
      </w:pPr>
      <w:r w:rsidRPr="00E631B0">
        <w:rPr>
          <w:rFonts w:asciiTheme="minorHAnsi" w:eastAsia="Calibri" w:hAnsiTheme="minorHAnsi" w:cs="Times New Roman"/>
          <w:szCs w:val="24"/>
        </w:rPr>
        <w:t xml:space="preserve">The December 2016 Analysis </w:t>
      </w:r>
      <w:r w:rsidR="003A476E" w:rsidRPr="00E631B0">
        <w:rPr>
          <w:rFonts w:asciiTheme="minorHAnsi" w:eastAsia="Calibri" w:hAnsiTheme="minorHAnsi" w:cs="Times New Roman"/>
          <w:szCs w:val="24"/>
        </w:rPr>
        <w:t xml:space="preserve">also reported </w:t>
      </w:r>
      <w:r w:rsidR="0000686B" w:rsidRPr="00E631B0">
        <w:rPr>
          <w:rFonts w:asciiTheme="minorHAnsi" w:eastAsia="Calibri" w:hAnsiTheme="minorHAnsi" w:cs="Times New Roman"/>
          <w:szCs w:val="24"/>
        </w:rPr>
        <w:t xml:space="preserve">that 30% of patients with a prior history of statin or other LLT use (Cohort 2) have evidence of dose adjustment/manipulation, either up-titration or down-titration. This may reflect titration to increase response to the medicine, or be in response to the patient experiencing </w:t>
      </w:r>
      <w:r w:rsidR="00C17B2A" w:rsidRPr="00E631B0">
        <w:rPr>
          <w:rFonts w:asciiTheme="minorHAnsi" w:eastAsia="Calibri" w:hAnsiTheme="minorHAnsi" w:cs="Times New Roman"/>
          <w:szCs w:val="24"/>
        </w:rPr>
        <w:t xml:space="preserve">adverse </w:t>
      </w:r>
      <w:r w:rsidR="0000686B" w:rsidRPr="00E631B0">
        <w:rPr>
          <w:rFonts w:asciiTheme="minorHAnsi" w:eastAsia="Calibri" w:hAnsiTheme="minorHAnsi" w:cs="Times New Roman"/>
          <w:szCs w:val="24"/>
        </w:rPr>
        <w:t>effects. For the significant proportion of patients (70%) who remain on the same dose of statin, the data is insufficiently detailed to demonstrate that they were or were not already on the maximum tolerated dose of statin. However, 50% of the patients remaining on the same dose appear to be using a high intensity statin.</w:t>
      </w:r>
    </w:p>
    <w:p w14:paraId="0A2F0803" w14:textId="76FF9000" w:rsidR="0000686B" w:rsidRPr="00E631B0" w:rsidRDefault="00AC3FB3" w:rsidP="00AD7EAC">
      <w:pPr>
        <w:spacing w:line="240" w:lineRule="auto"/>
        <w:jc w:val="left"/>
        <w:rPr>
          <w:rFonts w:asciiTheme="minorHAnsi" w:eastAsia="Calibri" w:hAnsiTheme="minorHAnsi" w:cs="Times New Roman"/>
          <w:i/>
          <w:szCs w:val="24"/>
        </w:rPr>
      </w:pPr>
      <w:r w:rsidRPr="00E631B0">
        <w:rPr>
          <w:rFonts w:asciiTheme="minorHAnsi" w:eastAsia="Calibri" w:hAnsiTheme="minorHAnsi" w:cs="Times New Roman"/>
          <w:szCs w:val="24"/>
        </w:rPr>
        <w:t>From Cohort 1</w:t>
      </w:r>
      <w:r w:rsidR="0009468D" w:rsidRPr="00E631B0">
        <w:rPr>
          <w:rFonts w:asciiTheme="minorHAnsi" w:eastAsia="Calibri" w:hAnsiTheme="minorHAnsi" w:cs="Times New Roman"/>
          <w:szCs w:val="24"/>
        </w:rPr>
        <w:t xml:space="preserve"> (patients without history of statins or other LLT in the prior two years)</w:t>
      </w:r>
      <w:r w:rsidR="00AC750A" w:rsidRPr="00E631B0">
        <w:rPr>
          <w:rFonts w:asciiTheme="minorHAnsi" w:eastAsia="Calibri" w:hAnsiTheme="minorHAnsi" w:cs="Times New Roman"/>
          <w:szCs w:val="24"/>
        </w:rPr>
        <w:t>,</w:t>
      </w:r>
      <w:r w:rsidR="0000686B" w:rsidRPr="00E631B0">
        <w:rPr>
          <w:rFonts w:asciiTheme="minorHAnsi" w:eastAsia="Calibri" w:hAnsiTheme="minorHAnsi" w:cs="Times New Roman"/>
          <w:szCs w:val="24"/>
        </w:rPr>
        <w:t xml:space="preserve"> 53% of patients were initiated on ezetimibe monotherapy, </w:t>
      </w:r>
      <w:r w:rsidR="0009468D" w:rsidRPr="00E631B0">
        <w:rPr>
          <w:rFonts w:asciiTheme="minorHAnsi" w:eastAsia="Calibri" w:hAnsiTheme="minorHAnsi" w:cs="Times New Roman"/>
          <w:szCs w:val="24"/>
        </w:rPr>
        <w:t>and 45</w:t>
      </w:r>
      <w:r w:rsidR="0000686B" w:rsidRPr="00E631B0">
        <w:rPr>
          <w:rFonts w:asciiTheme="minorHAnsi" w:eastAsia="Calibri" w:hAnsiTheme="minorHAnsi" w:cs="Times New Roman"/>
          <w:szCs w:val="24"/>
        </w:rPr>
        <w:t xml:space="preserve">% initiated ezetimibe </w:t>
      </w:r>
      <w:r w:rsidR="0009468D" w:rsidRPr="00E631B0">
        <w:rPr>
          <w:rFonts w:asciiTheme="minorHAnsi" w:eastAsia="Calibri" w:hAnsiTheme="minorHAnsi" w:cs="Times New Roman"/>
          <w:szCs w:val="24"/>
        </w:rPr>
        <w:t>with a statin (40% as a FDC)</w:t>
      </w:r>
      <w:r w:rsidR="0000686B" w:rsidRPr="00E631B0">
        <w:rPr>
          <w:rFonts w:asciiTheme="minorHAnsi" w:eastAsia="Calibri" w:hAnsiTheme="minorHAnsi" w:cs="Times New Roman"/>
          <w:szCs w:val="24"/>
        </w:rPr>
        <w:t>. These data are insufficiently detailed to show whether patients have had some statin exposure prior to the two year look back period, however, it may suggest that up to 45% of the</w:t>
      </w:r>
      <w:r w:rsidR="0009468D" w:rsidRPr="00E631B0">
        <w:rPr>
          <w:rFonts w:asciiTheme="minorHAnsi" w:eastAsia="Calibri" w:hAnsiTheme="minorHAnsi" w:cs="Times New Roman"/>
          <w:szCs w:val="24"/>
        </w:rPr>
        <w:t xml:space="preserve"> Cohort 1</w:t>
      </w:r>
      <w:r w:rsidR="0000686B" w:rsidRPr="00E631B0">
        <w:rPr>
          <w:rFonts w:asciiTheme="minorHAnsi" w:eastAsia="Calibri" w:hAnsiTheme="minorHAnsi" w:cs="Times New Roman"/>
          <w:szCs w:val="24"/>
        </w:rPr>
        <w:t xml:space="preserve"> initiations of ezetimibe </w:t>
      </w:r>
      <w:r w:rsidR="0009468D" w:rsidRPr="00E631B0">
        <w:rPr>
          <w:rFonts w:asciiTheme="minorHAnsi" w:eastAsia="Calibri" w:hAnsiTheme="minorHAnsi" w:cs="Times New Roman"/>
          <w:szCs w:val="24"/>
        </w:rPr>
        <w:t>are in combination with a statin</w:t>
      </w:r>
      <w:r w:rsidRPr="00E631B0">
        <w:rPr>
          <w:rFonts w:asciiTheme="minorHAnsi" w:eastAsia="Calibri" w:hAnsiTheme="minorHAnsi" w:cs="Times New Roman"/>
          <w:szCs w:val="24"/>
        </w:rPr>
        <w:t xml:space="preserve"> and would be considered</w:t>
      </w:r>
      <w:r w:rsidR="0000686B" w:rsidRPr="00E631B0">
        <w:rPr>
          <w:rFonts w:asciiTheme="minorHAnsi" w:eastAsia="Calibri" w:hAnsiTheme="minorHAnsi" w:cs="Times New Roman"/>
          <w:szCs w:val="24"/>
        </w:rPr>
        <w:t xml:space="preserve"> outside the PBS restriction.</w:t>
      </w:r>
    </w:p>
    <w:p w14:paraId="495304E6" w14:textId="4544505A" w:rsidR="0000686B" w:rsidRPr="00E631B0" w:rsidRDefault="0000686B" w:rsidP="00AD7EAC">
      <w:pPr>
        <w:spacing w:line="240" w:lineRule="auto"/>
        <w:jc w:val="left"/>
        <w:rPr>
          <w:rFonts w:asciiTheme="minorHAnsi" w:eastAsia="Calibri" w:hAnsiTheme="minorHAnsi" w:cs="Times New Roman"/>
          <w:szCs w:val="24"/>
        </w:rPr>
      </w:pPr>
      <w:r w:rsidRPr="00E631B0">
        <w:rPr>
          <w:rFonts w:asciiTheme="minorHAnsi" w:eastAsia="Calibri" w:hAnsiTheme="minorHAnsi" w:cs="Times New Roman"/>
          <w:szCs w:val="24"/>
        </w:rPr>
        <w:t xml:space="preserve">Whilst Cohort 2 patients initiated on ezetimibe </w:t>
      </w:r>
      <w:r w:rsidR="00AC750A" w:rsidRPr="00E631B0">
        <w:rPr>
          <w:rFonts w:asciiTheme="minorHAnsi" w:eastAsia="Calibri" w:hAnsiTheme="minorHAnsi" w:cs="Times New Roman"/>
          <w:szCs w:val="24"/>
        </w:rPr>
        <w:t>plus</w:t>
      </w:r>
      <w:r w:rsidRPr="00E631B0">
        <w:rPr>
          <w:rFonts w:asciiTheme="minorHAnsi" w:eastAsia="Calibri" w:hAnsiTheme="minorHAnsi" w:cs="Times New Roman"/>
          <w:szCs w:val="24"/>
        </w:rPr>
        <w:t xml:space="preserve"> statin combination therapy had a prior statin or LLT history, only 10% up-titrated their statin dose or switched to a statin of higher potency in the two year period. This indicates that statin use prior to the first prescription of ezetimibe was not at a maximally tolerated dose</w:t>
      </w:r>
      <w:r w:rsidR="00D6780F" w:rsidRPr="00E631B0">
        <w:rPr>
          <w:rFonts w:asciiTheme="minorHAnsi" w:eastAsia="Calibri" w:hAnsiTheme="minorHAnsi" w:cs="Times New Roman"/>
          <w:szCs w:val="24"/>
        </w:rPr>
        <w:t xml:space="preserve"> for many patients</w:t>
      </w:r>
      <w:r w:rsidRPr="00E631B0">
        <w:rPr>
          <w:rFonts w:asciiTheme="minorHAnsi" w:eastAsia="Calibri" w:hAnsiTheme="minorHAnsi" w:cs="Times New Roman"/>
          <w:szCs w:val="24"/>
        </w:rPr>
        <w:t>. This would also indicate use outside the PBS restriction.</w:t>
      </w:r>
    </w:p>
    <w:p w14:paraId="10EFD309" w14:textId="77777777" w:rsidR="00AC3FB3" w:rsidRPr="00E631B0" w:rsidRDefault="00AC3FB3" w:rsidP="00AD7EAC">
      <w:pPr>
        <w:spacing w:line="240" w:lineRule="auto"/>
        <w:jc w:val="left"/>
        <w:rPr>
          <w:rFonts w:asciiTheme="minorHAnsi" w:hAnsiTheme="minorHAnsi" w:cs="Arial"/>
          <w:szCs w:val="24"/>
        </w:rPr>
      </w:pPr>
      <w:r w:rsidRPr="00E631B0">
        <w:rPr>
          <w:rFonts w:asciiTheme="minorHAnsi" w:hAnsiTheme="minorHAnsi" w:cs="Arial"/>
          <w:szCs w:val="24"/>
        </w:rPr>
        <w:t xml:space="preserve">Taking the results of the </w:t>
      </w:r>
      <w:r w:rsidR="001751C4" w:rsidRPr="00E631B0">
        <w:rPr>
          <w:rFonts w:asciiTheme="minorHAnsi" w:hAnsiTheme="minorHAnsi" w:cs="Arial"/>
          <w:szCs w:val="24"/>
        </w:rPr>
        <w:t xml:space="preserve">March 2017 </w:t>
      </w:r>
      <w:r w:rsidRPr="00E631B0">
        <w:rPr>
          <w:rFonts w:asciiTheme="minorHAnsi" w:hAnsiTheme="minorHAnsi" w:cs="Arial"/>
          <w:szCs w:val="24"/>
        </w:rPr>
        <w:t xml:space="preserve">Analysis into account, the Reference Group considered the estimate of ezetimibe use outside the PBS restriction would fall somewhere in the range of 18.4% - 53.2% i.e. the proportion of use categorised as red </w:t>
      </w:r>
      <w:r w:rsidR="00AC750A" w:rsidRPr="00E631B0">
        <w:rPr>
          <w:rFonts w:asciiTheme="minorHAnsi" w:hAnsiTheme="minorHAnsi" w:cs="Arial"/>
          <w:szCs w:val="24"/>
        </w:rPr>
        <w:t>(outside restriction)</w:t>
      </w:r>
      <w:r w:rsidR="00D6780F" w:rsidRPr="00E631B0">
        <w:rPr>
          <w:rFonts w:asciiTheme="minorHAnsi" w:hAnsiTheme="minorHAnsi" w:cs="Arial"/>
          <w:szCs w:val="24"/>
        </w:rPr>
        <w:t xml:space="preserve"> </w:t>
      </w:r>
      <w:r w:rsidRPr="00E631B0">
        <w:rPr>
          <w:rFonts w:asciiTheme="minorHAnsi" w:hAnsiTheme="minorHAnsi" w:cs="Arial"/>
          <w:szCs w:val="24"/>
        </w:rPr>
        <w:t xml:space="preserve">and an unknown proportion </w:t>
      </w:r>
      <w:r w:rsidR="00AC750A" w:rsidRPr="00E631B0">
        <w:rPr>
          <w:rFonts w:asciiTheme="minorHAnsi" w:hAnsiTheme="minorHAnsi" w:cs="Arial"/>
          <w:szCs w:val="24"/>
        </w:rPr>
        <w:t xml:space="preserve">of use </w:t>
      </w:r>
      <w:r w:rsidRPr="00E631B0">
        <w:rPr>
          <w:rFonts w:asciiTheme="minorHAnsi" w:hAnsiTheme="minorHAnsi" w:cs="Arial"/>
          <w:szCs w:val="24"/>
        </w:rPr>
        <w:t>categorised as orange</w:t>
      </w:r>
      <w:r w:rsidR="00AC750A" w:rsidRPr="00E631B0">
        <w:rPr>
          <w:rFonts w:asciiTheme="minorHAnsi" w:hAnsiTheme="minorHAnsi" w:cs="Arial"/>
          <w:szCs w:val="24"/>
        </w:rPr>
        <w:t xml:space="preserve"> (uncertain)</w:t>
      </w:r>
      <w:r w:rsidRPr="00E631B0">
        <w:rPr>
          <w:rFonts w:asciiTheme="minorHAnsi" w:hAnsiTheme="minorHAnsi" w:cs="Arial"/>
          <w:szCs w:val="24"/>
        </w:rPr>
        <w:t xml:space="preserve">. </w:t>
      </w:r>
      <w:r w:rsidRPr="00E631B0">
        <w:rPr>
          <w:rFonts w:asciiTheme="minorHAnsi" w:hAnsiTheme="minorHAnsi"/>
          <w:szCs w:val="24"/>
        </w:rPr>
        <w:t xml:space="preserve">The Reference Group acknowledges </w:t>
      </w:r>
      <w:r w:rsidR="00AC750A" w:rsidRPr="00E631B0">
        <w:rPr>
          <w:rFonts w:asciiTheme="minorHAnsi" w:hAnsiTheme="minorHAnsi"/>
          <w:szCs w:val="24"/>
        </w:rPr>
        <w:t>the wide range</w:t>
      </w:r>
      <w:r w:rsidR="00D6780F" w:rsidRPr="00E631B0">
        <w:rPr>
          <w:rFonts w:asciiTheme="minorHAnsi" w:hAnsiTheme="minorHAnsi"/>
          <w:szCs w:val="24"/>
        </w:rPr>
        <w:t>,</w:t>
      </w:r>
      <w:r w:rsidR="00AC750A" w:rsidRPr="00E631B0">
        <w:rPr>
          <w:rFonts w:asciiTheme="minorHAnsi" w:hAnsiTheme="minorHAnsi"/>
          <w:szCs w:val="24"/>
        </w:rPr>
        <w:t xml:space="preserve"> but considers </w:t>
      </w:r>
      <w:r w:rsidRPr="00E631B0">
        <w:rPr>
          <w:rFonts w:asciiTheme="minorHAnsi" w:hAnsiTheme="minorHAnsi"/>
          <w:szCs w:val="24"/>
        </w:rPr>
        <w:t xml:space="preserve">that this is the best estimate due to the limitations of </w:t>
      </w:r>
      <w:r w:rsidR="002D2FC2" w:rsidRPr="00E631B0">
        <w:rPr>
          <w:rFonts w:asciiTheme="minorHAnsi" w:hAnsiTheme="minorHAnsi"/>
          <w:szCs w:val="24"/>
        </w:rPr>
        <w:t xml:space="preserve">the </w:t>
      </w:r>
      <w:r w:rsidRPr="00E631B0">
        <w:rPr>
          <w:rFonts w:asciiTheme="minorHAnsi" w:hAnsiTheme="minorHAnsi"/>
          <w:szCs w:val="24"/>
        </w:rPr>
        <w:t xml:space="preserve">PBS data. Ezetimibe use that </w:t>
      </w:r>
      <w:r w:rsidRPr="00E631B0">
        <w:rPr>
          <w:rFonts w:asciiTheme="minorHAnsi" w:hAnsiTheme="minorHAnsi"/>
          <w:szCs w:val="24"/>
        </w:rPr>
        <w:lastRenderedPageBreak/>
        <w:t>does not appear to comply with the PBS restriction may in some cases be clinically appropriate, however is unlikely to be cost</w:t>
      </w:r>
      <w:r w:rsidR="00216B38" w:rsidRPr="00E631B0">
        <w:rPr>
          <w:rFonts w:asciiTheme="minorHAnsi" w:hAnsiTheme="minorHAnsi"/>
          <w:szCs w:val="24"/>
        </w:rPr>
        <w:t>-</w:t>
      </w:r>
      <w:r w:rsidRPr="00E631B0">
        <w:rPr>
          <w:rFonts w:asciiTheme="minorHAnsi" w:hAnsiTheme="minorHAnsi"/>
          <w:szCs w:val="24"/>
        </w:rPr>
        <w:t xml:space="preserve">effective. </w:t>
      </w:r>
    </w:p>
    <w:p w14:paraId="5B7FADD3" w14:textId="5B911B12" w:rsidR="00AC3FB3" w:rsidRPr="00E631B0" w:rsidRDefault="00AC3FB3" w:rsidP="00AD7EAC">
      <w:pPr>
        <w:spacing w:after="0" w:line="240" w:lineRule="auto"/>
        <w:jc w:val="left"/>
        <w:rPr>
          <w:rFonts w:asciiTheme="minorHAnsi" w:hAnsiTheme="minorHAnsi" w:cs="Arial"/>
          <w:szCs w:val="24"/>
        </w:rPr>
      </w:pPr>
      <w:r w:rsidRPr="00E631B0">
        <w:rPr>
          <w:rFonts w:asciiTheme="minorHAnsi" w:hAnsiTheme="minorHAnsi" w:cs="Arial"/>
          <w:szCs w:val="24"/>
        </w:rPr>
        <w:t xml:space="preserve">The Reference Group also suggested that for the 18.4% – 53.2 % of patients who use ezetimibe outside the PBS restriction, placebo is not the appropriate comparator for </w:t>
      </w:r>
      <w:r w:rsidR="00D6780F" w:rsidRPr="00E631B0">
        <w:rPr>
          <w:rFonts w:asciiTheme="minorHAnsi" w:hAnsiTheme="minorHAnsi" w:cs="Arial"/>
          <w:szCs w:val="24"/>
        </w:rPr>
        <w:t>a cost-</w:t>
      </w:r>
      <w:r w:rsidRPr="00E631B0">
        <w:rPr>
          <w:rFonts w:asciiTheme="minorHAnsi" w:hAnsiTheme="minorHAnsi" w:cs="Arial"/>
          <w:szCs w:val="24"/>
        </w:rPr>
        <w:t>effective</w:t>
      </w:r>
      <w:r w:rsidR="00D6780F" w:rsidRPr="00E631B0">
        <w:rPr>
          <w:rFonts w:asciiTheme="minorHAnsi" w:hAnsiTheme="minorHAnsi" w:cs="Arial"/>
          <w:szCs w:val="24"/>
        </w:rPr>
        <w:t>ness</w:t>
      </w:r>
      <w:r w:rsidRPr="00E631B0">
        <w:rPr>
          <w:rFonts w:asciiTheme="minorHAnsi" w:hAnsiTheme="minorHAnsi" w:cs="Arial"/>
          <w:szCs w:val="24"/>
        </w:rPr>
        <w:t xml:space="preserve"> analysis. The comparator for this group of patients should be a higher dose of statin or switching to a higher potency statin</w:t>
      </w:r>
      <w:r w:rsidR="00D6780F" w:rsidRPr="00E631B0">
        <w:rPr>
          <w:rFonts w:asciiTheme="minorHAnsi" w:hAnsiTheme="minorHAnsi" w:cs="Arial"/>
          <w:szCs w:val="24"/>
        </w:rPr>
        <w:t>.</w:t>
      </w:r>
    </w:p>
    <w:p w14:paraId="4C3C6246" w14:textId="77777777" w:rsidR="0000686B" w:rsidRPr="00E631B0" w:rsidRDefault="003848A8" w:rsidP="005A2287">
      <w:pPr>
        <w:pStyle w:val="Heading3"/>
        <w:jc w:val="left"/>
      </w:pPr>
      <w:bookmarkStart w:id="65" w:name="_Toc500510227"/>
      <w:r w:rsidRPr="00E631B0">
        <w:t>1.</w:t>
      </w:r>
      <w:r w:rsidR="0000686B" w:rsidRPr="00E631B0">
        <w:t>4.2</w:t>
      </w:r>
      <w:r w:rsidR="0000686B" w:rsidRPr="00E631B0">
        <w:tab/>
        <w:t xml:space="preserve">Adherence </w:t>
      </w:r>
      <w:r w:rsidR="003A476E" w:rsidRPr="00E631B0">
        <w:t xml:space="preserve">and persistence to LLT pre and post </w:t>
      </w:r>
      <w:r w:rsidR="00020350" w:rsidRPr="00E631B0">
        <w:t>i</w:t>
      </w:r>
      <w:r w:rsidR="0000686B" w:rsidRPr="00E631B0">
        <w:t>nitiation of ezetimibe therapy</w:t>
      </w:r>
      <w:bookmarkEnd w:id="65"/>
    </w:p>
    <w:p w14:paraId="4393037A" w14:textId="6B889156" w:rsidR="00020350" w:rsidRPr="00E631B0" w:rsidRDefault="003A476E" w:rsidP="00AD7EAC">
      <w:pPr>
        <w:spacing w:line="240" w:lineRule="auto"/>
        <w:jc w:val="left"/>
        <w:rPr>
          <w:rFonts w:asciiTheme="minorHAnsi" w:eastAsia="Calibri" w:hAnsiTheme="minorHAnsi" w:cs="Times New Roman"/>
          <w:szCs w:val="24"/>
        </w:rPr>
      </w:pPr>
      <w:r w:rsidRPr="00E631B0">
        <w:rPr>
          <w:rFonts w:asciiTheme="minorHAnsi" w:eastAsia="Calibri" w:hAnsiTheme="minorHAnsi" w:cs="Times New Roman"/>
          <w:szCs w:val="24"/>
        </w:rPr>
        <w:t xml:space="preserve">According to </w:t>
      </w:r>
      <w:r w:rsidR="001751C4" w:rsidRPr="00E631B0">
        <w:rPr>
          <w:rFonts w:asciiTheme="minorHAnsi" w:eastAsia="Calibri" w:hAnsiTheme="minorHAnsi" w:cs="Times New Roman"/>
          <w:szCs w:val="24"/>
        </w:rPr>
        <w:t xml:space="preserve">the December 2016 Analysis </w:t>
      </w:r>
      <w:r w:rsidRPr="00E631B0">
        <w:rPr>
          <w:rFonts w:asciiTheme="minorHAnsi" w:eastAsia="Calibri" w:hAnsiTheme="minorHAnsi" w:cs="Times New Roman"/>
          <w:szCs w:val="24"/>
        </w:rPr>
        <w:t>there appears to be an adherence and persistence issue with long</w:t>
      </w:r>
      <w:r w:rsidR="00F7627D" w:rsidRPr="00E631B0">
        <w:rPr>
          <w:rFonts w:asciiTheme="minorHAnsi" w:eastAsia="Calibri" w:hAnsiTheme="minorHAnsi" w:cs="Times New Roman"/>
          <w:szCs w:val="24"/>
        </w:rPr>
        <w:t>-</w:t>
      </w:r>
      <w:r w:rsidRPr="00E631B0">
        <w:rPr>
          <w:rFonts w:asciiTheme="minorHAnsi" w:eastAsia="Calibri" w:hAnsiTheme="minorHAnsi" w:cs="Times New Roman"/>
          <w:szCs w:val="24"/>
        </w:rPr>
        <w:t xml:space="preserve">term </w:t>
      </w:r>
      <w:r w:rsidR="008E6BEE" w:rsidRPr="00E631B0">
        <w:rPr>
          <w:rFonts w:asciiTheme="minorHAnsi" w:eastAsia="Calibri" w:hAnsiTheme="minorHAnsi" w:cs="Times New Roman"/>
          <w:szCs w:val="24"/>
        </w:rPr>
        <w:t xml:space="preserve">LLT </w:t>
      </w:r>
      <w:r w:rsidRPr="00E631B0">
        <w:rPr>
          <w:rFonts w:asciiTheme="minorHAnsi" w:eastAsia="Calibri" w:hAnsiTheme="minorHAnsi" w:cs="Times New Roman"/>
          <w:szCs w:val="24"/>
        </w:rPr>
        <w:t xml:space="preserve">in the management of hyperlipidaemia in Australia. A significant proportion of patients prescribed ezetimibe had two or less </w:t>
      </w:r>
      <w:r w:rsidR="00020350" w:rsidRPr="00E631B0">
        <w:rPr>
          <w:rFonts w:asciiTheme="minorHAnsi" w:eastAsia="Calibri" w:hAnsiTheme="minorHAnsi" w:cs="Times New Roman"/>
          <w:szCs w:val="24"/>
        </w:rPr>
        <w:t xml:space="preserve">statin </w:t>
      </w:r>
      <w:r w:rsidRPr="00E631B0">
        <w:rPr>
          <w:rFonts w:asciiTheme="minorHAnsi" w:eastAsia="Calibri" w:hAnsiTheme="minorHAnsi" w:cs="Times New Roman"/>
          <w:szCs w:val="24"/>
        </w:rPr>
        <w:t>prescriptions dispensed in the pr</w:t>
      </w:r>
      <w:r w:rsidR="008E6BEE" w:rsidRPr="00E631B0">
        <w:rPr>
          <w:rFonts w:asciiTheme="minorHAnsi" w:eastAsia="Calibri" w:hAnsiTheme="minorHAnsi" w:cs="Times New Roman"/>
          <w:szCs w:val="24"/>
        </w:rPr>
        <w:t>evious six months. Due to poor</w:t>
      </w:r>
      <w:r w:rsidRPr="00E631B0">
        <w:rPr>
          <w:rFonts w:asciiTheme="minorHAnsi" w:eastAsia="Calibri" w:hAnsiTheme="minorHAnsi" w:cs="Times New Roman"/>
          <w:szCs w:val="24"/>
        </w:rPr>
        <w:t xml:space="preserve"> adherence, the effectiveness and cost-effectiveness of ezetimibe in clinical practice may differ from that demonstrated in clinical trials. </w:t>
      </w:r>
    </w:p>
    <w:p w14:paraId="79F9364F" w14:textId="713C8042" w:rsidR="00020350" w:rsidRPr="00E631B0" w:rsidRDefault="00020350" w:rsidP="00AD7EAC">
      <w:pPr>
        <w:spacing w:line="240" w:lineRule="auto"/>
        <w:jc w:val="left"/>
        <w:rPr>
          <w:rFonts w:asciiTheme="minorHAnsi" w:eastAsia="Calibri" w:hAnsiTheme="minorHAnsi" w:cs="Times New Roman"/>
          <w:szCs w:val="24"/>
        </w:rPr>
      </w:pPr>
      <w:r w:rsidRPr="00E631B0">
        <w:rPr>
          <w:rFonts w:asciiTheme="minorHAnsi" w:eastAsia="Calibri" w:hAnsiTheme="minorHAnsi" w:cs="Times New Roman"/>
        </w:rPr>
        <w:t>Following initiation to ezetimibe a significant proportion of patients did not continue to receive LLT therapy in the following 6-12 months</w:t>
      </w:r>
      <w:r w:rsidR="008E6BEE" w:rsidRPr="00E631B0">
        <w:rPr>
          <w:rFonts w:asciiTheme="minorHAnsi" w:eastAsia="Calibri" w:hAnsiTheme="minorHAnsi" w:cs="Times New Roman"/>
        </w:rPr>
        <w:t xml:space="preserve">. </w:t>
      </w:r>
      <w:r w:rsidRPr="00E631B0">
        <w:rPr>
          <w:rFonts w:asciiTheme="minorHAnsi" w:eastAsia="Calibri" w:hAnsiTheme="minorHAnsi" w:cs="Times New Roman"/>
        </w:rPr>
        <w:t xml:space="preserve">For Cohort 1, 44% and for Cohort 2, 11.6% of ezetimibe initiators ceased taking LLT between 6 and 12 months after initiating ezetimibe. </w:t>
      </w:r>
    </w:p>
    <w:p w14:paraId="68A5707B" w14:textId="77777777" w:rsidR="00020350" w:rsidRPr="00E631B0" w:rsidRDefault="00020350" w:rsidP="00AD7EAC">
      <w:pPr>
        <w:spacing w:line="240" w:lineRule="auto"/>
        <w:jc w:val="left"/>
        <w:rPr>
          <w:rFonts w:asciiTheme="minorHAnsi" w:eastAsia="Calibri" w:hAnsiTheme="minorHAnsi" w:cs="Times New Roman"/>
        </w:rPr>
      </w:pPr>
      <w:r w:rsidRPr="00E631B0">
        <w:rPr>
          <w:rFonts w:asciiTheme="minorHAnsi" w:eastAsia="Calibri" w:hAnsiTheme="minorHAnsi" w:cs="Times New Roman"/>
        </w:rPr>
        <w:t>The Reference Group noted that a substantive proportion of patients may have ceased therapy for other reasons (including death). However, the Reference Group considered that these data show that persistence is particularly an issue when patients are commencing or recommencing LLT.</w:t>
      </w:r>
    </w:p>
    <w:p w14:paraId="2DD8FB39" w14:textId="68ADA7F1" w:rsidR="00020350" w:rsidRPr="00E631B0" w:rsidRDefault="00020350" w:rsidP="00AD7EAC">
      <w:pPr>
        <w:spacing w:line="240" w:lineRule="auto"/>
        <w:jc w:val="left"/>
        <w:rPr>
          <w:rFonts w:asciiTheme="minorHAnsi" w:hAnsiTheme="minorHAnsi"/>
        </w:rPr>
      </w:pPr>
      <w:r w:rsidRPr="00E631B0">
        <w:rPr>
          <w:rFonts w:asciiTheme="minorHAnsi" w:hAnsiTheme="minorHAnsi"/>
        </w:rPr>
        <w:t xml:space="preserve">The Reference Group considered that this presented an educational opportunity for prescribers and consumers in reinforcing and </w:t>
      </w:r>
      <w:r w:rsidR="008E6BEE" w:rsidRPr="00E631B0">
        <w:rPr>
          <w:rFonts w:asciiTheme="minorHAnsi" w:hAnsiTheme="minorHAnsi"/>
        </w:rPr>
        <w:t>promoting the message that for quality use of m</w:t>
      </w:r>
      <w:r w:rsidRPr="00E631B0">
        <w:rPr>
          <w:rFonts w:asciiTheme="minorHAnsi" w:hAnsiTheme="minorHAnsi"/>
        </w:rPr>
        <w:t xml:space="preserve">edicines and optimal management of LDL-C reduction, statins should be used first. Ezetimibe should only be prescribed after the statin dose has been optimised, unless the patient is contraindicated to statin therapy.  </w:t>
      </w:r>
    </w:p>
    <w:p w14:paraId="782A79B1" w14:textId="42EA6494" w:rsidR="00106006" w:rsidRPr="00E631B0" w:rsidRDefault="00404D9D" w:rsidP="00AD7EAC">
      <w:pPr>
        <w:spacing w:line="240" w:lineRule="auto"/>
        <w:jc w:val="left"/>
        <w:rPr>
          <w:rFonts w:asciiTheme="minorHAnsi" w:eastAsia="Calibri" w:hAnsiTheme="minorHAnsi" w:cs="Times New Roman"/>
        </w:rPr>
      </w:pPr>
      <w:r w:rsidRPr="00E631B0">
        <w:rPr>
          <w:rFonts w:asciiTheme="minorHAnsi" w:eastAsia="Calibri" w:hAnsiTheme="minorHAnsi" w:cs="Times New Roman"/>
          <w:szCs w:val="24"/>
        </w:rPr>
        <w:t>R</w:t>
      </w:r>
      <w:r w:rsidR="0000686B" w:rsidRPr="00E631B0">
        <w:rPr>
          <w:rFonts w:asciiTheme="minorHAnsi" w:eastAsia="Calibri" w:hAnsiTheme="minorHAnsi" w:cs="Times New Roman"/>
          <w:szCs w:val="24"/>
        </w:rPr>
        <w:t xml:space="preserve">ecent literature </w:t>
      </w:r>
      <w:r w:rsidR="00020350" w:rsidRPr="00E631B0">
        <w:rPr>
          <w:rFonts w:asciiTheme="minorHAnsi" w:eastAsia="Calibri" w:hAnsiTheme="minorHAnsi" w:cs="Times New Roman"/>
          <w:szCs w:val="24"/>
        </w:rPr>
        <w:t xml:space="preserve">also </w:t>
      </w:r>
      <w:r w:rsidRPr="00E631B0">
        <w:rPr>
          <w:rFonts w:asciiTheme="minorHAnsi" w:eastAsia="Calibri" w:hAnsiTheme="minorHAnsi" w:cs="Times New Roman"/>
          <w:szCs w:val="24"/>
        </w:rPr>
        <w:t>suggest</w:t>
      </w:r>
      <w:r w:rsidR="00020350" w:rsidRPr="00E631B0">
        <w:rPr>
          <w:rFonts w:asciiTheme="minorHAnsi" w:eastAsia="Calibri" w:hAnsiTheme="minorHAnsi" w:cs="Times New Roman"/>
          <w:szCs w:val="24"/>
        </w:rPr>
        <w:t>s</w:t>
      </w:r>
      <w:r w:rsidRPr="00E631B0">
        <w:rPr>
          <w:rFonts w:asciiTheme="minorHAnsi" w:eastAsia="Calibri" w:hAnsiTheme="minorHAnsi" w:cs="Times New Roman"/>
          <w:szCs w:val="24"/>
        </w:rPr>
        <w:t xml:space="preserve"> </w:t>
      </w:r>
      <w:r w:rsidR="0000686B" w:rsidRPr="00E631B0">
        <w:rPr>
          <w:rFonts w:asciiTheme="minorHAnsi" w:eastAsia="Calibri" w:hAnsiTheme="minorHAnsi" w:cs="Times New Roman"/>
          <w:szCs w:val="24"/>
        </w:rPr>
        <w:t>that patients who take less than 80% of their statin dose have a 45% relative increase in total mortality compared with more adherent patients, an increase greater than that observed with poor adherence to other cardiac drugs.</w:t>
      </w:r>
      <w:r w:rsidR="005B045E" w:rsidRPr="00E631B0">
        <w:rPr>
          <w:rFonts w:asciiTheme="minorHAnsi" w:eastAsia="Calibri" w:hAnsiTheme="minorHAnsi" w:cs="Times New Roman"/>
          <w:szCs w:val="24"/>
        </w:rPr>
        <w:t xml:space="preserve"> Cessation of statin treatment is associated with worse cardiovascular outcomes</w:t>
      </w:r>
      <w:r w:rsidR="00106006" w:rsidRPr="00E631B0">
        <w:rPr>
          <w:rStyle w:val="EndnoteReference"/>
          <w:rFonts w:asciiTheme="minorHAnsi" w:eastAsia="Calibri" w:hAnsiTheme="minorHAnsi" w:cs="Times New Roman"/>
          <w:szCs w:val="24"/>
        </w:rPr>
        <w:endnoteReference w:id="27"/>
      </w:r>
      <w:r w:rsidR="008E6BEE" w:rsidRPr="00E631B0">
        <w:rPr>
          <w:rFonts w:asciiTheme="minorHAnsi" w:eastAsia="Calibri" w:hAnsiTheme="minorHAnsi" w:cs="Times New Roman"/>
          <w:szCs w:val="24"/>
          <w:vertAlign w:val="superscript"/>
        </w:rPr>
        <w:t>,</w:t>
      </w:r>
      <w:r w:rsidR="00106006" w:rsidRPr="00E631B0">
        <w:rPr>
          <w:rStyle w:val="EndnoteReference"/>
          <w:rFonts w:asciiTheme="minorHAnsi" w:eastAsia="Calibri" w:hAnsiTheme="minorHAnsi" w:cs="Times New Roman"/>
          <w:szCs w:val="24"/>
        </w:rPr>
        <w:endnoteReference w:id="28"/>
      </w:r>
      <w:r w:rsidR="008E6BEE" w:rsidRPr="00E631B0">
        <w:rPr>
          <w:rFonts w:asciiTheme="minorHAnsi" w:eastAsia="Calibri" w:hAnsiTheme="minorHAnsi" w:cs="Times New Roman"/>
          <w:szCs w:val="24"/>
        </w:rPr>
        <w:t>.</w:t>
      </w:r>
    </w:p>
    <w:p w14:paraId="108B8027" w14:textId="77777777" w:rsidR="0000686B" w:rsidRPr="00E631B0" w:rsidRDefault="0000686B" w:rsidP="00AD7EAC">
      <w:pPr>
        <w:spacing w:line="240" w:lineRule="auto"/>
        <w:jc w:val="left"/>
        <w:rPr>
          <w:rFonts w:asciiTheme="minorHAnsi" w:eastAsia="Calibri" w:hAnsiTheme="minorHAnsi" w:cs="Times New Roman"/>
        </w:rPr>
      </w:pPr>
      <w:r w:rsidRPr="00E631B0">
        <w:rPr>
          <w:rFonts w:asciiTheme="minorHAnsi" w:eastAsia="Calibri" w:hAnsiTheme="minorHAnsi" w:cs="Times New Roman"/>
        </w:rPr>
        <w:t xml:space="preserve">While </w:t>
      </w:r>
      <w:r w:rsidR="001751C4" w:rsidRPr="00E631B0">
        <w:rPr>
          <w:rFonts w:asciiTheme="minorHAnsi" w:eastAsia="Calibri" w:hAnsiTheme="minorHAnsi" w:cs="Times New Roman"/>
        </w:rPr>
        <w:t xml:space="preserve">the </w:t>
      </w:r>
      <w:r w:rsidR="001751C4" w:rsidRPr="00E631B0">
        <w:rPr>
          <w:rFonts w:asciiTheme="minorHAnsi" w:eastAsia="Calibri" w:hAnsiTheme="minorHAnsi" w:cs="Times New Roman"/>
          <w:szCs w:val="24"/>
        </w:rPr>
        <w:t>December 2016 Analysis</w:t>
      </w:r>
      <w:r w:rsidR="001751C4" w:rsidRPr="00E631B0">
        <w:rPr>
          <w:rFonts w:asciiTheme="minorHAnsi" w:eastAsia="Calibri" w:hAnsiTheme="minorHAnsi" w:cs="Times New Roman"/>
        </w:rPr>
        <w:t xml:space="preserve"> </w:t>
      </w:r>
      <w:r w:rsidRPr="00E631B0">
        <w:rPr>
          <w:rFonts w:asciiTheme="minorHAnsi" w:eastAsia="Calibri" w:hAnsiTheme="minorHAnsi" w:cs="Times New Roman"/>
        </w:rPr>
        <w:t>suggests poor adherence to therapy, the Reference Group acknowledges the DUSC advice that these studies were not designed specifically to examine questions of adherence or persistence. The analysis was limited to the population who were initiating ezetimibe and does not necessarily reflect adherence or persistence in the broader population taking statins. The DUSC agreed that new users of medicines are likely to be at higher risk of non-adherence.</w:t>
      </w:r>
    </w:p>
    <w:p w14:paraId="52C00D97" w14:textId="77777777" w:rsidR="00896DF8" w:rsidRPr="00E631B0" w:rsidRDefault="00896DF8" w:rsidP="005A2287">
      <w:pPr>
        <w:spacing w:after="0" w:line="240" w:lineRule="auto"/>
        <w:rPr>
          <w:rFonts w:asciiTheme="minorHAnsi" w:hAnsiTheme="minorHAnsi"/>
        </w:rPr>
      </w:pPr>
      <w:r w:rsidRPr="00E631B0">
        <w:rPr>
          <w:rFonts w:asciiTheme="minorHAnsi" w:hAnsiTheme="minorHAnsi"/>
        </w:rPr>
        <w:br w:type="page"/>
      </w:r>
    </w:p>
    <w:p w14:paraId="2CD64741" w14:textId="7907C05B" w:rsidR="0000686B" w:rsidRPr="000B0D3B" w:rsidRDefault="002E1AAB" w:rsidP="00920324">
      <w:pPr>
        <w:pStyle w:val="Heading1"/>
      </w:pPr>
      <w:bookmarkStart w:id="66" w:name="_Toc500510228"/>
      <w:r w:rsidRPr="00A90FE3">
        <w:lastRenderedPageBreak/>
        <w:t>Section</w:t>
      </w:r>
      <w:r w:rsidR="001751C4">
        <w:t xml:space="preserve"> </w:t>
      </w:r>
      <w:r w:rsidR="002D2FC2">
        <w:t>2</w:t>
      </w:r>
      <w:r w:rsidR="00F03B50">
        <w:t>: TOR</w:t>
      </w:r>
      <w:r w:rsidR="0000686B" w:rsidRPr="000B0D3B">
        <w:t xml:space="preserve"> 2</w:t>
      </w:r>
      <w:r w:rsidR="0000686B" w:rsidRPr="000B0D3B">
        <w:br/>
      </w:r>
      <w:bookmarkEnd w:id="52"/>
      <w:r w:rsidR="00341378">
        <w:t>Clinical g</w:t>
      </w:r>
      <w:r w:rsidR="0000686B" w:rsidRPr="000B0D3B">
        <w:t>uideline</w:t>
      </w:r>
      <w:r w:rsidR="000A3857">
        <w:t xml:space="preserve">s for </w:t>
      </w:r>
      <w:r w:rsidR="00341378">
        <w:t>the use of e</w:t>
      </w:r>
      <w:r w:rsidR="0000686B" w:rsidRPr="000B0D3B">
        <w:t>zetimibe</w:t>
      </w:r>
      <w:bookmarkEnd w:id="66"/>
    </w:p>
    <w:p w14:paraId="33784395" w14:textId="77777777" w:rsidR="0000686B" w:rsidRPr="008810FB" w:rsidRDefault="0000686B" w:rsidP="005A228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olor w:val="365F91" w:themeColor="accent1" w:themeShade="BF"/>
          <w:szCs w:val="24"/>
        </w:rPr>
      </w:pPr>
      <w:bookmarkStart w:id="67" w:name="_Toc388453121"/>
      <w:r w:rsidRPr="008810FB">
        <w:rPr>
          <w:rFonts w:asciiTheme="minorHAnsi" w:hAnsiTheme="minorHAnsi"/>
          <w:color w:val="365F91" w:themeColor="accent1" w:themeShade="BF"/>
          <w:szCs w:val="24"/>
        </w:rPr>
        <w:t xml:space="preserve">Review recent clinical guidelines for the treatment of hypercholesterolaemia and compare this to how ezetimibe is currently used on the PBS. </w:t>
      </w:r>
    </w:p>
    <w:p w14:paraId="27C58319" w14:textId="7CA6C018" w:rsidR="0000686B" w:rsidRPr="000B0D3B" w:rsidRDefault="003848A8" w:rsidP="005A2287">
      <w:pPr>
        <w:pStyle w:val="Heading2"/>
      </w:pPr>
      <w:bookmarkStart w:id="68" w:name="_Toc500510229"/>
      <w:r>
        <w:t>2.</w:t>
      </w:r>
      <w:r w:rsidR="0000686B">
        <w:t>1</w:t>
      </w:r>
      <w:r w:rsidR="0000686B">
        <w:tab/>
      </w:r>
      <w:r w:rsidR="0000686B" w:rsidRPr="000B0D3B">
        <w:t xml:space="preserve">Key findings </w:t>
      </w:r>
      <w:r w:rsidR="0000686B" w:rsidRPr="00F03B50">
        <w:t>for</w:t>
      </w:r>
      <w:r w:rsidR="0000686B" w:rsidRPr="000B0D3B">
        <w:t xml:space="preserve"> </w:t>
      </w:r>
      <w:r w:rsidR="005322EF">
        <w:t xml:space="preserve">TOR </w:t>
      </w:r>
      <w:r w:rsidR="0000686B" w:rsidRPr="000B0D3B">
        <w:t>2</w:t>
      </w:r>
      <w:bookmarkEnd w:id="67"/>
      <w:bookmarkEnd w:id="68"/>
    </w:p>
    <w:p w14:paraId="5F4312FF" w14:textId="77777777" w:rsidR="0000686B" w:rsidRPr="00E631B0" w:rsidRDefault="0000686B" w:rsidP="00AD7EAC">
      <w:pPr>
        <w:pStyle w:val="ListParagraph"/>
        <w:numPr>
          <w:ilvl w:val="0"/>
          <w:numId w:val="46"/>
        </w:numPr>
        <w:spacing w:after="120" w:line="240" w:lineRule="auto"/>
        <w:ind w:left="426" w:hanging="426"/>
        <w:contextualSpacing w:val="0"/>
        <w:jc w:val="left"/>
        <w:rPr>
          <w:rFonts w:asciiTheme="minorHAnsi" w:hAnsiTheme="minorHAnsi"/>
        </w:rPr>
      </w:pPr>
      <w:r w:rsidRPr="00E631B0">
        <w:rPr>
          <w:rFonts w:asciiTheme="minorHAnsi" w:hAnsiTheme="minorHAnsi"/>
        </w:rPr>
        <w:t>The approach to treatment to prevent cardiovascular events is similar across the identified guidelines. The variation between Australian and international guidelines reflects differences in absolute risk thresholds and pharmacotherapy</w:t>
      </w:r>
      <w:r w:rsidR="000A7890" w:rsidRPr="00E631B0">
        <w:rPr>
          <w:rFonts w:asciiTheme="minorHAnsi" w:hAnsiTheme="minorHAnsi"/>
        </w:rPr>
        <w:t xml:space="preserve"> in each country</w:t>
      </w:r>
      <w:r w:rsidRPr="00E631B0">
        <w:rPr>
          <w:rFonts w:asciiTheme="minorHAnsi" w:hAnsiTheme="minorHAnsi"/>
        </w:rPr>
        <w:t>.</w:t>
      </w:r>
    </w:p>
    <w:p w14:paraId="2B3CB454" w14:textId="77777777" w:rsidR="0000686B" w:rsidRPr="00E631B0" w:rsidRDefault="0000686B" w:rsidP="00AD7EAC">
      <w:pPr>
        <w:pStyle w:val="ListParagraph"/>
        <w:numPr>
          <w:ilvl w:val="0"/>
          <w:numId w:val="46"/>
        </w:numPr>
        <w:spacing w:after="120" w:line="240" w:lineRule="auto"/>
        <w:ind w:left="426" w:hanging="426"/>
        <w:contextualSpacing w:val="0"/>
        <w:jc w:val="left"/>
        <w:rPr>
          <w:rFonts w:asciiTheme="minorHAnsi" w:hAnsiTheme="minorHAnsi"/>
        </w:rPr>
      </w:pPr>
      <w:r w:rsidRPr="00E631B0">
        <w:rPr>
          <w:rFonts w:asciiTheme="minorHAnsi" w:hAnsiTheme="minorHAnsi"/>
        </w:rPr>
        <w:t>All guidelines consider diet and exercise should be the first step for patients with an elevated cardiovascular risk. Stakeholders noted the importance of these lifestyle changes</w:t>
      </w:r>
      <w:r w:rsidR="002D2FC2" w:rsidRPr="00E631B0">
        <w:rPr>
          <w:rFonts w:asciiTheme="minorHAnsi" w:hAnsiTheme="minorHAnsi"/>
        </w:rPr>
        <w:t xml:space="preserve"> to cardiovascular risk reduction.</w:t>
      </w:r>
    </w:p>
    <w:p w14:paraId="52DEBF60" w14:textId="77777777" w:rsidR="0000686B" w:rsidRPr="00E631B0" w:rsidRDefault="0000686B" w:rsidP="00AD7EAC">
      <w:pPr>
        <w:pStyle w:val="ListParagraph"/>
        <w:numPr>
          <w:ilvl w:val="0"/>
          <w:numId w:val="46"/>
        </w:numPr>
        <w:spacing w:after="120" w:line="240" w:lineRule="auto"/>
        <w:ind w:left="426" w:hanging="426"/>
        <w:contextualSpacing w:val="0"/>
        <w:jc w:val="left"/>
        <w:rPr>
          <w:rFonts w:asciiTheme="minorHAnsi" w:hAnsiTheme="minorHAnsi"/>
        </w:rPr>
      </w:pPr>
      <w:r w:rsidRPr="00E631B0">
        <w:rPr>
          <w:rFonts w:asciiTheme="minorHAnsi" w:hAnsiTheme="minorHAnsi"/>
        </w:rPr>
        <w:t xml:space="preserve">The majority of </w:t>
      </w:r>
      <w:r w:rsidR="002D2FC2" w:rsidRPr="00E631B0">
        <w:rPr>
          <w:rFonts w:asciiTheme="minorHAnsi" w:hAnsiTheme="minorHAnsi"/>
        </w:rPr>
        <w:t xml:space="preserve">the </w:t>
      </w:r>
      <w:r w:rsidRPr="00E631B0">
        <w:rPr>
          <w:rFonts w:asciiTheme="minorHAnsi" w:hAnsiTheme="minorHAnsi"/>
        </w:rPr>
        <w:t>guidelines list statins as the first pharmacotherapy of choice in patients who have increased risk of cardiovascular disease. Adding ezetimibe is usually recommended when patients require additional reduction of LDL-C. The rationale for this positioning of ezetimibe is not clearly articulated but is likely to reflect the greater body of evidence on clinical outcomes supporting statin use</w:t>
      </w:r>
      <w:r w:rsidR="002D2FC2" w:rsidRPr="00E631B0">
        <w:rPr>
          <w:rFonts w:asciiTheme="minorHAnsi" w:hAnsiTheme="minorHAnsi"/>
        </w:rPr>
        <w:t xml:space="preserve"> and the greater percentage reduction of LDL-C with statins compared to ezetimibe monotherapy.</w:t>
      </w:r>
      <w:r w:rsidRPr="00E631B0">
        <w:rPr>
          <w:rFonts w:asciiTheme="minorHAnsi" w:hAnsiTheme="minorHAnsi"/>
        </w:rPr>
        <w:t xml:space="preserve"> </w:t>
      </w:r>
    </w:p>
    <w:p w14:paraId="46609CF1" w14:textId="55CECF53" w:rsidR="0000686B" w:rsidRPr="00E631B0" w:rsidRDefault="0000686B" w:rsidP="00AD7EAC">
      <w:pPr>
        <w:pStyle w:val="ListParagraph"/>
        <w:numPr>
          <w:ilvl w:val="0"/>
          <w:numId w:val="46"/>
        </w:numPr>
        <w:spacing w:after="120" w:line="240" w:lineRule="auto"/>
        <w:ind w:left="426" w:hanging="426"/>
        <w:contextualSpacing w:val="0"/>
        <w:jc w:val="left"/>
        <w:rPr>
          <w:rFonts w:asciiTheme="minorHAnsi" w:hAnsiTheme="minorHAnsi"/>
        </w:rPr>
      </w:pPr>
      <w:r w:rsidRPr="00E631B0">
        <w:rPr>
          <w:rFonts w:asciiTheme="minorHAnsi" w:hAnsiTheme="minorHAnsi"/>
        </w:rPr>
        <w:t>The majority of patients (</w:t>
      </w:r>
      <w:r w:rsidR="000A7890" w:rsidRPr="00E631B0">
        <w:rPr>
          <w:rFonts w:asciiTheme="minorHAnsi" w:hAnsiTheme="minorHAnsi"/>
        </w:rPr>
        <w:t>82.7</w:t>
      </w:r>
      <w:r w:rsidRPr="00E631B0">
        <w:rPr>
          <w:rFonts w:asciiTheme="minorHAnsi" w:hAnsiTheme="minorHAnsi"/>
        </w:rPr>
        <w:t xml:space="preserve">%) who commenced ezetimibe in the 2014/2015 period had a history of statin use in the 2 years prior to initiation. This would </w:t>
      </w:r>
      <w:r w:rsidR="000A7890" w:rsidRPr="00E631B0">
        <w:rPr>
          <w:rFonts w:asciiTheme="minorHAnsi" w:hAnsiTheme="minorHAnsi"/>
        </w:rPr>
        <w:t>suggest that</w:t>
      </w:r>
      <w:r w:rsidRPr="00E631B0">
        <w:rPr>
          <w:rFonts w:asciiTheme="minorHAnsi" w:hAnsiTheme="minorHAnsi"/>
        </w:rPr>
        <w:t xml:space="preserve"> a substantial proportion of p</w:t>
      </w:r>
      <w:r w:rsidR="005322EF" w:rsidRPr="00E631B0">
        <w:rPr>
          <w:rFonts w:asciiTheme="minorHAnsi" w:hAnsiTheme="minorHAnsi"/>
        </w:rPr>
        <w:t xml:space="preserve">rescribers use statins as first </w:t>
      </w:r>
      <w:r w:rsidRPr="00E631B0">
        <w:rPr>
          <w:rFonts w:asciiTheme="minorHAnsi" w:hAnsiTheme="minorHAnsi"/>
        </w:rPr>
        <w:t>line therapy in hyperlipidaemia.</w:t>
      </w:r>
    </w:p>
    <w:p w14:paraId="0371A5F1" w14:textId="79F48E26" w:rsidR="00367920" w:rsidRPr="00E631B0" w:rsidRDefault="005322EF" w:rsidP="00AD7EAC">
      <w:pPr>
        <w:pStyle w:val="ListParagraph"/>
        <w:numPr>
          <w:ilvl w:val="0"/>
          <w:numId w:val="46"/>
        </w:numPr>
        <w:spacing w:after="120" w:line="240" w:lineRule="auto"/>
        <w:ind w:left="426" w:hanging="426"/>
        <w:contextualSpacing w:val="0"/>
        <w:jc w:val="left"/>
        <w:rPr>
          <w:rFonts w:asciiTheme="minorHAnsi" w:hAnsiTheme="minorHAnsi"/>
        </w:rPr>
      </w:pPr>
      <w:r w:rsidRPr="00E631B0">
        <w:rPr>
          <w:rFonts w:asciiTheme="minorHAnsi" w:hAnsiTheme="minorHAnsi"/>
        </w:rPr>
        <w:t>PBS</w:t>
      </w:r>
      <w:r w:rsidR="0000686B" w:rsidRPr="00E631B0">
        <w:rPr>
          <w:rFonts w:asciiTheme="minorHAnsi" w:hAnsiTheme="minorHAnsi"/>
        </w:rPr>
        <w:t xml:space="preserve"> restrictions may not reflect clinical guidelines. The PBS restrictions consider both comparative effectiveness and cost-effectiveness while guidelines can take greater account of individual patient efficacy and </w:t>
      </w:r>
      <w:r w:rsidR="002B08BB" w:rsidRPr="00E631B0">
        <w:rPr>
          <w:rFonts w:asciiTheme="minorHAnsi" w:hAnsiTheme="minorHAnsi"/>
        </w:rPr>
        <w:t xml:space="preserve">do </w:t>
      </w:r>
      <w:r w:rsidR="0000686B" w:rsidRPr="00E631B0">
        <w:rPr>
          <w:rFonts w:asciiTheme="minorHAnsi" w:hAnsiTheme="minorHAnsi"/>
        </w:rPr>
        <w:t>not consider cost-effectiveness at the population level.</w:t>
      </w:r>
      <w:r w:rsidR="00F85C3C" w:rsidRPr="00E631B0" w:rsidDel="00F85C3C">
        <w:rPr>
          <w:rFonts w:asciiTheme="minorHAnsi" w:hAnsiTheme="minorHAnsi"/>
        </w:rPr>
        <w:t xml:space="preserve"> </w:t>
      </w:r>
    </w:p>
    <w:p w14:paraId="39F7C09B" w14:textId="77777777" w:rsidR="0000686B" w:rsidRPr="00E631B0" w:rsidRDefault="0000686B" w:rsidP="00AD7EAC">
      <w:pPr>
        <w:pStyle w:val="ListParagraph"/>
        <w:numPr>
          <w:ilvl w:val="0"/>
          <w:numId w:val="46"/>
        </w:numPr>
        <w:spacing w:after="120" w:line="240" w:lineRule="auto"/>
        <w:ind w:left="426" w:hanging="426"/>
        <w:contextualSpacing w:val="0"/>
        <w:jc w:val="left"/>
        <w:rPr>
          <w:rFonts w:asciiTheme="minorHAnsi" w:hAnsiTheme="minorHAnsi"/>
        </w:rPr>
      </w:pPr>
      <w:r w:rsidRPr="00E631B0">
        <w:rPr>
          <w:rFonts w:asciiTheme="minorHAnsi" w:hAnsiTheme="minorHAnsi"/>
        </w:rPr>
        <w:t>Statins are well tolerated and the proportion of people who are truly contraindicated to statins is reported to be very small. There is some dispute about the exact size of the intolerant and contraindicated populations in Australia. Overall figures of 5-10% were considered reasonable by the Reference Group.</w:t>
      </w:r>
    </w:p>
    <w:p w14:paraId="70A4BAAB" w14:textId="77777777" w:rsidR="0000686B" w:rsidRPr="00E631B0" w:rsidRDefault="0000686B" w:rsidP="00AD7EAC">
      <w:pPr>
        <w:pStyle w:val="ListParagraph"/>
        <w:numPr>
          <w:ilvl w:val="0"/>
          <w:numId w:val="46"/>
        </w:numPr>
        <w:spacing w:after="120" w:line="240" w:lineRule="auto"/>
        <w:ind w:left="426" w:hanging="426"/>
        <w:contextualSpacing w:val="0"/>
        <w:jc w:val="left"/>
        <w:rPr>
          <w:rFonts w:asciiTheme="minorHAnsi" w:hAnsiTheme="minorHAnsi"/>
        </w:rPr>
      </w:pPr>
      <w:r w:rsidRPr="00E631B0">
        <w:rPr>
          <w:rFonts w:asciiTheme="minorHAnsi" w:hAnsiTheme="minorHAnsi"/>
        </w:rPr>
        <w:t>Ezetimibe is one of the treatment options for patients in whom statin therapy is contraindicated or not tolerated. Strategies for managing statin intolerance include prescribing a different statin, taking a treatment break and rechallenging</w:t>
      </w:r>
      <w:r w:rsidR="005322EF" w:rsidRPr="00E631B0">
        <w:rPr>
          <w:rFonts w:asciiTheme="minorHAnsi" w:hAnsiTheme="minorHAnsi"/>
        </w:rPr>
        <w:t>,</w:t>
      </w:r>
      <w:r w:rsidRPr="00E631B0">
        <w:rPr>
          <w:rFonts w:asciiTheme="minorHAnsi" w:hAnsiTheme="minorHAnsi"/>
        </w:rPr>
        <w:t xml:space="preserve"> or reducing the dose of statin.</w:t>
      </w:r>
    </w:p>
    <w:p w14:paraId="7A9A3372" w14:textId="1A3ABADE" w:rsidR="0000686B" w:rsidRPr="00E631B0" w:rsidRDefault="0000686B" w:rsidP="00AD7EAC">
      <w:pPr>
        <w:pStyle w:val="ListParagraph"/>
        <w:numPr>
          <w:ilvl w:val="0"/>
          <w:numId w:val="46"/>
        </w:numPr>
        <w:spacing w:after="120" w:line="240" w:lineRule="auto"/>
        <w:ind w:left="426" w:hanging="426"/>
        <w:contextualSpacing w:val="0"/>
        <w:jc w:val="left"/>
        <w:rPr>
          <w:rFonts w:asciiTheme="minorHAnsi" w:hAnsiTheme="minorHAnsi"/>
        </w:rPr>
      </w:pPr>
      <w:r w:rsidRPr="00E631B0">
        <w:rPr>
          <w:rFonts w:asciiTheme="minorHAnsi" w:hAnsiTheme="minorHAnsi"/>
        </w:rPr>
        <w:t xml:space="preserve">There are small differences between the eligibility of patients for pharmacotherapy between the </w:t>
      </w:r>
      <w:r w:rsidR="005322EF" w:rsidRPr="00E631B0">
        <w:rPr>
          <w:rFonts w:asciiTheme="minorHAnsi" w:hAnsiTheme="minorHAnsi"/>
        </w:rPr>
        <w:t>GSLLD</w:t>
      </w:r>
      <w:r w:rsidRPr="00E631B0">
        <w:rPr>
          <w:rFonts w:asciiTheme="minorHAnsi" w:hAnsiTheme="minorHAnsi"/>
        </w:rPr>
        <w:t xml:space="preserve"> and the Australian guidelines for treatment. The effect of these differences has not been quantified, with one study indicating that it may not be substantial</w:t>
      </w:r>
      <w:r w:rsidR="002A465C" w:rsidRPr="00E631B0">
        <w:rPr>
          <w:rStyle w:val="EndnoteReference"/>
          <w:rFonts w:asciiTheme="minorHAnsi" w:hAnsiTheme="minorHAnsi"/>
        </w:rPr>
        <w:endnoteReference w:id="29"/>
      </w:r>
      <w:r w:rsidR="005322EF" w:rsidRPr="00E631B0">
        <w:rPr>
          <w:rFonts w:asciiTheme="minorHAnsi" w:hAnsiTheme="minorHAnsi"/>
        </w:rPr>
        <w:t>.</w:t>
      </w:r>
      <w:r w:rsidRPr="00E631B0">
        <w:rPr>
          <w:rFonts w:asciiTheme="minorHAnsi" w:hAnsiTheme="minorHAnsi"/>
        </w:rPr>
        <w:t xml:space="preserve"> </w:t>
      </w:r>
    </w:p>
    <w:p w14:paraId="08B489E3" w14:textId="77777777" w:rsidR="000A7890" w:rsidRPr="00E631B0" w:rsidRDefault="0000686B" w:rsidP="00AD7EAC">
      <w:pPr>
        <w:pStyle w:val="ListParagraph"/>
        <w:numPr>
          <w:ilvl w:val="0"/>
          <w:numId w:val="46"/>
        </w:numPr>
        <w:spacing w:after="120" w:line="240" w:lineRule="auto"/>
        <w:ind w:left="426" w:hanging="426"/>
        <w:contextualSpacing w:val="0"/>
        <w:jc w:val="left"/>
        <w:rPr>
          <w:rFonts w:asciiTheme="minorHAnsi" w:hAnsiTheme="minorHAnsi"/>
        </w:rPr>
      </w:pPr>
      <w:r w:rsidRPr="00E631B0">
        <w:rPr>
          <w:rFonts w:asciiTheme="minorHAnsi" w:hAnsiTheme="minorHAnsi"/>
          <w:szCs w:val="24"/>
        </w:rPr>
        <w:lastRenderedPageBreak/>
        <w:t>The Bohula et al</w:t>
      </w:r>
      <w:r w:rsidR="00106006" w:rsidRPr="00E631B0">
        <w:rPr>
          <w:rStyle w:val="EndnoteReference"/>
          <w:rFonts w:asciiTheme="minorHAnsi" w:hAnsiTheme="minorHAnsi"/>
          <w:szCs w:val="24"/>
        </w:rPr>
        <w:endnoteReference w:id="30"/>
      </w:r>
      <w:r w:rsidR="00106006" w:rsidRPr="00E631B0">
        <w:rPr>
          <w:rFonts w:asciiTheme="minorHAnsi" w:hAnsiTheme="minorHAnsi"/>
          <w:szCs w:val="24"/>
          <w:vertAlign w:val="superscript"/>
        </w:rPr>
        <w:t xml:space="preserve"> </w:t>
      </w:r>
      <w:r w:rsidRPr="00E631B0">
        <w:rPr>
          <w:rFonts w:asciiTheme="minorHAnsi" w:hAnsiTheme="minorHAnsi"/>
          <w:szCs w:val="24"/>
        </w:rPr>
        <w:t xml:space="preserve"> </w:t>
      </w:r>
      <w:r w:rsidR="000A7890" w:rsidRPr="00E631B0">
        <w:rPr>
          <w:rFonts w:asciiTheme="minorHAnsi" w:hAnsiTheme="minorHAnsi"/>
          <w:szCs w:val="24"/>
        </w:rPr>
        <w:t>re-</w:t>
      </w:r>
      <w:r w:rsidRPr="00E631B0">
        <w:rPr>
          <w:rFonts w:asciiTheme="minorHAnsi" w:hAnsiTheme="minorHAnsi"/>
          <w:szCs w:val="24"/>
        </w:rPr>
        <w:t>analysis of the IMPROVE-IT trial defined subgroups of participants according to the level of atherothrombotic risk. They found those who showed significant benefit from ezetimibe/statin therapy were in the highest cardiovascular risk category i.e.</w:t>
      </w:r>
      <w:r w:rsidR="00367920" w:rsidRPr="00E631B0">
        <w:rPr>
          <w:rFonts w:asciiTheme="minorHAnsi" w:hAnsiTheme="minorHAnsi"/>
          <w:szCs w:val="24"/>
        </w:rPr>
        <w:t xml:space="preserve"> </w:t>
      </w:r>
      <w:r w:rsidRPr="00E631B0">
        <w:rPr>
          <w:rFonts w:asciiTheme="minorHAnsi" w:hAnsiTheme="minorHAnsi"/>
          <w:szCs w:val="24"/>
        </w:rPr>
        <w:t xml:space="preserve">the secondary prevention group with three or more additional risk factors. </w:t>
      </w:r>
      <w:r w:rsidR="00402432" w:rsidRPr="00E631B0">
        <w:rPr>
          <w:rFonts w:asciiTheme="minorHAnsi" w:hAnsiTheme="minorHAnsi"/>
          <w:szCs w:val="24"/>
        </w:rPr>
        <w:t>This underlines the importance of restricting PBS subsidised use of ezetimibe to the high risk population.</w:t>
      </w:r>
    </w:p>
    <w:p w14:paraId="111A8B7B" w14:textId="77777777" w:rsidR="00C01A97" w:rsidRPr="00E631B0" w:rsidRDefault="00367920" w:rsidP="00AD7EAC">
      <w:pPr>
        <w:pStyle w:val="ListParagraph"/>
        <w:numPr>
          <w:ilvl w:val="0"/>
          <w:numId w:val="46"/>
        </w:numPr>
        <w:spacing w:after="120" w:line="240" w:lineRule="auto"/>
        <w:ind w:left="426" w:hanging="426"/>
        <w:contextualSpacing w:val="0"/>
        <w:jc w:val="left"/>
        <w:rPr>
          <w:rFonts w:asciiTheme="minorHAnsi" w:hAnsiTheme="minorHAnsi"/>
        </w:rPr>
      </w:pPr>
      <w:r w:rsidRPr="00E631B0">
        <w:rPr>
          <w:rFonts w:asciiTheme="minorHAnsi" w:hAnsiTheme="minorHAnsi"/>
        </w:rPr>
        <w:t xml:space="preserve">The use of LLT is now an established approach to reduce cardiovascular risk. </w:t>
      </w:r>
    </w:p>
    <w:p w14:paraId="4265A222" w14:textId="77777777" w:rsidR="0000686B" w:rsidRPr="00833088" w:rsidRDefault="003848A8">
      <w:pPr>
        <w:pStyle w:val="Heading2"/>
      </w:pPr>
      <w:bookmarkStart w:id="69" w:name="_Toc388453122"/>
      <w:bookmarkStart w:id="70" w:name="_Toc500510230"/>
      <w:r w:rsidRPr="00833088">
        <w:t>2.</w:t>
      </w:r>
      <w:r w:rsidR="0000686B" w:rsidRPr="00833088">
        <w:t>2</w:t>
      </w:r>
      <w:r w:rsidR="0000686B" w:rsidRPr="00833088">
        <w:tab/>
        <w:t>Published evidence</w:t>
      </w:r>
      <w:bookmarkEnd w:id="69"/>
      <w:bookmarkEnd w:id="70"/>
      <w:r w:rsidR="0000686B" w:rsidRPr="00833088">
        <w:t xml:space="preserve"> </w:t>
      </w:r>
    </w:p>
    <w:p w14:paraId="5009D1E2" w14:textId="77777777" w:rsidR="0000686B" w:rsidRPr="00E631B0" w:rsidRDefault="003848A8" w:rsidP="005A2287">
      <w:pPr>
        <w:pStyle w:val="Heading3"/>
        <w:jc w:val="left"/>
      </w:pPr>
      <w:bookmarkStart w:id="71" w:name="_Toc500510231"/>
      <w:r w:rsidRPr="00E631B0">
        <w:t>2.</w:t>
      </w:r>
      <w:r w:rsidR="0000686B" w:rsidRPr="00E631B0">
        <w:t>2.1</w:t>
      </w:r>
      <w:r w:rsidR="0000686B" w:rsidRPr="00E631B0">
        <w:tab/>
        <w:t xml:space="preserve">Approach to the </w:t>
      </w:r>
      <w:r w:rsidR="00FC19AD" w:rsidRPr="00E631B0">
        <w:t xml:space="preserve">literature </w:t>
      </w:r>
      <w:r w:rsidR="0000686B" w:rsidRPr="00E631B0">
        <w:t xml:space="preserve">review </w:t>
      </w:r>
      <w:r w:rsidR="00FC19AD" w:rsidRPr="00E631B0">
        <w:t>of clinical guidelines</w:t>
      </w:r>
      <w:bookmarkEnd w:id="71"/>
    </w:p>
    <w:p w14:paraId="23C5BBA5" w14:textId="5A1F9D74" w:rsidR="0000686B" w:rsidRPr="00E631B0" w:rsidRDefault="0000686B" w:rsidP="00AD7EAC">
      <w:pPr>
        <w:spacing w:line="240" w:lineRule="auto"/>
        <w:jc w:val="left"/>
        <w:rPr>
          <w:rFonts w:asciiTheme="minorHAnsi" w:hAnsiTheme="minorHAnsi"/>
        </w:rPr>
      </w:pPr>
      <w:r w:rsidRPr="00E631B0">
        <w:rPr>
          <w:rFonts w:asciiTheme="minorHAnsi" w:hAnsiTheme="minorHAnsi"/>
        </w:rPr>
        <w:t>A review of the most recen</w:t>
      </w:r>
      <w:r w:rsidR="00FC19AD" w:rsidRPr="00E631B0">
        <w:rPr>
          <w:rFonts w:asciiTheme="minorHAnsi" w:hAnsiTheme="minorHAnsi"/>
        </w:rPr>
        <w:t>t Australian and international clinical treatment g</w:t>
      </w:r>
      <w:r w:rsidRPr="00E631B0">
        <w:rPr>
          <w:rFonts w:asciiTheme="minorHAnsi" w:hAnsiTheme="minorHAnsi"/>
        </w:rPr>
        <w:t xml:space="preserve">uidelines for management of metabolic lipid disorders to prevent cardiovascular outcomes was undertaken. Eleven guidelines were identified through a systematic literature review. Details of the source, approach, risk categories, use of lipid serum </w:t>
      </w:r>
      <w:r w:rsidR="00C25005" w:rsidRPr="00E631B0">
        <w:rPr>
          <w:rFonts w:asciiTheme="minorHAnsi" w:eastAsia="Times New Roman" w:hAnsiTheme="minorHAnsi" w:cs="Arial"/>
          <w:szCs w:val="24"/>
          <w:lang w:eastAsia="en-AU"/>
        </w:rPr>
        <w:t>concentrations</w:t>
      </w:r>
      <w:r w:rsidR="00C25005" w:rsidRPr="00E631B0">
        <w:rPr>
          <w:rFonts w:asciiTheme="minorHAnsi" w:hAnsiTheme="minorHAnsi"/>
        </w:rPr>
        <w:t xml:space="preserve"> </w:t>
      </w:r>
      <w:r w:rsidRPr="00E631B0">
        <w:rPr>
          <w:rFonts w:asciiTheme="minorHAnsi" w:hAnsiTheme="minorHAnsi"/>
        </w:rPr>
        <w:t>and recommendations for treatment were extracted.</w:t>
      </w:r>
    </w:p>
    <w:p w14:paraId="73BC7C09" w14:textId="09E85DEF" w:rsidR="0000686B" w:rsidRPr="00E631B0" w:rsidRDefault="0000686B" w:rsidP="00AD7EAC">
      <w:pPr>
        <w:spacing w:line="240" w:lineRule="auto"/>
        <w:jc w:val="left"/>
        <w:rPr>
          <w:rFonts w:asciiTheme="minorHAnsi" w:hAnsiTheme="minorHAnsi"/>
        </w:rPr>
      </w:pPr>
      <w:r w:rsidRPr="00E631B0">
        <w:rPr>
          <w:rFonts w:asciiTheme="minorHAnsi" w:hAnsiTheme="minorHAnsi"/>
        </w:rPr>
        <w:t xml:space="preserve">In addition, a number of publications on comparison of </w:t>
      </w:r>
      <w:r w:rsidR="00FC19AD" w:rsidRPr="00E631B0">
        <w:rPr>
          <w:rFonts w:asciiTheme="minorHAnsi" w:hAnsiTheme="minorHAnsi"/>
        </w:rPr>
        <w:t>the international guidelines were</w:t>
      </w:r>
      <w:r w:rsidRPr="00E631B0">
        <w:rPr>
          <w:rFonts w:asciiTheme="minorHAnsi" w:hAnsiTheme="minorHAnsi"/>
        </w:rPr>
        <w:t xml:space="preserve"> identified and studied to inform the outcomes of this review</w:t>
      </w:r>
      <w:r w:rsidR="002A465C" w:rsidRPr="00E631B0">
        <w:rPr>
          <w:rStyle w:val="EndnoteReference"/>
          <w:rFonts w:asciiTheme="minorHAnsi" w:hAnsiTheme="minorHAnsi"/>
        </w:rPr>
        <w:endnoteReference w:id="31"/>
      </w:r>
      <w:r w:rsidR="00FC19AD" w:rsidRPr="00E631B0">
        <w:rPr>
          <w:rFonts w:asciiTheme="minorHAnsi" w:hAnsiTheme="minorHAnsi"/>
          <w:vertAlign w:val="superscript"/>
        </w:rPr>
        <w:t>,</w:t>
      </w:r>
      <w:r w:rsidR="002A465C" w:rsidRPr="00E631B0">
        <w:rPr>
          <w:rStyle w:val="EndnoteReference"/>
          <w:rFonts w:asciiTheme="minorHAnsi" w:hAnsiTheme="minorHAnsi"/>
        </w:rPr>
        <w:endnoteReference w:id="32"/>
      </w:r>
      <w:r w:rsidR="00FC19AD" w:rsidRPr="00E631B0">
        <w:rPr>
          <w:rFonts w:asciiTheme="minorHAnsi" w:hAnsiTheme="minorHAnsi"/>
          <w:vertAlign w:val="superscript"/>
        </w:rPr>
        <w:t>,</w:t>
      </w:r>
      <w:r w:rsidR="00C454CC" w:rsidRPr="00E631B0">
        <w:rPr>
          <w:rStyle w:val="EndnoteReference"/>
          <w:rFonts w:asciiTheme="minorHAnsi" w:hAnsiTheme="minorHAnsi"/>
        </w:rPr>
        <w:endnoteReference w:id="33"/>
      </w:r>
      <w:r w:rsidR="00FC19AD" w:rsidRPr="00E631B0">
        <w:rPr>
          <w:rFonts w:asciiTheme="minorHAnsi" w:hAnsiTheme="minorHAnsi"/>
          <w:vertAlign w:val="superscript"/>
        </w:rPr>
        <w:t>,</w:t>
      </w:r>
      <w:r w:rsidR="00C454CC" w:rsidRPr="00E631B0">
        <w:rPr>
          <w:rStyle w:val="EndnoteReference"/>
          <w:rFonts w:asciiTheme="minorHAnsi" w:hAnsiTheme="minorHAnsi"/>
        </w:rPr>
        <w:endnoteReference w:id="34"/>
      </w:r>
      <w:r w:rsidR="00FC19AD" w:rsidRPr="00E631B0">
        <w:rPr>
          <w:rFonts w:asciiTheme="minorHAnsi" w:hAnsiTheme="minorHAnsi"/>
          <w:vertAlign w:val="superscript"/>
        </w:rPr>
        <w:t>,</w:t>
      </w:r>
      <w:r w:rsidR="00C454CC" w:rsidRPr="00E631B0">
        <w:rPr>
          <w:rStyle w:val="EndnoteReference"/>
          <w:rFonts w:asciiTheme="minorHAnsi" w:hAnsiTheme="minorHAnsi"/>
        </w:rPr>
        <w:endnoteReference w:id="35"/>
      </w:r>
      <w:r w:rsidRPr="00E631B0">
        <w:rPr>
          <w:rFonts w:asciiTheme="minorHAnsi" w:hAnsiTheme="minorHAnsi"/>
        </w:rPr>
        <w:t xml:space="preserve">. </w:t>
      </w:r>
    </w:p>
    <w:p w14:paraId="20EF4FF8" w14:textId="5E6602A9" w:rsidR="0000686B" w:rsidRPr="00E631B0" w:rsidRDefault="0000686B" w:rsidP="00AD7EAC">
      <w:pPr>
        <w:spacing w:line="240" w:lineRule="auto"/>
        <w:jc w:val="left"/>
        <w:rPr>
          <w:rFonts w:asciiTheme="minorHAnsi" w:hAnsiTheme="minorHAnsi"/>
        </w:rPr>
      </w:pPr>
      <w:r w:rsidRPr="00E631B0">
        <w:rPr>
          <w:rFonts w:asciiTheme="minorHAnsi" w:hAnsiTheme="minorHAnsi"/>
        </w:rPr>
        <w:t xml:space="preserve">For additional details and a more comprehensive review of the evidence gathered to inform </w:t>
      </w:r>
      <w:r w:rsidR="00FC19AD" w:rsidRPr="00E631B0">
        <w:rPr>
          <w:rFonts w:asciiTheme="minorHAnsi" w:hAnsiTheme="minorHAnsi"/>
        </w:rPr>
        <w:t>T</w:t>
      </w:r>
      <w:r w:rsidR="00C904F3" w:rsidRPr="00E631B0">
        <w:rPr>
          <w:rFonts w:asciiTheme="minorHAnsi" w:hAnsiTheme="minorHAnsi"/>
        </w:rPr>
        <w:t>O</w:t>
      </w:r>
      <w:r w:rsidR="00FC19AD" w:rsidRPr="00E631B0">
        <w:rPr>
          <w:rFonts w:asciiTheme="minorHAnsi" w:hAnsiTheme="minorHAnsi"/>
        </w:rPr>
        <w:t xml:space="preserve">R </w:t>
      </w:r>
      <w:r w:rsidRPr="00E631B0">
        <w:rPr>
          <w:rFonts w:asciiTheme="minorHAnsi" w:hAnsiTheme="minorHAnsi"/>
        </w:rPr>
        <w:t xml:space="preserve">2, refer to the Review of Clinical Guidelines undertaken by the </w:t>
      </w:r>
      <w:r w:rsidR="00FC19AD" w:rsidRPr="00E631B0">
        <w:rPr>
          <w:rFonts w:asciiTheme="minorHAnsi" w:hAnsiTheme="minorHAnsi"/>
        </w:rPr>
        <w:t>CPHR</w:t>
      </w:r>
      <w:r w:rsidRPr="00E631B0">
        <w:rPr>
          <w:rFonts w:asciiTheme="minorHAnsi" w:hAnsiTheme="minorHAnsi"/>
        </w:rPr>
        <w:t xml:space="preserve">, Deakin </w:t>
      </w:r>
      <w:r w:rsidRPr="00E631B0">
        <w:rPr>
          <w:rFonts w:asciiTheme="minorHAnsi" w:hAnsiTheme="minorHAnsi"/>
          <w:b/>
        </w:rPr>
        <w:t>(Appendix G).</w:t>
      </w:r>
    </w:p>
    <w:p w14:paraId="17DBA9C0" w14:textId="77777777" w:rsidR="0000686B" w:rsidRPr="00E631B0" w:rsidRDefault="003848A8" w:rsidP="005A2287">
      <w:pPr>
        <w:pStyle w:val="Heading3"/>
        <w:jc w:val="left"/>
      </w:pPr>
      <w:bookmarkStart w:id="72" w:name="_Toc500510232"/>
      <w:r w:rsidRPr="00E631B0">
        <w:t>2.</w:t>
      </w:r>
      <w:r w:rsidR="0000686B" w:rsidRPr="00E631B0">
        <w:t>2.2</w:t>
      </w:r>
      <w:r w:rsidR="0000686B" w:rsidRPr="00E631B0">
        <w:tab/>
        <w:t>Comparison of Australian and international treatment guidelines</w:t>
      </w:r>
      <w:bookmarkEnd w:id="72"/>
    </w:p>
    <w:p w14:paraId="610BD741" w14:textId="77777777"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 xml:space="preserve">All current guidelines recommend treatment based on an individual patient’s risk of having a cardiovascular event. </w:t>
      </w:r>
    </w:p>
    <w:p w14:paraId="1E4DD4C6" w14:textId="77777777"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Guidelines separate patients into one of two groups: 1) patients who have not had a cardiovascular event (primary prevention); and 2) those who have had a cardiovascular event (secondary prevention). Within each group, guidelines link treatment to the presence of a number of risk factors that have been identified though large epidemiological studies such as the Framingham Study.</w:t>
      </w:r>
    </w:p>
    <w:p w14:paraId="2AE86295" w14:textId="4FF2A844"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All of the guidelines use an absolute risk approach. Absolute risk is the probability of a cardiovascular event occurring. The absolute risk can sometimes be modified by changing exposure to factors that are associated with cardiovascular disease. Modifiable risk factors include reducing serum lipid</w:t>
      </w:r>
      <w:r w:rsidR="00C25005" w:rsidRPr="00E631B0">
        <w:rPr>
          <w:rFonts w:asciiTheme="minorHAnsi" w:eastAsia="Times New Roman" w:hAnsiTheme="minorHAnsi" w:cs="Arial"/>
          <w:szCs w:val="24"/>
          <w:lang w:eastAsia="en-AU"/>
        </w:rPr>
        <w:t xml:space="preserve"> concentrations</w:t>
      </w:r>
      <w:r w:rsidRPr="00E631B0">
        <w:rPr>
          <w:rFonts w:asciiTheme="minorHAnsi" w:hAnsiTheme="minorHAnsi"/>
          <w:szCs w:val="24"/>
        </w:rPr>
        <w:t>, smoking cessation and increased physical activity. Some risk fact</w:t>
      </w:r>
      <w:r w:rsidR="00FC19AD" w:rsidRPr="00E631B0">
        <w:rPr>
          <w:rFonts w:asciiTheme="minorHAnsi" w:hAnsiTheme="minorHAnsi"/>
          <w:szCs w:val="24"/>
        </w:rPr>
        <w:t>ors are not modifiable e.g. age and</w:t>
      </w:r>
      <w:r w:rsidRPr="00E631B0">
        <w:rPr>
          <w:rFonts w:asciiTheme="minorHAnsi" w:hAnsiTheme="minorHAnsi"/>
          <w:szCs w:val="24"/>
        </w:rPr>
        <w:t xml:space="preserve"> gender.</w:t>
      </w:r>
    </w:p>
    <w:p w14:paraId="301ABFE1" w14:textId="2BBB55C0"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 xml:space="preserve">Each guideline derives an assessment of the risk of cardiovascular disease for a patient based on algorithms that apply the absolute risk from epidemiological studies with patient specific inputs. The equations used differ between the various guidelines and the patient information also varies. For example, some guidelines use a 10 year risk of an event and others 5 years. Most calculations require the serum LDL-C concentration measurement to be entered into the algorithm. The Australian </w:t>
      </w:r>
      <w:r w:rsidR="00FC19AD" w:rsidRPr="00E631B0">
        <w:rPr>
          <w:rFonts w:asciiTheme="minorHAnsi" w:hAnsiTheme="minorHAnsi"/>
          <w:szCs w:val="24"/>
        </w:rPr>
        <w:lastRenderedPageBreak/>
        <w:t>NVDPA-2012</w:t>
      </w:r>
      <w:r w:rsidRPr="00E631B0">
        <w:rPr>
          <w:rFonts w:asciiTheme="minorHAnsi" w:hAnsiTheme="minorHAnsi"/>
          <w:szCs w:val="24"/>
        </w:rPr>
        <w:t xml:space="preserve"> guidelines list target </w:t>
      </w:r>
      <w:r w:rsidR="00C25005" w:rsidRPr="00E631B0">
        <w:rPr>
          <w:rFonts w:asciiTheme="minorHAnsi" w:eastAsia="Times New Roman" w:hAnsiTheme="minorHAnsi" w:cs="Arial"/>
          <w:szCs w:val="24"/>
          <w:lang w:eastAsia="en-AU"/>
        </w:rPr>
        <w:t>concentrations</w:t>
      </w:r>
      <w:r w:rsidR="00C25005" w:rsidRPr="00E631B0">
        <w:rPr>
          <w:rFonts w:asciiTheme="minorHAnsi" w:hAnsiTheme="minorHAnsi"/>
          <w:szCs w:val="24"/>
        </w:rPr>
        <w:t xml:space="preserve"> </w:t>
      </w:r>
      <w:r w:rsidRPr="00E631B0">
        <w:rPr>
          <w:rFonts w:asciiTheme="minorHAnsi" w:hAnsiTheme="minorHAnsi"/>
          <w:szCs w:val="24"/>
        </w:rPr>
        <w:t xml:space="preserve">for a wide range of lipid measures (LDL-C, triglycerides, HDL-C, total cholesterol). </w:t>
      </w:r>
    </w:p>
    <w:p w14:paraId="0D3FD4BC" w14:textId="77777777"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The calculated risk of having a cardiovascular event will vary according to which guidelines and absolute risk calculator are used. Each calculator assigns a patient to a “risk category”. The number of categories varies from two to five.</w:t>
      </w:r>
    </w:p>
    <w:p w14:paraId="64D0FA66" w14:textId="583F2AE3"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There are three Australian guidelines for clinicians who treat patients at an elevated risk of cardiovascular events. These are</w:t>
      </w:r>
      <w:r w:rsidR="00FC19AD" w:rsidRPr="00E631B0">
        <w:rPr>
          <w:rFonts w:asciiTheme="minorHAnsi" w:hAnsiTheme="minorHAnsi"/>
          <w:szCs w:val="24"/>
        </w:rPr>
        <w:t>:</w:t>
      </w:r>
      <w:r w:rsidRPr="00E631B0">
        <w:rPr>
          <w:rFonts w:asciiTheme="minorHAnsi" w:hAnsiTheme="minorHAnsi"/>
          <w:szCs w:val="24"/>
        </w:rPr>
        <w:t xml:space="preserve"> the NVDPA-2012 whic</w:t>
      </w:r>
      <w:r w:rsidR="00FC19AD" w:rsidRPr="00E631B0">
        <w:rPr>
          <w:rFonts w:asciiTheme="minorHAnsi" w:hAnsiTheme="minorHAnsi"/>
          <w:szCs w:val="24"/>
        </w:rPr>
        <w:t>h focuses on primary prevention;</w:t>
      </w:r>
      <w:r w:rsidRPr="00E631B0">
        <w:rPr>
          <w:rFonts w:asciiTheme="minorHAnsi" w:hAnsiTheme="minorHAnsi"/>
          <w:szCs w:val="24"/>
        </w:rPr>
        <w:t xml:space="preserve"> the National Heart Foundation</w:t>
      </w:r>
      <w:r w:rsidR="00FC19AD" w:rsidRPr="00E631B0">
        <w:rPr>
          <w:rFonts w:asciiTheme="minorHAnsi" w:hAnsiTheme="minorHAnsi"/>
          <w:szCs w:val="24"/>
        </w:rPr>
        <w:t xml:space="preserve"> </w:t>
      </w:r>
      <w:r w:rsidR="00FC19AD" w:rsidRPr="00E631B0">
        <w:rPr>
          <w:rFonts w:asciiTheme="minorHAnsi" w:hAnsiTheme="minorHAnsi"/>
          <w:i/>
          <w:szCs w:val="24"/>
        </w:rPr>
        <w:t>Reducing Risk in Heart Disease</w:t>
      </w:r>
      <w:r w:rsidR="00FC19AD" w:rsidRPr="00E631B0">
        <w:rPr>
          <w:rFonts w:asciiTheme="minorHAnsi" w:hAnsiTheme="minorHAnsi"/>
          <w:szCs w:val="24"/>
        </w:rPr>
        <w:t xml:space="preserve"> guideline</w:t>
      </w:r>
      <w:r w:rsidRPr="00E631B0">
        <w:rPr>
          <w:rFonts w:asciiTheme="minorHAnsi" w:hAnsiTheme="minorHAnsi"/>
          <w:szCs w:val="24"/>
        </w:rPr>
        <w:t xml:space="preserve"> (NHF-2012) focusing on secondary prevention</w:t>
      </w:r>
      <w:r w:rsidR="00FC19AD" w:rsidRPr="00E631B0">
        <w:rPr>
          <w:rFonts w:asciiTheme="minorHAnsi" w:hAnsiTheme="minorHAnsi"/>
          <w:szCs w:val="24"/>
        </w:rPr>
        <w:t>;</w:t>
      </w:r>
      <w:r w:rsidRPr="00E631B0">
        <w:rPr>
          <w:rFonts w:asciiTheme="minorHAnsi" w:hAnsiTheme="minorHAnsi"/>
          <w:szCs w:val="24"/>
        </w:rPr>
        <w:t xml:space="preserve"> and the Cardiac Society of Aus</w:t>
      </w:r>
      <w:r w:rsidR="00FC19AD" w:rsidRPr="00E631B0">
        <w:rPr>
          <w:rFonts w:asciiTheme="minorHAnsi" w:hAnsiTheme="minorHAnsi"/>
          <w:szCs w:val="24"/>
        </w:rPr>
        <w:t xml:space="preserve">tralia and New Zealand (CSANZ) </w:t>
      </w:r>
      <w:r w:rsidR="00FC19AD" w:rsidRPr="00E631B0">
        <w:rPr>
          <w:rFonts w:asciiTheme="minorHAnsi" w:hAnsiTheme="minorHAnsi"/>
          <w:i/>
          <w:szCs w:val="24"/>
        </w:rPr>
        <w:t>G</w:t>
      </w:r>
      <w:r w:rsidR="00FC19AD" w:rsidRPr="00E631B0">
        <w:rPr>
          <w:rFonts w:asciiTheme="minorHAnsi" w:hAnsiTheme="minorHAnsi"/>
          <w:i/>
        </w:rPr>
        <w:t xml:space="preserve">uidelines for </w:t>
      </w:r>
      <w:r w:rsidR="00FC19AD" w:rsidRPr="00E631B0">
        <w:rPr>
          <w:rFonts w:asciiTheme="minorHAnsi" w:hAnsiTheme="minorHAnsi"/>
          <w:i/>
          <w:szCs w:val="24"/>
        </w:rPr>
        <w:t>the Diagnosis</w:t>
      </w:r>
      <w:r w:rsidR="00FC19AD" w:rsidRPr="00E631B0">
        <w:rPr>
          <w:rFonts w:asciiTheme="minorHAnsi" w:hAnsiTheme="minorHAnsi"/>
          <w:i/>
        </w:rPr>
        <w:t xml:space="preserve"> and </w:t>
      </w:r>
      <w:r w:rsidR="00FC19AD" w:rsidRPr="00E631B0">
        <w:rPr>
          <w:rFonts w:asciiTheme="minorHAnsi" w:hAnsiTheme="minorHAnsi"/>
          <w:i/>
          <w:szCs w:val="24"/>
        </w:rPr>
        <w:t>M</w:t>
      </w:r>
      <w:r w:rsidR="00FC19AD" w:rsidRPr="00E631B0">
        <w:rPr>
          <w:rFonts w:asciiTheme="minorHAnsi" w:hAnsiTheme="minorHAnsi"/>
          <w:i/>
        </w:rPr>
        <w:t xml:space="preserve">anagement of </w:t>
      </w:r>
      <w:r w:rsidR="00FC19AD" w:rsidRPr="00E631B0">
        <w:rPr>
          <w:rFonts w:asciiTheme="minorHAnsi" w:hAnsiTheme="minorHAnsi"/>
          <w:i/>
          <w:szCs w:val="24"/>
        </w:rPr>
        <w:t>Familial H</w:t>
      </w:r>
      <w:r w:rsidRPr="00E631B0">
        <w:rPr>
          <w:rFonts w:asciiTheme="minorHAnsi" w:hAnsiTheme="minorHAnsi"/>
          <w:i/>
          <w:szCs w:val="24"/>
        </w:rPr>
        <w:t>ypercholesterolaemia</w:t>
      </w:r>
      <w:r w:rsidRPr="00E631B0">
        <w:rPr>
          <w:rFonts w:asciiTheme="minorHAnsi" w:hAnsiTheme="minorHAnsi"/>
          <w:szCs w:val="24"/>
        </w:rPr>
        <w:t>.</w:t>
      </w:r>
    </w:p>
    <w:p w14:paraId="40230D8C" w14:textId="77777777" w:rsidR="0000686B" w:rsidRPr="00E631B0" w:rsidRDefault="003848A8" w:rsidP="005A2287">
      <w:pPr>
        <w:pStyle w:val="Heading3"/>
        <w:jc w:val="left"/>
      </w:pPr>
      <w:bookmarkStart w:id="73" w:name="_Toc500510233"/>
      <w:r w:rsidRPr="00E631B0">
        <w:t>2.</w:t>
      </w:r>
      <w:r w:rsidR="0000686B" w:rsidRPr="00E631B0">
        <w:t>2.3</w:t>
      </w:r>
      <w:r w:rsidR="0000686B" w:rsidRPr="00E631B0">
        <w:tab/>
        <w:t>Approaches to therapeutic treatment in the guidelines</w:t>
      </w:r>
      <w:bookmarkEnd w:id="73"/>
    </w:p>
    <w:p w14:paraId="1BCB7C51" w14:textId="243DA26F"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 xml:space="preserve">Treatments to lower non-HDL-C serum </w:t>
      </w:r>
      <w:r w:rsidR="00C25005" w:rsidRPr="00E631B0">
        <w:rPr>
          <w:rFonts w:asciiTheme="minorHAnsi" w:eastAsia="Times New Roman" w:hAnsiTheme="minorHAnsi" w:cs="Arial"/>
          <w:szCs w:val="24"/>
          <w:lang w:eastAsia="en-AU"/>
        </w:rPr>
        <w:t>concentrations</w:t>
      </w:r>
      <w:r w:rsidR="00C25005" w:rsidRPr="00E631B0">
        <w:rPr>
          <w:rFonts w:asciiTheme="minorHAnsi" w:hAnsiTheme="minorHAnsi"/>
          <w:szCs w:val="24"/>
        </w:rPr>
        <w:t xml:space="preserve"> </w:t>
      </w:r>
      <w:r w:rsidRPr="00E631B0">
        <w:rPr>
          <w:rFonts w:asciiTheme="minorHAnsi" w:hAnsiTheme="minorHAnsi"/>
          <w:szCs w:val="24"/>
        </w:rPr>
        <w:t>include diet, lifestyle modification and pharmacotherapies. Recommendations are linked to the patient’s risk of an event. Where patients have a high risk of an event, commencing pharmacotherapy immediately is recommended</w:t>
      </w:r>
      <w:r w:rsidR="006F0544" w:rsidRPr="00E631B0">
        <w:rPr>
          <w:rFonts w:asciiTheme="minorHAnsi" w:hAnsiTheme="minorHAnsi"/>
          <w:szCs w:val="24"/>
        </w:rPr>
        <w:t>. Statins are</w:t>
      </w:r>
      <w:r w:rsidRPr="00E631B0">
        <w:rPr>
          <w:rFonts w:asciiTheme="minorHAnsi" w:hAnsiTheme="minorHAnsi"/>
          <w:szCs w:val="24"/>
        </w:rPr>
        <w:t xml:space="preserve"> universally recommended as first line therapy. </w:t>
      </w:r>
    </w:p>
    <w:p w14:paraId="686CFBB3" w14:textId="77777777"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 xml:space="preserve">Where, in spite of maximum tolerated doses of statin therapy, the lipid </w:t>
      </w:r>
      <w:r w:rsidR="004C1339" w:rsidRPr="00E631B0">
        <w:rPr>
          <w:rFonts w:asciiTheme="minorHAnsi" w:eastAsia="Times New Roman" w:hAnsiTheme="minorHAnsi" w:cs="Arial"/>
          <w:szCs w:val="24"/>
          <w:lang w:eastAsia="en-AU"/>
        </w:rPr>
        <w:t xml:space="preserve">concentration </w:t>
      </w:r>
      <w:r w:rsidRPr="00E631B0">
        <w:rPr>
          <w:rFonts w:asciiTheme="minorHAnsi" w:hAnsiTheme="minorHAnsi"/>
          <w:szCs w:val="24"/>
        </w:rPr>
        <w:t xml:space="preserve">needs to be further reduced, additional treatment is recommended. Categories of patients for whom additional treatment is considered necessary include those who: have increased the statin dose to the maximum level tolerable; are contraindicated to statins; or are no longer responding to treatment. Ezetimibe is one of the choices of non-statin therapies for these patient groups. </w:t>
      </w:r>
    </w:p>
    <w:p w14:paraId="3800FEC9" w14:textId="5C204895" w:rsidR="0000686B" w:rsidRPr="00E631B0" w:rsidRDefault="0000686B" w:rsidP="00AD7EAC">
      <w:pPr>
        <w:autoSpaceDE w:val="0"/>
        <w:autoSpaceDN w:val="0"/>
        <w:adjustRightInd w:val="0"/>
        <w:spacing w:line="240" w:lineRule="auto"/>
        <w:jc w:val="left"/>
        <w:rPr>
          <w:rFonts w:asciiTheme="minorHAnsi" w:hAnsiTheme="minorHAnsi"/>
          <w:szCs w:val="24"/>
        </w:rPr>
      </w:pPr>
      <w:r w:rsidRPr="00E631B0">
        <w:rPr>
          <w:rFonts w:asciiTheme="minorHAnsi" w:hAnsiTheme="minorHAnsi"/>
          <w:szCs w:val="24"/>
        </w:rPr>
        <w:t xml:space="preserve">Guidelines vary when ezetimibe is the optimal treatment choice. For example, some guidelines restrict the use of ezetimibe plus a statin to higher risk groups, whereas the NVDPA-2012 guidelines position ezetimibe as second line when LDL-C serum </w:t>
      </w:r>
      <w:r w:rsidR="0076247E" w:rsidRPr="00E631B0">
        <w:rPr>
          <w:rFonts w:asciiTheme="minorHAnsi" w:eastAsia="Times New Roman" w:hAnsiTheme="minorHAnsi" w:cs="Arial"/>
          <w:szCs w:val="24"/>
          <w:lang w:eastAsia="en-AU"/>
        </w:rPr>
        <w:t>concentrations</w:t>
      </w:r>
      <w:r w:rsidR="0076247E" w:rsidRPr="00E631B0">
        <w:rPr>
          <w:rFonts w:asciiTheme="minorHAnsi" w:hAnsiTheme="minorHAnsi"/>
          <w:szCs w:val="24"/>
        </w:rPr>
        <w:t xml:space="preserve"> </w:t>
      </w:r>
      <w:r w:rsidRPr="00E631B0">
        <w:rPr>
          <w:rFonts w:asciiTheme="minorHAnsi" w:hAnsiTheme="minorHAnsi"/>
          <w:szCs w:val="24"/>
        </w:rPr>
        <w:t>are not sufficiently reduced on maximally tolerated doses of a statin. The NHF-2012 guidelines recommend that all patients who have coronary heart disease should be treated with a statin; but also recommend ezetimibe as monotherapy or in combination with a statin. That</w:t>
      </w:r>
      <w:r w:rsidR="006F0544" w:rsidRPr="00E631B0">
        <w:rPr>
          <w:rFonts w:asciiTheme="minorHAnsi" w:hAnsiTheme="minorHAnsi"/>
          <w:szCs w:val="24"/>
        </w:rPr>
        <w:t xml:space="preserve"> is, the NHF-2012 guidelines do</w:t>
      </w:r>
      <w:r w:rsidRPr="00E631B0">
        <w:rPr>
          <w:rFonts w:asciiTheme="minorHAnsi" w:hAnsiTheme="minorHAnsi"/>
          <w:szCs w:val="24"/>
        </w:rPr>
        <w:t xml:space="preserve"> not explicitly position ezetimibe as a second line therapy.</w:t>
      </w:r>
    </w:p>
    <w:p w14:paraId="193B290F" w14:textId="5D8D5C56"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The approach to treatment to prevent cardiovascular events is similar across the identified guidelines. The variation between guidelines refl</w:t>
      </w:r>
      <w:r w:rsidR="006F0544" w:rsidRPr="00E631B0">
        <w:rPr>
          <w:rFonts w:asciiTheme="minorHAnsi" w:hAnsiTheme="minorHAnsi"/>
          <w:szCs w:val="24"/>
        </w:rPr>
        <w:t>ects differences</w:t>
      </w:r>
      <w:r w:rsidRPr="00E631B0">
        <w:rPr>
          <w:rFonts w:asciiTheme="minorHAnsi" w:hAnsiTheme="minorHAnsi"/>
          <w:szCs w:val="24"/>
        </w:rPr>
        <w:t xml:space="preserve"> in</w:t>
      </w:r>
      <w:r w:rsidR="006F0544" w:rsidRPr="00E631B0">
        <w:rPr>
          <w:rFonts w:asciiTheme="minorHAnsi" w:hAnsiTheme="minorHAnsi"/>
          <w:szCs w:val="24"/>
        </w:rPr>
        <w:t>:</w:t>
      </w:r>
      <w:r w:rsidRPr="00E631B0">
        <w:rPr>
          <w:rFonts w:asciiTheme="minorHAnsi" w:hAnsiTheme="minorHAnsi"/>
          <w:szCs w:val="24"/>
        </w:rPr>
        <w:t xml:space="preserve"> baseline absolute risk in each country; which risk values are used (five year or ten year); and the approach to which pharmacotherapy is preferred where further reduction in lipids is required. </w:t>
      </w:r>
    </w:p>
    <w:p w14:paraId="0DA2D53B" w14:textId="131C31C7" w:rsidR="0000686B" w:rsidRPr="00E631B0" w:rsidRDefault="003848A8" w:rsidP="005A2287">
      <w:pPr>
        <w:pStyle w:val="Heading3"/>
        <w:jc w:val="left"/>
      </w:pPr>
      <w:bookmarkStart w:id="74" w:name="_Toc500510234"/>
      <w:r w:rsidRPr="00E631B0">
        <w:t>2.</w:t>
      </w:r>
      <w:r w:rsidR="0000686B" w:rsidRPr="00E631B0">
        <w:t>2.4</w:t>
      </w:r>
      <w:r w:rsidR="000F1815" w:rsidRPr="00E631B0">
        <w:tab/>
      </w:r>
      <w:r w:rsidR="0000686B" w:rsidRPr="00E631B0">
        <w:t>Recently published literature</w:t>
      </w:r>
      <w:bookmarkEnd w:id="74"/>
    </w:p>
    <w:p w14:paraId="3ADAF56D" w14:textId="77777777" w:rsidR="0000686B" w:rsidRPr="00E631B0" w:rsidRDefault="0000686B" w:rsidP="00AD7EAC">
      <w:pPr>
        <w:spacing w:after="0" w:line="240" w:lineRule="auto"/>
        <w:jc w:val="left"/>
      </w:pPr>
      <w:r w:rsidRPr="00E631B0">
        <w:rPr>
          <w:rFonts w:asciiTheme="minorHAnsi" w:hAnsiTheme="minorHAnsi"/>
          <w:szCs w:val="24"/>
        </w:rPr>
        <w:t>In addition to the CHPR review of clinical guidelines, the Reference Group considered a</w:t>
      </w:r>
      <w:r w:rsidR="00A2779C" w:rsidRPr="00E631B0">
        <w:rPr>
          <w:rFonts w:asciiTheme="minorHAnsi" w:hAnsiTheme="minorHAnsi"/>
          <w:szCs w:val="24"/>
        </w:rPr>
        <w:t xml:space="preserve"> number of</w:t>
      </w:r>
      <w:r w:rsidR="00C01A97" w:rsidRPr="00E631B0">
        <w:rPr>
          <w:rFonts w:asciiTheme="minorHAnsi" w:hAnsiTheme="minorHAnsi"/>
          <w:szCs w:val="24"/>
        </w:rPr>
        <w:t xml:space="preserve"> additional</w:t>
      </w:r>
      <w:r w:rsidR="006F0544" w:rsidRPr="00E631B0">
        <w:rPr>
          <w:rFonts w:asciiTheme="minorHAnsi" w:hAnsiTheme="minorHAnsi"/>
          <w:szCs w:val="24"/>
        </w:rPr>
        <w:t>,</w:t>
      </w:r>
      <w:r w:rsidR="00C01A97" w:rsidRPr="00E631B0">
        <w:rPr>
          <w:rFonts w:asciiTheme="minorHAnsi" w:hAnsiTheme="minorHAnsi"/>
          <w:szCs w:val="24"/>
        </w:rPr>
        <w:t xml:space="preserve"> more recent </w:t>
      </w:r>
      <w:r w:rsidR="00A2779C" w:rsidRPr="00E631B0">
        <w:rPr>
          <w:rFonts w:asciiTheme="minorHAnsi" w:hAnsiTheme="minorHAnsi"/>
          <w:szCs w:val="24"/>
        </w:rPr>
        <w:t xml:space="preserve">research papers relevant to the Review. The </w:t>
      </w:r>
      <w:r w:rsidRPr="00E631B0">
        <w:rPr>
          <w:rFonts w:asciiTheme="minorHAnsi" w:hAnsiTheme="minorHAnsi"/>
          <w:szCs w:val="24"/>
        </w:rPr>
        <w:t xml:space="preserve">study </w:t>
      </w:r>
      <w:r w:rsidR="00C01A97" w:rsidRPr="00E631B0">
        <w:rPr>
          <w:rFonts w:asciiTheme="minorHAnsi" w:hAnsiTheme="minorHAnsi"/>
          <w:szCs w:val="24"/>
        </w:rPr>
        <w:t xml:space="preserve">by </w:t>
      </w:r>
      <w:r w:rsidRPr="00E631B0">
        <w:rPr>
          <w:rFonts w:asciiTheme="minorHAnsi" w:hAnsiTheme="minorHAnsi"/>
          <w:szCs w:val="24"/>
        </w:rPr>
        <w:t>Bohula et al</w:t>
      </w:r>
      <w:r w:rsidR="00D81EE3" w:rsidRPr="00E631B0">
        <w:rPr>
          <w:rStyle w:val="EndnoteReference"/>
          <w:rFonts w:asciiTheme="minorHAnsi" w:hAnsiTheme="minorHAnsi"/>
          <w:szCs w:val="24"/>
        </w:rPr>
        <w:endnoteReference w:id="36"/>
      </w:r>
      <w:r w:rsidR="00D81EE3" w:rsidRPr="00E631B0">
        <w:rPr>
          <w:rFonts w:asciiTheme="minorHAnsi" w:hAnsiTheme="minorHAnsi"/>
          <w:szCs w:val="24"/>
        </w:rPr>
        <w:t xml:space="preserve"> </w:t>
      </w:r>
      <w:r w:rsidRPr="00E631B0">
        <w:rPr>
          <w:rFonts w:asciiTheme="minorHAnsi" w:hAnsiTheme="minorHAnsi"/>
          <w:szCs w:val="24"/>
        </w:rPr>
        <w:t xml:space="preserve">defines subgroups of IMPROVE-IT participants </w:t>
      </w:r>
      <w:r w:rsidRPr="00E631B0">
        <w:rPr>
          <w:rFonts w:asciiTheme="minorHAnsi" w:hAnsiTheme="minorHAnsi"/>
        </w:rPr>
        <w:t>who benefitted most from ezetimibe</w:t>
      </w:r>
      <w:r w:rsidR="00AA3B4D" w:rsidRPr="00E631B0">
        <w:rPr>
          <w:rFonts w:asciiTheme="minorHAnsi" w:hAnsiTheme="minorHAnsi"/>
        </w:rPr>
        <w:t>. T</w:t>
      </w:r>
      <w:r w:rsidR="00AA3B4D" w:rsidRPr="00E631B0">
        <w:rPr>
          <w:rFonts w:asciiTheme="minorHAnsi" w:hAnsiTheme="minorHAnsi"/>
          <w:szCs w:val="24"/>
        </w:rPr>
        <w:t xml:space="preserve">hose who showed significant benefit from ezetimibe/statin </w:t>
      </w:r>
      <w:r w:rsidR="00AA3B4D" w:rsidRPr="00E631B0">
        <w:rPr>
          <w:rFonts w:asciiTheme="minorHAnsi" w:hAnsiTheme="minorHAnsi"/>
          <w:szCs w:val="24"/>
        </w:rPr>
        <w:lastRenderedPageBreak/>
        <w:t xml:space="preserve">therapy were in the highest cardiovascular risk category i.e. the secondary prevention group with three or more additional risk factors. This </w:t>
      </w:r>
      <w:r w:rsidRPr="00E631B0">
        <w:rPr>
          <w:rFonts w:asciiTheme="minorHAnsi" w:hAnsiTheme="minorHAnsi"/>
        </w:rPr>
        <w:t xml:space="preserve">reconfirms ezetimibe’s place in therapy as second line to statins and in patients with highest risk. For further details on this study refer to </w:t>
      </w:r>
      <w:r w:rsidR="006F0544" w:rsidRPr="00E631B0">
        <w:rPr>
          <w:rFonts w:asciiTheme="minorHAnsi" w:hAnsiTheme="minorHAnsi"/>
        </w:rPr>
        <w:t xml:space="preserve">TOR </w:t>
      </w:r>
      <w:r w:rsidRPr="00E631B0">
        <w:rPr>
          <w:rFonts w:asciiTheme="minorHAnsi" w:hAnsiTheme="minorHAnsi"/>
        </w:rPr>
        <w:t>3</w:t>
      </w:r>
      <w:r w:rsidR="00847F3C" w:rsidRPr="00E631B0">
        <w:rPr>
          <w:rFonts w:asciiTheme="minorHAnsi" w:hAnsiTheme="minorHAnsi"/>
        </w:rPr>
        <w:t>.</w:t>
      </w:r>
    </w:p>
    <w:p w14:paraId="7D062AE3" w14:textId="77777777" w:rsidR="00D533CF" w:rsidRPr="00E631B0" w:rsidRDefault="00D533CF" w:rsidP="00AD7EAC">
      <w:pPr>
        <w:spacing w:after="0" w:line="240" w:lineRule="auto"/>
        <w:jc w:val="left"/>
        <w:rPr>
          <w:rFonts w:asciiTheme="minorHAnsi" w:hAnsiTheme="minorHAnsi"/>
        </w:rPr>
      </w:pPr>
    </w:p>
    <w:p w14:paraId="70A853ED" w14:textId="4C35BA98" w:rsidR="0000686B" w:rsidRPr="00E631B0" w:rsidRDefault="00D533CF" w:rsidP="00AD7EAC">
      <w:pPr>
        <w:spacing w:after="0" w:line="240" w:lineRule="auto"/>
        <w:jc w:val="left"/>
        <w:rPr>
          <w:rFonts w:asciiTheme="minorHAnsi" w:hAnsiTheme="minorHAnsi"/>
          <w:szCs w:val="24"/>
        </w:rPr>
      </w:pPr>
      <w:r w:rsidRPr="00E631B0">
        <w:rPr>
          <w:rFonts w:asciiTheme="minorHAnsi" w:hAnsiTheme="minorHAnsi"/>
        </w:rPr>
        <w:t>A</w:t>
      </w:r>
      <w:r w:rsidRPr="00E631B0">
        <w:rPr>
          <w:szCs w:val="24"/>
        </w:rPr>
        <w:t xml:space="preserve"> </w:t>
      </w:r>
      <w:r w:rsidRPr="00E631B0">
        <w:rPr>
          <w:rFonts w:asciiTheme="minorHAnsi" w:hAnsiTheme="minorHAnsi"/>
          <w:szCs w:val="24"/>
        </w:rPr>
        <w:t xml:space="preserve">sub </w:t>
      </w:r>
      <w:r w:rsidR="006F0544" w:rsidRPr="00E631B0">
        <w:rPr>
          <w:rFonts w:asciiTheme="minorHAnsi" w:hAnsiTheme="minorHAnsi"/>
          <w:szCs w:val="24"/>
        </w:rPr>
        <w:t>group analysis of the IMPROVE-IT</w:t>
      </w:r>
      <w:r w:rsidRPr="00E631B0">
        <w:rPr>
          <w:rFonts w:asciiTheme="minorHAnsi" w:hAnsiTheme="minorHAnsi"/>
          <w:szCs w:val="24"/>
        </w:rPr>
        <w:t xml:space="preserve"> trial in high risk patients</w:t>
      </w:r>
      <w:r w:rsidR="00D81EE3" w:rsidRPr="00E631B0">
        <w:rPr>
          <w:rStyle w:val="EndnoteReference"/>
          <w:rFonts w:asciiTheme="minorHAnsi" w:hAnsiTheme="minorHAnsi"/>
          <w:szCs w:val="24"/>
        </w:rPr>
        <w:endnoteReference w:id="37"/>
      </w:r>
      <w:r w:rsidR="00D81EE3" w:rsidRPr="00E631B0">
        <w:rPr>
          <w:rFonts w:asciiTheme="minorHAnsi" w:hAnsiTheme="minorHAnsi"/>
          <w:szCs w:val="24"/>
        </w:rPr>
        <w:t xml:space="preserve"> </w:t>
      </w:r>
      <w:r w:rsidRPr="00E631B0">
        <w:rPr>
          <w:rFonts w:asciiTheme="minorHAnsi" w:hAnsiTheme="minorHAnsi"/>
          <w:szCs w:val="24"/>
        </w:rPr>
        <w:t>and accompanying editorial</w:t>
      </w:r>
      <w:r w:rsidR="00D81EE3" w:rsidRPr="00E631B0">
        <w:rPr>
          <w:rFonts w:asciiTheme="minorHAnsi" w:hAnsiTheme="minorHAnsi"/>
          <w:vertAlign w:val="superscript"/>
        </w:rPr>
        <w:endnoteReference w:id="38"/>
      </w:r>
      <w:r w:rsidR="00D81EE3" w:rsidRPr="00E631B0">
        <w:rPr>
          <w:rFonts w:asciiTheme="minorHAnsi" w:hAnsiTheme="minorHAnsi"/>
          <w:szCs w:val="24"/>
        </w:rPr>
        <w:t xml:space="preserve"> </w:t>
      </w:r>
      <w:r w:rsidR="00AA3B4D" w:rsidRPr="00E631B0">
        <w:rPr>
          <w:rFonts w:asciiTheme="minorHAnsi" w:hAnsiTheme="minorHAnsi"/>
          <w:szCs w:val="24"/>
        </w:rPr>
        <w:t xml:space="preserve">also </w:t>
      </w:r>
      <w:r w:rsidRPr="00E631B0">
        <w:rPr>
          <w:rFonts w:asciiTheme="minorHAnsi" w:hAnsiTheme="minorHAnsi"/>
          <w:szCs w:val="24"/>
        </w:rPr>
        <w:t xml:space="preserve">suggests that benefit from ezetimibe is restricted to those with high risk in a secondary prevention </w:t>
      </w:r>
      <w:r w:rsidR="004631BF" w:rsidRPr="00E631B0">
        <w:rPr>
          <w:rFonts w:asciiTheme="minorHAnsi" w:hAnsiTheme="minorHAnsi"/>
          <w:szCs w:val="24"/>
        </w:rPr>
        <w:t>population;</w:t>
      </w:r>
      <w:r w:rsidR="00E1330E" w:rsidRPr="00E631B0">
        <w:rPr>
          <w:rFonts w:asciiTheme="minorHAnsi" w:hAnsiTheme="minorHAnsi"/>
          <w:szCs w:val="24"/>
        </w:rPr>
        <w:t xml:space="preserve"> in this </w:t>
      </w:r>
      <w:r w:rsidR="004631BF" w:rsidRPr="00E631B0">
        <w:rPr>
          <w:rFonts w:asciiTheme="minorHAnsi" w:hAnsiTheme="minorHAnsi"/>
          <w:szCs w:val="24"/>
        </w:rPr>
        <w:t>case,</w:t>
      </w:r>
      <w:r w:rsidR="00E1330E" w:rsidRPr="00E631B0">
        <w:rPr>
          <w:rFonts w:asciiTheme="minorHAnsi" w:hAnsiTheme="minorHAnsi"/>
          <w:szCs w:val="24"/>
        </w:rPr>
        <w:t xml:space="preserve"> those with prior </w:t>
      </w:r>
      <w:r w:rsidR="00A2217A" w:rsidRPr="00E631B0">
        <w:rPr>
          <w:rFonts w:asciiTheme="minorHAnsi" w:hAnsiTheme="minorHAnsi"/>
          <w:szCs w:val="24"/>
        </w:rPr>
        <w:t xml:space="preserve">CABG </w:t>
      </w:r>
      <w:r w:rsidR="00E1330E" w:rsidRPr="00E631B0">
        <w:rPr>
          <w:rFonts w:asciiTheme="minorHAnsi" w:hAnsiTheme="minorHAnsi"/>
          <w:szCs w:val="24"/>
        </w:rPr>
        <w:t>and acute coronary syndrome.</w:t>
      </w:r>
      <w:r w:rsidR="00A2217A" w:rsidRPr="00E631B0">
        <w:rPr>
          <w:rFonts w:asciiTheme="minorHAnsi" w:hAnsiTheme="minorHAnsi"/>
          <w:szCs w:val="24"/>
        </w:rPr>
        <w:t xml:space="preserve"> Patients with prior CABG received significantly greater benefit from treatment with ezetimibe in addition to simvastatin compared to those without prior CABG (Absolute Risk Reduction of 8.8% versus 1.3%).</w:t>
      </w:r>
    </w:p>
    <w:p w14:paraId="04A8A8E8" w14:textId="77777777" w:rsidR="00D533CF" w:rsidRPr="00E631B0" w:rsidRDefault="00D533CF" w:rsidP="00AD7EAC">
      <w:pPr>
        <w:spacing w:after="0" w:line="240" w:lineRule="auto"/>
        <w:jc w:val="left"/>
        <w:rPr>
          <w:szCs w:val="24"/>
        </w:rPr>
      </w:pPr>
    </w:p>
    <w:p w14:paraId="55647EDB" w14:textId="1CDFAED8" w:rsidR="00C01A97" w:rsidRPr="00E631B0" w:rsidRDefault="00484A70" w:rsidP="00AD7EAC">
      <w:pPr>
        <w:spacing w:after="0" w:line="240" w:lineRule="auto"/>
        <w:jc w:val="left"/>
        <w:rPr>
          <w:rFonts w:asciiTheme="minorHAnsi" w:hAnsiTheme="minorHAnsi"/>
          <w:szCs w:val="24"/>
        </w:rPr>
      </w:pPr>
      <w:r w:rsidRPr="00E631B0">
        <w:rPr>
          <w:rFonts w:asciiTheme="minorHAnsi" w:hAnsiTheme="minorHAnsi"/>
          <w:szCs w:val="24"/>
        </w:rPr>
        <w:t xml:space="preserve">A recently published </w:t>
      </w:r>
      <w:r w:rsidR="006F249B" w:rsidRPr="00E631B0">
        <w:rPr>
          <w:rFonts w:asciiTheme="minorHAnsi" w:hAnsiTheme="minorHAnsi"/>
          <w:szCs w:val="24"/>
        </w:rPr>
        <w:t xml:space="preserve">paper </w:t>
      </w:r>
      <w:r w:rsidRPr="00E631B0">
        <w:rPr>
          <w:rFonts w:asciiTheme="minorHAnsi" w:hAnsiTheme="minorHAnsi"/>
          <w:szCs w:val="24"/>
        </w:rPr>
        <w:t xml:space="preserve">by </w:t>
      </w:r>
      <w:r w:rsidR="00FC1FA8" w:rsidRPr="00E631B0">
        <w:rPr>
          <w:rFonts w:asciiTheme="minorHAnsi" w:hAnsiTheme="minorHAnsi"/>
          <w:szCs w:val="24"/>
        </w:rPr>
        <w:t>Yang et al</w:t>
      </w:r>
      <w:r w:rsidR="00D81EE3" w:rsidRPr="00E631B0">
        <w:rPr>
          <w:rStyle w:val="EndnoteReference"/>
          <w:rFonts w:asciiTheme="minorHAnsi" w:hAnsiTheme="minorHAnsi"/>
          <w:szCs w:val="24"/>
        </w:rPr>
        <w:endnoteReference w:id="39"/>
      </w:r>
      <w:r w:rsidR="00D81EE3" w:rsidRPr="00E631B0">
        <w:rPr>
          <w:rFonts w:asciiTheme="minorHAnsi" w:hAnsiTheme="minorHAnsi"/>
          <w:szCs w:val="24"/>
        </w:rPr>
        <w:t xml:space="preserve"> </w:t>
      </w:r>
      <w:r w:rsidR="006F249B" w:rsidRPr="00E631B0">
        <w:rPr>
          <w:rFonts w:asciiTheme="minorHAnsi" w:hAnsiTheme="minorHAnsi"/>
          <w:szCs w:val="24"/>
        </w:rPr>
        <w:t xml:space="preserve">also supports benefit of statin/ezetimibe combination therapy in those patients with high risk. This study enrolled </w:t>
      </w:r>
      <w:r w:rsidR="00FC1FA8" w:rsidRPr="00E631B0">
        <w:rPr>
          <w:rFonts w:asciiTheme="minorHAnsi" w:hAnsiTheme="minorHAnsi"/>
          <w:szCs w:val="24"/>
        </w:rPr>
        <w:t>245 patients with high or moderately high risk of CVD as defined by the National Cholesterol Education Program Adult Treatment Panel 3.</w:t>
      </w:r>
      <w:r w:rsidR="001A5A52" w:rsidRPr="00E631B0">
        <w:rPr>
          <w:rFonts w:asciiTheme="minorHAnsi" w:hAnsiTheme="minorHAnsi"/>
          <w:szCs w:val="24"/>
        </w:rPr>
        <w:t xml:space="preserve"> </w:t>
      </w:r>
      <w:r w:rsidR="00FC1FA8" w:rsidRPr="00E631B0">
        <w:rPr>
          <w:rFonts w:asciiTheme="minorHAnsi" w:hAnsiTheme="minorHAnsi"/>
          <w:szCs w:val="24"/>
        </w:rPr>
        <w:t xml:space="preserve">Patients received one of six </w:t>
      </w:r>
      <w:r w:rsidRPr="00E631B0">
        <w:rPr>
          <w:rFonts w:asciiTheme="minorHAnsi" w:hAnsiTheme="minorHAnsi"/>
          <w:szCs w:val="24"/>
        </w:rPr>
        <w:t>rosuvastatin</w:t>
      </w:r>
      <w:r w:rsidR="00FC1FA8" w:rsidRPr="00E631B0">
        <w:rPr>
          <w:rFonts w:asciiTheme="minorHAnsi" w:hAnsiTheme="minorHAnsi"/>
          <w:szCs w:val="24"/>
        </w:rPr>
        <w:t xml:space="preserve"> monotherapy or </w:t>
      </w:r>
      <w:r w:rsidRPr="00E631B0">
        <w:rPr>
          <w:rFonts w:asciiTheme="minorHAnsi" w:hAnsiTheme="minorHAnsi"/>
          <w:szCs w:val="24"/>
        </w:rPr>
        <w:t>rosuvastatin</w:t>
      </w:r>
      <w:r w:rsidR="00FC1FA8" w:rsidRPr="00E631B0">
        <w:rPr>
          <w:rFonts w:asciiTheme="minorHAnsi" w:hAnsiTheme="minorHAnsi"/>
          <w:szCs w:val="24"/>
        </w:rPr>
        <w:t xml:space="preserve">/ezetimibe combination regimens for eight weeks. </w:t>
      </w:r>
      <w:r w:rsidR="00AF0690" w:rsidRPr="00E631B0">
        <w:rPr>
          <w:rFonts w:asciiTheme="minorHAnsi" w:hAnsiTheme="minorHAnsi"/>
          <w:szCs w:val="24"/>
        </w:rPr>
        <w:t>The proportion of patients with a</w:t>
      </w:r>
      <w:r w:rsidR="00FC1FA8" w:rsidRPr="00E631B0">
        <w:rPr>
          <w:rFonts w:asciiTheme="minorHAnsi" w:hAnsiTheme="minorHAnsi"/>
          <w:szCs w:val="24"/>
        </w:rPr>
        <w:t>dverse events w</w:t>
      </w:r>
      <w:r w:rsidR="00AF0690" w:rsidRPr="00E631B0">
        <w:rPr>
          <w:rFonts w:asciiTheme="minorHAnsi" w:hAnsiTheme="minorHAnsi"/>
          <w:szCs w:val="24"/>
        </w:rPr>
        <w:t xml:space="preserve">as </w:t>
      </w:r>
      <w:r w:rsidR="00FC1FA8" w:rsidRPr="00E631B0">
        <w:rPr>
          <w:rFonts w:asciiTheme="minorHAnsi" w:hAnsiTheme="minorHAnsi"/>
          <w:szCs w:val="24"/>
        </w:rPr>
        <w:t>not</w:t>
      </w:r>
      <w:r w:rsidR="00AF0690" w:rsidRPr="00E631B0">
        <w:rPr>
          <w:rFonts w:asciiTheme="minorHAnsi" w:hAnsiTheme="minorHAnsi"/>
          <w:szCs w:val="24"/>
        </w:rPr>
        <w:t xml:space="preserve"> significantly </w:t>
      </w:r>
      <w:r w:rsidR="00FC1FA8" w:rsidRPr="00E631B0">
        <w:rPr>
          <w:rFonts w:asciiTheme="minorHAnsi" w:hAnsiTheme="minorHAnsi"/>
          <w:szCs w:val="24"/>
        </w:rPr>
        <w:t xml:space="preserve">  different between the </w:t>
      </w:r>
      <w:r w:rsidRPr="00E631B0">
        <w:rPr>
          <w:rFonts w:asciiTheme="minorHAnsi" w:hAnsiTheme="minorHAnsi"/>
          <w:szCs w:val="24"/>
        </w:rPr>
        <w:t xml:space="preserve">monotherapy and combination therapy </w:t>
      </w:r>
      <w:r w:rsidR="00FC1FA8" w:rsidRPr="00E631B0">
        <w:rPr>
          <w:rFonts w:asciiTheme="minorHAnsi" w:hAnsiTheme="minorHAnsi"/>
          <w:szCs w:val="24"/>
        </w:rPr>
        <w:t xml:space="preserve">groups. The combination therapy lowered LDL-C </w:t>
      </w:r>
      <w:r w:rsidR="0076247E" w:rsidRPr="00E631B0">
        <w:rPr>
          <w:rFonts w:asciiTheme="minorHAnsi" w:eastAsia="Times New Roman" w:hAnsiTheme="minorHAnsi" w:cs="Arial"/>
          <w:szCs w:val="24"/>
          <w:lang w:eastAsia="en-AU"/>
        </w:rPr>
        <w:t>concentrations</w:t>
      </w:r>
      <w:r w:rsidR="0076247E" w:rsidRPr="00E631B0">
        <w:rPr>
          <w:rFonts w:asciiTheme="minorHAnsi" w:hAnsiTheme="minorHAnsi"/>
          <w:szCs w:val="24"/>
        </w:rPr>
        <w:t xml:space="preserve"> </w:t>
      </w:r>
      <w:r w:rsidR="00FC1FA8" w:rsidRPr="00E631B0">
        <w:rPr>
          <w:rFonts w:asciiTheme="minorHAnsi" w:hAnsiTheme="minorHAnsi"/>
          <w:szCs w:val="24"/>
        </w:rPr>
        <w:t xml:space="preserve">and achieved the LDL-C target in </w:t>
      </w:r>
      <w:r w:rsidRPr="00E631B0">
        <w:rPr>
          <w:rFonts w:asciiTheme="minorHAnsi" w:hAnsiTheme="minorHAnsi"/>
          <w:szCs w:val="24"/>
        </w:rPr>
        <w:t xml:space="preserve">patients </w:t>
      </w:r>
      <w:r w:rsidR="00FC1FA8" w:rsidRPr="00E631B0">
        <w:rPr>
          <w:rFonts w:asciiTheme="minorHAnsi" w:hAnsiTheme="minorHAnsi"/>
          <w:szCs w:val="24"/>
        </w:rPr>
        <w:t>with high cardiovascular risk.</w:t>
      </w:r>
    </w:p>
    <w:p w14:paraId="0B6388B4" w14:textId="0F034EA3" w:rsidR="0000686B" w:rsidRPr="00E631B0" w:rsidRDefault="003848A8" w:rsidP="005A2287">
      <w:pPr>
        <w:pStyle w:val="Heading3"/>
        <w:jc w:val="left"/>
      </w:pPr>
      <w:bookmarkStart w:id="75" w:name="_Toc500510235"/>
      <w:r w:rsidRPr="00E631B0">
        <w:t>2.</w:t>
      </w:r>
      <w:r w:rsidR="006F0544" w:rsidRPr="00E631B0">
        <w:t>2.5</w:t>
      </w:r>
      <w:r w:rsidR="006F0544" w:rsidRPr="00E631B0">
        <w:tab/>
        <w:t>Australian g</w:t>
      </w:r>
      <w:r w:rsidR="0000686B" w:rsidRPr="00E631B0">
        <w:t>uidelines compared to the PBS GSLLD</w:t>
      </w:r>
      <w:bookmarkEnd w:id="75"/>
    </w:p>
    <w:p w14:paraId="04801F83" w14:textId="0CEC84A1" w:rsidR="0000686B" w:rsidRPr="00E631B0" w:rsidRDefault="0000686B" w:rsidP="00AD7EAC">
      <w:pPr>
        <w:spacing w:line="240" w:lineRule="auto"/>
        <w:jc w:val="left"/>
        <w:rPr>
          <w:rFonts w:asciiTheme="minorHAnsi" w:hAnsiTheme="minorHAnsi"/>
        </w:rPr>
      </w:pPr>
      <w:r w:rsidRPr="00E631B0">
        <w:rPr>
          <w:rFonts w:asciiTheme="minorHAnsi" w:hAnsiTheme="minorHAnsi"/>
        </w:rPr>
        <w:t xml:space="preserve">In examining the differences between the NVDPA-2012 and the GSLLD, the Reference Group noted that the purpose of each document is different. The NVDPA-2012 provides guidance for therapy, including pharmacotherapy, in individual patients at risk of </w:t>
      </w:r>
      <w:r w:rsidR="006F0544" w:rsidRPr="00E631B0">
        <w:rPr>
          <w:rFonts w:asciiTheme="minorHAnsi" w:hAnsiTheme="minorHAnsi"/>
        </w:rPr>
        <w:t>CVD</w:t>
      </w:r>
      <w:r w:rsidRPr="00E631B0">
        <w:rPr>
          <w:rFonts w:asciiTheme="minorHAnsi" w:hAnsiTheme="minorHAnsi"/>
        </w:rPr>
        <w:t>. The GSLLD is constructed from sequential considerations of evidence of relative effectiveness and cost</w:t>
      </w:r>
      <w:r w:rsidR="00216B38" w:rsidRPr="00E631B0">
        <w:rPr>
          <w:rFonts w:asciiTheme="minorHAnsi" w:hAnsiTheme="minorHAnsi"/>
        </w:rPr>
        <w:t>-</w:t>
      </w:r>
      <w:r w:rsidRPr="00E631B0">
        <w:rPr>
          <w:rFonts w:asciiTheme="minorHAnsi" w:hAnsiTheme="minorHAnsi"/>
        </w:rPr>
        <w:t>effectiveness considered by the PBAC for the purposes of subsidy on the PBS.</w:t>
      </w:r>
    </w:p>
    <w:p w14:paraId="424587F5" w14:textId="77777777" w:rsidR="0000686B" w:rsidRPr="00E631B0" w:rsidRDefault="0000686B" w:rsidP="00AD7EAC">
      <w:pPr>
        <w:spacing w:line="240" w:lineRule="auto"/>
        <w:jc w:val="left"/>
        <w:rPr>
          <w:rFonts w:asciiTheme="minorHAnsi" w:hAnsiTheme="minorHAnsi"/>
        </w:rPr>
      </w:pPr>
      <w:r w:rsidRPr="00E631B0">
        <w:rPr>
          <w:rFonts w:asciiTheme="minorHAnsi" w:hAnsiTheme="minorHAnsi"/>
        </w:rPr>
        <w:t>The GSLLD and NVDPA-2012 guidelines are broadly consistent in terms of the risk factors that are considered prior to commencing treatment. The main differences are:</w:t>
      </w:r>
    </w:p>
    <w:p w14:paraId="007D91A8" w14:textId="68A8DDEA" w:rsidR="0000686B" w:rsidRPr="00E631B0" w:rsidRDefault="0000686B" w:rsidP="00AD7EAC">
      <w:pPr>
        <w:pStyle w:val="ListParagraph"/>
        <w:numPr>
          <w:ilvl w:val="0"/>
          <w:numId w:val="12"/>
        </w:numPr>
        <w:spacing w:after="120" w:line="240" w:lineRule="auto"/>
        <w:ind w:left="426" w:hanging="426"/>
        <w:contextualSpacing w:val="0"/>
        <w:jc w:val="left"/>
        <w:rPr>
          <w:rFonts w:asciiTheme="minorHAnsi" w:hAnsiTheme="minorHAnsi"/>
        </w:rPr>
      </w:pPr>
      <w:r w:rsidRPr="00E631B0">
        <w:rPr>
          <w:rFonts w:asciiTheme="minorHAnsi" w:hAnsiTheme="minorHAnsi"/>
        </w:rPr>
        <w:t xml:space="preserve">Target </w:t>
      </w:r>
      <w:r w:rsidR="0076247E" w:rsidRPr="00E631B0">
        <w:rPr>
          <w:rFonts w:asciiTheme="minorHAnsi" w:eastAsia="Times New Roman" w:hAnsiTheme="minorHAnsi" w:cs="Arial"/>
          <w:szCs w:val="24"/>
          <w:lang w:eastAsia="en-AU"/>
        </w:rPr>
        <w:t>concentrations</w:t>
      </w:r>
      <w:r w:rsidR="006F0544" w:rsidRPr="00E631B0">
        <w:rPr>
          <w:rFonts w:asciiTheme="minorHAnsi" w:hAnsiTheme="minorHAnsi"/>
        </w:rPr>
        <w:t xml:space="preserve"> of LDL-C, triglycerides</w:t>
      </w:r>
      <w:r w:rsidRPr="00E631B0">
        <w:rPr>
          <w:rFonts w:asciiTheme="minorHAnsi" w:hAnsiTheme="minorHAnsi"/>
        </w:rPr>
        <w:t xml:space="preserve"> and HDL-C that provide thresholds for commencing pharmacotherapy are slightly different. The serum lipid </w:t>
      </w:r>
      <w:r w:rsidR="0076247E" w:rsidRPr="00E631B0">
        <w:rPr>
          <w:rFonts w:asciiTheme="minorHAnsi" w:eastAsia="Times New Roman" w:hAnsiTheme="minorHAnsi" w:cs="Arial"/>
          <w:szCs w:val="24"/>
          <w:lang w:eastAsia="en-AU"/>
        </w:rPr>
        <w:t>concentrations</w:t>
      </w:r>
      <w:r w:rsidR="0076247E" w:rsidRPr="00E631B0">
        <w:rPr>
          <w:rFonts w:asciiTheme="minorHAnsi" w:hAnsiTheme="minorHAnsi"/>
        </w:rPr>
        <w:t xml:space="preserve"> </w:t>
      </w:r>
      <w:r w:rsidRPr="00E631B0">
        <w:rPr>
          <w:rFonts w:asciiTheme="minorHAnsi" w:hAnsiTheme="minorHAnsi"/>
        </w:rPr>
        <w:t>form one part of the absolute risk categorisation. Some patients could be eligible for subsidised drugs because of their serum lipids when considered in isolation, but would not be eligible according to their calculated risk. Conversely, some patients have higher risk according to the NVDPA-2012</w:t>
      </w:r>
      <w:r w:rsidR="00E53895" w:rsidRPr="00E631B0">
        <w:rPr>
          <w:rFonts w:asciiTheme="minorHAnsi" w:hAnsiTheme="minorHAnsi"/>
        </w:rPr>
        <w:t>,</w:t>
      </w:r>
      <w:r w:rsidRPr="00E631B0">
        <w:rPr>
          <w:rFonts w:asciiTheme="minorHAnsi" w:hAnsiTheme="minorHAnsi"/>
        </w:rPr>
        <w:t xml:space="preserve"> but do not have dyslipidaemia</w:t>
      </w:r>
      <w:r w:rsidR="00C454CC" w:rsidRPr="00E631B0">
        <w:rPr>
          <w:rStyle w:val="EndnoteReference"/>
          <w:rFonts w:asciiTheme="minorHAnsi" w:hAnsiTheme="minorHAnsi"/>
        </w:rPr>
        <w:endnoteReference w:id="40"/>
      </w:r>
      <w:r w:rsidR="006F0544" w:rsidRPr="00E631B0">
        <w:rPr>
          <w:rFonts w:asciiTheme="minorHAnsi" w:hAnsiTheme="minorHAnsi"/>
        </w:rPr>
        <w:t>.</w:t>
      </w:r>
      <w:r w:rsidRPr="00E631B0">
        <w:rPr>
          <w:rFonts w:asciiTheme="minorHAnsi" w:hAnsiTheme="minorHAnsi"/>
        </w:rPr>
        <w:t xml:space="preserve">  </w:t>
      </w:r>
    </w:p>
    <w:p w14:paraId="6C4990BA" w14:textId="77777777" w:rsidR="0000686B" w:rsidRPr="00E631B0" w:rsidRDefault="0000686B" w:rsidP="00AD7EAC">
      <w:pPr>
        <w:pStyle w:val="ListParagraph"/>
        <w:numPr>
          <w:ilvl w:val="1"/>
          <w:numId w:val="12"/>
        </w:numPr>
        <w:spacing w:after="120" w:line="240" w:lineRule="auto"/>
        <w:ind w:left="851"/>
        <w:contextualSpacing w:val="0"/>
        <w:jc w:val="left"/>
        <w:rPr>
          <w:rFonts w:asciiTheme="minorHAnsi" w:hAnsiTheme="minorHAnsi"/>
        </w:rPr>
      </w:pPr>
      <w:r w:rsidRPr="00E631B0">
        <w:rPr>
          <w:rFonts w:asciiTheme="minorHAnsi" w:hAnsiTheme="minorHAnsi"/>
        </w:rPr>
        <w:t>While</w:t>
      </w:r>
      <w:r w:rsidRPr="00E631B0">
        <w:rPr>
          <w:rFonts w:asciiTheme="minorHAnsi" w:hAnsiTheme="minorHAnsi"/>
          <w:b/>
        </w:rPr>
        <w:t xml:space="preserve"> </w:t>
      </w:r>
      <w:r w:rsidRPr="00E631B0">
        <w:rPr>
          <w:rFonts w:asciiTheme="minorHAnsi" w:hAnsiTheme="minorHAnsi"/>
        </w:rPr>
        <w:t>the actual numbers have not been examined in any published study, in their comparison of eligibility for pharmacotherapy in a cohort of 3,627 subjects from the AusDiab study (2004-5)</w:t>
      </w:r>
      <w:r w:rsidR="00C454CC" w:rsidRPr="00E631B0">
        <w:rPr>
          <w:rStyle w:val="EndnoteReference"/>
          <w:rFonts w:asciiTheme="minorHAnsi" w:hAnsiTheme="minorHAnsi"/>
        </w:rPr>
        <w:endnoteReference w:id="41"/>
      </w:r>
      <w:r w:rsidRPr="00E631B0">
        <w:rPr>
          <w:rFonts w:asciiTheme="minorHAnsi" w:hAnsiTheme="minorHAnsi"/>
        </w:rPr>
        <w:t>, 2% of patients would be eligible for treatment in spite of having normal blood pressure and LDL-C serum</w:t>
      </w:r>
      <w:r w:rsidR="0076247E" w:rsidRPr="00E631B0">
        <w:rPr>
          <w:rFonts w:asciiTheme="minorHAnsi" w:hAnsiTheme="minorHAnsi"/>
        </w:rPr>
        <w:t xml:space="preserve"> </w:t>
      </w:r>
      <w:r w:rsidR="0076247E" w:rsidRPr="00E631B0">
        <w:rPr>
          <w:rFonts w:asciiTheme="minorHAnsi" w:eastAsia="Times New Roman" w:hAnsiTheme="minorHAnsi" w:cs="Arial"/>
          <w:szCs w:val="24"/>
          <w:lang w:eastAsia="en-AU"/>
        </w:rPr>
        <w:t>concentrations</w:t>
      </w:r>
      <w:r w:rsidRPr="00E631B0">
        <w:rPr>
          <w:rFonts w:asciiTheme="minorHAnsi" w:hAnsiTheme="minorHAnsi"/>
        </w:rPr>
        <w:t xml:space="preserve">. </w:t>
      </w:r>
    </w:p>
    <w:p w14:paraId="5D422056" w14:textId="77777777" w:rsidR="0000686B" w:rsidRPr="00E631B0" w:rsidRDefault="0000686B" w:rsidP="00AD7EAC">
      <w:pPr>
        <w:pStyle w:val="ListParagraph"/>
        <w:numPr>
          <w:ilvl w:val="0"/>
          <w:numId w:val="12"/>
        </w:numPr>
        <w:spacing w:after="120" w:line="240" w:lineRule="auto"/>
        <w:ind w:left="426" w:hanging="426"/>
        <w:contextualSpacing w:val="0"/>
        <w:jc w:val="left"/>
        <w:rPr>
          <w:rFonts w:asciiTheme="minorHAnsi" w:hAnsiTheme="minorHAnsi"/>
        </w:rPr>
      </w:pPr>
      <w:r w:rsidRPr="00E631B0">
        <w:rPr>
          <w:rFonts w:asciiTheme="minorHAnsi" w:hAnsiTheme="minorHAnsi"/>
        </w:rPr>
        <w:lastRenderedPageBreak/>
        <w:t>The GSLLD does not include consideration of chronic kidney disease</w:t>
      </w:r>
      <w:r w:rsidR="00E53895" w:rsidRPr="00E631B0">
        <w:rPr>
          <w:rFonts w:asciiTheme="minorHAnsi" w:hAnsiTheme="minorHAnsi"/>
        </w:rPr>
        <w:t xml:space="preserve"> (CKD)</w:t>
      </w:r>
      <w:r w:rsidRPr="00E631B0">
        <w:rPr>
          <w:rFonts w:asciiTheme="minorHAnsi" w:hAnsiTheme="minorHAnsi"/>
        </w:rPr>
        <w:t xml:space="preserve"> as a risk factor. The other factors considered in NVDPA-2012 are present in the GSLLD.</w:t>
      </w:r>
    </w:p>
    <w:p w14:paraId="4CDF76B5" w14:textId="77777777" w:rsidR="0000686B" w:rsidRPr="00E631B0" w:rsidRDefault="0000686B" w:rsidP="00AD7EAC">
      <w:pPr>
        <w:pStyle w:val="ListParagraph"/>
        <w:numPr>
          <w:ilvl w:val="0"/>
          <w:numId w:val="12"/>
        </w:numPr>
        <w:spacing w:after="120" w:line="240" w:lineRule="auto"/>
        <w:ind w:left="426" w:hanging="426"/>
        <w:contextualSpacing w:val="0"/>
        <w:jc w:val="left"/>
        <w:rPr>
          <w:rFonts w:asciiTheme="minorHAnsi" w:hAnsiTheme="minorHAnsi"/>
        </w:rPr>
      </w:pPr>
      <w:r w:rsidRPr="00E631B0">
        <w:rPr>
          <w:rFonts w:asciiTheme="minorHAnsi" w:hAnsiTheme="minorHAnsi"/>
        </w:rPr>
        <w:t>The GSLLD does not include a consideration of age while the NVDPA-2012 is recommended for the age range of 35 – 75 years.</w:t>
      </w:r>
    </w:p>
    <w:p w14:paraId="33D9D413" w14:textId="77777777" w:rsidR="0000686B" w:rsidRPr="00E631B0" w:rsidRDefault="0000686B" w:rsidP="00AD7EAC">
      <w:pPr>
        <w:spacing w:line="240" w:lineRule="auto"/>
        <w:jc w:val="left"/>
        <w:rPr>
          <w:rFonts w:asciiTheme="minorHAnsi" w:hAnsiTheme="minorHAnsi"/>
        </w:rPr>
      </w:pPr>
      <w:r w:rsidRPr="00E631B0">
        <w:rPr>
          <w:rFonts w:asciiTheme="minorHAnsi" w:hAnsiTheme="minorHAnsi"/>
        </w:rPr>
        <w:t xml:space="preserve">Table </w:t>
      </w:r>
      <w:r w:rsidR="00EA7D7C" w:rsidRPr="00E631B0">
        <w:rPr>
          <w:rFonts w:asciiTheme="minorHAnsi" w:hAnsiTheme="minorHAnsi"/>
        </w:rPr>
        <w:t>11</w:t>
      </w:r>
      <w:r w:rsidR="001142C3" w:rsidRPr="00E631B0">
        <w:rPr>
          <w:rFonts w:asciiTheme="minorHAnsi" w:hAnsiTheme="minorHAnsi"/>
        </w:rPr>
        <w:t xml:space="preserve"> </w:t>
      </w:r>
      <w:r w:rsidRPr="00E631B0">
        <w:rPr>
          <w:rFonts w:asciiTheme="minorHAnsi" w:hAnsiTheme="minorHAnsi"/>
        </w:rPr>
        <w:t>shows additional details of the comparison between the GSLLD and NVDPA-2012.</w:t>
      </w:r>
    </w:p>
    <w:p w14:paraId="46A999F8" w14:textId="77777777" w:rsidR="0000686B" w:rsidRPr="00E12EF9" w:rsidRDefault="001142C3" w:rsidP="008C22F9">
      <w:pPr>
        <w:pStyle w:val="TableName"/>
      </w:pPr>
      <w:bookmarkStart w:id="76" w:name="_Toc461644654"/>
      <w:r w:rsidRPr="00AE1E65">
        <w:t xml:space="preserve">Table </w:t>
      </w:r>
      <w:r w:rsidR="00EA7D7C" w:rsidRPr="00E12EF9">
        <w:t>11</w:t>
      </w:r>
      <w:r w:rsidR="0000686B" w:rsidRPr="00E12EF9">
        <w:t>: Discrepancies in risk factors corresponding to the high risk of a CVD event</w:t>
      </w:r>
      <w:bookmarkEnd w:id="76"/>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screpancies in risk factors corresponding to the high risk of a CVD event"/>
      </w:tblPr>
      <w:tblGrid>
        <w:gridCol w:w="3003"/>
        <w:gridCol w:w="3004"/>
        <w:gridCol w:w="3004"/>
      </w:tblGrid>
      <w:tr w:rsidR="0000686B" w14:paraId="2EE8C3FE" w14:textId="77777777" w:rsidTr="00847F3C">
        <w:tc>
          <w:tcPr>
            <w:tcW w:w="3003" w:type="dxa"/>
            <w:shd w:val="clear" w:color="auto" w:fill="BFBFBF" w:themeFill="background1" w:themeFillShade="BF"/>
          </w:tcPr>
          <w:p w14:paraId="73849A5B" w14:textId="77777777" w:rsidR="0000686B" w:rsidRPr="0029756E" w:rsidRDefault="0000686B" w:rsidP="005A2287">
            <w:pPr>
              <w:spacing w:before="60" w:after="60"/>
              <w:rPr>
                <w:rFonts w:ascii="Calibri" w:hAnsi="Calibri"/>
                <w:b/>
                <w:sz w:val="22"/>
              </w:rPr>
            </w:pPr>
            <w:r w:rsidRPr="0029756E">
              <w:rPr>
                <w:rFonts w:ascii="Calibri" w:hAnsi="Calibri"/>
                <w:b/>
                <w:sz w:val="22"/>
              </w:rPr>
              <w:t>Risk factor</w:t>
            </w:r>
          </w:p>
        </w:tc>
        <w:tc>
          <w:tcPr>
            <w:tcW w:w="3004" w:type="dxa"/>
            <w:shd w:val="clear" w:color="auto" w:fill="BFBFBF" w:themeFill="background1" w:themeFillShade="BF"/>
          </w:tcPr>
          <w:p w14:paraId="4122780A" w14:textId="77777777" w:rsidR="0000686B" w:rsidRPr="0029756E" w:rsidRDefault="0000686B" w:rsidP="005A2287">
            <w:pPr>
              <w:spacing w:before="60" w:after="60"/>
              <w:rPr>
                <w:rFonts w:ascii="Calibri" w:hAnsi="Calibri"/>
                <w:b/>
                <w:sz w:val="22"/>
              </w:rPr>
            </w:pPr>
            <w:r w:rsidRPr="0029756E">
              <w:rPr>
                <w:rFonts w:ascii="Calibri" w:hAnsi="Calibri"/>
                <w:b/>
                <w:sz w:val="22"/>
              </w:rPr>
              <w:t>Included in GSLLD</w:t>
            </w:r>
          </w:p>
        </w:tc>
        <w:tc>
          <w:tcPr>
            <w:tcW w:w="3004" w:type="dxa"/>
            <w:shd w:val="clear" w:color="auto" w:fill="BFBFBF" w:themeFill="background1" w:themeFillShade="BF"/>
          </w:tcPr>
          <w:p w14:paraId="6263EF86" w14:textId="77777777" w:rsidR="0000686B" w:rsidRPr="0029756E" w:rsidRDefault="0000686B" w:rsidP="005A2287">
            <w:pPr>
              <w:spacing w:before="60" w:after="60"/>
              <w:rPr>
                <w:rFonts w:ascii="Calibri" w:hAnsi="Calibri"/>
                <w:b/>
                <w:sz w:val="22"/>
              </w:rPr>
            </w:pPr>
            <w:r w:rsidRPr="0029756E">
              <w:rPr>
                <w:rFonts w:ascii="Calibri" w:hAnsi="Calibri"/>
                <w:b/>
                <w:sz w:val="22"/>
              </w:rPr>
              <w:t>Included in NVDPA-2012</w:t>
            </w:r>
          </w:p>
        </w:tc>
      </w:tr>
      <w:tr w:rsidR="0000686B" w:rsidRPr="00752C36" w14:paraId="58129275" w14:textId="77777777" w:rsidTr="00847F3C">
        <w:tc>
          <w:tcPr>
            <w:tcW w:w="3003" w:type="dxa"/>
          </w:tcPr>
          <w:p w14:paraId="32B3B8B9" w14:textId="689EE6D5" w:rsidR="0000686B" w:rsidRPr="00752C36" w:rsidRDefault="00E53895" w:rsidP="00E53895">
            <w:pPr>
              <w:spacing w:before="60" w:after="0" w:line="0" w:lineRule="atLeast"/>
              <w:jc w:val="left"/>
              <w:rPr>
                <w:rFonts w:asciiTheme="minorHAnsi" w:hAnsiTheme="minorHAnsi"/>
              </w:rPr>
            </w:pPr>
            <w:r>
              <w:rPr>
                <w:rFonts w:asciiTheme="minorHAnsi" w:hAnsiTheme="minorHAnsi"/>
              </w:rPr>
              <w:t>M</w:t>
            </w:r>
            <w:r w:rsidR="0000686B" w:rsidRPr="00752C36">
              <w:rPr>
                <w:rFonts w:asciiTheme="minorHAnsi" w:hAnsiTheme="minorHAnsi"/>
              </w:rPr>
              <w:t>oderate or severe CKD</w:t>
            </w:r>
          </w:p>
        </w:tc>
        <w:tc>
          <w:tcPr>
            <w:tcW w:w="3004" w:type="dxa"/>
          </w:tcPr>
          <w:p w14:paraId="33C255B1" w14:textId="330A6F78" w:rsidR="0000686B" w:rsidRPr="00752C36" w:rsidRDefault="00E53895" w:rsidP="00136551">
            <w:pPr>
              <w:spacing w:before="60" w:after="0" w:line="0" w:lineRule="atLeast"/>
              <w:jc w:val="left"/>
              <w:rPr>
                <w:rFonts w:asciiTheme="minorHAnsi" w:hAnsiTheme="minorHAnsi"/>
                <w:b/>
                <w:i/>
                <w:color w:val="000000"/>
                <w:u w:val="single"/>
              </w:rPr>
            </w:pPr>
            <w:r>
              <w:rPr>
                <w:rFonts w:asciiTheme="minorHAnsi" w:hAnsiTheme="minorHAnsi"/>
              </w:rPr>
              <w:t>N</w:t>
            </w:r>
            <w:r w:rsidR="0000686B" w:rsidRPr="00752C36">
              <w:rPr>
                <w:rFonts w:asciiTheme="minorHAnsi" w:hAnsiTheme="minorHAnsi"/>
              </w:rPr>
              <w:t>o</w:t>
            </w:r>
          </w:p>
        </w:tc>
        <w:tc>
          <w:tcPr>
            <w:tcW w:w="3004" w:type="dxa"/>
          </w:tcPr>
          <w:p w14:paraId="415E41E4" w14:textId="32630C43" w:rsidR="0000686B" w:rsidRPr="00752C36" w:rsidRDefault="00E53895" w:rsidP="00136551">
            <w:pPr>
              <w:spacing w:before="60" w:after="60"/>
              <w:jc w:val="left"/>
              <w:rPr>
                <w:rFonts w:asciiTheme="minorHAnsi" w:hAnsiTheme="minorHAnsi"/>
                <w:b/>
                <w:i/>
                <w:color w:val="000000"/>
                <w:u w:val="single"/>
              </w:rPr>
            </w:pPr>
            <w:r>
              <w:rPr>
                <w:rFonts w:asciiTheme="minorHAnsi" w:hAnsiTheme="minorHAnsi"/>
              </w:rPr>
              <w:t>Y</w:t>
            </w:r>
            <w:r w:rsidR="0000686B" w:rsidRPr="00752C36">
              <w:rPr>
                <w:rFonts w:asciiTheme="minorHAnsi" w:hAnsiTheme="minorHAnsi"/>
              </w:rPr>
              <w:t>es</w:t>
            </w:r>
          </w:p>
        </w:tc>
      </w:tr>
      <w:tr w:rsidR="0000686B" w14:paraId="57EB5065" w14:textId="77777777" w:rsidTr="00847F3C">
        <w:tc>
          <w:tcPr>
            <w:tcW w:w="3003" w:type="dxa"/>
          </w:tcPr>
          <w:p w14:paraId="5B89690B" w14:textId="1CDA2CA0" w:rsidR="0000686B" w:rsidRPr="0029756E" w:rsidRDefault="00E53895" w:rsidP="00136551">
            <w:pPr>
              <w:spacing w:before="60" w:after="0" w:line="0" w:lineRule="atLeast"/>
              <w:jc w:val="left"/>
              <w:rPr>
                <w:rFonts w:asciiTheme="minorHAnsi" w:hAnsiTheme="minorHAnsi"/>
                <w:b/>
                <w:i/>
                <w:color w:val="000000"/>
                <w:u w:val="single"/>
              </w:rPr>
            </w:pPr>
            <w:r>
              <w:rPr>
                <w:rFonts w:asciiTheme="minorHAnsi" w:hAnsiTheme="minorHAnsi"/>
              </w:rPr>
              <w:t>F</w:t>
            </w:r>
            <w:r w:rsidR="0000686B" w:rsidRPr="0029756E">
              <w:rPr>
                <w:rFonts w:asciiTheme="minorHAnsi" w:hAnsiTheme="minorHAnsi"/>
              </w:rPr>
              <w:t xml:space="preserve">amily history of </w:t>
            </w:r>
            <w:r>
              <w:rPr>
                <w:rFonts w:asciiTheme="minorHAnsi" w:hAnsiTheme="minorHAnsi"/>
              </w:rPr>
              <w:t>coronary heart disease (</w:t>
            </w:r>
            <w:r w:rsidR="0000686B" w:rsidRPr="0029756E">
              <w:rPr>
                <w:rFonts w:asciiTheme="minorHAnsi" w:hAnsiTheme="minorHAnsi"/>
              </w:rPr>
              <w:t>CHD</w:t>
            </w:r>
            <w:r>
              <w:rPr>
                <w:rFonts w:asciiTheme="minorHAnsi" w:hAnsiTheme="minorHAnsi"/>
              </w:rPr>
              <w:t>)</w:t>
            </w:r>
            <w:r w:rsidR="0000686B" w:rsidRPr="0029756E">
              <w:rPr>
                <w:rFonts w:asciiTheme="minorHAnsi" w:hAnsiTheme="minorHAnsi"/>
              </w:rPr>
              <w:t xml:space="preserve"> which has become symptomatic before the age of 55 years in two or more 1st degree relatives</w:t>
            </w:r>
          </w:p>
        </w:tc>
        <w:tc>
          <w:tcPr>
            <w:tcW w:w="3004" w:type="dxa"/>
          </w:tcPr>
          <w:p w14:paraId="418FC355" w14:textId="77777777" w:rsidR="0000686B" w:rsidRPr="0029756E" w:rsidRDefault="0000686B" w:rsidP="00136551">
            <w:pPr>
              <w:spacing w:before="60" w:after="0" w:line="0" w:lineRule="atLeast"/>
              <w:jc w:val="left"/>
              <w:rPr>
                <w:rFonts w:asciiTheme="minorHAnsi" w:hAnsiTheme="minorHAnsi"/>
                <w:b/>
                <w:i/>
                <w:color w:val="000000"/>
                <w:u w:val="single"/>
              </w:rPr>
            </w:pPr>
            <w:r w:rsidRPr="0029756E">
              <w:rPr>
                <w:rFonts w:asciiTheme="minorHAnsi" w:hAnsiTheme="minorHAnsi"/>
              </w:rPr>
              <w:t>yes</w:t>
            </w:r>
          </w:p>
        </w:tc>
        <w:tc>
          <w:tcPr>
            <w:tcW w:w="3004" w:type="dxa"/>
          </w:tcPr>
          <w:p w14:paraId="434562C7" w14:textId="77777777" w:rsidR="0000686B" w:rsidRPr="0029756E" w:rsidRDefault="0000686B" w:rsidP="00136551">
            <w:pPr>
              <w:spacing w:before="60" w:after="60"/>
              <w:jc w:val="left"/>
              <w:rPr>
                <w:rFonts w:asciiTheme="minorHAnsi" w:hAnsiTheme="minorHAnsi"/>
                <w:b/>
                <w:i/>
                <w:color w:val="000000"/>
                <w:u w:val="single"/>
              </w:rPr>
            </w:pPr>
            <w:r w:rsidRPr="0029756E">
              <w:rPr>
                <w:rFonts w:asciiTheme="minorHAnsi" w:hAnsiTheme="minorHAnsi"/>
              </w:rPr>
              <w:t xml:space="preserve">Not explicitly, but carries additional weight in the calculation of a cardiovascular risk with a web calculator or a chart </w:t>
            </w:r>
          </w:p>
        </w:tc>
      </w:tr>
      <w:tr w:rsidR="0000686B" w14:paraId="21F38003" w14:textId="77777777" w:rsidTr="00847F3C">
        <w:tc>
          <w:tcPr>
            <w:tcW w:w="3003" w:type="dxa"/>
          </w:tcPr>
          <w:p w14:paraId="7978264D" w14:textId="78EEB822" w:rsidR="0000686B" w:rsidRPr="0029756E" w:rsidRDefault="00E53895" w:rsidP="00136551">
            <w:pPr>
              <w:spacing w:before="60" w:after="0" w:line="0" w:lineRule="atLeast"/>
              <w:jc w:val="left"/>
              <w:rPr>
                <w:rFonts w:asciiTheme="minorHAnsi" w:hAnsiTheme="minorHAnsi"/>
                <w:b/>
                <w:i/>
                <w:color w:val="000000"/>
                <w:u w:val="single"/>
              </w:rPr>
            </w:pPr>
            <w:r>
              <w:rPr>
                <w:rFonts w:asciiTheme="minorHAnsi" w:hAnsiTheme="minorHAnsi"/>
              </w:rPr>
              <w:t>F</w:t>
            </w:r>
            <w:r w:rsidR="0000686B" w:rsidRPr="0029756E">
              <w:rPr>
                <w:rFonts w:asciiTheme="minorHAnsi" w:hAnsiTheme="minorHAnsi"/>
              </w:rPr>
              <w:t>amily history of CHD which has become symptomatic before the age of 45 years in one or more 1st degree relatives</w:t>
            </w:r>
          </w:p>
        </w:tc>
        <w:tc>
          <w:tcPr>
            <w:tcW w:w="3004" w:type="dxa"/>
          </w:tcPr>
          <w:p w14:paraId="11626298" w14:textId="791AF186" w:rsidR="0000686B" w:rsidRPr="0029756E" w:rsidRDefault="00E53895" w:rsidP="00136551">
            <w:pPr>
              <w:spacing w:before="60" w:after="0" w:line="0" w:lineRule="atLeast"/>
              <w:jc w:val="left"/>
              <w:rPr>
                <w:rFonts w:asciiTheme="minorHAnsi" w:hAnsiTheme="minorHAnsi"/>
                <w:b/>
                <w:i/>
                <w:color w:val="000000"/>
                <w:u w:val="single"/>
              </w:rPr>
            </w:pPr>
            <w:r>
              <w:rPr>
                <w:rFonts w:asciiTheme="minorHAnsi" w:hAnsiTheme="minorHAnsi"/>
              </w:rPr>
              <w:t>Y</w:t>
            </w:r>
            <w:r w:rsidR="0000686B" w:rsidRPr="0029756E">
              <w:rPr>
                <w:rFonts w:asciiTheme="minorHAnsi" w:hAnsiTheme="minorHAnsi"/>
              </w:rPr>
              <w:t>es</w:t>
            </w:r>
          </w:p>
        </w:tc>
        <w:tc>
          <w:tcPr>
            <w:tcW w:w="3004" w:type="dxa"/>
          </w:tcPr>
          <w:p w14:paraId="066D160C" w14:textId="77777777" w:rsidR="0000686B" w:rsidRPr="0029756E" w:rsidRDefault="0000686B" w:rsidP="00136551">
            <w:pPr>
              <w:spacing w:before="60" w:after="60"/>
              <w:jc w:val="left"/>
              <w:rPr>
                <w:rFonts w:asciiTheme="minorHAnsi" w:hAnsiTheme="minorHAnsi"/>
                <w:b/>
                <w:i/>
                <w:color w:val="000000"/>
                <w:u w:val="single"/>
              </w:rPr>
            </w:pPr>
            <w:r w:rsidRPr="0029756E">
              <w:rPr>
                <w:rFonts w:asciiTheme="minorHAnsi" w:hAnsiTheme="minorHAnsi"/>
              </w:rPr>
              <w:t>Not explicitly, but carries additional weight in the calculation of a cardiovascular risk with a web calculator or a chart</w:t>
            </w:r>
          </w:p>
        </w:tc>
      </w:tr>
      <w:tr w:rsidR="0000686B" w14:paraId="45B78A1C" w14:textId="77777777" w:rsidTr="00847F3C">
        <w:tc>
          <w:tcPr>
            <w:tcW w:w="3003" w:type="dxa"/>
          </w:tcPr>
          <w:p w14:paraId="1582A8AB" w14:textId="19B0A794" w:rsidR="0000686B" w:rsidRPr="0029756E" w:rsidRDefault="00E53895" w:rsidP="00136551">
            <w:pPr>
              <w:spacing w:before="60" w:after="0" w:line="0" w:lineRule="atLeast"/>
              <w:jc w:val="left"/>
              <w:rPr>
                <w:rFonts w:asciiTheme="minorHAnsi" w:hAnsiTheme="minorHAnsi"/>
                <w:b/>
                <w:i/>
                <w:color w:val="000000"/>
                <w:u w:val="single"/>
              </w:rPr>
            </w:pPr>
            <w:r>
              <w:rPr>
                <w:rFonts w:asciiTheme="minorHAnsi" w:hAnsiTheme="minorHAnsi"/>
              </w:rPr>
              <w:t>P</w:t>
            </w:r>
            <w:r w:rsidR="0000686B" w:rsidRPr="0029756E">
              <w:rPr>
                <w:rFonts w:asciiTheme="minorHAnsi" w:hAnsiTheme="minorHAnsi"/>
              </w:rPr>
              <w:t>revious diagnosis of familial hypercholesterolaemia</w:t>
            </w:r>
          </w:p>
        </w:tc>
        <w:tc>
          <w:tcPr>
            <w:tcW w:w="3004" w:type="dxa"/>
          </w:tcPr>
          <w:p w14:paraId="508D56BA" w14:textId="77777777" w:rsidR="0000686B" w:rsidRPr="0029756E" w:rsidRDefault="0000686B" w:rsidP="00136551">
            <w:pPr>
              <w:spacing w:before="60" w:after="0" w:line="0" w:lineRule="atLeast"/>
              <w:jc w:val="left"/>
              <w:rPr>
                <w:rFonts w:asciiTheme="minorHAnsi" w:hAnsiTheme="minorHAnsi"/>
                <w:b/>
                <w:i/>
                <w:color w:val="000000"/>
                <w:u w:val="single"/>
              </w:rPr>
            </w:pPr>
            <w:r w:rsidRPr="0029756E">
              <w:rPr>
                <w:rFonts w:asciiTheme="minorHAnsi" w:hAnsiTheme="minorHAnsi"/>
              </w:rPr>
              <w:t>Yes, conditional on the specified threshold in cholesterol level as in Table 2.4.</w:t>
            </w:r>
          </w:p>
        </w:tc>
        <w:tc>
          <w:tcPr>
            <w:tcW w:w="3004" w:type="dxa"/>
          </w:tcPr>
          <w:p w14:paraId="5944F6A9" w14:textId="77777777" w:rsidR="0000686B" w:rsidRPr="0029756E" w:rsidRDefault="0000686B" w:rsidP="00136551">
            <w:pPr>
              <w:spacing w:before="60" w:after="60"/>
              <w:jc w:val="left"/>
              <w:rPr>
                <w:rFonts w:asciiTheme="minorHAnsi" w:hAnsiTheme="minorHAnsi"/>
                <w:b/>
                <w:i/>
                <w:color w:val="000000"/>
                <w:u w:val="single"/>
              </w:rPr>
            </w:pPr>
            <w:r w:rsidRPr="0029756E">
              <w:rPr>
                <w:rFonts w:asciiTheme="minorHAnsi" w:hAnsiTheme="minorHAnsi"/>
              </w:rPr>
              <w:t>Yes, unconditionally^</w:t>
            </w:r>
          </w:p>
        </w:tc>
      </w:tr>
      <w:tr w:rsidR="0000686B" w14:paraId="26458026" w14:textId="77777777" w:rsidTr="00847F3C">
        <w:tc>
          <w:tcPr>
            <w:tcW w:w="3003" w:type="dxa"/>
          </w:tcPr>
          <w:p w14:paraId="2D3A3069" w14:textId="77777777" w:rsidR="0000686B" w:rsidRPr="0029756E" w:rsidRDefault="0000686B" w:rsidP="00136551">
            <w:pPr>
              <w:spacing w:before="60" w:after="0" w:line="0" w:lineRule="atLeast"/>
              <w:jc w:val="left"/>
              <w:rPr>
                <w:rFonts w:asciiTheme="minorHAnsi" w:hAnsiTheme="minorHAnsi"/>
                <w:b/>
                <w:i/>
                <w:color w:val="000000"/>
                <w:u w:val="single"/>
              </w:rPr>
            </w:pPr>
            <w:r w:rsidRPr="0029756E">
              <w:rPr>
                <w:rFonts w:asciiTheme="minorHAnsi" w:hAnsiTheme="minorHAnsi"/>
              </w:rPr>
              <w:t>Systolic blood pressure ≥180 mmHg or diastolic blood pressure ≥110 mmHg</w:t>
            </w:r>
          </w:p>
        </w:tc>
        <w:tc>
          <w:tcPr>
            <w:tcW w:w="3004" w:type="dxa"/>
          </w:tcPr>
          <w:p w14:paraId="2C5FF6A0" w14:textId="77777777" w:rsidR="0000686B" w:rsidRPr="0029756E" w:rsidRDefault="0000686B" w:rsidP="00136551">
            <w:pPr>
              <w:spacing w:before="60" w:after="0" w:line="0" w:lineRule="atLeast"/>
              <w:jc w:val="left"/>
              <w:rPr>
                <w:rFonts w:asciiTheme="minorHAnsi" w:hAnsiTheme="minorHAnsi"/>
                <w:b/>
                <w:i/>
                <w:color w:val="000000"/>
                <w:u w:val="single"/>
              </w:rPr>
            </w:pPr>
            <w:r w:rsidRPr="0029756E">
              <w:rPr>
                <w:rFonts w:asciiTheme="minorHAnsi" w:hAnsiTheme="minorHAnsi"/>
              </w:rPr>
              <w:t>Patients with hypertension (without specified thresholds) need to meet the specified cholesterol level thresholds as in Table 2.4.</w:t>
            </w:r>
          </w:p>
        </w:tc>
        <w:tc>
          <w:tcPr>
            <w:tcW w:w="3004" w:type="dxa"/>
          </w:tcPr>
          <w:p w14:paraId="788520BA" w14:textId="77777777" w:rsidR="0000686B" w:rsidRPr="0029756E" w:rsidRDefault="0000686B" w:rsidP="00136551">
            <w:pPr>
              <w:spacing w:before="60" w:after="60"/>
              <w:jc w:val="left"/>
              <w:rPr>
                <w:rFonts w:asciiTheme="minorHAnsi" w:hAnsiTheme="minorHAnsi"/>
                <w:b/>
                <w:i/>
                <w:color w:val="000000"/>
                <w:u w:val="single"/>
              </w:rPr>
            </w:pPr>
            <w:r w:rsidRPr="0029756E">
              <w:rPr>
                <w:rFonts w:asciiTheme="minorHAnsi" w:hAnsiTheme="minorHAnsi"/>
              </w:rPr>
              <w:t>Yes, unconditionally</w:t>
            </w:r>
          </w:p>
        </w:tc>
      </w:tr>
      <w:tr w:rsidR="0000686B" w14:paraId="625E7E31" w14:textId="77777777" w:rsidTr="00847F3C">
        <w:tc>
          <w:tcPr>
            <w:tcW w:w="3003" w:type="dxa"/>
          </w:tcPr>
          <w:p w14:paraId="5351FFF4" w14:textId="77777777" w:rsidR="0000686B" w:rsidRPr="0029756E" w:rsidRDefault="0000686B" w:rsidP="004B1768">
            <w:pPr>
              <w:spacing w:before="60" w:after="0" w:line="0" w:lineRule="atLeast"/>
              <w:jc w:val="left"/>
              <w:rPr>
                <w:rFonts w:asciiTheme="minorHAnsi" w:hAnsiTheme="minorHAnsi"/>
                <w:b/>
                <w:i/>
                <w:color w:val="000000"/>
                <w:u w:val="single"/>
              </w:rPr>
            </w:pPr>
            <w:r w:rsidRPr="0029756E">
              <w:rPr>
                <w:rFonts w:asciiTheme="minorHAnsi" w:hAnsiTheme="minorHAnsi"/>
              </w:rPr>
              <w:t>Serum total cholesterol &gt;7.5mmol/L</w:t>
            </w:r>
          </w:p>
        </w:tc>
        <w:tc>
          <w:tcPr>
            <w:tcW w:w="3004" w:type="dxa"/>
          </w:tcPr>
          <w:p w14:paraId="0BD51ECB" w14:textId="77777777" w:rsidR="0000686B" w:rsidRPr="0029756E" w:rsidRDefault="0000686B" w:rsidP="00136551">
            <w:pPr>
              <w:spacing w:before="60" w:after="0" w:line="0" w:lineRule="atLeast"/>
              <w:jc w:val="left"/>
              <w:rPr>
                <w:rFonts w:asciiTheme="minorHAnsi" w:hAnsiTheme="minorHAnsi"/>
                <w:b/>
                <w:i/>
                <w:color w:val="000000"/>
                <w:u w:val="single"/>
              </w:rPr>
            </w:pPr>
            <w:r w:rsidRPr="0029756E">
              <w:rPr>
                <w:rFonts w:asciiTheme="minorHAnsi" w:hAnsiTheme="minorHAnsi"/>
              </w:rPr>
              <w:t xml:space="preserve">No, except for males aged 35-75 years and post-menopausal women </w:t>
            </w:r>
            <w:r w:rsidR="00E53895">
              <w:rPr>
                <w:rFonts w:asciiTheme="minorHAnsi" w:hAnsiTheme="minorHAnsi"/>
              </w:rPr>
              <w:t xml:space="preserve">as in </w:t>
            </w:r>
            <w:r w:rsidRPr="0029756E">
              <w:rPr>
                <w:rFonts w:asciiTheme="minorHAnsi" w:hAnsiTheme="minorHAnsi"/>
              </w:rPr>
              <w:t>Table 2.4.</w:t>
            </w:r>
          </w:p>
        </w:tc>
        <w:tc>
          <w:tcPr>
            <w:tcW w:w="3004" w:type="dxa"/>
          </w:tcPr>
          <w:p w14:paraId="0A0AFB7C" w14:textId="77777777" w:rsidR="0000686B" w:rsidRPr="0029756E" w:rsidRDefault="0000686B" w:rsidP="00136551">
            <w:pPr>
              <w:spacing w:before="60" w:after="60"/>
              <w:jc w:val="left"/>
              <w:rPr>
                <w:rFonts w:asciiTheme="minorHAnsi" w:hAnsiTheme="minorHAnsi"/>
                <w:b/>
                <w:i/>
                <w:color w:val="000000"/>
                <w:u w:val="single"/>
              </w:rPr>
            </w:pPr>
            <w:r w:rsidRPr="0029756E">
              <w:rPr>
                <w:rFonts w:asciiTheme="minorHAnsi" w:hAnsiTheme="minorHAnsi"/>
              </w:rPr>
              <w:t>Yes, unconditionally</w:t>
            </w:r>
          </w:p>
        </w:tc>
      </w:tr>
    </w:tbl>
    <w:p w14:paraId="5E1BF5D7" w14:textId="77777777" w:rsidR="0000686B" w:rsidRPr="00954B04" w:rsidRDefault="0000686B" w:rsidP="005A2287">
      <w:pPr>
        <w:spacing w:after="0" w:line="240" w:lineRule="auto"/>
        <w:rPr>
          <w:rFonts w:asciiTheme="minorHAnsi" w:hAnsiTheme="minorHAnsi"/>
          <w:sz w:val="20"/>
          <w:szCs w:val="20"/>
        </w:rPr>
      </w:pPr>
      <w:r w:rsidRPr="00C226DE">
        <w:rPr>
          <w:sz w:val="18"/>
          <w:szCs w:val="18"/>
        </w:rPr>
        <w:t>^</w:t>
      </w:r>
      <w:r w:rsidRPr="00954B04">
        <w:rPr>
          <w:rFonts w:asciiTheme="minorHAnsi" w:hAnsiTheme="minorHAnsi"/>
          <w:sz w:val="20"/>
          <w:szCs w:val="20"/>
        </w:rPr>
        <w:t>consistent with guidelines identification and management of familial hypercholesterolaemia (Table A2.1 in appendix)</w:t>
      </w:r>
    </w:p>
    <w:p w14:paraId="71B3235A" w14:textId="77777777" w:rsidR="0000686B" w:rsidRPr="00954B04" w:rsidRDefault="0000686B" w:rsidP="005A2287">
      <w:pPr>
        <w:spacing w:line="240" w:lineRule="auto"/>
        <w:rPr>
          <w:rFonts w:asciiTheme="minorHAnsi" w:hAnsiTheme="minorHAnsi"/>
          <w:sz w:val="20"/>
          <w:szCs w:val="20"/>
        </w:rPr>
      </w:pPr>
      <w:r w:rsidRPr="00954B04">
        <w:rPr>
          <w:rFonts w:asciiTheme="minorHAnsi" w:hAnsiTheme="minorHAnsi"/>
          <w:sz w:val="20"/>
          <w:szCs w:val="20"/>
        </w:rPr>
        <w:t>Source: Table 2.2, p16 of the CPHR report</w:t>
      </w:r>
    </w:p>
    <w:p w14:paraId="00602345" w14:textId="77777777" w:rsidR="0000686B" w:rsidRPr="00E631B0" w:rsidRDefault="0000686B" w:rsidP="00AD7EAC">
      <w:pPr>
        <w:spacing w:line="240" w:lineRule="auto"/>
        <w:jc w:val="left"/>
        <w:rPr>
          <w:rFonts w:asciiTheme="minorHAnsi" w:hAnsiTheme="minorHAnsi"/>
        </w:rPr>
      </w:pPr>
      <w:r w:rsidRPr="00E631B0">
        <w:rPr>
          <w:rFonts w:asciiTheme="minorHAnsi" w:hAnsiTheme="minorHAnsi"/>
        </w:rPr>
        <w:t>There are small differences between the eligibility of patients for pharmacotherapy between the GSLLD and Australian guidelines for treatment. The effect of these differences has not been quantified, with one study indicating that it may not be substantial</w:t>
      </w:r>
      <w:r w:rsidR="00C454CC" w:rsidRPr="00E631B0">
        <w:rPr>
          <w:rStyle w:val="EndnoteReference"/>
          <w:rFonts w:asciiTheme="minorHAnsi" w:hAnsiTheme="minorHAnsi"/>
        </w:rPr>
        <w:endnoteReference w:id="42"/>
      </w:r>
      <w:r w:rsidRPr="00E631B0">
        <w:rPr>
          <w:rFonts w:asciiTheme="minorHAnsi" w:hAnsiTheme="minorHAnsi"/>
        </w:rPr>
        <w:t>. Th</w:t>
      </w:r>
      <w:r w:rsidR="00C454CC" w:rsidRPr="00E631B0">
        <w:rPr>
          <w:rFonts w:asciiTheme="minorHAnsi" w:hAnsiTheme="minorHAnsi"/>
        </w:rPr>
        <w:t>is</w:t>
      </w:r>
      <w:r w:rsidRPr="00E631B0">
        <w:rPr>
          <w:rFonts w:asciiTheme="minorHAnsi" w:hAnsiTheme="minorHAnsi"/>
        </w:rPr>
        <w:t xml:space="preserve"> study indicated that using individual factors to determine </w:t>
      </w:r>
      <w:r w:rsidRPr="00E631B0">
        <w:rPr>
          <w:rFonts w:asciiTheme="minorHAnsi" w:hAnsiTheme="minorHAnsi"/>
        </w:rPr>
        <w:lastRenderedPageBreak/>
        <w:t>eligibility rather than the absolute risk calculator showed some under-treatment of high risk patients and some over-treatment of lower risk patients.</w:t>
      </w:r>
    </w:p>
    <w:p w14:paraId="0335AD04" w14:textId="1016A4BF" w:rsidR="0000686B" w:rsidRPr="005715DF" w:rsidRDefault="003848A8" w:rsidP="00AD7EAC">
      <w:pPr>
        <w:pStyle w:val="Heading2"/>
      </w:pPr>
      <w:bookmarkStart w:id="77" w:name="_Toc500510236"/>
      <w:r>
        <w:t>2.</w:t>
      </w:r>
      <w:r w:rsidR="0000686B">
        <w:t>3</w:t>
      </w:r>
      <w:r w:rsidR="0000686B" w:rsidRPr="005715DF">
        <w:t xml:space="preserve"> </w:t>
      </w:r>
      <w:r w:rsidR="00833088">
        <w:tab/>
      </w:r>
      <w:r w:rsidR="0000686B" w:rsidRPr="005715DF">
        <w:t xml:space="preserve">Key issues </w:t>
      </w:r>
      <w:r w:rsidR="00FD70C6">
        <w:t>raised by stakeholders on T</w:t>
      </w:r>
      <w:r w:rsidR="00C904F3">
        <w:t>O</w:t>
      </w:r>
      <w:r w:rsidR="00FD70C6">
        <w:t>R 2</w:t>
      </w:r>
      <w:bookmarkEnd w:id="77"/>
    </w:p>
    <w:p w14:paraId="3D3B269B" w14:textId="04D5D608" w:rsidR="0000686B" w:rsidRPr="00E631B0" w:rsidRDefault="0000686B" w:rsidP="00AD7EAC">
      <w:pPr>
        <w:spacing w:line="240" w:lineRule="auto"/>
        <w:jc w:val="left"/>
        <w:rPr>
          <w:rFonts w:asciiTheme="minorHAnsi" w:hAnsiTheme="minorHAnsi"/>
          <w:b/>
        </w:rPr>
      </w:pPr>
      <w:r w:rsidRPr="00E631B0">
        <w:rPr>
          <w:rFonts w:asciiTheme="minorHAnsi" w:hAnsiTheme="minorHAnsi"/>
        </w:rPr>
        <w:t xml:space="preserve">Details of the submissions to the Review are provided in </w:t>
      </w:r>
      <w:r w:rsidRPr="00E631B0">
        <w:rPr>
          <w:rFonts w:asciiTheme="minorHAnsi" w:hAnsiTheme="minorHAnsi"/>
          <w:b/>
        </w:rPr>
        <w:t>Appendix H</w:t>
      </w:r>
      <w:r w:rsidRPr="00E631B0">
        <w:rPr>
          <w:rFonts w:asciiTheme="minorHAnsi" w:hAnsiTheme="minorHAnsi"/>
        </w:rPr>
        <w:t>.</w:t>
      </w:r>
    </w:p>
    <w:p w14:paraId="2144DA58" w14:textId="778D9DB8" w:rsidR="0000686B" w:rsidRPr="00E631B0" w:rsidRDefault="003848A8" w:rsidP="00AD7EAC">
      <w:pPr>
        <w:pStyle w:val="Heading3"/>
        <w:jc w:val="left"/>
      </w:pPr>
      <w:bookmarkStart w:id="78" w:name="_Toc500510237"/>
      <w:r w:rsidRPr="00E631B0">
        <w:t>2.</w:t>
      </w:r>
      <w:r w:rsidR="00C24DBD" w:rsidRPr="00E631B0">
        <w:t>3.1</w:t>
      </w:r>
      <w:r w:rsidR="000F1815" w:rsidRPr="00E631B0">
        <w:tab/>
      </w:r>
      <w:r w:rsidR="0000686B" w:rsidRPr="00E631B0">
        <w:t xml:space="preserve">Submissions to the </w:t>
      </w:r>
      <w:r w:rsidR="005936F5" w:rsidRPr="00E631B0">
        <w:t>Review</w:t>
      </w:r>
      <w:bookmarkEnd w:id="78"/>
    </w:p>
    <w:p w14:paraId="697937E9" w14:textId="4FE141D6" w:rsidR="0000686B" w:rsidRPr="00E631B0" w:rsidRDefault="009405EA" w:rsidP="00AD7EAC">
      <w:pPr>
        <w:spacing w:line="240" w:lineRule="auto"/>
        <w:jc w:val="left"/>
        <w:rPr>
          <w:rFonts w:asciiTheme="minorHAnsi" w:hAnsiTheme="minorHAnsi"/>
        </w:rPr>
      </w:pPr>
      <w:r w:rsidRPr="00E631B0">
        <w:rPr>
          <w:rFonts w:asciiTheme="minorHAnsi" w:hAnsiTheme="minorHAnsi"/>
        </w:rPr>
        <w:t xml:space="preserve">In the seven week public consultation </w:t>
      </w:r>
      <w:r w:rsidR="0000686B" w:rsidRPr="00E631B0">
        <w:rPr>
          <w:rFonts w:asciiTheme="minorHAnsi" w:hAnsiTheme="minorHAnsi"/>
        </w:rPr>
        <w:t xml:space="preserve">held between 4 March and 22 April 2016 </w:t>
      </w:r>
      <w:r w:rsidRPr="00E631B0">
        <w:rPr>
          <w:rFonts w:asciiTheme="minorHAnsi" w:hAnsiTheme="minorHAnsi"/>
        </w:rPr>
        <w:t xml:space="preserve">stakeholders raised the following key points </w:t>
      </w:r>
      <w:r w:rsidR="0000686B" w:rsidRPr="00E631B0">
        <w:rPr>
          <w:rFonts w:asciiTheme="minorHAnsi" w:hAnsiTheme="minorHAnsi"/>
        </w:rPr>
        <w:t xml:space="preserve">in relation to </w:t>
      </w:r>
      <w:r w:rsidR="00FD70C6" w:rsidRPr="00E631B0">
        <w:rPr>
          <w:rFonts w:asciiTheme="minorHAnsi" w:hAnsiTheme="minorHAnsi"/>
        </w:rPr>
        <w:t>T</w:t>
      </w:r>
      <w:r w:rsidR="00C904F3" w:rsidRPr="00E631B0">
        <w:rPr>
          <w:rFonts w:asciiTheme="minorHAnsi" w:hAnsiTheme="minorHAnsi"/>
        </w:rPr>
        <w:t>O</w:t>
      </w:r>
      <w:r w:rsidR="00FD70C6" w:rsidRPr="00E631B0">
        <w:rPr>
          <w:rFonts w:asciiTheme="minorHAnsi" w:hAnsiTheme="minorHAnsi"/>
        </w:rPr>
        <w:t xml:space="preserve">R </w:t>
      </w:r>
      <w:r w:rsidR="0000686B" w:rsidRPr="00E631B0">
        <w:rPr>
          <w:rFonts w:asciiTheme="minorHAnsi" w:hAnsiTheme="minorHAnsi"/>
        </w:rPr>
        <w:t>2:</w:t>
      </w:r>
    </w:p>
    <w:p w14:paraId="6A62CC98" w14:textId="77777777" w:rsidR="0000686B" w:rsidRPr="00E631B0" w:rsidRDefault="0000686B" w:rsidP="00AD7EAC">
      <w:pPr>
        <w:pStyle w:val="ListParagraph"/>
        <w:numPr>
          <w:ilvl w:val="0"/>
          <w:numId w:val="8"/>
        </w:numPr>
        <w:spacing w:after="120" w:line="240" w:lineRule="auto"/>
        <w:ind w:left="426" w:hanging="426"/>
        <w:contextualSpacing w:val="0"/>
        <w:jc w:val="left"/>
        <w:rPr>
          <w:rFonts w:asciiTheme="minorHAnsi" w:hAnsiTheme="minorHAnsi"/>
        </w:rPr>
      </w:pPr>
      <w:r w:rsidRPr="00E631B0">
        <w:rPr>
          <w:rFonts w:asciiTheme="minorHAnsi" w:hAnsiTheme="minorHAnsi"/>
        </w:rPr>
        <w:t>Clinical management guidelines for reducing cardiovascular disease and its consequences include consideration of dyslipidaemia and other risk factors.</w:t>
      </w:r>
    </w:p>
    <w:p w14:paraId="6B4FD316" w14:textId="77777777" w:rsidR="0000686B" w:rsidRPr="00E631B0" w:rsidRDefault="0000686B" w:rsidP="00AD7EAC">
      <w:pPr>
        <w:pStyle w:val="ListParagraph"/>
        <w:numPr>
          <w:ilvl w:val="0"/>
          <w:numId w:val="8"/>
        </w:numPr>
        <w:spacing w:after="120" w:line="240" w:lineRule="auto"/>
        <w:ind w:left="426" w:hanging="426"/>
        <w:contextualSpacing w:val="0"/>
        <w:jc w:val="left"/>
        <w:rPr>
          <w:rFonts w:asciiTheme="minorHAnsi" w:hAnsiTheme="minorHAnsi"/>
        </w:rPr>
      </w:pPr>
      <w:r w:rsidRPr="00E631B0">
        <w:rPr>
          <w:rFonts w:asciiTheme="minorHAnsi" w:hAnsiTheme="minorHAnsi"/>
        </w:rPr>
        <w:t>LDL-C is increasingly recognised as the primary lipid treatment target in patients with high cardiovascular risk. LDL-C treatment targets to be achieved through pharmacotherapy have become progressively lower over time.</w:t>
      </w:r>
    </w:p>
    <w:p w14:paraId="7061D419" w14:textId="0C011701" w:rsidR="0000686B" w:rsidRPr="00E631B0" w:rsidRDefault="0000686B" w:rsidP="00AD7EAC">
      <w:pPr>
        <w:pStyle w:val="ListParagraph"/>
        <w:numPr>
          <w:ilvl w:val="0"/>
          <w:numId w:val="8"/>
        </w:numPr>
        <w:spacing w:after="120" w:line="240" w:lineRule="auto"/>
        <w:ind w:left="426" w:hanging="426"/>
        <w:contextualSpacing w:val="0"/>
        <w:jc w:val="left"/>
        <w:rPr>
          <w:rFonts w:asciiTheme="minorHAnsi" w:hAnsiTheme="minorHAnsi"/>
        </w:rPr>
      </w:pPr>
      <w:r w:rsidRPr="00E631B0">
        <w:rPr>
          <w:rFonts w:asciiTheme="minorHAnsi" w:hAnsiTheme="minorHAnsi"/>
        </w:rPr>
        <w:t xml:space="preserve">There may be differences between approaches to treatment in hospital and the community. The current guidelines are generally consistent with the </w:t>
      </w:r>
      <w:r w:rsidR="00FD70C6" w:rsidRPr="00E631B0">
        <w:rPr>
          <w:rFonts w:asciiTheme="minorHAnsi" w:hAnsiTheme="minorHAnsi"/>
        </w:rPr>
        <w:t xml:space="preserve">GSLLD </w:t>
      </w:r>
      <w:r w:rsidRPr="00E631B0">
        <w:rPr>
          <w:rFonts w:asciiTheme="minorHAnsi" w:hAnsiTheme="minorHAnsi"/>
        </w:rPr>
        <w:t>on the PBS.</w:t>
      </w:r>
    </w:p>
    <w:p w14:paraId="7412AC81" w14:textId="77777777" w:rsidR="0000686B" w:rsidRPr="00E631B0" w:rsidRDefault="0000686B" w:rsidP="00AD7EAC">
      <w:pPr>
        <w:pStyle w:val="ListParagraph"/>
        <w:numPr>
          <w:ilvl w:val="0"/>
          <w:numId w:val="8"/>
        </w:numPr>
        <w:spacing w:after="120" w:line="240" w:lineRule="auto"/>
        <w:ind w:left="426" w:hanging="426"/>
        <w:contextualSpacing w:val="0"/>
        <w:jc w:val="left"/>
      </w:pPr>
      <w:r w:rsidRPr="00E631B0">
        <w:rPr>
          <w:rFonts w:asciiTheme="minorHAnsi" w:hAnsiTheme="minorHAnsi"/>
        </w:rPr>
        <w:t xml:space="preserve">Some overseas guidelines, namely those from the American College of Cardiology and the American Heart Association, have been recently revised to recommend the additional use of non-statin cholesterol-lowering medicines such as ezetimibe to high risk patients who do not reach targets with statins alone. </w:t>
      </w:r>
    </w:p>
    <w:p w14:paraId="0B70C096" w14:textId="20DC4912" w:rsidR="0000686B" w:rsidRPr="00E631B0" w:rsidRDefault="003848A8" w:rsidP="005A2287">
      <w:pPr>
        <w:pStyle w:val="Heading3"/>
        <w:jc w:val="left"/>
      </w:pPr>
      <w:bookmarkStart w:id="79" w:name="_Toc500510238"/>
      <w:r w:rsidRPr="00E631B0">
        <w:t>2.</w:t>
      </w:r>
      <w:r w:rsidR="0000686B" w:rsidRPr="00E631B0">
        <w:t>3.2</w:t>
      </w:r>
      <w:r w:rsidR="000F1815" w:rsidRPr="00E631B0">
        <w:tab/>
      </w:r>
      <w:r w:rsidR="0000686B" w:rsidRPr="00E631B0">
        <w:t>Outcomes from the stakeholder forum</w:t>
      </w:r>
      <w:bookmarkEnd w:id="79"/>
    </w:p>
    <w:p w14:paraId="7F98E75F" w14:textId="2369732A" w:rsidR="0000686B" w:rsidRPr="00E631B0" w:rsidRDefault="00FD70C6" w:rsidP="00AD7EAC">
      <w:pPr>
        <w:spacing w:line="240" w:lineRule="auto"/>
        <w:jc w:val="left"/>
        <w:rPr>
          <w:rFonts w:asciiTheme="minorHAnsi" w:hAnsiTheme="minorHAnsi"/>
        </w:rPr>
      </w:pPr>
      <w:r w:rsidRPr="00E631B0">
        <w:rPr>
          <w:rFonts w:asciiTheme="minorHAnsi" w:hAnsiTheme="minorHAnsi"/>
        </w:rPr>
        <w:t>At</w:t>
      </w:r>
      <w:r w:rsidR="0000686B" w:rsidRPr="00E631B0">
        <w:rPr>
          <w:rFonts w:asciiTheme="minorHAnsi" w:hAnsiTheme="minorHAnsi"/>
        </w:rPr>
        <w:t xml:space="preserve"> the stakeholder forum, the Reference Group was interested in stakeholders’ views on why ezetimibe should be positioned as second line therapy through PBS restrictions. A recent systematic review and meta-analysis (Silverman et al</w:t>
      </w:r>
      <w:r w:rsidR="00203087" w:rsidRPr="00E631B0">
        <w:rPr>
          <w:rStyle w:val="EndnoteReference"/>
          <w:rFonts w:asciiTheme="minorHAnsi" w:hAnsiTheme="minorHAnsi"/>
        </w:rPr>
        <w:endnoteReference w:id="43"/>
      </w:r>
      <w:r w:rsidR="00203087" w:rsidRPr="00E631B0">
        <w:rPr>
          <w:rFonts w:asciiTheme="minorHAnsi" w:hAnsiTheme="minorHAnsi"/>
        </w:rPr>
        <w:t>)</w:t>
      </w:r>
      <w:r w:rsidR="0000686B" w:rsidRPr="00E631B0">
        <w:rPr>
          <w:rFonts w:asciiTheme="minorHAnsi" w:hAnsiTheme="minorHAnsi"/>
        </w:rPr>
        <w:t xml:space="preserve"> suggests that the order of </w:t>
      </w:r>
      <w:r w:rsidRPr="00E631B0">
        <w:rPr>
          <w:rFonts w:asciiTheme="minorHAnsi" w:hAnsiTheme="minorHAnsi"/>
        </w:rPr>
        <w:t xml:space="preserve">LLT </w:t>
      </w:r>
      <w:r w:rsidR="0000686B" w:rsidRPr="00E631B0">
        <w:rPr>
          <w:rFonts w:asciiTheme="minorHAnsi" w:hAnsiTheme="minorHAnsi"/>
        </w:rPr>
        <w:t>used to achieve a reduction in LDL-C is not important in reducing patients’ risk of cardiovascular events. Comments made by participants in relation to this question included:</w:t>
      </w:r>
    </w:p>
    <w:p w14:paraId="27F12026" w14:textId="77777777" w:rsidR="0000686B" w:rsidRPr="00E631B0" w:rsidRDefault="0000686B" w:rsidP="00AD7EAC">
      <w:pPr>
        <w:pStyle w:val="ListBullet"/>
        <w:tabs>
          <w:tab w:val="clear" w:pos="850"/>
          <w:tab w:val="num" w:pos="426"/>
        </w:tabs>
        <w:spacing w:before="0" w:after="120" w:line="240" w:lineRule="auto"/>
        <w:ind w:left="426" w:hanging="426"/>
        <w:rPr>
          <w:rFonts w:eastAsiaTheme="minorHAnsi" w:cstheme="minorBidi"/>
          <w:sz w:val="24"/>
          <w:lang w:eastAsia="en-US"/>
        </w:rPr>
      </w:pPr>
      <w:r w:rsidRPr="00E631B0">
        <w:rPr>
          <w:rFonts w:eastAsiaTheme="minorHAnsi" w:cstheme="minorBidi"/>
          <w:sz w:val="24"/>
          <w:lang w:eastAsia="en-US"/>
        </w:rPr>
        <w:t>its use is supported by internationally-accepted standards and guidelines</w:t>
      </w:r>
    </w:p>
    <w:p w14:paraId="686B1636" w14:textId="396118DB" w:rsidR="0000686B" w:rsidRPr="00E631B0" w:rsidRDefault="0000686B" w:rsidP="00AD7EAC">
      <w:pPr>
        <w:pStyle w:val="ListBullet"/>
        <w:tabs>
          <w:tab w:val="clear" w:pos="850"/>
          <w:tab w:val="num" w:pos="426"/>
        </w:tabs>
        <w:spacing w:before="0" w:after="120" w:line="240" w:lineRule="auto"/>
        <w:ind w:left="426" w:hanging="426"/>
        <w:rPr>
          <w:rFonts w:eastAsiaTheme="minorHAnsi" w:cstheme="minorBidi"/>
          <w:sz w:val="24"/>
          <w:lang w:eastAsia="en-US"/>
        </w:rPr>
      </w:pPr>
      <w:r w:rsidRPr="00E631B0">
        <w:rPr>
          <w:rFonts w:eastAsiaTheme="minorHAnsi" w:cstheme="minorBidi"/>
          <w:sz w:val="24"/>
          <w:lang w:eastAsia="en-US"/>
        </w:rPr>
        <w:t>the Silverman et al</w:t>
      </w:r>
      <w:r w:rsidR="004A06F1" w:rsidRPr="00E631B0">
        <w:rPr>
          <w:rStyle w:val="EndnoteReference"/>
          <w:rFonts w:eastAsiaTheme="minorHAnsi" w:cstheme="minorBidi"/>
          <w:sz w:val="24"/>
          <w:lang w:eastAsia="en-US"/>
        </w:rPr>
        <w:endnoteReference w:id="44"/>
      </w:r>
      <w:r w:rsidRPr="00E631B0">
        <w:rPr>
          <w:rFonts w:eastAsiaTheme="minorHAnsi" w:cstheme="minorBidi"/>
          <w:sz w:val="24"/>
          <w:lang w:eastAsia="en-US"/>
        </w:rPr>
        <w:t xml:space="preserve"> paper showed that lowering LDL–C resulted in a greater reduction of risk; it did n</w:t>
      </w:r>
      <w:r w:rsidR="00FD70C6" w:rsidRPr="00E631B0">
        <w:rPr>
          <w:rFonts w:eastAsiaTheme="minorHAnsi" w:cstheme="minorBidi"/>
          <w:sz w:val="24"/>
          <w:lang w:eastAsia="en-US"/>
        </w:rPr>
        <w:t>ot discuss the ordering of the</w:t>
      </w:r>
      <w:r w:rsidRPr="00E631B0">
        <w:rPr>
          <w:rFonts w:eastAsiaTheme="minorHAnsi" w:cstheme="minorBidi"/>
          <w:sz w:val="24"/>
          <w:lang w:eastAsia="en-US"/>
        </w:rPr>
        <w:t xml:space="preserve"> medicines used in treatment </w:t>
      </w:r>
    </w:p>
    <w:p w14:paraId="6F400F99" w14:textId="5D0354C9" w:rsidR="0000686B" w:rsidRPr="00E631B0" w:rsidRDefault="0000686B" w:rsidP="00AD7EAC">
      <w:pPr>
        <w:pStyle w:val="ListBullet"/>
        <w:tabs>
          <w:tab w:val="clear" w:pos="850"/>
          <w:tab w:val="num" w:pos="426"/>
        </w:tabs>
        <w:spacing w:before="0" w:after="120" w:line="240" w:lineRule="auto"/>
        <w:ind w:left="426" w:hanging="426"/>
        <w:rPr>
          <w:rFonts w:eastAsiaTheme="minorHAnsi" w:cstheme="minorBidi"/>
          <w:sz w:val="24"/>
          <w:lang w:eastAsia="en-US"/>
        </w:rPr>
      </w:pPr>
      <w:r w:rsidRPr="00E631B0">
        <w:rPr>
          <w:rFonts w:eastAsiaTheme="minorHAnsi" w:cstheme="minorBidi"/>
          <w:sz w:val="24"/>
          <w:lang w:eastAsia="en-US"/>
        </w:rPr>
        <w:t>recent European and American (USA) guidelines promoting the current hierarchy in treatment – that is, ezetimibe used as second line therapy – have also been supported by other papers</w:t>
      </w:r>
    </w:p>
    <w:p w14:paraId="07A355B3" w14:textId="77777777" w:rsidR="0000686B" w:rsidRPr="00E631B0" w:rsidRDefault="0000686B" w:rsidP="00AD7EAC">
      <w:pPr>
        <w:pStyle w:val="ListBullet"/>
        <w:tabs>
          <w:tab w:val="clear" w:pos="850"/>
          <w:tab w:val="num" w:pos="426"/>
        </w:tabs>
        <w:spacing w:before="0" w:after="120" w:line="240" w:lineRule="auto"/>
        <w:ind w:left="426" w:hanging="426"/>
        <w:rPr>
          <w:rFonts w:eastAsiaTheme="minorHAnsi" w:cstheme="minorBidi"/>
          <w:sz w:val="24"/>
          <w:lang w:eastAsia="en-US"/>
        </w:rPr>
      </w:pPr>
      <w:r w:rsidRPr="00E631B0">
        <w:rPr>
          <w:rFonts w:eastAsiaTheme="minorHAnsi" w:cstheme="minorBidi"/>
          <w:sz w:val="24"/>
          <w:lang w:eastAsia="en-US"/>
        </w:rPr>
        <w:t>there is more confidence in the greater LDL-C lowering effect of statins than ezetimibe</w:t>
      </w:r>
    </w:p>
    <w:p w14:paraId="201B63E9" w14:textId="77777777" w:rsidR="0000686B" w:rsidRPr="00E631B0" w:rsidRDefault="0000686B" w:rsidP="00AD7EAC">
      <w:pPr>
        <w:pStyle w:val="ListBullet"/>
        <w:tabs>
          <w:tab w:val="clear" w:pos="850"/>
          <w:tab w:val="num" w:pos="426"/>
        </w:tabs>
        <w:spacing w:before="0" w:after="120" w:line="240" w:lineRule="auto"/>
        <w:ind w:left="426" w:hanging="426"/>
        <w:rPr>
          <w:rFonts w:eastAsiaTheme="minorHAnsi" w:cstheme="minorBidi"/>
          <w:sz w:val="24"/>
          <w:lang w:eastAsia="en-US"/>
        </w:rPr>
      </w:pPr>
      <w:r w:rsidRPr="00E631B0">
        <w:rPr>
          <w:rFonts w:eastAsiaTheme="minorHAnsi" w:cstheme="minorBidi"/>
          <w:sz w:val="24"/>
          <w:lang w:eastAsia="en-US"/>
        </w:rPr>
        <w:lastRenderedPageBreak/>
        <w:t>ezetimibe as a second line therapy may be justified due to the significant reductions in the price of statins, resulting in ezetimibe’s price, relative to statin therapy, being higher than at the time of initial listing.</w:t>
      </w:r>
    </w:p>
    <w:p w14:paraId="55D497BE" w14:textId="63D88AF1"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 xml:space="preserve">Participants were asked whether the </w:t>
      </w:r>
      <w:r w:rsidR="00FD70C6" w:rsidRPr="00E631B0">
        <w:rPr>
          <w:rFonts w:asciiTheme="minorHAnsi" w:hAnsiTheme="minorHAnsi"/>
          <w:szCs w:val="24"/>
        </w:rPr>
        <w:t xml:space="preserve">GLSSD </w:t>
      </w:r>
      <w:r w:rsidRPr="00E631B0">
        <w:rPr>
          <w:rFonts w:asciiTheme="minorHAnsi" w:hAnsiTheme="minorHAnsi"/>
          <w:szCs w:val="24"/>
        </w:rPr>
        <w:t xml:space="preserve">is still relevant and if so, should it be revised. Participants noted that while the General Statement did not explicitly refer to ezetimibe, it did cross-reference the ezetimibe PBS restrictions, and the PBS restrictions do not fully reflect prescribing practice. While it was suggested that the General Statement remains relevant, it was further noted that PBS restrictions are based on the outcomes of the PBAC’s cost-effectiveness deliberations (which is a legislative requirement of the </w:t>
      </w:r>
      <w:r w:rsidRPr="00E631B0">
        <w:rPr>
          <w:rFonts w:asciiTheme="minorHAnsi" w:hAnsiTheme="minorHAnsi"/>
          <w:i/>
          <w:szCs w:val="24"/>
        </w:rPr>
        <w:t>National Health Act 1953</w:t>
      </w:r>
      <w:r w:rsidRPr="00E631B0">
        <w:rPr>
          <w:rFonts w:asciiTheme="minorHAnsi" w:hAnsiTheme="minorHAnsi"/>
          <w:szCs w:val="24"/>
        </w:rPr>
        <w:t>). This can result in some differences between PBS restrictions and clinical guidelines. Some participants commented that the General Statement is complicated and revision may be beneficial.</w:t>
      </w:r>
    </w:p>
    <w:p w14:paraId="57CE3368" w14:textId="1A8097A6" w:rsidR="0000686B" w:rsidRPr="00833088" w:rsidRDefault="00D52C20" w:rsidP="00AD7EAC">
      <w:pPr>
        <w:spacing w:line="240" w:lineRule="auto"/>
        <w:jc w:val="left"/>
        <w:rPr>
          <w:rStyle w:val="Hyperlink"/>
          <w:rFonts w:asciiTheme="minorHAnsi" w:hAnsiTheme="minorHAnsi" w:cs="Times New Roman"/>
          <w:sz w:val="22"/>
          <w:szCs w:val="24"/>
          <w:lang w:eastAsia="en-AU"/>
        </w:rPr>
      </w:pPr>
      <w:r>
        <w:rPr>
          <w:rFonts w:asciiTheme="minorHAnsi" w:hAnsiTheme="minorHAnsi"/>
          <w:szCs w:val="24"/>
        </w:rPr>
        <w:t>T</w:t>
      </w:r>
      <w:r w:rsidRPr="00FA7D1A">
        <w:rPr>
          <w:rFonts w:asciiTheme="minorHAnsi" w:hAnsiTheme="minorHAnsi"/>
          <w:szCs w:val="24"/>
        </w:rPr>
        <w:t xml:space="preserve">he </w:t>
      </w:r>
      <w:hyperlink r:id="rId23" w:history="1">
        <w:r w:rsidRPr="00252863">
          <w:rPr>
            <w:rStyle w:val="Hyperlink"/>
            <w:rFonts w:asciiTheme="minorHAnsi" w:hAnsiTheme="minorHAnsi"/>
            <w:szCs w:val="24"/>
          </w:rPr>
          <w:t>Stakeholder Forum Outcome Statement</w:t>
        </w:r>
      </w:hyperlink>
      <w:r>
        <w:rPr>
          <w:rFonts w:asciiTheme="minorHAnsi" w:hAnsiTheme="minorHAnsi"/>
          <w:szCs w:val="24"/>
        </w:rPr>
        <w:t xml:space="preserve"> is available on the Review website</w:t>
      </w:r>
      <w:r w:rsidR="007431BB">
        <w:rPr>
          <w:rFonts w:asciiTheme="minorHAnsi" w:hAnsiTheme="minorHAnsi"/>
          <w:szCs w:val="24"/>
        </w:rPr>
        <w:t xml:space="preserve"> and at </w:t>
      </w:r>
      <w:r w:rsidR="007431BB" w:rsidRPr="007431BB">
        <w:rPr>
          <w:rFonts w:asciiTheme="minorHAnsi" w:hAnsiTheme="minorHAnsi"/>
          <w:b/>
          <w:szCs w:val="24"/>
        </w:rPr>
        <w:t>Appendix F</w:t>
      </w:r>
      <w:r w:rsidRPr="009623C7">
        <w:rPr>
          <w:rStyle w:val="Hyperlink"/>
          <w:rFonts w:asciiTheme="minorHAnsi" w:hAnsiTheme="minorHAnsi"/>
          <w:color w:val="auto"/>
          <w:szCs w:val="24"/>
          <w:u w:val="none"/>
        </w:rPr>
        <w:t>.</w:t>
      </w:r>
      <w:r w:rsidRPr="00E631B0">
        <w:rPr>
          <w:rStyle w:val="Hyperlink"/>
          <w:rFonts w:asciiTheme="minorHAnsi" w:hAnsiTheme="minorHAnsi"/>
          <w:szCs w:val="24"/>
          <w:u w:val="none"/>
        </w:rPr>
        <w:t xml:space="preserve"> </w:t>
      </w:r>
      <w:r w:rsidR="0000686B" w:rsidRPr="00204D95">
        <w:rPr>
          <w:rFonts w:asciiTheme="minorHAnsi" w:hAnsiTheme="minorHAnsi"/>
          <w:szCs w:val="24"/>
        </w:rPr>
        <w:t xml:space="preserve">Stakeholder </w:t>
      </w:r>
      <w:r w:rsidR="0000686B" w:rsidRPr="00833088">
        <w:rPr>
          <w:rFonts w:asciiTheme="minorHAnsi" w:hAnsiTheme="minorHAnsi"/>
          <w:szCs w:val="24"/>
        </w:rPr>
        <w:t>responses to the Stakeholder Forum Outcome Statement</w:t>
      </w:r>
      <w:r>
        <w:rPr>
          <w:rFonts w:asciiTheme="minorHAnsi" w:hAnsiTheme="minorHAnsi"/>
          <w:szCs w:val="24"/>
        </w:rPr>
        <w:t xml:space="preserve"> are available on the Review’s </w:t>
      </w:r>
      <w:hyperlink r:id="rId24" w:history="1">
        <w:r w:rsidRPr="00D52C20">
          <w:rPr>
            <w:rStyle w:val="Hyperlink"/>
            <w:rFonts w:asciiTheme="minorHAnsi" w:hAnsiTheme="minorHAnsi"/>
            <w:szCs w:val="24"/>
          </w:rPr>
          <w:t>Public Consultation website</w:t>
        </w:r>
      </w:hyperlink>
      <w:r>
        <w:rPr>
          <w:rFonts w:asciiTheme="minorHAnsi" w:hAnsiTheme="minorHAnsi"/>
          <w:szCs w:val="24"/>
        </w:rPr>
        <w:t>.</w:t>
      </w:r>
    </w:p>
    <w:p w14:paraId="1C96FF64" w14:textId="4A877AEA" w:rsidR="0000686B" w:rsidRPr="00E631B0" w:rsidRDefault="003848A8" w:rsidP="005A2287">
      <w:pPr>
        <w:pStyle w:val="Heading3"/>
        <w:jc w:val="left"/>
      </w:pPr>
      <w:bookmarkStart w:id="80" w:name="_Toc500510239"/>
      <w:r w:rsidRPr="00E631B0">
        <w:t>2.</w:t>
      </w:r>
      <w:r w:rsidR="0000686B" w:rsidRPr="00E631B0">
        <w:t>3.3</w:t>
      </w:r>
      <w:r w:rsidR="000F1815" w:rsidRPr="00E631B0">
        <w:tab/>
      </w:r>
      <w:r w:rsidR="0000686B" w:rsidRPr="00E631B0">
        <w:t>Stakeh</w:t>
      </w:r>
      <w:r w:rsidR="00341378" w:rsidRPr="00E631B0">
        <w:t>older submissions to the draft R</w:t>
      </w:r>
      <w:r w:rsidR="0000686B" w:rsidRPr="00E631B0">
        <w:t>eport</w:t>
      </w:r>
      <w:bookmarkEnd w:id="80"/>
    </w:p>
    <w:p w14:paraId="67D0544D" w14:textId="2B1806F4"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Stakeholders raised the following points i</w:t>
      </w:r>
      <w:r w:rsidR="00B817F7" w:rsidRPr="00E631B0">
        <w:rPr>
          <w:rFonts w:asciiTheme="minorHAnsi" w:hAnsiTheme="minorHAnsi"/>
          <w:szCs w:val="24"/>
        </w:rPr>
        <w:t>n their responses to the draft R</w:t>
      </w:r>
      <w:r w:rsidRPr="00E631B0">
        <w:rPr>
          <w:rFonts w:asciiTheme="minorHAnsi" w:hAnsiTheme="minorHAnsi"/>
          <w:szCs w:val="24"/>
        </w:rPr>
        <w:t>eport provided on the PMR website from 30 January to 10 February 2017.</w:t>
      </w:r>
    </w:p>
    <w:p w14:paraId="3E3EF7EC" w14:textId="62F316C4" w:rsidR="0000686B" w:rsidRPr="00E631B0" w:rsidRDefault="0000686B" w:rsidP="00AD7EAC">
      <w:pPr>
        <w:pStyle w:val="ListBullet"/>
        <w:tabs>
          <w:tab w:val="clear" w:pos="850"/>
          <w:tab w:val="num" w:pos="426"/>
        </w:tabs>
        <w:ind w:left="426" w:hanging="426"/>
      </w:pPr>
      <w:r w:rsidRPr="00E631B0">
        <w:rPr>
          <w:sz w:val="24"/>
        </w:rPr>
        <w:t>Ezetimibe has an established and important role in clinical practice. Ezetimibe remains essential for treating patients who are unable to tolerate increasing d</w:t>
      </w:r>
      <w:r w:rsidR="00D52C20" w:rsidRPr="00E631B0">
        <w:rPr>
          <w:sz w:val="24"/>
        </w:rPr>
        <w:t xml:space="preserve">oses of statins, have high </w:t>
      </w:r>
      <w:r w:rsidR="00D52C20" w:rsidRPr="00E631B0">
        <w:rPr>
          <w:sz w:val="24"/>
          <w:szCs w:val="24"/>
        </w:rPr>
        <w:t>base</w:t>
      </w:r>
      <w:r w:rsidRPr="00E631B0">
        <w:rPr>
          <w:sz w:val="24"/>
          <w:szCs w:val="24"/>
        </w:rPr>
        <w:t>line</w:t>
      </w:r>
      <w:r w:rsidRPr="00E631B0">
        <w:rPr>
          <w:sz w:val="24"/>
        </w:rPr>
        <w:t xml:space="preserve"> cardiovascular event risk</w:t>
      </w:r>
      <w:r w:rsidR="00D52C20" w:rsidRPr="00E631B0">
        <w:rPr>
          <w:sz w:val="24"/>
          <w:szCs w:val="24"/>
        </w:rPr>
        <w:t>,</w:t>
      </w:r>
      <w:r w:rsidRPr="00E631B0">
        <w:rPr>
          <w:sz w:val="24"/>
        </w:rPr>
        <w:t xml:space="preserve"> or are unable to take statins at all. </w:t>
      </w:r>
    </w:p>
    <w:p w14:paraId="10B9EC6F" w14:textId="533FACC6" w:rsidR="0000686B" w:rsidRPr="00E631B0" w:rsidRDefault="0000686B" w:rsidP="00AD7EAC">
      <w:pPr>
        <w:pStyle w:val="ListBullet"/>
        <w:tabs>
          <w:tab w:val="clear" w:pos="850"/>
          <w:tab w:val="num" w:pos="426"/>
        </w:tabs>
        <w:ind w:left="426" w:hanging="426"/>
      </w:pPr>
      <w:r w:rsidRPr="00E631B0">
        <w:rPr>
          <w:sz w:val="24"/>
        </w:rPr>
        <w:t>A number of submissions expressed app</w:t>
      </w:r>
      <w:r w:rsidR="00D52C20" w:rsidRPr="00E631B0">
        <w:rPr>
          <w:sz w:val="24"/>
        </w:rPr>
        <w:t xml:space="preserve">roval at reducing ezetimibe to </w:t>
      </w:r>
      <w:r w:rsidR="00D52C20" w:rsidRPr="00E631B0">
        <w:rPr>
          <w:sz w:val="24"/>
          <w:szCs w:val="24"/>
        </w:rPr>
        <w:t>a Restricted B</w:t>
      </w:r>
      <w:r w:rsidRPr="00E631B0">
        <w:rPr>
          <w:sz w:val="24"/>
          <w:szCs w:val="24"/>
        </w:rPr>
        <w:t>enefit</w:t>
      </w:r>
      <w:r w:rsidR="00D52C20" w:rsidRPr="00E631B0">
        <w:rPr>
          <w:sz w:val="24"/>
          <w:szCs w:val="24"/>
        </w:rPr>
        <w:t xml:space="preserve"> listing on the PBS,</w:t>
      </w:r>
      <w:r w:rsidR="00D52C20" w:rsidRPr="00E631B0">
        <w:rPr>
          <w:sz w:val="24"/>
        </w:rPr>
        <w:t xml:space="preserve"> but one submission considered </w:t>
      </w:r>
      <w:r w:rsidR="00D52C20" w:rsidRPr="00E631B0">
        <w:rPr>
          <w:sz w:val="24"/>
          <w:szCs w:val="24"/>
        </w:rPr>
        <w:t>the current Authority R</w:t>
      </w:r>
      <w:r w:rsidRPr="00E631B0">
        <w:rPr>
          <w:sz w:val="24"/>
          <w:szCs w:val="24"/>
        </w:rPr>
        <w:t xml:space="preserve">equired </w:t>
      </w:r>
      <w:r w:rsidR="00D52C20" w:rsidRPr="00E631B0">
        <w:rPr>
          <w:sz w:val="24"/>
          <w:szCs w:val="24"/>
        </w:rPr>
        <w:t>listing</w:t>
      </w:r>
      <w:r w:rsidR="00D52C20" w:rsidRPr="00E631B0">
        <w:rPr>
          <w:sz w:val="24"/>
        </w:rPr>
        <w:t xml:space="preserve"> </w:t>
      </w:r>
      <w:r w:rsidRPr="00E631B0">
        <w:rPr>
          <w:sz w:val="24"/>
        </w:rPr>
        <w:t>remains appropriate to support the place of ezetimibe as second line therapy.</w:t>
      </w:r>
    </w:p>
    <w:p w14:paraId="47B00DAE" w14:textId="7F48B239" w:rsidR="0000686B" w:rsidRPr="00E631B0" w:rsidRDefault="0000686B" w:rsidP="00AD7EAC">
      <w:pPr>
        <w:pStyle w:val="ListBullet"/>
        <w:tabs>
          <w:tab w:val="clear" w:pos="850"/>
          <w:tab w:val="num" w:pos="426"/>
        </w:tabs>
        <w:ind w:left="426" w:hanging="426"/>
      </w:pPr>
      <w:r w:rsidRPr="00E631B0">
        <w:rPr>
          <w:sz w:val="24"/>
        </w:rPr>
        <w:t xml:space="preserve">The PBS </w:t>
      </w:r>
      <w:r w:rsidR="00097C04" w:rsidRPr="00E631B0">
        <w:rPr>
          <w:sz w:val="24"/>
          <w:szCs w:val="24"/>
        </w:rPr>
        <w:t>GSLLD</w:t>
      </w:r>
      <w:r w:rsidR="00D52C20" w:rsidRPr="00E631B0">
        <w:rPr>
          <w:sz w:val="24"/>
        </w:rPr>
        <w:t xml:space="preserve"> </w:t>
      </w:r>
      <w:r w:rsidRPr="00E631B0">
        <w:rPr>
          <w:sz w:val="24"/>
        </w:rPr>
        <w:t>should be removed for statins.</w:t>
      </w:r>
    </w:p>
    <w:p w14:paraId="48099E42" w14:textId="22EA2ACC" w:rsidR="0000686B" w:rsidRPr="00833088" w:rsidRDefault="003848A8" w:rsidP="00AD7EAC">
      <w:pPr>
        <w:pStyle w:val="Heading2"/>
      </w:pPr>
      <w:bookmarkStart w:id="81" w:name="_Toc500510240"/>
      <w:r w:rsidRPr="00833088">
        <w:t>2.</w:t>
      </w:r>
      <w:r w:rsidR="0000686B" w:rsidRPr="00833088">
        <w:t>4</w:t>
      </w:r>
      <w:r w:rsidR="0000686B" w:rsidRPr="00833088">
        <w:tab/>
        <w:t xml:space="preserve">Reference Group </w:t>
      </w:r>
      <w:r w:rsidR="00D52C20">
        <w:t>c</w:t>
      </w:r>
      <w:r w:rsidR="005936F5" w:rsidRPr="00833088">
        <w:t>onsideration</w:t>
      </w:r>
      <w:bookmarkEnd w:id="81"/>
    </w:p>
    <w:p w14:paraId="34091FD8" w14:textId="0C7891C7" w:rsidR="0000686B" w:rsidRPr="00E631B0" w:rsidRDefault="0000686B" w:rsidP="00AD7EAC">
      <w:pPr>
        <w:spacing w:line="240" w:lineRule="auto"/>
        <w:jc w:val="left"/>
        <w:rPr>
          <w:rFonts w:asciiTheme="minorHAnsi" w:hAnsiTheme="minorHAnsi"/>
        </w:rPr>
      </w:pPr>
      <w:r w:rsidRPr="00E631B0">
        <w:rPr>
          <w:rFonts w:asciiTheme="minorHAnsi" w:hAnsiTheme="minorHAnsi"/>
        </w:rPr>
        <w:t>The Reference Group no</w:t>
      </w:r>
      <w:r w:rsidR="00D52C20" w:rsidRPr="00E631B0">
        <w:rPr>
          <w:rFonts w:asciiTheme="minorHAnsi" w:hAnsiTheme="minorHAnsi"/>
        </w:rPr>
        <w:t>ted that all current treatment g</w:t>
      </w:r>
      <w:r w:rsidRPr="00E631B0">
        <w:rPr>
          <w:rFonts w:asciiTheme="minorHAnsi" w:hAnsiTheme="minorHAnsi"/>
        </w:rPr>
        <w:t xml:space="preserve">uidelines for management of hypercholesterolaemia recommend the use of statins as first line pharmacotherapy to lower LDL-C concentrations. Two guidelines released in 2016 continue to support this approach: </w:t>
      </w:r>
    </w:p>
    <w:p w14:paraId="5D178173" w14:textId="77777777" w:rsidR="0000686B" w:rsidRPr="00E631B0" w:rsidRDefault="0000686B" w:rsidP="00AD7EAC">
      <w:pPr>
        <w:pStyle w:val="ListParagraph"/>
        <w:numPr>
          <w:ilvl w:val="0"/>
          <w:numId w:val="21"/>
        </w:numPr>
        <w:spacing w:after="120" w:line="240" w:lineRule="auto"/>
        <w:ind w:left="426" w:hanging="426"/>
        <w:contextualSpacing w:val="0"/>
        <w:jc w:val="left"/>
        <w:rPr>
          <w:rFonts w:asciiTheme="minorHAnsi" w:hAnsiTheme="minorHAnsi"/>
        </w:rPr>
      </w:pPr>
      <w:r w:rsidRPr="00E631B0">
        <w:rPr>
          <w:rFonts w:asciiTheme="minorHAnsi" w:hAnsiTheme="minorHAnsi"/>
        </w:rPr>
        <w:t xml:space="preserve">2016 American College of Cardiology (ACC) </w:t>
      </w:r>
      <w:r w:rsidRPr="00E631B0">
        <w:rPr>
          <w:rFonts w:asciiTheme="minorHAnsi" w:hAnsiTheme="minorHAnsi"/>
          <w:i/>
        </w:rPr>
        <w:t>Expert Consensus Decision Pathway on the Role of Non-Statin Therapies for LDL-Cholesterol Lowering in the Management of Atherosclerotic Cardiovascular Disease Risk</w:t>
      </w:r>
      <w:r w:rsidRPr="00E631B0">
        <w:rPr>
          <w:rFonts w:asciiTheme="minorHAnsi" w:hAnsiTheme="minorHAnsi"/>
        </w:rPr>
        <w:t xml:space="preserve"> </w:t>
      </w:r>
    </w:p>
    <w:p w14:paraId="69CE0CC4" w14:textId="77777777" w:rsidR="0000686B" w:rsidRPr="00E631B0" w:rsidRDefault="0000686B" w:rsidP="00AD7EAC">
      <w:pPr>
        <w:pStyle w:val="ListParagraph"/>
        <w:numPr>
          <w:ilvl w:val="0"/>
          <w:numId w:val="21"/>
        </w:numPr>
        <w:spacing w:after="120" w:line="240" w:lineRule="auto"/>
        <w:ind w:left="426" w:hanging="426"/>
        <w:contextualSpacing w:val="0"/>
        <w:jc w:val="left"/>
        <w:rPr>
          <w:rFonts w:asciiTheme="minorHAnsi" w:hAnsiTheme="minorHAnsi"/>
        </w:rPr>
      </w:pPr>
      <w:r w:rsidRPr="00E631B0">
        <w:rPr>
          <w:rFonts w:asciiTheme="minorHAnsi" w:hAnsiTheme="minorHAnsi"/>
        </w:rPr>
        <w:t xml:space="preserve">2016 European Society of Cardiology / European Atherosclerosis Society (EAS) </w:t>
      </w:r>
      <w:r w:rsidRPr="00E631B0">
        <w:rPr>
          <w:rFonts w:asciiTheme="minorHAnsi" w:hAnsiTheme="minorHAnsi"/>
          <w:i/>
        </w:rPr>
        <w:t>Guidelines for the Management of Dyslipidaemias</w:t>
      </w:r>
      <w:r w:rsidRPr="00E631B0">
        <w:rPr>
          <w:rFonts w:asciiTheme="minorHAnsi" w:hAnsiTheme="minorHAnsi"/>
        </w:rPr>
        <w:t xml:space="preserve"> </w:t>
      </w:r>
    </w:p>
    <w:p w14:paraId="20CC9BF0" w14:textId="087D4594" w:rsidR="0000686B" w:rsidRPr="00E631B0" w:rsidRDefault="0000686B" w:rsidP="00AD7EAC">
      <w:pPr>
        <w:pStyle w:val="Default"/>
        <w:spacing w:after="200"/>
        <w:rPr>
          <w:rFonts w:asciiTheme="minorHAnsi" w:eastAsiaTheme="minorHAnsi" w:hAnsiTheme="minorHAnsi" w:cstheme="minorBidi"/>
          <w:color w:val="auto"/>
          <w:lang w:eastAsia="en-US"/>
        </w:rPr>
      </w:pPr>
      <w:r w:rsidRPr="00E631B0">
        <w:rPr>
          <w:rFonts w:asciiTheme="minorHAnsi" w:eastAsiaTheme="minorHAnsi" w:hAnsiTheme="minorHAnsi" w:cstheme="minorBidi"/>
          <w:color w:val="auto"/>
          <w:lang w:eastAsia="en-US"/>
        </w:rPr>
        <w:t xml:space="preserve">This is due to the quality and volume of clinical evidence available that indicate that lowering LDL-C by statins translates to a reduction in risk of cardiovascular events. </w:t>
      </w:r>
      <w:r w:rsidRPr="00E631B0">
        <w:rPr>
          <w:rFonts w:asciiTheme="minorHAnsi" w:eastAsiaTheme="minorHAnsi" w:hAnsiTheme="minorHAnsi" w:cstheme="minorBidi"/>
          <w:color w:val="auto"/>
          <w:lang w:eastAsia="en-US"/>
        </w:rPr>
        <w:lastRenderedPageBreak/>
        <w:t>Ezetimibe is placed after statins on the basis of the limited data available, with only one trial (IMPROVE-IT) showing outcome data. IMPROVE-IT demonstrates a reduction in LDL-C by ezetimibe lowers CV risk as predicted and there are no toxicity signals. However, IMPROVE-IT included a specific secondary prevention population that may not reflect the population of patients being treated under the current Australian guidelines.</w:t>
      </w:r>
      <w:r w:rsidR="00097C04" w:rsidRPr="00E631B0">
        <w:rPr>
          <w:rFonts w:asciiTheme="minorHAnsi" w:eastAsiaTheme="minorHAnsi" w:hAnsiTheme="minorHAnsi" w:cstheme="minorBidi"/>
          <w:color w:val="auto"/>
          <w:lang w:eastAsia="en-US"/>
        </w:rPr>
        <w:t xml:space="preserve"> </w:t>
      </w:r>
      <w:r w:rsidRPr="00E631B0">
        <w:rPr>
          <w:rFonts w:asciiTheme="minorHAnsi" w:eastAsiaTheme="minorHAnsi" w:hAnsiTheme="minorHAnsi" w:cstheme="minorBidi"/>
          <w:color w:val="auto"/>
          <w:lang w:eastAsia="en-US"/>
        </w:rPr>
        <w:t>Therefore</w:t>
      </w:r>
      <w:r w:rsidR="00097C04" w:rsidRPr="00E631B0">
        <w:rPr>
          <w:rFonts w:asciiTheme="minorHAnsi" w:eastAsiaTheme="minorHAnsi" w:hAnsiTheme="minorHAnsi" w:cstheme="minorBidi"/>
          <w:color w:val="auto"/>
          <w:lang w:eastAsia="en-US"/>
        </w:rPr>
        <w:t>,</w:t>
      </w:r>
      <w:r w:rsidRPr="00E631B0">
        <w:rPr>
          <w:rFonts w:asciiTheme="minorHAnsi" w:eastAsiaTheme="minorHAnsi" w:hAnsiTheme="minorHAnsi" w:cstheme="minorBidi"/>
          <w:color w:val="auto"/>
          <w:lang w:eastAsia="en-US"/>
        </w:rPr>
        <w:t xml:space="preserve"> t</w:t>
      </w:r>
      <w:r w:rsidR="00097C04" w:rsidRPr="00E631B0">
        <w:rPr>
          <w:rFonts w:asciiTheme="minorHAnsi" w:eastAsiaTheme="minorHAnsi" w:hAnsiTheme="minorHAnsi" w:cstheme="minorBidi"/>
          <w:color w:val="auto"/>
          <w:lang w:eastAsia="en-US"/>
        </w:rPr>
        <w:t>here are some limitations with</w:t>
      </w:r>
      <w:r w:rsidRPr="00E631B0">
        <w:rPr>
          <w:rFonts w:asciiTheme="minorHAnsi" w:eastAsiaTheme="minorHAnsi" w:hAnsiTheme="minorHAnsi" w:cstheme="minorBidi"/>
          <w:color w:val="auto"/>
          <w:lang w:eastAsia="en-US"/>
        </w:rPr>
        <w:t xml:space="preserve"> the generalisability of the results. </w:t>
      </w:r>
    </w:p>
    <w:p w14:paraId="64870CC5" w14:textId="20CB2E26" w:rsidR="0000686B" w:rsidRPr="00E631B0" w:rsidRDefault="00097C04" w:rsidP="00AD7EAC">
      <w:pPr>
        <w:pStyle w:val="Default"/>
        <w:spacing w:after="200"/>
        <w:rPr>
          <w:rFonts w:asciiTheme="minorHAnsi" w:hAnsiTheme="minorHAnsi"/>
          <w:color w:val="auto"/>
        </w:rPr>
      </w:pPr>
      <w:r w:rsidRPr="00E631B0">
        <w:rPr>
          <w:rFonts w:asciiTheme="minorHAnsi" w:hAnsiTheme="minorHAnsi"/>
          <w:color w:val="auto"/>
        </w:rPr>
        <w:t>The Reference Group accepted</w:t>
      </w:r>
      <w:r w:rsidR="0000686B" w:rsidRPr="00E631B0">
        <w:rPr>
          <w:rFonts w:asciiTheme="minorHAnsi" w:hAnsiTheme="minorHAnsi"/>
          <w:color w:val="auto"/>
        </w:rPr>
        <w:t xml:space="preserve"> that a reduction in LDL-C is a valid surrogate for</w:t>
      </w:r>
      <w:r w:rsidR="00150546" w:rsidRPr="00E631B0">
        <w:rPr>
          <w:rFonts w:asciiTheme="minorHAnsi" w:hAnsiTheme="minorHAnsi"/>
          <w:color w:val="auto"/>
        </w:rPr>
        <w:t xml:space="preserve"> </w:t>
      </w:r>
      <w:r w:rsidR="0000686B" w:rsidRPr="00E631B0">
        <w:rPr>
          <w:rFonts w:asciiTheme="minorHAnsi" w:hAnsiTheme="minorHAnsi"/>
          <w:color w:val="auto"/>
        </w:rPr>
        <w:t xml:space="preserve">measuring reduction of </w:t>
      </w:r>
      <w:r w:rsidRPr="00E631B0">
        <w:rPr>
          <w:rFonts w:asciiTheme="minorHAnsi" w:hAnsiTheme="minorHAnsi"/>
          <w:color w:val="auto"/>
        </w:rPr>
        <w:t xml:space="preserve">CV </w:t>
      </w:r>
      <w:r w:rsidR="0000686B" w:rsidRPr="00E631B0">
        <w:rPr>
          <w:rFonts w:asciiTheme="minorHAnsi" w:hAnsiTheme="minorHAnsi"/>
          <w:color w:val="auto"/>
        </w:rPr>
        <w:t>risk for both ezetimibe and statins. The initial use of statins and up-titration of statins prior to using ezetimibe should be promoted. When using pharmacotherapy to lower LDL-C</w:t>
      </w:r>
      <w:r w:rsidR="00150546" w:rsidRPr="00E631B0">
        <w:rPr>
          <w:rFonts w:asciiTheme="minorHAnsi" w:hAnsiTheme="minorHAnsi"/>
          <w:color w:val="auto"/>
        </w:rPr>
        <w:t xml:space="preserve"> </w:t>
      </w:r>
      <w:r w:rsidR="0000686B" w:rsidRPr="00E631B0">
        <w:rPr>
          <w:rFonts w:asciiTheme="minorHAnsi" w:hAnsiTheme="minorHAnsi"/>
          <w:color w:val="auto"/>
        </w:rPr>
        <w:t>the choice of therapy is dep</w:t>
      </w:r>
      <w:r w:rsidRPr="00E631B0">
        <w:rPr>
          <w:rFonts w:asciiTheme="minorHAnsi" w:hAnsiTheme="minorHAnsi"/>
          <w:color w:val="auto"/>
        </w:rPr>
        <w:t xml:space="preserve">endent on clinical preference. </w:t>
      </w:r>
      <w:r w:rsidR="0000686B" w:rsidRPr="00E631B0">
        <w:rPr>
          <w:rFonts w:asciiTheme="minorHAnsi" w:hAnsiTheme="minorHAnsi"/>
          <w:color w:val="auto"/>
        </w:rPr>
        <w:t>However</w:t>
      </w:r>
      <w:r w:rsidRPr="00E631B0">
        <w:rPr>
          <w:rFonts w:asciiTheme="minorHAnsi" w:hAnsiTheme="minorHAnsi"/>
          <w:color w:val="auto"/>
        </w:rPr>
        <w:t>,</w:t>
      </w:r>
      <w:r w:rsidR="0000686B" w:rsidRPr="00E631B0">
        <w:rPr>
          <w:rFonts w:asciiTheme="minorHAnsi" w:hAnsiTheme="minorHAnsi"/>
          <w:color w:val="auto"/>
        </w:rPr>
        <w:t xml:space="preserve"> the Reference Group noted that guidelines generally recommend statins as the initial therapy, reserving other LLT</w:t>
      </w:r>
      <w:r w:rsidRPr="00E631B0">
        <w:rPr>
          <w:rFonts w:asciiTheme="minorHAnsi" w:hAnsiTheme="minorHAnsi"/>
          <w:color w:val="auto"/>
        </w:rPr>
        <w:t xml:space="preserve"> including ezetimibe for second </w:t>
      </w:r>
      <w:r w:rsidR="0000686B" w:rsidRPr="00E631B0">
        <w:rPr>
          <w:rFonts w:asciiTheme="minorHAnsi" w:hAnsiTheme="minorHAnsi"/>
          <w:color w:val="auto"/>
        </w:rPr>
        <w:t>line therapies, as noted above.</w:t>
      </w:r>
    </w:p>
    <w:p w14:paraId="2C01BF74" w14:textId="4642B41E" w:rsidR="00CA28A3" w:rsidRPr="00E631B0" w:rsidRDefault="00CA28A3" w:rsidP="00AD7EAC">
      <w:pPr>
        <w:spacing w:line="240" w:lineRule="auto"/>
        <w:jc w:val="left"/>
        <w:rPr>
          <w:rFonts w:asciiTheme="minorHAnsi" w:hAnsiTheme="minorHAnsi"/>
          <w:szCs w:val="24"/>
        </w:rPr>
      </w:pPr>
      <w:r w:rsidRPr="00E631B0">
        <w:rPr>
          <w:rFonts w:asciiTheme="minorHAnsi" w:hAnsiTheme="minorHAnsi"/>
          <w:szCs w:val="24"/>
        </w:rPr>
        <w:t>As noted previously (</w:t>
      </w:r>
      <w:r w:rsidR="00097C04" w:rsidRPr="00E631B0">
        <w:rPr>
          <w:rFonts w:asciiTheme="minorHAnsi" w:hAnsiTheme="minorHAnsi"/>
          <w:szCs w:val="24"/>
        </w:rPr>
        <w:t xml:space="preserve">TOR </w:t>
      </w:r>
      <w:r w:rsidRPr="00E631B0">
        <w:rPr>
          <w:rFonts w:asciiTheme="minorHAnsi" w:hAnsiTheme="minorHAnsi"/>
          <w:szCs w:val="24"/>
        </w:rPr>
        <w:t>1, section 1.3.3) the s</w:t>
      </w:r>
      <w:r w:rsidR="00B817F7" w:rsidRPr="00E631B0">
        <w:rPr>
          <w:rFonts w:asciiTheme="minorHAnsi" w:hAnsiTheme="minorHAnsi"/>
          <w:szCs w:val="24"/>
        </w:rPr>
        <w:t>ponsor’s response to the draft R</w:t>
      </w:r>
      <w:r w:rsidRPr="00E631B0">
        <w:rPr>
          <w:rFonts w:asciiTheme="minorHAnsi" w:hAnsiTheme="minorHAnsi"/>
          <w:szCs w:val="24"/>
        </w:rPr>
        <w:t xml:space="preserve">eport stated that prescribers and patients place significant value on ezetimibe’s ability to lower LDL-C and event risk without increasing the likelihood of </w:t>
      </w:r>
      <w:r w:rsidR="00C17B2A" w:rsidRPr="00E631B0">
        <w:rPr>
          <w:rFonts w:asciiTheme="minorHAnsi" w:hAnsiTheme="minorHAnsi"/>
          <w:szCs w:val="24"/>
        </w:rPr>
        <w:t xml:space="preserve">adverse </w:t>
      </w:r>
      <w:r w:rsidRPr="00E631B0">
        <w:rPr>
          <w:rFonts w:asciiTheme="minorHAnsi" w:hAnsiTheme="minorHAnsi"/>
          <w:szCs w:val="24"/>
        </w:rPr>
        <w:t>effects associated with higher statin doses (MSD response</w:t>
      </w:r>
      <w:r w:rsidR="00B817F7" w:rsidRPr="00E631B0">
        <w:rPr>
          <w:rFonts w:asciiTheme="minorHAnsi" w:hAnsiTheme="minorHAnsi"/>
          <w:szCs w:val="24"/>
        </w:rPr>
        <w:t xml:space="preserve"> to the draft R</w:t>
      </w:r>
      <w:r w:rsidR="00C454CC" w:rsidRPr="00E631B0">
        <w:rPr>
          <w:rFonts w:asciiTheme="minorHAnsi" w:hAnsiTheme="minorHAnsi"/>
          <w:szCs w:val="24"/>
        </w:rPr>
        <w:t>eport</w:t>
      </w:r>
      <w:r w:rsidR="00097C04" w:rsidRPr="00E631B0">
        <w:rPr>
          <w:rFonts w:asciiTheme="minorHAnsi" w:hAnsiTheme="minorHAnsi"/>
          <w:szCs w:val="24"/>
        </w:rPr>
        <w:t>, p.2</w:t>
      </w:r>
      <w:r w:rsidRPr="00E631B0">
        <w:rPr>
          <w:rFonts w:asciiTheme="minorHAnsi" w:hAnsiTheme="minorHAnsi"/>
          <w:szCs w:val="24"/>
        </w:rPr>
        <w:t>). This further reinforced the Reference Group’s view that there is a significant patient population for whom ezetimibe is added to statin therapy before maximum tolerated doses of statins are trialled.</w:t>
      </w:r>
    </w:p>
    <w:p w14:paraId="5A1A8F78" w14:textId="45085046" w:rsidR="0048730F" w:rsidRPr="00E631B0" w:rsidRDefault="00AA3B4D" w:rsidP="00AD7EAC">
      <w:pPr>
        <w:spacing w:line="240" w:lineRule="auto"/>
        <w:jc w:val="left"/>
        <w:rPr>
          <w:rFonts w:asciiTheme="minorHAnsi" w:eastAsia="Calibri" w:hAnsiTheme="minorHAnsi" w:cs="Times New Roman"/>
          <w:szCs w:val="24"/>
        </w:rPr>
      </w:pPr>
      <w:r w:rsidRPr="00E631B0">
        <w:rPr>
          <w:rFonts w:asciiTheme="minorHAnsi" w:eastAsia="Calibri" w:hAnsiTheme="minorHAnsi" w:cs="Times New Roman"/>
          <w:szCs w:val="24"/>
        </w:rPr>
        <w:t>The Reference Group noted from recent literature that diagnosing true statin-associated muscle symptoms is difficult. Whether statins cause muscle symptoms with no or only mild creatinine kinase elevations is irrelevant</w:t>
      </w:r>
      <w:r w:rsidR="004B3EB8" w:rsidRPr="00E631B0">
        <w:rPr>
          <w:rFonts w:asciiTheme="minorHAnsi" w:eastAsia="Calibri" w:hAnsiTheme="minorHAnsi" w:cs="Times New Roman"/>
          <w:szCs w:val="24"/>
        </w:rPr>
        <w:t>,</w:t>
      </w:r>
      <w:r w:rsidRPr="00E631B0">
        <w:rPr>
          <w:rFonts w:asciiTheme="minorHAnsi" w:eastAsia="Calibri" w:hAnsiTheme="minorHAnsi" w:cs="Times New Roman"/>
          <w:szCs w:val="24"/>
        </w:rPr>
        <w:t xml:space="preserve"> as if a patient believes statins are responsible it is difficult to convince them otherwise</w:t>
      </w:r>
      <w:r w:rsidR="00F21D61" w:rsidRPr="00E631B0">
        <w:rPr>
          <w:rStyle w:val="EndnoteReference"/>
          <w:rFonts w:asciiTheme="minorHAnsi" w:eastAsia="Calibri" w:hAnsiTheme="minorHAnsi" w:cs="Times New Roman"/>
          <w:szCs w:val="24"/>
        </w:rPr>
        <w:endnoteReference w:id="45"/>
      </w:r>
      <w:r w:rsidR="00F21D61" w:rsidRPr="00E631B0">
        <w:rPr>
          <w:rFonts w:asciiTheme="minorHAnsi" w:eastAsia="Calibri" w:hAnsiTheme="minorHAnsi" w:cs="Times New Roman"/>
          <w:szCs w:val="24"/>
        </w:rPr>
        <w:t>.</w:t>
      </w:r>
      <w:r w:rsidRPr="00E631B0">
        <w:rPr>
          <w:rFonts w:asciiTheme="minorHAnsi" w:eastAsia="Calibri" w:hAnsiTheme="minorHAnsi" w:cs="Times New Roman"/>
          <w:szCs w:val="24"/>
        </w:rPr>
        <w:t xml:space="preserve"> </w:t>
      </w:r>
      <w:r w:rsidR="0048730F" w:rsidRPr="00E631B0">
        <w:rPr>
          <w:rFonts w:asciiTheme="minorHAnsi" w:eastAsia="Calibri" w:hAnsiTheme="minorHAnsi" w:cs="Times New Roman"/>
          <w:szCs w:val="24"/>
        </w:rPr>
        <w:t>T</w:t>
      </w:r>
      <w:r w:rsidRPr="00E631B0">
        <w:rPr>
          <w:rFonts w:asciiTheme="minorHAnsi" w:eastAsia="Calibri" w:hAnsiTheme="minorHAnsi" w:cs="Times New Roman"/>
          <w:szCs w:val="24"/>
        </w:rPr>
        <w:t>he incidence of statin myalgia has been estimated at 10% from observational studies</w:t>
      </w:r>
      <w:r w:rsidR="00F21D61" w:rsidRPr="00E631B0">
        <w:rPr>
          <w:rStyle w:val="EndnoteReference"/>
          <w:rFonts w:asciiTheme="minorHAnsi" w:eastAsia="Calibri" w:hAnsiTheme="minorHAnsi" w:cs="Times New Roman"/>
          <w:szCs w:val="24"/>
        </w:rPr>
        <w:endnoteReference w:id="46"/>
      </w:r>
      <w:r w:rsidR="00F21D61" w:rsidRPr="00E631B0">
        <w:rPr>
          <w:rFonts w:asciiTheme="minorHAnsi" w:eastAsia="Calibri" w:hAnsiTheme="minorHAnsi" w:cs="Times New Roman"/>
          <w:szCs w:val="24"/>
        </w:rPr>
        <w:t>.</w:t>
      </w:r>
      <w:r w:rsidRPr="00E631B0">
        <w:rPr>
          <w:rFonts w:asciiTheme="minorHAnsi" w:eastAsia="Calibri" w:hAnsiTheme="minorHAnsi" w:cs="Times New Roman"/>
          <w:szCs w:val="24"/>
        </w:rPr>
        <w:t xml:space="preserve"> </w:t>
      </w:r>
    </w:p>
    <w:p w14:paraId="47FECFA0" w14:textId="77777777" w:rsidR="00AA3B4D" w:rsidRPr="00E631B0" w:rsidRDefault="005B045E" w:rsidP="00AD7EAC">
      <w:pPr>
        <w:spacing w:line="240" w:lineRule="auto"/>
        <w:jc w:val="left"/>
        <w:rPr>
          <w:rFonts w:asciiTheme="minorHAnsi" w:eastAsia="Calibri" w:hAnsiTheme="minorHAnsi" w:cs="Times New Roman"/>
        </w:rPr>
      </w:pPr>
      <w:r w:rsidRPr="00E631B0">
        <w:rPr>
          <w:rFonts w:asciiTheme="minorHAnsi" w:eastAsia="Calibri" w:hAnsiTheme="minorHAnsi" w:cs="Times New Roman"/>
          <w:szCs w:val="24"/>
        </w:rPr>
        <w:t>Cohen et al suggests that whilst s</w:t>
      </w:r>
      <w:r w:rsidR="00AA3B4D" w:rsidRPr="00E631B0">
        <w:rPr>
          <w:rFonts w:asciiTheme="minorHAnsi" w:eastAsia="Calibri" w:hAnsiTheme="minorHAnsi" w:cs="Times New Roman"/>
          <w:szCs w:val="24"/>
        </w:rPr>
        <w:t>tatin</w:t>
      </w:r>
      <w:r w:rsidRPr="00E631B0">
        <w:rPr>
          <w:rFonts w:asciiTheme="minorHAnsi" w:eastAsia="Calibri" w:hAnsiTheme="minorHAnsi" w:cs="Times New Roman"/>
          <w:szCs w:val="24"/>
        </w:rPr>
        <w:t>s</w:t>
      </w:r>
      <w:r w:rsidR="00AA3B4D" w:rsidRPr="00E631B0">
        <w:rPr>
          <w:rFonts w:asciiTheme="minorHAnsi" w:eastAsia="Calibri" w:hAnsiTheme="minorHAnsi" w:cs="Times New Roman"/>
          <w:szCs w:val="24"/>
        </w:rPr>
        <w:t xml:space="preserve"> are well tolerated, statin associated </w:t>
      </w:r>
      <w:r w:rsidR="00C17B2A" w:rsidRPr="00E631B0">
        <w:rPr>
          <w:rFonts w:asciiTheme="minorHAnsi" w:eastAsia="Calibri" w:hAnsiTheme="minorHAnsi" w:cs="Times New Roman"/>
          <w:szCs w:val="24"/>
        </w:rPr>
        <w:t xml:space="preserve">adverse </w:t>
      </w:r>
      <w:r w:rsidR="00AA3B4D" w:rsidRPr="00E631B0">
        <w:rPr>
          <w:rFonts w:asciiTheme="minorHAnsi" w:eastAsia="Calibri" w:hAnsiTheme="minorHAnsi" w:cs="Times New Roman"/>
          <w:szCs w:val="24"/>
        </w:rPr>
        <w:t>effects are clinically important. Statin associated muscle side-effects are reported by 10-25% of patients taking statin therapies</w:t>
      </w:r>
      <w:r w:rsidR="00F21D61" w:rsidRPr="00E631B0">
        <w:rPr>
          <w:rStyle w:val="EndnoteReference"/>
          <w:rFonts w:asciiTheme="minorHAnsi" w:eastAsia="Calibri" w:hAnsiTheme="minorHAnsi" w:cs="Times New Roman"/>
          <w:szCs w:val="24"/>
        </w:rPr>
        <w:endnoteReference w:id="47"/>
      </w:r>
      <w:r w:rsidR="00F21D61" w:rsidRPr="00E631B0">
        <w:rPr>
          <w:rFonts w:asciiTheme="minorHAnsi" w:eastAsia="Calibri" w:hAnsiTheme="minorHAnsi" w:cs="Times New Roman"/>
          <w:szCs w:val="24"/>
        </w:rPr>
        <w:t>.</w:t>
      </w:r>
      <w:r w:rsidR="00AA3B4D" w:rsidRPr="00E631B0">
        <w:rPr>
          <w:rFonts w:asciiTheme="minorHAnsi" w:eastAsia="Calibri" w:hAnsiTheme="minorHAnsi" w:cs="Times New Roman"/>
          <w:szCs w:val="24"/>
        </w:rPr>
        <w:t xml:space="preserve"> </w:t>
      </w:r>
    </w:p>
    <w:p w14:paraId="15700F95" w14:textId="77777777" w:rsidR="00402432" w:rsidRPr="00E631B0" w:rsidRDefault="00402432" w:rsidP="00AD7EAC">
      <w:pPr>
        <w:tabs>
          <w:tab w:val="left" w:pos="0"/>
        </w:tabs>
        <w:spacing w:after="120" w:line="240" w:lineRule="auto"/>
        <w:jc w:val="left"/>
        <w:rPr>
          <w:rFonts w:asciiTheme="minorHAnsi" w:hAnsiTheme="minorHAnsi"/>
        </w:rPr>
      </w:pPr>
      <w:r w:rsidRPr="00E631B0">
        <w:rPr>
          <w:rFonts w:asciiTheme="minorHAnsi" w:hAnsiTheme="minorHAnsi"/>
        </w:rPr>
        <w:t xml:space="preserve">The Reference Group </w:t>
      </w:r>
      <w:r w:rsidR="005B045E" w:rsidRPr="00E631B0">
        <w:rPr>
          <w:rFonts w:asciiTheme="minorHAnsi" w:hAnsiTheme="minorHAnsi"/>
        </w:rPr>
        <w:t xml:space="preserve">considered </w:t>
      </w:r>
      <w:r w:rsidRPr="00E631B0">
        <w:rPr>
          <w:rFonts w:asciiTheme="minorHAnsi" w:hAnsiTheme="minorHAnsi"/>
        </w:rPr>
        <w:t>that whilst ezetimibe is one of the treatment options for patients in whom statin therapy is contraindicated or not tolerated, strategies for managing statin intolerance include prescribing a different statin, taking a treatment break and rechallenging</w:t>
      </w:r>
      <w:r w:rsidR="00097C04" w:rsidRPr="00E631B0">
        <w:rPr>
          <w:rFonts w:asciiTheme="minorHAnsi" w:hAnsiTheme="minorHAnsi"/>
        </w:rPr>
        <w:t>,</w:t>
      </w:r>
      <w:r w:rsidRPr="00E631B0">
        <w:rPr>
          <w:rFonts w:asciiTheme="minorHAnsi" w:hAnsiTheme="minorHAnsi"/>
        </w:rPr>
        <w:t xml:space="preserve"> or reducing the dose of statin.</w:t>
      </w:r>
    </w:p>
    <w:p w14:paraId="07129489" w14:textId="4C303993"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All guidelines take an absolute risk reduction approach. This means that multiple measurable factors are taken into account, the sum of which lead to a categorisation of the risk of a CV event over a specified time period (either 5-year or 10</w:t>
      </w:r>
      <w:r w:rsidR="00EA5381" w:rsidRPr="00E631B0">
        <w:rPr>
          <w:rFonts w:asciiTheme="minorHAnsi" w:hAnsiTheme="minorHAnsi"/>
          <w:szCs w:val="24"/>
        </w:rPr>
        <w:t>-</w:t>
      </w:r>
      <w:r w:rsidRPr="00E631B0">
        <w:rPr>
          <w:rFonts w:asciiTheme="minorHAnsi" w:hAnsiTheme="minorHAnsi"/>
          <w:szCs w:val="24"/>
        </w:rPr>
        <w:t>year period depending on the guidelines)</w:t>
      </w:r>
      <w:r w:rsidR="00376BB8" w:rsidRPr="00E631B0">
        <w:rPr>
          <w:rFonts w:asciiTheme="minorHAnsi" w:hAnsiTheme="minorHAnsi"/>
          <w:szCs w:val="24"/>
        </w:rPr>
        <w:t>.</w:t>
      </w:r>
      <w:r w:rsidRPr="00E631B0">
        <w:rPr>
          <w:rFonts w:asciiTheme="minorHAnsi" w:hAnsiTheme="minorHAnsi"/>
          <w:szCs w:val="24"/>
        </w:rPr>
        <w:t xml:space="preserve"> The GSLLD uses an absolute risk over a 15 year period as its basis and commencing treatment with a LLT depends more on consideration of individual risk factors. The Reference Group noted that since the inception of the GSLLD, clinical management of </w:t>
      </w:r>
      <w:r w:rsidR="00097C04" w:rsidRPr="00E631B0">
        <w:rPr>
          <w:rFonts w:asciiTheme="minorHAnsi" w:hAnsiTheme="minorHAnsi"/>
          <w:szCs w:val="24"/>
        </w:rPr>
        <w:t xml:space="preserve">CV </w:t>
      </w:r>
      <w:r w:rsidRPr="00E631B0">
        <w:rPr>
          <w:rFonts w:asciiTheme="minorHAnsi" w:hAnsiTheme="minorHAnsi"/>
          <w:szCs w:val="24"/>
        </w:rPr>
        <w:t xml:space="preserve">risk has developed with more research into risk factors. An example of the differences in approach between the GSLLD and an absolute risk calculator approach is found in patients with primary prevention. Whereas most clinicians would commence patients on a LLT at total cholesterol </w:t>
      </w:r>
      <w:r w:rsidRPr="00E631B0">
        <w:rPr>
          <w:rFonts w:asciiTheme="minorHAnsi" w:hAnsiTheme="minorHAnsi"/>
          <w:szCs w:val="24"/>
        </w:rPr>
        <w:lastRenderedPageBreak/>
        <w:t xml:space="preserve">concentrations lower than </w:t>
      </w:r>
      <w:r w:rsidR="00097C04" w:rsidRPr="00E631B0">
        <w:rPr>
          <w:rFonts w:asciiTheme="minorHAnsi" w:hAnsiTheme="minorHAnsi"/>
          <w:szCs w:val="24"/>
        </w:rPr>
        <w:t xml:space="preserve">the </w:t>
      </w:r>
      <w:r w:rsidRPr="00E631B0">
        <w:rPr>
          <w:rFonts w:asciiTheme="minorHAnsi" w:hAnsiTheme="minorHAnsi"/>
          <w:szCs w:val="24"/>
        </w:rPr>
        <w:t>9</w:t>
      </w:r>
      <w:r w:rsidR="00097C04" w:rsidRPr="00E631B0">
        <w:rPr>
          <w:rFonts w:asciiTheme="minorHAnsi" w:hAnsiTheme="minorHAnsi"/>
          <w:szCs w:val="24"/>
        </w:rPr>
        <w:t xml:space="preserve"> mmol</w:t>
      </w:r>
      <w:r w:rsidRPr="00E631B0">
        <w:rPr>
          <w:rFonts w:asciiTheme="minorHAnsi" w:hAnsiTheme="minorHAnsi"/>
          <w:szCs w:val="24"/>
        </w:rPr>
        <w:t xml:space="preserve">/L threshold, depending on risk factors, the GSLLD limits initiation of treatment for patients not otherwise included in other categories to this high threshold. </w:t>
      </w:r>
    </w:p>
    <w:p w14:paraId="6ED8F13B" w14:textId="2D5BF46F"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 xml:space="preserve">The Reference Group discussed the role of PBS restrictions and acknowledged the importance of PBS restrictions being contemporary and not obstructing clinical guidelines. </w:t>
      </w:r>
      <w:r w:rsidR="00CA28A3" w:rsidRPr="00E631B0">
        <w:rPr>
          <w:rFonts w:asciiTheme="minorHAnsi" w:hAnsiTheme="minorHAnsi"/>
          <w:szCs w:val="24"/>
        </w:rPr>
        <w:t>I</w:t>
      </w:r>
      <w:r w:rsidRPr="00E631B0">
        <w:rPr>
          <w:rFonts w:asciiTheme="minorHAnsi" w:hAnsiTheme="minorHAnsi"/>
          <w:szCs w:val="24"/>
        </w:rPr>
        <w:t xml:space="preserve">n a number of therapeutic </w:t>
      </w:r>
      <w:r w:rsidR="004631BF" w:rsidRPr="00E631B0">
        <w:rPr>
          <w:rFonts w:asciiTheme="minorHAnsi" w:hAnsiTheme="minorHAnsi"/>
          <w:szCs w:val="24"/>
        </w:rPr>
        <w:t>areas,</w:t>
      </w:r>
      <w:r w:rsidRPr="00E631B0">
        <w:rPr>
          <w:rFonts w:asciiTheme="minorHAnsi" w:hAnsiTheme="minorHAnsi"/>
          <w:szCs w:val="24"/>
        </w:rPr>
        <w:t xml:space="preserve"> e.g. oncology</w:t>
      </w:r>
      <w:r w:rsidR="00097C04" w:rsidRPr="00E631B0">
        <w:rPr>
          <w:rFonts w:asciiTheme="minorHAnsi" w:hAnsiTheme="minorHAnsi"/>
          <w:szCs w:val="24"/>
        </w:rPr>
        <w:t>,</w:t>
      </w:r>
      <w:r w:rsidRPr="00E631B0">
        <w:rPr>
          <w:rFonts w:asciiTheme="minorHAnsi" w:hAnsiTheme="minorHAnsi"/>
          <w:szCs w:val="24"/>
        </w:rPr>
        <w:t xml:space="preserve"> the PBS restrictions place therapies as second and third line on the basis of clinical trial data</w:t>
      </w:r>
      <w:r w:rsidR="006258A9" w:rsidRPr="00E631B0">
        <w:rPr>
          <w:rFonts w:asciiTheme="minorHAnsi" w:hAnsiTheme="minorHAnsi"/>
          <w:szCs w:val="24"/>
        </w:rPr>
        <w:t xml:space="preserve"> providing evidence of comparative clinical effectiveness and cost-effectiveness in later line therapy.</w:t>
      </w:r>
      <w:r w:rsidRPr="00E631B0">
        <w:rPr>
          <w:rFonts w:asciiTheme="minorHAnsi" w:hAnsiTheme="minorHAnsi"/>
          <w:szCs w:val="24"/>
        </w:rPr>
        <w:t xml:space="preserve"> However, this is not the case for ezetimibe. Ezetimibe is placed second line in the clinical guidelines because clinicians generally have more confidence in the</w:t>
      </w:r>
      <w:r w:rsidR="008F32A5" w:rsidRPr="00E631B0">
        <w:rPr>
          <w:rFonts w:asciiTheme="minorHAnsi" w:hAnsiTheme="minorHAnsi"/>
          <w:szCs w:val="24"/>
        </w:rPr>
        <w:t xml:space="preserve"> quality and quantity of trial data showing improved health outcomes underpinning</w:t>
      </w:r>
      <w:r w:rsidRPr="00E631B0">
        <w:rPr>
          <w:rFonts w:asciiTheme="minorHAnsi" w:hAnsiTheme="minorHAnsi"/>
          <w:szCs w:val="24"/>
        </w:rPr>
        <w:t xml:space="preserve"> use of statins. Studies identified in this review show that statins reduce baseline LDL-C by 30%-50% in contrast to ezetimibe which achieves an 18% reduction. </w:t>
      </w:r>
    </w:p>
    <w:p w14:paraId="13AB5DBF" w14:textId="167E612F" w:rsidR="0023772D"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The Reference Group considered there were a number of reasons supporting making statin</w:t>
      </w:r>
      <w:r w:rsidR="009F7197" w:rsidRPr="00E631B0">
        <w:rPr>
          <w:rFonts w:asciiTheme="minorHAnsi" w:hAnsiTheme="minorHAnsi"/>
          <w:szCs w:val="24"/>
        </w:rPr>
        <w:t>s</w:t>
      </w:r>
      <w:r w:rsidRPr="00E631B0">
        <w:rPr>
          <w:rFonts w:asciiTheme="minorHAnsi" w:hAnsiTheme="minorHAnsi"/>
          <w:szCs w:val="24"/>
        </w:rPr>
        <w:t xml:space="preserve"> unrestricted</w:t>
      </w:r>
      <w:r w:rsidR="00097C04" w:rsidRPr="00E631B0">
        <w:rPr>
          <w:rFonts w:asciiTheme="minorHAnsi" w:hAnsiTheme="minorHAnsi"/>
          <w:szCs w:val="24"/>
        </w:rPr>
        <w:t xml:space="preserve"> on the PBS</w:t>
      </w:r>
      <w:r w:rsidRPr="00E631B0">
        <w:rPr>
          <w:rFonts w:asciiTheme="minorHAnsi" w:hAnsiTheme="minorHAnsi"/>
          <w:szCs w:val="24"/>
        </w:rPr>
        <w:t>. These include substantial reduction</w:t>
      </w:r>
      <w:r w:rsidR="00791419" w:rsidRPr="00E631B0">
        <w:rPr>
          <w:rFonts w:asciiTheme="minorHAnsi" w:hAnsiTheme="minorHAnsi"/>
          <w:szCs w:val="24"/>
        </w:rPr>
        <w:t>s</w:t>
      </w:r>
      <w:r w:rsidRPr="00E631B0">
        <w:rPr>
          <w:rFonts w:asciiTheme="minorHAnsi" w:hAnsiTheme="minorHAnsi"/>
          <w:szCs w:val="24"/>
        </w:rPr>
        <w:t xml:space="preserve"> in statin price, providing support for use of statins when initiating pharmacotherapy</w:t>
      </w:r>
      <w:r w:rsidR="00097C04" w:rsidRPr="00E631B0">
        <w:rPr>
          <w:rFonts w:asciiTheme="minorHAnsi" w:hAnsiTheme="minorHAnsi"/>
          <w:szCs w:val="24"/>
        </w:rPr>
        <w:t>,</w:t>
      </w:r>
      <w:r w:rsidRPr="00E631B0">
        <w:rPr>
          <w:rFonts w:asciiTheme="minorHAnsi" w:hAnsiTheme="minorHAnsi"/>
          <w:szCs w:val="24"/>
        </w:rPr>
        <w:t xml:space="preserve"> and the mature market. </w:t>
      </w:r>
      <w:r w:rsidR="00DA269F" w:rsidRPr="00E631B0">
        <w:rPr>
          <w:rFonts w:asciiTheme="minorHAnsi" w:hAnsiTheme="minorHAnsi"/>
          <w:szCs w:val="24"/>
        </w:rPr>
        <w:t>P</w:t>
      </w:r>
      <w:r w:rsidR="005A3367" w:rsidRPr="00E631B0">
        <w:rPr>
          <w:rFonts w:asciiTheme="minorHAnsi" w:hAnsiTheme="minorHAnsi"/>
          <w:szCs w:val="24"/>
        </w:rPr>
        <w:t xml:space="preserve">lacing ezetimibe as </w:t>
      </w:r>
      <w:r w:rsidR="00DA269F" w:rsidRPr="00E631B0">
        <w:rPr>
          <w:rFonts w:asciiTheme="minorHAnsi" w:hAnsiTheme="minorHAnsi"/>
          <w:szCs w:val="24"/>
        </w:rPr>
        <w:t xml:space="preserve">a </w:t>
      </w:r>
      <w:r w:rsidR="00097C04" w:rsidRPr="00E631B0">
        <w:rPr>
          <w:rFonts w:asciiTheme="minorHAnsi" w:hAnsiTheme="minorHAnsi"/>
          <w:szCs w:val="24"/>
        </w:rPr>
        <w:t>R</w:t>
      </w:r>
      <w:r w:rsidR="005A3367" w:rsidRPr="00E631B0">
        <w:rPr>
          <w:rFonts w:asciiTheme="minorHAnsi" w:hAnsiTheme="minorHAnsi"/>
          <w:szCs w:val="24"/>
        </w:rPr>
        <w:t>estricted</w:t>
      </w:r>
      <w:r w:rsidR="00097C04" w:rsidRPr="00E631B0">
        <w:rPr>
          <w:rFonts w:asciiTheme="minorHAnsi" w:hAnsiTheme="minorHAnsi"/>
          <w:szCs w:val="24"/>
        </w:rPr>
        <w:t xml:space="preserve"> B</w:t>
      </w:r>
      <w:r w:rsidR="00DA269F" w:rsidRPr="00E631B0">
        <w:rPr>
          <w:rFonts w:asciiTheme="minorHAnsi" w:hAnsiTheme="minorHAnsi"/>
          <w:szCs w:val="24"/>
        </w:rPr>
        <w:t xml:space="preserve">enefit may </w:t>
      </w:r>
      <w:r w:rsidR="005A3367" w:rsidRPr="00E631B0">
        <w:rPr>
          <w:rFonts w:asciiTheme="minorHAnsi" w:hAnsiTheme="minorHAnsi"/>
          <w:szCs w:val="24"/>
        </w:rPr>
        <w:t>send a message to prescribers that</w:t>
      </w:r>
      <w:r w:rsidR="00DA269F" w:rsidRPr="00E631B0">
        <w:rPr>
          <w:rFonts w:asciiTheme="minorHAnsi" w:hAnsiTheme="minorHAnsi"/>
          <w:szCs w:val="24"/>
        </w:rPr>
        <w:t xml:space="preserve"> the PBS</w:t>
      </w:r>
      <w:r w:rsidR="005A3367" w:rsidRPr="00E631B0">
        <w:rPr>
          <w:rFonts w:asciiTheme="minorHAnsi" w:hAnsiTheme="minorHAnsi"/>
          <w:szCs w:val="24"/>
        </w:rPr>
        <w:t xml:space="preserve"> does</w:t>
      </w:r>
      <w:r w:rsidR="00DA269F" w:rsidRPr="00E631B0">
        <w:rPr>
          <w:rFonts w:asciiTheme="minorHAnsi" w:hAnsiTheme="minorHAnsi"/>
          <w:szCs w:val="24"/>
        </w:rPr>
        <w:t xml:space="preserve"> consider it second line to statins.</w:t>
      </w:r>
      <w:r w:rsidRPr="00E631B0">
        <w:rPr>
          <w:rFonts w:asciiTheme="minorHAnsi" w:hAnsiTheme="minorHAnsi"/>
          <w:szCs w:val="24"/>
        </w:rPr>
        <w:t xml:space="preserve"> </w:t>
      </w:r>
      <w:r w:rsidR="00791419" w:rsidRPr="00E631B0">
        <w:rPr>
          <w:rFonts w:asciiTheme="minorHAnsi" w:hAnsiTheme="minorHAnsi"/>
          <w:szCs w:val="24"/>
        </w:rPr>
        <w:t>T</w:t>
      </w:r>
      <w:r w:rsidR="00791419" w:rsidRPr="00E631B0">
        <w:rPr>
          <w:rFonts w:asciiTheme="minorHAnsi" w:hAnsiTheme="minorHAnsi"/>
        </w:rPr>
        <w:t>he</w:t>
      </w:r>
      <w:r w:rsidR="00DA269F" w:rsidRPr="00E631B0">
        <w:rPr>
          <w:rFonts w:asciiTheme="minorHAnsi" w:hAnsiTheme="minorHAnsi"/>
        </w:rPr>
        <w:t xml:space="preserve"> existing Authority Required (Streamlined) listing </w:t>
      </w:r>
      <w:r w:rsidR="00791419" w:rsidRPr="00E631B0">
        <w:rPr>
          <w:rFonts w:asciiTheme="minorHAnsi" w:hAnsiTheme="minorHAnsi"/>
        </w:rPr>
        <w:t xml:space="preserve">of ezetimibe </w:t>
      </w:r>
      <w:r w:rsidR="00DA269F" w:rsidRPr="00E631B0">
        <w:rPr>
          <w:rFonts w:asciiTheme="minorHAnsi" w:hAnsiTheme="minorHAnsi"/>
        </w:rPr>
        <w:t>as</w:t>
      </w:r>
      <w:r w:rsidR="00791419" w:rsidRPr="00E631B0">
        <w:rPr>
          <w:rFonts w:asciiTheme="minorHAnsi" w:hAnsiTheme="minorHAnsi"/>
        </w:rPr>
        <w:t xml:space="preserve"> second line therapy </w:t>
      </w:r>
      <w:r w:rsidR="00DA269F" w:rsidRPr="00E631B0">
        <w:rPr>
          <w:rFonts w:asciiTheme="minorHAnsi" w:hAnsiTheme="minorHAnsi"/>
        </w:rPr>
        <w:t xml:space="preserve">is also </w:t>
      </w:r>
      <w:r w:rsidR="00791419" w:rsidRPr="00E631B0">
        <w:rPr>
          <w:rFonts w:asciiTheme="minorHAnsi" w:hAnsiTheme="minorHAnsi"/>
        </w:rPr>
        <w:t>compatible with clinical guidelines</w:t>
      </w:r>
      <w:r w:rsidR="00DA269F" w:rsidRPr="00E631B0">
        <w:rPr>
          <w:rFonts w:asciiTheme="minorHAnsi" w:hAnsiTheme="minorHAnsi"/>
        </w:rPr>
        <w:t>.</w:t>
      </w:r>
      <w:r w:rsidR="00791419" w:rsidRPr="00E631B0">
        <w:rPr>
          <w:rFonts w:asciiTheme="minorHAnsi" w:hAnsiTheme="minorHAnsi"/>
        </w:rPr>
        <w:t xml:space="preserve"> </w:t>
      </w:r>
    </w:p>
    <w:p w14:paraId="30381EDC" w14:textId="31C17B64" w:rsidR="00791419" w:rsidRPr="00E631B0" w:rsidRDefault="00F60E6A" w:rsidP="00AD7EAC">
      <w:pPr>
        <w:spacing w:line="240" w:lineRule="auto"/>
        <w:jc w:val="left"/>
        <w:rPr>
          <w:rFonts w:asciiTheme="minorHAnsi" w:hAnsiTheme="minorHAnsi"/>
        </w:rPr>
      </w:pPr>
      <w:r w:rsidRPr="00E631B0">
        <w:rPr>
          <w:rFonts w:asciiTheme="minorHAnsi" w:hAnsiTheme="minorHAnsi"/>
          <w:szCs w:val="24"/>
        </w:rPr>
        <w:t>The Reference Group considered that the statin market is now mature and that the GSLLD does not reflect contemporary use of</w:t>
      </w:r>
      <w:r w:rsidR="00097C04" w:rsidRPr="00E631B0">
        <w:rPr>
          <w:rFonts w:asciiTheme="minorHAnsi" w:hAnsiTheme="minorHAnsi"/>
          <w:szCs w:val="24"/>
        </w:rPr>
        <w:t xml:space="preserve"> LLT</w:t>
      </w:r>
      <w:r w:rsidRPr="00E631B0">
        <w:rPr>
          <w:rFonts w:asciiTheme="minorHAnsi" w:hAnsiTheme="minorHAnsi"/>
          <w:szCs w:val="24"/>
        </w:rPr>
        <w:t xml:space="preserve">. The PBAC may wish to consider removing the GSLLD since the use of </w:t>
      </w:r>
      <w:r w:rsidR="00097C04" w:rsidRPr="00E631B0">
        <w:rPr>
          <w:rFonts w:asciiTheme="minorHAnsi" w:hAnsiTheme="minorHAnsi"/>
          <w:szCs w:val="24"/>
        </w:rPr>
        <w:t xml:space="preserve">LLT </w:t>
      </w:r>
      <w:r w:rsidRPr="00E631B0">
        <w:rPr>
          <w:rFonts w:asciiTheme="minorHAnsi" w:hAnsiTheme="minorHAnsi"/>
          <w:szCs w:val="24"/>
        </w:rPr>
        <w:t xml:space="preserve">is now firmly established in well publicised guidelines and the recommended approach used by clinicians to </w:t>
      </w:r>
      <w:r w:rsidR="00097C04" w:rsidRPr="00E631B0">
        <w:rPr>
          <w:rFonts w:asciiTheme="minorHAnsi" w:hAnsiTheme="minorHAnsi"/>
          <w:szCs w:val="24"/>
        </w:rPr>
        <w:t xml:space="preserve">CV </w:t>
      </w:r>
      <w:r w:rsidRPr="00E631B0">
        <w:rPr>
          <w:rFonts w:asciiTheme="minorHAnsi" w:hAnsiTheme="minorHAnsi"/>
          <w:szCs w:val="24"/>
        </w:rPr>
        <w:t>risk reduction is well founded in evidence</w:t>
      </w:r>
      <w:r w:rsidR="00752C36" w:rsidRPr="00E631B0">
        <w:rPr>
          <w:rFonts w:asciiTheme="minorHAnsi" w:hAnsiTheme="minorHAnsi"/>
          <w:szCs w:val="24"/>
        </w:rPr>
        <w:t>.</w:t>
      </w:r>
    </w:p>
    <w:p w14:paraId="7404B9C8" w14:textId="7A6C28A4" w:rsidR="0000686B" w:rsidRPr="00E631B0" w:rsidRDefault="0000686B" w:rsidP="00AD7EAC">
      <w:pPr>
        <w:spacing w:line="240" w:lineRule="auto"/>
        <w:jc w:val="left"/>
        <w:rPr>
          <w:rFonts w:asciiTheme="minorHAnsi" w:hAnsiTheme="minorHAnsi"/>
          <w:szCs w:val="24"/>
        </w:rPr>
      </w:pPr>
      <w:r w:rsidRPr="00E631B0">
        <w:rPr>
          <w:rFonts w:asciiTheme="minorHAnsi" w:hAnsiTheme="minorHAnsi"/>
          <w:szCs w:val="24"/>
        </w:rPr>
        <w:t xml:space="preserve">The </w:t>
      </w:r>
      <w:r w:rsidR="00097C04" w:rsidRPr="00E631B0">
        <w:rPr>
          <w:rFonts w:asciiTheme="minorHAnsi" w:hAnsiTheme="minorHAnsi"/>
          <w:szCs w:val="24"/>
        </w:rPr>
        <w:t>DUSC</w:t>
      </w:r>
      <w:r w:rsidRPr="00E631B0">
        <w:rPr>
          <w:rFonts w:asciiTheme="minorHAnsi" w:hAnsiTheme="minorHAnsi"/>
          <w:szCs w:val="24"/>
        </w:rPr>
        <w:t xml:space="preserve"> agreed that the statin market is mature and that Australia’s statin use (DDD/1000</w:t>
      </w:r>
      <w:r w:rsidR="00821929" w:rsidRPr="00E631B0">
        <w:rPr>
          <w:rFonts w:asciiTheme="minorHAnsi" w:hAnsiTheme="minorHAnsi"/>
          <w:szCs w:val="24"/>
        </w:rPr>
        <w:t xml:space="preserve"> </w:t>
      </w:r>
      <w:r w:rsidRPr="00E631B0">
        <w:rPr>
          <w:rFonts w:asciiTheme="minorHAnsi" w:hAnsiTheme="minorHAnsi"/>
          <w:szCs w:val="24"/>
        </w:rPr>
        <w:t>population/day) is one of the highest of all OECD countries</w:t>
      </w:r>
      <w:r w:rsidR="00C454CC" w:rsidRPr="00E631B0">
        <w:rPr>
          <w:rStyle w:val="EndnoteReference"/>
          <w:rFonts w:asciiTheme="minorHAnsi" w:hAnsiTheme="minorHAnsi"/>
          <w:szCs w:val="24"/>
        </w:rPr>
        <w:endnoteReference w:id="48"/>
      </w:r>
      <w:r w:rsidRPr="00E631B0">
        <w:rPr>
          <w:rFonts w:asciiTheme="minorHAnsi" w:hAnsiTheme="minorHAnsi"/>
          <w:szCs w:val="24"/>
        </w:rPr>
        <w:t>. The DUSC also agreed that any relaxation of the PBS statin restriction is unlikely to substantially change the utilisation of statins.</w:t>
      </w:r>
    </w:p>
    <w:p w14:paraId="74582204" w14:textId="5B925F5A" w:rsidR="00821929" w:rsidRPr="00E631B0" w:rsidRDefault="0000686B" w:rsidP="00AD7EAC">
      <w:pPr>
        <w:jc w:val="left"/>
        <w:rPr>
          <w:rFonts w:asciiTheme="minorHAnsi" w:hAnsiTheme="minorHAnsi"/>
          <w:szCs w:val="24"/>
        </w:rPr>
      </w:pPr>
      <w:r w:rsidRPr="00E631B0">
        <w:rPr>
          <w:rFonts w:asciiTheme="minorHAnsi" w:hAnsiTheme="minorHAnsi"/>
          <w:szCs w:val="24"/>
        </w:rPr>
        <w:t xml:space="preserve">DUSC considered the utilisation of ezetimibe is still growing, particularly </w:t>
      </w:r>
      <w:r w:rsidR="00821929" w:rsidRPr="00E631B0">
        <w:rPr>
          <w:rFonts w:asciiTheme="minorHAnsi" w:hAnsiTheme="minorHAnsi"/>
          <w:szCs w:val="24"/>
        </w:rPr>
        <w:t xml:space="preserve">FDC </w:t>
      </w:r>
      <w:r w:rsidRPr="00E631B0">
        <w:rPr>
          <w:rFonts w:asciiTheme="minorHAnsi" w:hAnsiTheme="minorHAnsi"/>
          <w:szCs w:val="24"/>
        </w:rPr>
        <w:t xml:space="preserve">use with statins. </w:t>
      </w:r>
      <w:r w:rsidR="00F863DB" w:rsidRPr="00E631B0">
        <w:rPr>
          <w:rFonts w:asciiTheme="minorHAnsi" w:hAnsiTheme="minorHAnsi"/>
          <w:szCs w:val="24"/>
        </w:rPr>
        <w:t>T</w:t>
      </w:r>
      <w:r w:rsidRPr="00E631B0">
        <w:rPr>
          <w:rFonts w:asciiTheme="minorHAnsi" w:hAnsiTheme="minorHAnsi"/>
          <w:szCs w:val="24"/>
        </w:rPr>
        <w:t>he following graph (</w:t>
      </w:r>
      <w:r w:rsidR="00EA7D7C" w:rsidRPr="00E631B0">
        <w:rPr>
          <w:rFonts w:asciiTheme="minorHAnsi" w:hAnsiTheme="minorHAnsi"/>
          <w:szCs w:val="24"/>
        </w:rPr>
        <w:t>F</w:t>
      </w:r>
      <w:r w:rsidRPr="00E631B0">
        <w:rPr>
          <w:rFonts w:asciiTheme="minorHAnsi" w:hAnsiTheme="minorHAnsi"/>
          <w:szCs w:val="24"/>
        </w:rPr>
        <w:t xml:space="preserve">igure </w:t>
      </w:r>
      <w:r w:rsidR="00EA7D7C" w:rsidRPr="00E631B0">
        <w:rPr>
          <w:rFonts w:asciiTheme="minorHAnsi" w:hAnsiTheme="minorHAnsi"/>
          <w:szCs w:val="24"/>
        </w:rPr>
        <w:t>2</w:t>
      </w:r>
      <w:r w:rsidR="00EA5381" w:rsidRPr="00E631B0">
        <w:rPr>
          <w:rFonts w:asciiTheme="minorHAnsi" w:hAnsiTheme="minorHAnsi"/>
          <w:szCs w:val="24"/>
        </w:rPr>
        <w:t>)</w:t>
      </w:r>
      <w:r w:rsidRPr="00E631B0">
        <w:rPr>
          <w:rFonts w:asciiTheme="minorHAnsi" w:hAnsiTheme="minorHAnsi"/>
          <w:szCs w:val="24"/>
        </w:rPr>
        <w:t xml:space="preserve"> reaffirm</w:t>
      </w:r>
      <w:r w:rsidR="00F863DB" w:rsidRPr="00E631B0">
        <w:rPr>
          <w:rFonts w:asciiTheme="minorHAnsi" w:hAnsiTheme="minorHAnsi"/>
          <w:szCs w:val="24"/>
        </w:rPr>
        <w:t xml:space="preserve">s </w:t>
      </w:r>
      <w:r w:rsidRPr="00E631B0">
        <w:rPr>
          <w:rFonts w:asciiTheme="minorHAnsi" w:hAnsiTheme="minorHAnsi"/>
          <w:szCs w:val="24"/>
        </w:rPr>
        <w:t>the DUSC’s position that ezetimibe use is growing. The DUSC also considered relaxing the restriction would further grow the ezetimibe market and potentially increase use in the population where cost</w:t>
      </w:r>
      <w:r w:rsidR="00216B38" w:rsidRPr="00E631B0">
        <w:rPr>
          <w:rFonts w:asciiTheme="minorHAnsi" w:hAnsiTheme="minorHAnsi"/>
          <w:szCs w:val="24"/>
        </w:rPr>
        <w:t>-</w:t>
      </w:r>
      <w:r w:rsidRPr="00E631B0">
        <w:rPr>
          <w:rFonts w:asciiTheme="minorHAnsi" w:hAnsiTheme="minorHAnsi"/>
          <w:szCs w:val="24"/>
        </w:rPr>
        <w:t xml:space="preserve">effectiveness is uncertain i.e. those patients who have not been treated with maximally tolerated doses of statins prior to </w:t>
      </w:r>
      <w:r w:rsidR="009405EA" w:rsidRPr="00E631B0">
        <w:rPr>
          <w:rFonts w:asciiTheme="minorHAnsi" w:hAnsiTheme="minorHAnsi"/>
          <w:szCs w:val="24"/>
        </w:rPr>
        <w:t>initiating</w:t>
      </w:r>
      <w:r w:rsidRPr="00E631B0">
        <w:rPr>
          <w:rFonts w:asciiTheme="minorHAnsi" w:hAnsiTheme="minorHAnsi"/>
          <w:szCs w:val="24"/>
        </w:rPr>
        <w:t xml:space="preserve"> ezetimibe. Retaining an Authority Required (Streamlined) listing would </w:t>
      </w:r>
      <w:r w:rsidR="009405EA" w:rsidRPr="00E631B0">
        <w:rPr>
          <w:rFonts w:asciiTheme="minorHAnsi" w:hAnsiTheme="minorHAnsi"/>
          <w:szCs w:val="24"/>
        </w:rPr>
        <w:t>reflect</w:t>
      </w:r>
      <w:r w:rsidRPr="00E631B0">
        <w:rPr>
          <w:rFonts w:asciiTheme="minorHAnsi" w:hAnsiTheme="minorHAnsi"/>
          <w:szCs w:val="24"/>
        </w:rPr>
        <w:t xml:space="preserve"> the evidence that ezetimibe should remain second line therapy </w:t>
      </w:r>
      <w:r w:rsidR="003306B9" w:rsidRPr="00E631B0">
        <w:rPr>
          <w:rFonts w:asciiTheme="minorHAnsi" w:hAnsiTheme="minorHAnsi"/>
          <w:szCs w:val="24"/>
        </w:rPr>
        <w:t xml:space="preserve">to statins </w:t>
      </w:r>
      <w:r w:rsidR="00752C36" w:rsidRPr="00E631B0">
        <w:rPr>
          <w:rFonts w:asciiTheme="minorHAnsi" w:hAnsiTheme="minorHAnsi"/>
          <w:szCs w:val="24"/>
        </w:rPr>
        <w:t>for hypercholesterolaemia.</w:t>
      </w:r>
    </w:p>
    <w:p w14:paraId="741DF719" w14:textId="77777777" w:rsidR="00B07002" w:rsidRPr="00821929" w:rsidRDefault="00B07002" w:rsidP="008C22F9">
      <w:pPr>
        <w:pStyle w:val="TableName"/>
        <w:keepNext/>
        <w:keepLines/>
        <w:pageBreakBefore/>
      </w:pPr>
      <w:r w:rsidRPr="00833088">
        <w:lastRenderedPageBreak/>
        <w:t xml:space="preserve">Figure </w:t>
      </w:r>
      <w:r w:rsidR="00EA7D7C" w:rsidRPr="00833088">
        <w:t>2</w:t>
      </w:r>
      <w:r w:rsidRPr="00833088">
        <w:t>: RPBS/PBS prescriptions for ezetimibe 1 July 2011 - 31 December 2016</w:t>
      </w:r>
    </w:p>
    <w:p w14:paraId="3C9D7FD4" w14:textId="77777777" w:rsidR="00821929" w:rsidRPr="000F1815" w:rsidRDefault="00B07002" w:rsidP="008C22F9">
      <w:pPr>
        <w:pStyle w:val="Notes"/>
        <w:keepNext/>
        <w:keepLines/>
      </w:pPr>
      <w:r w:rsidRPr="00821929">
        <w:rPr>
          <w:rFonts w:asciiTheme="minorHAnsi" w:hAnsiTheme="minorHAnsi"/>
          <w:lang w:val="en-AU"/>
        </w:rPr>
        <w:drawing>
          <wp:inline distT="0" distB="0" distL="0" distR="0" wp14:anchorId="5F8011EB" wp14:editId="06A8558E">
            <wp:extent cx="5988685" cy="3717290"/>
            <wp:effectExtent l="0" t="0" r="12065" b="16510"/>
            <wp:docPr id="1" name="Chart 1" title="RPBS/PBS prescriptions for ezetimibe 1 July 2011 - 31 December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821929" w:rsidRPr="008C22F9">
        <w:rPr>
          <w:rFonts w:asciiTheme="minorHAnsi" w:hAnsiTheme="minorHAnsi"/>
        </w:rPr>
        <w:t xml:space="preserve">PBS Information Product, DUSC Database accessed 5 April 2017 </w:t>
      </w:r>
    </w:p>
    <w:p w14:paraId="013DCAB3" w14:textId="1960DDCF" w:rsidR="00821929" w:rsidRPr="000F1815" w:rsidRDefault="00821929" w:rsidP="008C22F9">
      <w:pPr>
        <w:pStyle w:val="ListParagraph"/>
        <w:spacing w:after="120" w:line="240" w:lineRule="auto"/>
        <w:ind w:left="0"/>
      </w:pPr>
    </w:p>
    <w:p w14:paraId="3A95F0F8" w14:textId="72ED5ED5" w:rsidR="00821929" w:rsidRPr="00E631B0" w:rsidRDefault="0067506D" w:rsidP="00AD7EAC">
      <w:pPr>
        <w:pStyle w:val="ListParagraph"/>
        <w:spacing w:after="240" w:line="240" w:lineRule="auto"/>
        <w:ind w:left="0"/>
        <w:jc w:val="left"/>
        <w:rPr>
          <w:rFonts w:asciiTheme="minorHAnsi" w:hAnsiTheme="minorHAnsi"/>
        </w:rPr>
      </w:pPr>
      <w:r w:rsidRPr="00E631B0">
        <w:rPr>
          <w:rFonts w:asciiTheme="minorHAnsi" w:hAnsiTheme="minorHAnsi"/>
          <w:szCs w:val="24"/>
        </w:rPr>
        <w:t>Removal of the GSLLD would require revision of the ezetimibe restrictions</w:t>
      </w:r>
      <w:r w:rsidR="00821929" w:rsidRPr="00E631B0">
        <w:rPr>
          <w:rFonts w:asciiTheme="minorHAnsi" w:hAnsiTheme="minorHAnsi"/>
          <w:szCs w:val="24"/>
        </w:rPr>
        <w:t>,</w:t>
      </w:r>
      <w:r w:rsidRPr="00E631B0">
        <w:rPr>
          <w:rFonts w:asciiTheme="minorHAnsi" w:hAnsiTheme="minorHAnsi"/>
          <w:szCs w:val="24"/>
        </w:rPr>
        <w:t xml:space="preserve"> as for most patients</w:t>
      </w:r>
      <w:r w:rsidR="00902322" w:rsidRPr="00E631B0">
        <w:rPr>
          <w:rFonts w:asciiTheme="minorHAnsi" w:hAnsiTheme="minorHAnsi"/>
          <w:szCs w:val="24"/>
        </w:rPr>
        <w:t>,</w:t>
      </w:r>
      <w:r w:rsidRPr="00E631B0">
        <w:rPr>
          <w:rFonts w:asciiTheme="minorHAnsi" w:hAnsiTheme="minorHAnsi"/>
          <w:szCs w:val="24"/>
        </w:rPr>
        <w:t xml:space="preserve"> access to PBS subsidised ezetimibe requires a trial of statin therapy. The Reference Group provided a possible revised restriction for ezetimibe. In making this recommendation, the Reference Group acknowledged successful im</w:t>
      </w:r>
      <w:r w:rsidRPr="00E631B0">
        <w:rPr>
          <w:rFonts w:asciiTheme="minorHAnsi" w:hAnsiTheme="minorHAnsi"/>
        </w:rPr>
        <w:t xml:space="preserve">plementation will require education to promote the importance of absolute risk reduction in the approach to </w:t>
      </w:r>
      <w:r w:rsidR="00821929" w:rsidRPr="00E631B0">
        <w:rPr>
          <w:rFonts w:asciiTheme="minorHAnsi" w:hAnsiTheme="minorHAnsi"/>
        </w:rPr>
        <w:t xml:space="preserve">CV </w:t>
      </w:r>
      <w:r w:rsidRPr="00E631B0">
        <w:rPr>
          <w:rFonts w:asciiTheme="minorHAnsi" w:hAnsiTheme="minorHAnsi"/>
        </w:rPr>
        <w:t>disease management. The Reference Group also noted that the Australian Risk Calculator</w:t>
      </w:r>
      <w:r w:rsidR="00A12F22" w:rsidRPr="00E631B0">
        <w:rPr>
          <w:rStyle w:val="EndnoteReference"/>
          <w:rFonts w:asciiTheme="minorHAnsi" w:hAnsiTheme="minorHAnsi"/>
        </w:rPr>
        <w:endnoteReference w:id="49"/>
      </w:r>
      <w:r w:rsidRPr="00E631B0">
        <w:rPr>
          <w:rFonts w:asciiTheme="minorHAnsi" w:hAnsiTheme="minorHAnsi"/>
        </w:rPr>
        <w:t xml:space="preserve"> is used by prescribers to calculate an individual’s risk of </w:t>
      </w:r>
      <w:r w:rsidR="00821929" w:rsidRPr="00E631B0">
        <w:rPr>
          <w:rFonts w:asciiTheme="minorHAnsi" w:hAnsiTheme="minorHAnsi"/>
        </w:rPr>
        <w:t xml:space="preserve">CV </w:t>
      </w:r>
      <w:r w:rsidRPr="00E631B0">
        <w:rPr>
          <w:rFonts w:asciiTheme="minorHAnsi" w:hAnsiTheme="minorHAnsi"/>
        </w:rPr>
        <w:t xml:space="preserve">events but is not validated to monitor or quantify risk reduction following commencement of LLT. </w:t>
      </w:r>
      <w:r w:rsidR="003306B9" w:rsidRPr="00E631B0">
        <w:rPr>
          <w:rFonts w:asciiTheme="minorHAnsi" w:hAnsiTheme="minorHAnsi"/>
        </w:rPr>
        <w:t>T</w:t>
      </w:r>
      <w:r w:rsidRPr="00E631B0">
        <w:rPr>
          <w:rFonts w:asciiTheme="minorHAnsi" w:hAnsiTheme="minorHAnsi"/>
        </w:rPr>
        <w:t>he PBAC may wish to apply a contemporary absolute risk threshold approach to the ezetimibe restriction</w:t>
      </w:r>
      <w:r w:rsidR="00AB3222" w:rsidRPr="00E631B0">
        <w:rPr>
          <w:rFonts w:asciiTheme="minorHAnsi" w:hAnsiTheme="minorHAnsi"/>
        </w:rPr>
        <w:t>.</w:t>
      </w:r>
    </w:p>
    <w:p w14:paraId="254A3FED" w14:textId="6ED35F6D" w:rsidR="00C930D4" w:rsidRPr="00E631B0" w:rsidRDefault="00C930D4" w:rsidP="00AD7EAC">
      <w:pPr>
        <w:pStyle w:val="ListParagraph"/>
        <w:spacing w:after="240" w:line="240" w:lineRule="auto"/>
        <w:ind w:left="0"/>
        <w:jc w:val="left"/>
        <w:rPr>
          <w:rFonts w:asciiTheme="minorHAnsi" w:hAnsiTheme="minorHAnsi"/>
        </w:rPr>
      </w:pPr>
      <w:r w:rsidRPr="00E631B0">
        <w:rPr>
          <w:rFonts w:asciiTheme="minorHAnsi" w:hAnsiTheme="minorHAnsi"/>
        </w:rPr>
        <w:t>The Reference Group considered the criterion ‘treatment must be in conjunction with dietary therapy and exercise’ could be removed as there was little evidence supporti</w:t>
      </w:r>
      <w:r w:rsidR="00821929" w:rsidRPr="00E631B0">
        <w:rPr>
          <w:rFonts w:asciiTheme="minorHAnsi" w:hAnsiTheme="minorHAnsi"/>
        </w:rPr>
        <w:t>ng the interaction between diet</w:t>
      </w:r>
      <w:r w:rsidRPr="00E631B0">
        <w:rPr>
          <w:rFonts w:asciiTheme="minorHAnsi" w:hAnsiTheme="minorHAnsi"/>
        </w:rPr>
        <w:t>/exercise and cholesterol reduction</w:t>
      </w:r>
      <w:r w:rsidR="003306B9" w:rsidRPr="00E631B0">
        <w:rPr>
          <w:rFonts w:asciiTheme="minorHAnsi" w:hAnsiTheme="minorHAnsi"/>
        </w:rPr>
        <w:t xml:space="preserve"> but acknowledged the benefits of such interventions in </w:t>
      </w:r>
      <w:r w:rsidR="00821929" w:rsidRPr="00E631B0">
        <w:rPr>
          <w:rFonts w:asciiTheme="minorHAnsi" w:hAnsiTheme="minorHAnsi"/>
        </w:rPr>
        <w:t xml:space="preserve">CV </w:t>
      </w:r>
      <w:r w:rsidR="003306B9" w:rsidRPr="00E631B0">
        <w:rPr>
          <w:rFonts w:asciiTheme="minorHAnsi" w:hAnsiTheme="minorHAnsi"/>
        </w:rPr>
        <w:t>risk reduction</w:t>
      </w:r>
      <w:r w:rsidR="00821929" w:rsidRPr="00E631B0">
        <w:rPr>
          <w:rFonts w:asciiTheme="minorHAnsi" w:hAnsiTheme="minorHAnsi"/>
        </w:rPr>
        <w:t>,</w:t>
      </w:r>
      <w:r w:rsidR="003306B9" w:rsidRPr="00E631B0">
        <w:rPr>
          <w:rFonts w:asciiTheme="minorHAnsi" w:hAnsiTheme="minorHAnsi"/>
        </w:rPr>
        <w:t xml:space="preserve"> e.g</w:t>
      </w:r>
      <w:r w:rsidR="00B577F2" w:rsidRPr="00E631B0">
        <w:rPr>
          <w:rFonts w:asciiTheme="minorHAnsi" w:hAnsiTheme="minorHAnsi"/>
        </w:rPr>
        <w:t>.</w:t>
      </w:r>
      <w:r w:rsidR="00821929" w:rsidRPr="00E631B0">
        <w:rPr>
          <w:rFonts w:asciiTheme="minorHAnsi" w:hAnsiTheme="minorHAnsi"/>
        </w:rPr>
        <w:t xml:space="preserve"> weight reduction and</w:t>
      </w:r>
      <w:r w:rsidR="003306B9" w:rsidRPr="00E631B0">
        <w:rPr>
          <w:rFonts w:asciiTheme="minorHAnsi" w:hAnsiTheme="minorHAnsi"/>
        </w:rPr>
        <w:t xml:space="preserve"> blood pressure lowering</w:t>
      </w:r>
      <w:r w:rsidRPr="00E631B0">
        <w:rPr>
          <w:rFonts w:asciiTheme="minorHAnsi" w:hAnsiTheme="minorHAnsi"/>
        </w:rPr>
        <w:t xml:space="preserve">. </w:t>
      </w:r>
    </w:p>
    <w:p w14:paraId="2C832045" w14:textId="10284B8B" w:rsidR="00C930D4" w:rsidRPr="00E631B0" w:rsidRDefault="00C930D4" w:rsidP="00AD7EAC">
      <w:pPr>
        <w:spacing w:line="240" w:lineRule="auto"/>
        <w:jc w:val="left"/>
        <w:rPr>
          <w:rFonts w:asciiTheme="minorHAnsi" w:hAnsiTheme="minorHAnsi"/>
          <w:szCs w:val="24"/>
        </w:rPr>
      </w:pPr>
      <w:r w:rsidRPr="00E631B0">
        <w:rPr>
          <w:rFonts w:asciiTheme="minorHAnsi" w:hAnsiTheme="minorHAnsi"/>
        </w:rPr>
        <w:t>The Reference Group considered that changing restrictions presented an educational opportunity</w:t>
      </w:r>
      <w:r w:rsidR="006111BC" w:rsidRPr="00E631B0">
        <w:rPr>
          <w:rFonts w:asciiTheme="minorHAnsi" w:hAnsiTheme="minorHAnsi"/>
        </w:rPr>
        <w:t>.</w:t>
      </w:r>
      <w:r w:rsidR="00821929" w:rsidRPr="00E631B0">
        <w:rPr>
          <w:rFonts w:asciiTheme="minorHAnsi" w:hAnsiTheme="minorHAnsi"/>
        </w:rPr>
        <w:t xml:space="preserve"> </w:t>
      </w:r>
      <w:r w:rsidR="00404D9D" w:rsidRPr="00E631B0">
        <w:rPr>
          <w:rFonts w:asciiTheme="minorHAnsi" w:hAnsiTheme="minorHAnsi"/>
        </w:rPr>
        <w:t>O</w:t>
      </w:r>
      <w:r w:rsidRPr="00E631B0">
        <w:rPr>
          <w:rFonts w:asciiTheme="minorHAnsi" w:hAnsiTheme="minorHAnsi"/>
        </w:rPr>
        <w:t>pportunities</w:t>
      </w:r>
      <w:r w:rsidR="006111BC" w:rsidRPr="00E631B0">
        <w:rPr>
          <w:rFonts w:asciiTheme="minorHAnsi" w:hAnsiTheme="minorHAnsi"/>
        </w:rPr>
        <w:t xml:space="preserve"> should be sought </w:t>
      </w:r>
      <w:r w:rsidRPr="00E631B0">
        <w:rPr>
          <w:rFonts w:asciiTheme="minorHAnsi" w:hAnsiTheme="minorHAnsi"/>
        </w:rPr>
        <w:t>t</w:t>
      </w:r>
      <w:r w:rsidR="00821929" w:rsidRPr="00E631B0">
        <w:rPr>
          <w:rFonts w:asciiTheme="minorHAnsi" w:hAnsiTheme="minorHAnsi"/>
        </w:rPr>
        <w:t>o promote the message that for quality use of m</w:t>
      </w:r>
      <w:r w:rsidRPr="00E631B0">
        <w:rPr>
          <w:rFonts w:asciiTheme="minorHAnsi" w:hAnsiTheme="minorHAnsi"/>
        </w:rPr>
        <w:t>edicines</w:t>
      </w:r>
      <w:r w:rsidR="003306B9" w:rsidRPr="00E631B0">
        <w:rPr>
          <w:rFonts w:asciiTheme="minorHAnsi" w:hAnsiTheme="minorHAnsi"/>
        </w:rPr>
        <w:t>,</w:t>
      </w:r>
      <w:r w:rsidRPr="00E631B0">
        <w:rPr>
          <w:rFonts w:asciiTheme="minorHAnsi" w:hAnsiTheme="minorHAnsi"/>
        </w:rPr>
        <w:t xml:space="preserve"> optimal management of LDL-C reduction requires statins be first choice</w:t>
      </w:r>
      <w:r w:rsidR="003306B9" w:rsidRPr="00E631B0">
        <w:rPr>
          <w:rFonts w:asciiTheme="minorHAnsi" w:hAnsiTheme="minorHAnsi"/>
        </w:rPr>
        <w:t>. C</w:t>
      </w:r>
      <w:r w:rsidRPr="00E631B0">
        <w:rPr>
          <w:rFonts w:asciiTheme="minorHAnsi" w:hAnsiTheme="minorHAnsi"/>
        </w:rPr>
        <w:t xml:space="preserve">ompliance with therapy </w:t>
      </w:r>
      <w:r w:rsidR="003306B9" w:rsidRPr="00E631B0">
        <w:rPr>
          <w:rFonts w:asciiTheme="minorHAnsi" w:hAnsiTheme="minorHAnsi"/>
        </w:rPr>
        <w:t xml:space="preserve">is essential in order to </w:t>
      </w:r>
      <w:r w:rsidRPr="00E631B0">
        <w:rPr>
          <w:rFonts w:asciiTheme="minorHAnsi" w:hAnsiTheme="minorHAnsi"/>
        </w:rPr>
        <w:t>ensure</w:t>
      </w:r>
      <w:r w:rsidR="003306B9" w:rsidRPr="00E631B0">
        <w:rPr>
          <w:rFonts w:asciiTheme="minorHAnsi" w:hAnsiTheme="minorHAnsi"/>
        </w:rPr>
        <w:t xml:space="preserve"> that</w:t>
      </w:r>
      <w:r w:rsidRPr="00E631B0">
        <w:rPr>
          <w:rFonts w:asciiTheme="minorHAnsi" w:hAnsiTheme="minorHAnsi"/>
        </w:rPr>
        <w:t xml:space="preserve"> optimal health benefit is achieved. Ezetimibe should only be prescribed after the statin dose has been optimised, unless the patient is contraindicated to statin therapy. </w:t>
      </w:r>
    </w:p>
    <w:p w14:paraId="3D79C13F" w14:textId="44CDCE91" w:rsidR="00E147F2" w:rsidRPr="00E631B0" w:rsidRDefault="005F7E9E" w:rsidP="00AD7EAC">
      <w:pPr>
        <w:spacing w:after="120" w:line="240" w:lineRule="auto"/>
        <w:jc w:val="left"/>
        <w:rPr>
          <w:rFonts w:asciiTheme="minorHAnsi" w:hAnsiTheme="minorHAnsi"/>
        </w:rPr>
      </w:pPr>
      <w:r w:rsidRPr="00E631B0">
        <w:rPr>
          <w:rFonts w:asciiTheme="minorHAnsi" w:hAnsiTheme="minorHAnsi"/>
          <w:szCs w:val="24"/>
        </w:rPr>
        <w:t>The PBAC may wish to consider the following revised restriction</w:t>
      </w:r>
      <w:r w:rsidR="000B1F8F" w:rsidRPr="00E631B0">
        <w:rPr>
          <w:rFonts w:asciiTheme="minorHAnsi" w:hAnsiTheme="minorHAnsi"/>
          <w:szCs w:val="24"/>
        </w:rPr>
        <w:t>s</w:t>
      </w:r>
      <w:r w:rsidRPr="00E631B0">
        <w:rPr>
          <w:rFonts w:asciiTheme="minorHAnsi" w:hAnsiTheme="minorHAnsi"/>
          <w:szCs w:val="24"/>
        </w:rPr>
        <w:t xml:space="preserve"> for ezetimibe. </w:t>
      </w:r>
      <w:r w:rsidRPr="00E631B0">
        <w:rPr>
          <w:rFonts w:asciiTheme="minorHAnsi" w:hAnsiTheme="minorHAnsi"/>
        </w:rPr>
        <w:t xml:space="preserve">In the future, the PBAC may wish to apply a contemporary absolute risk threshold </w:t>
      </w:r>
      <w:r w:rsidRPr="00E631B0">
        <w:rPr>
          <w:rFonts w:asciiTheme="minorHAnsi" w:hAnsiTheme="minorHAnsi"/>
        </w:rPr>
        <w:lastRenderedPageBreak/>
        <w:t xml:space="preserve">approach to the </w:t>
      </w:r>
      <w:r w:rsidR="0056425D" w:rsidRPr="00E631B0">
        <w:rPr>
          <w:rFonts w:asciiTheme="minorHAnsi" w:hAnsiTheme="minorHAnsi"/>
        </w:rPr>
        <w:t xml:space="preserve">PBS </w:t>
      </w:r>
      <w:r w:rsidRPr="00E631B0">
        <w:rPr>
          <w:rFonts w:asciiTheme="minorHAnsi" w:hAnsiTheme="minorHAnsi"/>
        </w:rPr>
        <w:t xml:space="preserve">ezetimibe restriction for both the high and low </w:t>
      </w:r>
      <w:r w:rsidR="00821929" w:rsidRPr="00E631B0">
        <w:rPr>
          <w:rFonts w:asciiTheme="minorHAnsi" w:hAnsiTheme="minorHAnsi"/>
        </w:rPr>
        <w:t xml:space="preserve">CV </w:t>
      </w:r>
      <w:r w:rsidRPr="00E631B0">
        <w:rPr>
          <w:rFonts w:asciiTheme="minorHAnsi" w:hAnsiTheme="minorHAnsi"/>
        </w:rPr>
        <w:t>risk populations</w:t>
      </w:r>
      <w:r w:rsidR="00821929" w:rsidRPr="00E631B0">
        <w:rPr>
          <w:rFonts w:asciiTheme="minorHAnsi" w:hAnsiTheme="minorHAnsi"/>
        </w:rPr>
        <w:t>.</w:t>
      </w:r>
      <w:r w:rsidRPr="00E631B0">
        <w:rPr>
          <w:rFonts w:asciiTheme="minorHAnsi" w:hAnsiTheme="minorHAnsi"/>
        </w:rPr>
        <w:t xml:space="preserve"> </w:t>
      </w:r>
    </w:p>
    <w:p w14:paraId="02F760FC" w14:textId="373472C0" w:rsidR="00E147F2" w:rsidRPr="00E631B0" w:rsidRDefault="00E147F2" w:rsidP="00E147F2">
      <w:pPr>
        <w:pStyle w:val="Heading3"/>
      </w:pPr>
      <w:bookmarkStart w:id="82" w:name="_Toc500510241"/>
      <w:r w:rsidRPr="00E631B0">
        <w:t>2.4.1</w:t>
      </w:r>
      <w:r w:rsidRPr="00E631B0">
        <w:tab/>
        <w:t xml:space="preserve">Suggested </w:t>
      </w:r>
      <w:r w:rsidR="00341378" w:rsidRPr="00E631B0">
        <w:t>ezetimibe r</w:t>
      </w:r>
      <w:r w:rsidRPr="00E631B0">
        <w:t>estrictions</w:t>
      </w:r>
      <w:bookmarkEnd w:id="82"/>
    </w:p>
    <w:p w14:paraId="7222FDAC" w14:textId="77777777" w:rsidR="00341378" w:rsidRPr="00E631B0" w:rsidRDefault="00341378" w:rsidP="00E554E9">
      <w:pPr>
        <w:spacing w:after="120" w:line="240" w:lineRule="auto"/>
        <w:rPr>
          <w:rFonts w:asciiTheme="minorHAnsi" w:hAnsiTheme="minorHAnsi"/>
          <w:b/>
        </w:rPr>
      </w:pPr>
    </w:p>
    <w:p w14:paraId="12AE15C2" w14:textId="77777777" w:rsidR="00E147F2" w:rsidRPr="00E631B0" w:rsidRDefault="00E147F2" w:rsidP="00E554E9">
      <w:pPr>
        <w:spacing w:after="120" w:line="240" w:lineRule="auto"/>
        <w:rPr>
          <w:rFonts w:asciiTheme="minorHAnsi" w:hAnsiTheme="minorHAnsi"/>
          <w:b/>
          <w:sz w:val="20"/>
          <w:szCs w:val="20"/>
        </w:rPr>
      </w:pPr>
      <w:r w:rsidRPr="00E631B0">
        <w:rPr>
          <w:rFonts w:asciiTheme="minorHAnsi" w:hAnsiTheme="minorHAnsi"/>
          <w:b/>
          <w:sz w:val="20"/>
          <w:szCs w:val="20"/>
        </w:rPr>
        <w:t xml:space="preserve">Ezetimibe 10 mg </w:t>
      </w:r>
    </w:p>
    <w:p w14:paraId="3B8576FD" w14:textId="77777777" w:rsidR="00E147F2" w:rsidRPr="00E631B0" w:rsidRDefault="00E147F2" w:rsidP="00E554E9">
      <w:pPr>
        <w:spacing w:after="120" w:line="240" w:lineRule="auto"/>
        <w:rPr>
          <w:rFonts w:asciiTheme="minorHAnsi" w:hAnsiTheme="minorHAnsi"/>
          <w:b/>
          <w:sz w:val="20"/>
          <w:szCs w:val="20"/>
        </w:rPr>
      </w:pPr>
      <w:r w:rsidRPr="00E631B0">
        <w:rPr>
          <w:rFonts w:asciiTheme="minorHAnsi" w:hAnsiTheme="minorHAnsi"/>
          <w:b/>
          <w:sz w:val="20"/>
          <w:szCs w:val="20"/>
        </w:rPr>
        <w:t>Authority Required (Streamlined)</w:t>
      </w:r>
    </w:p>
    <w:p w14:paraId="0A3294A4" w14:textId="77777777" w:rsidR="00E147F2" w:rsidRPr="00E631B0" w:rsidRDefault="00E147F2" w:rsidP="00E554E9">
      <w:pPr>
        <w:spacing w:after="120" w:line="240" w:lineRule="auto"/>
        <w:rPr>
          <w:rFonts w:asciiTheme="minorHAnsi" w:hAnsiTheme="minorHAnsi"/>
          <w:b/>
          <w:sz w:val="20"/>
          <w:szCs w:val="20"/>
        </w:rPr>
      </w:pPr>
      <w:r w:rsidRPr="00E631B0">
        <w:rPr>
          <w:rFonts w:asciiTheme="minorHAnsi" w:hAnsiTheme="minorHAnsi"/>
          <w:b/>
          <w:sz w:val="20"/>
          <w:szCs w:val="20"/>
        </w:rPr>
        <w:t>Hypercholesterolaemia</w:t>
      </w:r>
    </w:p>
    <w:p w14:paraId="517D0B0E" w14:textId="77777777" w:rsidR="00E147F2" w:rsidRPr="00E631B0" w:rsidRDefault="00E147F2" w:rsidP="00E554E9">
      <w:pPr>
        <w:spacing w:after="120" w:line="240" w:lineRule="auto"/>
        <w:rPr>
          <w:rFonts w:asciiTheme="minorHAnsi" w:hAnsiTheme="minorHAnsi"/>
          <w:sz w:val="20"/>
          <w:szCs w:val="20"/>
          <w:u w:val="single"/>
        </w:rPr>
      </w:pPr>
      <w:r w:rsidRPr="00E631B0">
        <w:rPr>
          <w:rFonts w:asciiTheme="minorHAnsi" w:hAnsiTheme="minorHAnsi"/>
          <w:sz w:val="20"/>
          <w:szCs w:val="20"/>
          <w:u w:val="single"/>
        </w:rPr>
        <w:t>Clinical Criteria</w:t>
      </w:r>
    </w:p>
    <w:p w14:paraId="451DE9C2" w14:textId="77777777" w:rsidR="00E147F2" w:rsidRPr="00E631B0" w:rsidRDefault="00E147F2" w:rsidP="008600B5">
      <w:pPr>
        <w:numPr>
          <w:ilvl w:val="0"/>
          <w:numId w:val="25"/>
        </w:numPr>
        <w:spacing w:after="120" w:line="240" w:lineRule="auto"/>
        <w:rPr>
          <w:rFonts w:asciiTheme="minorHAnsi" w:hAnsiTheme="minorHAnsi"/>
          <w:sz w:val="20"/>
          <w:szCs w:val="20"/>
        </w:rPr>
      </w:pPr>
      <w:r w:rsidRPr="00E631B0">
        <w:rPr>
          <w:rFonts w:asciiTheme="minorHAnsi" w:hAnsiTheme="minorHAnsi"/>
          <w:sz w:val="20"/>
          <w:szCs w:val="20"/>
        </w:rPr>
        <w:t>The treatment must be co-administered with an HMG CoA reductase inhibitor (statin)</w:t>
      </w:r>
    </w:p>
    <w:p w14:paraId="279D90DE" w14:textId="77777777" w:rsidR="00E147F2" w:rsidRPr="00E631B0" w:rsidRDefault="00E147F2" w:rsidP="00E554E9">
      <w:pPr>
        <w:spacing w:after="120" w:line="240" w:lineRule="auto"/>
        <w:rPr>
          <w:rFonts w:asciiTheme="minorHAnsi" w:hAnsiTheme="minorHAnsi"/>
          <w:b/>
          <w:sz w:val="20"/>
          <w:szCs w:val="20"/>
        </w:rPr>
      </w:pPr>
      <w:r w:rsidRPr="00E631B0">
        <w:rPr>
          <w:rFonts w:asciiTheme="minorHAnsi" w:hAnsiTheme="minorHAnsi"/>
          <w:b/>
          <w:sz w:val="20"/>
          <w:szCs w:val="20"/>
        </w:rPr>
        <w:t>AND</w:t>
      </w:r>
    </w:p>
    <w:p w14:paraId="62CB62DF" w14:textId="77777777" w:rsidR="00E147F2" w:rsidRPr="00E631B0" w:rsidRDefault="00E147F2" w:rsidP="008600B5">
      <w:pPr>
        <w:numPr>
          <w:ilvl w:val="0"/>
          <w:numId w:val="25"/>
        </w:numPr>
        <w:spacing w:after="120" w:line="240" w:lineRule="auto"/>
        <w:rPr>
          <w:rFonts w:asciiTheme="minorHAnsi" w:hAnsiTheme="minorHAnsi"/>
          <w:sz w:val="20"/>
          <w:szCs w:val="20"/>
        </w:rPr>
      </w:pPr>
      <w:r w:rsidRPr="00E631B0">
        <w:rPr>
          <w:rFonts w:asciiTheme="minorHAnsi" w:hAnsiTheme="minorHAnsi"/>
          <w:sz w:val="20"/>
          <w:szCs w:val="20"/>
        </w:rPr>
        <w:t>Patient must have cholesterol concentrations that are inadequately controlled with an HMG CoA reductase inhibitor (statin). Inadequate control is a cholesterol concentration in excess of 4mmol per L after at least 3 months of treatment at a maximum tolerated dose of a statin. The dose and duration of statin treatment and the cholesterol concentration which shows inadequate control must be documented in the patient’s medical records when ezetimibe is initiated.</w:t>
      </w:r>
    </w:p>
    <w:p w14:paraId="2F9CF721" w14:textId="77777777" w:rsidR="00E147F2" w:rsidRPr="00E631B0" w:rsidRDefault="00E147F2" w:rsidP="00E554E9">
      <w:pPr>
        <w:spacing w:after="120" w:line="240" w:lineRule="auto"/>
        <w:rPr>
          <w:rFonts w:asciiTheme="minorHAnsi" w:hAnsiTheme="minorHAnsi"/>
          <w:b/>
          <w:sz w:val="20"/>
          <w:szCs w:val="20"/>
        </w:rPr>
      </w:pPr>
      <w:r w:rsidRPr="00E631B0">
        <w:rPr>
          <w:rFonts w:asciiTheme="minorHAnsi" w:hAnsiTheme="minorHAnsi"/>
          <w:b/>
          <w:sz w:val="20"/>
          <w:szCs w:val="20"/>
        </w:rPr>
        <w:t>AND</w:t>
      </w:r>
    </w:p>
    <w:p w14:paraId="33C178F7" w14:textId="7AD1E864" w:rsidR="00E147F2" w:rsidRPr="00E631B0" w:rsidRDefault="00E147F2" w:rsidP="008600B5">
      <w:pPr>
        <w:numPr>
          <w:ilvl w:val="0"/>
          <w:numId w:val="25"/>
        </w:numPr>
        <w:spacing w:after="120" w:line="240" w:lineRule="auto"/>
        <w:rPr>
          <w:rFonts w:asciiTheme="minorHAnsi" w:hAnsiTheme="minorHAnsi"/>
          <w:sz w:val="20"/>
          <w:szCs w:val="20"/>
        </w:rPr>
      </w:pPr>
      <w:r w:rsidRPr="00E631B0">
        <w:rPr>
          <w:rFonts w:asciiTheme="minorHAnsi" w:hAnsiTheme="minorHAnsi"/>
          <w:sz w:val="20"/>
          <w:szCs w:val="20"/>
        </w:rPr>
        <w:t xml:space="preserve">Patient falls into at least one  of the very high risk categories described as: </w:t>
      </w:r>
    </w:p>
    <w:p w14:paraId="204A7C9D" w14:textId="77777777" w:rsidR="00E147F2" w:rsidRPr="00E631B0" w:rsidRDefault="00E147F2" w:rsidP="008600B5">
      <w:pPr>
        <w:numPr>
          <w:ilvl w:val="0"/>
          <w:numId w:val="28"/>
        </w:numPr>
        <w:spacing w:after="120" w:line="240" w:lineRule="auto"/>
        <w:rPr>
          <w:rFonts w:asciiTheme="minorHAnsi" w:hAnsiTheme="minorHAnsi"/>
          <w:sz w:val="20"/>
          <w:szCs w:val="20"/>
        </w:rPr>
      </w:pPr>
      <w:r w:rsidRPr="00E631B0">
        <w:rPr>
          <w:rFonts w:asciiTheme="minorHAnsi" w:hAnsiTheme="minorHAnsi"/>
          <w:sz w:val="20"/>
          <w:szCs w:val="20"/>
        </w:rPr>
        <w:t>coronary heart disease which has become symptomatic</w:t>
      </w:r>
    </w:p>
    <w:p w14:paraId="649B678D" w14:textId="77777777" w:rsidR="00E147F2" w:rsidRPr="00E631B0" w:rsidRDefault="00E147F2" w:rsidP="008600B5">
      <w:pPr>
        <w:numPr>
          <w:ilvl w:val="0"/>
          <w:numId w:val="28"/>
        </w:numPr>
        <w:spacing w:after="120" w:line="240" w:lineRule="auto"/>
        <w:rPr>
          <w:rFonts w:asciiTheme="minorHAnsi" w:hAnsiTheme="minorHAnsi"/>
          <w:sz w:val="20"/>
          <w:szCs w:val="20"/>
        </w:rPr>
      </w:pPr>
      <w:r w:rsidRPr="00E631B0">
        <w:rPr>
          <w:rFonts w:asciiTheme="minorHAnsi" w:hAnsiTheme="minorHAnsi"/>
          <w:sz w:val="20"/>
          <w:szCs w:val="20"/>
        </w:rPr>
        <w:t>cerebrovascular disease which has become symptomatic</w:t>
      </w:r>
    </w:p>
    <w:p w14:paraId="38E0883B" w14:textId="77777777" w:rsidR="00E147F2" w:rsidRPr="00E631B0" w:rsidRDefault="00E147F2" w:rsidP="008600B5">
      <w:pPr>
        <w:numPr>
          <w:ilvl w:val="0"/>
          <w:numId w:val="28"/>
        </w:numPr>
        <w:spacing w:after="120" w:line="240" w:lineRule="auto"/>
        <w:rPr>
          <w:rFonts w:asciiTheme="minorHAnsi" w:hAnsiTheme="minorHAnsi"/>
          <w:sz w:val="20"/>
          <w:szCs w:val="20"/>
        </w:rPr>
      </w:pPr>
      <w:r w:rsidRPr="00E631B0">
        <w:rPr>
          <w:rFonts w:asciiTheme="minorHAnsi" w:hAnsiTheme="minorHAnsi"/>
          <w:sz w:val="20"/>
          <w:szCs w:val="20"/>
        </w:rPr>
        <w:t>peripheral vascular disease which has become symptomatic</w:t>
      </w:r>
    </w:p>
    <w:p w14:paraId="18D70A84" w14:textId="77777777" w:rsidR="00E147F2" w:rsidRPr="00E631B0" w:rsidRDefault="00E147F2" w:rsidP="008600B5">
      <w:pPr>
        <w:numPr>
          <w:ilvl w:val="0"/>
          <w:numId w:val="28"/>
        </w:numPr>
        <w:spacing w:after="120" w:line="240" w:lineRule="auto"/>
        <w:rPr>
          <w:rFonts w:asciiTheme="minorHAnsi" w:hAnsiTheme="minorHAnsi"/>
          <w:sz w:val="20"/>
          <w:szCs w:val="20"/>
        </w:rPr>
      </w:pPr>
      <w:r w:rsidRPr="00E631B0">
        <w:rPr>
          <w:rFonts w:asciiTheme="minorHAnsi" w:hAnsiTheme="minorHAnsi"/>
          <w:sz w:val="20"/>
          <w:szCs w:val="20"/>
        </w:rPr>
        <w:t xml:space="preserve">diabetes mellitus with microalbuminuria (defined as urinary albumin excretion rate of &gt;20mcg/min or urinary albumin to creatinine ratio of &gt; 2.5 for males, &gt; 3.5 for females) </w:t>
      </w:r>
    </w:p>
    <w:p w14:paraId="0CBB1D95" w14:textId="77777777" w:rsidR="00E147F2" w:rsidRPr="00E631B0" w:rsidRDefault="00E147F2" w:rsidP="008600B5">
      <w:pPr>
        <w:numPr>
          <w:ilvl w:val="0"/>
          <w:numId w:val="28"/>
        </w:numPr>
        <w:spacing w:after="120" w:line="240" w:lineRule="auto"/>
        <w:rPr>
          <w:rFonts w:asciiTheme="minorHAnsi" w:hAnsiTheme="minorHAnsi"/>
          <w:sz w:val="20"/>
          <w:szCs w:val="20"/>
        </w:rPr>
      </w:pPr>
      <w:r w:rsidRPr="00E631B0">
        <w:rPr>
          <w:rFonts w:asciiTheme="minorHAnsi" w:hAnsiTheme="minorHAnsi"/>
          <w:sz w:val="20"/>
          <w:szCs w:val="20"/>
        </w:rPr>
        <w:t>diabetes mellitus in Aboriginal or Torres Strait Islander patients</w:t>
      </w:r>
    </w:p>
    <w:p w14:paraId="016A9661" w14:textId="77777777" w:rsidR="00E147F2" w:rsidRPr="00E631B0" w:rsidRDefault="00E147F2" w:rsidP="008600B5">
      <w:pPr>
        <w:numPr>
          <w:ilvl w:val="0"/>
          <w:numId w:val="28"/>
        </w:numPr>
        <w:spacing w:after="120" w:line="240" w:lineRule="auto"/>
        <w:rPr>
          <w:rFonts w:asciiTheme="minorHAnsi" w:hAnsiTheme="minorHAnsi"/>
          <w:sz w:val="20"/>
          <w:szCs w:val="20"/>
        </w:rPr>
      </w:pPr>
      <w:r w:rsidRPr="00E631B0">
        <w:rPr>
          <w:rFonts w:asciiTheme="minorHAnsi" w:hAnsiTheme="minorHAnsi"/>
          <w:sz w:val="20"/>
          <w:szCs w:val="20"/>
        </w:rPr>
        <w:t>diabetes mellitus in patients aged 60 years or more</w:t>
      </w:r>
    </w:p>
    <w:p w14:paraId="7117B205" w14:textId="77777777" w:rsidR="00E147F2" w:rsidRPr="00E631B0" w:rsidRDefault="00E147F2" w:rsidP="008600B5">
      <w:pPr>
        <w:numPr>
          <w:ilvl w:val="0"/>
          <w:numId w:val="28"/>
        </w:numPr>
        <w:spacing w:after="120" w:line="240" w:lineRule="auto"/>
        <w:rPr>
          <w:rFonts w:asciiTheme="minorHAnsi" w:hAnsiTheme="minorHAnsi"/>
          <w:sz w:val="20"/>
          <w:szCs w:val="20"/>
        </w:rPr>
      </w:pPr>
      <w:r w:rsidRPr="00E631B0">
        <w:rPr>
          <w:rFonts w:asciiTheme="minorHAnsi" w:hAnsiTheme="minorHAnsi"/>
          <w:sz w:val="20"/>
          <w:szCs w:val="20"/>
        </w:rPr>
        <w:t xml:space="preserve">family history of coronary heart disease which has become symptomatic before the age of 55 years in two or more first degree relatives </w:t>
      </w:r>
    </w:p>
    <w:p w14:paraId="35155F28" w14:textId="77777777" w:rsidR="00E147F2" w:rsidRPr="00E631B0" w:rsidRDefault="00E147F2" w:rsidP="008600B5">
      <w:pPr>
        <w:numPr>
          <w:ilvl w:val="0"/>
          <w:numId w:val="28"/>
        </w:numPr>
        <w:spacing w:after="120" w:line="240" w:lineRule="auto"/>
        <w:rPr>
          <w:rFonts w:asciiTheme="minorHAnsi" w:hAnsiTheme="minorHAnsi"/>
          <w:sz w:val="20"/>
          <w:szCs w:val="20"/>
        </w:rPr>
      </w:pPr>
      <w:r w:rsidRPr="00E631B0">
        <w:rPr>
          <w:rFonts w:asciiTheme="minorHAnsi" w:hAnsiTheme="minorHAnsi"/>
          <w:sz w:val="20"/>
          <w:szCs w:val="20"/>
        </w:rPr>
        <w:t xml:space="preserve">family history of coronary heart disease which has become symptomatic before the age of 45 years in one or more first degree relatives </w:t>
      </w:r>
    </w:p>
    <w:p w14:paraId="0FF051C8" w14:textId="2AD6A42F" w:rsidR="00E147F2" w:rsidRPr="00E631B0" w:rsidRDefault="004B3EB8" w:rsidP="008600B5">
      <w:pPr>
        <w:numPr>
          <w:ilvl w:val="0"/>
          <w:numId w:val="28"/>
        </w:numPr>
        <w:spacing w:after="120" w:line="240" w:lineRule="auto"/>
        <w:rPr>
          <w:rFonts w:asciiTheme="minorHAnsi" w:hAnsiTheme="minorHAnsi"/>
          <w:sz w:val="20"/>
          <w:szCs w:val="20"/>
        </w:rPr>
      </w:pPr>
      <w:r w:rsidRPr="00E631B0">
        <w:rPr>
          <w:rFonts w:asciiTheme="minorHAnsi" w:hAnsiTheme="minorHAnsi"/>
          <w:sz w:val="20"/>
          <w:szCs w:val="20"/>
        </w:rPr>
        <w:t>h</w:t>
      </w:r>
      <w:r w:rsidR="00E147F2" w:rsidRPr="00E631B0">
        <w:rPr>
          <w:rFonts w:asciiTheme="minorHAnsi" w:hAnsiTheme="minorHAnsi"/>
          <w:sz w:val="20"/>
          <w:szCs w:val="20"/>
        </w:rPr>
        <w:t>eterozygous/</w:t>
      </w:r>
      <w:r w:rsidRPr="00E631B0">
        <w:rPr>
          <w:rFonts w:asciiTheme="minorHAnsi" w:hAnsiTheme="minorHAnsi"/>
          <w:sz w:val="20"/>
          <w:szCs w:val="20"/>
        </w:rPr>
        <w:t>h</w:t>
      </w:r>
      <w:r w:rsidR="00E147F2" w:rsidRPr="00E631B0">
        <w:rPr>
          <w:rFonts w:asciiTheme="minorHAnsi" w:hAnsiTheme="minorHAnsi"/>
          <w:sz w:val="20"/>
          <w:szCs w:val="20"/>
        </w:rPr>
        <w:t>omozygous familial hypercholesterolaemia.</w:t>
      </w:r>
    </w:p>
    <w:p w14:paraId="117E2DBE" w14:textId="77777777" w:rsidR="00E147F2" w:rsidRPr="00E631B0" w:rsidRDefault="00E147F2" w:rsidP="006258A9">
      <w:pPr>
        <w:spacing w:after="120" w:line="240" w:lineRule="auto"/>
        <w:rPr>
          <w:rFonts w:asciiTheme="minorHAnsi" w:hAnsiTheme="minorHAnsi"/>
          <w:b/>
          <w:sz w:val="20"/>
          <w:szCs w:val="20"/>
        </w:rPr>
      </w:pPr>
      <w:r w:rsidRPr="00E631B0">
        <w:rPr>
          <w:rFonts w:asciiTheme="minorHAnsi" w:hAnsiTheme="minorHAnsi"/>
          <w:b/>
          <w:sz w:val="20"/>
          <w:szCs w:val="20"/>
        </w:rPr>
        <w:t>OR</w:t>
      </w:r>
    </w:p>
    <w:p w14:paraId="30AD7B76" w14:textId="238D452C" w:rsidR="00E147F2" w:rsidRPr="00E631B0" w:rsidRDefault="00E147F2" w:rsidP="008600B5">
      <w:pPr>
        <w:numPr>
          <w:ilvl w:val="0"/>
          <w:numId w:val="25"/>
        </w:numPr>
        <w:spacing w:after="120" w:line="240" w:lineRule="auto"/>
        <w:rPr>
          <w:rFonts w:asciiTheme="minorHAnsi" w:hAnsiTheme="minorHAnsi"/>
          <w:sz w:val="20"/>
          <w:szCs w:val="20"/>
        </w:rPr>
      </w:pPr>
      <w:r w:rsidRPr="00E631B0">
        <w:rPr>
          <w:rFonts w:asciiTheme="minorHAnsi" w:hAnsiTheme="minorHAnsi"/>
          <w:sz w:val="20"/>
          <w:szCs w:val="20"/>
        </w:rPr>
        <w:t>Where a patient’s level of absolute risk of a cardiovascular event is greater than 15% over 5 years as calculated by the Australian Absolute cardiovascular disease risk calculator (National Vascular Disease Prevention Alliance)</w:t>
      </w:r>
      <w:r w:rsidR="004B3EB8" w:rsidRPr="00E631B0">
        <w:rPr>
          <w:rFonts w:asciiTheme="minorHAnsi" w:hAnsiTheme="minorHAnsi"/>
          <w:sz w:val="20"/>
          <w:szCs w:val="20"/>
        </w:rPr>
        <w:t>.</w:t>
      </w:r>
    </w:p>
    <w:p w14:paraId="0A662281" w14:textId="77777777" w:rsidR="00E147F2" w:rsidRPr="006258A9" w:rsidRDefault="00E147F2" w:rsidP="00E147F2">
      <w:pPr>
        <w:spacing w:after="120" w:line="240" w:lineRule="auto"/>
        <w:rPr>
          <w:rFonts w:asciiTheme="minorHAnsi" w:hAnsiTheme="minorHAnsi"/>
          <w:sz w:val="20"/>
          <w:szCs w:val="20"/>
        </w:rPr>
      </w:pPr>
    </w:p>
    <w:p w14:paraId="7DA37063" w14:textId="77777777" w:rsidR="004B3EB8" w:rsidRDefault="004B3EB8" w:rsidP="006258A9">
      <w:pPr>
        <w:spacing w:after="120" w:line="240" w:lineRule="auto"/>
        <w:rPr>
          <w:rFonts w:asciiTheme="minorHAnsi" w:hAnsiTheme="minorHAnsi"/>
          <w:b/>
          <w:sz w:val="20"/>
          <w:szCs w:val="20"/>
        </w:rPr>
      </w:pPr>
    </w:p>
    <w:p w14:paraId="021B8A24" w14:textId="77777777" w:rsidR="004B3EB8" w:rsidRDefault="004B3EB8" w:rsidP="006258A9">
      <w:pPr>
        <w:spacing w:after="120" w:line="240" w:lineRule="auto"/>
        <w:rPr>
          <w:rFonts w:asciiTheme="minorHAnsi" w:hAnsiTheme="minorHAnsi"/>
          <w:b/>
          <w:sz w:val="20"/>
          <w:szCs w:val="20"/>
        </w:rPr>
      </w:pPr>
    </w:p>
    <w:p w14:paraId="758F4A70" w14:textId="77777777" w:rsidR="004B3EB8" w:rsidRDefault="004B3EB8" w:rsidP="006258A9">
      <w:pPr>
        <w:spacing w:after="120" w:line="240" w:lineRule="auto"/>
        <w:rPr>
          <w:rFonts w:asciiTheme="minorHAnsi" w:hAnsiTheme="minorHAnsi"/>
          <w:b/>
          <w:sz w:val="20"/>
          <w:szCs w:val="20"/>
        </w:rPr>
      </w:pPr>
    </w:p>
    <w:p w14:paraId="15278FD9" w14:textId="77777777" w:rsidR="004B3EB8" w:rsidRDefault="004B3EB8" w:rsidP="006258A9">
      <w:pPr>
        <w:spacing w:after="120" w:line="240" w:lineRule="auto"/>
        <w:rPr>
          <w:rFonts w:asciiTheme="minorHAnsi" w:hAnsiTheme="minorHAnsi"/>
          <w:b/>
          <w:sz w:val="20"/>
          <w:szCs w:val="20"/>
        </w:rPr>
      </w:pPr>
    </w:p>
    <w:p w14:paraId="29C6241E" w14:textId="77777777" w:rsidR="004B3EB8" w:rsidRDefault="004B3EB8" w:rsidP="006258A9">
      <w:pPr>
        <w:spacing w:after="120" w:line="240" w:lineRule="auto"/>
        <w:rPr>
          <w:rFonts w:asciiTheme="minorHAnsi" w:hAnsiTheme="minorHAnsi"/>
          <w:b/>
          <w:sz w:val="20"/>
          <w:szCs w:val="20"/>
        </w:rPr>
      </w:pPr>
    </w:p>
    <w:p w14:paraId="316453CA" w14:textId="77777777" w:rsidR="004B3EB8" w:rsidRDefault="004B3EB8" w:rsidP="006258A9">
      <w:pPr>
        <w:spacing w:after="120" w:line="240" w:lineRule="auto"/>
        <w:rPr>
          <w:rFonts w:asciiTheme="minorHAnsi" w:hAnsiTheme="minorHAnsi"/>
          <w:b/>
          <w:sz w:val="20"/>
          <w:szCs w:val="20"/>
        </w:rPr>
      </w:pPr>
    </w:p>
    <w:p w14:paraId="0B467107" w14:textId="77777777" w:rsidR="00E147F2" w:rsidRPr="00E631B0" w:rsidRDefault="00E147F2" w:rsidP="006258A9">
      <w:pPr>
        <w:spacing w:after="120" w:line="240" w:lineRule="auto"/>
        <w:rPr>
          <w:rFonts w:asciiTheme="minorHAnsi" w:hAnsiTheme="minorHAnsi"/>
          <w:b/>
          <w:sz w:val="20"/>
          <w:szCs w:val="20"/>
        </w:rPr>
      </w:pPr>
      <w:r w:rsidRPr="00E631B0">
        <w:rPr>
          <w:rFonts w:asciiTheme="minorHAnsi" w:hAnsiTheme="minorHAnsi"/>
          <w:b/>
          <w:sz w:val="20"/>
          <w:szCs w:val="20"/>
        </w:rPr>
        <w:lastRenderedPageBreak/>
        <w:t xml:space="preserve">Ezetimibe 10mg </w:t>
      </w:r>
    </w:p>
    <w:p w14:paraId="286ADBEE" w14:textId="77777777" w:rsidR="00E147F2" w:rsidRPr="00E631B0" w:rsidRDefault="00E147F2" w:rsidP="006258A9">
      <w:pPr>
        <w:spacing w:after="120" w:line="240" w:lineRule="auto"/>
        <w:rPr>
          <w:rFonts w:asciiTheme="minorHAnsi" w:hAnsiTheme="minorHAnsi"/>
          <w:b/>
          <w:sz w:val="20"/>
          <w:szCs w:val="20"/>
        </w:rPr>
      </w:pPr>
      <w:r w:rsidRPr="00E631B0">
        <w:rPr>
          <w:rFonts w:asciiTheme="minorHAnsi" w:hAnsiTheme="minorHAnsi"/>
          <w:b/>
          <w:sz w:val="20"/>
          <w:szCs w:val="20"/>
        </w:rPr>
        <w:t>Authority Required (Streamlined)</w:t>
      </w:r>
    </w:p>
    <w:p w14:paraId="268410C1" w14:textId="77777777" w:rsidR="00E147F2" w:rsidRPr="00E631B0" w:rsidRDefault="00E147F2" w:rsidP="00E147F2">
      <w:pPr>
        <w:spacing w:after="120" w:line="240" w:lineRule="auto"/>
        <w:rPr>
          <w:rFonts w:asciiTheme="minorHAnsi" w:hAnsiTheme="minorHAnsi"/>
          <w:b/>
          <w:sz w:val="20"/>
          <w:szCs w:val="20"/>
        </w:rPr>
      </w:pPr>
      <w:r w:rsidRPr="00E631B0">
        <w:rPr>
          <w:rFonts w:asciiTheme="minorHAnsi" w:hAnsiTheme="minorHAnsi"/>
          <w:b/>
          <w:sz w:val="20"/>
          <w:szCs w:val="20"/>
        </w:rPr>
        <w:t xml:space="preserve">Hypercholesterolaemia </w:t>
      </w:r>
    </w:p>
    <w:p w14:paraId="3383870B" w14:textId="77777777" w:rsidR="00E147F2" w:rsidRPr="00E631B0" w:rsidRDefault="00E147F2" w:rsidP="00E147F2">
      <w:pPr>
        <w:spacing w:after="120" w:line="240" w:lineRule="auto"/>
        <w:rPr>
          <w:rFonts w:asciiTheme="minorHAnsi" w:hAnsiTheme="minorHAnsi"/>
          <w:sz w:val="20"/>
          <w:szCs w:val="20"/>
          <w:u w:val="single"/>
        </w:rPr>
      </w:pPr>
      <w:r w:rsidRPr="00E631B0">
        <w:rPr>
          <w:rFonts w:asciiTheme="minorHAnsi" w:hAnsiTheme="minorHAnsi"/>
          <w:sz w:val="20"/>
          <w:szCs w:val="20"/>
          <w:u w:val="single"/>
        </w:rPr>
        <w:t>Clinical criteria</w:t>
      </w:r>
    </w:p>
    <w:p w14:paraId="57E07D0C" w14:textId="77777777" w:rsidR="00E147F2" w:rsidRPr="00E631B0" w:rsidRDefault="00E147F2" w:rsidP="006258A9">
      <w:pPr>
        <w:numPr>
          <w:ilvl w:val="1"/>
          <w:numId w:val="15"/>
        </w:numPr>
        <w:spacing w:after="120" w:line="240" w:lineRule="auto"/>
        <w:ind w:left="426" w:hanging="426"/>
        <w:rPr>
          <w:rFonts w:asciiTheme="minorHAnsi" w:hAnsiTheme="minorHAnsi"/>
          <w:sz w:val="20"/>
          <w:szCs w:val="20"/>
        </w:rPr>
      </w:pPr>
      <w:r w:rsidRPr="00E631B0">
        <w:rPr>
          <w:rFonts w:asciiTheme="minorHAnsi" w:hAnsiTheme="minorHAnsi"/>
          <w:sz w:val="20"/>
          <w:szCs w:val="20"/>
        </w:rPr>
        <w:t xml:space="preserve">Patient must be one in whom treatment with an HMG CoA reductase inhibitor (statin) is contraindicated. </w:t>
      </w:r>
    </w:p>
    <w:p w14:paraId="5A2A1D35" w14:textId="6A989E5F" w:rsidR="00E147F2" w:rsidRPr="00E631B0" w:rsidRDefault="00E147F2" w:rsidP="006258A9">
      <w:pPr>
        <w:spacing w:after="120" w:line="240" w:lineRule="auto"/>
        <w:rPr>
          <w:rFonts w:asciiTheme="minorHAnsi" w:hAnsiTheme="minorHAnsi"/>
          <w:b/>
          <w:sz w:val="20"/>
          <w:szCs w:val="20"/>
        </w:rPr>
      </w:pPr>
      <w:r w:rsidRPr="00E631B0">
        <w:rPr>
          <w:rFonts w:asciiTheme="minorHAnsi" w:hAnsiTheme="minorHAnsi"/>
          <w:b/>
          <w:sz w:val="20"/>
          <w:szCs w:val="20"/>
        </w:rPr>
        <w:t>AND</w:t>
      </w:r>
    </w:p>
    <w:p w14:paraId="1CAF7105" w14:textId="77777777" w:rsidR="00E147F2" w:rsidRPr="00E631B0" w:rsidRDefault="00E147F2" w:rsidP="008600B5">
      <w:pPr>
        <w:numPr>
          <w:ilvl w:val="0"/>
          <w:numId w:val="25"/>
        </w:numPr>
        <w:spacing w:after="120" w:line="240" w:lineRule="auto"/>
        <w:rPr>
          <w:rFonts w:asciiTheme="minorHAnsi" w:hAnsiTheme="minorHAnsi"/>
          <w:sz w:val="20"/>
          <w:szCs w:val="20"/>
        </w:rPr>
      </w:pPr>
      <w:r w:rsidRPr="00E631B0">
        <w:rPr>
          <w:rFonts w:asciiTheme="minorHAnsi" w:hAnsiTheme="minorHAnsi"/>
          <w:sz w:val="20"/>
          <w:szCs w:val="20"/>
        </w:rPr>
        <w:t xml:space="preserve">Patient falls into a very high risk category described as: </w:t>
      </w:r>
    </w:p>
    <w:p w14:paraId="118F7C79" w14:textId="77777777" w:rsidR="00E147F2" w:rsidRPr="00E631B0" w:rsidRDefault="00E147F2" w:rsidP="008600B5">
      <w:pPr>
        <w:numPr>
          <w:ilvl w:val="0"/>
          <w:numId w:val="26"/>
        </w:numPr>
        <w:spacing w:after="120" w:line="240" w:lineRule="auto"/>
        <w:rPr>
          <w:rFonts w:asciiTheme="minorHAnsi" w:hAnsiTheme="minorHAnsi"/>
          <w:sz w:val="20"/>
          <w:szCs w:val="20"/>
        </w:rPr>
      </w:pPr>
      <w:r w:rsidRPr="00E631B0">
        <w:rPr>
          <w:rFonts w:asciiTheme="minorHAnsi" w:hAnsiTheme="minorHAnsi"/>
          <w:sz w:val="20"/>
          <w:szCs w:val="20"/>
        </w:rPr>
        <w:t>coronary heart disease which has become symptomatic</w:t>
      </w:r>
    </w:p>
    <w:p w14:paraId="48A6F583" w14:textId="77777777" w:rsidR="00E147F2" w:rsidRPr="00E631B0" w:rsidRDefault="00E147F2" w:rsidP="008600B5">
      <w:pPr>
        <w:numPr>
          <w:ilvl w:val="0"/>
          <w:numId w:val="26"/>
        </w:numPr>
        <w:spacing w:after="120" w:line="240" w:lineRule="auto"/>
        <w:rPr>
          <w:rFonts w:asciiTheme="minorHAnsi" w:hAnsiTheme="minorHAnsi"/>
          <w:sz w:val="20"/>
          <w:szCs w:val="20"/>
        </w:rPr>
      </w:pPr>
      <w:r w:rsidRPr="00E631B0">
        <w:rPr>
          <w:rFonts w:asciiTheme="minorHAnsi" w:hAnsiTheme="minorHAnsi"/>
          <w:sz w:val="20"/>
          <w:szCs w:val="20"/>
        </w:rPr>
        <w:t>cerebrovascular disease which has become symptomatic</w:t>
      </w:r>
    </w:p>
    <w:p w14:paraId="48258E56" w14:textId="77777777" w:rsidR="00E147F2" w:rsidRPr="00E631B0" w:rsidRDefault="00E147F2" w:rsidP="008600B5">
      <w:pPr>
        <w:numPr>
          <w:ilvl w:val="0"/>
          <w:numId w:val="26"/>
        </w:numPr>
        <w:spacing w:after="120" w:line="240" w:lineRule="auto"/>
        <w:rPr>
          <w:rFonts w:asciiTheme="minorHAnsi" w:hAnsiTheme="minorHAnsi"/>
          <w:sz w:val="20"/>
          <w:szCs w:val="20"/>
        </w:rPr>
      </w:pPr>
      <w:r w:rsidRPr="00E631B0">
        <w:rPr>
          <w:rFonts w:asciiTheme="minorHAnsi" w:hAnsiTheme="minorHAnsi"/>
          <w:sz w:val="20"/>
          <w:szCs w:val="20"/>
        </w:rPr>
        <w:t>peripheral vascular disease which has become symptomatic</w:t>
      </w:r>
    </w:p>
    <w:p w14:paraId="63D25AB9" w14:textId="77777777" w:rsidR="00E147F2" w:rsidRPr="00E631B0" w:rsidRDefault="00E147F2" w:rsidP="008600B5">
      <w:pPr>
        <w:numPr>
          <w:ilvl w:val="0"/>
          <w:numId w:val="26"/>
        </w:numPr>
        <w:spacing w:after="120" w:line="240" w:lineRule="auto"/>
        <w:rPr>
          <w:rFonts w:asciiTheme="minorHAnsi" w:hAnsiTheme="minorHAnsi"/>
          <w:sz w:val="20"/>
          <w:szCs w:val="20"/>
        </w:rPr>
      </w:pPr>
      <w:r w:rsidRPr="00E631B0">
        <w:rPr>
          <w:rFonts w:asciiTheme="minorHAnsi" w:hAnsiTheme="minorHAnsi"/>
          <w:sz w:val="20"/>
          <w:szCs w:val="20"/>
        </w:rPr>
        <w:t xml:space="preserve">diabetes mellitus with microalbuminuria (defined as urinary albumin excretion rate of &gt;20mcg/min or urinary albumin to creatinine ratio of &gt; 2.5 for males, &gt; 3.5 for females) </w:t>
      </w:r>
    </w:p>
    <w:p w14:paraId="17EF511D" w14:textId="77777777" w:rsidR="00E147F2" w:rsidRPr="00E631B0" w:rsidRDefault="00E147F2" w:rsidP="008600B5">
      <w:pPr>
        <w:numPr>
          <w:ilvl w:val="0"/>
          <w:numId w:val="26"/>
        </w:numPr>
        <w:spacing w:after="120" w:line="240" w:lineRule="auto"/>
        <w:rPr>
          <w:rFonts w:asciiTheme="minorHAnsi" w:hAnsiTheme="minorHAnsi"/>
          <w:sz w:val="20"/>
          <w:szCs w:val="20"/>
        </w:rPr>
      </w:pPr>
      <w:r w:rsidRPr="00E631B0">
        <w:rPr>
          <w:rFonts w:asciiTheme="minorHAnsi" w:hAnsiTheme="minorHAnsi"/>
          <w:sz w:val="20"/>
          <w:szCs w:val="20"/>
        </w:rPr>
        <w:t>diabetes mellitus in Aboriginal or Torres Strait Islander patients</w:t>
      </w:r>
    </w:p>
    <w:p w14:paraId="53077A35" w14:textId="77777777" w:rsidR="00E147F2" w:rsidRPr="00E631B0" w:rsidRDefault="00E147F2" w:rsidP="008600B5">
      <w:pPr>
        <w:numPr>
          <w:ilvl w:val="0"/>
          <w:numId w:val="26"/>
        </w:numPr>
        <w:spacing w:after="120" w:line="240" w:lineRule="auto"/>
        <w:rPr>
          <w:rFonts w:asciiTheme="minorHAnsi" w:hAnsiTheme="minorHAnsi"/>
          <w:sz w:val="20"/>
          <w:szCs w:val="20"/>
        </w:rPr>
      </w:pPr>
      <w:r w:rsidRPr="00E631B0">
        <w:rPr>
          <w:rFonts w:asciiTheme="minorHAnsi" w:hAnsiTheme="minorHAnsi"/>
          <w:sz w:val="20"/>
          <w:szCs w:val="20"/>
        </w:rPr>
        <w:t>diabetes mellitus in patients aged 60 years or more</w:t>
      </w:r>
    </w:p>
    <w:p w14:paraId="60E837B1" w14:textId="77777777" w:rsidR="00E147F2" w:rsidRPr="00E631B0" w:rsidRDefault="00E147F2" w:rsidP="008600B5">
      <w:pPr>
        <w:numPr>
          <w:ilvl w:val="0"/>
          <w:numId w:val="26"/>
        </w:numPr>
        <w:spacing w:after="120" w:line="240" w:lineRule="auto"/>
        <w:rPr>
          <w:rFonts w:asciiTheme="minorHAnsi" w:hAnsiTheme="minorHAnsi"/>
          <w:sz w:val="20"/>
          <w:szCs w:val="20"/>
        </w:rPr>
      </w:pPr>
      <w:r w:rsidRPr="00E631B0">
        <w:rPr>
          <w:rFonts w:asciiTheme="minorHAnsi" w:hAnsiTheme="minorHAnsi"/>
          <w:sz w:val="20"/>
          <w:szCs w:val="20"/>
        </w:rPr>
        <w:t xml:space="preserve">family history of coronary heart disease which has become symptomatic before the age of 55 years in two or more first degree relatives </w:t>
      </w:r>
    </w:p>
    <w:p w14:paraId="47AD657B" w14:textId="77777777" w:rsidR="00E147F2" w:rsidRPr="00E631B0" w:rsidRDefault="00E147F2" w:rsidP="008600B5">
      <w:pPr>
        <w:numPr>
          <w:ilvl w:val="0"/>
          <w:numId w:val="26"/>
        </w:numPr>
        <w:spacing w:after="120" w:line="240" w:lineRule="auto"/>
        <w:rPr>
          <w:rFonts w:asciiTheme="minorHAnsi" w:hAnsiTheme="minorHAnsi"/>
          <w:sz w:val="20"/>
          <w:szCs w:val="20"/>
        </w:rPr>
      </w:pPr>
      <w:r w:rsidRPr="00E631B0">
        <w:rPr>
          <w:rFonts w:asciiTheme="minorHAnsi" w:hAnsiTheme="minorHAnsi"/>
          <w:sz w:val="20"/>
          <w:szCs w:val="20"/>
        </w:rPr>
        <w:t xml:space="preserve">family history of coronary heart disease which has become symptomatic before the age of 45 years in one or more first degree relatives </w:t>
      </w:r>
    </w:p>
    <w:p w14:paraId="621AF3E7" w14:textId="57FF7BA8" w:rsidR="00E147F2" w:rsidRPr="00E631B0" w:rsidRDefault="004B3EB8" w:rsidP="008600B5">
      <w:pPr>
        <w:numPr>
          <w:ilvl w:val="0"/>
          <w:numId w:val="26"/>
        </w:numPr>
        <w:spacing w:after="120" w:line="240" w:lineRule="auto"/>
        <w:rPr>
          <w:rFonts w:asciiTheme="minorHAnsi" w:hAnsiTheme="minorHAnsi"/>
          <w:sz w:val="20"/>
          <w:szCs w:val="20"/>
        </w:rPr>
      </w:pPr>
      <w:r w:rsidRPr="00E631B0">
        <w:rPr>
          <w:rFonts w:asciiTheme="minorHAnsi" w:hAnsiTheme="minorHAnsi"/>
          <w:sz w:val="20"/>
          <w:szCs w:val="20"/>
        </w:rPr>
        <w:t>h</w:t>
      </w:r>
      <w:r w:rsidR="00E147F2" w:rsidRPr="00E631B0">
        <w:rPr>
          <w:rFonts w:asciiTheme="minorHAnsi" w:hAnsiTheme="minorHAnsi"/>
          <w:sz w:val="20"/>
          <w:szCs w:val="20"/>
        </w:rPr>
        <w:t>eterozygous/</w:t>
      </w:r>
      <w:r w:rsidRPr="00E631B0">
        <w:rPr>
          <w:rFonts w:asciiTheme="minorHAnsi" w:hAnsiTheme="minorHAnsi"/>
          <w:sz w:val="20"/>
          <w:szCs w:val="20"/>
        </w:rPr>
        <w:t>h</w:t>
      </w:r>
      <w:r w:rsidR="00E147F2" w:rsidRPr="00E631B0">
        <w:rPr>
          <w:rFonts w:asciiTheme="minorHAnsi" w:hAnsiTheme="minorHAnsi"/>
          <w:sz w:val="20"/>
          <w:szCs w:val="20"/>
        </w:rPr>
        <w:t>omozygous familial hypercholesterolaemia.</w:t>
      </w:r>
    </w:p>
    <w:p w14:paraId="3F0BC50D" w14:textId="77777777" w:rsidR="00E147F2" w:rsidRPr="00E631B0" w:rsidRDefault="00E147F2" w:rsidP="006258A9">
      <w:pPr>
        <w:spacing w:after="120" w:line="240" w:lineRule="auto"/>
        <w:rPr>
          <w:rFonts w:asciiTheme="minorHAnsi" w:hAnsiTheme="minorHAnsi"/>
          <w:b/>
          <w:sz w:val="20"/>
          <w:szCs w:val="20"/>
        </w:rPr>
      </w:pPr>
      <w:r w:rsidRPr="00E631B0">
        <w:rPr>
          <w:rFonts w:asciiTheme="minorHAnsi" w:hAnsiTheme="minorHAnsi"/>
          <w:b/>
          <w:sz w:val="20"/>
          <w:szCs w:val="20"/>
        </w:rPr>
        <w:t>OR</w:t>
      </w:r>
    </w:p>
    <w:p w14:paraId="41935F49" w14:textId="7399AFC4" w:rsidR="00E147F2" w:rsidRPr="00E631B0" w:rsidRDefault="00E147F2" w:rsidP="008600B5">
      <w:pPr>
        <w:numPr>
          <w:ilvl w:val="0"/>
          <w:numId w:val="25"/>
        </w:numPr>
        <w:spacing w:after="120" w:line="240" w:lineRule="auto"/>
        <w:rPr>
          <w:rFonts w:asciiTheme="minorHAnsi" w:hAnsiTheme="minorHAnsi"/>
          <w:sz w:val="20"/>
          <w:szCs w:val="20"/>
        </w:rPr>
      </w:pPr>
      <w:r w:rsidRPr="00E631B0">
        <w:rPr>
          <w:rFonts w:asciiTheme="minorHAnsi" w:hAnsiTheme="minorHAnsi"/>
          <w:sz w:val="20"/>
          <w:szCs w:val="20"/>
        </w:rPr>
        <w:t>Where a patient’s level of absolute risk of a cardiovascular event is greater than 15% over 5 years as calculated by the Australian Absolute cardiovascular disease risk calculator (National Vascular Disease Prevention Alliance)</w:t>
      </w:r>
      <w:r w:rsidR="004B3EB8" w:rsidRPr="00E631B0">
        <w:rPr>
          <w:rFonts w:asciiTheme="minorHAnsi" w:hAnsiTheme="minorHAnsi"/>
          <w:sz w:val="20"/>
          <w:szCs w:val="20"/>
        </w:rPr>
        <w:t>.</w:t>
      </w:r>
    </w:p>
    <w:p w14:paraId="4DBB4C02" w14:textId="77777777" w:rsidR="00E147F2" w:rsidRPr="00E631B0" w:rsidRDefault="00E147F2">
      <w:pPr>
        <w:spacing w:after="120" w:line="240" w:lineRule="auto"/>
        <w:rPr>
          <w:rFonts w:asciiTheme="minorHAnsi" w:hAnsiTheme="minorHAnsi"/>
          <w:sz w:val="20"/>
          <w:szCs w:val="20"/>
        </w:rPr>
      </w:pPr>
    </w:p>
    <w:p w14:paraId="255FD66C"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 xml:space="preserve">Ezetimibe 10mg </w:t>
      </w:r>
    </w:p>
    <w:p w14:paraId="68B1C413"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Authority Required (Streamlined)</w:t>
      </w:r>
    </w:p>
    <w:p w14:paraId="06BBFAC0"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Hypercholesterolaemia</w:t>
      </w:r>
    </w:p>
    <w:p w14:paraId="748F562A" w14:textId="77777777" w:rsidR="00E147F2" w:rsidRPr="00E631B0" w:rsidRDefault="00E147F2" w:rsidP="006258A9">
      <w:pPr>
        <w:spacing w:after="120" w:line="240" w:lineRule="auto"/>
        <w:jc w:val="left"/>
        <w:rPr>
          <w:rFonts w:asciiTheme="minorHAnsi" w:hAnsiTheme="minorHAnsi"/>
          <w:sz w:val="20"/>
          <w:szCs w:val="20"/>
          <w:u w:val="single"/>
        </w:rPr>
      </w:pPr>
      <w:r w:rsidRPr="00E631B0">
        <w:rPr>
          <w:rFonts w:asciiTheme="minorHAnsi" w:hAnsiTheme="minorHAnsi"/>
          <w:sz w:val="20"/>
          <w:szCs w:val="20"/>
          <w:u w:val="single"/>
        </w:rPr>
        <w:t>Clinical criteria</w:t>
      </w:r>
    </w:p>
    <w:p w14:paraId="28B240B7" w14:textId="102CD46C" w:rsidR="00C25420" w:rsidRPr="00E631B0" w:rsidRDefault="00E147F2" w:rsidP="006258A9">
      <w:pPr>
        <w:numPr>
          <w:ilvl w:val="1"/>
          <w:numId w:val="15"/>
        </w:numPr>
        <w:spacing w:after="0" w:line="240" w:lineRule="auto"/>
        <w:ind w:left="426" w:hanging="426"/>
        <w:jc w:val="left"/>
        <w:rPr>
          <w:rFonts w:asciiTheme="minorHAnsi" w:hAnsiTheme="minorHAnsi"/>
          <w:sz w:val="20"/>
          <w:szCs w:val="20"/>
        </w:rPr>
      </w:pPr>
      <w:r w:rsidRPr="00E631B0">
        <w:rPr>
          <w:rFonts w:asciiTheme="minorHAnsi" w:hAnsiTheme="minorHAnsi"/>
          <w:sz w:val="20"/>
          <w:szCs w:val="20"/>
        </w:rPr>
        <w:t>Patient must have developed a clinically important product-related adverse event during treatment with an HMG CoA reductase inhibitor (statin) necessitating a reduction in statin dose. The type and severity of the adverse event must be documented in the patient’s medical records</w:t>
      </w:r>
      <w:r w:rsidR="00C25420" w:rsidRPr="00E631B0">
        <w:rPr>
          <w:rFonts w:asciiTheme="minorHAnsi" w:hAnsiTheme="minorHAnsi"/>
          <w:sz w:val="20"/>
          <w:szCs w:val="20"/>
        </w:rPr>
        <w:t xml:space="preserve"> </w:t>
      </w:r>
      <w:r w:rsidR="00C25420" w:rsidRPr="00E631B0">
        <w:rPr>
          <w:rFonts w:asciiTheme="minorHAnsi" w:hAnsiTheme="minorHAnsi"/>
          <w:b/>
          <w:sz w:val="20"/>
          <w:szCs w:val="20"/>
        </w:rPr>
        <w:t>OR</w:t>
      </w:r>
    </w:p>
    <w:p w14:paraId="39E96EDC" w14:textId="08D53156" w:rsidR="00E147F2" w:rsidRPr="00E631B0" w:rsidRDefault="00C25420" w:rsidP="006258A9">
      <w:pPr>
        <w:numPr>
          <w:ilvl w:val="1"/>
          <w:numId w:val="15"/>
        </w:numPr>
        <w:spacing w:after="0" w:line="240" w:lineRule="auto"/>
        <w:ind w:left="426" w:hanging="426"/>
        <w:jc w:val="left"/>
        <w:rPr>
          <w:rFonts w:asciiTheme="minorHAnsi" w:hAnsiTheme="minorHAnsi"/>
          <w:sz w:val="20"/>
          <w:szCs w:val="20"/>
        </w:rPr>
      </w:pPr>
      <w:r w:rsidRPr="00E631B0">
        <w:rPr>
          <w:rFonts w:asciiTheme="minorHAnsi" w:hAnsiTheme="minorHAnsi"/>
          <w:sz w:val="20"/>
          <w:szCs w:val="20"/>
        </w:rPr>
        <w:t>Patient must have developed a clinically important product-related adverse event during treatment with an HMG CoA reductase inhibitor (statin) necessitating a withdrawal of the statin treatment</w:t>
      </w:r>
      <w:r w:rsidR="00040F4C" w:rsidRPr="00E631B0">
        <w:rPr>
          <w:rFonts w:asciiTheme="minorHAnsi" w:hAnsiTheme="minorHAnsi"/>
          <w:sz w:val="20"/>
          <w:szCs w:val="20"/>
        </w:rPr>
        <w:t xml:space="preserve">. </w:t>
      </w:r>
      <w:r w:rsidRPr="00E631B0">
        <w:rPr>
          <w:rFonts w:asciiTheme="minorHAnsi" w:hAnsiTheme="minorHAnsi"/>
          <w:sz w:val="20"/>
          <w:szCs w:val="20"/>
        </w:rPr>
        <w:t>The type and severity of the adverse event must be documented in the patient’s medical records</w:t>
      </w:r>
    </w:p>
    <w:p w14:paraId="4B4ED373"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AND</w:t>
      </w:r>
    </w:p>
    <w:p w14:paraId="2A12C157" w14:textId="77777777" w:rsidR="00E147F2" w:rsidRPr="00E631B0" w:rsidRDefault="00E147F2" w:rsidP="008600B5">
      <w:pPr>
        <w:numPr>
          <w:ilvl w:val="0"/>
          <w:numId w:val="25"/>
        </w:numPr>
        <w:spacing w:after="120" w:line="240" w:lineRule="auto"/>
        <w:jc w:val="left"/>
        <w:rPr>
          <w:rFonts w:asciiTheme="minorHAnsi" w:hAnsiTheme="minorHAnsi"/>
          <w:sz w:val="20"/>
          <w:szCs w:val="20"/>
        </w:rPr>
      </w:pPr>
      <w:r w:rsidRPr="00E631B0">
        <w:rPr>
          <w:rFonts w:asciiTheme="minorHAnsi" w:hAnsiTheme="minorHAnsi"/>
          <w:sz w:val="20"/>
          <w:szCs w:val="20"/>
        </w:rPr>
        <w:t xml:space="preserve">Patient falls into a very high risk category described as: </w:t>
      </w:r>
    </w:p>
    <w:p w14:paraId="2C8FE2ED" w14:textId="77777777" w:rsidR="00E147F2" w:rsidRPr="00E631B0" w:rsidRDefault="00E147F2" w:rsidP="008600B5">
      <w:pPr>
        <w:numPr>
          <w:ilvl w:val="0"/>
          <w:numId w:val="41"/>
        </w:numPr>
        <w:spacing w:after="120" w:line="240" w:lineRule="auto"/>
        <w:jc w:val="left"/>
        <w:rPr>
          <w:rFonts w:asciiTheme="minorHAnsi" w:hAnsiTheme="minorHAnsi"/>
          <w:sz w:val="20"/>
          <w:szCs w:val="20"/>
        </w:rPr>
      </w:pPr>
      <w:r w:rsidRPr="00E631B0">
        <w:rPr>
          <w:rFonts w:asciiTheme="minorHAnsi" w:hAnsiTheme="minorHAnsi"/>
          <w:sz w:val="20"/>
          <w:szCs w:val="20"/>
        </w:rPr>
        <w:t>coronary heart disease which has become symptomatic</w:t>
      </w:r>
    </w:p>
    <w:p w14:paraId="27015A0B" w14:textId="77777777" w:rsidR="00E147F2" w:rsidRPr="00E631B0" w:rsidRDefault="00E147F2" w:rsidP="008600B5">
      <w:pPr>
        <w:numPr>
          <w:ilvl w:val="0"/>
          <w:numId w:val="41"/>
        </w:numPr>
        <w:spacing w:after="120" w:line="240" w:lineRule="auto"/>
        <w:jc w:val="left"/>
        <w:rPr>
          <w:rFonts w:asciiTheme="minorHAnsi" w:hAnsiTheme="minorHAnsi"/>
          <w:sz w:val="20"/>
          <w:szCs w:val="20"/>
        </w:rPr>
      </w:pPr>
      <w:r w:rsidRPr="00E631B0">
        <w:rPr>
          <w:rFonts w:asciiTheme="minorHAnsi" w:hAnsiTheme="minorHAnsi"/>
          <w:sz w:val="20"/>
          <w:szCs w:val="20"/>
        </w:rPr>
        <w:t>cerebrovascular disease which has become symptomatic</w:t>
      </w:r>
    </w:p>
    <w:p w14:paraId="79E81775" w14:textId="77777777" w:rsidR="00E147F2" w:rsidRPr="00E631B0" w:rsidRDefault="00E147F2" w:rsidP="008600B5">
      <w:pPr>
        <w:numPr>
          <w:ilvl w:val="0"/>
          <w:numId w:val="41"/>
        </w:numPr>
        <w:spacing w:after="120" w:line="240" w:lineRule="auto"/>
        <w:jc w:val="left"/>
        <w:rPr>
          <w:rFonts w:asciiTheme="minorHAnsi" w:hAnsiTheme="minorHAnsi"/>
          <w:sz w:val="20"/>
          <w:szCs w:val="20"/>
        </w:rPr>
      </w:pPr>
      <w:r w:rsidRPr="00E631B0">
        <w:rPr>
          <w:rFonts w:asciiTheme="minorHAnsi" w:hAnsiTheme="minorHAnsi"/>
          <w:sz w:val="20"/>
          <w:szCs w:val="20"/>
        </w:rPr>
        <w:t>peripheral vascular disease which has become symptomatic</w:t>
      </w:r>
    </w:p>
    <w:p w14:paraId="57D8DDF0" w14:textId="77777777" w:rsidR="00E147F2" w:rsidRPr="00E631B0" w:rsidRDefault="00E147F2" w:rsidP="008600B5">
      <w:pPr>
        <w:numPr>
          <w:ilvl w:val="0"/>
          <w:numId w:val="41"/>
        </w:numPr>
        <w:spacing w:after="120" w:line="240" w:lineRule="auto"/>
        <w:jc w:val="left"/>
        <w:rPr>
          <w:rFonts w:asciiTheme="minorHAnsi" w:hAnsiTheme="minorHAnsi"/>
          <w:sz w:val="20"/>
          <w:szCs w:val="20"/>
        </w:rPr>
      </w:pPr>
      <w:r w:rsidRPr="00E631B0">
        <w:rPr>
          <w:rFonts w:asciiTheme="minorHAnsi" w:hAnsiTheme="minorHAnsi"/>
          <w:sz w:val="20"/>
          <w:szCs w:val="20"/>
        </w:rPr>
        <w:lastRenderedPageBreak/>
        <w:t xml:space="preserve">diabetes mellitus with microalbuminuria (defined as urinary albumin excretion rate of &gt;20mcg/min or urinary albumin to creatinine ratio of &gt; 2.5 for males, &gt; 3.5 for females) </w:t>
      </w:r>
    </w:p>
    <w:p w14:paraId="35C71263" w14:textId="77777777" w:rsidR="00E147F2" w:rsidRPr="00E631B0" w:rsidRDefault="00E147F2" w:rsidP="008600B5">
      <w:pPr>
        <w:numPr>
          <w:ilvl w:val="0"/>
          <w:numId w:val="41"/>
        </w:numPr>
        <w:spacing w:after="120" w:line="240" w:lineRule="auto"/>
        <w:jc w:val="left"/>
        <w:rPr>
          <w:rFonts w:asciiTheme="minorHAnsi" w:hAnsiTheme="minorHAnsi"/>
          <w:sz w:val="20"/>
          <w:szCs w:val="20"/>
        </w:rPr>
      </w:pPr>
      <w:r w:rsidRPr="00E631B0">
        <w:rPr>
          <w:rFonts w:asciiTheme="minorHAnsi" w:hAnsiTheme="minorHAnsi"/>
          <w:sz w:val="20"/>
          <w:szCs w:val="20"/>
        </w:rPr>
        <w:t>diabetes mellitus in Aboriginal or Torres Strait Islander patients</w:t>
      </w:r>
    </w:p>
    <w:p w14:paraId="31191D68" w14:textId="77777777" w:rsidR="00E147F2" w:rsidRPr="00E631B0" w:rsidRDefault="00E147F2" w:rsidP="008600B5">
      <w:pPr>
        <w:numPr>
          <w:ilvl w:val="0"/>
          <w:numId w:val="41"/>
        </w:numPr>
        <w:spacing w:after="120" w:line="240" w:lineRule="auto"/>
        <w:jc w:val="left"/>
        <w:rPr>
          <w:rFonts w:asciiTheme="minorHAnsi" w:hAnsiTheme="minorHAnsi"/>
          <w:sz w:val="20"/>
          <w:szCs w:val="20"/>
        </w:rPr>
      </w:pPr>
      <w:r w:rsidRPr="00E631B0">
        <w:rPr>
          <w:rFonts w:asciiTheme="minorHAnsi" w:hAnsiTheme="minorHAnsi"/>
          <w:sz w:val="20"/>
          <w:szCs w:val="20"/>
        </w:rPr>
        <w:t>diabetes mellitus in patients aged 60 years or more</w:t>
      </w:r>
    </w:p>
    <w:p w14:paraId="2B89F686" w14:textId="77777777" w:rsidR="00E147F2" w:rsidRPr="00E631B0" w:rsidRDefault="00E147F2" w:rsidP="008600B5">
      <w:pPr>
        <w:numPr>
          <w:ilvl w:val="0"/>
          <w:numId w:val="41"/>
        </w:numPr>
        <w:spacing w:after="120" w:line="240" w:lineRule="auto"/>
        <w:jc w:val="left"/>
        <w:rPr>
          <w:rFonts w:asciiTheme="minorHAnsi" w:hAnsiTheme="minorHAnsi"/>
          <w:sz w:val="20"/>
          <w:szCs w:val="20"/>
        </w:rPr>
      </w:pPr>
      <w:r w:rsidRPr="00E631B0">
        <w:rPr>
          <w:rFonts w:asciiTheme="minorHAnsi" w:hAnsiTheme="minorHAnsi"/>
          <w:sz w:val="20"/>
          <w:szCs w:val="20"/>
        </w:rPr>
        <w:t xml:space="preserve">family history of coronary heart disease which has become symptomatic before the age of 55 years in two or more first degree relatives </w:t>
      </w:r>
    </w:p>
    <w:p w14:paraId="66C3410D" w14:textId="77777777" w:rsidR="00E147F2" w:rsidRPr="00E631B0" w:rsidRDefault="00E147F2" w:rsidP="008600B5">
      <w:pPr>
        <w:numPr>
          <w:ilvl w:val="0"/>
          <w:numId w:val="41"/>
        </w:numPr>
        <w:spacing w:after="120" w:line="240" w:lineRule="auto"/>
        <w:jc w:val="left"/>
        <w:rPr>
          <w:rFonts w:asciiTheme="minorHAnsi" w:hAnsiTheme="minorHAnsi"/>
          <w:sz w:val="20"/>
          <w:szCs w:val="20"/>
        </w:rPr>
      </w:pPr>
      <w:r w:rsidRPr="00E631B0">
        <w:rPr>
          <w:rFonts w:asciiTheme="minorHAnsi" w:hAnsiTheme="minorHAnsi"/>
          <w:sz w:val="20"/>
          <w:szCs w:val="20"/>
        </w:rPr>
        <w:t xml:space="preserve">family history of coronary heart disease which has become symptomatic before the age of 45 years in one or more first degree relatives </w:t>
      </w:r>
    </w:p>
    <w:p w14:paraId="6BA38FC6" w14:textId="19798478" w:rsidR="00E147F2" w:rsidRPr="00E631B0" w:rsidRDefault="004B3EB8" w:rsidP="008600B5">
      <w:pPr>
        <w:numPr>
          <w:ilvl w:val="0"/>
          <w:numId w:val="41"/>
        </w:numPr>
        <w:spacing w:after="120" w:line="240" w:lineRule="auto"/>
        <w:jc w:val="left"/>
        <w:rPr>
          <w:rFonts w:asciiTheme="minorHAnsi" w:hAnsiTheme="minorHAnsi"/>
          <w:sz w:val="20"/>
          <w:szCs w:val="20"/>
        </w:rPr>
      </w:pPr>
      <w:r w:rsidRPr="00E631B0">
        <w:rPr>
          <w:rFonts w:asciiTheme="minorHAnsi" w:hAnsiTheme="minorHAnsi"/>
          <w:sz w:val="20"/>
          <w:szCs w:val="20"/>
        </w:rPr>
        <w:t>h</w:t>
      </w:r>
      <w:r w:rsidR="00E147F2" w:rsidRPr="00E631B0">
        <w:rPr>
          <w:rFonts w:asciiTheme="minorHAnsi" w:hAnsiTheme="minorHAnsi"/>
          <w:sz w:val="20"/>
          <w:szCs w:val="20"/>
        </w:rPr>
        <w:t>eterozygous/</w:t>
      </w:r>
      <w:r w:rsidRPr="00E631B0">
        <w:rPr>
          <w:rFonts w:asciiTheme="minorHAnsi" w:hAnsiTheme="minorHAnsi"/>
          <w:sz w:val="20"/>
          <w:szCs w:val="20"/>
        </w:rPr>
        <w:t>h</w:t>
      </w:r>
      <w:r w:rsidR="00E147F2" w:rsidRPr="00E631B0">
        <w:rPr>
          <w:rFonts w:asciiTheme="minorHAnsi" w:hAnsiTheme="minorHAnsi"/>
          <w:sz w:val="20"/>
          <w:szCs w:val="20"/>
        </w:rPr>
        <w:t>omozygous familial hypercholesterolaemia.</w:t>
      </w:r>
    </w:p>
    <w:p w14:paraId="7CCF8906"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OR</w:t>
      </w:r>
    </w:p>
    <w:p w14:paraId="40C8B32D" w14:textId="77777777" w:rsidR="00E147F2" w:rsidRPr="00E631B0" w:rsidRDefault="00E147F2" w:rsidP="008600B5">
      <w:pPr>
        <w:numPr>
          <w:ilvl w:val="0"/>
          <w:numId w:val="25"/>
        </w:numPr>
        <w:spacing w:after="120" w:line="240" w:lineRule="auto"/>
        <w:jc w:val="left"/>
        <w:rPr>
          <w:rFonts w:asciiTheme="minorHAnsi" w:hAnsiTheme="minorHAnsi"/>
          <w:sz w:val="20"/>
          <w:szCs w:val="20"/>
        </w:rPr>
      </w:pPr>
      <w:r w:rsidRPr="00E631B0">
        <w:rPr>
          <w:rFonts w:asciiTheme="minorHAnsi" w:hAnsiTheme="minorHAnsi"/>
          <w:sz w:val="20"/>
          <w:szCs w:val="20"/>
        </w:rPr>
        <w:t>Where a patient’s level of absolute risk of a cardiovascular event is greater than 15% over 5 years as calculated by the Australian Absolute cardiovascular disease risk calculator (National Vascular Disease Prevention Alliance)</w:t>
      </w:r>
    </w:p>
    <w:p w14:paraId="6E8E92E5" w14:textId="77777777" w:rsidR="00E147F2" w:rsidRPr="00E631B0" w:rsidRDefault="00E147F2" w:rsidP="006258A9">
      <w:pPr>
        <w:spacing w:after="120" w:line="240" w:lineRule="auto"/>
        <w:jc w:val="left"/>
        <w:rPr>
          <w:rFonts w:asciiTheme="minorHAnsi" w:hAnsiTheme="minorHAnsi"/>
          <w:sz w:val="20"/>
          <w:szCs w:val="20"/>
        </w:rPr>
      </w:pPr>
      <w:r w:rsidRPr="00E631B0">
        <w:rPr>
          <w:rFonts w:asciiTheme="minorHAnsi" w:hAnsiTheme="minorHAnsi"/>
          <w:sz w:val="20"/>
          <w:szCs w:val="20"/>
        </w:rPr>
        <w:t xml:space="preserve">A clinically important product-related adverse event is defined as follows: </w:t>
      </w:r>
    </w:p>
    <w:p w14:paraId="6EA65B51" w14:textId="3BBD026B" w:rsidR="00E147F2" w:rsidRPr="00E631B0" w:rsidRDefault="00E147F2" w:rsidP="008600B5">
      <w:pPr>
        <w:pStyle w:val="ListParagraph"/>
        <w:numPr>
          <w:ilvl w:val="0"/>
          <w:numId w:val="47"/>
        </w:numPr>
        <w:spacing w:after="120" w:line="240" w:lineRule="auto"/>
        <w:jc w:val="left"/>
        <w:rPr>
          <w:rFonts w:asciiTheme="minorHAnsi" w:hAnsiTheme="minorHAnsi"/>
          <w:sz w:val="20"/>
          <w:szCs w:val="20"/>
        </w:rPr>
      </w:pPr>
      <w:r w:rsidRPr="00E631B0">
        <w:rPr>
          <w:rFonts w:asciiTheme="minorHAnsi" w:hAnsiTheme="minorHAnsi"/>
          <w:sz w:val="20"/>
          <w:szCs w:val="20"/>
        </w:rPr>
        <w:t xml:space="preserve">Severe myalgia (muscle symptoms without creatine kinase elevation) which is proven to be temporally associated with statin treatment; or </w:t>
      </w:r>
    </w:p>
    <w:p w14:paraId="7F0A237D" w14:textId="5D129045" w:rsidR="00E147F2" w:rsidRPr="00E631B0" w:rsidRDefault="00E147F2" w:rsidP="008600B5">
      <w:pPr>
        <w:pStyle w:val="ListParagraph"/>
        <w:numPr>
          <w:ilvl w:val="0"/>
          <w:numId w:val="47"/>
        </w:numPr>
        <w:spacing w:after="120" w:line="240" w:lineRule="auto"/>
        <w:jc w:val="left"/>
        <w:rPr>
          <w:rFonts w:asciiTheme="minorHAnsi" w:hAnsiTheme="minorHAnsi"/>
          <w:sz w:val="20"/>
          <w:szCs w:val="20"/>
        </w:rPr>
      </w:pPr>
      <w:r w:rsidRPr="00E631B0">
        <w:rPr>
          <w:rFonts w:asciiTheme="minorHAnsi" w:hAnsiTheme="minorHAnsi"/>
          <w:sz w:val="20"/>
          <w:szCs w:val="20"/>
        </w:rPr>
        <w:t xml:space="preserve">Myositis (clinically important creatine kinase elevation, with or without muscle symptoms) demonstrated by results twice the upper limit of normal on a single reading or a rising pattern on consecutive measurements and which is unexplained by other causes; or </w:t>
      </w:r>
    </w:p>
    <w:p w14:paraId="4300765C" w14:textId="2C359942" w:rsidR="00E147F2" w:rsidRPr="00E631B0" w:rsidRDefault="00E147F2" w:rsidP="008600B5">
      <w:pPr>
        <w:pStyle w:val="ListParagraph"/>
        <w:numPr>
          <w:ilvl w:val="0"/>
          <w:numId w:val="47"/>
        </w:numPr>
        <w:spacing w:after="120" w:line="240" w:lineRule="auto"/>
        <w:jc w:val="left"/>
        <w:rPr>
          <w:rFonts w:asciiTheme="minorHAnsi" w:hAnsiTheme="minorHAnsi"/>
          <w:sz w:val="20"/>
          <w:szCs w:val="20"/>
        </w:rPr>
      </w:pPr>
      <w:r w:rsidRPr="00E631B0">
        <w:rPr>
          <w:rFonts w:asciiTheme="minorHAnsi" w:hAnsiTheme="minorHAnsi"/>
          <w:sz w:val="20"/>
          <w:szCs w:val="20"/>
        </w:rPr>
        <w:t xml:space="preserve">Unexplained, persistent elevations of serum transaminases (greater than 3 times the upper limit of normal) during treatment with a statin. </w:t>
      </w:r>
    </w:p>
    <w:p w14:paraId="03C97C52" w14:textId="77777777" w:rsidR="00E147F2" w:rsidRPr="00E631B0" w:rsidRDefault="00E147F2" w:rsidP="006258A9">
      <w:pPr>
        <w:spacing w:after="120" w:line="240" w:lineRule="auto"/>
        <w:jc w:val="left"/>
        <w:rPr>
          <w:rFonts w:asciiTheme="minorHAnsi" w:hAnsiTheme="minorHAnsi"/>
          <w:sz w:val="20"/>
          <w:szCs w:val="20"/>
        </w:rPr>
      </w:pPr>
    </w:p>
    <w:p w14:paraId="63B3018C" w14:textId="407E797F"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 xml:space="preserve">Ezetimibe 10mg </w:t>
      </w:r>
    </w:p>
    <w:p w14:paraId="654F34B2"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Authority Required (Streamlined)</w:t>
      </w:r>
    </w:p>
    <w:p w14:paraId="2AA56C87"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Hypercholesterolaemia</w:t>
      </w:r>
    </w:p>
    <w:p w14:paraId="2741450C" w14:textId="77777777" w:rsidR="00E147F2" w:rsidRPr="00E631B0" w:rsidRDefault="00E147F2" w:rsidP="006258A9">
      <w:pPr>
        <w:spacing w:after="120" w:line="240" w:lineRule="auto"/>
        <w:jc w:val="left"/>
        <w:rPr>
          <w:rFonts w:asciiTheme="minorHAnsi" w:hAnsiTheme="minorHAnsi"/>
          <w:sz w:val="20"/>
          <w:szCs w:val="20"/>
          <w:u w:val="single"/>
        </w:rPr>
      </w:pPr>
      <w:r w:rsidRPr="00E631B0">
        <w:rPr>
          <w:rFonts w:asciiTheme="minorHAnsi" w:hAnsiTheme="minorHAnsi"/>
          <w:sz w:val="20"/>
          <w:szCs w:val="20"/>
          <w:u w:val="single"/>
        </w:rPr>
        <w:t>Clinical Criteria</w:t>
      </w:r>
    </w:p>
    <w:p w14:paraId="0E029436" w14:textId="77777777" w:rsidR="00E147F2" w:rsidRPr="00E631B0" w:rsidRDefault="00E147F2" w:rsidP="008600B5">
      <w:pPr>
        <w:numPr>
          <w:ilvl w:val="1"/>
          <w:numId w:val="40"/>
        </w:numPr>
        <w:spacing w:after="120" w:line="240" w:lineRule="auto"/>
        <w:ind w:left="284" w:hanging="284"/>
        <w:jc w:val="left"/>
        <w:rPr>
          <w:rFonts w:asciiTheme="minorHAnsi" w:hAnsiTheme="minorHAnsi"/>
          <w:sz w:val="20"/>
          <w:szCs w:val="20"/>
        </w:rPr>
      </w:pPr>
      <w:r w:rsidRPr="00E631B0">
        <w:rPr>
          <w:rFonts w:asciiTheme="minorHAnsi" w:hAnsiTheme="minorHAnsi"/>
          <w:sz w:val="20"/>
          <w:szCs w:val="20"/>
        </w:rPr>
        <w:t>Homozygous sitosterolaemia.</w:t>
      </w:r>
    </w:p>
    <w:p w14:paraId="13FC8D99" w14:textId="77777777" w:rsidR="00E147F2" w:rsidRPr="00E631B0" w:rsidRDefault="00E147F2" w:rsidP="006258A9">
      <w:pPr>
        <w:spacing w:after="120" w:line="240" w:lineRule="auto"/>
        <w:jc w:val="left"/>
        <w:rPr>
          <w:rFonts w:asciiTheme="minorHAnsi" w:hAnsiTheme="minorHAnsi"/>
          <w:sz w:val="20"/>
          <w:szCs w:val="20"/>
        </w:rPr>
      </w:pPr>
    </w:p>
    <w:p w14:paraId="5AD0DFFA" w14:textId="7A114F06"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Ezetimibe in combination with statin</w:t>
      </w:r>
    </w:p>
    <w:p w14:paraId="1A2D58E8"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Authority Required (Streamlined)</w:t>
      </w:r>
    </w:p>
    <w:p w14:paraId="58B88303"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Hypercholesterolaemia</w:t>
      </w:r>
    </w:p>
    <w:p w14:paraId="3986F5EA" w14:textId="77777777" w:rsidR="00E147F2" w:rsidRPr="00E631B0" w:rsidRDefault="00E147F2" w:rsidP="006258A9">
      <w:pPr>
        <w:spacing w:after="120" w:line="240" w:lineRule="auto"/>
        <w:jc w:val="left"/>
        <w:rPr>
          <w:rFonts w:asciiTheme="minorHAnsi" w:hAnsiTheme="minorHAnsi"/>
          <w:sz w:val="20"/>
          <w:szCs w:val="20"/>
          <w:u w:val="single"/>
        </w:rPr>
      </w:pPr>
      <w:r w:rsidRPr="00E631B0">
        <w:rPr>
          <w:rFonts w:asciiTheme="minorHAnsi" w:hAnsiTheme="minorHAnsi"/>
          <w:sz w:val="20"/>
          <w:szCs w:val="20"/>
          <w:u w:val="single"/>
        </w:rPr>
        <w:t>Clinical Criteria</w:t>
      </w:r>
    </w:p>
    <w:p w14:paraId="0994D419" w14:textId="77777777" w:rsidR="00E147F2" w:rsidRPr="00E631B0" w:rsidRDefault="00E147F2" w:rsidP="008600B5">
      <w:pPr>
        <w:numPr>
          <w:ilvl w:val="0"/>
          <w:numId w:val="25"/>
        </w:numPr>
        <w:spacing w:after="120" w:line="240" w:lineRule="auto"/>
        <w:jc w:val="left"/>
        <w:rPr>
          <w:rFonts w:asciiTheme="minorHAnsi" w:hAnsiTheme="minorHAnsi"/>
          <w:sz w:val="20"/>
          <w:szCs w:val="20"/>
        </w:rPr>
      </w:pPr>
      <w:r w:rsidRPr="00E631B0">
        <w:rPr>
          <w:rFonts w:asciiTheme="minorHAnsi" w:hAnsiTheme="minorHAnsi"/>
          <w:sz w:val="20"/>
          <w:szCs w:val="20"/>
        </w:rPr>
        <w:t>Patient must have cholesterol concentrations that are inadequately controlled with an HMG CoA reductase inhibitor (statin). Inadequate control is a cholesterol concentration in excess of 4mmol per L after at least 3 months of treatment at a maximum tolerated dose of a statin. The dose and duration of statin treatment and the cholesterol concentration which shows inadequate control must be documented in the patient’s medical records when ezetimibe is initiated.</w:t>
      </w:r>
    </w:p>
    <w:p w14:paraId="2D997E80"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AND</w:t>
      </w:r>
    </w:p>
    <w:p w14:paraId="7496CFE9" w14:textId="77777777" w:rsidR="00E147F2" w:rsidRPr="00E631B0" w:rsidRDefault="00E147F2" w:rsidP="008600B5">
      <w:pPr>
        <w:numPr>
          <w:ilvl w:val="0"/>
          <w:numId w:val="25"/>
        </w:numPr>
        <w:spacing w:after="120" w:line="240" w:lineRule="auto"/>
        <w:jc w:val="left"/>
        <w:rPr>
          <w:rFonts w:asciiTheme="minorHAnsi" w:hAnsiTheme="minorHAnsi"/>
          <w:sz w:val="20"/>
          <w:szCs w:val="20"/>
        </w:rPr>
      </w:pPr>
      <w:r w:rsidRPr="00E631B0">
        <w:rPr>
          <w:rFonts w:asciiTheme="minorHAnsi" w:hAnsiTheme="minorHAnsi"/>
          <w:sz w:val="20"/>
          <w:szCs w:val="20"/>
        </w:rPr>
        <w:t xml:space="preserve">Patient falls into at least one of the very high risk categories described as </w:t>
      </w:r>
    </w:p>
    <w:p w14:paraId="58B30E8F" w14:textId="77777777" w:rsidR="00E147F2" w:rsidRPr="00E631B0" w:rsidRDefault="00E147F2" w:rsidP="008600B5">
      <w:pPr>
        <w:numPr>
          <w:ilvl w:val="0"/>
          <w:numId w:val="44"/>
        </w:numPr>
        <w:spacing w:after="120" w:line="240" w:lineRule="auto"/>
        <w:jc w:val="left"/>
        <w:rPr>
          <w:rFonts w:asciiTheme="minorHAnsi" w:hAnsiTheme="minorHAnsi"/>
          <w:sz w:val="20"/>
          <w:szCs w:val="20"/>
        </w:rPr>
      </w:pPr>
      <w:r w:rsidRPr="00E631B0">
        <w:rPr>
          <w:rFonts w:asciiTheme="minorHAnsi" w:hAnsiTheme="minorHAnsi"/>
          <w:sz w:val="20"/>
          <w:szCs w:val="20"/>
        </w:rPr>
        <w:t>coronary heart disease which has become symptomatic</w:t>
      </w:r>
    </w:p>
    <w:p w14:paraId="684279F6" w14:textId="77777777" w:rsidR="00E147F2" w:rsidRPr="00E631B0" w:rsidRDefault="00E147F2" w:rsidP="008600B5">
      <w:pPr>
        <w:numPr>
          <w:ilvl w:val="0"/>
          <w:numId w:val="44"/>
        </w:numPr>
        <w:spacing w:after="120" w:line="240" w:lineRule="auto"/>
        <w:jc w:val="left"/>
        <w:rPr>
          <w:rFonts w:asciiTheme="minorHAnsi" w:hAnsiTheme="minorHAnsi"/>
          <w:sz w:val="20"/>
          <w:szCs w:val="20"/>
        </w:rPr>
      </w:pPr>
      <w:r w:rsidRPr="00E631B0">
        <w:rPr>
          <w:rFonts w:asciiTheme="minorHAnsi" w:hAnsiTheme="minorHAnsi"/>
          <w:sz w:val="20"/>
          <w:szCs w:val="20"/>
        </w:rPr>
        <w:t>cerebrovascular disease which has become symptomatic</w:t>
      </w:r>
    </w:p>
    <w:p w14:paraId="594DAF6D" w14:textId="77777777" w:rsidR="00E147F2" w:rsidRPr="00E631B0" w:rsidRDefault="00E147F2" w:rsidP="008600B5">
      <w:pPr>
        <w:numPr>
          <w:ilvl w:val="0"/>
          <w:numId w:val="44"/>
        </w:numPr>
        <w:spacing w:after="120" w:line="240" w:lineRule="auto"/>
        <w:jc w:val="left"/>
        <w:rPr>
          <w:rFonts w:asciiTheme="minorHAnsi" w:hAnsiTheme="minorHAnsi"/>
          <w:sz w:val="20"/>
          <w:szCs w:val="20"/>
        </w:rPr>
      </w:pPr>
      <w:r w:rsidRPr="00E631B0">
        <w:rPr>
          <w:rFonts w:asciiTheme="minorHAnsi" w:hAnsiTheme="minorHAnsi"/>
          <w:sz w:val="20"/>
          <w:szCs w:val="20"/>
        </w:rPr>
        <w:t>peripheral vascular disease which has become symptomatic</w:t>
      </w:r>
    </w:p>
    <w:p w14:paraId="144FD95E" w14:textId="77777777" w:rsidR="00E147F2" w:rsidRPr="00E631B0" w:rsidRDefault="00E147F2" w:rsidP="008600B5">
      <w:pPr>
        <w:numPr>
          <w:ilvl w:val="0"/>
          <w:numId w:val="44"/>
        </w:numPr>
        <w:spacing w:after="120" w:line="240" w:lineRule="auto"/>
        <w:jc w:val="left"/>
        <w:rPr>
          <w:rFonts w:asciiTheme="minorHAnsi" w:hAnsiTheme="minorHAnsi"/>
          <w:sz w:val="20"/>
          <w:szCs w:val="20"/>
        </w:rPr>
      </w:pPr>
      <w:r w:rsidRPr="00E631B0">
        <w:rPr>
          <w:rFonts w:asciiTheme="minorHAnsi" w:hAnsiTheme="minorHAnsi"/>
          <w:sz w:val="20"/>
          <w:szCs w:val="20"/>
        </w:rPr>
        <w:lastRenderedPageBreak/>
        <w:t xml:space="preserve">diabetes mellitus with microalbuminuria (defined as urinary albumin excretion rate of &gt;20mcg/min or urinary albumin to creatinine ratio of &gt; 2.5 for males, &gt; 3.5 for females) </w:t>
      </w:r>
    </w:p>
    <w:p w14:paraId="5652ACC9" w14:textId="77777777" w:rsidR="00E147F2" w:rsidRPr="00E631B0" w:rsidRDefault="00E147F2" w:rsidP="008600B5">
      <w:pPr>
        <w:numPr>
          <w:ilvl w:val="0"/>
          <w:numId w:val="44"/>
        </w:numPr>
        <w:spacing w:after="120" w:line="240" w:lineRule="auto"/>
        <w:jc w:val="left"/>
        <w:rPr>
          <w:rFonts w:asciiTheme="minorHAnsi" w:hAnsiTheme="minorHAnsi"/>
          <w:sz w:val="20"/>
          <w:szCs w:val="20"/>
        </w:rPr>
      </w:pPr>
      <w:r w:rsidRPr="00E631B0">
        <w:rPr>
          <w:rFonts w:asciiTheme="minorHAnsi" w:hAnsiTheme="minorHAnsi"/>
          <w:sz w:val="20"/>
          <w:szCs w:val="20"/>
        </w:rPr>
        <w:t>diabetes mellitus in Aboriginal or Torres Strait Islander patients</w:t>
      </w:r>
    </w:p>
    <w:p w14:paraId="3CBB795B" w14:textId="77777777" w:rsidR="00E147F2" w:rsidRPr="00E631B0" w:rsidRDefault="00E147F2" w:rsidP="008600B5">
      <w:pPr>
        <w:numPr>
          <w:ilvl w:val="0"/>
          <w:numId w:val="44"/>
        </w:numPr>
        <w:spacing w:after="120" w:line="240" w:lineRule="auto"/>
        <w:jc w:val="left"/>
        <w:rPr>
          <w:rFonts w:asciiTheme="minorHAnsi" w:hAnsiTheme="minorHAnsi"/>
          <w:sz w:val="20"/>
          <w:szCs w:val="20"/>
        </w:rPr>
      </w:pPr>
      <w:r w:rsidRPr="00E631B0">
        <w:rPr>
          <w:rFonts w:asciiTheme="minorHAnsi" w:hAnsiTheme="minorHAnsi"/>
          <w:sz w:val="20"/>
          <w:szCs w:val="20"/>
        </w:rPr>
        <w:t>diabetes mellitus in patients aged 60 years or more</w:t>
      </w:r>
    </w:p>
    <w:p w14:paraId="7F2B65D5" w14:textId="77777777" w:rsidR="00E147F2" w:rsidRPr="00E631B0" w:rsidRDefault="00E147F2" w:rsidP="008600B5">
      <w:pPr>
        <w:numPr>
          <w:ilvl w:val="0"/>
          <w:numId w:val="44"/>
        </w:numPr>
        <w:spacing w:after="120" w:line="240" w:lineRule="auto"/>
        <w:jc w:val="left"/>
        <w:rPr>
          <w:rFonts w:asciiTheme="minorHAnsi" w:hAnsiTheme="minorHAnsi"/>
          <w:sz w:val="20"/>
          <w:szCs w:val="20"/>
        </w:rPr>
      </w:pPr>
      <w:r w:rsidRPr="00E631B0">
        <w:rPr>
          <w:rFonts w:asciiTheme="minorHAnsi" w:hAnsiTheme="minorHAnsi"/>
          <w:sz w:val="20"/>
          <w:szCs w:val="20"/>
        </w:rPr>
        <w:t xml:space="preserve">family history of coronary heart disease which has become symptomatic before the age of 55 years in two or more first degree relatives </w:t>
      </w:r>
    </w:p>
    <w:p w14:paraId="3EEE8B0C" w14:textId="77777777" w:rsidR="00E147F2" w:rsidRPr="00E631B0" w:rsidRDefault="00E147F2" w:rsidP="008600B5">
      <w:pPr>
        <w:numPr>
          <w:ilvl w:val="0"/>
          <w:numId w:val="44"/>
        </w:numPr>
        <w:spacing w:after="120" w:line="240" w:lineRule="auto"/>
        <w:jc w:val="left"/>
        <w:rPr>
          <w:rFonts w:asciiTheme="minorHAnsi" w:hAnsiTheme="minorHAnsi"/>
          <w:sz w:val="20"/>
          <w:szCs w:val="20"/>
        </w:rPr>
      </w:pPr>
      <w:r w:rsidRPr="00E631B0">
        <w:rPr>
          <w:rFonts w:asciiTheme="minorHAnsi" w:hAnsiTheme="minorHAnsi"/>
          <w:sz w:val="20"/>
          <w:szCs w:val="20"/>
        </w:rPr>
        <w:t xml:space="preserve">family history of coronary heart disease which has become symptomatic before the age of 45 years in one or more first degree relatives </w:t>
      </w:r>
    </w:p>
    <w:p w14:paraId="60593023" w14:textId="364AF85E" w:rsidR="00E147F2" w:rsidRPr="00E631B0" w:rsidRDefault="004B3EB8" w:rsidP="008600B5">
      <w:pPr>
        <w:numPr>
          <w:ilvl w:val="0"/>
          <w:numId w:val="44"/>
        </w:numPr>
        <w:spacing w:after="120" w:line="240" w:lineRule="auto"/>
        <w:jc w:val="left"/>
        <w:rPr>
          <w:rFonts w:asciiTheme="minorHAnsi" w:hAnsiTheme="minorHAnsi"/>
          <w:sz w:val="20"/>
          <w:szCs w:val="20"/>
        </w:rPr>
      </w:pPr>
      <w:r w:rsidRPr="00E631B0">
        <w:rPr>
          <w:rFonts w:asciiTheme="minorHAnsi" w:hAnsiTheme="minorHAnsi"/>
          <w:sz w:val="20"/>
          <w:szCs w:val="20"/>
        </w:rPr>
        <w:t>h</w:t>
      </w:r>
      <w:r w:rsidR="00E147F2" w:rsidRPr="00E631B0">
        <w:rPr>
          <w:rFonts w:asciiTheme="minorHAnsi" w:hAnsiTheme="minorHAnsi"/>
          <w:sz w:val="20"/>
          <w:szCs w:val="20"/>
        </w:rPr>
        <w:t>eterozygous/</w:t>
      </w:r>
      <w:r w:rsidRPr="00E631B0">
        <w:rPr>
          <w:rFonts w:asciiTheme="minorHAnsi" w:hAnsiTheme="minorHAnsi"/>
          <w:sz w:val="20"/>
          <w:szCs w:val="20"/>
        </w:rPr>
        <w:t>h</w:t>
      </w:r>
      <w:r w:rsidR="00E147F2" w:rsidRPr="00E631B0">
        <w:rPr>
          <w:rFonts w:asciiTheme="minorHAnsi" w:hAnsiTheme="minorHAnsi"/>
          <w:sz w:val="20"/>
          <w:szCs w:val="20"/>
        </w:rPr>
        <w:t>omozygous familial hypercholesterolaemia.</w:t>
      </w:r>
    </w:p>
    <w:p w14:paraId="58989451"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OR</w:t>
      </w:r>
    </w:p>
    <w:p w14:paraId="707ECCF3" w14:textId="77777777" w:rsidR="00E147F2" w:rsidRPr="00E631B0" w:rsidRDefault="00E147F2" w:rsidP="008600B5">
      <w:pPr>
        <w:numPr>
          <w:ilvl w:val="0"/>
          <w:numId w:val="25"/>
        </w:numPr>
        <w:spacing w:after="120" w:line="240" w:lineRule="auto"/>
        <w:jc w:val="left"/>
        <w:rPr>
          <w:rFonts w:asciiTheme="minorHAnsi" w:hAnsiTheme="minorHAnsi"/>
          <w:sz w:val="20"/>
          <w:szCs w:val="20"/>
        </w:rPr>
      </w:pPr>
      <w:r w:rsidRPr="00E631B0">
        <w:rPr>
          <w:rFonts w:asciiTheme="minorHAnsi" w:hAnsiTheme="minorHAnsi"/>
          <w:sz w:val="20"/>
          <w:szCs w:val="20"/>
        </w:rPr>
        <w:t>Where a patient’s level of absolute risk of a cardiovascular event is greater than 15% over 5 years as calculated by the Australian Absolute cardiovascular disease risk calculator (National Vascular Disease Prevention Alliance)</w:t>
      </w:r>
    </w:p>
    <w:p w14:paraId="4B898B33" w14:textId="05119C62" w:rsidR="00E147F2" w:rsidRPr="00E631B0" w:rsidRDefault="00E147F2" w:rsidP="006258A9">
      <w:pPr>
        <w:spacing w:after="120" w:line="240" w:lineRule="auto"/>
        <w:jc w:val="left"/>
        <w:rPr>
          <w:rFonts w:asciiTheme="minorHAnsi" w:hAnsiTheme="minorHAnsi"/>
          <w:sz w:val="20"/>
          <w:szCs w:val="20"/>
        </w:rPr>
      </w:pPr>
    </w:p>
    <w:p w14:paraId="76AE0634" w14:textId="2F29CA5F"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Ezetimibe in combination with statin</w:t>
      </w:r>
    </w:p>
    <w:p w14:paraId="0D310190" w14:textId="71457D4B"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Authority Required (Streamlined)</w:t>
      </w:r>
    </w:p>
    <w:p w14:paraId="2C15B0C7"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Hypercholesterolaemia</w:t>
      </w:r>
    </w:p>
    <w:p w14:paraId="572B965D" w14:textId="77777777" w:rsidR="00E147F2" w:rsidRPr="00E631B0" w:rsidRDefault="00E147F2" w:rsidP="006258A9">
      <w:pPr>
        <w:spacing w:after="120" w:line="240" w:lineRule="auto"/>
        <w:jc w:val="left"/>
        <w:rPr>
          <w:rFonts w:asciiTheme="minorHAnsi" w:hAnsiTheme="minorHAnsi"/>
          <w:sz w:val="20"/>
          <w:szCs w:val="20"/>
          <w:u w:val="single"/>
        </w:rPr>
      </w:pPr>
      <w:r w:rsidRPr="00E631B0">
        <w:rPr>
          <w:rFonts w:asciiTheme="minorHAnsi" w:hAnsiTheme="minorHAnsi"/>
          <w:sz w:val="20"/>
          <w:szCs w:val="20"/>
          <w:u w:val="single"/>
        </w:rPr>
        <w:t>Clinical criteria</w:t>
      </w:r>
    </w:p>
    <w:p w14:paraId="3E343FFB" w14:textId="77777777" w:rsidR="00E147F2" w:rsidRPr="00E631B0" w:rsidRDefault="00E147F2" w:rsidP="006258A9">
      <w:pPr>
        <w:numPr>
          <w:ilvl w:val="1"/>
          <w:numId w:val="15"/>
        </w:numPr>
        <w:spacing w:after="120" w:line="240" w:lineRule="auto"/>
        <w:ind w:left="426" w:hanging="426"/>
        <w:jc w:val="left"/>
        <w:rPr>
          <w:rFonts w:asciiTheme="minorHAnsi" w:hAnsiTheme="minorHAnsi"/>
          <w:sz w:val="20"/>
          <w:szCs w:val="20"/>
        </w:rPr>
      </w:pPr>
      <w:r w:rsidRPr="00E631B0">
        <w:rPr>
          <w:rFonts w:asciiTheme="minorHAnsi" w:hAnsiTheme="minorHAnsi"/>
          <w:sz w:val="20"/>
          <w:szCs w:val="20"/>
        </w:rPr>
        <w:t xml:space="preserve">Patient must have developed a clinically important product-related adverse event during treatment with an HMG CoA reductase inhibitor (statin) necessitating a reduction in statin dose. The type and severity of the adverse event must be documented in the patient’s medical records. </w:t>
      </w:r>
    </w:p>
    <w:p w14:paraId="758763FC"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AND</w:t>
      </w:r>
    </w:p>
    <w:p w14:paraId="6613B8A6" w14:textId="77777777" w:rsidR="00E147F2" w:rsidRPr="00E631B0" w:rsidRDefault="00E147F2" w:rsidP="008600B5">
      <w:pPr>
        <w:numPr>
          <w:ilvl w:val="0"/>
          <w:numId w:val="25"/>
        </w:numPr>
        <w:spacing w:after="120" w:line="240" w:lineRule="auto"/>
        <w:jc w:val="left"/>
        <w:rPr>
          <w:rFonts w:asciiTheme="minorHAnsi" w:hAnsiTheme="minorHAnsi"/>
          <w:sz w:val="20"/>
          <w:szCs w:val="20"/>
        </w:rPr>
      </w:pPr>
      <w:r w:rsidRPr="00E631B0">
        <w:rPr>
          <w:rFonts w:asciiTheme="minorHAnsi" w:hAnsiTheme="minorHAnsi"/>
          <w:sz w:val="20"/>
          <w:szCs w:val="20"/>
        </w:rPr>
        <w:t xml:space="preserve">Patient falls into a very high risk category described as </w:t>
      </w:r>
    </w:p>
    <w:p w14:paraId="1D9FAD1F" w14:textId="77777777" w:rsidR="00E147F2" w:rsidRPr="00E631B0" w:rsidRDefault="00E147F2" w:rsidP="008600B5">
      <w:pPr>
        <w:numPr>
          <w:ilvl w:val="0"/>
          <w:numId w:val="42"/>
        </w:numPr>
        <w:spacing w:after="120" w:line="240" w:lineRule="auto"/>
        <w:jc w:val="left"/>
        <w:rPr>
          <w:rFonts w:asciiTheme="minorHAnsi" w:hAnsiTheme="minorHAnsi"/>
          <w:sz w:val="20"/>
          <w:szCs w:val="20"/>
        </w:rPr>
      </w:pPr>
      <w:r w:rsidRPr="00E631B0">
        <w:rPr>
          <w:rFonts w:asciiTheme="minorHAnsi" w:hAnsiTheme="minorHAnsi"/>
          <w:sz w:val="20"/>
          <w:szCs w:val="20"/>
        </w:rPr>
        <w:t>coronary heart disease which has become symptomatic</w:t>
      </w:r>
    </w:p>
    <w:p w14:paraId="11C1388F" w14:textId="77777777" w:rsidR="00E147F2" w:rsidRPr="00E631B0" w:rsidRDefault="00E147F2" w:rsidP="008600B5">
      <w:pPr>
        <w:numPr>
          <w:ilvl w:val="0"/>
          <w:numId w:val="42"/>
        </w:numPr>
        <w:spacing w:after="120" w:line="240" w:lineRule="auto"/>
        <w:jc w:val="left"/>
        <w:rPr>
          <w:rFonts w:asciiTheme="minorHAnsi" w:hAnsiTheme="minorHAnsi"/>
          <w:sz w:val="20"/>
          <w:szCs w:val="20"/>
        </w:rPr>
      </w:pPr>
      <w:r w:rsidRPr="00E631B0">
        <w:rPr>
          <w:rFonts w:asciiTheme="minorHAnsi" w:hAnsiTheme="minorHAnsi"/>
          <w:sz w:val="20"/>
          <w:szCs w:val="20"/>
        </w:rPr>
        <w:t>cerebrovascular disease which has become symptomatic</w:t>
      </w:r>
    </w:p>
    <w:p w14:paraId="3CA38590" w14:textId="77777777" w:rsidR="00E147F2" w:rsidRPr="00E631B0" w:rsidRDefault="00E147F2" w:rsidP="008600B5">
      <w:pPr>
        <w:numPr>
          <w:ilvl w:val="0"/>
          <w:numId w:val="42"/>
        </w:numPr>
        <w:spacing w:after="120" w:line="240" w:lineRule="auto"/>
        <w:jc w:val="left"/>
        <w:rPr>
          <w:rFonts w:asciiTheme="minorHAnsi" w:hAnsiTheme="minorHAnsi"/>
          <w:sz w:val="20"/>
          <w:szCs w:val="20"/>
        </w:rPr>
      </w:pPr>
      <w:r w:rsidRPr="00E631B0">
        <w:rPr>
          <w:rFonts w:asciiTheme="minorHAnsi" w:hAnsiTheme="minorHAnsi"/>
          <w:sz w:val="20"/>
          <w:szCs w:val="20"/>
        </w:rPr>
        <w:t>peripheral vascular disease which has become symptomatic</w:t>
      </w:r>
    </w:p>
    <w:p w14:paraId="6847C751" w14:textId="77777777" w:rsidR="00E147F2" w:rsidRPr="00E631B0" w:rsidRDefault="00E147F2" w:rsidP="008600B5">
      <w:pPr>
        <w:numPr>
          <w:ilvl w:val="0"/>
          <w:numId w:val="42"/>
        </w:numPr>
        <w:spacing w:after="120" w:line="240" w:lineRule="auto"/>
        <w:jc w:val="left"/>
        <w:rPr>
          <w:rFonts w:asciiTheme="minorHAnsi" w:hAnsiTheme="minorHAnsi"/>
          <w:sz w:val="20"/>
          <w:szCs w:val="20"/>
        </w:rPr>
      </w:pPr>
      <w:r w:rsidRPr="00E631B0">
        <w:rPr>
          <w:rFonts w:asciiTheme="minorHAnsi" w:hAnsiTheme="minorHAnsi"/>
          <w:sz w:val="20"/>
          <w:szCs w:val="20"/>
        </w:rPr>
        <w:t xml:space="preserve">diabetes mellitus with microalbuminuria (defined as urinary albumin excretion rate of &gt;20mcg/min or urinary albumin to creatinine ratio of &gt; 2.5 for males, &gt; 3.5 for females) </w:t>
      </w:r>
    </w:p>
    <w:p w14:paraId="24B65EBF" w14:textId="77777777" w:rsidR="00E147F2" w:rsidRPr="00E631B0" w:rsidRDefault="00E147F2" w:rsidP="008600B5">
      <w:pPr>
        <w:numPr>
          <w:ilvl w:val="0"/>
          <w:numId w:val="42"/>
        </w:numPr>
        <w:spacing w:after="120" w:line="240" w:lineRule="auto"/>
        <w:jc w:val="left"/>
        <w:rPr>
          <w:rFonts w:asciiTheme="minorHAnsi" w:hAnsiTheme="minorHAnsi"/>
          <w:sz w:val="20"/>
          <w:szCs w:val="20"/>
        </w:rPr>
      </w:pPr>
      <w:r w:rsidRPr="00E631B0">
        <w:rPr>
          <w:rFonts w:asciiTheme="minorHAnsi" w:hAnsiTheme="minorHAnsi"/>
          <w:sz w:val="20"/>
          <w:szCs w:val="20"/>
        </w:rPr>
        <w:t>diabetes mellitus in Aboriginal or Torres Strait Islander patients</w:t>
      </w:r>
    </w:p>
    <w:p w14:paraId="035D8395" w14:textId="77777777" w:rsidR="00E147F2" w:rsidRPr="00E631B0" w:rsidRDefault="00E147F2" w:rsidP="008600B5">
      <w:pPr>
        <w:numPr>
          <w:ilvl w:val="0"/>
          <w:numId w:val="42"/>
        </w:numPr>
        <w:spacing w:after="120" w:line="240" w:lineRule="auto"/>
        <w:jc w:val="left"/>
        <w:rPr>
          <w:rFonts w:asciiTheme="minorHAnsi" w:hAnsiTheme="minorHAnsi"/>
          <w:sz w:val="20"/>
          <w:szCs w:val="20"/>
        </w:rPr>
      </w:pPr>
      <w:r w:rsidRPr="00E631B0">
        <w:rPr>
          <w:rFonts w:asciiTheme="minorHAnsi" w:hAnsiTheme="minorHAnsi"/>
          <w:sz w:val="20"/>
          <w:szCs w:val="20"/>
        </w:rPr>
        <w:t>diabetes mellitus in patients aged 60 years or more</w:t>
      </w:r>
    </w:p>
    <w:p w14:paraId="358D9577" w14:textId="77777777" w:rsidR="00E147F2" w:rsidRPr="00E631B0" w:rsidRDefault="00E147F2" w:rsidP="008600B5">
      <w:pPr>
        <w:numPr>
          <w:ilvl w:val="0"/>
          <w:numId w:val="42"/>
        </w:numPr>
        <w:spacing w:after="120" w:line="240" w:lineRule="auto"/>
        <w:jc w:val="left"/>
        <w:rPr>
          <w:rFonts w:asciiTheme="minorHAnsi" w:hAnsiTheme="minorHAnsi"/>
          <w:sz w:val="20"/>
          <w:szCs w:val="20"/>
        </w:rPr>
      </w:pPr>
      <w:r w:rsidRPr="00E631B0">
        <w:rPr>
          <w:rFonts w:asciiTheme="minorHAnsi" w:hAnsiTheme="minorHAnsi"/>
          <w:sz w:val="20"/>
          <w:szCs w:val="20"/>
        </w:rPr>
        <w:t xml:space="preserve">family history of coronary heart disease which has become symptomatic before the age of 55 years in two or more first degree relatives </w:t>
      </w:r>
    </w:p>
    <w:p w14:paraId="13ABC1C3" w14:textId="77777777" w:rsidR="00E147F2" w:rsidRPr="00E631B0" w:rsidRDefault="00E147F2" w:rsidP="008600B5">
      <w:pPr>
        <w:numPr>
          <w:ilvl w:val="0"/>
          <w:numId w:val="42"/>
        </w:numPr>
        <w:spacing w:after="120" w:line="240" w:lineRule="auto"/>
        <w:jc w:val="left"/>
        <w:rPr>
          <w:rFonts w:asciiTheme="minorHAnsi" w:hAnsiTheme="minorHAnsi"/>
          <w:sz w:val="20"/>
          <w:szCs w:val="20"/>
        </w:rPr>
      </w:pPr>
      <w:r w:rsidRPr="00E631B0">
        <w:rPr>
          <w:rFonts w:asciiTheme="minorHAnsi" w:hAnsiTheme="minorHAnsi"/>
          <w:sz w:val="20"/>
          <w:szCs w:val="20"/>
        </w:rPr>
        <w:t xml:space="preserve">family history of coronary heart disease which has become symptomatic before the age of 45 years in one or more first degree relatives </w:t>
      </w:r>
    </w:p>
    <w:p w14:paraId="3F350CEA" w14:textId="73425F69" w:rsidR="00E147F2" w:rsidRPr="00E631B0" w:rsidRDefault="004B3EB8" w:rsidP="008600B5">
      <w:pPr>
        <w:numPr>
          <w:ilvl w:val="0"/>
          <w:numId w:val="42"/>
        </w:numPr>
        <w:spacing w:after="120" w:line="240" w:lineRule="auto"/>
        <w:jc w:val="left"/>
        <w:rPr>
          <w:rFonts w:asciiTheme="minorHAnsi" w:hAnsiTheme="minorHAnsi"/>
          <w:sz w:val="20"/>
          <w:szCs w:val="20"/>
        </w:rPr>
      </w:pPr>
      <w:r w:rsidRPr="00E631B0">
        <w:rPr>
          <w:rFonts w:asciiTheme="minorHAnsi" w:hAnsiTheme="minorHAnsi"/>
          <w:sz w:val="20"/>
          <w:szCs w:val="20"/>
        </w:rPr>
        <w:t>h</w:t>
      </w:r>
      <w:r w:rsidR="00E147F2" w:rsidRPr="00E631B0">
        <w:rPr>
          <w:rFonts w:asciiTheme="minorHAnsi" w:hAnsiTheme="minorHAnsi"/>
          <w:sz w:val="20"/>
          <w:szCs w:val="20"/>
        </w:rPr>
        <w:t>eterozygous/</w:t>
      </w:r>
      <w:r w:rsidRPr="00E631B0">
        <w:rPr>
          <w:rFonts w:asciiTheme="minorHAnsi" w:hAnsiTheme="minorHAnsi"/>
          <w:sz w:val="20"/>
          <w:szCs w:val="20"/>
        </w:rPr>
        <w:t>h</w:t>
      </w:r>
      <w:r w:rsidR="00E147F2" w:rsidRPr="00E631B0">
        <w:rPr>
          <w:rFonts w:asciiTheme="minorHAnsi" w:hAnsiTheme="minorHAnsi"/>
          <w:sz w:val="20"/>
          <w:szCs w:val="20"/>
        </w:rPr>
        <w:t>omozygous familial hypercholesterolaemia.</w:t>
      </w:r>
    </w:p>
    <w:p w14:paraId="713D33E3" w14:textId="77777777" w:rsidR="00E147F2" w:rsidRPr="00E631B0" w:rsidRDefault="00E147F2" w:rsidP="006258A9">
      <w:pPr>
        <w:spacing w:after="120" w:line="240" w:lineRule="auto"/>
        <w:jc w:val="left"/>
        <w:rPr>
          <w:rFonts w:asciiTheme="minorHAnsi" w:hAnsiTheme="minorHAnsi"/>
          <w:b/>
          <w:sz w:val="20"/>
          <w:szCs w:val="20"/>
        </w:rPr>
      </w:pPr>
      <w:r w:rsidRPr="00E631B0">
        <w:rPr>
          <w:rFonts w:asciiTheme="minorHAnsi" w:hAnsiTheme="minorHAnsi"/>
          <w:b/>
          <w:sz w:val="20"/>
          <w:szCs w:val="20"/>
        </w:rPr>
        <w:t>OR</w:t>
      </w:r>
    </w:p>
    <w:p w14:paraId="53FC8539" w14:textId="1F788450" w:rsidR="00E147F2" w:rsidRPr="00E631B0" w:rsidRDefault="00E147F2" w:rsidP="008600B5">
      <w:pPr>
        <w:numPr>
          <w:ilvl w:val="0"/>
          <w:numId w:val="25"/>
        </w:numPr>
        <w:spacing w:after="120" w:line="240" w:lineRule="auto"/>
        <w:jc w:val="left"/>
        <w:rPr>
          <w:rFonts w:asciiTheme="minorHAnsi" w:hAnsiTheme="minorHAnsi"/>
          <w:sz w:val="20"/>
          <w:szCs w:val="20"/>
        </w:rPr>
      </w:pPr>
      <w:r w:rsidRPr="00E631B0">
        <w:rPr>
          <w:rFonts w:asciiTheme="minorHAnsi" w:hAnsiTheme="minorHAnsi"/>
          <w:sz w:val="20"/>
          <w:szCs w:val="20"/>
        </w:rPr>
        <w:t>Where a patient’s level of absolute risk of a cardiovascular event is greater than 15% over 5 years as calculated by the Australian Absolute cardiovascular disease risk calculator (National Vascular Disease Prevention Alliance)</w:t>
      </w:r>
      <w:r w:rsidR="004B3EB8" w:rsidRPr="00E631B0">
        <w:rPr>
          <w:rFonts w:asciiTheme="minorHAnsi" w:hAnsiTheme="minorHAnsi"/>
          <w:sz w:val="20"/>
          <w:szCs w:val="20"/>
        </w:rPr>
        <w:t>.</w:t>
      </w:r>
    </w:p>
    <w:p w14:paraId="711F8494" w14:textId="77777777" w:rsidR="009D5829" w:rsidRDefault="009D5829" w:rsidP="006258A9">
      <w:pPr>
        <w:spacing w:after="120" w:line="240" w:lineRule="auto"/>
        <w:jc w:val="left"/>
        <w:rPr>
          <w:rFonts w:asciiTheme="minorHAnsi" w:hAnsiTheme="minorHAnsi"/>
          <w:sz w:val="20"/>
          <w:szCs w:val="20"/>
        </w:rPr>
      </w:pPr>
    </w:p>
    <w:p w14:paraId="612E135B" w14:textId="77777777" w:rsidR="009D5829" w:rsidRDefault="009D5829" w:rsidP="006258A9">
      <w:pPr>
        <w:spacing w:after="120" w:line="240" w:lineRule="auto"/>
        <w:jc w:val="left"/>
        <w:rPr>
          <w:rFonts w:asciiTheme="minorHAnsi" w:hAnsiTheme="minorHAnsi"/>
          <w:sz w:val="20"/>
          <w:szCs w:val="20"/>
        </w:rPr>
      </w:pPr>
    </w:p>
    <w:p w14:paraId="198FBBFE" w14:textId="77777777" w:rsidR="00E147F2" w:rsidRPr="00E631B0" w:rsidRDefault="00E147F2" w:rsidP="006258A9">
      <w:pPr>
        <w:spacing w:after="120" w:line="240" w:lineRule="auto"/>
        <w:jc w:val="left"/>
        <w:rPr>
          <w:rFonts w:asciiTheme="minorHAnsi" w:hAnsiTheme="minorHAnsi"/>
          <w:sz w:val="20"/>
          <w:szCs w:val="20"/>
        </w:rPr>
      </w:pPr>
      <w:r w:rsidRPr="00E631B0">
        <w:rPr>
          <w:rFonts w:asciiTheme="minorHAnsi" w:hAnsiTheme="minorHAnsi"/>
          <w:sz w:val="20"/>
          <w:szCs w:val="20"/>
        </w:rPr>
        <w:lastRenderedPageBreak/>
        <w:t xml:space="preserve">A clinically important product-related adverse event is defined as follows: </w:t>
      </w:r>
    </w:p>
    <w:p w14:paraId="3A2BC269" w14:textId="77777777" w:rsidR="00E147F2" w:rsidRPr="00E631B0" w:rsidRDefault="00E147F2" w:rsidP="006258A9">
      <w:pPr>
        <w:spacing w:after="120" w:line="240" w:lineRule="auto"/>
        <w:jc w:val="left"/>
        <w:rPr>
          <w:rFonts w:asciiTheme="minorHAnsi" w:hAnsiTheme="minorHAnsi"/>
          <w:sz w:val="20"/>
          <w:szCs w:val="20"/>
        </w:rPr>
      </w:pPr>
      <w:r w:rsidRPr="00E631B0">
        <w:rPr>
          <w:rFonts w:asciiTheme="minorHAnsi" w:hAnsiTheme="minorHAnsi"/>
          <w:sz w:val="20"/>
          <w:szCs w:val="20"/>
        </w:rPr>
        <w:t xml:space="preserve">(i) Severe myalgia (muscle symptoms without creatine kinase elevation) which is proven to be temporally associated with statin treatment; or </w:t>
      </w:r>
    </w:p>
    <w:p w14:paraId="3BCE0665" w14:textId="77777777" w:rsidR="00E147F2" w:rsidRPr="00E631B0" w:rsidRDefault="00E147F2" w:rsidP="006258A9">
      <w:pPr>
        <w:spacing w:after="120" w:line="240" w:lineRule="auto"/>
        <w:jc w:val="left"/>
        <w:rPr>
          <w:rFonts w:asciiTheme="minorHAnsi" w:hAnsiTheme="minorHAnsi"/>
          <w:sz w:val="20"/>
          <w:szCs w:val="20"/>
        </w:rPr>
      </w:pPr>
      <w:r w:rsidRPr="00E631B0">
        <w:rPr>
          <w:rFonts w:asciiTheme="minorHAnsi" w:hAnsiTheme="minorHAnsi"/>
          <w:sz w:val="20"/>
          <w:szCs w:val="20"/>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14:paraId="69D818C5" w14:textId="53D24419" w:rsidR="00E147F2" w:rsidRPr="006258A9" w:rsidRDefault="00E147F2" w:rsidP="006258A9">
      <w:pPr>
        <w:spacing w:after="120" w:line="240" w:lineRule="auto"/>
        <w:jc w:val="left"/>
        <w:rPr>
          <w:rFonts w:asciiTheme="minorHAnsi" w:hAnsiTheme="minorHAnsi"/>
        </w:rPr>
      </w:pPr>
      <w:r w:rsidRPr="00E631B0">
        <w:rPr>
          <w:rFonts w:asciiTheme="minorHAnsi" w:hAnsiTheme="minorHAnsi"/>
          <w:sz w:val="20"/>
          <w:szCs w:val="20"/>
        </w:rPr>
        <w:t>(iii) Unexplained, persistent elevations of serum transaminases (greater than 3 times the upper limit of normal) during treatment with a statin.</w:t>
      </w:r>
      <w:r w:rsidRPr="00E631B0">
        <w:rPr>
          <w:rFonts w:asciiTheme="minorHAnsi" w:hAnsiTheme="minorHAnsi"/>
        </w:rPr>
        <w:t xml:space="preserve"> </w:t>
      </w:r>
      <w:bookmarkStart w:id="83" w:name="_Toc388453125"/>
      <w:r w:rsidRPr="006258A9">
        <w:rPr>
          <w:rFonts w:asciiTheme="minorHAnsi" w:hAnsiTheme="minorHAnsi"/>
        </w:rPr>
        <w:br w:type="page"/>
      </w:r>
    </w:p>
    <w:p w14:paraId="223B33BB" w14:textId="2D3A26CE" w:rsidR="0000686B" w:rsidRPr="00833088" w:rsidRDefault="0000686B" w:rsidP="00920324">
      <w:pPr>
        <w:pStyle w:val="Heading1"/>
      </w:pPr>
      <w:bookmarkStart w:id="84" w:name="_Toc500510242"/>
      <w:r w:rsidRPr="00833088">
        <w:lastRenderedPageBreak/>
        <w:t xml:space="preserve">Section </w:t>
      </w:r>
      <w:r w:rsidR="003306B9" w:rsidRPr="00833088">
        <w:t>3</w:t>
      </w:r>
      <w:r w:rsidR="008810FB" w:rsidRPr="00833088">
        <w:t>: TOR 3</w:t>
      </w:r>
      <w:bookmarkEnd w:id="83"/>
      <w:r w:rsidR="008810FB" w:rsidRPr="00833088">
        <w:br/>
      </w:r>
      <w:r w:rsidR="00341378">
        <w:t>Clinical and cost-effectiveness of e</w:t>
      </w:r>
      <w:r w:rsidRPr="00833088">
        <w:t>zetimibe</w:t>
      </w:r>
      <w:bookmarkEnd w:id="84"/>
    </w:p>
    <w:p w14:paraId="543C5191" w14:textId="77777777" w:rsidR="0000686B" w:rsidRPr="00833088" w:rsidRDefault="0000686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olor w:val="365F91" w:themeColor="accent1" w:themeShade="BF"/>
        </w:rPr>
      </w:pPr>
      <w:bookmarkStart w:id="85" w:name="_Toc388453126"/>
      <w:r w:rsidRPr="00833088">
        <w:rPr>
          <w:rFonts w:asciiTheme="minorHAnsi" w:hAnsiTheme="minorHAnsi"/>
          <w:color w:val="365F91" w:themeColor="accent1" w:themeShade="BF"/>
        </w:rPr>
        <w:t>Collate and evaluate any recent clinical studies of ezetimibe that report on long</w:t>
      </w:r>
      <w:r w:rsidR="00F7627D" w:rsidRPr="00833088">
        <w:rPr>
          <w:rFonts w:asciiTheme="minorHAnsi" w:hAnsiTheme="minorHAnsi"/>
          <w:color w:val="365F91" w:themeColor="accent1" w:themeShade="BF"/>
        </w:rPr>
        <w:t>-</w:t>
      </w:r>
      <w:r w:rsidRPr="00833088">
        <w:rPr>
          <w:rFonts w:asciiTheme="minorHAnsi" w:hAnsiTheme="minorHAnsi"/>
          <w:color w:val="365F91" w:themeColor="accent1" w:themeShade="BF"/>
        </w:rPr>
        <w:t xml:space="preserve">term patient relevant outcomes, and use this data to review the cost-effectiveness of ezetimibe.  </w:t>
      </w:r>
    </w:p>
    <w:p w14:paraId="29121034" w14:textId="5467A691" w:rsidR="0000686B" w:rsidRPr="00833088" w:rsidRDefault="003848A8">
      <w:pPr>
        <w:pStyle w:val="Heading2"/>
      </w:pPr>
      <w:bookmarkStart w:id="86" w:name="_Toc500510243"/>
      <w:r w:rsidRPr="00833088">
        <w:t>3.</w:t>
      </w:r>
      <w:r w:rsidR="0000686B" w:rsidRPr="00833088">
        <w:t>1</w:t>
      </w:r>
      <w:r w:rsidR="0000686B" w:rsidRPr="00833088">
        <w:tab/>
        <w:t xml:space="preserve">Key findings for </w:t>
      </w:r>
      <w:r w:rsidR="0053643C">
        <w:t xml:space="preserve">TOR </w:t>
      </w:r>
      <w:r w:rsidR="0000686B" w:rsidRPr="00833088">
        <w:t>3</w:t>
      </w:r>
      <w:bookmarkEnd w:id="85"/>
      <w:bookmarkEnd w:id="86"/>
    </w:p>
    <w:p w14:paraId="35045D47" w14:textId="77777777" w:rsidR="00C45AF0" w:rsidRPr="00E631B0" w:rsidRDefault="003848A8" w:rsidP="005A2287">
      <w:pPr>
        <w:pStyle w:val="Heading3"/>
        <w:jc w:val="left"/>
      </w:pPr>
      <w:bookmarkStart w:id="87" w:name="_Toc500510244"/>
      <w:bookmarkStart w:id="88" w:name="_Toc388453130"/>
      <w:r w:rsidRPr="00E631B0">
        <w:t>3.</w:t>
      </w:r>
      <w:r w:rsidR="008810FB" w:rsidRPr="00E631B0">
        <w:t>1.1</w:t>
      </w:r>
      <w:r w:rsidR="008810FB" w:rsidRPr="00E631B0">
        <w:tab/>
      </w:r>
      <w:r w:rsidR="00C45AF0" w:rsidRPr="00E631B0">
        <w:t>Evidence review on the clinical effectiveness of ezetimibe</w:t>
      </w:r>
      <w:bookmarkEnd w:id="87"/>
    </w:p>
    <w:p w14:paraId="037B4417" w14:textId="3C50025E" w:rsidR="0000686B" w:rsidRPr="00E631B0" w:rsidRDefault="0000686B" w:rsidP="00AD7EAC">
      <w:pPr>
        <w:pStyle w:val="ListParagraph"/>
        <w:spacing w:after="120" w:line="240" w:lineRule="auto"/>
        <w:ind w:left="0"/>
        <w:contextualSpacing w:val="0"/>
        <w:jc w:val="left"/>
        <w:rPr>
          <w:rFonts w:asciiTheme="minorHAnsi" w:hAnsiTheme="minorHAnsi"/>
          <w:szCs w:val="24"/>
        </w:rPr>
      </w:pPr>
      <w:r w:rsidRPr="00E631B0">
        <w:rPr>
          <w:rFonts w:asciiTheme="minorHAnsi" w:eastAsia="Calibri" w:hAnsiTheme="minorHAnsi"/>
          <w:szCs w:val="24"/>
        </w:rPr>
        <w:t>The Literature Review sought to identify recent clinical studies of ezetimibe reporting on long</w:t>
      </w:r>
      <w:r w:rsidR="00F7627D" w:rsidRPr="00E631B0">
        <w:rPr>
          <w:rFonts w:asciiTheme="minorHAnsi" w:eastAsia="Calibri" w:hAnsiTheme="minorHAnsi"/>
          <w:szCs w:val="24"/>
        </w:rPr>
        <w:t>-</w:t>
      </w:r>
      <w:r w:rsidRPr="00E631B0">
        <w:rPr>
          <w:rFonts w:asciiTheme="minorHAnsi" w:eastAsia="Calibri" w:hAnsiTheme="minorHAnsi"/>
          <w:szCs w:val="24"/>
        </w:rPr>
        <w:t xml:space="preserve">term patient relevant outcomes. </w:t>
      </w:r>
      <w:r w:rsidR="00C45AF0" w:rsidRPr="00E631B0">
        <w:rPr>
          <w:rFonts w:asciiTheme="minorHAnsi" w:hAnsiTheme="minorHAnsi"/>
          <w:szCs w:val="24"/>
        </w:rPr>
        <w:t>One study was identified that repo</w:t>
      </w:r>
      <w:r w:rsidR="00D52C20" w:rsidRPr="00E631B0">
        <w:rPr>
          <w:rFonts w:asciiTheme="minorHAnsi" w:hAnsiTheme="minorHAnsi"/>
          <w:szCs w:val="24"/>
        </w:rPr>
        <w:t xml:space="preserve">rted patient relevant outcomes, </w:t>
      </w:r>
      <w:r w:rsidRPr="00E631B0">
        <w:rPr>
          <w:rFonts w:asciiTheme="minorHAnsi" w:hAnsiTheme="minorHAnsi"/>
          <w:szCs w:val="24"/>
        </w:rPr>
        <w:t xml:space="preserve">the </w:t>
      </w:r>
      <w:r w:rsidR="00C45AF0" w:rsidRPr="00E631B0">
        <w:rPr>
          <w:rFonts w:asciiTheme="minorHAnsi" w:hAnsiTheme="minorHAnsi"/>
          <w:szCs w:val="24"/>
        </w:rPr>
        <w:t xml:space="preserve">IMPROVE-IT trial, and </w:t>
      </w:r>
      <w:r w:rsidRPr="00E631B0">
        <w:rPr>
          <w:rFonts w:asciiTheme="minorHAnsi" w:hAnsiTheme="minorHAnsi"/>
          <w:szCs w:val="24"/>
        </w:rPr>
        <w:t>w</w:t>
      </w:r>
      <w:r w:rsidR="00C45AF0" w:rsidRPr="00E631B0">
        <w:rPr>
          <w:rFonts w:asciiTheme="minorHAnsi" w:hAnsiTheme="minorHAnsi"/>
          <w:szCs w:val="24"/>
        </w:rPr>
        <w:t>as</w:t>
      </w:r>
      <w:r w:rsidRPr="00E631B0">
        <w:rPr>
          <w:rFonts w:asciiTheme="minorHAnsi" w:hAnsiTheme="minorHAnsi"/>
          <w:szCs w:val="24"/>
        </w:rPr>
        <w:t xml:space="preserve"> considered alongside other evidence</w:t>
      </w:r>
      <w:r w:rsidR="00C45AF0" w:rsidRPr="00E631B0">
        <w:rPr>
          <w:rFonts w:asciiTheme="minorHAnsi" w:hAnsiTheme="minorHAnsi"/>
          <w:szCs w:val="24"/>
        </w:rPr>
        <w:t xml:space="preserve"> on the effect of ezetimibe on LDL-C lowering </w:t>
      </w:r>
      <w:r w:rsidRPr="00E631B0">
        <w:rPr>
          <w:rFonts w:asciiTheme="minorHAnsi" w:hAnsiTheme="minorHAnsi"/>
          <w:szCs w:val="24"/>
        </w:rPr>
        <w:t xml:space="preserve">to inform the Review’s response to </w:t>
      </w:r>
      <w:r w:rsidR="0053643C" w:rsidRPr="00E631B0">
        <w:rPr>
          <w:rFonts w:asciiTheme="minorHAnsi" w:hAnsiTheme="minorHAnsi"/>
          <w:szCs w:val="24"/>
        </w:rPr>
        <w:t xml:space="preserve">TOR </w:t>
      </w:r>
      <w:r w:rsidRPr="00E631B0">
        <w:rPr>
          <w:rFonts w:asciiTheme="minorHAnsi" w:hAnsiTheme="minorHAnsi"/>
          <w:szCs w:val="24"/>
        </w:rPr>
        <w:t>3.</w:t>
      </w:r>
      <w:r w:rsidR="00C45AF0" w:rsidRPr="00E631B0">
        <w:rPr>
          <w:rFonts w:asciiTheme="minorHAnsi" w:hAnsiTheme="minorHAnsi"/>
          <w:szCs w:val="24"/>
        </w:rPr>
        <w:t xml:space="preserve"> No trials were identified that reported on </w:t>
      </w:r>
      <w:r w:rsidR="00BA106C" w:rsidRPr="00E631B0">
        <w:rPr>
          <w:rFonts w:asciiTheme="minorHAnsi" w:hAnsiTheme="minorHAnsi"/>
          <w:szCs w:val="24"/>
        </w:rPr>
        <w:t>patient relevant outcomes in those treated with ezetimibe monotherapy.</w:t>
      </w:r>
    </w:p>
    <w:p w14:paraId="2AEFCAEC" w14:textId="5CEFD587" w:rsidR="0000686B" w:rsidRPr="00E631B0" w:rsidRDefault="0000686B" w:rsidP="00AD7EAC">
      <w:pPr>
        <w:pStyle w:val="ListParagraph"/>
        <w:numPr>
          <w:ilvl w:val="0"/>
          <w:numId w:val="19"/>
        </w:numPr>
        <w:spacing w:after="120" w:line="240" w:lineRule="auto"/>
        <w:ind w:left="425" w:hanging="425"/>
        <w:contextualSpacing w:val="0"/>
        <w:jc w:val="left"/>
        <w:rPr>
          <w:rFonts w:asciiTheme="minorHAnsi" w:eastAsia="Calibri" w:hAnsiTheme="minorHAnsi"/>
          <w:szCs w:val="24"/>
        </w:rPr>
      </w:pPr>
      <w:r w:rsidRPr="00E631B0">
        <w:rPr>
          <w:rFonts w:asciiTheme="minorHAnsi" w:eastAsia="Calibri" w:hAnsiTheme="minorHAnsi"/>
          <w:szCs w:val="24"/>
        </w:rPr>
        <w:t xml:space="preserve">There was insufficient </w:t>
      </w:r>
      <w:r w:rsidR="000B1F8F" w:rsidRPr="00E631B0">
        <w:rPr>
          <w:rFonts w:asciiTheme="minorHAnsi" w:eastAsia="Calibri" w:hAnsiTheme="minorHAnsi"/>
          <w:szCs w:val="24"/>
        </w:rPr>
        <w:t>c</w:t>
      </w:r>
      <w:r w:rsidRPr="00E631B0">
        <w:rPr>
          <w:rFonts w:asciiTheme="minorHAnsi" w:eastAsia="Calibri" w:hAnsiTheme="minorHAnsi"/>
          <w:szCs w:val="24"/>
        </w:rPr>
        <w:t>linical trial evidence</w:t>
      </w:r>
      <w:r w:rsidR="000B1F8F" w:rsidRPr="00E631B0">
        <w:rPr>
          <w:rFonts w:asciiTheme="minorHAnsi" w:eastAsia="Calibri" w:hAnsiTheme="minorHAnsi"/>
          <w:szCs w:val="24"/>
        </w:rPr>
        <w:t xml:space="preserve"> in addition </w:t>
      </w:r>
      <w:r w:rsidRPr="00E631B0">
        <w:rPr>
          <w:rFonts w:asciiTheme="minorHAnsi" w:eastAsia="Calibri" w:hAnsiTheme="minorHAnsi"/>
          <w:szCs w:val="24"/>
        </w:rPr>
        <w:t xml:space="preserve">to that </w:t>
      </w:r>
      <w:r w:rsidR="006879F5" w:rsidRPr="00E631B0">
        <w:rPr>
          <w:rFonts w:asciiTheme="minorHAnsi" w:eastAsia="Calibri" w:hAnsiTheme="minorHAnsi"/>
          <w:szCs w:val="24"/>
        </w:rPr>
        <w:t xml:space="preserve">previously considered by </w:t>
      </w:r>
      <w:r w:rsidRPr="00E631B0">
        <w:rPr>
          <w:rFonts w:asciiTheme="minorHAnsi" w:eastAsia="Calibri" w:hAnsiTheme="minorHAnsi"/>
          <w:szCs w:val="24"/>
        </w:rPr>
        <w:t xml:space="preserve">the PBAC, available to assess whether </w:t>
      </w:r>
      <w:r w:rsidR="006879F5" w:rsidRPr="00E631B0">
        <w:rPr>
          <w:rFonts w:asciiTheme="minorHAnsi" w:eastAsia="Calibri" w:hAnsiTheme="minorHAnsi"/>
          <w:szCs w:val="24"/>
        </w:rPr>
        <w:t>adding</w:t>
      </w:r>
      <w:r w:rsidRPr="00E631B0">
        <w:rPr>
          <w:rFonts w:asciiTheme="minorHAnsi" w:eastAsia="Calibri" w:hAnsiTheme="minorHAnsi"/>
          <w:szCs w:val="24"/>
        </w:rPr>
        <w:t xml:space="preserve"> ezetimibe to the maximum tolerated dose of a statin, compared to a placebo </w:t>
      </w:r>
      <w:r w:rsidR="003306B9" w:rsidRPr="00E631B0">
        <w:rPr>
          <w:rFonts w:asciiTheme="minorHAnsi" w:eastAsia="Calibri" w:hAnsiTheme="minorHAnsi"/>
          <w:szCs w:val="24"/>
        </w:rPr>
        <w:t xml:space="preserve">plus </w:t>
      </w:r>
      <w:r w:rsidRPr="00E631B0">
        <w:rPr>
          <w:rFonts w:asciiTheme="minorHAnsi" w:eastAsia="Calibri" w:hAnsiTheme="minorHAnsi"/>
          <w:szCs w:val="24"/>
        </w:rPr>
        <w:t>maximum tolerated dose of a statin was associated with</w:t>
      </w:r>
      <w:r w:rsidR="00BA106C" w:rsidRPr="00E631B0">
        <w:rPr>
          <w:rFonts w:asciiTheme="minorHAnsi" w:eastAsia="Calibri" w:hAnsiTheme="minorHAnsi"/>
          <w:szCs w:val="24"/>
        </w:rPr>
        <w:t>:</w:t>
      </w:r>
      <w:r w:rsidRPr="00E631B0">
        <w:rPr>
          <w:rFonts w:asciiTheme="minorHAnsi" w:eastAsia="Calibri" w:hAnsiTheme="minorHAnsi"/>
          <w:szCs w:val="24"/>
        </w:rPr>
        <w:t xml:space="preserve"> superior long</w:t>
      </w:r>
      <w:r w:rsidR="00EE16D2" w:rsidRPr="00E631B0">
        <w:rPr>
          <w:rFonts w:asciiTheme="minorHAnsi" w:eastAsia="Calibri" w:hAnsiTheme="minorHAnsi"/>
          <w:szCs w:val="24"/>
        </w:rPr>
        <w:t>-</w:t>
      </w:r>
      <w:r w:rsidRPr="00E631B0">
        <w:rPr>
          <w:rFonts w:asciiTheme="minorHAnsi" w:eastAsia="Calibri" w:hAnsiTheme="minorHAnsi"/>
          <w:szCs w:val="24"/>
        </w:rPr>
        <w:t>term outcomes of survival</w:t>
      </w:r>
      <w:r w:rsidR="00BA106C" w:rsidRPr="00E631B0">
        <w:rPr>
          <w:rFonts w:asciiTheme="minorHAnsi" w:eastAsia="Calibri" w:hAnsiTheme="minorHAnsi"/>
          <w:szCs w:val="24"/>
        </w:rPr>
        <w:t>;</w:t>
      </w:r>
      <w:r w:rsidRPr="00E631B0">
        <w:rPr>
          <w:rFonts w:asciiTheme="minorHAnsi" w:eastAsia="Calibri" w:hAnsiTheme="minorHAnsi"/>
          <w:szCs w:val="24"/>
        </w:rPr>
        <w:t xml:space="preserve"> quality–adjusted survival</w:t>
      </w:r>
      <w:r w:rsidR="00BA106C" w:rsidRPr="00E631B0">
        <w:rPr>
          <w:rFonts w:asciiTheme="minorHAnsi" w:eastAsia="Calibri" w:hAnsiTheme="minorHAnsi"/>
          <w:szCs w:val="24"/>
        </w:rPr>
        <w:t xml:space="preserve">; </w:t>
      </w:r>
      <w:r w:rsidRPr="00E631B0">
        <w:rPr>
          <w:rFonts w:asciiTheme="minorHAnsi" w:eastAsia="Calibri" w:hAnsiTheme="minorHAnsi"/>
          <w:szCs w:val="24"/>
        </w:rPr>
        <w:t>fatal and non-fatal CV events</w:t>
      </w:r>
      <w:r w:rsidR="00BA106C" w:rsidRPr="00E631B0">
        <w:rPr>
          <w:rFonts w:asciiTheme="minorHAnsi" w:eastAsia="Calibri" w:hAnsiTheme="minorHAnsi"/>
          <w:szCs w:val="24"/>
        </w:rPr>
        <w:t>;</w:t>
      </w:r>
      <w:r w:rsidRPr="00E631B0">
        <w:rPr>
          <w:rFonts w:asciiTheme="minorHAnsi" w:eastAsia="Calibri" w:hAnsiTheme="minorHAnsi"/>
          <w:szCs w:val="24"/>
        </w:rPr>
        <w:t xml:space="preserve"> or superior surrogate outcomes i.e. lipid endpoints including total cholesterol (TC), </w:t>
      </w:r>
      <w:r w:rsidR="0053643C" w:rsidRPr="00E631B0">
        <w:rPr>
          <w:rFonts w:asciiTheme="minorHAnsi" w:eastAsia="Calibri" w:hAnsiTheme="minorHAnsi"/>
          <w:szCs w:val="24"/>
        </w:rPr>
        <w:t>LDL-C,</w:t>
      </w:r>
      <w:r w:rsidRPr="00E631B0">
        <w:rPr>
          <w:rFonts w:asciiTheme="minorHAnsi" w:eastAsia="Calibri" w:hAnsiTheme="minorHAnsi"/>
          <w:szCs w:val="24"/>
        </w:rPr>
        <w:t xml:space="preserve"> and HDL-C.</w:t>
      </w:r>
    </w:p>
    <w:p w14:paraId="4C488BC9" w14:textId="3C3DBC26" w:rsidR="006879F5" w:rsidRPr="00E631B0" w:rsidRDefault="0000686B" w:rsidP="00AD7EAC">
      <w:pPr>
        <w:pStyle w:val="ListParagraph"/>
        <w:numPr>
          <w:ilvl w:val="0"/>
          <w:numId w:val="19"/>
        </w:numPr>
        <w:spacing w:after="120" w:line="240" w:lineRule="auto"/>
        <w:ind w:left="425" w:hanging="425"/>
        <w:contextualSpacing w:val="0"/>
        <w:jc w:val="left"/>
        <w:rPr>
          <w:rFonts w:asciiTheme="minorHAnsi" w:hAnsiTheme="minorHAnsi"/>
          <w:szCs w:val="24"/>
        </w:rPr>
      </w:pPr>
      <w:r w:rsidRPr="00E631B0">
        <w:rPr>
          <w:rFonts w:asciiTheme="minorHAnsi" w:hAnsiTheme="minorHAnsi"/>
          <w:szCs w:val="24"/>
        </w:rPr>
        <w:t>There was one study of long</w:t>
      </w:r>
      <w:r w:rsidR="00EE16D2" w:rsidRPr="00E631B0">
        <w:rPr>
          <w:rFonts w:asciiTheme="minorHAnsi" w:hAnsiTheme="minorHAnsi"/>
          <w:szCs w:val="24"/>
        </w:rPr>
        <w:t>-</w:t>
      </w:r>
      <w:r w:rsidRPr="00E631B0">
        <w:rPr>
          <w:rFonts w:asciiTheme="minorHAnsi" w:hAnsiTheme="minorHAnsi"/>
          <w:szCs w:val="24"/>
        </w:rPr>
        <w:t>term outcomes that is applicable to a subset of the Australian population</w:t>
      </w:r>
      <w:r w:rsidR="007B1F52" w:rsidRPr="00E631B0">
        <w:rPr>
          <w:rFonts w:asciiTheme="minorHAnsi" w:hAnsiTheme="minorHAnsi"/>
          <w:szCs w:val="24"/>
        </w:rPr>
        <w:t>. IMPROVE</w:t>
      </w:r>
      <w:r w:rsidRPr="00E631B0">
        <w:rPr>
          <w:rFonts w:asciiTheme="minorHAnsi" w:eastAsia="Calibri" w:hAnsiTheme="minorHAnsi"/>
          <w:szCs w:val="24"/>
        </w:rPr>
        <w:t>-IT</w:t>
      </w:r>
      <w:r w:rsidR="007D17F0" w:rsidRPr="00E631B0">
        <w:rPr>
          <w:rStyle w:val="EndnoteReference"/>
          <w:rFonts w:asciiTheme="minorHAnsi" w:eastAsia="Calibri" w:hAnsiTheme="minorHAnsi"/>
          <w:szCs w:val="24"/>
        </w:rPr>
        <w:endnoteReference w:id="50"/>
      </w:r>
      <w:r w:rsidRPr="00E631B0">
        <w:rPr>
          <w:rFonts w:asciiTheme="minorHAnsi" w:eastAsia="Calibri" w:hAnsiTheme="minorHAnsi"/>
          <w:szCs w:val="24"/>
        </w:rPr>
        <w:t xml:space="preserve"> was </w:t>
      </w:r>
      <w:r w:rsidR="006879F5" w:rsidRPr="00E631B0">
        <w:rPr>
          <w:rFonts w:asciiTheme="minorHAnsi" w:eastAsia="Calibri" w:hAnsiTheme="minorHAnsi"/>
          <w:szCs w:val="24"/>
        </w:rPr>
        <w:t xml:space="preserve">conducted in </w:t>
      </w:r>
      <w:r w:rsidRPr="00E631B0">
        <w:rPr>
          <w:rFonts w:asciiTheme="minorHAnsi" w:hAnsiTheme="minorHAnsi"/>
          <w:szCs w:val="24"/>
        </w:rPr>
        <w:t xml:space="preserve">a secondary prevention </w:t>
      </w:r>
      <w:r w:rsidR="006879F5" w:rsidRPr="00E631B0">
        <w:rPr>
          <w:rFonts w:asciiTheme="minorHAnsi" w:hAnsiTheme="minorHAnsi"/>
          <w:szCs w:val="24"/>
        </w:rPr>
        <w:t>population</w:t>
      </w:r>
      <w:r w:rsidRPr="00E631B0">
        <w:rPr>
          <w:rFonts w:asciiTheme="minorHAnsi" w:hAnsiTheme="minorHAnsi"/>
          <w:szCs w:val="24"/>
        </w:rPr>
        <w:t xml:space="preserve"> </w:t>
      </w:r>
      <w:r w:rsidRPr="00E631B0">
        <w:rPr>
          <w:rFonts w:asciiTheme="minorHAnsi" w:eastAsia="Calibri" w:hAnsiTheme="minorHAnsi"/>
          <w:szCs w:val="24"/>
        </w:rPr>
        <w:t>that assessed long</w:t>
      </w:r>
      <w:r w:rsidR="00EE16D2" w:rsidRPr="00E631B0">
        <w:rPr>
          <w:rFonts w:asciiTheme="minorHAnsi" w:eastAsia="Calibri" w:hAnsiTheme="minorHAnsi"/>
          <w:szCs w:val="24"/>
        </w:rPr>
        <w:t>-</w:t>
      </w:r>
      <w:r w:rsidRPr="00E631B0">
        <w:rPr>
          <w:rFonts w:asciiTheme="minorHAnsi" w:eastAsia="Calibri" w:hAnsiTheme="minorHAnsi"/>
          <w:szCs w:val="24"/>
        </w:rPr>
        <w:t>term patient outcomes associated with the addition of ezetimibe</w:t>
      </w:r>
      <w:r w:rsidR="006879F5" w:rsidRPr="00E631B0">
        <w:rPr>
          <w:rFonts w:asciiTheme="minorHAnsi" w:eastAsia="Calibri" w:hAnsiTheme="minorHAnsi"/>
          <w:szCs w:val="24"/>
        </w:rPr>
        <w:t xml:space="preserve"> 10</w:t>
      </w:r>
      <w:r w:rsidR="0053643C" w:rsidRPr="00E631B0">
        <w:rPr>
          <w:rFonts w:asciiTheme="minorHAnsi" w:eastAsia="Calibri" w:hAnsiTheme="minorHAnsi"/>
          <w:szCs w:val="24"/>
        </w:rPr>
        <w:t xml:space="preserve"> </w:t>
      </w:r>
      <w:r w:rsidR="006879F5" w:rsidRPr="00E631B0">
        <w:rPr>
          <w:rFonts w:asciiTheme="minorHAnsi" w:eastAsia="Calibri" w:hAnsiTheme="minorHAnsi"/>
          <w:szCs w:val="24"/>
        </w:rPr>
        <w:t xml:space="preserve">mg </w:t>
      </w:r>
      <w:r w:rsidRPr="00E631B0">
        <w:rPr>
          <w:rFonts w:asciiTheme="minorHAnsi" w:eastAsia="Calibri" w:hAnsiTheme="minorHAnsi"/>
          <w:szCs w:val="24"/>
        </w:rPr>
        <w:t>to simvastatin</w:t>
      </w:r>
      <w:r w:rsidR="006879F5" w:rsidRPr="00E631B0">
        <w:rPr>
          <w:rFonts w:asciiTheme="minorHAnsi" w:eastAsia="Calibri" w:hAnsiTheme="minorHAnsi"/>
          <w:szCs w:val="24"/>
        </w:rPr>
        <w:t xml:space="preserve"> 40</w:t>
      </w:r>
      <w:r w:rsidR="0053643C" w:rsidRPr="00E631B0">
        <w:rPr>
          <w:rFonts w:asciiTheme="minorHAnsi" w:eastAsia="Calibri" w:hAnsiTheme="minorHAnsi"/>
          <w:szCs w:val="24"/>
        </w:rPr>
        <w:t xml:space="preserve"> </w:t>
      </w:r>
      <w:r w:rsidR="006879F5" w:rsidRPr="00E631B0">
        <w:rPr>
          <w:rFonts w:asciiTheme="minorHAnsi" w:eastAsia="Calibri" w:hAnsiTheme="minorHAnsi"/>
          <w:szCs w:val="24"/>
        </w:rPr>
        <w:t>mg versus simvastatin 40</w:t>
      </w:r>
      <w:r w:rsidR="0053643C" w:rsidRPr="00E631B0">
        <w:rPr>
          <w:rFonts w:asciiTheme="minorHAnsi" w:eastAsia="Calibri" w:hAnsiTheme="minorHAnsi"/>
          <w:szCs w:val="24"/>
        </w:rPr>
        <w:t xml:space="preserve"> </w:t>
      </w:r>
      <w:r w:rsidR="006879F5" w:rsidRPr="00E631B0">
        <w:rPr>
          <w:rFonts w:asciiTheme="minorHAnsi" w:eastAsia="Calibri" w:hAnsiTheme="minorHAnsi"/>
          <w:szCs w:val="24"/>
        </w:rPr>
        <w:t xml:space="preserve">mg </w:t>
      </w:r>
      <w:r w:rsidR="003306B9" w:rsidRPr="00E631B0">
        <w:rPr>
          <w:rFonts w:asciiTheme="minorHAnsi" w:eastAsia="Calibri" w:hAnsiTheme="minorHAnsi"/>
          <w:szCs w:val="24"/>
        </w:rPr>
        <w:t xml:space="preserve">plus </w:t>
      </w:r>
      <w:r w:rsidR="006879F5" w:rsidRPr="00E631B0">
        <w:rPr>
          <w:rFonts w:asciiTheme="minorHAnsi" w:eastAsia="Calibri" w:hAnsiTheme="minorHAnsi"/>
          <w:szCs w:val="24"/>
        </w:rPr>
        <w:t>placebo</w:t>
      </w:r>
      <w:r w:rsidRPr="00E631B0">
        <w:rPr>
          <w:rFonts w:asciiTheme="minorHAnsi" w:eastAsia="Calibri" w:hAnsiTheme="minorHAnsi"/>
          <w:szCs w:val="24"/>
        </w:rPr>
        <w:t>.</w:t>
      </w:r>
    </w:p>
    <w:p w14:paraId="162785DF" w14:textId="77777777" w:rsidR="006879F5" w:rsidRPr="00E631B0" w:rsidRDefault="0000686B" w:rsidP="00AD7EAC">
      <w:pPr>
        <w:pStyle w:val="ListParagraph"/>
        <w:numPr>
          <w:ilvl w:val="0"/>
          <w:numId w:val="19"/>
        </w:numPr>
        <w:spacing w:after="120" w:line="240" w:lineRule="auto"/>
        <w:ind w:left="425" w:hanging="425"/>
        <w:contextualSpacing w:val="0"/>
        <w:jc w:val="left"/>
        <w:rPr>
          <w:rFonts w:asciiTheme="minorHAnsi" w:hAnsiTheme="minorHAnsi"/>
          <w:szCs w:val="24"/>
        </w:rPr>
      </w:pPr>
      <w:r w:rsidRPr="00E631B0">
        <w:rPr>
          <w:rFonts w:asciiTheme="minorHAnsi" w:eastAsia="Calibri" w:hAnsiTheme="minorHAnsi"/>
          <w:szCs w:val="24"/>
        </w:rPr>
        <w:t xml:space="preserve">The clinical outcomes of IMPROVE-IT </w:t>
      </w:r>
      <w:r w:rsidRPr="00E631B0">
        <w:rPr>
          <w:rFonts w:asciiTheme="minorHAnsi" w:hAnsiTheme="minorHAnsi"/>
          <w:szCs w:val="24"/>
        </w:rPr>
        <w:t xml:space="preserve">confirm the acceptability of the absolute reduction in LDL-C as a valid surrogate for the reduction of the relative risk of major vascular events in patients receiving ezetimibe. The reduction in cardiovascular event rate was as predicted by the known relationship between absolute reduction in LDL-C and the relative risk reduction. Clinical outcomes from the IMPROVE-IT trial are the first to justify the role of ezetimibe as a non-statin LLT option for the reduction of cardiovascular risk. </w:t>
      </w:r>
    </w:p>
    <w:p w14:paraId="05478C6A" w14:textId="77777777" w:rsidR="0000686B" w:rsidRPr="00E631B0" w:rsidRDefault="0000686B" w:rsidP="00AD7EAC">
      <w:pPr>
        <w:pStyle w:val="ListParagraph"/>
        <w:numPr>
          <w:ilvl w:val="0"/>
          <w:numId w:val="19"/>
        </w:numPr>
        <w:spacing w:after="120" w:line="240" w:lineRule="auto"/>
        <w:ind w:left="425" w:hanging="425"/>
        <w:contextualSpacing w:val="0"/>
        <w:jc w:val="left"/>
        <w:rPr>
          <w:rFonts w:asciiTheme="minorHAnsi" w:hAnsiTheme="minorHAnsi"/>
          <w:szCs w:val="24"/>
        </w:rPr>
      </w:pPr>
      <w:r w:rsidRPr="00E631B0">
        <w:rPr>
          <w:rFonts w:asciiTheme="minorHAnsi" w:hAnsiTheme="minorHAnsi"/>
          <w:szCs w:val="24"/>
        </w:rPr>
        <w:t>On the basis of IMPROVE-IT outcomes, long</w:t>
      </w:r>
      <w:r w:rsidR="00EE16D2" w:rsidRPr="00E631B0">
        <w:rPr>
          <w:rFonts w:asciiTheme="minorHAnsi" w:hAnsiTheme="minorHAnsi"/>
          <w:szCs w:val="24"/>
        </w:rPr>
        <w:t>-</w:t>
      </w:r>
      <w:r w:rsidRPr="00E631B0">
        <w:rPr>
          <w:rFonts w:asciiTheme="minorHAnsi" w:hAnsiTheme="minorHAnsi"/>
          <w:szCs w:val="24"/>
        </w:rPr>
        <w:t>term use of ezetimibe appears to be safe.</w:t>
      </w:r>
    </w:p>
    <w:p w14:paraId="24E26E2A" w14:textId="2767D027" w:rsidR="0000686B" w:rsidRPr="00E631B0" w:rsidRDefault="0053643C" w:rsidP="00AD7EAC">
      <w:pPr>
        <w:pStyle w:val="ListParagraph"/>
        <w:numPr>
          <w:ilvl w:val="0"/>
          <w:numId w:val="19"/>
        </w:numPr>
        <w:tabs>
          <w:tab w:val="left" w:pos="426"/>
        </w:tabs>
        <w:spacing w:after="120" w:line="240" w:lineRule="auto"/>
        <w:ind w:left="425" w:hanging="425"/>
        <w:contextualSpacing w:val="0"/>
        <w:jc w:val="left"/>
        <w:rPr>
          <w:rFonts w:asciiTheme="minorHAnsi" w:hAnsiTheme="minorHAnsi"/>
          <w:szCs w:val="24"/>
        </w:rPr>
      </w:pPr>
      <w:r w:rsidRPr="00E631B0">
        <w:rPr>
          <w:rFonts w:asciiTheme="minorHAnsi" w:hAnsiTheme="minorHAnsi"/>
          <w:szCs w:val="24"/>
        </w:rPr>
        <w:t>T</w:t>
      </w:r>
      <w:r w:rsidR="0000686B" w:rsidRPr="00E631B0">
        <w:rPr>
          <w:rFonts w:asciiTheme="minorHAnsi" w:hAnsiTheme="minorHAnsi"/>
          <w:szCs w:val="24"/>
        </w:rPr>
        <w:t xml:space="preserve">he IMPROVE-IT study enrolled a trial population which does not meet the PBS eligibility criteria for subsidised prescription of ezetimibe. Patients were treated with fixed doses of simvastatin with no up-titration to maximally tolerated doses or switch to statin of a higher </w:t>
      </w:r>
      <w:r w:rsidR="006879F5" w:rsidRPr="00E631B0">
        <w:rPr>
          <w:rFonts w:asciiTheme="minorHAnsi" w:hAnsiTheme="minorHAnsi"/>
          <w:szCs w:val="24"/>
        </w:rPr>
        <w:t>potency</w:t>
      </w:r>
      <w:r w:rsidR="0000686B" w:rsidRPr="00E631B0">
        <w:rPr>
          <w:rFonts w:asciiTheme="minorHAnsi" w:hAnsiTheme="minorHAnsi"/>
          <w:szCs w:val="24"/>
        </w:rPr>
        <w:t xml:space="preserve"> as required by the current PBS restriction for ezetimibe. The </w:t>
      </w:r>
      <w:r w:rsidR="006879F5" w:rsidRPr="00E631B0">
        <w:rPr>
          <w:rFonts w:asciiTheme="minorHAnsi" w:hAnsiTheme="minorHAnsi"/>
          <w:szCs w:val="24"/>
        </w:rPr>
        <w:t xml:space="preserve">study </w:t>
      </w:r>
      <w:r w:rsidR="0000686B" w:rsidRPr="00E631B0">
        <w:rPr>
          <w:rFonts w:asciiTheme="minorHAnsi" w:hAnsiTheme="minorHAnsi"/>
          <w:szCs w:val="24"/>
        </w:rPr>
        <w:t xml:space="preserve">population was restricted to the secondary prevention </w:t>
      </w:r>
      <w:r w:rsidR="0000686B" w:rsidRPr="00E631B0">
        <w:rPr>
          <w:rFonts w:asciiTheme="minorHAnsi" w:hAnsiTheme="minorHAnsi"/>
          <w:szCs w:val="24"/>
        </w:rPr>
        <w:lastRenderedPageBreak/>
        <w:t>population</w:t>
      </w:r>
      <w:r w:rsidRPr="00E631B0">
        <w:rPr>
          <w:rFonts w:asciiTheme="minorHAnsi" w:hAnsiTheme="minorHAnsi"/>
          <w:szCs w:val="24"/>
        </w:rPr>
        <w:t>,</w:t>
      </w:r>
      <w:r w:rsidR="0000686B" w:rsidRPr="00E631B0">
        <w:rPr>
          <w:rFonts w:asciiTheme="minorHAnsi" w:hAnsiTheme="minorHAnsi"/>
          <w:szCs w:val="24"/>
        </w:rPr>
        <w:t xml:space="preserve"> </w:t>
      </w:r>
      <w:r w:rsidR="00580F9E" w:rsidRPr="00E631B0">
        <w:rPr>
          <w:rFonts w:asciiTheme="minorHAnsi" w:hAnsiTheme="minorHAnsi"/>
          <w:szCs w:val="24"/>
        </w:rPr>
        <w:t xml:space="preserve">i.e. </w:t>
      </w:r>
      <w:r w:rsidR="0000686B" w:rsidRPr="00E631B0">
        <w:rPr>
          <w:rFonts w:asciiTheme="minorHAnsi" w:hAnsiTheme="minorHAnsi"/>
          <w:szCs w:val="24"/>
        </w:rPr>
        <w:t>patients who had been hospitalised for an acute coronary syndrome in the preceding 10 days.</w:t>
      </w:r>
    </w:p>
    <w:p w14:paraId="1DA908D1" w14:textId="77777777" w:rsidR="00CC7811" w:rsidRPr="00E631B0" w:rsidRDefault="00CC7811" w:rsidP="00AD7EAC">
      <w:pPr>
        <w:pStyle w:val="ListParagraph"/>
        <w:numPr>
          <w:ilvl w:val="0"/>
          <w:numId w:val="19"/>
        </w:numPr>
        <w:spacing w:after="120" w:line="240" w:lineRule="auto"/>
        <w:ind w:left="425" w:hanging="425"/>
        <w:contextualSpacing w:val="0"/>
        <w:jc w:val="left"/>
        <w:rPr>
          <w:rFonts w:asciiTheme="minorHAnsi" w:eastAsia="Calibri" w:hAnsiTheme="minorHAnsi" w:cs="Times New Roman"/>
          <w:szCs w:val="24"/>
        </w:rPr>
      </w:pPr>
      <w:r w:rsidRPr="00E631B0">
        <w:rPr>
          <w:rFonts w:asciiTheme="minorHAnsi" w:eastAsia="Calibri" w:hAnsiTheme="minorHAnsi" w:cs="Times New Roman"/>
          <w:szCs w:val="24"/>
        </w:rPr>
        <w:t>For ezetimibe monotherapy, results of the meta-analyses of eight randomised controlled trials (nine for HDL-C results) reported in the systematic review by Pandor</w:t>
      </w:r>
      <w:r w:rsidR="00A12F22" w:rsidRPr="00E631B0">
        <w:rPr>
          <w:rStyle w:val="EndnoteReference"/>
          <w:rFonts w:asciiTheme="minorHAnsi" w:eastAsia="Calibri" w:hAnsiTheme="minorHAnsi" w:cs="Times New Roman"/>
          <w:szCs w:val="24"/>
        </w:rPr>
        <w:endnoteReference w:id="51"/>
      </w:r>
      <w:r w:rsidRPr="00E631B0">
        <w:rPr>
          <w:rFonts w:asciiTheme="minorHAnsi" w:eastAsia="Calibri" w:hAnsiTheme="minorHAnsi" w:cs="Times New Roman"/>
          <w:szCs w:val="24"/>
        </w:rPr>
        <w:t>, and confirmed by the independent assessment cond</w:t>
      </w:r>
      <w:r w:rsidR="00BA106C" w:rsidRPr="00E631B0">
        <w:rPr>
          <w:rFonts w:asciiTheme="minorHAnsi" w:eastAsia="Calibri" w:hAnsiTheme="minorHAnsi" w:cs="Times New Roman"/>
          <w:szCs w:val="24"/>
        </w:rPr>
        <w:t>ucted for this review, indicate t</w:t>
      </w:r>
      <w:r w:rsidRPr="00E631B0">
        <w:rPr>
          <w:rFonts w:asciiTheme="minorHAnsi" w:eastAsia="Calibri" w:hAnsiTheme="minorHAnsi" w:cs="Times New Roman"/>
          <w:szCs w:val="24"/>
        </w:rPr>
        <w:t xml:space="preserve">hat ezetimibe monotherapy reduced LDL-C concentrations by approximately 20% from baseline compared with placebo. By comparison, statins, </w:t>
      </w:r>
      <w:r w:rsidRPr="00E631B0">
        <w:rPr>
          <w:rFonts w:asciiTheme="minorHAnsi" w:hAnsiTheme="minorHAnsi"/>
          <w:szCs w:val="24"/>
        </w:rPr>
        <w:t xml:space="preserve">depending on dose and potency, reduce LDL-C by at least 30-50% from baseline. </w:t>
      </w:r>
      <w:r w:rsidRPr="00E631B0">
        <w:rPr>
          <w:rFonts w:asciiTheme="minorHAnsi" w:eastAsia="Calibri" w:hAnsiTheme="minorHAnsi" w:cs="Times New Roman"/>
          <w:szCs w:val="24"/>
        </w:rPr>
        <w:t>None of the trials included in the meta-analyses enrolled patients with confirmed statin intolerance or contraindication to statin therapy.</w:t>
      </w:r>
    </w:p>
    <w:p w14:paraId="78C3FF4E" w14:textId="77777777" w:rsidR="00CC7811" w:rsidRPr="00E631B0" w:rsidRDefault="00AB3222" w:rsidP="00AD7EAC">
      <w:pPr>
        <w:pStyle w:val="ListParagraph"/>
        <w:numPr>
          <w:ilvl w:val="0"/>
          <w:numId w:val="19"/>
        </w:numPr>
        <w:spacing w:after="120" w:line="240" w:lineRule="auto"/>
        <w:ind w:left="425" w:hanging="425"/>
        <w:contextualSpacing w:val="0"/>
        <w:jc w:val="left"/>
        <w:rPr>
          <w:rFonts w:asciiTheme="minorHAnsi" w:eastAsia="Calibri" w:hAnsiTheme="minorHAnsi" w:cs="Times New Roman"/>
          <w:szCs w:val="24"/>
        </w:rPr>
      </w:pPr>
      <w:r w:rsidRPr="00E631B0">
        <w:rPr>
          <w:rFonts w:asciiTheme="minorHAnsi" w:eastAsia="Calibri" w:hAnsiTheme="minorHAnsi" w:cs="Times New Roman"/>
          <w:szCs w:val="24"/>
        </w:rPr>
        <w:t>It is acknowledged that ezetimibe and statin</w:t>
      </w:r>
      <w:r w:rsidR="002C4ABC" w:rsidRPr="00E631B0">
        <w:rPr>
          <w:rFonts w:asciiTheme="minorHAnsi" w:eastAsia="Calibri" w:hAnsiTheme="minorHAnsi" w:cs="Times New Roman"/>
          <w:szCs w:val="24"/>
        </w:rPr>
        <w:t>s</w:t>
      </w:r>
      <w:r w:rsidRPr="00E631B0">
        <w:rPr>
          <w:rFonts w:asciiTheme="minorHAnsi" w:eastAsia="Calibri" w:hAnsiTheme="minorHAnsi" w:cs="Times New Roman"/>
          <w:szCs w:val="24"/>
        </w:rPr>
        <w:t xml:space="preserve"> have independent </w:t>
      </w:r>
      <w:r w:rsidR="00CC7811" w:rsidRPr="00E631B0">
        <w:rPr>
          <w:rFonts w:asciiTheme="minorHAnsi" w:eastAsia="Calibri" w:hAnsiTheme="minorHAnsi" w:cs="Times New Roman"/>
          <w:szCs w:val="24"/>
        </w:rPr>
        <w:t xml:space="preserve">mechanisms of action. </w:t>
      </w:r>
      <w:r w:rsidR="004C7D89" w:rsidRPr="00E631B0">
        <w:rPr>
          <w:rFonts w:asciiTheme="minorHAnsi" w:eastAsia="Calibri" w:hAnsiTheme="minorHAnsi" w:cs="Times New Roman"/>
          <w:szCs w:val="24"/>
        </w:rPr>
        <w:t>However,</w:t>
      </w:r>
      <w:r w:rsidR="002C4ABC" w:rsidRPr="00E631B0">
        <w:rPr>
          <w:rFonts w:asciiTheme="minorHAnsi" w:eastAsia="Calibri" w:hAnsiTheme="minorHAnsi" w:cs="Times New Roman"/>
          <w:szCs w:val="24"/>
        </w:rPr>
        <w:t xml:space="preserve"> t</w:t>
      </w:r>
      <w:r w:rsidRPr="00E631B0">
        <w:rPr>
          <w:rFonts w:asciiTheme="minorHAnsi" w:eastAsia="Calibri" w:hAnsiTheme="minorHAnsi" w:cs="Times New Roman"/>
          <w:szCs w:val="24"/>
        </w:rPr>
        <w:t>he</w:t>
      </w:r>
      <w:r w:rsidR="002C4ABC" w:rsidRPr="00E631B0">
        <w:rPr>
          <w:rFonts w:asciiTheme="minorHAnsi" w:eastAsia="Calibri" w:hAnsiTheme="minorHAnsi" w:cs="Times New Roman"/>
          <w:szCs w:val="24"/>
        </w:rPr>
        <w:t xml:space="preserve"> </w:t>
      </w:r>
      <w:r w:rsidRPr="00E631B0">
        <w:rPr>
          <w:rFonts w:asciiTheme="minorHAnsi" w:eastAsia="Calibri" w:hAnsiTheme="minorHAnsi" w:cs="Times New Roman"/>
          <w:szCs w:val="24"/>
        </w:rPr>
        <w:t>dose of ezetimibe</w:t>
      </w:r>
      <w:r w:rsidR="002C4ABC" w:rsidRPr="00E631B0">
        <w:rPr>
          <w:rFonts w:asciiTheme="minorHAnsi" w:eastAsia="Calibri" w:hAnsiTheme="minorHAnsi" w:cs="Times New Roman"/>
          <w:szCs w:val="24"/>
        </w:rPr>
        <w:t xml:space="preserve"> is fixed whereas with statins there is the </w:t>
      </w:r>
      <w:r w:rsidR="00CC7811" w:rsidRPr="00E631B0">
        <w:rPr>
          <w:rFonts w:asciiTheme="minorHAnsi" w:eastAsia="Calibri" w:hAnsiTheme="minorHAnsi" w:cs="Times New Roman"/>
          <w:szCs w:val="24"/>
        </w:rPr>
        <w:t>capacity to up-titrate the potency or dose</w:t>
      </w:r>
      <w:r w:rsidR="002C4ABC" w:rsidRPr="00E631B0">
        <w:rPr>
          <w:rFonts w:asciiTheme="minorHAnsi" w:eastAsia="Calibri" w:hAnsiTheme="minorHAnsi" w:cs="Times New Roman"/>
          <w:szCs w:val="24"/>
        </w:rPr>
        <w:t>.</w:t>
      </w:r>
      <w:r w:rsidR="00CC7811" w:rsidRPr="00E631B0">
        <w:rPr>
          <w:rFonts w:asciiTheme="minorHAnsi" w:eastAsia="Calibri" w:hAnsiTheme="minorHAnsi" w:cs="Times New Roman"/>
          <w:szCs w:val="24"/>
        </w:rPr>
        <w:t xml:space="preserve"> While t</w:t>
      </w:r>
      <w:r w:rsidRPr="00E631B0">
        <w:rPr>
          <w:rFonts w:asciiTheme="minorHAnsi" w:eastAsia="Calibri" w:hAnsiTheme="minorHAnsi" w:cs="Times New Roman"/>
          <w:szCs w:val="24"/>
        </w:rPr>
        <w:t>he LDL-</w:t>
      </w:r>
      <w:r w:rsidR="002C4ABC" w:rsidRPr="00E631B0">
        <w:rPr>
          <w:rFonts w:asciiTheme="minorHAnsi" w:eastAsia="Calibri" w:hAnsiTheme="minorHAnsi" w:cs="Times New Roman"/>
          <w:szCs w:val="24"/>
        </w:rPr>
        <w:t>C</w:t>
      </w:r>
      <w:r w:rsidRPr="00E631B0">
        <w:rPr>
          <w:rFonts w:asciiTheme="minorHAnsi" w:eastAsia="Calibri" w:hAnsiTheme="minorHAnsi" w:cs="Times New Roman"/>
          <w:szCs w:val="24"/>
        </w:rPr>
        <w:t xml:space="preserve"> lowering capacity of statin</w:t>
      </w:r>
      <w:r w:rsidR="000B04D0" w:rsidRPr="00E631B0">
        <w:rPr>
          <w:rFonts w:asciiTheme="minorHAnsi" w:eastAsia="Calibri" w:hAnsiTheme="minorHAnsi" w:cs="Times New Roman"/>
          <w:szCs w:val="24"/>
        </w:rPr>
        <w:t>s</w:t>
      </w:r>
      <w:r w:rsidRPr="00E631B0">
        <w:rPr>
          <w:rFonts w:asciiTheme="minorHAnsi" w:eastAsia="Calibri" w:hAnsiTheme="minorHAnsi" w:cs="Times New Roman"/>
          <w:szCs w:val="24"/>
        </w:rPr>
        <w:t xml:space="preserve"> does plateau with increasing dose</w:t>
      </w:r>
      <w:r w:rsidR="00CC7811" w:rsidRPr="00E631B0">
        <w:rPr>
          <w:rFonts w:asciiTheme="minorHAnsi" w:eastAsia="Calibri" w:hAnsiTheme="minorHAnsi" w:cs="Times New Roman"/>
          <w:szCs w:val="24"/>
        </w:rPr>
        <w:t>, t</w:t>
      </w:r>
      <w:r w:rsidRPr="00E631B0">
        <w:rPr>
          <w:rFonts w:asciiTheme="minorHAnsi" w:eastAsia="Calibri" w:hAnsiTheme="minorHAnsi" w:cs="Times New Roman"/>
          <w:szCs w:val="24"/>
        </w:rPr>
        <w:t xml:space="preserve">he </w:t>
      </w:r>
      <w:r w:rsidR="002C4ABC" w:rsidRPr="00E631B0">
        <w:rPr>
          <w:rFonts w:asciiTheme="minorHAnsi" w:eastAsia="Calibri" w:hAnsiTheme="minorHAnsi" w:cs="Times New Roman"/>
          <w:szCs w:val="24"/>
        </w:rPr>
        <w:t xml:space="preserve">greatest </w:t>
      </w:r>
      <w:r w:rsidRPr="00E631B0">
        <w:rPr>
          <w:rFonts w:asciiTheme="minorHAnsi" w:eastAsia="Calibri" w:hAnsiTheme="minorHAnsi" w:cs="Times New Roman"/>
          <w:szCs w:val="24"/>
        </w:rPr>
        <w:t>absolute reduction in LDL</w:t>
      </w:r>
      <w:r w:rsidR="002C4ABC" w:rsidRPr="00E631B0">
        <w:rPr>
          <w:rFonts w:asciiTheme="minorHAnsi" w:eastAsia="Calibri" w:hAnsiTheme="minorHAnsi" w:cs="Times New Roman"/>
          <w:szCs w:val="24"/>
        </w:rPr>
        <w:t xml:space="preserve">-C (and CV risk reduction) can be achieved with use of higher doses </w:t>
      </w:r>
      <w:r w:rsidR="0053643C" w:rsidRPr="00E631B0">
        <w:rPr>
          <w:rFonts w:asciiTheme="minorHAnsi" w:eastAsia="Calibri" w:hAnsiTheme="minorHAnsi" w:cs="Times New Roman"/>
          <w:szCs w:val="24"/>
        </w:rPr>
        <w:t xml:space="preserve">of </w:t>
      </w:r>
      <w:r w:rsidR="002C4ABC" w:rsidRPr="00E631B0">
        <w:rPr>
          <w:rFonts w:asciiTheme="minorHAnsi" w:eastAsia="Calibri" w:hAnsiTheme="minorHAnsi" w:cs="Times New Roman"/>
          <w:szCs w:val="24"/>
        </w:rPr>
        <w:t xml:space="preserve">statins prior to adding ezetimibe. </w:t>
      </w:r>
      <w:r w:rsidR="004C7D89" w:rsidRPr="00E631B0">
        <w:rPr>
          <w:rFonts w:asciiTheme="minorHAnsi" w:eastAsia="Calibri" w:hAnsiTheme="minorHAnsi" w:cs="Times New Roman"/>
          <w:szCs w:val="24"/>
        </w:rPr>
        <w:t>Therefore,</w:t>
      </w:r>
      <w:r w:rsidR="00CC7811" w:rsidRPr="00E631B0">
        <w:rPr>
          <w:rFonts w:asciiTheme="minorHAnsi" w:eastAsia="Calibri" w:hAnsiTheme="minorHAnsi" w:cs="Times New Roman"/>
          <w:szCs w:val="24"/>
        </w:rPr>
        <w:t xml:space="preserve"> the magnitude of the </w:t>
      </w:r>
      <w:r w:rsidR="003306B9" w:rsidRPr="00E631B0">
        <w:rPr>
          <w:rFonts w:asciiTheme="minorHAnsi" w:eastAsia="Calibri" w:hAnsiTheme="minorHAnsi" w:cs="Times New Roman"/>
          <w:szCs w:val="24"/>
        </w:rPr>
        <w:t xml:space="preserve">absolute </w:t>
      </w:r>
      <w:r w:rsidR="00CC7811" w:rsidRPr="00E631B0">
        <w:rPr>
          <w:rFonts w:asciiTheme="minorHAnsi" w:eastAsia="Calibri" w:hAnsiTheme="minorHAnsi" w:cs="Times New Roman"/>
          <w:szCs w:val="24"/>
        </w:rPr>
        <w:t>reduction in LDL through the addition of ezetimibe is depend</w:t>
      </w:r>
      <w:r w:rsidR="003306B9" w:rsidRPr="00E631B0">
        <w:rPr>
          <w:rFonts w:asciiTheme="minorHAnsi" w:eastAsia="Calibri" w:hAnsiTheme="minorHAnsi" w:cs="Times New Roman"/>
          <w:szCs w:val="24"/>
        </w:rPr>
        <w:t>e</w:t>
      </w:r>
      <w:r w:rsidR="00CC7811" w:rsidRPr="00E631B0">
        <w:rPr>
          <w:rFonts w:asciiTheme="minorHAnsi" w:eastAsia="Calibri" w:hAnsiTheme="minorHAnsi" w:cs="Times New Roman"/>
          <w:szCs w:val="24"/>
        </w:rPr>
        <w:t>nt on the LDL</w:t>
      </w:r>
      <w:r w:rsidR="003306B9" w:rsidRPr="00E631B0">
        <w:rPr>
          <w:rFonts w:asciiTheme="minorHAnsi" w:eastAsia="Calibri" w:hAnsiTheme="minorHAnsi" w:cs="Times New Roman"/>
          <w:szCs w:val="24"/>
        </w:rPr>
        <w:t>-C</w:t>
      </w:r>
      <w:r w:rsidR="00CC7811" w:rsidRPr="00E631B0">
        <w:rPr>
          <w:rFonts w:asciiTheme="minorHAnsi" w:eastAsia="Calibri" w:hAnsiTheme="minorHAnsi" w:cs="Times New Roman"/>
          <w:szCs w:val="24"/>
        </w:rPr>
        <w:t xml:space="preserve"> </w:t>
      </w:r>
      <w:r w:rsidR="0076247E" w:rsidRPr="00E631B0">
        <w:rPr>
          <w:rFonts w:asciiTheme="minorHAnsi" w:eastAsia="Times New Roman" w:hAnsiTheme="minorHAnsi" w:cs="Arial"/>
          <w:szCs w:val="24"/>
          <w:lang w:eastAsia="en-AU"/>
        </w:rPr>
        <w:t xml:space="preserve">concentration </w:t>
      </w:r>
      <w:r w:rsidR="00CC7811" w:rsidRPr="00E631B0">
        <w:rPr>
          <w:rFonts w:asciiTheme="minorHAnsi" w:eastAsia="Calibri" w:hAnsiTheme="minorHAnsi" w:cs="Times New Roman"/>
          <w:szCs w:val="24"/>
        </w:rPr>
        <w:t xml:space="preserve">following treatment </w:t>
      </w:r>
      <w:r w:rsidR="004C7D89" w:rsidRPr="00E631B0">
        <w:rPr>
          <w:rFonts w:asciiTheme="minorHAnsi" w:eastAsia="Calibri" w:hAnsiTheme="minorHAnsi" w:cs="Times New Roman"/>
          <w:szCs w:val="24"/>
        </w:rPr>
        <w:t>with maximum tolerated doses</w:t>
      </w:r>
      <w:r w:rsidR="00CC7811" w:rsidRPr="00E631B0">
        <w:rPr>
          <w:rFonts w:asciiTheme="minorHAnsi" w:eastAsia="Calibri" w:hAnsiTheme="minorHAnsi" w:cs="Times New Roman"/>
          <w:szCs w:val="24"/>
        </w:rPr>
        <w:t xml:space="preserve"> of statin. </w:t>
      </w:r>
    </w:p>
    <w:p w14:paraId="12265B2F" w14:textId="54A9338B" w:rsidR="00206511" w:rsidRPr="00E631B0" w:rsidRDefault="00CC7811" w:rsidP="00AD7EAC">
      <w:pPr>
        <w:pStyle w:val="ListParagraph"/>
        <w:numPr>
          <w:ilvl w:val="0"/>
          <w:numId w:val="19"/>
        </w:numPr>
        <w:spacing w:after="120" w:line="240" w:lineRule="auto"/>
        <w:ind w:left="425" w:hanging="425"/>
        <w:contextualSpacing w:val="0"/>
        <w:jc w:val="left"/>
        <w:rPr>
          <w:rFonts w:asciiTheme="minorHAnsi" w:eastAsia="Calibri" w:hAnsiTheme="minorHAnsi" w:cs="Times New Roman"/>
          <w:szCs w:val="24"/>
        </w:rPr>
      </w:pPr>
      <w:r w:rsidRPr="00E631B0">
        <w:rPr>
          <w:rFonts w:asciiTheme="minorHAnsi" w:eastAsia="Calibri" w:hAnsiTheme="minorHAnsi" w:cs="Times New Roman"/>
          <w:szCs w:val="24"/>
        </w:rPr>
        <w:t xml:space="preserve">The greater </w:t>
      </w:r>
      <w:r w:rsidR="00206511" w:rsidRPr="00E631B0">
        <w:rPr>
          <w:rFonts w:asciiTheme="minorHAnsi" w:eastAsia="Calibri" w:hAnsiTheme="minorHAnsi" w:cs="Times New Roman"/>
          <w:szCs w:val="24"/>
        </w:rPr>
        <w:t xml:space="preserve">absolute reduction in </w:t>
      </w:r>
      <w:r w:rsidRPr="00E631B0">
        <w:rPr>
          <w:rFonts w:asciiTheme="minorHAnsi" w:eastAsia="Calibri" w:hAnsiTheme="minorHAnsi" w:cs="Times New Roman"/>
          <w:szCs w:val="24"/>
        </w:rPr>
        <w:t>LDL achieved by</w:t>
      </w:r>
      <w:r w:rsidR="00206511" w:rsidRPr="00E631B0">
        <w:rPr>
          <w:rFonts w:asciiTheme="minorHAnsi" w:eastAsia="Calibri" w:hAnsiTheme="minorHAnsi" w:cs="Times New Roman"/>
          <w:szCs w:val="24"/>
        </w:rPr>
        <w:t xml:space="preserve"> most </w:t>
      </w:r>
      <w:r w:rsidR="0000686B" w:rsidRPr="00E631B0">
        <w:rPr>
          <w:rFonts w:asciiTheme="minorHAnsi" w:eastAsia="Calibri" w:hAnsiTheme="minorHAnsi" w:cs="Times New Roman"/>
          <w:szCs w:val="24"/>
        </w:rPr>
        <w:t xml:space="preserve">strengths and types of statins </w:t>
      </w:r>
      <w:r w:rsidR="00206511" w:rsidRPr="00E631B0">
        <w:rPr>
          <w:rFonts w:asciiTheme="minorHAnsi" w:eastAsia="Calibri" w:hAnsiTheme="minorHAnsi" w:cs="Times New Roman"/>
          <w:szCs w:val="24"/>
        </w:rPr>
        <w:t xml:space="preserve">support statins </w:t>
      </w:r>
      <w:r w:rsidR="000B04D0" w:rsidRPr="00E631B0">
        <w:rPr>
          <w:rFonts w:asciiTheme="minorHAnsi" w:eastAsia="Calibri" w:hAnsiTheme="minorHAnsi" w:cs="Times New Roman"/>
          <w:szCs w:val="24"/>
        </w:rPr>
        <w:t xml:space="preserve">as first line therapy for </w:t>
      </w:r>
      <w:r w:rsidR="00685127" w:rsidRPr="00E631B0">
        <w:rPr>
          <w:rFonts w:asciiTheme="minorHAnsi" w:eastAsia="Calibri" w:hAnsiTheme="minorHAnsi" w:cs="Times New Roman"/>
          <w:szCs w:val="24"/>
        </w:rPr>
        <w:t>hypercholesterolaemia</w:t>
      </w:r>
      <w:r w:rsidR="000B04D0" w:rsidRPr="00E631B0">
        <w:rPr>
          <w:rFonts w:asciiTheme="minorHAnsi" w:eastAsia="Calibri" w:hAnsiTheme="minorHAnsi" w:cs="Times New Roman"/>
          <w:szCs w:val="24"/>
        </w:rPr>
        <w:t>.</w:t>
      </w:r>
      <w:r w:rsidR="00206511" w:rsidRPr="00E631B0">
        <w:rPr>
          <w:rFonts w:asciiTheme="minorHAnsi" w:eastAsia="Calibri" w:hAnsiTheme="minorHAnsi" w:cs="Times New Roman"/>
          <w:szCs w:val="24"/>
        </w:rPr>
        <w:t xml:space="preserve"> For patients</w:t>
      </w:r>
      <w:r w:rsidR="000B04D0" w:rsidRPr="00E631B0">
        <w:rPr>
          <w:rFonts w:asciiTheme="minorHAnsi" w:eastAsia="Calibri" w:hAnsiTheme="minorHAnsi" w:cs="Times New Roman"/>
          <w:szCs w:val="24"/>
        </w:rPr>
        <w:t xml:space="preserve"> who are</w:t>
      </w:r>
      <w:r w:rsidR="00206511" w:rsidRPr="00E631B0">
        <w:rPr>
          <w:rFonts w:asciiTheme="minorHAnsi" w:eastAsia="Calibri" w:hAnsiTheme="minorHAnsi" w:cs="Times New Roman"/>
          <w:szCs w:val="24"/>
        </w:rPr>
        <w:t xml:space="preserve"> contraindicated or cannot tolerate</w:t>
      </w:r>
      <w:r w:rsidR="000B04D0" w:rsidRPr="00E631B0">
        <w:rPr>
          <w:rFonts w:asciiTheme="minorHAnsi" w:eastAsia="Calibri" w:hAnsiTheme="minorHAnsi" w:cs="Times New Roman"/>
          <w:szCs w:val="24"/>
        </w:rPr>
        <w:t xml:space="preserve"> higher </w:t>
      </w:r>
      <w:r w:rsidR="00206511" w:rsidRPr="00E631B0">
        <w:rPr>
          <w:rFonts w:asciiTheme="minorHAnsi" w:eastAsia="Calibri" w:hAnsiTheme="minorHAnsi" w:cs="Times New Roman"/>
          <w:szCs w:val="24"/>
        </w:rPr>
        <w:t>statin</w:t>
      </w:r>
      <w:r w:rsidR="000B04D0" w:rsidRPr="00E631B0">
        <w:rPr>
          <w:rFonts w:asciiTheme="minorHAnsi" w:eastAsia="Calibri" w:hAnsiTheme="minorHAnsi" w:cs="Times New Roman"/>
          <w:szCs w:val="24"/>
        </w:rPr>
        <w:t xml:space="preserve"> doses</w:t>
      </w:r>
      <w:r w:rsidR="00206511" w:rsidRPr="00E631B0">
        <w:rPr>
          <w:rFonts w:asciiTheme="minorHAnsi" w:eastAsia="Calibri" w:hAnsiTheme="minorHAnsi" w:cs="Times New Roman"/>
          <w:szCs w:val="24"/>
        </w:rPr>
        <w:t>, ezetimibe will provide additional benefits that could not otherwise be achieved.</w:t>
      </w:r>
    </w:p>
    <w:p w14:paraId="6484D9B0" w14:textId="77777777" w:rsidR="0000686B" w:rsidRPr="00E631B0" w:rsidRDefault="0000686B" w:rsidP="00AD7EAC">
      <w:pPr>
        <w:pStyle w:val="ListParagraph"/>
        <w:numPr>
          <w:ilvl w:val="0"/>
          <w:numId w:val="19"/>
        </w:numPr>
        <w:spacing w:after="120" w:line="240" w:lineRule="auto"/>
        <w:ind w:left="425" w:hanging="425"/>
        <w:contextualSpacing w:val="0"/>
        <w:jc w:val="left"/>
        <w:rPr>
          <w:rFonts w:asciiTheme="minorHAnsi" w:eastAsia="Calibri" w:hAnsiTheme="minorHAnsi" w:cs="Times New Roman"/>
          <w:szCs w:val="24"/>
        </w:rPr>
      </w:pPr>
      <w:r w:rsidRPr="00E631B0">
        <w:rPr>
          <w:rFonts w:asciiTheme="minorHAnsi" w:eastAsia="Calibri" w:hAnsiTheme="minorHAnsi" w:cs="Times New Roman"/>
          <w:szCs w:val="24"/>
        </w:rPr>
        <w:t xml:space="preserve">Ezetimibe monotherapy appeared to be well tolerated with a safety profile similar to placebo. </w:t>
      </w:r>
    </w:p>
    <w:p w14:paraId="57A016F1" w14:textId="77777777" w:rsidR="000D7BE3" w:rsidRPr="00E631B0" w:rsidRDefault="00343939" w:rsidP="00AD7EAC">
      <w:pPr>
        <w:pStyle w:val="ListParagraph"/>
        <w:numPr>
          <w:ilvl w:val="0"/>
          <w:numId w:val="19"/>
        </w:numPr>
        <w:spacing w:after="120" w:line="240" w:lineRule="auto"/>
        <w:ind w:left="426"/>
        <w:contextualSpacing w:val="0"/>
        <w:jc w:val="left"/>
        <w:rPr>
          <w:rFonts w:asciiTheme="minorHAnsi" w:hAnsiTheme="minorHAnsi"/>
        </w:rPr>
      </w:pPr>
      <w:r w:rsidRPr="00E631B0">
        <w:rPr>
          <w:rFonts w:asciiTheme="minorHAnsi" w:hAnsiTheme="minorHAnsi"/>
        </w:rPr>
        <w:t xml:space="preserve">The results of the </w:t>
      </w:r>
      <w:r w:rsidRPr="00E631B0">
        <w:rPr>
          <w:rFonts w:asciiTheme="minorHAnsi" w:hAnsiTheme="minorHAnsi"/>
          <w:szCs w:val="24"/>
        </w:rPr>
        <w:t>Bohula et al</w:t>
      </w:r>
      <w:r w:rsidR="00A12F22" w:rsidRPr="00E631B0">
        <w:rPr>
          <w:rStyle w:val="EndnoteReference"/>
          <w:rFonts w:asciiTheme="minorHAnsi" w:hAnsiTheme="minorHAnsi"/>
          <w:szCs w:val="24"/>
        </w:rPr>
        <w:endnoteReference w:id="52"/>
      </w:r>
      <w:r w:rsidR="004A06F1" w:rsidRPr="00E631B0">
        <w:rPr>
          <w:rFonts w:asciiTheme="minorHAnsi" w:hAnsiTheme="minorHAnsi"/>
          <w:szCs w:val="24"/>
        </w:rPr>
        <w:t xml:space="preserve"> </w:t>
      </w:r>
      <w:r w:rsidRPr="00E631B0">
        <w:rPr>
          <w:rFonts w:asciiTheme="minorHAnsi" w:hAnsiTheme="minorHAnsi"/>
          <w:szCs w:val="24"/>
        </w:rPr>
        <w:t xml:space="preserve">analysis of IMPROVE-IT showed significant benefit of ezetimibe/statin combination therapy only in those patients with very high cardiovascular risk. This </w:t>
      </w:r>
      <w:r w:rsidRPr="00E631B0">
        <w:rPr>
          <w:rFonts w:asciiTheme="minorHAnsi" w:hAnsiTheme="minorHAnsi"/>
        </w:rPr>
        <w:t>underlines the importance of restricting use of ezetimibe to second line therapy following optimal use of statins and in those patients with very high risk</w:t>
      </w:r>
      <w:r w:rsidR="003306B9" w:rsidRPr="00E631B0">
        <w:rPr>
          <w:rFonts w:asciiTheme="minorHAnsi" w:hAnsiTheme="minorHAnsi"/>
        </w:rPr>
        <w:t>.</w:t>
      </w:r>
    </w:p>
    <w:p w14:paraId="339D0BDF" w14:textId="77777777" w:rsidR="000B04D0" w:rsidRPr="00E631B0" w:rsidRDefault="0000686B" w:rsidP="00AD7EAC">
      <w:pPr>
        <w:pStyle w:val="ListParagraph"/>
        <w:numPr>
          <w:ilvl w:val="0"/>
          <w:numId w:val="19"/>
        </w:numPr>
        <w:spacing w:after="120" w:line="240" w:lineRule="auto"/>
        <w:ind w:left="426"/>
        <w:contextualSpacing w:val="0"/>
        <w:jc w:val="left"/>
        <w:rPr>
          <w:rFonts w:asciiTheme="minorHAnsi" w:hAnsiTheme="minorHAnsi"/>
        </w:rPr>
      </w:pPr>
      <w:r w:rsidRPr="00E631B0">
        <w:rPr>
          <w:rFonts w:asciiTheme="minorHAnsi" w:eastAsia="Calibri" w:hAnsiTheme="minorHAnsi" w:cs="Times New Roman"/>
          <w:szCs w:val="24"/>
        </w:rPr>
        <w:t xml:space="preserve">The </w:t>
      </w:r>
      <w:r w:rsidR="000B04D0" w:rsidRPr="00E631B0">
        <w:rPr>
          <w:rFonts w:asciiTheme="minorHAnsi" w:eastAsia="Calibri" w:hAnsiTheme="minorHAnsi" w:cs="Times New Roman"/>
          <w:szCs w:val="24"/>
        </w:rPr>
        <w:t xml:space="preserve">limited clinical </w:t>
      </w:r>
      <w:r w:rsidRPr="00E631B0">
        <w:rPr>
          <w:rFonts w:asciiTheme="minorHAnsi" w:eastAsia="Calibri" w:hAnsiTheme="minorHAnsi" w:cs="Times New Roman"/>
          <w:szCs w:val="24"/>
        </w:rPr>
        <w:t>evidence</w:t>
      </w:r>
      <w:r w:rsidR="000B04D0" w:rsidRPr="00E631B0">
        <w:rPr>
          <w:rFonts w:asciiTheme="minorHAnsi" w:eastAsia="Calibri" w:hAnsiTheme="minorHAnsi" w:cs="Times New Roman"/>
          <w:szCs w:val="24"/>
        </w:rPr>
        <w:t xml:space="preserve"> on long</w:t>
      </w:r>
      <w:r w:rsidR="00EE16D2" w:rsidRPr="00E631B0">
        <w:rPr>
          <w:rFonts w:asciiTheme="minorHAnsi" w:eastAsia="Calibri" w:hAnsiTheme="minorHAnsi" w:cs="Times New Roman"/>
          <w:szCs w:val="24"/>
        </w:rPr>
        <w:t>-</w:t>
      </w:r>
      <w:r w:rsidR="000B04D0" w:rsidRPr="00E631B0">
        <w:rPr>
          <w:rFonts w:asciiTheme="minorHAnsi" w:eastAsia="Calibri" w:hAnsiTheme="minorHAnsi" w:cs="Times New Roman"/>
          <w:szCs w:val="24"/>
        </w:rPr>
        <w:t xml:space="preserve">term patient relevant </w:t>
      </w:r>
      <w:r w:rsidR="004C7D89" w:rsidRPr="00E631B0">
        <w:rPr>
          <w:rFonts w:asciiTheme="minorHAnsi" w:eastAsia="Calibri" w:hAnsiTheme="minorHAnsi" w:cs="Times New Roman"/>
          <w:szCs w:val="24"/>
        </w:rPr>
        <w:t>outcomes</w:t>
      </w:r>
      <w:r w:rsidR="000B04D0" w:rsidRPr="00E631B0">
        <w:rPr>
          <w:rFonts w:asciiTheme="minorHAnsi" w:eastAsia="Calibri" w:hAnsiTheme="minorHAnsi" w:cs="Times New Roman"/>
          <w:szCs w:val="24"/>
        </w:rPr>
        <w:t xml:space="preserve"> and lack of applicability to the PBS population </w:t>
      </w:r>
      <w:r w:rsidRPr="00E631B0">
        <w:rPr>
          <w:rFonts w:asciiTheme="minorHAnsi" w:eastAsia="Calibri" w:hAnsiTheme="minorHAnsi" w:cs="Times New Roman"/>
          <w:szCs w:val="24"/>
        </w:rPr>
        <w:t>casts uncertainty over cost-effectiveness of ezetimibe in combination with statin versus</w:t>
      </w:r>
      <w:r w:rsidR="000B04D0" w:rsidRPr="00E631B0">
        <w:rPr>
          <w:rFonts w:asciiTheme="minorHAnsi" w:eastAsia="Calibri" w:hAnsiTheme="minorHAnsi" w:cs="Times New Roman"/>
          <w:szCs w:val="24"/>
        </w:rPr>
        <w:t xml:space="preserve"> maximally tolerated </w:t>
      </w:r>
      <w:r w:rsidRPr="00E631B0">
        <w:rPr>
          <w:rFonts w:asciiTheme="minorHAnsi" w:eastAsia="Calibri" w:hAnsiTheme="minorHAnsi" w:cs="Times New Roman"/>
          <w:szCs w:val="24"/>
        </w:rPr>
        <w:t>statin.</w:t>
      </w:r>
    </w:p>
    <w:p w14:paraId="2ADD2834" w14:textId="72E0C33A" w:rsidR="00C45AF0" w:rsidRPr="00E631B0" w:rsidRDefault="003848A8" w:rsidP="00AD7EAC">
      <w:pPr>
        <w:pStyle w:val="Heading3"/>
        <w:jc w:val="left"/>
      </w:pPr>
      <w:bookmarkStart w:id="89" w:name="_Toc500510245"/>
      <w:r w:rsidRPr="00E631B0">
        <w:t>3.</w:t>
      </w:r>
      <w:r w:rsidR="008810FB" w:rsidRPr="00E631B0">
        <w:t>1.2</w:t>
      </w:r>
      <w:r w:rsidR="008810FB" w:rsidRPr="00E631B0">
        <w:tab/>
      </w:r>
      <w:r w:rsidR="006842B1" w:rsidRPr="00E631B0">
        <w:t>Review of the Economic Modelling of E</w:t>
      </w:r>
      <w:r w:rsidR="00BA106C" w:rsidRPr="00E631B0">
        <w:t>zetimibe</w:t>
      </w:r>
      <w:bookmarkEnd w:id="89"/>
      <w:r w:rsidR="00BA106C" w:rsidRPr="00E631B0">
        <w:t xml:space="preserve"> </w:t>
      </w:r>
    </w:p>
    <w:p w14:paraId="015C2398" w14:textId="77777777" w:rsidR="006C6A60" w:rsidRPr="00E631B0" w:rsidRDefault="006C6A60" w:rsidP="00AD7EAC">
      <w:pPr>
        <w:pStyle w:val="ListParagraph"/>
        <w:numPr>
          <w:ilvl w:val="0"/>
          <w:numId w:val="34"/>
        </w:numPr>
        <w:spacing w:after="120" w:line="240" w:lineRule="auto"/>
        <w:contextualSpacing w:val="0"/>
        <w:jc w:val="left"/>
        <w:rPr>
          <w:rFonts w:asciiTheme="minorHAnsi" w:hAnsiTheme="minorHAnsi"/>
        </w:rPr>
      </w:pPr>
      <w:r w:rsidRPr="00E631B0">
        <w:rPr>
          <w:rFonts w:asciiTheme="minorHAnsi" w:hAnsiTheme="minorHAnsi"/>
        </w:rPr>
        <w:t>The base case Incremental Cost</w:t>
      </w:r>
      <w:r w:rsidR="00F7627D" w:rsidRPr="00E631B0">
        <w:rPr>
          <w:rFonts w:asciiTheme="minorHAnsi" w:hAnsiTheme="minorHAnsi"/>
        </w:rPr>
        <w:t>-</w:t>
      </w:r>
      <w:r w:rsidRPr="00E631B0">
        <w:rPr>
          <w:rFonts w:asciiTheme="minorHAnsi" w:hAnsiTheme="minorHAnsi"/>
        </w:rPr>
        <w:t>Effectiveness Ratio (ICER) presented in the sponsor’s submission is considered uncertain. This is because the approach used for extrapolating the benefits beyond the period of the trial follow-up is likely to have overestimated the incremental long</w:t>
      </w:r>
      <w:r w:rsidR="00F7627D" w:rsidRPr="00E631B0">
        <w:rPr>
          <w:rFonts w:asciiTheme="minorHAnsi" w:hAnsiTheme="minorHAnsi"/>
        </w:rPr>
        <w:t>-</w:t>
      </w:r>
      <w:r w:rsidRPr="00E631B0">
        <w:rPr>
          <w:rFonts w:asciiTheme="minorHAnsi" w:hAnsiTheme="minorHAnsi"/>
        </w:rPr>
        <w:t>term benefits associated with a combination of ezetimibe and a statin.</w:t>
      </w:r>
    </w:p>
    <w:p w14:paraId="46CE2362" w14:textId="4A0FA230" w:rsidR="006C6A60" w:rsidRPr="00E631B0" w:rsidRDefault="006C6A60" w:rsidP="005E0F22">
      <w:pPr>
        <w:pStyle w:val="ListParagraph"/>
        <w:numPr>
          <w:ilvl w:val="0"/>
          <w:numId w:val="34"/>
        </w:numPr>
        <w:spacing w:after="120" w:line="240" w:lineRule="auto"/>
        <w:jc w:val="left"/>
        <w:rPr>
          <w:rFonts w:asciiTheme="minorHAnsi" w:eastAsia="Calibri" w:hAnsiTheme="minorHAnsi" w:cs="Times New Roman"/>
          <w:szCs w:val="24"/>
        </w:rPr>
      </w:pPr>
      <w:r w:rsidRPr="00E631B0">
        <w:rPr>
          <w:rFonts w:asciiTheme="minorHAnsi" w:eastAsia="Calibri" w:hAnsiTheme="minorHAnsi" w:cs="Times New Roman"/>
          <w:szCs w:val="24"/>
        </w:rPr>
        <w:t>The evidence reporting on long</w:t>
      </w:r>
      <w:r w:rsidR="00F7627D" w:rsidRPr="00E631B0">
        <w:rPr>
          <w:rFonts w:asciiTheme="minorHAnsi" w:eastAsia="Calibri" w:hAnsiTheme="minorHAnsi" w:cs="Times New Roman"/>
          <w:szCs w:val="24"/>
        </w:rPr>
        <w:t>-</w:t>
      </w:r>
      <w:r w:rsidRPr="00E631B0">
        <w:rPr>
          <w:rFonts w:asciiTheme="minorHAnsi" w:eastAsia="Calibri" w:hAnsiTheme="minorHAnsi" w:cs="Times New Roman"/>
          <w:szCs w:val="24"/>
        </w:rPr>
        <w:t>term patient relevant outcomes casts uncertainty over the cost-effectiveness of ezetimibe in combination with statin versus statin monotherapy. This arises from the sensitivity of the ICER to the estimates of cl</w:t>
      </w:r>
      <w:r w:rsidR="0053643C" w:rsidRPr="00E631B0">
        <w:rPr>
          <w:rFonts w:asciiTheme="minorHAnsi" w:eastAsia="Calibri" w:hAnsiTheme="minorHAnsi" w:cs="Times New Roman"/>
          <w:szCs w:val="24"/>
        </w:rPr>
        <w:t>inical efficacy in terms of TC:</w:t>
      </w:r>
      <w:r w:rsidRPr="00E631B0">
        <w:rPr>
          <w:rFonts w:asciiTheme="minorHAnsi" w:eastAsia="Calibri" w:hAnsiTheme="minorHAnsi" w:cs="Times New Roman"/>
          <w:szCs w:val="24"/>
        </w:rPr>
        <w:t>HDL ratio provided in the sponsor’s submission an</w:t>
      </w:r>
      <w:r w:rsidR="00B94AAC" w:rsidRPr="00E631B0">
        <w:rPr>
          <w:rFonts w:asciiTheme="minorHAnsi" w:eastAsia="Calibri" w:hAnsiTheme="minorHAnsi" w:cs="Times New Roman"/>
          <w:szCs w:val="24"/>
        </w:rPr>
        <w:t>d those derived during the</w:t>
      </w:r>
      <w:r w:rsidR="0053643C" w:rsidRPr="00E631B0">
        <w:rPr>
          <w:rFonts w:asciiTheme="minorHAnsi" w:eastAsia="Calibri" w:hAnsiTheme="minorHAnsi" w:cs="Times New Roman"/>
          <w:szCs w:val="24"/>
        </w:rPr>
        <w:t xml:space="preserve"> PMR</w:t>
      </w:r>
      <w:r w:rsidR="00BE4210" w:rsidRPr="00E631B0">
        <w:rPr>
          <w:rFonts w:asciiTheme="minorHAnsi" w:eastAsia="Calibri" w:hAnsiTheme="minorHAnsi" w:cs="Times New Roman"/>
          <w:szCs w:val="24"/>
        </w:rPr>
        <w:t xml:space="preserve">. </w:t>
      </w:r>
      <w:r w:rsidR="00772922" w:rsidRPr="00E631B0">
        <w:rPr>
          <w:rFonts w:asciiTheme="minorHAnsi" w:eastAsia="Calibri" w:hAnsiTheme="minorHAnsi" w:cs="Times New Roman"/>
          <w:szCs w:val="24"/>
        </w:rPr>
        <w:t>A</w:t>
      </w:r>
      <w:r w:rsidR="00772922" w:rsidRPr="00E631B0">
        <w:rPr>
          <w:rFonts w:asciiTheme="minorHAnsi" w:eastAsiaTheme="minorEastAsia" w:hAnsiTheme="minorHAnsi"/>
          <w:lang w:eastAsia="zh-CN"/>
        </w:rPr>
        <w:t xml:space="preserve">lternative </w:t>
      </w:r>
      <w:r w:rsidR="00772922" w:rsidRPr="00E631B0">
        <w:rPr>
          <w:rFonts w:asciiTheme="minorHAnsi" w:hAnsiTheme="minorHAnsi"/>
        </w:rPr>
        <w:t>efficacy</w:t>
      </w:r>
      <w:r w:rsidR="00772922" w:rsidRPr="00E631B0">
        <w:rPr>
          <w:rFonts w:asciiTheme="minorHAnsi" w:eastAsiaTheme="minorEastAsia" w:hAnsiTheme="minorHAnsi"/>
          <w:lang w:eastAsia="zh-CN"/>
        </w:rPr>
        <w:t xml:space="preserve"> estimates were obtained for a </w:t>
      </w:r>
      <w:r w:rsidR="00772922" w:rsidRPr="00E631B0">
        <w:rPr>
          <w:rFonts w:asciiTheme="minorHAnsi" w:eastAsiaTheme="minorEastAsia" w:hAnsiTheme="minorHAnsi"/>
          <w:lang w:eastAsia="zh-CN"/>
        </w:rPr>
        <w:lastRenderedPageBreak/>
        <w:t xml:space="preserve">sensitivity analysis from the meta-analysis of trials that enrolled primary, secondary or mixed prevention populations. </w:t>
      </w:r>
      <w:r w:rsidR="00D07235" w:rsidRPr="00E631B0">
        <w:rPr>
          <w:rFonts w:asciiTheme="minorHAnsi" w:eastAsiaTheme="minorEastAsia" w:hAnsiTheme="minorHAnsi"/>
          <w:lang w:eastAsia="zh-CN"/>
        </w:rPr>
        <w:t>When t</w:t>
      </w:r>
      <w:r w:rsidR="00772922" w:rsidRPr="00E631B0">
        <w:rPr>
          <w:rFonts w:asciiTheme="minorHAnsi" w:eastAsiaTheme="minorEastAsia" w:hAnsiTheme="minorHAnsi"/>
          <w:lang w:eastAsia="zh-CN"/>
        </w:rPr>
        <w:t>he</w:t>
      </w:r>
      <w:r w:rsidR="00174DDF" w:rsidRPr="00E631B0">
        <w:rPr>
          <w:rFonts w:asciiTheme="minorHAnsi" w:eastAsiaTheme="minorEastAsia" w:hAnsiTheme="minorHAnsi"/>
          <w:lang w:eastAsia="zh-CN"/>
        </w:rPr>
        <w:t>se</w:t>
      </w:r>
      <w:r w:rsidR="00772922" w:rsidRPr="00E631B0">
        <w:rPr>
          <w:rFonts w:asciiTheme="minorHAnsi" w:eastAsiaTheme="minorEastAsia" w:hAnsiTheme="minorHAnsi"/>
          <w:lang w:eastAsia="zh-CN"/>
        </w:rPr>
        <w:t xml:space="preserve"> results </w:t>
      </w:r>
      <w:r w:rsidR="003F6888" w:rsidRPr="00E631B0">
        <w:rPr>
          <w:rFonts w:asciiTheme="minorHAnsi" w:eastAsiaTheme="minorEastAsia" w:hAnsiTheme="minorHAnsi"/>
          <w:lang w:eastAsia="zh-CN"/>
        </w:rPr>
        <w:t xml:space="preserve">were </w:t>
      </w:r>
      <w:r w:rsidR="00772922" w:rsidRPr="00E631B0">
        <w:rPr>
          <w:rFonts w:asciiTheme="minorHAnsi" w:eastAsiaTheme="minorEastAsia" w:hAnsiTheme="minorHAnsi"/>
          <w:lang w:eastAsia="zh-CN"/>
        </w:rPr>
        <w:t>used</w:t>
      </w:r>
      <w:r w:rsidR="00BE4210" w:rsidRPr="00E631B0">
        <w:rPr>
          <w:rFonts w:asciiTheme="minorHAnsi" w:eastAsiaTheme="minorEastAsia" w:hAnsiTheme="minorHAnsi"/>
          <w:lang w:eastAsia="zh-CN"/>
        </w:rPr>
        <w:t xml:space="preserve"> as input to the model (</w:t>
      </w:r>
      <w:r w:rsidR="00B577F2" w:rsidRPr="00E631B0">
        <w:rPr>
          <w:rFonts w:asciiTheme="minorHAnsi" w:eastAsiaTheme="minorEastAsia" w:hAnsiTheme="minorHAnsi"/>
          <w:lang w:eastAsia="zh-CN"/>
        </w:rPr>
        <w:t xml:space="preserve">reduction in </w:t>
      </w:r>
      <w:r w:rsidR="0053643C" w:rsidRPr="00E631B0">
        <w:rPr>
          <w:rFonts w:asciiTheme="minorHAnsi" w:eastAsiaTheme="minorEastAsia" w:hAnsiTheme="minorHAnsi"/>
          <w:lang w:eastAsia="zh-CN"/>
        </w:rPr>
        <w:t>TC:</w:t>
      </w:r>
      <w:r w:rsidR="00BE4210" w:rsidRPr="00E631B0">
        <w:rPr>
          <w:rFonts w:asciiTheme="minorHAnsi" w:eastAsiaTheme="minorEastAsia" w:hAnsiTheme="minorHAnsi"/>
          <w:lang w:eastAsia="zh-CN"/>
        </w:rPr>
        <w:t xml:space="preserve">HDL </w:t>
      </w:r>
      <w:r w:rsidR="00B577F2" w:rsidRPr="00E631B0">
        <w:rPr>
          <w:rFonts w:asciiTheme="minorHAnsi" w:eastAsiaTheme="minorEastAsia" w:hAnsiTheme="minorHAnsi"/>
          <w:lang w:eastAsia="zh-CN"/>
        </w:rPr>
        <w:t>ratios of -</w:t>
      </w:r>
      <w:r w:rsidR="00BE4210" w:rsidRPr="00E631B0">
        <w:rPr>
          <w:rFonts w:asciiTheme="minorHAnsi" w:eastAsiaTheme="minorEastAsia" w:hAnsiTheme="minorHAnsi"/>
          <w:lang w:eastAsia="zh-CN"/>
        </w:rPr>
        <w:t>18.84% v</w:t>
      </w:r>
      <w:r w:rsidR="00B577F2" w:rsidRPr="00E631B0">
        <w:rPr>
          <w:rFonts w:asciiTheme="minorHAnsi" w:eastAsiaTheme="minorEastAsia" w:hAnsiTheme="minorHAnsi"/>
          <w:lang w:eastAsia="zh-CN"/>
        </w:rPr>
        <w:t>ersus</w:t>
      </w:r>
      <w:r w:rsidR="00BE4210" w:rsidRPr="00E631B0">
        <w:rPr>
          <w:rFonts w:asciiTheme="minorHAnsi" w:eastAsiaTheme="minorEastAsia" w:hAnsiTheme="minorHAnsi"/>
          <w:lang w:eastAsia="zh-CN"/>
        </w:rPr>
        <w:t xml:space="preserve"> </w:t>
      </w:r>
      <w:r w:rsidR="00B577F2" w:rsidRPr="00E631B0">
        <w:rPr>
          <w:rFonts w:asciiTheme="minorHAnsi" w:eastAsiaTheme="minorEastAsia" w:hAnsiTheme="minorHAnsi"/>
          <w:lang w:eastAsia="zh-CN"/>
        </w:rPr>
        <w:t>-</w:t>
      </w:r>
      <w:r w:rsidR="00BE4210" w:rsidRPr="00E631B0">
        <w:rPr>
          <w:rFonts w:asciiTheme="minorHAnsi" w:eastAsiaTheme="minorEastAsia" w:hAnsiTheme="minorHAnsi"/>
          <w:lang w:eastAsia="zh-CN"/>
        </w:rPr>
        <w:t>9.65%</w:t>
      </w:r>
      <w:r w:rsidR="00B577F2" w:rsidRPr="00E631B0">
        <w:rPr>
          <w:rFonts w:asciiTheme="minorHAnsi" w:eastAsiaTheme="minorEastAsia" w:hAnsiTheme="minorHAnsi"/>
          <w:lang w:eastAsia="zh-CN"/>
        </w:rPr>
        <w:t xml:space="preserve"> i</w:t>
      </w:r>
      <w:r w:rsidR="0053643C" w:rsidRPr="00E631B0">
        <w:rPr>
          <w:rFonts w:asciiTheme="minorHAnsi" w:eastAsiaTheme="minorEastAsia" w:hAnsiTheme="minorHAnsi"/>
          <w:lang w:eastAsia="zh-CN"/>
        </w:rPr>
        <w:t xml:space="preserve">n ezetimibe and comparator arms, </w:t>
      </w:r>
      <w:r w:rsidR="00B577F2" w:rsidRPr="00E631B0">
        <w:rPr>
          <w:rFonts w:asciiTheme="minorHAnsi" w:eastAsiaTheme="minorEastAsia" w:hAnsiTheme="minorHAnsi"/>
          <w:lang w:eastAsia="zh-CN"/>
        </w:rPr>
        <w:t>respectively</w:t>
      </w:r>
      <w:r w:rsidR="00BE4210" w:rsidRPr="00E631B0">
        <w:rPr>
          <w:rFonts w:asciiTheme="minorHAnsi" w:eastAsiaTheme="minorEastAsia" w:hAnsiTheme="minorHAnsi"/>
          <w:lang w:eastAsia="zh-CN"/>
        </w:rPr>
        <w:t>) rather than the sponsor</w:t>
      </w:r>
      <w:r w:rsidR="003F6888" w:rsidRPr="00E631B0">
        <w:rPr>
          <w:rFonts w:asciiTheme="minorHAnsi" w:eastAsiaTheme="minorEastAsia" w:hAnsiTheme="minorHAnsi"/>
          <w:lang w:eastAsia="zh-CN"/>
        </w:rPr>
        <w:t>’s estimate</w:t>
      </w:r>
      <w:r w:rsidR="00174DDF" w:rsidRPr="00E631B0">
        <w:rPr>
          <w:rFonts w:asciiTheme="minorHAnsi" w:eastAsiaTheme="minorEastAsia" w:hAnsiTheme="minorHAnsi"/>
          <w:lang w:eastAsia="zh-CN"/>
        </w:rPr>
        <w:t>s</w:t>
      </w:r>
      <w:r w:rsidR="003F6888" w:rsidRPr="00E631B0">
        <w:rPr>
          <w:rFonts w:asciiTheme="minorHAnsi" w:eastAsiaTheme="minorEastAsia" w:hAnsiTheme="minorHAnsi"/>
          <w:lang w:eastAsia="zh-CN"/>
        </w:rPr>
        <w:t>, t</w:t>
      </w:r>
      <w:r w:rsidR="00BE4210" w:rsidRPr="00E631B0">
        <w:rPr>
          <w:rFonts w:asciiTheme="minorHAnsi" w:eastAsiaTheme="minorEastAsia" w:hAnsiTheme="minorHAnsi"/>
          <w:lang w:eastAsia="zh-CN"/>
        </w:rPr>
        <w:t xml:space="preserve">he base case ICER almost doubled </w:t>
      </w:r>
      <w:r w:rsidR="00174DDF" w:rsidRPr="00E631B0">
        <w:rPr>
          <w:rFonts w:asciiTheme="minorHAnsi" w:eastAsiaTheme="minorEastAsia" w:hAnsiTheme="minorHAnsi"/>
          <w:lang w:eastAsia="zh-CN"/>
        </w:rPr>
        <w:t>across all time horizons</w:t>
      </w:r>
      <w:r w:rsidR="00BE4210" w:rsidRPr="00E631B0">
        <w:rPr>
          <w:rFonts w:asciiTheme="minorHAnsi" w:eastAsiaTheme="minorEastAsia" w:hAnsiTheme="minorHAnsi"/>
          <w:lang w:eastAsia="zh-CN"/>
        </w:rPr>
        <w:t>.</w:t>
      </w:r>
    </w:p>
    <w:p w14:paraId="6D304409" w14:textId="77777777" w:rsidR="006C6A60" w:rsidRPr="00E631B0" w:rsidRDefault="006C6A60" w:rsidP="005E0F22">
      <w:pPr>
        <w:pStyle w:val="ListParagraph"/>
        <w:numPr>
          <w:ilvl w:val="0"/>
          <w:numId w:val="34"/>
        </w:numPr>
        <w:spacing w:after="120" w:line="240" w:lineRule="auto"/>
        <w:contextualSpacing w:val="0"/>
        <w:jc w:val="left"/>
        <w:rPr>
          <w:rFonts w:asciiTheme="minorHAnsi" w:hAnsiTheme="minorHAnsi"/>
        </w:rPr>
      </w:pPr>
      <w:r w:rsidRPr="00E631B0">
        <w:rPr>
          <w:rFonts w:asciiTheme="minorHAnsi" w:hAnsiTheme="minorHAnsi"/>
        </w:rPr>
        <w:t>An economic model based on the results of the IMPROVE-IT trial would not provide a reasonable estimate of the cost</w:t>
      </w:r>
      <w:r w:rsidR="00216B38" w:rsidRPr="00E631B0">
        <w:rPr>
          <w:rFonts w:asciiTheme="minorHAnsi" w:hAnsiTheme="minorHAnsi"/>
        </w:rPr>
        <w:t>-</w:t>
      </w:r>
      <w:r w:rsidRPr="00E631B0">
        <w:rPr>
          <w:rFonts w:asciiTheme="minorHAnsi" w:hAnsiTheme="minorHAnsi"/>
        </w:rPr>
        <w:t>effectiveness of current ezetimibe use on the PBS due to applicability issues.</w:t>
      </w:r>
    </w:p>
    <w:p w14:paraId="6FAF05FA" w14:textId="77777777" w:rsidR="006C6A60" w:rsidRPr="00E631B0" w:rsidRDefault="006C6A60" w:rsidP="005E0F22">
      <w:pPr>
        <w:pStyle w:val="ListParagraph"/>
        <w:numPr>
          <w:ilvl w:val="0"/>
          <w:numId w:val="34"/>
        </w:numPr>
        <w:spacing w:after="120" w:line="240" w:lineRule="auto"/>
        <w:jc w:val="left"/>
        <w:rPr>
          <w:rFonts w:asciiTheme="minorHAnsi" w:hAnsiTheme="minorHAnsi"/>
        </w:rPr>
      </w:pPr>
      <w:r w:rsidRPr="00E631B0">
        <w:rPr>
          <w:rFonts w:asciiTheme="minorHAnsi" w:eastAsia="Calibri" w:hAnsiTheme="minorHAnsi" w:cs="Times New Roman"/>
          <w:szCs w:val="24"/>
        </w:rPr>
        <w:t xml:space="preserve">The Reference Group agreed </w:t>
      </w:r>
      <w:r w:rsidR="000D7BE3" w:rsidRPr="00E631B0">
        <w:rPr>
          <w:rFonts w:asciiTheme="minorHAnsi" w:eastAsia="Calibri" w:hAnsiTheme="minorHAnsi" w:cs="Times New Roman"/>
          <w:szCs w:val="24"/>
        </w:rPr>
        <w:t xml:space="preserve">that </w:t>
      </w:r>
      <w:r w:rsidRPr="00E631B0">
        <w:rPr>
          <w:rFonts w:asciiTheme="minorHAnsi" w:eastAsia="Calibri" w:hAnsiTheme="minorHAnsi" w:cs="Times New Roman"/>
          <w:szCs w:val="24"/>
        </w:rPr>
        <w:t>in consider</w:t>
      </w:r>
      <w:r w:rsidR="00D07235" w:rsidRPr="00E631B0">
        <w:rPr>
          <w:rFonts w:asciiTheme="minorHAnsi" w:eastAsia="Calibri" w:hAnsiTheme="minorHAnsi" w:cs="Times New Roman"/>
          <w:szCs w:val="24"/>
        </w:rPr>
        <w:t xml:space="preserve">ing </w:t>
      </w:r>
      <w:r w:rsidRPr="00E631B0">
        <w:rPr>
          <w:rFonts w:asciiTheme="minorHAnsi" w:eastAsia="Calibri" w:hAnsiTheme="minorHAnsi" w:cs="Times New Roman"/>
          <w:szCs w:val="24"/>
        </w:rPr>
        <w:t>the cost-effectiveness of ezetimibe the</w:t>
      </w:r>
      <w:r w:rsidR="00D07235" w:rsidRPr="00E631B0">
        <w:rPr>
          <w:rFonts w:asciiTheme="minorHAnsi" w:eastAsia="Calibri" w:hAnsiTheme="minorHAnsi" w:cs="Times New Roman"/>
          <w:szCs w:val="24"/>
        </w:rPr>
        <w:t xml:space="preserve"> </w:t>
      </w:r>
      <w:r w:rsidRPr="00E631B0">
        <w:rPr>
          <w:rFonts w:asciiTheme="minorHAnsi" w:eastAsia="Calibri" w:hAnsiTheme="minorHAnsi" w:cs="Times New Roman"/>
          <w:szCs w:val="24"/>
        </w:rPr>
        <w:t>comparators</w:t>
      </w:r>
      <w:r w:rsidR="00D07235" w:rsidRPr="00E631B0">
        <w:rPr>
          <w:rFonts w:asciiTheme="minorHAnsi" w:eastAsia="Calibri" w:hAnsiTheme="minorHAnsi" w:cs="Times New Roman"/>
          <w:szCs w:val="24"/>
        </w:rPr>
        <w:t xml:space="preserve"> include</w:t>
      </w:r>
      <w:r w:rsidRPr="00E631B0">
        <w:rPr>
          <w:rFonts w:asciiTheme="minorHAnsi" w:eastAsia="Calibri" w:hAnsiTheme="minorHAnsi" w:cs="Times New Roman"/>
          <w:szCs w:val="24"/>
        </w:rPr>
        <w:t xml:space="preserve">: </w:t>
      </w:r>
    </w:p>
    <w:p w14:paraId="288539A3" w14:textId="77777777" w:rsidR="006C6A60" w:rsidRPr="00E631B0" w:rsidRDefault="006C6A60" w:rsidP="005E0F22">
      <w:pPr>
        <w:pStyle w:val="ListParagraph"/>
        <w:numPr>
          <w:ilvl w:val="1"/>
          <w:numId w:val="34"/>
        </w:numPr>
        <w:spacing w:after="120" w:line="240" w:lineRule="auto"/>
        <w:contextualSpacing w:val="0"/>
        <w:jc w:val="left"/>
        <w:rPr>
          <w:rFonts w:asciiTheme="minorHAnsi" w:eastAsia="Calibri" w:hAnsiTheme="minorHAnsi" w:cs="Times New Roman"/>
          <w:szCs w:val="24"/>
        </w:rPr>
      </w:pPr>
      <w:r w:rsidRPr="00E631B0">
        <w:rPr>
          <w:rFonts w:asciiTheme="minorHAnsi" w:eastAsia="Calibri" w:hAnsiTheme="minorHAnsi" w:cs="Times New Roman"/>
          <w:szCs w:val="24"/>
        </w:rPr>
        <w:t>placebo/non statin LLT for those pati</w:t>
      </w:r>
      <w:r w:rsidR="0053643C" w:rsidRPr="00E631B0">
        <w:rPr>
          <w:rFonts w:asciiTheme="minorHAnsi" w:eastAsia="Calibri" w:hAnsiTheme="minorHAnsi" w:cs="Times New Roman"/>
          <w:szCs w:val="24"/>
        </w:rPr>
        <w:t xml:space="preserve">ents contraindicated to statins; </w:t>
      </w:r>
      <w:r w:rsidRPr="00E631B0">
        <w:rPr>
          <w:rFonts w:asciiTheme="minorHAnsi" w:eastAsia="Calibri" w:hAnsiTheme="minorHAnsi" w:cs="Times New Roman"/>
          <w:szCs w:val="24"/>
        </w:rPr>
        <w:t>and</w:t>
      </w:r>
    </w:p>
    <w:p w14:paraId="1A00F8C2" w14:textId="77777777" w:rsidR="000D24F1" w:rsidRPr="00E631B0" w:rsidRDefault="006C6A60" w:rsidP="005E0F22">
      <w:pPr>
        <w:pStyle w:val="ListParagraph"/>
        <w:numPr>
          <w:ilvl w:val="1"/>
          <w:numId w:val="34"/>
        </w:numPr>
        <w:spacing w:after="120" w:line="240" w:lineRule="auto"/>
        <w:jc w:val="left"/>
        <w:rPr>
          <w:rFonts w:asciiTheme="minorHAnsi" w:eastAsia="Calibri" w:hAnsiTheme="minorHAnsi" w:cs="Times New Roman"/>
          <w:szCs w:val="24"/>
        </w:rPr>
      </w:pPr>
      <w:r w:rsidRPr="00E631B0">
        <w:rPr>
          <w:rFonts w:asciiTheme="minorHAnsi" w:eastAsia="Calibri" w:hAnsiTheme="minorHAnsi" w:cs="Times New Roman"/>
          <w:szCs w:val="24"/>
        </w:rPr>
        <w:t>up-titration of statin to maximum tolerated dose/switching to a higher potency statin.</w:t>
      </w:r>
    </w:p>
    <w:p w14:paraId="3253FC73" w14:textId="77777777" w:rsidR="0000686B" w:rsidRPr="00833088" w:rsidRDefault="003848A8" w:rsidP="005A2287">
      <w:pPr>
        <w:pStyle w:val="Heading2"/>
      </w:pPr>
      <w:bookmarkStart w:id="90" w:name="_Toc500510246"/>
      <w:r w:rsidRPr="00833088">
        <w:t>3.</w:t>
      </w:r>
      <w:r w:rsidR="0000686B" w:rsidRPr="00833088">
        <w:t>2</w:t>
      </w:r>
      <w:r w:rsidR="0000686B" w:rsidRPr="00833088">
        <w:tab/>
      </w:r>
      <w:r w:rsidR="007173D3" w:rsidRPr="00833088">
        <w:t>Evidence review on the clinical effectiveness of ezetimibe</w:t>
      </w:r>
      <w:bookmarkEnd w:id="90"/>
    </w:p>
    <w:p w14:paraId="5B0896AD" w14:textId="55789012" w:rsidR="0000686B" w:rsidRPr="00E631B0" w:rsidRDefault="0053643C" w:rsidP="005E0F22">
      <w:pPr>
        <w:pStyle w:val="ListParagraph"/>
        <w:spacing w:line="240" w:lineRule="auto"/>
        <w:ind w:left="0"/>
        <w:contextualSpacing w:val="0"/>
        <w:jc w:val="left"/>
        <w:rPr>
          <w:rFonts w:ascii="Calibri" w:eastAsia="Calibri" w:hAnsi="Calibri"/>
          <w:b/>
        </w:rPr>
      </w:pPr>
      <w:r w:rsidRPr="00E631B0">
        <w:rPr>
          <w:rFonts w:ascii="Calibri" w:eastAsia="Calibri" w:hAnsi="Calibri"/>
        </w:rPr>
        <w:t>The full systematic Literature R</w:t>
      </w:r>
      <w:r w:rsidR="0000686B" w:rsidRPr="00E631B0">
        <w:rPr>
          <w:rFonts w:ascii="Calibri" w:eastAsia="Calibri" w:hAnsi="Calibri"/>
        </w:rPr>
        <w:t xml:space="preserve">eview prepared by the </w:t>
      </w:r>
      <w:r w:rsidRPr="00E631B0">
        <w:rPr>
          <w:rFonts w:asciiTheme="minorHAnsi" w:hAnsiTheme="minorHAnsi"/>
        </w:rPr>
        <w:t>CPHR</w:t>
      </w:r>
      <w:r w:rsidR="0000686B" w:rsidRPr="00E631B0">
        <w:rPr>
          <w:rFonts w:asciiTheme="minorHAnsi" w:hAnsiTheme="minorHAnsi"/>
        </w:rPr>
        <w:t>, Deakin</w:t>
      </w:r>
      <w:r w:rsidR="0000686B" w:rsidRPr="00E631B0">
        <w:rPr>
          <w:rFonts w:ascii="Calibri" w:eastAsia="Calibri" w:hAnsi="Calibri"/>
        </w:rPr>
        <w:t xml:space="preserve">, is provided at </w:t>
      </w:r>
      <w:r w:rsidR="0000686B" w:rsidRPr="00E631B0">
        <w:rPr>
          <w:rFonts w:ascii="Calibri" w:eastAsia="Calibri" w:hAnsi="Calibri"/>
          <w:b/>
        </w:rPr>
        <w:t>Appendix I.</w:t>
      </w:r>
    </w:p>
    <w:p w14:paraId="73894EF3" w14:textId="77777777" w:rsidR="0000686B" w:rsidRPr="00E631B0" w:rsidRDefault="003848A8" w:rsidP="005E0F22">
      <w:pPr>
        <w:pStyle w:val="Heading3"/>
        <w:jc w:val="left"/>
      </w:pPr>
      <w:bookmarkStart w:id="91" w:name="_Toc500510247"/>
      <w:r w:rsidRPr="00E631B0">
        <w:t>3.</w:t>
      </w:r>
      <w:r w:rsidR="0000686B" w:rsidRPr="00E631B0">
        <w:t>2.1</w:t>
      </w:r>
      <w:r w:rsidR="0000686B" w:rsidRPr="00E631B0">
        <w:tab/>
        <w:t>Summary of the PBAC consideration and listing history</w:t>
      </w:r>
      <w:bookmarkEnd w:id="91"/>
      <w:r w:rsidR="0000686B" w:rsidRPr="00E631B0">
        <w:t xml:space="preserve"> </w:t>
      </w:r>
    </w:p>
    <w:p w14:paraId="75A6B3E4" w14:textId="0D3BDACF" w:rsidR="0000686B" w:rsidRPr="00E631B0" w:rsidRDefault="0053643C" w:rsidP="005E0F22">
      <w:pPr>
        <w:spacing w:line="240" w:lineRule="auto"/>
        <w:jc w:val="left"/>
        <w:rPr>
          <w:rFonts w:asciiTheme="minorHAnsi" w:hAnsiTheme="minorHAnsi"/>
        </w:rPr>
      </w:pPr>
      <w:r w:rsidRPr="00E631B0">
        <w:rPr>
          <w:rFonts w:asciiTheme="minorHAnsi" w:hAnsiTheme="minorHAnsi"/>
        </w:rPr>
        <w:t>A r</w:t>
      </w:r>
      <w:r w:rsidR="0000686B" w:rsidRPr="00E631B0">
        <w:rPr>
          <w:rFonts w:asciiTheme="minorHAnsi" w:hAnsiTheme="minorHAnsi"/>
        </w:rPr>
        <w:t>eview of the PBS listing history of ezetimibe and ezetimibe/statin combination products is presented in the Systematic Literature Review (</w:t>
      </w:r>
      <w:r w:rsidR="0000686B" w:rsidRPr="00E631B0">
        <w:rPr>
          <w:rFonts w:asciiTheme="minorHAnsi" w:hAnsiTheme="minorHAnsi"/>
          <w:b/>
        </w:rPr>
        <w:t>Appendix I</w:t>
      </w:r>
      <w:r w:rsidR="0000686B" w:rsidRPr="00E631B0">
        <w:rPr>
          <w:rFonts w:asciiTheme="minorHAnsi" w:hAnsiTheme="minorHAnsi"/>
        </w:rPr>
        <w:t>).</w:t>
      </w:r>
    </w:p>
    <w:p w14:paraId="17501629" w14:textId="4C45E9A0" w:rsidR="0000686B" w:rsidRPr="00E631B0" w:rsidRDefault="003848A8" w:rsidP="005E0F22">
      <w:pPr>
        <w:pStyle w:val="Heading3"/>
        <w:jc w:val="left"/>
      </w:pPr>
      <w:bookmarkStart w:id="92" w:name="_Toc500510248"/>
      <w:r w:rsidRPr="00E631B0">
        <w:t>3.</w:t>
      </w:r>
      <w:r w:rsidR="0053643C" w:rsidRPr="00E631B0">
        <w:t>2.2</w:t>
      </w:r>
      <w:r w:rsidR="0053643C" w:rsidRPr="00E631B0">
        <w:tab/>
        <w:t>Systematic L</w:t>
      </w:r>
      <w:r w:rsidR="0000686B" w:rsidRPr="00E631B0">
        <w:t xml:space="preserve">iterature </w:t>
      </w:r>
      <w:r w:rsidR="0053643C" w:rsidRPr="00E631B0">
        <w:t>R</w:t>
      </w:r>
      <w:r w:rsidR="0000686B" w:rsidRPr="00E631B0">
        <w:t>eview</w:t>
      </w:r>
      <w:bookmarkEnd w:id="92"/>
    </w:p>
    <w:p w14:paraId="766EDEC2" w14:textId="77777777" w:rsidR="0000686B" w:rsidRPr="00E631B0" w:rsidRDefault="0000686B" w:rsidP="005E0F22">
      <w:pPr>
        <w:spacing w:line="240" w:lineRule="auto"/>
        <w:jc w:val="left"/>
        <w:rPr>
          <w:rFonts w:asciiTheme="minorHAnsi" w:hAnsiTheme="minorHAnsi"/>
        </w:rPr>
      </w:pPr>
      <w:r w:rsidRPr="00E631B0">
        <w:rPr>
          <w:rFonts w:asciiTheme="minorHAnsi" w:hAnsiTheme="minorHAnsi"/>
        </w:rPr>
        <w:t xml:space="preserve">The literature search identified all randomised controlled trials (RCTs) or meta-analyses that evaluated the effect of ezetimibe as monotherapy or in combination with a statin. </w:t>
      </w:r>
    </w:p>
    <w:p w14:paraId="1664BDB4" w14:textId="1815C20F" w:rsidR="0000686B" w:rsidRPr="00E631B0" w:rsidRDefault="0000686B" w:rsidP="005E0F22">
      <w:pPr>
        <w:spacing w:line="240" w:lineRule="auto"/>
        <w:jc w:val="left"/>
        <w:rPr>
          <w:rFonts w:asciiTheme="minorHAnsi" w:hAnsiTheme="minorHAnsi"/>
        </w:rPr>
      </w:pPr>
      <w:r w:rsidRPr="00E631B0">
        <w:rPr>
          <w:rFonts w:asciiTheme="minorHAnsi" w:hAnsiTheme="minorHAnsi"/>
        </w:rPr>
        <w:t xml:space="preserve">The major databases including MEDLINE, EMBASE, and Cochrane databases were searched to identify peer-reviewed publications relating to ezetimibe in treating adult patients with familial or non-familial hypercholesterolemia. Registries of RCTs, sponsors’ PBAC submissions and PBAC commentaries were searched. A manual search of reference lists of all relevant publications was undertaken. The </w:t>
      </w:r>
      <w:hyperlink r:id="rId26" w:history="1">
        <w:r w:rsidRPr="00405B5C">
          <w:rPr>
            <w:rStyle w:val="Hyperlink"/>
            <w:rFonts w:asciiTheme="minorHAnsi" w:hAnsiTheme="minorHAnsi"/>
          </w:rPr>
          <w:t>Clinical Trial Registry</w:t>
        </w:r>
      </w:hyperlink>
      <w:r w:rsidRPr="00833088">
        <w:rPr>
          <w:rFonts w:asciiTheme="minorHAnsi" w:hAnsiTheme="minorHAnsi"/>
        </w:rPr>
        <w:t xml:space="preserve"> </w:t>
      </w:r>
      <w:r w:rsidRPr="00E631B0">
        <w:rPr>
          <w:rFonts w:asciiTheme="minorHAnsi" w:hAnsiTheme="minorHAnsi"/>
        </w:rPr>
        <w:t>was accessed to identify any registered and completed phase III or IV clinical trials involving ezetimibe for treatment of hypercholesterolaemia. Selection criteria are presented in the Literature Review, Table 2.2.1, p</w:t>
      </w:r>
      <w:r w:rsidR="00405B5C" w:rsidRPr="00E631B0">
        <w:rPr>
          <w:rFonts w:asciiTheme="minorHAnsi" w:hAnsiTheme="minorHAnsi"/>
        </w:rPr>
        <w:t xml:space="preserve"> </w:t>
      </w:r>
      <w:r w:rsidRPr="00E631B0">
        <w:rPr>
          <w:rFonts w:asciiTheme="minorHAnsi" w:hAnsiTheme="minorHAnsi"/>
        </w:rPr>
        <w:t>9 (</w:t>
      </w:r>
      <w:r w:rsidRPr="00E631B0">
        <w:rPr>
          <w:rFonts w:asciiTheme="minorHAnsi" w:hAnsiTheme="minorHAnsi"/>
          <w:b/>
        </w:rPr>
        <w:t>Appendix I</w:t>
      </w:r>
      <w:r w:rsidRPr="00E631B0">
        <w:rPr>
          <w:rFonts w:asciiTheme="minorHAnsi" w:hAnsiTheme="minorHAnsi"/>
        </w:rPr>
        <w:t>).</w:t>
      </w:r>
    </w:p>
    <w:p w14:paraId="31CE5438" w14:textId="77777777" w:rsidR="0000686B" w:rsidRPr="00E631B0" w:rsidRDefault="0000686B" w:rsidP="005E0F22">
      <w:pPr>
        <w:spacing w:line="240" w:lineRule="auto"/>
        <w:jc w:val="left"/>
        <w:rPr>
          <w:rFonts w:asciiTheme="minorHAnsi" w:hAnsiTheme="minorHAnsi"/>
        </w:rPr>
      </w:pPr>
      <w:r w:rsidRPr="00E631B0">
        <w:rPr>
          <w:rFonts w:asciiTheme="minorHAnsi" w:hAnsiTheme="minorHAnsi"/>
        </w:rPr>
        <w:t>The search identified 14 publications presenting results of 11 systematic reviews</w:t>
      </w:r>
      <w:r w:rsidR="00405B5C" w:rsidRPr="00E631B0">
        <w:rPr>
          <w:rFonts w:asciiTheme="minorHAnsi" w:hAnsiTheme="minorHAnsi"/>
        </w:rPr>
        <w:t>,</w:t>
      </w:r>
      <w:r w:rsidRPr="00E631B0">
        <w:rPr>
          <w:rFonts w:asciiTheme="minorHAnsi" w:hAnsiTheme="minorHAnsi"/>
        </w:rPr>
        <w:t xml:space="preserve"> and 62 publications that provided results from 30 RCTs.</w:t>
      </w:r>
    </w:p>
    <w:p w14:paraId="5381BA2A" w14:textId="77777777" w:rsidR="0000686B" w:rsidRPr="00E631B0" w:rsidRDefault="003848A8" w:rsidP="005E0F22">
      <w:pPr>
        <w:pStyle w:val="Heading3"/>
        <w:jc w:val="left"/>
      </w:pPr>
      <w:bookmarkStart w:id="93" w:name="_Toc500510249"/>
      <w:r w:rsidRPr="00E631B0">
        <w:t>3.</w:t>
      </w:r>
      <w:r w:rsidR="0000686B" w:rsidRPr="00E631B0">
        <w:t>2.3</w:t>
      </w:r>
      <w:r w:rsidR="0000686B" w:rsidRPr="00E631B0">
        <w:tab/>
        <w:t>Recently published literature</w:t>
      </w:r>
      <w:bookmarkEnd w:id="93"/>
    </w:p>
    <w:p w14:paraId="32CFC496" w14:textId="5FFBE4B5" w:rsidR="0000686B" w:rsidRPr="00E631B0" w:rsidRDefault="0000686B" w:rsidP="005E0F22">
      <w:pPr>
        <w:spacing w:line="240" w:lineRule="auto"/>
        <w:jc w:val="left"/>
        <w:rPr>
          <w:rFonts w:asciiTheme="minorHAnsi" w:hAnsiTheme="minorHAnsi"/>
        </w:rPr>
      </w:pPr>
      <w:r w:rsidRPr="00E631B0">
        <w:rPr>
          <w:rFonts w:asciiTheme="minorHAnsi" w:hAnsiTheme="minorHAnsi"/>
        </w:rPr>
        <w:t>In addition to the published evidence in the CPHR</w:t>
      </w:r>
      <w:r w:rsidR="00BA106C" w:rsidRPr="00E631B0">
        <w:rPr>
          <w:rFonts w:asciiTheme="minorHAnsi" w:hAnsiTheme="minorHAnsi"/>
        </w:rPr>
        <w:t xml:space="preserve"> </w:t>
      </w:r>
      <w:r w:rsidR="00405B5C" w:rsidRPr="00E631B0">
        <w:rPr>
          <w:rFonts w:asciiTheme="minorHAnsi" w:hAnsiTheme="minorHAnsi"/>
        </w:rPr>
        <w:t>Literature R</w:t>
      </w:r>
      <w:r w:rsidRPr="00E631B0">
        <w:rPr>
          <w:rFonts w:asciiTheme="minorHAnsi" w:hAnsiTheme="minorHAnsi"/>
        </w:rPr>
        <w:t>eview, the Reference Group considered recently published literature</w:t>
      </w:r>
      <w:r w:rsidR="00F21D61" w:rsidRPr="00E631B0">
        <w:rPr>
          <w:rStyle w:val="EndnoteReference"/>
          <w:rFonts w:asciiTheme="minorHAnsi" w:hAnsiTheme="minorHAnsi"/>
        </w:rPr>
        <w:endnoteReference w:id="53"/>
      </w:r>
      <w:r w:rsidR="00405B5C" w:rsidRPr="00E631B0">
        <w:rPr>
          <w:rFonts w:asciiTheme="minorHAnsi" w:hAnsiTheme="minorHAnsi"/>
          <w:vertAlign w:val="superscript"/>
        </w:rPr>
        <w:t>,</w:t>
      </w:r>
      <w:r w:rsidR="00F21D61" w:rsidRPr="00E631B0">
        <w:rPr>
          <w:rStyle w:val="EndnoteReference"/>
          <w:rFonts w:asciiTheme="minorHAnsi" w:hAnsiTheme="minorHAnsi"/>
        </w:rPr>
        <w:endnoteReference w:id="54"/>
      </w:r>
      <w:r w:rsidR="00405B5C" w:rsidRPr="00E631B0">
        <w:rPr>
          <w:rFonts w:asciiTheme="minorHAnsi" w:hAnsiTheme="minorHAnsi"/>
          <w:vertAlign w:val="superscript"/>
        </w:rPr>
        <w:t>,</w:t>
      </w:r>
      <w:r w:rsidR="00F21D61" w:rsidRPr="00E631B0">
        <w:rPr>
          <w:rStyle w:val="EndnoteReference"/>
          <w:rFonts w:asciiTheme="minorHAnsi" w:hAnsiTheme="minorHAnsi"/>
        </w:rPr>
        <w:endnoteReference w:id="55"/>
      </w:r>
      <w:r w:rsidR="00405B5C" w:rsidRPr="00E631B0">
        <w:rPr>
          <w:rFonts w:asciiTheme="minorHAnsi" w:hAnsiTheme="minorHAnsi"/>
          <w:vertAlign w:val="superscript"/>
        </w:rPr>
        <w:t>,</w:t>
      </w:r>
      <w:r w:rsidR="00F21D61" w:rsidRPr="00E631B0">
        <w:rPr>
          <w:rStyle w:val="EndnoteReference"/>
          <w:rFonts w:asciiTheme="minorHAnsi" w:hAnsiTheme="minorHAnsi"/>
        </w:rPr>
        <w:endnoteReference w:id="56"/>
      </w:r>
      <w:r w:rsidR="00F21D61" w:rsidRPr="00E631B0">
        <w:rPr>
          <w:rFonts w:asciiTheme="minorHAnsi" w:hAnsiTheme="minorHAnsi"/>
        </w:rPr>
        <w:t xml:space="preserve"> </w:t>
      </w:r>
      <w:r w:rsidR="00F01861" w:rsidRPr="00E631B0">
        <w:rPr>
          <w:rFonts w:asciiTheme="minorHAnsi" w:hAnsiTheme="minorHAnsi"/>
        </w:rPr>
        <w:t>t</w:t>
      </w:r>
      <w:r w:rsidRPr="00E631B0">
        <w:rPr>
          <w:rFonts w:asciiTheme="minorHAnsi" w:hAnsiTheme="minorHAnsi"/>
        </w:rPr>
        <w:t xml:space="preserve">o inform the response to </w:t>
      </w:r>
      <w:r w:rsidR="00405B5C" w:rsidRPr="00E631B0">
        <w:rPr>
          <w:rFonts w:asciiTheme="minorHAnsi" w:hAnsiTheme="minorHAnsi"/>
        </w:rPr>
        <w:t xml:space="preserve">TOR </w:t>
      </w:r>
      <w:r w:rsidRPr="00E631B0">
        <w:rPr>
          <w:rFonts w:asciiTheme="minorHAnsi" w:hAnsiTheme="minorHAnsi"/>
        </w:rPr>
        <w:t xml:space="preserve">3. In particular, the Reference Group sought information on the costs and uncertainties around the benefits of adding non-statin LLTs to statin therapy, the </w:t>
      </w:r>
      <w:r w:rsidRPr="00E631B0">
        <w:rPr>
          <w:rFonts w:asciiTheme="minorHAnsi" w:hAnsiTheme="minorHAnsi"/>
        </w:rPr>
        <w:lastRenderedPageBreak/>
        <w:t>ordering of LLT</w:t>
      </w:r>
      <w:r w:rsidR="00405B5C" w:rsidRPr="00E631B0">
        <w:rPr>
          <w:rFonts w:asciiTheme="minorHAnsi" w:hAnsiTheme="minorHAnsi"/>
        </w:rPr>
        <w:t>,</w:t>
      </w:r>
      <w:r w:rsidRPr="00E631B0">
        <w:rPr>
          <w:rFonts w:asciiTheme="minorHAnsi" w:hAnsiTheme="minorHAnsi"/>
        </w:rPr>
        <w:t xml:space="preserve"> and the cost</w:t>
      </w:r>
      <w:r w:rsidR="00216B38" w:rsidRPr="00E631B0">
        <w:rPr>
          <w:rFonts w:asciiTheme="minorHAnsi" w:hAnsiTheme="minorHAnsi"/>
        </w:rPr>
        <w:t>-</w:t>
      </w:r>
      <w:r w:rsidRPr="00E631B0">
        <w:rPr>
          <w:rFonts w:asciiTheme="minorHAnsi" w:hAnsiTheme="minorHAnsi"/>
        </w:rPr>
        <w:t>effectiveness of a more aggressive approach in lowering baseline LDL-C concentrations.</w:t>
      </w:r>
    </w:p>
    <w:p w14:paraId="67B57479" w14:textId="65C10CA9" w:rsidR="0000686B" w:rsidRPr="00E631B0" w:rsidRDefault="0000686B" w:rsidP="005E0F22">
      <w:pPr>
        <w:spacing w:line="240" w:lineRule="auto"/>
        <w:jc w:val="left"/>
        <w:rPr>
          <w:rFonts w:asciiTheme="minorHAnsi" w:hAnsiTheme="minorHAnsi"/>
        </w:rPr>
      </w:pPr>
      <w:r w:rsidRPr="00E631B0">
        <w:rPr>
          <w:rFonts w:asciiTheme="minorHAnsi" w:hAnsiTheme="minorHAnsi"/>
          <w:szCs w:val="24"/>
        </w:rPr>
        <w:t xml:space="preserve">The Reference Group </w:t>
      </w:r>
      <w:r w:rsidR="005B045E" w:rsidRPr="00E631B0">
        <w:rPr>
          <w:rFonts w:asciiTheme="minorHAnsi" w:hAnsiTheme="minorHAnsi"/>
          <w:szCs w:val="24"/>
        </w:rPr>
        <w:t xml:space="preserve">noted </w:t>
      </w:r>
      <w:r w:rsidRPr="00E631B0">
        <w:rPr>
          <w:rFonts w:asciiTheme="minorHAnsi" w:hAnsiTheme="minorHAnsi"/>
          <w:szCs w:val="24"/>
        </w:rPr>
        <w:t>a recently published study (Bohula et al</w:t>
      </w:r>
      <w:r w:rsidR="00F21D61" w:rsidRPr="00E631B0">
        <w:rPr>
          <w:rStyle w:val="EndnoteReference"/>
          <w:rFonts w:asciiTheme="minorHAnsi" w:hAnsiTheme="minorHAnsi"/>
          <w:szCs w:val="24"/>
        </w:rPr>
        <w:endnoteReference w:id="57"/>
      </w:r>
      <w:r w:rsidR="00405B5C" w:rsidRPr="00E631B0">
        <w:rPr>
          <w:rFonts w:asciiTheme="minorHAnsi" w:hAnsiTheme="minorHAnsi"/>
          <w:szCs w:val="24"/>
        </w:rPr>
        <w:t>)</w:t>
      </w:r>
      <w:r w:rsidR="00F21D61" w:rsidRPr="00E631B0">
        <w:rPr>
          <w:rFonts w:asciiTheme="minorHAnsi" w:hAnsiTheme="minorHAnsi"/>
          <w:szCs w:val="24"/>
        </w:rPr>
        <w:t>,</w:t>
      </w:r>
      <w:r w:rsidR="00D562EB" w:rsidRPr="00E631B0">
        <w:rPr>
          <w:rFonts w:asciiTheme="minorHAnsi" w:hAnsiTheme="minorHAnsi"/>
          <w:szCs w:val="24"/>
        </w:rPr>
        <w:t xml:space="preserve"> which was an </w:t>
      </w:r>
      <w:r w:rsidR="00D562EB" w:rsidRPr="00E631B0">
        <w:rPr>
          <w:rFonts w:asciiTheme="minorHAnsi" w:hAnsiTheme="minorHAnsi"/>
        </w:rPr>
        <w:t>analysis of the IMPROVE-IT trial.</w:t>
      </w:r>
      <w:r w:rsidRPr="00E631B0">
        <w:rPr>
          <w:rFonts w:asciiTheme="minorHAnsi" w:hAnsiTheme="minorHAnsi"/>
          <w:szCs w:val="24"/>
        </w:rPr>
        <w:t xml:space="preserve"> </w:t>
      </w:r>
      <w:r w:rsidRPr="00E631B0">
        <w:rPr>
          <w:rFonts w:asciiTheme="minorHAnsi" w:hAnsiTheme="minorHAnsi"/>
        </w:rPr>
        <w:t xml:space="preserve">The study tested the hypothesis that atherothrombotic risk stratification may be useful to identify </w:t>
      </w:r>
      <w:r w:rsidR="004C7D89" w:rsidRPr="00E631B0">
        <w:rPr>
          <w:rFonts w:asciiTheme="minorHAnsi" w:hAnsiTheme="minorHAnsi"/>
        </w:rPr>
        <w:t>post-acute</w:t>
      </w:r>
      <w:r w:rsidRPr="00E631B0">
        <w:rPr>
          <w:rFonts w:asciiTheme="minorHAnsi" w:hAnsiTheme="minorHAnsi"/>
        </w:rPr>
        <w:t xml:space="preserve"> coronary syndrome (ACS) patients who have the greatest potential for benefit from the addition of ezetimibe to statin therapy. The study used the TIMI (Thrombolysis In Myocardial Infarction) Risk Score for Secondary Prevention (TRS2ºP), a 9 point stratification tool previously developed in a large population with atherothrombosis to predict CV death, </w:t>
      </w:r>
      <w:r w:rsidR="00405B5C" w:rsidRPr="00E631B0">
        <w:rPr>
          <w:rFonts w:asciiTheme="minorHAnsi" w:hAnsiTheme="minorHAnsi"/>
        </w:rPr>
        <w:t>myocardial infarction (</w:t>
      </w:r>
      <w:r w:rsidRPr="00E631B0">
        <w:rPr>
          <w:rFonts w:asciiTheme="minorHAnsi" w:hAnsiTheme="minorHAnsi"/>
        </w:rPr>
        <w:t>MI</w:t>
      </w:r>
      <w:r w:rsidR="00405B5C" w:rsidRPr="00E631B0">
        <w:rPr>
          <w:rFonts w:asciiTheme="minorHAnsi" w:hAnsiTheme="minorHAnsi"/>
        </w:rPr>
        <w:t>)</w:t>
      </w:r>
      <w:r w:rsidRPr="00E631B0">
        <w:rPr>
          <w:rFonts w:asciiTheme="minorHAnsi" w:hAnsiTheme="minorHAnsi"/>
        </w:rPr>
        <w:t xml:space="preserve">, and ischaemic stroke. The TRS2ºP risk indicators were congestive heart failure, hypertension, age 75 years or older, diabetes mellitus, prior stroke, prior coronary artery bypass graft, peripheral artery disease, </w:t>
      </w:r>
      <w:r w:rsidR="00405B5C" w:rsidRPr="00E631B0">
        <w:rPr>
          <w:rFonts w:asciiTheme="minorHAnsi" w:hAnsiTheme="minorHAnsi"/>
        </w:rPr>
        <w:t xml:space="preserve">eGFR </w:t>
      </w:r>
      <w:r w:rsidRPr="00E631B0">
        <w:rPr>
          <w:rFonts w:asciiTheme="minorHAnsi" w:hAnsiTheme="minorHAnsi"/>
        </w:rPr>
        <w:t>less than 60 mL/min</w:t>
      </w:r>
      <w:r w:rsidR="00405B5C" w:rsidRPr="00E631B0">
        <w:rPr>
          <w:rFonts w:asciiTheme="minorHAnsi" w:hAnsiTheme="minorHAnsi"/>
        </w:rPr>
        <w:t>,</w:t>
      </w:r>
      <w:r w:rsidRPr="00E631B0">
        <w:rPr>
          <w:rFonts w:asciiTheme="minorHAnsi" w:hAnsiTheme="minorHAnsi"/>
        </w:rPr>
        <w:t xml:space="preserve"> and smoking. The tool was applied prospectiv</w:t>
      </w:r>
      <w:r w:rsidR="00405B5C" w:rsidRPr="00E631B0">
        <w:rPr>
          <w:rFonts w:asciiTheme="minorHAnsi" w:hAnsiTheme="minorHAnsi"/>
        </w:rPr>
        <w:t>ely to 17,700 (IMPROVE-IT) post-</w:t>
      </w:r>
      <w:r w:rsidRPr="00E631B0">
        <w:rPr>
          <w:rFonts w:asciiTheme="minorHAnsi" w:hAnsiTheme="minorHAnsi"/>
        </w:rPr>
        <w:t xml:space="preserve">ACS patients randomised to ezetimibe + simvastatin or simvastatin + placebo. Treatment efficacy was assessed by baseline risk for </w:t>
      </w:r>
      <w:r w:rsidR="00405B5C" w:rsidRPr="00E631B0">
        <w:rPr>
          <w:rFonts w:asciiTheme="minorHAnsi" w:hAnsiTheme="minorHAnsi"/>
        </w:rPr>
        <w:t>CV death/MI</w:t>
      </w:r>
      <w:r w:rsidRPr="00E631B0">
        <w:rPr>
          <w:rFonts w:asciiTheme="minorHAnsi" w:hAnsiTheme="minorHAnsi"/>
        </w:rPr>
        <w:t>/ischaemic stroke, the IMPROVE-IT composite endpoints</w:t>
      </w:r>
      <w:r w:rsidR="00405B5C" w:rsidRPr="00E631B0">
        <w:rPr>
          <w:rFonts w:asciiTheme="minorHAnsi" w:hAnsiTheme="minorHAnsi"/>
        </w:rPr>
        <w:t>,</w:t>
      </w:r>
      <w:r w:rsidRPr="00E631B0">
        <w:rPr>
          <w:rFonts w:asciiTheme="minorHAnsi" w:hAnsiTheme="minorHAnsi"/>
        </w:rPr>
        <w:t xml:space="preserve"> and individual component endpoints at 7 years.</w:t>
      </w:r>
    </w:p>
    <w:p w14:paraId="374238D3" w14:textId="4B060C51" w:rsidR="00E30DCB" w:rsidRPr="00E631B0" w:rsidRDefault="00405B5C" w:rsidP="005E0F22">
      <w:pPr>
        <w:spacing w:line="240" w:lineRule="auto"/>
        <w:jc w:val="left"/>
        <w:rPr>
          <w:rFonts w:asciiTheme="minorHAnsi" w:hAnsiTheme="minorHAnsi"/>
        </w:rPr>
      </w:pPr>
      <w:r w:rsidRPr="00E631B0">
        <w:rPr>
          <w:rFonts w:asciiTheme="minorHAnsi" w:hAnsiTheme="minorHAnsi"/>
        </w:rPr>
        <w:t>All nine</w:t>
      </w:r>
      <w:r w:rsidR="0000686B" w:rsidRPr="00E631B0">
        <w:rPr>
          <w:rFonts w:asciiTheme="minorHAnsi" w:hAnsiTheme="minorHAnsi"/>
        </w:rPr>
        <w:t xml:space="preserve"> clinical variables in the TRS2ºP were independent risk indicators for CV death/MI/ischaemic stroke. The integer based scheme showed a strong graded relationship with the rate of CV death/MI/ischaemic stroke, the trial composite endpoints and the individual components. The paper concluded atherothrombotic risk stratification using the TRS2ºP identifies high risk patients who derive greatest benefit from the addition of ezetimibe to statin therapy for secondary prevention following ACS. </w:t>
      </w:r>
      <w:r w:rsidRPr="00E631B0">
        <w:rPr>
          <w:rFonts w:asciiTheme="minorHAnsi" w:hAnsiTheme="minorHAnsi"/>
        </w:rPr>
        <w:t>High risk patients (those with three</w:t>
      </w:r>
      <w:r w:rsidR="0000686B" w:rsidRPr="00E631B0">
        <w:rPr>
          <w:rFonts w:asciiTheme="minorHAnsi" w:hAnsiTheme="minorHAnsi"/>
        </w:rPr>
        <w:t xml:space="preserve"> or more risk indicators) had an absolute risk reduction of 6.3%, (95% CI: 2.9%-9.7%</w:t>
      </w:r>
      <w:r w:rsidRPr="00E631B0">
        <w:rPr>
          <w:rFonts w:asciiTheme="minorHAnsi" w:hAnsiTheme="minorHAnsi"/>
        </w:rPr>
        <w:t>). Intermediate risk patients (two</w:t>
      </w:r>
      <w:r w:rsidR="0000686B" w:rsidRPr="00E631B0">
        <w:rPr>
          <w:rFonts w:asciiTheme="minorHAnsi" w:hAnsiTheme="minorHAnsi"/>
        </w:rPr>
        <w:t xml:space="preserve"> risk indicators) had a 2.2% absolute risk reduction, wh</w:t>
      </w:r>
      <w:r w:rsidRPr="00E631B0">
        <w:rPr>
          <w:rFonts w:asciiTheme="minorHAnsi" w:hAnsiTheme="minorHAnsi"/>
        </w:rPr>
        <w:t>ilst low risk patients (nil to one</w:t>
      </w:r>
      <w:r w:rsidR="0000686B" w:rsidRPr="00E631B0">
        <w:rPr>
          <w:rFonts w:asciiTheme="minorHAnsi" w:hAnsiTheme="minorHAnsi"/>
        </w:rPr>
        <w:t xml:space="preserve"> risk factor) showed no benefit from the addition of ezetimibe. </w:t>
      </w:r>
    </w:p>
    <w:p w14:paraId="028ABB97" w14:textId="77777777" w:rsidR="0000686B" w:rsidRPr="00E631B0" w:rsidRDefault="0000686B" w:rsidP="005E0F22">
      <w:pPr>
        <w:spacing w:after="0" w:line="240" w:lineRule="auto"/>
        <w:jc w:val="left"/>
        <w:rPr>
          <w:rFonts w:asciiTheme="minorHAnsi" w:hAnsiTheme="minorHAnsi"/>
        </w:rPr>
      </w:pPr>
      <w:r w:rsidRPr="00E631B0">
        <w:rPr>
          <w:rFonts w:asciiTheme="minorHAnsi" w:hAnsiTheme="minorHAnsi"/>
        </w:rPr>
        <w:t>Th</w:t>
      </w:r>
      <w:r w:rsidR="000D7BE3" w:rsidRPr="00E631B0">
        <w:rPr>
          <w:rFonts w:asciiTheme="minorHAnsi" w:hAnsiTheme="minorHAnsi"/>
        </w:rPr>
        <w:t xml:space="preserve">is observation, together with the fact that </w:t>
      </w:r>
      <w:r w:rsidR="0097121A" w:rsidRPr="00E631B0">
        <w:rPr>
          <w:rFonts w:asciiTheme="minorHAnsi" w:hAnsiTheme="minorHAnsi"/>
        </w:rPr>
        <w:t xml:space="preserve">IMPROVE-IT </w:t>
      </w:r>
      <w:r w:rsidR="000D7BE3" w:rsidRPr="00E631B0">
        <w:rPr>
          <w:rFonts w:asciiTheme="minorHAnsi" w:hAnsiTheme="minorHAnsi"/>
        </w:rPr>
        <w:t xml:space="preserve">is </w:t>
      </w:r>
      <w:r w:rsidR="0097121A" w:rsidRPr="00E631B0">
        <w:rPr>
          <w:rFonts w:asciiTheme="minorHAnsi" w:hAnsiTheme="minorHAnsi"/>
        </w:rPr>
        <w:t xml:space="preserve">the </w:t>
      </w:r>
      <w:r w:rsidR="009A136F" w:rsidRPr="00E631B0">
        <w:rPr>
          <w:rFonts w:asciiTheme="minorHAnsi" w:hAnsiTheme="minorHAnsi"/>
        </w:rPr>
        <w:t xml:space="preserve">only clinical trial </w:t>
      </w:r>
      <w:r w:rsidRPr="00E631B0">
        <w:rPr>
          <w:rFonts w:asciiTheme="minorHAnsi" w:hAnsiTheme="minorHAnsi"/>
        </w:rPr>
        <w:t>showing patient relevant outcomes</w:t>
      </w:r>
      <w:r w:rsidR="00E25060" w:rsidRPr="00E631B0">
        <w:rPr>
          <w:rFonts w:asciiTheme="minorHAnsi" w:hAnsiTheme="minorHAnsi"/>
        </w:rPr>
        <w:t xml:space="preserve"> (however </w:t>
      </w:r>
      <w:r w:rsidRPr="00E631B0">
        <w:rPr>
          <w:rFonts w:asciiTheme="minorHAnsi" w:hAnsiTheme="minorHAnsi"/>
        </w:rPr>
        <w:t>no mortality benefit</w:t>
      </w:r>
      <w:r w:rsidR="00E25060" w:rsidRPr="00E631B0">
        <w:rPr>
          <w:rFonts w:asciiTheme="minorHAnsi" w:hAnsiTheme="minorHAnsi"/>
        </w:rPr>
        <w:t>)</w:t>
      </w:r>
      <w:r w:rsidR="00254A75" w:rsidRPr="00E631B0">
        <w:rPr>
          <w:rFonts w:asciiTheme="minorHAnsi" w:hAnsiTheme="minorHAnsi"/>
        </w:rPr>
        <w:t xml:space="preserve">, </w:t>
      </w:r>
      <w:r w:rsidR="006A1EC2" w:rsidRPr="00E631B0">
        <w:rPr>
          <w:rFonts w:asciiTheme="minorHAnsi" w:hAnsiTheme="minorHAnsi"/>
        </w:rPr>
        <w:t xml:space="preserve">that </w:t>
      </w:r>
      <w:r w:rsidR="00254A75" w:rsidRPr="00E631B0">
        <w:rPr>
          <w:rFonts w:asciiTheme="minorHAnsi" w:hAnsiTheme="minorHAnsi"/>
        </w:rPr>
        <w:t xml:space="preserve">clinical guidelines </w:t>
      </w:r>
      <w:r w:rsidR="000D7BE3" w:rsidRPr="00E631B0">
        <w:rPr>
          <w:rFonts w:asciiTheme="minorHAnsi" w:hAnsiTheme="minorHAnsi"/>
        </w:rPr>
        <w:t xml:space="preserve">continue to </w:t>
      </w:r>
      <w:r w:rsidR="00254A75" w:rsidRPr="00E631B0">
        <w:rPr>
          <w:rFonts w:asciiTheme="minorHAnsi" w:hAnsiTheme="minorHAnsi"/>
        </w:rPr>
        <w:t>plac</w:t>
      </w:r>
      <w:r w:rsidR="000D7BE3" w:rsidRPr="00E631B0">
        <w:rPr>
          <w:rFonts w:asciiTheme="minorHAnsi" w:hAnsiTheme="minorHAnsi"/>
        </w:rPr>
        <w:t>e</w:t>
      </w:r>
      <w:r w:rsidR="00254A75" w:rsidRPr="00E631B0">
        <w:rPr>
          <w:rFonts w:asciiTheme="minorHAnsi" w:hAnsiTheme="minorHAnsi"/>
        </w:rPr>
        <w:t xml:space="preserve"> ezetimibe second line</w:t>
      </w:r>
      <w:r w:rsidR="00405B5C" w:rsidRPr="00E631B0">
        <w:rPr>
          <w:rFonts w:asciiTheme="minorHAnsi" w:hAnsiTheme="minorHAnsi"/>
        </w:rPr>
        <w:t>,</w:t>
      </w:r>
      <w:r w:rsidRPr="00E631B0">
        <w:rPr>
          <w:rFonts w:asciiTheme="minorHAnsi" w:hAnsiTheme="minorHAnsi"/>
        </w:rPr>
        <w:t xml:space="preserve"> and</w:t>
      </w:r>
      <w:r w:rsidR="000D7BE3" w:rsidRPr="00E631B0">
        <w:rPr>
          <w:rFonts w:asciiTheme="minorHAnsi" w:hAnsiTheme="minorHAnsi"/>
        </w:rPr>
        <w:t xml:space="preserve"> that </w:t>
      </w:r>
      <w:r w:rsidRPr="00E631B0">
        <w:rPr>
          <w:rFonts w:asciiTheme="minorHAnsi" w:hAnsiTheme="minorHAnsi"/>
        </w:rPr>
        <w:t>ezetimibe lower</w:t>
      </w:r>
      <w:r w:rsidR="000D7BE3" w:rsidRPr="00E631B0">
        <w:rPr>
          <w:rFonts w:asciiTheme="minorHAnsi" w:hAnsiTheme="minorHAnsi"/>
        </w:rPr>
        <w:t>s</w:t>
      </w:r>
      <w:r w:rsidR="00E25060" w:rsidRPr="00E631B0">
        <w:rPr>
          <w:rFonts w:asciiTheme="minorHAnsi" w:hAnsiTheme="minorHAnsi"/>
        </w:rPr>
        <w:t xml:space="preserve"> </w:t>
      </w:r>
      <w:r w:rsidRPr="00E631B0">
        <w:rPr>
          <w:rFonts w:asciiTheme="minorHAnsi" w:hAnsiTheme="minorHAnsi"/>
        </w:rPr>
        <w:t xml:space="preserve">LDL-C </w:t>
      </w:r>
      <w:r w:rsidR="0076247E" w:rsidRPr="00E631B0">
        <w:rPr>
          <w:rFonts w:asciiTheme="minorHAnsi" w:eastAsia="Times New Roman" w:hAnsiTheme="minorHAnsi" w:cs="Arial"/>
          <w:szCs w:val="24"/>
          <w:lang w:eastAsia="en-AU"/>
        </w:rPr>
        <w:t>concentrations</w:t>
      </w:r>
      <w:r w:rsidR="0076247E" w:rsidRPr="00E631B0">
        <w:rPr>
          <w:rFonts w:asciiTheme="minorHAnsi" w:hAnsiTheme="minorHAnsi"/>
        </w:rPr>
        <w:t xml:space="preserve"> </w:t>
      </w:r>
      <w:r w:rsidRPr="00E631B0">
        <w:rPr>
          <w:rFonts w:asciiTheme="minorHAnsi" w:hAnsiTheme="minorHAnsi"/>
        </w:rPr>
        <w:t>less than statins</w:t>
      </w:r>
      <w:r w:rsidR="00405B5C" w:rsidRPr="00E631B0">
        <w:rPr>
          <w:rFonts w:asciiTheme="minorHAnsi" w:hAnsiTheme="minorHAnsi"/>
        </w:rPr>
        <w:t>,</w:t>
      </w:r>
      <w:r w:rsidRPr="00E631B0">
        <w:rPr>
          <w:rFonts w:asciiTheme="minorHAnsi" w:hAnsiTheme="minorHAnsi"/>
        </w:rPr>
        <w:t xml:space="preserve"> </w:t>
      </w:r>
      <w:r w:rsidR="006A1EC2" w:rsidRPr="00E631B0">
        <w:rPr>
          <w:rFonts w:asciiTheme="minorHAnsi" w:hAnsiTheme="minorHAnsi"/>
        </w:rPr>
        <w:t xml:space="preserve">all </w:t>
      </w:r>
      <w:r w:rsidRPr="00E631B0">
        <w:rPr>
          <w:rFonts w:asciiTheme="minorHAnsi" w:hAnsiTheme="minorHAnsi"/>
        </w:rPr>
        <w:t>underline the importance of restricting use of ezetimibe to second line</w:t>
      </w:r>
      <w:r w:rsidR="00E25060" w:rsidRPr="00E631B0">
        <w:rPr>
          <w:rFonts w:asciiTheme="minorHAnsi" w:hAnsiTheme="minorHAnsi"/>
        </w:rPr>
        <w:t xml:space="preserve"> therapy</w:t>
      </w:r>
      <w:r w:rsidRPr="00E631B0">
        <w:rPr>
          <w:rFonts w:asciiTheme="minorHAnsi" w:hAnsiTheme="minorHAnsi"/>
        </w:rPr>
        <w:t xml:space="preserve"> following optimal use of statins in those patients with very high risk</w:t>
      </w:r>
      <w:r w:rsidR="000D7BE3" w:rsidRPr="00E631B0">
        <w:rPr>
          <w:rFonts w:asciiTheme="minorHAnsi" w:hAnsiTheme="minorHAnsi"/>
        </w:rPr>
        <w:t>.</w:t>
      </w:r>
    </w:p>
    <w:p w14:paraId="1F4B4788" w14:textId="77777777" w:rsidR="0000686B" w:rsidRPr="00E631B0" w:rsidRDefault="003848A8" w:rsidP="005E0F22">
      <w:pPr>
        <w:pStyle w:val="Heading3"/>
        <w:jc w:val="left"/>
      </w:pPr>
      <w:bookmarkStart w:id="94" w:name="_Toc500510250"/>
      <w:r w:rsidRPr="00E631B0">
        <w:t>3.</w:t>
      </w:r>
      <w:r w:rsidR="0000686B" w:rsidRPr="00E631B0">
        <w:t>2.4</w:t>
      </w:r>
      <w:r w:rsidR="0000686B" w:rsidRPr="00E631B0">
        <w:tab/>
        <w:t>Clinical efficacy and safety of ezetimibe as monotherapy and in combination with a statin</w:t>
      </w:r>
      <w:bookmarkEnd w:id="94"/>
      <w:r w:rsidR="0000686B" w:rsidRPr="00E631B0">
        <w:t xml:space="preserve"> </w:t>
      </w:r>
    </w:p>
    <w:p w14:paraId="2603DE50" w14:textId="77777777" w:rsidR="0000686B" w:rsidRPr="00E631B0" w:rsidRDefault="0000686B" w:rsidP="005E0F22">
      <w:pPr>
        <w:pStyle w:val="ListParagraph"/>
        <w:spacing w:line="240" w:lineRule="auto"/>
        <w:ind w:left="0"/>
        <w:contextualSpacing w:val="0"/>
        <w:jc w:val="left"/>
        <w:rPr>
          <w:rFonts w:asciiTheme="minorHAnsi" w:hAnsiTheme="minorHAnsi"/>
        </w:rPr>
      </w:pPr>
      <w:r w:rsidRPr="00E631B0">
        <w:rPr>
          <w:rFonts w:asciiTheme="minorHAnsi" w:hAnsiTheme="minorHAnsi"/>
        </w:rPr>
        <w:t xml:space="preserve">There were no identified published meta-analyses of reasonable quality of ezetimibe, either as monotherapy or added to the maximum tolerated dose of statin, that showed that the addition of ezetimibe is associated with improved patient relevant outcomes of mortality, acute coronary events and revascularisation procedures.  </w:t>
      </w:r>
    </w:p>
    <w:p w14:paraId="7D746C7D" w14:textId="7B711614" w:rsidR="0000686B" w:rsidRPr="00E631B0" w:rsidRDefault="0000686B" w:rsidP="005E0F22">
      <w:pPr>
        <w:pStyle w:val="ListParagraph"/>
        <w:spacing w:line="240" w:lineRule="auto"/>
        <w:ind w:left="0"/>
        <w:contextualSpacing w:val="0"/>
        <w:jc w:val="left"/>
        <w:rPr>
          <w:rFonts w:asciiTheme="minorHAnsi" w:hAnsiTheme="minorHAnsi"/>
        </w:rPr>
      </w:pPr>
      <w:r w:rsidRPr="00E631B0">
        <w:rPr>
          <w:rFonts w:asciiTheme="minorHAnsi" w:hAnsiTheme="minorHAnsi"/>
        </w:rPr>
        <w:t>The two systematic reviews in populations with a high risk of cardiovascular disease, undertaken by the Agency for Healthcare Research and Qual</w:t>
      </w:r>
      <w:r w:rsidR="00F231FD" w:rsidRPr="00E631B0">
        <w:rPr>
          <w:rFonts w:asciiTheme="minorHAnsi" w:hAnsiTheme="minorHAnsi"/>
        </w:rPr>
        <w:t>ity in the USA, identified 40</w:t>
      </w:r>
      <w:r w:rsidRPr="00E631B0">
        <w:rPr>
          <w:rFonts w:asciiTheme="minorHAnsi" w:hAnsiTheme="minorHAnsi"/>
        </w:rPr>
        <w:t xml:space="preserve"> RCTs comparing ezetimibe co-administered with a statin to a more intense statin </w:t>
      </w:r>
      <w:r w:rsidRPr="00E631B0">
        <w:rPr>
          <w:rFonts w:asciiTheme="minorHAnsi" w:hAnsiTheme="minorHAnsi"/>
        </w:rPr>
        <w:lastRenderedPageBreak/>
        <w:t xml:space="preserve">therapy. The intensity of statin was based on comparisons of the doses (Refer to </w:t>
      </w:r>
      <w:r w:rsidR="00CD63AA" w:rsidRPr="00E631B0">
        <w:rPr>
          <w:rFonts w:asciiTheme="minorHAnsi" w:hAnsiTheme="minorHAnsi"/>
          <w:b/>
        </w:rPr>
        <w:t xml:space="preserve">Appendix </w:t>
      </w:r>
      <w:r w:rsidR="00E33C85" w:rsidRPr="00E631B0">
        <w:rPr>
          <w:rFonts w:asciiTheme="minorHAnsi" w:hAnsiTheme="minorHAnsi"/>
          <w:b/>
        </w:rPr>
        <w:t>I</w:t>
      </w:r>
      <w:r w:rsidR="008C0581" w:rsidRPr="00E631B0">
        <w:rPr>
          <w:rFonts w:asciiTheme="minorHAnsi" w:hAnsiTheme="minorHAnsi"/>
        </w:rPr>
        <w:t>,</w:t>
      </w:r>
      <w:r w:rsidR="00CD63AA" w:rsidRPr="00E631B0">
        <w:rPr>
          <w:rFonts w:asciiTheme="minorHAnsi" w:hAnsiTheme="minorHAnsi"/>
        </w:rPr>
        <w:t xml:space="preserve"> Literature Review</w:t>
      </w:r>
      <w:r w:rsidR="008C0581" w:rsidRPr="00E631B0">
        <w:rPr>
          <w:rFonts w:asciiTheme="minorHAnsi" w:hAnsiTheme="minorHAnsi"/>
        </w:rPr>
        <w:t>,</w:t>
      </w:r>
      <w:r w:rsidR="00F22E69" w:rsidRPr="00E631B0">
        <w:rPr>
          <w:rFonts w:asciiTheme="minorHAnsi" w:hAnsiTheme="minorHAnsi"/>
        </w:rPr>
        <w:t xml:space="preserve"> </w:t>
      </w:r>
      <w:r w:rsidRPr="00E631B0">
        <w:rPr>
          <w:rFonts w:asciiTheme="minorHAnsi" w:hAnsiTheme="minorHAnsi"/>
        </w:rPr>
        <w:t>Table 2.2.3.2</w:t>
      </w:r>
      <w:r w:rsidR="008C0581" w:rsidRPr="00E631B0">
        <w:rPr>
          <w:rFonts w:asciiTheme="minorHAnsi" w:hAnsiTheme="minorHAnsi"/>
        </w:rPr>
        <w:t>,</w:t>
      </w:r>
      <w:r w:rsidRPr="00E631B0">
        <w:rPr>
          <w:rFonts w:asciiTheme="minorHAnsi" w:hAnsiTheme="minorHAnsi"/>
        </w:rPr>
        <w:t xml:space="preserve"> </w:t>
      </w:r>
      <w:r w:rsidR="008C0581" w:rsidRPr="00E631B0">
        <w:rPr>
          <w:rFonts w:asciiTheme="minorHAnsi" w:hAnsiTheme="minorHAnsi"/>
        </w:rPr>
        <w:t xml:space="preserve">p </w:t>
      </w:r>
      <w:r w:rsidR="00CD63AA" w:rsidRPr="00E631B0">
        <w:rPr>
          <w:rFonts w:asciiTheme="minorHAnsi" w:hAnsiTheme="minorHAnsi"/>
        </w:rPr>
        <w:t>20</w:t>
      </w:r>
      <w:r w:rsidRPr="00E631B0">
        <w:rPr>
          <w:rFonts w:asciiTheme="minorHAnsi" w:hAnsiTheme="minorHAnsi"/>
        </w:rPr>
        <w:t>). The authors</w:t>
      </w:r>
      <w:r w:rsidR="00CD63AA" w:rsidRPr="00E631B0">
        <w:rPr>
          <w:rStyle w:val="EndnoteReference"/>
          <w:rFonts w:asciiTheme="minorHAnsi" w:hAnsiTheme="minorHAnsi"/>
        </w:rPr>
        <w:endnoteReference w:id="58"/>
      </w:r>
      <w:r w:rsidRPr="00E631B0">
        <w:rPr>
          <w:rFonts w:asciiTheme="minorHAnsi" w:hAnsiTheme="minorHAnsi"/>
        </w:rPr>
        <w:t xml:space="preserve"> found high levels of heterogeneity between the studies which limited the analysis. The percentage reduction in LDL-C was strongly influenced by the intensity of the statin dose combined with ezetimibe and in the comparator arm of the study. </w:t>
      </w:r>
    </w:p>
    <w:p w14:paraId="7672F7E9" w14:textId="3C68FA2C" w:rsidR="0000686B" w:rsidRPr="00E631B0" w:rsidRDefault="0000686B" w:rsidP="005E0F22">
      <w:pPr>
        <w:pStyle w:val="ListParagraph"/>
        <w:spacing w:line="240" w:lineRule="auto"/>
        <w:ind w:left="0"/>
        <w:contextualSpacing w:val="0"/>
        <w:jc w:val="left"/>
        <w:rPr>
          <w:rFonts w:asciiTheme="minorHAnsi" w:hAnsiTheme="minorHAnsi"/>
        </w:rPr>
      </w:pPr>
      <w:r w:rsidRPr="00E631B0">
        <w:rPr>
          <w:rFonts w:asciiTheme="minorHAnsi" w:hAnsiTheme="minorHAnsi"/>
        </w:rPr>
        <w:t xml:space="preserve">When the study population was limited to people with pre-existing </w:t>
      </w:r>
      <w:r w:rsidR="008C0581" w:rsidRPr="00E631B0">
        <w:rPr>
          <w:rFonts w:asciiTheme="minorHAnsi" w:hAnsiTheme="minorHAnsi"/>
        </w:rPr>
        <w:t xml:space="preserve">CV </w:t>
      </w:r>
      <w:r w:rsidRPr="00E631B0">
        <w:rPr>
          <w:rFonts w:asciiTheme="minorHAnsi" w:hAnsiTheme="minorHAnsi"/>
        </w:rPr>
        <w:t>disease (secondary prevention population), the addition of ezetimibe to a mid-intensity statin provided participants with a 5-15% greater reduction in LDL-C than a high potency statin in the majority of studies. It was not possible to combine the results of the studies due to heterogeneity.</w:t>
      </w:r>
    </w:p>
    <w:p w14:paraId="339D9344" w14:textId="47D5D4C6" w:rsidR="0000686B" w:rsidRPr="00E631B0" w:rsidRDefault="0000686B" w:rsidP="005E0F22">
      <w:pPr>
        <w:pStyle w:val="ListParagraph"/>
        <w:spacing w:line="240" w:lineRule="auto"/>
        <w:ind w:left="0"/>
        <w:contextualSpacing w:val="0"/>
        <w:jc w:val="left"/>
        <w:rPr>
          <w:rFonts w:asciiTheme="minorHAnsi" w:hAnsiTheme="minorHAnsi"/>
        </w:rPr>
      </w:pPr>
      <w:r w:rsidRPr="00E631B0">
        <w:rPr>
          <w:rFonts w:asciiTheme="minorHAnsi" w:hAnsiTheme="minorHAnsi"/>
        </w:rPr>
        <w:t>In a meta-analysis of six studies which compared adding ezetimibe to a statin, to doubling the statin dose, the addition of ezetimibe showed statistically significant change in LDL-C (weighted mean difference -15.3%</w:t>
      </w:r>
      <w:r w:rsidR="008C0581" w:rsidRPr="00E631B0">
        <w:rPr>
          <w:rFonts w:asciiTheme="minorHAnsi" w:hAnsiTheme="minorHAnsi"/>
        </w:rPr>
        <w:t>;</w:t>
      </w:r>
      <w:r w:rsidRPr="00E631B0">
        <w:rPr>
          <w:rFonts w:asciiTheme="minorHAnsi" w:hAnsiTheme="minorHAnsi"/>
        </w:rPr>
        <w:t xml:space="preserve"> 95%</w:t>
      </w:r>
      <w:r w:rsidR="008C0581" w:rsidRPr="00E631B0">
        <w:rPr>
          <w:rFonts w:asciiTheme="minorHAnsi" w:hAnsiTheme="minorHAnsi"/>
        </w:rPr>
        <w:t xml:space="preserve"> </w:t>
      </w:r>
      <w:r w:rsidRPr="00E631B0">
        <w:rPr>
          <w:rFonts w:asciiTheme="minorHAnsi" w:hAnsiTheme="minorHAnsi"/>
        </w:rPr>
        <w:t>CI -19.1, -11.4) but there was substantial heterogeneity associated with the trial design, duration, dose and type of statin which results in low confidence in the extent of difference</w:t>
      </w:r>
      <w:r w:rsidR="00CD63AA" w:rsidRPr="00E631B0">
        <w:rPr>
          <w:rStyle w:val="EndnoteReference"/>
          <w:rFonts w:asciiTheme="minorHAnsi" w:hAnsiTheme="minorHAnsi"/>
        </w:rPr>
        <w:endnoteReference w:id="59"/>
      </w:r>
      <w:r w:rsidR="008C0581" w:rsidRPr="00E631B0">
        <w:rPr>
          <w:rFonts w:asciiTheme="minorHAnsi" w:hAnsiTheme="minorHAnsi"/>
        </w:rPr>
        <w:t>.</w:t>
      </w:r>
    </w:p>
    <w:p w14:paraId="3F2767A7" w14:textId="77777777" w:rsidR="0000686B" w:rsidRPr="00E631B0" w:rsidRDefault="0000686B" w:rsidP="005E0F22">
      <w:pPr>
        <w:pStyle w:val="ListParagraph"/>
        <w:spacing w:line="240" w:lineRule="auto"/>
        <w:ind w:left="0"/>
        <w:contextualSpacing w:val="0"/>
        <w:jc w:val="left"/>
        <w:rPr>
          <w:rFonts w:asciiTheme="minorHAnsi" w:hAnsiTheme="minorHAnsi"/>
        </w:rPr>
      </w:pPr>
      <w:r w:rsidRPr="00E631B0">
        <w:rPr>
          <w:rFonts w:asciiTheme="minorHAnsi" w:hAnsiTheme="minorHAnsi"/>
        </w:rPr>
        <w:t>In a meta-analysis commissioned by National Institute for Health Care and Excellence (NICE) (2008), six RCTs were meta-analysed</w:t>
      </w:r>
      <w:r w:rsidR="00CD63AA" w:rsidRPr="00E631B0">
        <w:rPr>
          <w:rStyle w:val="EndnoteReference"/>
          <w:rFonts w:asciiTheme="minorHAnsi" w:hAnsiTheme="minorHAnsi"/>
        </w:rPr>
        <w:endnoteReference w:id="60"/>
      </w:r>
      <w:r w:rsidRPr="00E631B0">
        <w:rPr>
          <w:rFonts w:asciiTheme="minorHAnsi" w:hAnsiTheme="minorHAnsi"/>
        </w:rPr>
        <w:t xml:space="preserve">. These compared adding ezetimibe to a statin compared to the same dose of statin. This meta-analysis showed that the addition of ezetimibe statistically significantly improved LDL-C reduction and total cholesterol. </w:t>
      </w:r>
    </w:p>
    <w:p w14:paraId="65C0443D" w14:textId="77777777" w:rsidR="0000686B" w:rsidRPr="00E631B0" w:rsidRDefault="0000686B" w:rsidP="005E0F22">
      <w:pPr>
        <w:pStyle w:val="ListParagraph"/>
        <w:spacing w:line="240" w:lineRule="auto"/>
        <w:ind w:left="0"/>
        <w:contextualSpacing w:val="0"/>
        <w:jc w:val="left"/>
        <w:rPr>
          <w:rFonts w:asciiTheme="minorHAnsi" w:hAnsiTheme="minorHAnsi"/>
        </w:rPr>
      </w:pPr>
      <w:r w:rsidRPr="00E631B0">
        <w:rPr>
          <w:rFonts w:asciiTheme="minorHAnsi" w:hAnsiTheme="minorHAnsi"/>
        </w:rPr>
        <w:t>There were no identified published trials investigating the effect of initiating LLT with ezetimibe and then adding a statin.</w:t>
      </w:r>
    </w:p>
    <w:p w14:paraId="1C06B872" w14:textId="77777777" w:rsidR="0000686B" w:rsidRPr="00E631B0" w:rsidRDefault="003848A8" w:rsidP="005A2287">
      <w:pPr>
        <w:pStyle w:val="Heading3"/>
        <w:jc w:val="left"/>
      </w:pPr>
      <w:bookmarkStart w:id="95" w:name="_Toc500510251"/>
      <w:r w:rsidRPr="00E631B0">
        <w:t>3.</w:t>
      </w:r>
      <w:r w:rsidR="0000686B" w:rsidRPr="00E631B0">
        <w:t>2.5</w:t>
      </w:r>
      <w:r w:rsidR="0000686B" w:rsidRPr="00E631B0">
        <w:tab/>
        <w:t>Applicability issues</w:t>
      </w:r>
      <w:bookmarkEnd w:id="95"/>
    </w:p>
    <w:p w14:paraId="48DEB08D" w14:textId="77777777" w:rsidR="0000686B" w:rsidRPr="00E631B0" w:rsidRDefault="0000686B" w:rsidP="005E0F22">
      <w:pPr>
        <w:pStyle w:val="ListParagraph"/>
        <w:spacing w:line="240" w:lineRule="auto"/>
        <w:ind w:left="0"/>
        <w:contextualSpacing w:val="0"/>
        <w:jc w:val="left"/>
        <w:rPr>
          <w:rFonts w:asciiTheme="minorHAnsi" w:hAnsiTheme="minorHAnsi"/>
        </w:rPr>
      </w:pPr>
      <w:r w:rsidRPr="00E631B0">
        <w:rPr>
          <w:rFonts w:asciiTheme="minorHAnsi" w:hAnsiTheme="minorHAnsi"/>
        </w:rPr>
        <w:t>The populations in many studies that add ezetimibe to a statin may not meet the restriction criteria for PBS subsidy, with the exception of the Health Technology Assessment (HTA) 2015 review by NICE</w:t>
      </w:r>
      <w:r w:rsidR="00CD63AA" w:rsidRPr="00E631B0">
        <w:rPr>
          <w:rStyle w:val="EndnoteReference"/>
          <w:rFonts w:asciiTheme="minorHAnsi" w:hAnsiTheme="minorHAnsi"/>
        </w:rPr>
        <w:endnoteReference w:id="61"/>
      </w:r>
      <w:r w:rsidRPr="00E631B0">
        <w:rPr>
          <w:rFonts w:asciiTheme="minorHAnsi" w:hAnsiTheme="minorHAnsi"/>
        </w:rPr>
        <w:t xml:space="preserve">. The people in many of these studies were inadequately managed on the statin dose alone but these trials did not usually specify that the statin dose should be the maximum tolerated, which is the requirement of the current PBS restriction. </w:t>
      </w:r>
    </w:p>
    <w:p w14:paraId="2227E179" w14:textId="71508FE9" w:rsidR="0000686B" w:rsidRPr="00E631B0" w:rsidRDefault="0000686B" w:rsidP="005E0F22">
      <w:pPr>
        <w:pStyle w:val="ListParagraph"/>
        <w:spacing w:line="240" w:lineRule="auto"/>
        <w:ind w:left="0"/>
        <w:contextualSpacing w:val="0"/>
        <w:jc w:val="left"/>
        <w:rPr>
          <w:rFonts w:asciiTheme="minorHAnsi" w:hAnsiTheme="minorHAnsi"/>
        </w:rPr>
      </w:pPr>
      <w:r w:rsidRPr="00E631B0">
        <w:rPr>
          <w:rFonts w:asciiTheme="minorHAnsi" w:hAnsiTheme="minorHAnsi"/>
        </w:rPr>
        <w:t>These results support two options for clinicians seeking to further reduce LDL-C in patients in secondary prevention: 1) increasing the dose or intensity of the statin; or 2) adding ezetimibe to a low dose statin. It is not clear from the evidence presented and the relevant guidelines that prescribers currently seek to increase the statin dose to that maximally tolerated by the patient in every case. The choice is likely to depend on individual patient factors.</w:t>
      </w:r>
    </w:p>
    <w:p w14:paraId="6F01A709" w14:textId="50328513" w:rsidR="0000686B" w:rsidRPr="00E631B0" w:rsidRDefault="0000686B" w:rsidP="005E0F22">
      <w:pPr>
        <w:spacing w:line="240" w:lineRule="auto"/>
        <w:jc w:val="left"/>
        <w:rPr>
          <w:rFonts w:asciiTheme="minorHAnsi" w:hAnsiTheme="minorHAnsi"/>
        </w:rPr>
      </w:pPr>
      <w:r w:rsidRPr="00E631B0">
        <w:rPr>
          <w:rFonts w:asciiTheme="minorHAnsi" w:hAnsiTheme="minorHAnsi"/>
        </w:rPr>
        <w:t>IMPROVE-IT</w:t>
      </w:r>
      <w:r w:rsidR="00CD63AA" w:rsidRPr="00E631B0">
        <w:rPr>
          <w:rStyle w:val="EndnoteReference"/>
          <w:rFonts w:asciiTheme="minorHAnsi" w:hAnsiTheme="minorHAnsi"/>
        </w:rPr>
        <w:endnoteReference w:id="62"/>
      </w:r>
      <w:r w:rsidRPr="00E631B0">
        <w:rPr>
          <w:rFonts w:asciiTheme="minorHAnsi" w:hAnsiTheme="minorHAnsi"/>
        </w:rPr>
        <w:t xml:space="preserve"> was the only RCT designed to assess long-term patient outcomes that met the selection criteria. It assessed clinical efficacy and safety of ezetimibe </w:t>
      </w:r>
      <w:r w:rsidR="006A1EC2" w:rsidRPr="00E631B0">
        <w:rPr>
          <w:rFonts w:asciiTheme="minorHAnsi" w:hAnsiTheme="minorHAnsi"/>
        </w:rPr>
        <w:t>plus</w:t>
      </w:r>
      <w:r w:rsidRPr="00E631B0">
        <w:rPr>
          <w:rFonts w:asciiTheme="minorHAnsi" w:hAnsiTheme="minorHAnsi"/>
        </w:rPr>
        <w:t xml:space="preserve"> simvastatin vs placebo </w:t>
      </w:r>
      <w:r w:rsidR="006A1EC2" w:rsidRPr="00E631B0">
        <w:rPr>
          <w:rFonts w:asciiTheme="minorHAnsi" w:hAnsiTheme="minorHAnsi"/>
        </w:rPr>
        <w:t>plus</w:t>
      </w:r>
      <w:r w:rsidRPr="00E631B0">
        <w:rPr>
          <w:rFonts w:asciiTheme="minorHAnsi" w:hAnsiTheme="minorHAnsi"/>
        </w:rPr>
        <w:t xml:space="preserve"> simvastatin in </w:t>
      </w:r>
      <w:r w:rsidR="00E12EF9" w:rsidRPr="00E631B0">
        <w:rPr>
          <w:rFonts w:asciiTheme="minorHAnsi" w:hAnsiTheme="minorHAnsi"/>
        </w:rPr>
        <w:t>a</w:t>
      </w:r>
      <w:r w:rsidRPr="00E631B0">
        <w:rPr>
          <w:rFonts w:asciiTheme="minorHAnsi" w:hAnsiTheme="minorHAnsi"/>
        </w:rPr>
        <w:t xml:space="preserve"> secondary prevention population who had been hospitali</w:t>
      </w:r>
      <w:r w:rsidR="00E12EF9" w:rsidRPr="00E631B0">
        <w:rPr>
          <w:rFonts w:asciiTheme="minorHAnsi" w:hAnsiTheme="minorHAnsi"/>
        </w:rPr>
        <w:t>s</w:t>
      </w:r>
      <w:r w:rsidRPr="00E631B0">
        <w:rPr>
          <w:rFonts w:asciiTheme="minorHAnsi" w:hAnsiTheme="minorHAnsi"/>
        </w:rPr>
        <w:t>ed for an acute coronary syndrome within the preceding 10 days. Issues associated with the applicability of results from IMPROVE-IT to the target population</w:t>
      </w:r>
      <w:r w:rsidR="00D562EB" w:rsidRPr="00E631B0">
        <w:rPr>
          <w:rFonts w:asciiTheme="minorHAnsi" w:hAnsiTheme="minorHAnsi"/>
        </w:rPr>
        <w:t xml:space="preserve"> </w:t>
      </w:r>
      <w:r w:rsidRPr="00E631B0">
        <w:rPr>
          <w:rFonts w:asciiTheme="minorHAnsi" w:hAnsiTheme="minorHAnsi"/>
        </w:rPr>
        <w:t>for the PBS were identified</w:t>
      </w:r>
      <w:r w:rsidR="00E12EF9" w:rsidRPr="00E631B0">
        <w:rPr>
          <w:rFonts w:asciiTheme="minorHAnsi" w:hAnsiTheme="minorHAnsi"/>
        </w:rPr>
        <w:t>,</w:t>
      </w:r>
      <w:r w:rsidRPr="00E631B0">
        <w:rPr>
          <w:rFonts w:asciiTheme="minorHAnsi" w:hAnsiTheme="minorHAnsi"/>
        </w:rPr>
        <w:t xml:space="preserve"> including:</w:t>
      </w:r>
    </w:p>
    <w:p w14:paraId="2D71FA6F" w14:textId="66499389" w:rsidR="0000686B" w:rsidRPr="00E631B0" w:rsidRDefault="0000686B" w:rsidP="005E0F22">
      <w:pPr>
        <w:pStyle w:val="ListParagraph"/>
        <w:numPr>
          <w:ilvl w:val="0"/>
          <w:numId w:val="11"/>
        </w:numPr>
        <w:spacing w:after="120" w:line="240" w:lineRule="auto"/>
        <w:ind w:left="426" w:hanging="426"/>
        <w:contextualSpacing w:val="0"/>
        <w:jc w:val="left"/>
        <w:rPr>
          <w:rFonts w:asciiTheme="minorHAnsi" w:hAnsiTheme="minorHAnsi"/>
        </w:rPr>
      </w:pPr>
      <w:r w:rsidRPr="00E631B0">
        <w:rPr>
          <w:rFonts w:asciiTheme="minorHAnsi" w:hAnsiTheme="minorHAnsi"/>
        </w:rPr>
        <w:lastRenderedPageBreak/>
        <w:t>the IMPROVE-IT patient population baseline LDL-C concentration was set at 1.3 to 2.43</w:t>
      </w:r>
      <w:r w:rsidR="00E12EF9" w:rsidRPr="00E631B0">
        <w:rPr>
          <w:rFonts w:asciiTheme="minorHAnsi" w:hAnsiTheme="minorHAnsi"/>
        </w:rPr>
        <w:t xml:space="preserve"> </w:t>
      </w:r>
      <w:r w:rsidRPr="00E631B0">
        <w:rPr>
          <w:rFonts w:asciiTheme="minorHAnsi" w:hAnsiTheme="minorHAnsi"/>
        </w:rPr>
        <w:t xml:space="preserve">mmol/L </w:t>
      </w:r>
    </w:p>
    <w:p w14:paraId="67731AB7" w14:textId="77777777" w:rsidR="00E12EF9" w:rsidRPr="00E631B0" w:rsidRDefault="0000686B" w:rsidP="005E0F22">
      <w:pPr>
        <w:pStyle w:val="ListParagraph"/>
        <w:numPr>
          <w:ilvl w:val="0"/>
          <w:numId w:val="11"/>
        </w:numPr>
        <w:spacing w:after="120" w:line="240" w:lineRule="auto"/>
        <w:ind w:left="426" w:hanging="426"/>
        <w:contextualSpacing w:val="0"/>
        <w:jc w:val="left"/>
        <w:rPr>
          <w:rFonts w:asciiTheme="minorHAnsi" w:hAnsiTheme="minorHAnsi"/>
        </w:rPr>
      </w:pPr>
      <w:r w:rsidRPr="00E631B0">
        <w:rPr>
          <w:rFonts w:asciiTheme="minorHAnsi" w:hAnsiTheme="minorHAnsi"/>
        </w:rPr>
        <w:t>at the time of enrolment only 34% of patients were being treated with a statin</w:t>
      </w:r>
    </w:p>
    <w:p w14:paraId="2C15D767" w14:textId="3D2807CA" w:rsidR="0000686B" w:rsidRPr="00E631B0" w:rsidRDefault="0000686B" w:rsidP="005E0F22">
      <w:pPr>
        <w:pStyle w:val="ListParagraph"/>
        <w:numPr>
          <w:ilvl w:val="0"/>
          <w:numId w:val="11"/>
        </w:numPr>
        <w:spacing w:after="120" w:line="240" w:lineRule="auto"/>
        <w:ind w:left="426" w:hanging="426"/>
        <w:contextualSpacing w:val="0"/>
        <w:jc w:val="left"/>
        <w:rPr>
          <w:rFonts w:asciiTheme="minorHAnsi" w:hAnsiTheme="minorHAnsi"/>
        </w:rPr>
      </w:pPr>
      <w:r w:rsidRPr="00E631B0">
        <w:rPr>
          <w:rFonts w:asciiTheme="minorHAnsi" w:hAnsiTheme="minorHAnsi"/>
        </w:rPr>
        <w:t>for other patients, ezetimibe in combination with simvastatin was prescribed as the first</w:t>
      </w:r>
      <w:r w:rsidR="00E12EF9" w:rsidRPr="00E631B0">
        <w:rPr>
          <w:rFonts w:asciiTheme="minorHAnsi" w:hAnsiTheme="minorHAnsi"/>
        </w:rPr>
        <w:t xml:space="preserve"> </w:t>
      </w:r>
      <w:r w:rsidRPr="00E631B0">
        <w:rPr>
          <w:rFonts w:asciiTheme="minorHAnsi" w:hAnsiTheme="minorHAnsi"/>
        </w:rPr>
        <w:t>line treatment</w:t>
      </w:r>
    </w:p>
    <w:p w14:paraId="5CF548AF" w14:textId="77777777" w:rsidR="0000686B" w:rsidRPr="00E631B0" w:rsidRDefault="0000686B" w:rsidP="005E0F22">
      <w:pPr>
        <w:pStyle w:val="ListParagraph"/>
        <w:numPr>
          <w:ilvl w:val="0"/>
          <w:numId w:val="11"/>
        </w:numPr>
        <w:spacing w:after="120" w:line="240" w:lineRule="auto"/>
        <w:ind w:left="426" w:hanging="426"/>
        <w:contextualSpacing w:val="0"/>
        <w:jc w:val="left"/>
        <w:rPr>
          <w:rFonts w:asciiTheme="minorHAnsi" w:hAnsiTheme="minorHAnsi"/>
        </w:rPr>
      </w:pPr>
      <w:r w:rsidRPr="00E631B0">
        <w:rPr>
          <w:rFonts w:asciiTheme="minorHAnsi" w:hAnsiTheme="minorHAnsi"/>
        </w:rPr>
        <w:t xml:space="preserve">there was no evidence that patients who had been treated with statins prior to randomisation were at their maximum tolerated dose. </w:t>
      </w:r>
    </w:p>
    <w:p w14:paraId="48F2393D" w14:textId="77777777" w:rsidR="0000686B" w:rsidRPr="00E631B0" w:rsidRDefault="0000686B" w:rsidP="005E0F22">
      <w:pPr>
        <w:spacing w:line="240" w:lineRule="auto"/>
        <w:jc w:val="left"/>
        <w:rPr>
          <w:rFonts w:asciiTheme="minorHAnsi" w:hAnsiTheme="minorHAnsi"/>
        </w:rPr>
      </w:pPr>
      <w:r w:rsidRPr="00E631B0">
        <w:rPr>
          <w:rFonts w:asciiTheme="minorHAnsi" w:hAnsiTheme="minorHAnsi"/>
        </w:rPr>
        <w:t>Therefore, IMPROVE-IT enrolled a population that did not meet the eligibility criteria for PBS subsidised ezetimibe as:</w:t>
      </w:r>
    </w:p>
    <w:p w14:paraId="0F8AC6EF" w14:textId="77777777" w:rsidR="0000686B" w:rsidRPr="00E631B0" w:rsidRDefault="0000686B" w:rsidP="005E0F22">
      <w:pPr>
        <w:pStyle w:val="ListParagraph"/>
        <w:numPr>
          <w:ilvl w:val="0"/>
          <w:numId w:val="11"/>
        </w:numPr>
        <w:spacing w:after="120" w:line="240" w:lineRule="auto"/>
        <w:ind w:left="426" w:hanging="426"/>
        <w:contextualSpacing w:val="0"/>
        <w:jc w:val="left"/>
        <w:rPr>
          <w:rFonts w:asciiTheme="minorHAnsi" w:hAnsiTheme="minorHAnsi"/>
        </w:rPr>
      </w:pPr>
      <w:r w:rsidRPr="00E631B0">
        <w:rPr>
          <w:rFonts w:asciiTheme="minorHAnsi" w:hAnsiTheme="minorHAnsi"/>
        </w:rPr>
        <w:t>the population was a secondary prevention cohort</w:t>
      </w:r>
    </w:p>
    <w:p w14:paraId="59FE7645" w14:textId="77777777" w:rsidR="0000686B" w:rsidRPr="00E631B0" w:rsidRDefault="0000686B" w:rsidP="005E0F22">
      <w:pPr>
        <w:pStyle w:val="ListParagraph"/>
        <w:numPr>
          <w:ilvl w:val="0"/>
          <w:numId w:val="11"/>
        </w:numPr>
        <w:spacing w:after="120" w:line="240" w:lineRule="auto"/>
        <w:ind w:left="426" w:hanging="426"/>
        <w:contextualSpacing w:val="0"/>
        <w:jc w:val="left"/>
        <w:rPr>
          <w:rFonts w:asciiTheme="minorHAnsi" w:hAnsiTheme="minorHAnsi"/>
        </w:rPr>
      </w:pPr>
      <w:r w:rsidRPr="00E631B0">
        <w:rPr>
          <w:rFonts w:asciiTheme="minorHAnsi" w:hAnsiTheme="minorHAnsi"/>
        </w:rPr>
        <w:t>patients may not have been taking maximum tolerated dose of a statin as required by the PBS restriction and ezetimibe was added to a fixed dose of simvastatin</w:t>
      </w:r>
    </w:p>
    <w:p w14:paraId="120C1ECB" w14:textId="3FA971FC" w:rsidR="0000686B" w:rsidRPr="00E631B0" w:rsidRDefault="0000686B" w:rsidP="005E0F22">
      <w:pPr>
        <w:pStyle w:val="ListParagraph"/>
        <w:numPr>
          <w:ilvl w:val="0"/>
          <w:numId w:val="11"/>
        </w:numPr>
        <w:spacing w:after="120" w:line="240" w:lineRule="auto"/>
        <w:ind w:left="426" w:hanging="426"/>
        <w:contextualSpacing w:val="0"/>
        <w:jc w:val="left"/>
        <w:rPr>
          <w:rFonts w:asciiTheme="minorHAnsi" w:hAnsiTheme="minorHAnsi"/>
        </w:rPr>
      </w:pPr>
      <w:r w:rsidRPr="00E631B0">
        <w:rPr>
          <w:rFonts w:asciiTheme="minorHAnsi" w:hAnsiTheme="minorHAnsi"/>
        </w:rPr>
        <w:t>the baseline LDL-C ranged between 1.3 and 2.43</w:t>
      </w:r>
      <w:r w:rsidR="00E12EF9" w:rsidRPr="00E631B0">
        <w:rPr>
          <w:rFonts w:asciiTheme="minorHAnsi" w:hAnsiTheme="minorHAnsi"/>
        </w:rPr>
        <w:t xml:space="preserve"> </w:t>
      </w:r>
      <w:r w:rsidRPr="00E631B0">
        <w:rPr>
          <w:rFonts w:asciiTheme="minorHAnsi" w:hAnsiTheme="minorHAnsi"/>
        </w:rPr>
        <w:t>mmol/L</w:t>
      </w:r>
      <w:r w:rsidR="009D5829" w:rsidRPr="00E631B0">
        <w:rPr>
          <w:rFonts w:asciiTheme="minorHAnsi" w:hAnsiTheme="minorHAnsi"/>
        </w:rPr>
        <w:t>,</w:t>
      </w:r>
      <w:r w:rsidRPr="00E631B0">
        <w:rPr>
          <w:rFonts w:asciiTheme="minorHAnsi" w:hAnsiTheme="minorHAnsi"/>
        </w:rPr>
        <w:t xml:space="preserve"> whereas under the PBS restriction very high risk patients (as defined by the GSLLD) can commence LLT at any cholesterol</w:t>
      </w:r>
      <w:r w:rsidR="0076247E" w:rsidRPr="00E631B0">
        <w:rPr>
          <w:rFonts w:asciiTheme="minorHAnsi" w:eastAsia="Times New Roman" w:hAnsiTheme="minorHAnsi" w:cs="Arial"/>
          <w:szCs w:val="24"/>
          <w:lang w:eastAsia="en-AU"/>
        </w:rPr>
        <w:t xml:space="preserve"> concentration</w:t>
      </w:r>
      <w:r w:rsidRPr="00E631B0">
        <w:rPr>
          <w:rFonts w:asciiTheme="minorHAnsi" w:hAnsiTheme="minorHAnsi"/>
        </w:rPr>
        <w:t>.</w:t>
      </w:r>
    </w:p>
    <w:p w14:paraId="76061088" w14:textId="737EDE87" w:rsidR="0000686B" w:rsidRPr="00E631B0" w:rsidRDefault="0000686B" w:rsidP="005E0F22">
      <w:pPr>
        <w:tabs>
          <w:tab w:val="left" w:pos="142"/>
        </w:tabs>
        <w:spacing w:line="240" w:lineRule="auto"/>
        <w:jc w:val="left"/>
        <w:rPr>
          <w:rFonts w:asciiTheme="minorHAnsi" w:hAnsiTheme="minorHAnsi"/>
          <w:szCs w:val="24"/>
        </w:rPr>
      </w:pPr>
      <w:r w:rsidRPr="00E631B0">
        <w:rPr>
          <w:rFonts w:asciiTheme="minorHAnsi" w:hAnsiTheme="minorHAnsi"/>
          <w:szCs w:val="24"/>
        </w:rPr>
        <w:t xml:space="preserve">IMPROVE-IT used a fixed dose of simvastatin </w:t>
      </w:r>
      <w:r w:rsidR="00E12EF9" w:rsidRPr="00E631B0">
        <w:rPr>
          <w:rFonts w:asciiTheme="minorHAnsi" w:hAnsiTheme="minorHAnsi"/>
          <w:szCs w:val="24"/>
        </w:rPr>
        <w:t>(</w:t>
      </w:r>
      <w:r w:rsidRPr="00E631B0">
        <w:rPr>
          <w:rFonts w:asciiTheme="minorHAnsi" w:hAnsiTheme="minorHAnsi"/>
          <w:szCs w:val="24"/>
        </w:rPr>
        <w:t>40 mg daily</w:t>
      </w:r>
      <w:r w:rsidR="00E12EF9" w:rsidRPr="00E631B0">
        <w:rPr>
          <w:rFonts w:asciiTheme="minorHAnsi" w:hAnsiTheme="minorHAnsi"/>
          <w:szCs w:val="24"/>
        </w:rPr>
        <w:t>)</w:t>
      </w:r>
      <w:r w:rsidRPr="00E631B0">
        <w:rPr>
          <w:rFonts w:asciiTheme="minorHAnsi" w:hAnsiTheme="minorHAnsi"/>
          <w:szCs w:val="24"/>
        </w:rPr>
        <w:t xml:space="preserve">, which is considered a statin of medium intensity. During the IMPROVE-IT study, patients receiving 80 mg simvastatin had the dose reduced to 40 mg due to United States Food and Drug Administration (FDA) concerns regarding rhabdomyolysis at the higher dose. It is unknown whether this group would have had different outcomes. A dose of simvastatin 80 mg daily is considered high intensity; </w:t>
      </w:r>
      <w:r w:rsidR="004C7D89" w:rsidRPr="00E631B0">
        <w:rPr>
          <w:rFonts w:asciiTheme="minorHAnsi" w:hAnsiTheme="minorHAnsi"/>
          <w:szCs w:val="24"/>
        </w:rPr>
        <w:t>however,</w:t>
      </w:r>
      <w:r w:rsidRPr="00E631B0">
        <w:rPr>
          <w:rFonts w:asciiTheme="minorHAnsi" w:hAnsiTheme="minorHAnsi"/>
          <w:szCs w:val="24"/>
        </w:rPr>
        <w:t xml:space="preserve"> both of the market regulators in America and Australia, (FDA and Australian Therapeutic Goods Administration (TGA)) recommend this dose be reserved for patients at high risk of cardiovascular complications who have not achieved treatment goals on lower doses of simvastatin.</w:t>
      </w:r>
      <w:r w:rsidRPr="00E631B0" w:rsidDel="00001E00">
        <w:rPr>
          <w:rFonts w:asciiTheme="minorHAnsi" w:hAnsiTheme="minorHAnsi"/>
          <w:szCs w:val="24"/>
        </w:rPr>
        <w:t xml:space="preserve"> </w:t>
      </w:r>
    </w:p>
    <w:p w14:paraId="61B539D9" w14:textId="289F1927" w:rsidR="0000686B" w:rsidRPr="00E631B0" w:rsidRDefault="0000686B" w:rsidP="005E0F22">
      <w:pPr>
        <w:tabs>
          <w:tab w:val="left" w:pos="142"/>
        </w:tabs>
        <w:spacing w:line="240" w:lineRule="auto"/>
        <w:jc w:val="left"/>
        <w:rPr>
          <w:rFonts w:asciiTheme="minorHAnsi" w:hAnsiTheme="minorHAnsi"/>
          <w:szCs w:val="24"/>
        </w:rPr>
      </w:pPr>
      <w:r w:rsidRPr="00E631B0">
        <w:rPr>
          <w:rFonts w:asciiTheme="minorHAnsi" w:hAnsiTheme="minorHAnsi"/>
          <w:szCs w:val="24"/>
        </w:rPr>
        <w:t xml:space="preserve">The reduction in LDL-C concentration between statins of differing doses and intensities is shown in </w:t>
      </w:r>
      <w:r w:rsidR="001142C3" w:rsidRPr="00E631B0">
        <w:rPr>
          <w:rFonts w:asciiTheme="minorHAnsi" w:hAnsiTheme="minorHAnsi"/>
          <w:szCs w:val="24"/>
        </w:rPr>
        <w:t xml:space="preserve">Table </w:t>
      </w:r>
      <w:r w:rsidR="008864E8" w:rsidRPr="00E631B0">
        <w:rPr>
          <w:rFonts w:asciiTheme="minorHAnsi" w:hAnsiTheme="minorHAnsi"/>
          <w:szCs w:val="24"/>
        </w:rPr>
        <w:t>12</w:t>
      </w:r>
      <w:r w:rsidRPr="00E631B0">
        <w:rPr>
          <w:rFonts w:asciiTheme="minorHAnsi" w:hAnsiTheme="minorHAnsi"/>
          <w:szCs w:val="24"/>
        </w:rPr>
        <w:t>. By comparison, ezetimibe (10 mg dose daily) produces an 18% reduction in baseline LDL-C concentration. Using the IMPROVE-IT approach of adding ezetimibe to a dose of 40</w:t>
      </w:r>
      <w:r w:rsidR="008864E8" w:rsidRPr="00E631B0">
        <w:rPr>
          <w:rFonts w:asciiTheme="minorHAnsi" w:hAnsiTheme="minorHAnsi"/>
          <w:szCs w:val="24"/>
        </w:rPr>
        <w:t xml:space="preserve"> </w:t>
      </w:r>
      <w:r w:rsidRPr="00E631B0">
        <w:rPr>
          <w:rFonts w:asciiTheme="minorHAnsi" w:hAnsiTheme="minorHAnsi"/>
          <w:szCs w:val="24"/>
        </w:rPr>
        <w:t xml:space="preserve">mg simvastatin, a similar reduction in LDL-C concentration could have been achieved by replacing the dual therapy with atorvastatin 80 mg or rosuvastatin 40 mg. All three approaches would have achieved an average LDL reduction from baseline of approximately 50-55%. In reducing elevated plasma LDL-C concentrations, all statins produce a non-linear dose response curve that reaches a plateau. More than 80% of the LDL-C lowering effect of a statin is achieved with 50% of the maximum dose. </w:t>
      </w:r>
    </w:p>
    <w:p w14:paraId="00793132" w14:textId="77777777" w:rsidR="0000686B" w:rsidRPr="00E631B0" w:rsidRDefault="0000686B" w:rsidP="005E0F22">
      <w:pPr>
        <w:tabs>
          <w:tab w:val="left" w:pos="142"/>
        </w:tabs>
        <w:spacing w:line="240" w:lineRule="auto"/>
        <w:jc w:val="left"/>
        <w:rPr>
          <w:rFonts w:asciiTheme="minorHAnsi" w:hAnsiTheme="minorHAnsi"/>
        </w:rPr>
      </w:pPr>
      <w:r w:rsidRPr="00E631B0">
        <w:rPr>
          <w:rFonts w:asciiTheme="minorHAnsi" w:hAnsiTheme="minorHAnsi"/>
        </w:rPr>
        <w:t>The 2014 NICE Guidance Development Group consensus placed statins into three different intensity categories according to the percentage reduction in LDL-C concentration as shown in the following table.</w:t>
      </w:r>
    </w:p>
    <w:p w14:paraId="44610C34" w14:textId="7A94A942" w:rsidR="0000686B" w:rsidRPr="00667390" w:rsidRDefault="001142C3" w:rsidP="00E554E9">
      <w:pPr>
        <w:keepNext/>
        <w:keepLines/>
        <w:rPr>
          <w:rFonts w:asciiTheme="minorHAnsi" w:hAnsiTheme="minorHAnsi"/>
          <w:b/>
        </w:rPr>
      </w:pPr>
      <w:r>
        <w:rPr>
          <w:rFonts w:asciiTheme="minorHAnsi" w:hAnsiTheme="minorHAnsi"/>
          <w:b/>
        </w:rPr>
        <w:lastRenderedPageBreak/>
        <w:t xml:space="preserve">Table </w:t>
      </w:r>
      <w:r w:rsidR="008864E8">
        <w:rPr>
          <w:rFonts w:asciiTheme="minorHAnsi" w:hAnsiTheme="minorHAnsi"/>
          <w:b/>
        </w:rPr>
        <w:t>12</w:t>
      </w:r>
      <w:r w:rsidR="0000686B" w:rsidRPr="00667390">
        <w:rPr>
          <w:rFonts w:asciiTheme="minorHAnsi" w:hAnsiTheme="minorHAnsi"/>
          <w:b/>
        </w:rPr>
        <w:t xml:space="preserve">: </w:t>
      </w:r>
      <w:r w:rsidR="001E5227">
        <w:rPr>
          <w:rFonts w:asciiTheme="minorHAnsi" w:hAnsiTheme="minorHAnsi"/>
          <w:b/>
        </w:rPr>
        <w:t xml:space="preserve">Percentage reduction in LDL-C by statin dose </w:t>
      </w:r>
      <w:r w:rsidR="009F5906">
        <w:rPr>
          <w:rFonts w:asciiTheme="minorHAnsi" w:hAnsiTheme="minorHAnsi"/>
          <w:b/>
        </w:rPr>
        <w:t xml:space="preserve">(mg/day) </w:t>
      </w:r>
      <w:r w:rsidR="001E5227">
        <w:rPr>
          <w:rFonts w:asciiTheme="minorHAnsi" w:hAnsiTheme="minorHAnsi"/>
          <w:b/>
        </w:rPr>
        <w:t>and g</w:t>
      </w:r>
      <w:r w:rsidR="0000686B" w:rsidRPr="00667390">
        <w:rPr>
          <w:rFonts w:asciiTheme="minorHAnsi" w:hAnsiTheme="minorHAnsi"/>
          <w:b/>
        </w:rPr>
        <w:t>rouping of statins by intensity category used in the 2014 NICE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04"/>
        <w:gridCol w:w="1404"/>
        <w:gridCol w:w="1404"/>
        <w:gridCol w:w="1405"/>
        <w:gridCol w:w="1405"/>
      </w:tblGrid>
      <w:tr w:rsidR="001E5227" w:rsidRPr="004D3EB9" w14:paraId="2E54AD48" w14:textId="77777777" w:rsidTr="00E554E9">
        <w:trPr>
          <w:trHeight w:val="601"/>
        </w:trPr>
        <w:tc>
          <w:tcPr>
            <w:tcW w:w="1500" w:type="dxa"/>
            <w:shd w:val="clear" w:color="auto" w:fill="BFBFBF" w:themeFill="background1" w:themeFillShade="BF"/>
          </w:tcPr>
          <w:p w14:paraId="1845BDA7" w14:textId="342E3CBE" w:rsidR="0000686B" w:rsidRPr="004D3EB9" w:rsidRDefault="001E5227" w:rsidP="00E554E9">
            <w:pPr>
              <w:spacing w:before="60" w:after="60"/>
              <w:rPr>
                <w:rFonts w:asciiTheme="minorHAnsi" w:hAnsiTheme="minorHAnsi"/>
                <w:b/>
                <w:sz w:val="22"/>
              </w:rPr>
            </w:pPr>
            <w:r>
              <w:rPr>
                <w:rFonts w:asciiTheme="minorHAnsi" w:hAnsiTheme="minorHAnsi"/>
                <w:b/>
                <w:sz w:val="22"/>
              </w:rPr>
              <w:t>Statin</w:t>
            </w:r>
          </w:p>
        </w:tc>
        <w:tc>
          <w:tcPr>
            <w:tcW w:w="1404" w:type="dxa"/>
            <w:shd w:val="clear" w:color="auto" w:fill="BFBFBF" w:themeFill="background1" w:themeFillShade="BF"/>
            <w:vAlign w:val="center"/>
          </w:tcPr>
          <w:p w14:paraId="6C955E45" w14:textId="0109D77B" w:rsidR="009F5906" w:rsidRDefault="001E5227" w:rsidP="00E554E9">
            <w:pPr>
              <w:spacing w:before="60" w:after="60"/>
              <w:jc w:val="center"/>
              <w:rPr>
                <w:rFonts w:asciiTheme="minorHAnsi" w:hAnsiTheme="minorHAnsi"/>
                <w:b/>
                <w:sz w:val="22"/>
              </w:rPr>
            </w:pPr>
            <w:r>
              <w:rPr>
                <w:rFonts w:asciiTheme="minorHAnsi" w:hAnsiTheme="minorHAnsi"/>
                <w:b/>
                <w:sz w:val="22"/>
              </w:rPr>
              <w:t>Dose:</w:t>
            </w:r>
          </w:p>
          <w:p w14:paraId="46895FEC" w14:textId="394E7F25" w:rsidR="0000686B" w:rsidRPr="004D3EB9" w:rsidRDefault="0000686B" w:rsidP="00E554E9">
            <w:pPr>
              <w:spacing w:before="60" w:after="60"/>
              <w:jc w:val="center"/>
              <w:rPr>
                <w:rFonts w:asciiTheme="minorHAnsi" w:hAnsiTheme="minorHAnsi"/>
                <w:b/>
                <w:i/>
                <w:color w:val="000000"/>
                <w:sz w:val="22"/>
                <w:u w:val="single"/>
              </w:rPr>
            </w:pPr>
            <w:r w:rsidRPr="004D3EB9">
              <w:rPr>
                <w:rFonts w:asciiTheme="minorHAnsi" w:hAnsiTheme="minorHAnsi"/>
                <w:b/>
                <w:sz w:val="22"/>
              </w:rPr>
              <w:t>5</w:t>
            </w:r>
            <w:r w:rsidR="001E5227">
              <w:rPr>
                <w:rFonts w:asciiTheme="minorHAnsi" w:hAnsiTheme="minorHAnsi"/>
                <w:b/>
                <w:sz w:val="22"/>
              </w:rPr>
              <w:t xml:space="preserve"> mg/day</w:t>
            </w:r>
          </w:p>
        </w:tc>
        <w:tc>
          <w:tcPr>
            <w:tcW w:w="1404" w:type="dxa"/>
            <w:shd w:val="clear" w:color="auto" w:fill="BFBFBF" w:themeFill="background1" w:themeFillShade="BF"/>
            <w:vAlign w:val="center"/>
          </w:tcPr>
          <w:p w14:paraId="13706E82" w14:textId="719C4C11" w:rsidR="009F5906" w:rsidRDefault="001E5227" w:rsidP="00E554E9">
            <w:pPr>
              <w:spacing w:before="60" w:after="60"/>
              <w:jc w:val="center"/>
              <w:rPr>
                <w:rFonts w:asciiTheme="minorHAnsi" w:hAnsiTheme="minorHAnsi"/>
                <w:b/>
                <w:sz w:val="22"/>
              </w:rPr>
            </w:pPr>
            <w:r>
              <w:rPr>
                <w:rFonts w:asciiTheme="minorHAnsi" w:hAnsiTheme="minorHAnsi"/>
                <w:b/>
                <w:sz w:val="22"/>
              </w:rPr>
              <w:t>Dose:</w:t>
            </w:r>
          </w:p>
          <w:p w14:paraId="1F31B9AD" w14:textId="5B4C3051" w:rsidR="0000686B" w:rsidRPr="004D3EB9" w:rsidRDefault="0000686B" w:rsidP="00E554E9">
            <w:pPr>
              <w:spacing w:before="60" w:after="60"/>
              <w:jc w:val="center"/>
              <w:rPr>
                <w:rFonts w:asciiTheme="minorHAnsi" w:hAnsiTheme="minorHAnsi"/>
                <w:b/>
                <w:i/>
                <w:color w:val="000000"/>
                <w:sz w:val="22"/>
                <w:u w:val="single"/>
              </w:rPr>
            </w:pPr>
            <w:r w:rsidRPr="004D3EB9">
              <w:rPr>
                <w:rFonts w:asciiTheme="minorHAnsi" w:hAnsiTheme="minorHAnsi"/>
                <w:b/>
                <w:sz w:val="22"/>
              </w:rPr>
              <w:t>10</w:t>
            </w:r>
            <w:r w:rsidR="001E5227">
              <w:rPr>
                <w:rFonts w:asciiTheme="minorHAnsi" w:hAnsiTheme="minorHAnsi"/>
                <w:b/>
                <w:sz w:val="22"/>
              </w:rPr>
              <w:t xml:space="preserve"> mg/day</w:t>
            </w:r>
          </w:p>
        </w:tc>
        <w:tc>
          <w:tcPr>
            <w:tcW w:w="1404" w:type="dxa"/>
            <w:shd w:val="clear" w:color="auto" w:fill="BFBFBF" w:themeFill="background1" w:themeFillShade="BF"/>
            <w:vAlign w:val="center"/>
          </w:tcPr>
          <w:p w14:paraId="14E66B05" w14:textId="141F25D6" w:rsidR="009F5906" w:rsidRDefault="001E5227" w:rsidP="00E554E9">
            <w:pPr>
              <w:spacing w:before="60" w:after="60"/>
              <w:jc w:val="center"/>
              <w:rPr>
                <w:rFonts w:asciiTheme="minorHAnsi" w:hAnsiTheme="minorHAnsi"/>
                <w:b/>
                <w:sz w:val="22"/>
              </w:rPr>
            </w:pPr>
            <w:r>
              <w:rPr>
                <w:rFonts w:asciiTheme="minorHAnsi" w:hAnsiTheme="minorHAnsi"/>
                <w:b/>
                <w:sz w:val="22"/>
              </w:rPr>
              <w:t>Dose:</w:t>
            </w:r>
          </w:p>
          <w:p w14:paraId="51ACECA0" w14:textId="66A45F41" w:rsidR="0000686B" w:rsidRPr="004D3EB9" w:rsidRDefault="0000686B" w:rsidP="00E554E9">
            <w:pPr>
              <w:spacing w:before="60" w:after="60"/>
              <w:jc w:val="center"/>
              <w:rPr>
                <w:rFonts w:asciiTheme="minorHAnsi" w:hAnsiTheme="minorHAnsi"/>
                <w:b/>
                <w:sz w:val="22"/>
              </w:rPr>
            </w:pPr>
            <w:r w:rsidRPr="004D3EB9">
              <w:rPr>
                <w:rFonts w:asciiTheme="minorHAnsi" w:hAnsiTheme="minorHAnsi"/>
                <w:b/>
                <w:sz w:val="22"/>
              </w:rPr>
              <w:t>20</w:t>
            </w:r>
            <w:r w:rsidR="001E5227">
              <w:rPr>
                <w:rFonts w:asciiTheme="minorHAnsi" w:hAnsiTheme="minorHAnsi"/>
                <w:b/>
                <w:sz w:val="22"/>
              </w:rPr>
              <w:t xml:space="preserve"> mg/day</w:t>
            </w:r>
          </w:p>
        </w:tc>
        <w:tc>
          <w:tcPr>
            <w:tcW w:w="1405" w:type="dxa"/>
            <w:shd w:val="clear" w:color="auto" w:fill="BFBFBF" w:themeFill="background1" w:themeFillShade="BF"/>
            <w:vAlign w:val="center"/>
          </w:tcPr>
          <w:p w14:paraId="4AE7228B" w14:textId="09FB32C6" w:rsidR="009F5906" w:rsidRDefault="001E5227" w:rsidP="00E554E9">
            <w:pPr>
              <w:spacing w:before="60" w:after="60"/>
              <w:jc w:val="center"/>
              <w:rPr>
                <w:rFonts w:asciiTheme="minorHAnsi" w:hAnsiTheme="minorHAnsi"/>
                <w:b/>
                <w:sz w:val="22"/>
              </w:rPr>
            </w:pPr>
            <w:r>
              <w:rPr>
                <w:rFonts w:asciiTheme="minorHAnsi" w:hAnsiTheme="minorHAnsi"/>
                <w:b/>
                <w:sz w:val="22"/>
              </w:rPr>
              <w:t>Dose:</w:t>
            </w:r>
          </w:p>
          <w:p w14:paraId="71FE9A9A" w14:textId="202517D9" w:rsidR="0000686B" w:rsidRPr="004D3EB9" w:rsidRDefault="0000686B" w:rsidP="00E554E9">
            <w:pPr>
              <w:spacing w:before="60" w:after="60"/>
              <w:jc w:val="center"/>
              <w:rPr>
                <w:rFonts w:asciiTheme="minorHAnsi" w:hAnsiTheme="minorHAnsi"/>
                <w:b/>
                <w:sz w:val="22"/>
              </w:rPr>
            </w:pPr>
            <w:r w:rsidRPr="004D3EB9">
              <w:rPr>
                <w:rFonts w:asciiTheme="minorHAnsi" w:hAnsiTheme="minorHAnsi"/>
                <w:b/>
                <w:sz w:val="22"/>
              </w:rPr>
              <w:t>40</w:t>
            </w:r>
            <w:r w:rsidR="001E5227">
              <w:rPr>
                <w:rFonts w:asciiTheme="minorHAnsi" w:hAnsiTheme="minorHAnsi"/>
                <w:b/>
                <w:sz w:val="22"/>
              </w:rPr>
              <w:t xml:space="preserve"> mg/day</w:t>
            </w:r>
          </w:p>
        </w:tc>
        <w:tc>
          <w:tcPr>
            <w:tcW w:w="1405" w:type="dxa"/>
            <w:shd w:val="clear" w:color="auto" w:fill="BFBFBF" w:themeFill="background1" w:themeFillShade="BF"/>
            <w:vAlign w:val="center"/>
          </w:tcPr>
          <w:p w14:paraId="4A10A225" w14:textId="04D799F8" w:rsidR="009F5906" w:rsidRDefault="001E5227" w:rsidP="00E554E9">
            <w:pPr>
              <w:spacing w:before="60" w:after="60"/>
              <w:jc w:val="center"/>
              <w:rPr>
                <w:rFonts w:asciiTheme="minorHAnsi" w:hAnsiTheme="minorHAnsi"/>
                <w:b/>
                <w:sz w:val="22"/>
              </w:rPr>
            </w:pPr>
            <w:r>
              <w:rPr>
                <w:rFonts w:asciiTheme="minorHAnsi" w:hAnsiTheme="minorHAnsi"/>
                <w:b/>
                <w:sz w:val="22"/>
              </w:rPr>
              <w:t>Dose:</w:t>
            </w:r>
          </w:p>
          <w:p w14:paraId="4F7DF60A" w14:textId="7B2935C3" w:rsidR="0000686B" w:rsidRPr="004D3EB9" w:rsidRDefault="0000686B" w:rsidP="00E554E9">
            <w:pPr>
              <w:spacing w:before="60" w:after="60"/>
              <w:jc w:val="center"/>
              <w:rPr>
                <w:rFonts w:asciiTheme="minorHAnsi" w:hAnsiTheme="minorHAnsi"/>
                <w:b/>
                <w:sz w:val="22"/>
              </w:rPr>
            </w:pPr>
            <w:r w:rsidRPr="004D3EB9">
              <w:rPr>
                <w:rFonts w:asciiTheme="minorHAnsi" w:hAnsiTheme="minorHAnsi"/>
                <w:b/>
                <w:sz w:val="22"/>
              </w:rPr>
              <w:t>80</w:t>
            </w:r>
            <w:r w:rsidR="001E5227">
              <w:rPr>
                <w:rFonts w:asciiTheme="minorHAnsi" w:hAnsiTheme="minorHAnsi"/>
                <w:b/>
                <w:sz w:val="22"/>
              </w:rPr>
              <w:t xml:space="preserve"> mg/day</w:t>
            </w:r>
          </w:p>
        </w:tc>
      </w:tr>
      <w:tr w:rsidR="001E5227" w:rsidRPr="004D3EB9" w14:paraId="0495F318" w14:textId="77777777" w:rsidTr="00E554E9">
        <w:tc>
          <w:tcPr>
            <w:tcW w:w="1500" w:type="dxa"/>
            <w:shd w:val="clear" w:color="auto" w:fill="BFBFBF" w:themeFill="background1" w:themeFillShade="BF"/>
          </w:tcPr>
          <w:p w14:paraId="01888039" w14:textId="77777777" w:rsidR="0000686B" w:rsidRPr="004D3EB9" w:rsidRDefault="0000686B" w:rsidP="00E554E9">
            <w:pPr>
              <w:spacing w:before="60" w:after="60"/>
              <w:rPr>
                <w:rFonts w:asciiTheme="minorHAnsi" w:hAnsiTheme="minorHAnsi"/>
                <w:b/>
                <w:sz w:val="22"/>
              </w:rPr>
            </w:pPr>
            <w:r w:rsidRPr="004D3EB9">
              <w:rPr>
                <w:rFonts w:asciiTheme="minorHAnsi" w:hAnsiTheme="minorHAnsi"/>
                <w:b/>
                <w:sz w:val="22"/>
              </w:rPr>
              <w:t>fluvastatin</w:t>
            </w:r>
          </w:p>
        </w:tc>
        <w:tc>
          <w:tcPr>
            <w:tcW w:w="1404" w:type="dxa"/>
            <w:vAlign w:val="center"/>
          </w:tcPr>
          <w:p w14:paraId="6CABAEBF" w14:textId="7184DA6F" w:rsidR="0000686B" w:rsidRPr="004D3EB9" w:rsidRDefault="009F5906" w:rsidP="00E554E9">
            <w:pPr>
              <w:spacing w:before="60" w:after="60"/>
              <w:jc w:val="center"/>
              <w:rPr>
                <w:rFonts w:asciiTheme="minorHAnsi" w:hAnsiTheme="minorHAnsi"/>
                <w:sz w:val="22"/>
              </w:rPr>
            </w:pPr>
            <w:r>
              <w:rPr>
                <w:rFonts w:asciiTheme="minorHAnsi" w:hAnsiTheme="minorHAnsi"/>
                <w:sz w:val="22"/>
              </w:rPr>
              <w:t>-</w:t>
            </w:r>
          </w:p>
        </w:tc>
        <w:tc>
          <w:tcPr>
            <w:tcW w:w="1404" w:type="dxa"/>
            <w:vAlign w:val="center"/>
          </w:tcPr>
          <w:p w14:paraId="115BBD64" w14:textId="77777777" w:rsidR="0000686B" w:rsidRPr="004D3EB9" w:rsidRDefault="0000686B" w:rsidP="00E554E9">
            <w:pPr>
              <w:spacing w:before="60" w:after="60"/>
              <w:jc w:val="center"/>
              <w:rPr>
                <w:rFonts w:asciiTheme="minorHAnsi" w:hAnsiTheme="minorHAnsi"/>
                <w:b/>
                <w:i/>
                <w:color w:val="000000"/>
                <w:sz w:val="22"/>
                <w:u w:val="single"/>
              </w:rPr>
            </w:pPr>
            <w:r w:rsidRPr="004D3EB9">
              <w:rPr>
                <w:rFonts w:asciiTheme="minorHAnsi" w:hAnsiTheme="minorHAnsi"/>
                <w:sz w:val="22"/>
              </w:rPr>
              <w:t>-</w:t>
            </w:r>
          </w:p>
        </w:tc>
        <w:tc>
          <w:tcPr>
            <w:tcW w:w="1404" w:type="dxa"/>
            <w:vAlign w:val="center"/>
          </w:tcPr>
          <w:p w14:paraId="077D68D8"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21</w:t>
            </w:r>
            <w:r>
              <w:rPr>
                <w:rFonts w:asciiTheme="minorHAnsi" w:hAnsiTheme="minorHAnsi"/>
                <w:sz w:val="22"/>
              </w:rPr>
              <w:t>%</w:t>
            </w:r>
            <w:r>
              <w:rPr>
                <w:rFonts w:asciiTheme="minorHAnsi" w:hAnsiTheme="minorHAnsi"/>
                <w:sz w:val="22"/>
                <w:vertAlign w:val="superscript"/>
              </w:rPr>
              <w:t>1</w:t>
            </w:r>
          </w:p>
        </w:tc>
        <w:tc>
          <w:tcPr>
            <w:tcW w:w="1405" w:type="dxa"/>
            <w:vAlign w:val="center"/>
          </w:tcPr>
          <w:p w14:paraId="712BCCD4" w14:textId="77777777" w:rsidR="0000686B" w:rsidRPr="004D3EB9" w:rsidRDefault="0000686B" w:rsidP="00E554E9">
            <w:pPr>
              <w:spacing w:before="60" w:after="60"/>
              <w:jc w:val="center"/>
              <w:rPr>
                <w:rFonts w:asciiTheme="minorHAnsi" w:hAnsiTheme="minorHAnsi"/>
                <w:b/>
                <w:i/>
                <w:color w:val="000000"/>
                <w:sz w:val="22"/>
                <w:u w:val="single"/>
              </w:rPr>
            </w:pPr>
            <w:r w:rsidRPr="004D3EB9">
              <w:rPr>
                <w:rFonts w:asciiTheme="minorHAnsi" w:hAnsiTheme="minorHAnsi"/>
                <w:sz w:val="22"/>
              </w:rPr>
              <w:t>27</w:t>
            </w:r>
            <w:r>
              <w:rPr>
                <w:rFonts w:asciiTheme="minorHAnsi" w:hAnsiTheme="minorHAnsi"/>
                <w:sz w:val="22"/>
              </w:rPr>
              <w:t>%</w:t>
            </w:r>
            <w:r>
              <w:rPr>
                <w:rFonts w:asciiTheme="minorHAnsi" w:hAnsiTheme="minorHAnsi"/>
                <w:sz w:val="22"/>
                <w:vertAlign w:val="superscript"/>
              </w:rPr>
              <w:t>1</w:t>
            </w:r>
          </w:p>
        </w:tc>
        <w:tc>
          <w:tcPr>
            <w:tcW w:w="1405" w:type="dxa"/>
            <w:vAlign w:val="center"/>
          </w:tcPr>
          <w:p w14:paraId="385DE138"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33</w:t>
            </w:r>
            <w:r>
              <w:rPr>
                <w:rFonts w:asciiTheme="minorHAnsi" w:hAnsiTheme="minorHAnsi"/>
                <w:sz w:val="22"/>
              </w:rPr>
              <w:t>%</w:t>
            </w:r>
            <w:r>
              <w:rPr>
                <w:rFonts w:asciiTheme="minorHAnsi" w:hAnsiTheme="minorHAnsi"/>
                <w:sz w:val="22"/>
                <w:vertAlign w:val="superscript"/>
              </w:rPr>
              <w:t>2</w:t>
            </w:r>
          </w:p>
        </w:tc>
      </w:tr>
      <w:tr w:rsidR="001E5227" w:rsidRPr="004D3EB9" w14:paraId="64EABF74" w14:textId="77777777" w:rsidTr="00E554E9">
        <w:tc>
          <w:tcPr>
            <w:tcW w:w="1500" w:type="dxa"/>
            <w:shd w:val="clear" w:color="auto" w:fill="BFBFBF" w:themeFill="background1" w:themeFillShade="BF"/>
          </w:tcPr>
          <w:p w14:paraId="079B99B8" w14:textId="77777777" w:rsidR="0000686B" w:rsidRPr="004D3EB9" w:rsidRDefault="0000686B" w:rsidP="00E554E9">
            <w:pPr>
              <w:spacing w:before="60" w:after="60"/>
              <w:rPr>
                <w:rFonts w:asciiTheme="minorHAnsi" w:hAnsiTheme="minorHAnsi"/>
                <w:b/>
                <w:i/>
                <w:color w:val="000000"/>
                <w:sz w:val="22"/>
                <w:u w:val="single"/>
              </w:rPr>
            </w:pPr>
            <w:r w:rsidRPr="004D3EB9">
              <w:rPr>
                <w:rFonts w:asciiTheme="minorHAnsi" w:hAnsiTheme="minorHAnsi"/>
                <w:b/>
                <w:sz w:val="22"/>
              </w:rPr>
              <w:t>pravastatin</w:t>
            </w:r>
          </w:p>
        </w:tc>
        <w:tc>
          <w:tcPr>
            <w:tcW w:w="1404" w:type="dxa"/>
            <w:vAlign w:val="center"/>
          </w:tcPr>
          <w:p w14:paraId="7764CB95" w14:textId="10BCD01C" w:rsidR="0000686B" w:rsidRPr="004D3EB9" w:rsidRDefault="009F5906" w:rsidP="00E554E9">
            <w:pPr>
              <w:spacing w:before="60" w:after="60"/>
              <w:jc w:val="center"/>
              <w:rPr>
                <w:rFonts w:asciiTheme="minorHAnsi" w:hAnsiTheme="minorHAnsi"/>
                <w:sz w:val="22"/>
              </w:rPr>
            </w:pPr>
            <w:r>
              <w:rPr>
                <w:rFonts w:asciiTheme="minorHAnsi" w:hAnsiTheme="minorHAnsi"/>
                <w:sz w:val="22"/>
              </w:rPr>
              <w:t>-</w:t>
            </w:r>
          </w:p>
        </w:tc>
        <w:tc>
          <w:tcPr>
            <w:tcW w:w="1404" w:type="dxa"/>
            <w:vAlign w:val="center"/>
          </w:tcPr>
          <w:p w14:paraId="70E3059E"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20%</w:t>
            </w:r>
            <w:r>
              <w:rPr>
                <w:rFonts w:asciiTheme="minorHAnsi" w:hAnsiTheme="minorHAnsi"/>
                <w:sz w:val="22"/>
                <w:vertAlign w:val="superscript"/>
              </w:rPr>
              <w:t>1</w:t>
            </w:r>
          </w:p>
        </w:tc>
        <w:tc>
          <w:tcPr>
            <w:tcW w:w="1404" w:type="dxa"/>
            <w:vAlign w:val="center"/>
          </w:tcPr>
          <w:p w14:paraId="505B6D37"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24</w:t>
            </w:r>
            <w:r>
              <w:rPr>
                <w:rFonts w:asciiTheme="minorHAnsi" w:hAnsiTheme="minorHAnsi"/>
                <w:sz w:val="22"/>
              </w:rPr>
              <w:t>%</w:t>
            </w:r>
            <w:r>
              <w:rPr>
                <w:rFonts w:asciiTheme="minorHAnsi" w:hAnsiTheme="minorHAnsi"/>
                <w:sz w:val="22"/>
                <w:vertAlign w:val="superscript"/>
              </w:rPr>
              <w:t>1</w:t>
            </w:r>
          </w:p>
        </w:tc>
        <w:tc>
          <w:tcPr>
            <w:tcW w:w="1405" w:type="dxa"/>
            <w:vAlign w:val="center"/>
          </w:tcPr>
          <w:p w14:paraId="5E79C9B2" w14:textId="77777777" w:rsidR="0000686B" w:rsidRPr="004D3EB9" w:rsidRDefault="0000686B" w:rsidP="00E554E9">
            <w:pPr>
              <w:spacing w:before="60" w:after="60"/>
              <w:jc w:val="center"/>
              <w:rPr>
                <w:rFonts w:asciiTheme="minorHAnsi" w:hAnsiTheme="minorHAnsi"/>
                <w:b/>
                <w:i/>
                <w:color w:val="000000"/>
                <w:sz w:val="22"/>
                <w:u w:val="single"/>
              </w:rPr>
            </w:pPr>
            <w:r w:rsidRPr="004D3EB9">
              <w:rPr>
                <w:rFonts w:asciiTheme="minorHAnsi" w:hAnsiTheme="minorHAnsi"/>
                <w:sz w:val="22"/>
              </w:rPr>
              <w:t>29</w:t>
            </w:r>
            <w:r>
              <w:rPr>
                <w:rFonts w:asciiTheme="minorHAnsi" w:hAnsiTheme="minorHAnsi"/>
                <w:sz w:val="22"/>
              </w:rPr>
              <w:t>%</w:t>
            </w:r>
            <w:r>
              <w:rPr>
                <w:rFonts w:asciiTheme="minorHAnsi" w:hAnsiTheme="minorHAnsi"/>
                <w:sz w:val="22"/>
                <w:vertAlign w:val="superscript"/>
              </w:rPr>
              <w:t>1</w:t>
            </w:r>
          </w:p>
        </w:tc>
        <w:tc>
          <w:tcPr>
            <w:tcW w:w="1405" w:type="dxa"/>
            <w:vAlign w:val="center"/>
          </w:tcPr>
          <w:p w14:paraId="013B8F07" w14:textId="77777777" w:rsidR="0000686B" w:rsidRPr="004D3EB9" w:rsidRDefault="0000686B" w:rsidP="00E554E9">
            <w:pPr>
              <w:spacing w:before="60" w:after="60"/>
              <w:jc w:val="center"/>
              <w:rPr>
                <w:rFonts w:asciiTheme="minorHAnsi" w:hAnsiTheme="minorHAnsi"/>
                <w:b/>
                <w:i/>
                <w:color w:val="000000"/>
                <w:sz w:val="22"/>
                <w:u w:val="single"/>
              </w:rPr>
            </w:pPr>
            <w:r w:rsidRPr="004D3EB9">
              <w:rPr>
                <w:rFonts w:asciiTheme="minorHAnsi" w:hAnsiTheme="minorHAnsi"/>
                <w:sz w:val="22"/>
              </w:rPr>
              <w:t>-</w:t>
            </w:r>
          </w:p>
        </w:tc>
      </w:tr>
      <w:tr w:rsidR="001E5227" w:rsidRPr="004D3EB9" w14:paraId="4F37913D" w14:textId="77777777" w:rsidTr="00E554E9">
        <w:tc>
          <w:tcPr>
            <w:tcW w:w="1500" w:type="dxa"/>
            <w:shd w:val="clear" w:color="auto" w:fill="BFBFBF" w:themeFill="background1" w:themeFillShade="BF"/>
          </w:tcPr>
          <w:p w14:paraId="1CBFC306" w14:textId="77777777" w:rsidR="0000686B" w:rsidRPr="004D3EB9" w:rsidRDefault="0000686B" w:rsidP="00E554E9">
            <w:pPr>
              <w:spacing w:before="60" w:after="60"/>
              <w:rPr>
                <w:rFonts w:asciiTheme="minorHAnsi" w:hAnsiTheme="minorHAnsi"/>
                <w:b/>
                <w:i/>
                <w:color w:val="000000"/>
                <w:sz w:val="22"/>
                <w:u w:val="single"/>
              </w:rPr>
            </w:pPr>
            <w:r w:rsidRPr="004D3EB9">
              <w:rPr>
                <w:rFonts w:asciiTheme="minorHAnsi" w:hAnsiTheme="minorHAnsi"/>
                <w:b/>
                <w:sz w:val="22"/>
              </w:rPr>
              <w:t>simvastatin</w:t>
            </w:r>
          </w:p>
        </w:tc>
        <w:tc>
          <w:tcPr>
            <w:tcW w:w="1404" w:type="dxa"/>
            <w:vAlign w:val="center"/>
          </w:tcPr>
          <w:p w14:paraId="03A9821E" w14:textId="36887859" w:rsidR="0000686B" w:rsidRPr="004D3EB9" w:rsidRDefault="009F5906" w:rsidP="00E554E9">
            <w:pPr>
              <w:spacing w:before="60" w:after="60"/>
              <w:jc w:val="center"/>
              <w:rPr>
                <w:rFonts w:asciiTheme="minorHAnsi" w:hAnsiTheme="minorHAnsi"/>
                <w:sz w:val="22"/>
              </w:rPr>
            </w:pPr>
            <w:r>
              <w:rPr>
                <w:rFonts w:asciiTheme="minorHAnsi" w:hAnsiTheme="minorHAnsi"/>
                <w:sz w:val="22"/>
              </w:rPr>
              <w:t>-</w:t>
            </w:r>
          </w:p>
        </w:tc>
        <w:tc>
          <w:tcPr>
            <w:tcW w:w="1404" w:type="dxa"/>
            <w:vAlign w:val="center"/>
          </w:tcPr>
          <w:p w14:paraId="18F17093"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27%</w:t>
            </w:r>
            <w:r>
              <w:rPr>
                <w:rFonts w:asciiTheme="minorHAnsi" w:hAnsiTheme="minorHAnsi"/>
                <w:sz w:val="22"/>
                <w:vertAlign w:val="superscript"/>
              </w:rPr>
              <w:t>1</w:t>
            </w:r>
          </w:p>
        </w:tc>
        <w:tc>
          <w:tcPr>
            <w:tcW w:w="1404" w:type="dxa"/>
            <w:vAlign w:val="center"/>
          </w:tcPr>
          <w:p w14:paraId="0178694F"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32</w:t>
            </w:r>
            <w:r>
              <w:rPr>
                <w:rFonts w:asciiTheme="minorHAnsi" w:hAnsiTheme="minorHAnsi"/>
                <w:sz w:val="22"/>
              </w:rPr>
              <w:t>%</w:t>
            </w:r>
            <w:r>
              <w:rPr>
                <w:rFonts w:asciiTheme="minorHAnsi" w:hAnsiTheme="minorHAnsi"/>
                <w:sz w:val="22"/>
                <w:vertAlign w:val="superscript"/>
              </w:rPr>
              <w:t>2</w:t>
            </w:r>
          </w:p>
        </w:tc>
        <w:tc>
          <w:tcPr>
            <w:tcW w:w="1405" w:type="dxa"/>
            <w:vAlign w:val="center"/>
          </w:tcPr>
          <w:p w14:paraId="036CAE21" w14:textId="77777777" w:rsidR="0000686B" w:rsidRPr="004D3EB9" w:rsidRDefault="0000686B" w:rsidP="00E554E9">
            <w:pPr>
              <w:spacing w:before="60" w:after="60"/>
              <w:jc w:val="center"/>
              <w:rPr>
                <w:rFonts w:asciiTheme="minorHAnsi" w:hAnsiTheme="minorHAnsi"/>
                <w:b/>
                <w:i/>
                <w:color w:val="000000"/>
                <w:sz w:val="22"/>
                <w:u w:val="single"/>
              </w:rPr>
            </w:pPr>
            <w:r w:rsidRPr="004D3EB9">
              <w:rPr>
                <w:rFonts w:asciiTheme="minorHAnsi" w:hAnsiTheme="minorHAnsi"/>
                <w:sz w:val="22"/>
              </w:rPr>
              <w:t>37</w:t>
            </w:r>
            <w:r>
              <w:rPr>
                <w:rFonts w:asciiTheme="minorHAnsi" w:hAnsiTheme="minorHAnsi"/>
                <w:sz w:val="22"/>
              </w:rPr>
              <w:t>%</w:t>
            </w:r>
            <w:r w:rsidRPr="004D3EB9">
              <w:rPr>
                <w:rFonts w:asciiTheme="minorHAnsi" w:hAnsiTheme="minorHAnsi"/>
                <w:sz w:val="22"/>
                <w:vertAlign w:val="superscript"/>
              </w:rPr>
              <w:t>2</w:t>
            </w:r>
          </w:p>
        </w:tc>
        <w:tc>
          <w:tcPr>
            <w:tcW w:w="1405" w:type="dxa"/>
            <w:vAlign w:val="center"/>
          </w:tcPr>
          <w:p w14:paraId="7B60E4D4"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42</w:t>
            </w:r>
            <w:r>
              <w:rPr>
                <w:rFonts w:asciiTheme="minorHAnsi" w:hAnsiTheme="minorHAnsi"/>
                <w:sz w:val="22"/>
              </w:rPr>
              <w:t>%</w:t>
            </w:r>
            <w:r>
              <w:rPr>
                <w:rFonts w:asciiTheme="minorHAnsi" w:hAnsiTheme="minorHAnsi"/>
                <w:sz w:val="22"/>
                <w:vertAlign w:val="superscript"/>
              </w:rPr>
              <w:t>3,4</w:t>
            </w:r>
          </w:p>
        </w:tc>
      </w:tr>
      <w:tr w:rsidR="001E5227" w:rsidRPr="004D3EB9" w14:paraId="5E38369C" w14:textId="77777777" w:rsidTr="00E554E9">
        <w:tc>
          <w:tcPr>
            <w:tcW w:w="1500" w:type="dxa"/>
            <w:shd w:val="clear" w:color="auto" w:fill="BFBFBF" w:themeFill="background1" w:themeFillShade="BF"/>
          </w:tcPr>
          <w:p w14:paraId="21CBA8C1" w14:textId="77777777" w:rsidR="0000686B" w:rsidRPr="004D3EB9" w:rsidRDefault="0000686B" w:rsidP="00E554E9">
            <w:pPr>
              <w:spacing w:before="60" w:after="60"/>
              <w:rPr>
                <w:rFonts w:asciiTheme="minorHAnsi" w:hAnsiTheme="minorHAnsi"/>
                <w:b/>
                <w:i/>
                <w:color w:val="000000"/>
                <w:sz w:val="22"/>
                <w:u w:val="single"/>
              </w:rPr>
            </w:pPr>
            <w:r w:rsidRPr="004D3EB9">
              <w:rPr>
                <w:rFonts w:asciiTheme="minorHAnsi" w:hAnsiTheme="minorHAnsi"/>
                <w:b/>
                <w:sz w:val="22"/>
              </w:rPr>
              <w:t>atorvastatin</w:t>
            </w:r>
          </w:p>
        </w:tc>
        <w:tc>
          <w:tcPr>
            <w:tcW w:w="1404" w:type="dxa"/>
            <w:vAlign w:val="center"/>
          </w:tcPr>
          <w:p w14:paraId="1D15B48E" w14:textId="2C7DAE53" w:rsidR="0000686B" w:rsidRPr="004D3EB9" w:rsidRDefault="009F5906" w:rsidP="00E554E9">
            <w:pPr>
              <w:spacing w:before="60" w:after="60"/>
              <w:jc w:val="center"/>
              <w:rPr>
                <w:rFonts w:asciiTheme="minorHAnsi" w:hAnsiTheme="minorHAnsi"/>
                <w:sz w:val="22"/>
              </w:rPr>
            </w:pPr>
            <w:r>
              <w:rPr>
                <w:rFonts w:asciiTheme="minorHAnsi" w:hAnsiTheme="minorHAnsi"/>
                <w:sz w:val="22"/>
              </w:rPr>
              <w:t>-</w:t>
            </w:r>
          </w:p>
        </w:tc>
        <w:tc>
          <w:tcPr>
            <w:tcW w:w="1404" w:type="dxa"/>
            <w:vAlign w:val="center"/>
          </w:tcPr>
          <w:p w14:paraId="64BC6727"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37%</w:t>
            </w:r>
            <w:r>
              <w:rPr>
                <w:rFonts w:asciiTheme="minorHAnsi" w:hAnsiTheme="minorHAnsi"/>
                <w:sz w:val="22"/>
                <w:vertAlign w:val="superscript"/>
              </w:rPr>
              <w:t>2</w:t>
            </w:r>
          </w:p>
        </w:tc>
        <w:tc>
          <w:tcPr>
            <w:tcW w:w="1404" w:type="dxa"/>
            <w:vAlign w:val="center"/>
          </w:tcPr>
          <w:p w14:paraId="2ACE2C85"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43</w:t>
            </w:r>
            <w:r>
              <w:rPr>
                <w:rFonts w:asciiTheme="minorHAnsi" w:hAnsiTheme="minorHAnsi"/>
                <w:sz w:val="22"/>
              </w:rPr>
              <w:t>%</w:t>
            </w:r>
            <w:r>
              <w:rPr>
                <w:rFonts w:asciiTheme="minorHAnsi" w:hAnsiTheme="minorHAnsi"/>
                <w:sz w:val="22"/>
                <w:vertAlign w:val="superscript"/>
              </w:rPr>
              <w:t>3</w:t>
            </w:r>
          </w:p>
        </w:tc>
        <w:tc>
          <w:tcPr>
            <w:tcW w:w="1405" w:type="dxa"/>
            <w:vAlign w:val="center"/>
          </w:tcPr>
          <w:p w14:paraId="428EACA1" w14:textId="77777777" w:rsidR="0000686B" w:rsidRPr="004D3EB9" w:rsidRDefault="0000686B" w:rsidP="00E554E9">
            <w:pPr>
              <w:spacing w:before="60" w:after="60"/>
              <w:jc w:val="center"/>
              <w:rPr>
                <w:rFonts w:asciiTheme="minorHAnsi" w:hAnsiTheme="minorHAnsi"/>
                <w:b/>
                <w:i/>
                <w:color w:val="000000"/>
                <w:sz w:val="22"/>
                <w:u w:val="single"/>
              </w:rPr>
            </w:pPr>
            <w:r w:rsidRPr="004D3EB9">
              <w:rPr>
                <w:rFonts w:asciiTheme="minorHAnsi" w:hAnsiTheme="minorHAnsi"/>
                <w:sz w:val="22"/>
              </w:rPr>
              <w:t>49</w:t>
            </w:r>
            <w:r>
              <w:rPr>
                <w:rFonts w:asciiTheme="minorHAnsi" w:hAnsiTheme="minorHAnsi"/>
                <w:sz w:val="22"/>
              </w:rPr>
              <w:t>%</w:t>
            </w:r>
            <w:r w:rsidRPr="004D3EB9">
              <w:rPr>
                <w:rFonts w:asciiTheme="minorHAnsi" w:hAnsiTheme="minorHAnsi"/>
                <w:sz w:val="22"/>
                <w:vertAlign w:val="superscript"/>
              </w:rPr>
              <w:t>3</w:t>
            </w:r>
          </w:p>
        </w:tc>
        <w:tc>
          <w:tcPr>
            <w:tcW w:w="1405" w:type="dxa"/>
            <w:vAlign w:val="center"/>
          </w:tcPr>
          <w:p w14:paraId="76816CCF"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55</w:t>
            </w:r>
            <w:r>
              <w:rPr>
                <w:rFonts w:asciiTheme="minorHAnsi" w:hAnsiTheme="minorHAnsi"/>
                <w:sz w:val="22"/>
              </w:rPr>
              <w:t>%</w:t>
            </w:r>
            <w:r>
              <w:rPr>
                <w:rFonts w:asciiTheme="minorHAnsi" w:hAnsiTheme="minorHAnsi"/>
                <w:sz w:val="22"/>
                <w:vertAlign w:val="superscript"/>
              </w:rPr>
              <w:t>3</w:t>
            </w:r>
          </w:p>
        </w:tc>
      </w:tr>
      <w:tr w:rsidR="001E5227" w:rsidRPr="004D3EB9" w14:paraId="6582AEF4" w14:textId="77777777" w:rsidTr="00E554E9">
        <w:tc>
          <w:tcPr>
            <w:tcW w:w="1500" w:type="dxa"/>
            <w:shd w:val="clear" w:color="auto" w:fill="BFBFBF" w:themeFill="background1" w:themeFillShade="BF"/>
          </w:tcPr>
          <w:p w14:paraId="2D93F0CA" w14:textId="77777777" w:rsidR="0000686B" w:rsidRPr="004D3EB9" w:rsidRDefault="0000686B" w:rsidP="00E554E9">
            <w:pPr>
              <w:spacing w:before="60" w:after="60"/>
              <w:rPr>
                <w:rFonts w:asciiTheme="minorHAnsi" w:hAnsiTheme="minorHAnsi"/>
                <w:b/>
                <w:i/>
                <w:color w:val="000000"/>
                <w:sz w:val="22"/>
                <w:u w:val="single"/>
              </w:rPr>
            </w:pPr>
            <w:r w:rsidRPr="004D3EB9">
              <w:rPr>
                <w:rFonts w:asciiTheme="minorHAnsi" w:hAnsiTheme="minorHAnsi"/>
                <w:b/>
                <w:sz w:val="22"/>
              </w:rPr>
              <w:t>rosuvastatin</w:t>
            </w:r>
          </w:p>
        </w:tc>
        <w:tc>
          <w:tcPr>
            <w:tcW w:w="1404" w:type="dxa"/>
            <w:vAlign w:val="center"/>
          </w:tcPr>
          <w:p w14:paraId="1F89415D"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38%</w:t>
            </w:r>
            <w:r>
              <w:rPr>
                <w:rFonts w:asciiTheme="minorHAnsi" w:hAnsiTheme="minorHAnsi"/>
                <w:sz w:val="22"/>
                <w:vertAlign w:val="superscript"/>
              </w:rPr>
              <w:t>2</w:t>
            </w:r>
          </w:p>
        </w:tc>
        <w:tc>
          <w:tcPr>
            <w:tcW w:w="1404" w:type="dxa"/>
            <w:vAlign w:val="center"/>
          </w:tcPr>
          <w:p w14:paraId="6F9D474D"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43%</w:t>
            </w:r>
            <w:r>
              <w:rPr>
                <w:rFonts w:asciiTheme="minorHAnsi" w:hAnsiTheme="minorHAnsi"/>
                <w:sz w:val="22"/>
                <w:vertAlign w:val="superscript"/>
              </w:rPr>
              <w:t>3</w:t>
            </w:r>
          </w:p>
        </w:tc>
        <w:tc>
          <w:tcPr>
            <w:tcW w:w="1404" w:type="dxa"/>
            <w:vAlign w:val="center"/>
          </w:tcPr>
          <w:p w14:paraId="7FC54FDA" w14:textId="77777777" w:rsidR="0000686B" w:rsidRPr="004D3EB9" w:rsidRDefault="0000686B" w:rsidP="00E554E9">
            <w:pPr>
              <w:spacing w:before="60" w:after="60"/>
              <w:jc w:val="center"/>
              <w:rPr>
                <w:rFonts w:asciiTheme="minorHAnsi" w:hAnsiTheme="minorHAnsi"/>
                <w:b/>
                <w:i/>
                <w:color w:val="000000"/>
                <w:sz w:val="22"/>
                <w:u w:val="single"/>
                <w:vertAlign w:val="superscript"/>
              </w:rPr>
            </w:pPr>
            <w:r w:rsidRPr="004D3EB9">
              <w:rPr>
                <w:rFonts w:asciiTheme="minorHAnsi" w:hAnsiTheme="minorHAnsi"/>
                <w:sz w:val="22"/>
              </w:rPr>
              <w:t>48</w:t>
            </w:r>
            <w:r>
              <w:rPr>
                <w:rFonts w:asciiTheme="minorHAnsi" w:hAnsiTheme="minorHAnsi"/>
                <w:sz w:val="22"/>
              </w:rPr>
              <w:t>%</w:t>
            </w:r>
            <w:r>
              <w:rPr>
                <w:rFonts w:asciiTheme="minorHAnsi" w:hAnsiTheme="minorHAnsi"/>
                <w:sz w:val="22"/>
                <w:vertAlign w:val="superscript"/>
              </w:rPr>
              <w:t>3</w:t>
            </w:r>
          </w:p>
        </w:tc>
        <w:tc>
          <w:tcPr>
            <w:tcW w:w="1405" w:type="dxa"/>
            <w:vAlign w:val="center"/>
          </w:tcPr>
          <w:p w14:paraId="4F955A33" w14:textId="77777777" w:rsidR="0000686B" w:rsidRPr="004D3EB9" w:rsidRDefault="0000686B" w:rsidP="00E554E9">
            <w:pPr>
              <w:spacing w:before="60" w:after="60"/>
              <w:jc w:val="center"/>
              <w:rPr>
                <w:rFonts w:asciiTheme="minorHAnsi" w:hAnsiTheme="minorHAnsi"/>
                <w:b/>
                <w:i/>
                <w:color w:val="000000"/>
                <w:sz w:val="22"/>
                <w:u w:val="single"/>
              </w:rPr>
            </w:pPr>
            <w:r w:rsidRPr="004D3EB9">
              <w:rPr>
                <w:rFonts w:asciiTheme="minorHAnsi" w:hAnsiTheme="minorHAnsi"/>
                <w:sz w:val="22"/>
              </w:rPr>
              <w:t>53</w:t>
            </w:r>
            <w:r>
              <w:rPr>
                <w:rFonts w:asciiTheme="minorHAnsi" w:hAnsiTheme="minorHAnsi"/>
                <w:sz w:val="22"/>
              </w:rPr>
              <w:t>%</w:t>
            </w:r>
            <w:r w:rsidRPr="004D3EB9">
              <w:rPr>
                <w:rFonts w:asciiTheme="minorHAnsi" w:hAnsiTheme="minorHAnsi"/>
                <w:sz w:val="22"/>
                <w:vertAlign w:val="superscript"/>
              </w:rPr>
              <w:t>3</w:t>
            </w:r>
          </w:p>
        </w:tc>
        <w:tc>
          <w:tcPr>
            <w:tcW w:w="1405" w:type="dxa"/>
            <w:vAlign w:val="center"/>
          </w:tcPr>
          <w:p w14:paraId="2FB2480C" w14:textId="77777777" w:rsidR="0000686B" w:rsidRPr="004D3EB9" w:rsidRDefault="0000686B" w:rsidP="00E554E9">
            <w:pPr>
              <w:spacing w:before="60" w:after="60"/>
              <w:jc w:val="center"/>
              <w:rPr>
                <w:rFonts w:asciiTheme="minorHAnsi" w:hAnsiTheme="minorHAnsi"/>
                <w:b/>
                <w:i/>
                <w:color w:val="000000"/>
                <w:sz w:val="22"/>
                <w:u w:val="single"/>
              </w:rPr>
            </w:pPr>
            <w:r w:rsidRPr="004D3EB9">
              <w:rPr>
                <w:rFonts w:asciiTheme="minorHAnsi" w:hAnsiTheme="minorHAnsi"/>
                <w:sz w:val="22"/>
              </w:rPr>
              <w:t>-</w:t>
            </w:r>
          </w:p>
        </w:tc>
      </w:tr>
    </w:tbl>
    <w:p w14:paraId="617EA220" w14:textId="77777777" w:rsidR="0000686B" w:rsidRPr="005B6CB9" w:rsidRDefault="0000686B" w:rsidP="00E554E9">
      <w:pPr>
        <w:spacing w:after="0" w:line="240" w:lineRule="auto"/>
        <w:rPr>
          <w:rFonts w:asciiTheme="minorHAnsi" w:hAnsiTheme="minorHAnsi"/>
          <w:sz w:val="20"/>
          <w:szCs w:val="20"/>
        </w:rPr>
      </w:pPr>
      <w:r w:rsidRPr="005B6CB9">
        <w:rPr>
          <w:rFonts w:asciiTheme="minorHAnsi" w:hAnsiTheme="minorHAnsi"/>
          <w:sz w:val="20"/>
          <w:szCs w:val="20"/>
        </w:rPr>
        <w:t>Source Table 1, Appendix A; 2014 NICE Guidance/cg181. Reproduced from Review of Clinical Guidelines-CPHR Deakin University, p50.</w:t>
      </w:r>
    </w:p>
    <w:p w14:paraId="19CB4008" w14:textId="77777777" w:rsidR="001E5227" w:rsidRDefault="0000686B" w:rsidP="00E554E9">
      <w:pPr>
        <w:spacing w:after="0" w:line="240" w:lineRule="auto"/>
        <w:rPr>
          <w:rFonts w:asciiTheme="minorHAnsi" w:hAnsiTheme="minorHAnsi"/>
          <w:sz w:val="20"/>
          <w:szCs w:val="20"/>
        </w:rPr>
      </w:pPr>
      <w:r w:rsidRPr="003E59D9">
        <w:rPr>
          <w:rFonts w:asciiTheme="minorHAnsi" w:hAnsiTheme="minorHAnsi"/>
          <w:sz w:val="20"/>
          <w:szCs w:val="20"/>
          <w:vertAlign w:val="superscript"/>
        </w:rPr>
        <w:t>1</w:t>
      </w:r>
      <w:r w:rsidRPr="003E59D9">
        <w:rPr>
          <w:rFonts w:asciiTheme="minorHAnsi" w:hAnsiTheme="minorHAnsi"/>
          <w:sz w:val="20"/>
          <w:szCs w:val="20"/>
        </w:rPr>
        <w:t>20%-30%: low intensity</w:t>
      </w:r>
    </w:p>
    <w:p w14:paraId="43118CFC" w14:textId="6CDD10EC" w:rsidR="001E5227" w:rsidRDefault="0000686B" w:rsidP="00E554E9">
      <w:pPr>
        <w:spacing w:after="0" w:line="240" w:lineRule="auto"/>
        <w:rPr>
          <w:rFonts w:asciiTheme="minorHAnsi" w:hAnsiTheme="minorHAnsi"/>
          <w:sz w:val="20"/>
          <w:szCs w:val="20"/>
        </w:rPr>
      </w:pPr>
      <w:r w:rsidRPr="003E59D9">
        <w:rPr>
          <w:rFonts w:asciiTheme="minorHAnsi" w:hAnsiTheme="minorHAnsi"/>
          <w:sz w:val="20"/>
          <w:szCs w:val="20"/>
          <w:vertAlign w:val="superscript"/>
        </w:rPr>
        <w:t>2</w:t>
      </w:r>
      <w:r w:rsidRPr="003E59D9">
        <w:rPr>
          <w:rFonts w:asciiTheme="minorHAnsi" w:hAnsiTheme="minorHAnsi"/>
          <w:sz w:val="20"/>
          <w:szCs w:val="20"/>
        </w:rPr>
        <w:t>31%-40%: medium intensity</w:t>
      </w:r>
    </w:p>
    <w:p w14:paraId="0E7CF8D5" w14:textId="77DF2E02" w:rsidR="001E5227" w:rsidRDefault="0000686B" w:rsidP="00E554E9">
      <w:pPr>
        <w:spacing w:after="0" w:line="240" w:lineRule="auto"/>
        <w:rPr>
          <w:rFonts w:asciiTheme="minorHAnsi" w:hAnsiTheme="minorHAnsi"/>
          <w:sz w:val="20"/>
          <w:szCs w:val="20"/>
        </w:rPr>
      </w:pPr>
      <w:r w:rsidRPr="003E59D9">
        <w:rPr>
          <w:rFonts w:asciiTheme="minorHAnsi" w:hAnsiTheme="minorHAnsi"/>
          <w:sz w:val="20"/>
          <w:szCs w:val="20"/>
          <w:vertAlign w:val="superscript"/>
        </w:rPr>
        <w:t>3</w:t>
      </w:r>
      <w:r w:rsidRPr="003E59D9">
        <w:rPr>
          <w:rFonts w:asciiTheme="minorHAnsi" w:hAnsiTheme="minorHAnsi"/>
          <w:sz w:val="20"/>
          <w:szCs w:val="20"/>
        </w:rPr>
        <w:t>Above 40%:</w:t>
      </w:r>
      <w:r w:rsidRPr="00951A4A">
        <w:rPr>
          <w:rFonts w:asciiTheme="minorHAnsi" w:hAnsiTheme="minorHAnsi"/>
          <w:sz w:val="20"/>
          <w:szCs w:val="20"/>
        </w:rPr>
        <w:t xml:space="preserve"> high intensity</w:t>
      </w:r>
    </w:p>
    <w:p w14:paraId="521E9D82" w14:textId="47F501BB" w:rsidR="0000686B" w:rsidRPr="003E59D9" w:rsidRDefault="0000686B" w:rsidP="00E554E9">
      <w:pPr>
        <w:spacing w:after="0" w:line="240" w:lineRule="auto"/>
        <w:rPr>
          <w:rFonts w:asciiTheme="minorHAnsi" w:hAnsiTheme="minorHAnsi"/>
          <w:sz w:val="20"/>
          <w:szCs w:val="20"/>
        </w:rPr>
      </w:pPr>
      <w:r w:rsidRPr="00951A4A">
        <w:rPr>
          <w:rFonts w:asciiTheme="minorHAnsi" w:hAnsiTheme="minorHAnsi"/>
          <w:sz w:val="20"/>
          <w:szCs w:val="20"/>
          <w:vertAlign w:val="superscript"/>
        </w:rPr>
        <w:t>4</w:t>
      </w:r>
      <w:r w:rsidRPr="00471D64">
        <w:rPr>
          <w:rFonts w:asciiTheme="minorHAnsi" w:hAnsiTheme="minorHAnsi"/>
          <w:sz w:val="20"/>
          <w:szCs w:val="20"/>
        </w:rPr>
        <w:t xml:space="preserve">Advice from </w:t>
      </w:r>
      <w:r w:rsidRPr="003E59D9">
        <w:rPr>
          <w:rFonts w:asciiTheme="minorHAnsi" w:hAnsiTheme="minorHAnsi"/>
          <w:sz w:val="20"/>
          <w:szCs w:val="20"/>
        </w:rPr>
        <w:t>Medicines and Healthcare products Regulatory Agency</w:t>
      </w:r>
      <w:r>
        <w:rPr>
          <w:rFonts w:asciiTheme="minorHAnsi" w:hAnsiTheme="minorHAnsi"/>
          <w:sz w:val="20"/>
          <w:szCs w:val="20"/>
        </w:rPr>
        <w:t xml:space="preserve"> </w:t>
      </w:r>
      <w:r w:rsidRPr="003E59D9">
        <w:rPr>
          <w:rFonts w:asciiTheme="minorHAnsi" w:hAnsiTheme="minorHAnsi"/>
          <w:sz w:val="20"/>
          <w:szCs w:val="20"/>
        </w:rPr>
        <w:t>(MHRA): there is an increased risk of myopathy associated with high dose (80 mg simvastatin)</w:t>
      </w:r>
    </w:p>
    <w:p w14:paraId="02E2A15F" w14:textId="77777777" w:rsidR="009F5906" w:rsidRDefault="009F5906" w:rsidP="00E554E9"/>
    <w:p w14:paraId="7B8D760A" w14:textId="31884F4D" w:rsidR="0000686B" w:rsidRPr="00E631B0" w:rsidRDefault="0000686B" w:rsidP="005E0F22">
      <w:pPr>
        <w:spacing w:line="240" w:lineRule="auto"/>
        <w:jc w:val="left"/>
        <w:rPr>
          <w:rFonts w:asciiTheme="minorHAnsi" w:hAnsiTheme="minorHAnsi"/>
        </w:rPr>
      </w:pPr>
      <w:r w:rsidRPr="00E631B0">
        <w:rPr>
          <w:rFonts w:asciiTheme="minorHAnsi" w:hAnsiTheme="minorHAnsi"/>
        </w:rPr>
        <w:t xml:space="preserve">Established practice prior to the IMPROVE-IT study has been to use a statin first due to the greater volume of evidence available for statins that a reduction in LDL-C translates to reduced </w:t>
      </w:r>
      <w:r w:rsidR="009F5906" w:rsidRPr="00E631B0">
        <w:rPr>
          <w:rFonts w:asciiTheme="minorHAnsi" w:hAnsiTheme="minorHAnsi"/>
        </w:rPr>
        <w:t xml:space="preserve">CV </w:t>
      </w:r>
      <w:r w:rsidRPr="00E631B0">
        <w:rPr>
          <w:rFonts w:asciiTheme="minorHAnsi" w:hAnsiTheme="minorHAnsi"/>
        </w:rPr>
        <w:t>risk. A 1</w:t>
      </w:r>
      <w:r w:rsidR="009F5906" w:rsidRPr="00E631B0">
        <w:rPr>
          <w:rFonts w:asciiTheme="minorHAnsi" w:hAnsiTheme="minorHAnsi"/>
        </w:rPr>
        <w:t xml:space="preserve"> </w:t>
      </w:r>
      <w:r w:rsidRPr="00E631B0">
        <w:rPr>
          <w:rFonts w:asciiTheme="minorHAnsi" w:hAnsiTheme="minorHAnsi"/>
        </w:rPr>
        <w:t xml:space="preserve">mmol/L decrease in LDL-C by statin therapy reduces </w:t>
      </w:r>
      <w:r w:rsidR="009F5906" w:rsidRPr="00E631B0">
        <w:rPr>
          <w:rFonts w:asciiTheme="minorHAnsi" w:hAnsiTheme="minorHAnsi"/>
        </w:rPr>
        <w:t xml:space="preserve">CV </w:t>
      </w:r>
      <w:r w:rsidRPr="00E631B0">
        <w:rPr>
          <w:rFonts w:asciiTheme="minorHAnsi" w:hAnsiTheme="minorHAnsi"/>
        </w:rPr>
        <w:t xml:space="preserve">risk by approximately 22%. Results from IMPROVE-IT confirm that ezetimibe lowers </w:t>
      </w:r>
      <w:r w:rsidR="009F5906" w:rsidRPr="00E631B0">
        <w:rPr>
          <w:rFonts w:asciiTheme="minorHAnsi" w:hAnsiTheme="minorHAnsi"/>
        </w:rPr>
        <w:t xml:space="preserve">the </w:t>
      </w:r>
      <w:r w:rsidRPr="00E631B0">
        <w:rPr>
          <w:rFonts w:asciiTheme="minorHAnsi" w:hAnsiTheme="minorHAnsi"/>
        </w:rPr>
        <w:t xml:space="preserve">risk of </w:t>
      </w:r>
      <w:r w:rsidR="009F5906" w:rsidRPr="00E631B0">
        <w:rPr>
          <w:rFonts w:asciiTheme="minorHAnsi" w:hAnsiTheme="minorHAnsi"/>
        </w:rPr>
        <w:t xml:space="preserve">CV </w:t>
      </w:r>
      <w:r w:rsidRPr="00E631B0">
        <w:rPr>
          <w:rFonts w:asciiTheme="minorHAnsi" w:hAnsiTheme="minorHAnsi"/>
        </w:rPr>
        <w:t>events to an extent predicted by the relationship between absolute LDL reduction and CV risk obtained from previous studies with other lipid-lowering agents. These results confirm that reduction in LDL-C appear</w:t>
      </w:r>
      <w:r w:rsidR="009F5906" w:rsidRPr="00E631B0">
        <w:rPr>
          <w:rFonts w:asciiTheme="minorHAnsi" w:hAnsiTheme="minorHAnsi"/>
        </w:rPr>
        <w:t>s</w:t>
      </w:r>
      <w:r w:rsidRPr="00E631B0">
        <w:rPr>
          <w:rFonts w:asciiTheme="minorHAnsi" w:hAnsiTheme="minorHAnsi"/>
        </w:rPr>
        <w:t xml:space="preserve"> to be a valid surrogate for a reduction in rate of major vascular events as shown in Figure </w:t>
      </w:r>
      <w:r w:rsidR="008864E8" w:rsidRPr="00E631B0">
        <w:rPr>
          <w:rFonts w:asciiTheme="minorHAnsi" w:hAnsiTheme="minorHAnsi"/>
        </w:rPr>
        <w:t>3</w:t>
      </w:r>
      <w:r w:rsidRPr="00E631B0">
        <w:rPr>
          <w:rFonts w:asciiTheme="minorHAnsi" w:hAnsiTheme="minorHAnsi"/>
        </w:rPr>
        <w:t xml:space="preserve"> below. </w:t>
      </w:r>
    </w:p>
    <w:p w14:paraId="7CF65A76" w14:textId="77777777" w:rsidR="0000686B" w:rsidRPr="00AC4608" w:rsidRDefault="0000686B" w:rsidP="00E554E9">
      <w:pPr>
        <w:pStyle w:val="TableName"/>
        <w:keepNext/>
        <w:keepLines/>
      </w:pPr>
      <w:r w:rsidRPr="00EA04CE">
        <w:lastRenderedPageBreak/>
        <w:t xml:space="preserve">Figure </w:t>
      </w:r>
      <w:r w:rsidR="008864E8">
        <w:t>3</w:t>
      </w:r>
      <w:r>
        <w:t>:</w:t>
      </w:r>
      <w:r w:rsidRPr="00EA04CE">
        <w:t xml:space="preserve"> Plot of the IMPROVE-IT Trial Data and Statin Trials for Change in Low-Density Lipoprotein (LDL) Cholesterol versus Clinical Benefit.</w:t>
      </w:r>
    </w:p>
    <w:p w14:paraId="11F9523D" w14:textId="77777777" w:rsidR="0000686B" w:rsidRDefault="0000686B">
      <w:pPr>
        <w:keepNext/>
        <w:keepLines/>
        <w:spacing w:line="240" w:lineRule="auto"/>
        <w:rPr>
          <w:rFonts w:asciiTheme="minorHAnsi" w:hAnsiTheme="minorHAnsi"/>
        </w:rPr>
      </w:pPr>
      <w:r w:rsidRPr="00AC4608">
        <w:rPr>
          <w:rFonts w:asciiTheme="minorHAnsi" w:hAnsiTheme="minorHAnsi"/>
          <w:noProof/>
          <w:lang w:eastAsia="en-AU"/>
        </w:rPr>
        <w:drawing>
          <wp:inline distT="0" distB="0" distL="0" distR="0" wp14:anchorId="056C5E12" wp14:editId="6A0E5BBB">
            <wp:extent cx="4762500" cy="2730178"/>
            <wp:effectExtent l="0" t="0" r="0" b="0"/>
            <wp:docPr id="3074" name="Picture 2" title="Plot of the IMPROVE-IT Trial Data and Statin Trials for Change in Low-Density Lipoprotein (LDL) Cholesterol versus Clinical Bene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500" cy="2730178"/>
                    </a:xfrm>
                    <a:prstGeom prst="rect">
                      <a:avLst/>
                    </a:prstGeom>
                    <a:noFill/>
                    <a:ln>
                      <a:noFill/>
                    </a:ln>
                    <a:extLst/>
                  </pic:spPr>
                </pic:pic>
              </a:graphicData>
            </a:graphic>
          </wp:inline>
        </w:drawing>
      </w:r>
    </w:p>
    <w:p w14:paraId="24D49AE5" w14:textId="5FD34B54" w:rsidR="0000686B" w:rsidRPr="00AC4608" w:rsidRDefault="0000686B">
      <w:pPr>
        <w:pStyle w:val="Figurecaption"/>
        <w:keepNext/>
        <w:keepLines/>
        <w:jc w:val="both"/>
      </w:pPr>
      <w:r w:rsidRPr="009C4FE6">
        <w:t xml:space="preserve">Source: Cannon et al. </w:t>
      </w:r>
      <w:r w:rsidRPr="00AC4608">
        <w:t xml:space="preserve">(2015). Ezetimibe added to statin therapy after acute coronary syndromes. </w:t>
      </w:r>
      <w:r w:rsidRPr="009C4FE6">
        <w:t xml:space="preserve">The New England Journal of Medicine, </w:t>
      </w:r>
      <w:r w:rsidRPr="00AC4608">
        <w:t>372:2387-2397</w:t>
      </w:r>
      <w:r w:rsidR="009F5906">
        <w:t>.</w:t>
      </w:r>
    </w:p>
    <w:p w14:paraId="0B470788" w14:textId="77777777" w:rsidR="0000686B" w:rsidRPr="00685127" w:rsidRDefault="0000686B" w:rsidP="005A2287">
      <w:pPr>
        <w:spacing w:line="240" w:lineRule="auto"/>
        <w:rPr>
          <w:rFonts w:asciiTheme="minorHAnsi" w:hAnsiTheme="minorHAnsi"/>
          <w:sz w:val="16"/>
          <w:szCs w:val="16"/>
        </w:rPr>
      </w:pPr>
    </w:p>
    <w:p w14:paraId="3EF892B2" w14:textId="2C142D18" w:rsidR="00D8141C" w:rsidRPr="00E631B0" w:rsidRDefault="0000686B" w:rsidP="005E0F22">
      <w:pPr>
        <w:spacing w:line="240" w:lineRule="auto"/>
        <w:jc w:val="left"/>
        <w:rPr>
          <w:rFonts w:asciiTheme="minorHAnsi" w:hAnsiTheme="minorHAnsi"/>
        </w:rPr>
      </w:pPr>
      <w:r w:rsidRPr="00E631B0">
        <w:rPr>
          <w:rFonts w:asciiTheme="minorHAnsi" w:hAnsiTheme="minorHAnsi"/>
        </w:rPr>
        <w:t>The risk reduction observed in the IMPROVE</w:t>
      </w:r>
      <w:r w:rsidR="009F5906" w:rsidRPr="00E631B0">
        <w:rPr>
          <w:rFonts w:asciiTheme="minorHAnsi" w:hAnsiTheme="minorHAnsi"/>
        </w:rPr>
        <w:t>-</w:t>
      </w:r>
      <w:r w:rsidRPr="00E631B0">
        <w:rPr>
          <w:rFonts w:asciiTheme="minorHAnsi" w:hAnsiTheme="minorHAnsi"/>
        </w:rPr>
        <w:t>IT trial was also consistent with the absolute reduction in LDL-C predicted by the Cholesterol Treatment Trialists</w:t>
      </w:r>
      <w:r w:rsidR="000D5F09" w:rsidRPr="00E631B0">
        <w:rPr>
          <w:rFonts w:asciiTheme="minorHAnsi" w:hAnsiTheme="minorHAnsi"/>
        </w:rPr>
        <w:t>’</w:t>
      </w:r>
      <w:r w:rsidRPr="00E631B0">
        <w:rPr>
          <w:rFonts w:asciiTheme="minorHAnsi" w:hAnsiTheme="minorHAnsi"/>
        </w:rPr>
        <w:t xml:space="preserve"> </w:t>
      </w:r>
      <w:r w:rsidR="000D5F09" w:rsidRPr="00E631B0">
        <w:rPr>
          <w:rFonts w:asciiTheme="minorHAnsi" w:hAnsiTheme="minorHAnsi"/>
        </w:rPr>
        <w:t xml:space="preserve">Collaboration </w:t>
      </w:r>
      <w:r w:rsidRPr="00E631B0">
        <w:rPr>
          <w:rFonts w:asciiTheme="minorHAnsi" w:hAnsiTheme="minorHAnsi"/>
        </w:rPr>
        <w:t>(CTT</w:t>
      </w:r>
      <w:r w:rsidR="000D5F09" w:rsidRPr="00E631B0">
        <w:rPr>
          <w:rFonts w:asciiTheme="minorHAnsi" w:hAnsiTheme="minorHAnsi"/>
        </w:rPr>
        <w:t>C</w:t>
      </w:r>
      <w:r w:rsidRPr="00E631B0">
        <w:rPr>
          <w:rFonts w:asciiTheme="minorHAnsi" w:hAnsiTheme="minorHAnsi"/>
        </w:rPr>
        <w:t>) statin derived regression line. This supports the notion that LDL-C reduction by statins and ezetimibe confer similar benefits and that the real determinant of the relative risk reduction is the magnitude of the change in LDL-C rather than the mechanism by which the reduction is achieved</w:t>
      </w:r>
      <w:r w:rsidR="004C6F07" w:rsidRPr="00E631B0">
        <w:rPr>
          <w:rStyle w:val="EndnoteReference"/>
          <w:rFonts w:asciiTheme="minorHAnsi" w:hAnsiTheme="minorHAnsi"/>
        </w:rPr>
        <w:endnoteReference w:id="63"/>
      </w:r>
      <w:r w:rsidR="004C6F07" w:rsidRPr="00E631B0">
        <w:rPr>
          <w:rFonts w:asciiTheme="minorHAnsi" w:hAnsiTheme="minorHAnsi"/>
        </w:rPr>
        <w:t>.</w:t>
      </w:r>
    </w:p>
    <w:p w14:paraId="61208988" w14:textId="638C16B0" w:rsidR="0000686B" w:rsidRPr="00E631B0" w:rsidRDefault="0000686B" w:rsidP="005E0F22">
      <w:pPr>
        <w:spacing w:line="240" w:lineRule="auto"/>
        <w:jc w:val="left"/>
        <w:rPr>
          <w:rFonts w:asciiTheme="minorHAnsi" w:hAnsiTheme="minorHAnsi"/>
        </w:rPr>
      </w:pPr>
      <w:r w:rsidRPr="00E631B0">
        <w:rPr>
          <w:rFonts w:asciiTheme="minorHAnsi" w:hAnsiTheme="minorHAnsi"/>
        </w:rPr>
        <w:t>Whilst IMPROVE-IT is a secondary prevention study with a number of applicability issues to the Australian primary prevention population, and long</w:t>
      </w:r>
      <w:r w:rsidR="00F7627D" w:rsidRPr="00E631B0">
        <w:rPr>
          <w:rFonts w:asciiTheme="minorHAnsi" w:hAnsiTheme="minorHAnsi"/>
        </w:rPr>
        <w:t>-</w:t>
      </w:r>
      <w:r w:rsidRPr="00E631B0">
        <w:rPr>
          <w:rFonts w:asciiTheme="minorHAnsi" w:hAnsiTheme="minorHAnsi"/>
        </w:rPr>
        <w:t>term patient outcomes may not be fully generalisable to the target population, it is none the less a significant trial with positive patient outcomes and predictable benefit. The trial showed a small</w:t>
      </w:r>
      <w:r w:rsidR="00F404A5" w:rsidRPr="00E631B0">
        <w:rPr>
          <w:rFonts w:asciiTheme="minorHAnsi" w:hAnsiTheme="minorHAnsi"/>
        </w:rPr>
        <w:t>,</w:t>
      </w:r>
      <w:r w:rsidRPr="00E631B0">
        <w:rPr>
          <w:rFonts w:asciiTheme="minorHAnsi" w:hAnsiTheme="minorHAnsi"/>
        </w:rPr>
        <w:t xml:space="preserve"> but statistically significant</w:t>
      </w:r>
      <w:r w:rsidR="00F404A5" w:rsidRPr="00E631B0">
        <w:rPr>
          <w:rFonts w:asciiTheme="minorHAnsi" w:hAnsiTheme="minorHAnsi"/>
        </w:rPr>
        <w:t>,</w:t>
      </w:r>
      <w:r w:rsidRPr="00E631B0">
        <w:rPr>
          <w:rFonts w:asciiTheme="minorHAnsi" w:hAnsiTheme="minorHAnsi"/>
        </w:rPr>
        <w:t xml:space="preserve"> 7.2% relative reduction in the risk of </w:t>
      </w:r>
      <w:r w:rsidR="00F404A5" w:rsidRPr="00E631B0">
        <w:rPr>
          <w:rFonts w:asciiTheme="minorHAnsi" w:hAnsiTheme="minorHAnsi"/>
        </w:rPr>
        <w:t xml:space="preserve">CV </w:t>
      </w:r>
      <w:r w:rsidRPr="00E631B0">
        <w:rPr>
          <w:rFonts w:asciiTheme="minorHAnsi" w:hAnsiTheme="minorHAnsi"/>
        </w:rPr>
        <w:t xml:space="preserve">events (combined composite primary endpoint of coronary heart disease death, myocardial infarction and urgent coronary revascularization) in more than 18,000 patients with a recent coronary event, followed for seven years. This reduction in CV outcome was close to that predicted by the absolute reduction in LDL-C observed in the trial. The hazard ratio for clinical benefit per </w:t>
      </w:r>
      <w:r w:rsidR="00F404A5" w:rsidRPr="00E631B0">
        <w:rPr>
          <w:rFonts w:asciiTheme="minorHAnsi" w:hAnsiTheme="minorHAnsi"/>
        </w:rPr>
        <w:t xml:space="preserve">mmol </w:t>
      </w:r>
      <w:r w:rsidRPr="00E631B0">
        <w:rPr>
          <w:rFonts w:asciiTheme="minorHAnsi" w:hAnsiTheme="minorHAnsi"/>
        </w:rPr>
        <w:t>of LDL-C reduction with ezetimibe in IMPROVE-IT was 0.80 (95%</w:t>
      </w:r>
      <w:r w:rsidR="00F404A5" w:rsidRPr="00E631B0">
        <w:rPr>
          <w:rFonts w:asciiTheme="minorHAnsi" w:hAnsiTheme="minorHAnsi"/>
        </w:rPr>
        <w:t xml:space="preserve"> </w:t>
      </w:r>
      <w:r w:rsidRPr="00E631B0">
        <w:rPr>
          <w:rFonts w:asciiTheme="minorHAnsi" w:hAnsiTheme="minorHAnsi"/>
        </w:rPr>
        <w:t>CI</w:t>
      </w:r>
      <w:r w:rsidR="00F404A5" w:rsidRPr="00E631B0">
        <w:rPr>
          <w:rFonts w:asciiTheme="minorHAnsi" w:hAnsiTheme="minorHAnsi"/>
        </w:rPr>
        <w:t>:</w:t>
      </w:r>
      <w:r w:rsidRPr="00E631B0">
        <w:rPr>
          <w:rFonts w:asciiTheme="minorHAnsi" w:hAnsiTheme="minorHAnsi"/>
        </w:rPr>
        <w:t xml:space="preserve"> 0.68-0.94), as compared with 0.78 (95%</w:t>
      </w:r>
      <w:r w:rsidR="00F404A5" w:rsidRPr="00E631B0">
        <w:rPr>
          <w:rFonts w:asciiTheme="minorHAnsi" w:hAnsiTheme="minorHAnsi"/>
        </w:rPr>
        <w:t> </w:t>
      </w:r>
      <w:r w:rsidRPr="00E631B0">
        <w:rPr>
          <w:rFonts w:asciiTheme="minorHAnsi" w:hAnsiTheme="minorHAnsi"/>
        </w:rPr>
        <w:t>CI</w:t>
      </w:r>
      <w:r w:rsidR="00F404A5" w:rsidRPr="00E631B0">
        <w:rPr>
          <w:rFonts w:asciiTheme="minorHAnsi" w:hAnsiTheme="minorHAnsi"/>
        </w:rPr>
        <w:t>:</w:t>
      </w:r>
      <w:r w:rsidRPr="00E631B0">
        <w:rPr>
          <w:rFonts w:asciiTheme="minorHAnsi" w:hAnsiTheme="minorHAnsi"/>
        </w:rPr>
        <w:t xml:space="preserve"> 0.76-0.80) observed with statins in the CTTC meta-analysis</w:t>
      </w:r>
      <w:r w:rsidR="007D17F0" w:rsidRPr="00E631B0">
        <w:rPr>
          <w:rStyle w:val="EndnoteReference"/>
          <w:rFonts w:asciiTheme="minorHAnsi" w:hAnsiTheme="minorHAnsi"/>
        </w:rPr>
        <w:endnoteReference w:id="64"/>
      </w:r>
      <w:r w:rsidRPr="00E631B0">
        <w:rPr>
          <w:rFonts w:asciiTheme="minorHAnsi" w:hAnsiTheme="minorHAnsi"/>
        </w:rPr>
        <w:t>. However, the FDA expressed concern that this small effect would be further reduced in a primary prevention cohort</w:t>
      </w:r>
      <w:r w:rsidR="004C6F07" w:rsidRPr="00E631B0">
        <w:rPr>
          <w:rStyle w:val="EndnoteReference"/>
          <w:rFonts w:asciiTheme="minorHAnsi" w:hAnsiTheme="minorHAnsi"/>
        </w:rPr>
        <w:endnoteReference w:id="65"/>
      </w:r>
      <w:r w:rsidR="00F404A5" w:rsidRPr="00E631B0">
        <w:rPr>
          <w:rFonts w:asciiTheme="minorHAnsi" w:hAnsiTheme="minorHAnsi"/>
        </w:rPr>
        <w:t>.</w:t>
      </w:r>
      <w:r w:rsidR="004C6F07" w:rsidRPr="00E631B0">
        <w:rPr>
          <w:rFonts w:asciiTheme="minorHAnsi" w:hAnsiTheme="minorHAnsi"/>
        </w:rPr>
        <w:t xml:space="preserve"> </w:t>
      </w:r>
    </w:p>
    <w:p w14:paraId="38492290" w14:textId="5CF17A40" w:rsidR="0000686B" w:rsidRPr="00E631B0" w:rsidRDefault="0000686B" w:rsidP="005E0F22">
      <w:pPr>
        <w:spacing w:line="240" w:lineRule="auto"/>
        <w:jc w:val="left"/>
        <w:rPr>
          <w:rFonts w:asciiTheme="minorHAnsi" w:hAnsiTheme="minorHAnsi"/>
        </w:rPr>
      </w:pPr>
      <w:r w:rsidRPr="00E631B0">
        <w:rPr>
          <w:rFonts w:asciiTheme="minorHAnsi" w:hAnsiTheme="minorHAnsi"/>
        </w:rPr>
        <w:t xml:space="preserve">The Reference Group considered IMPROVE-IT supports the hypothesis that the magnitude of the reduction in LDL-C concentration is a valid surrogate outcome for a predictable decrease in </w:t>
      </w:r>
      <w:r w:rsidR="00F404A5" w:rsidRPr="00E631B0">
        <w:rPr>
          <w:rFonts w:asciiTheme="minorHAnsi" w:hAnsiTheme="minorHAnsi"/>
        </w:rPr>
        <w:t xml:space="preserve">CV </w:t>
      </w:r>
      <w:r w:rsidRPr="00E631B0">
        <w:rPr>
          <w:rFonts w:asciiTheme="minorHAnsi" w:hAnsiTheme="minorHAnsi"/>
        </w:rPr>
        <w:t>risk for patients taking ezetimibe. In addition, there do not appear to be long</w:t>
      </w:r>
      <w:r w:rsidR="00F7627D" w:rsidRPr="00E631B0">
        <w:rPr>
          <w:rFonts w:asciiTheme="minorHAnsi" w:hAnsiTheme="minorHAnsi"/>
        </w:rPr>
        <w:t>-</w:t>
      </w:r>
      <w:r w:rsidRPr="00E631B0">
        <w:rPr>
          <w:rFonts w:asciiTheme="minorHAnsi" w:hAnsiTheme="minorHAnsi"/>
        </w:rPr>
        <w:t xml:space="preserve">term safety issues for ezetimibe. </w:t>
      </w:r>
    </w:p>
    <w:p w14:paraId="68BFC753" w14:textId="77777777" w:rsidR="007173D3" w:rsidRPr="007173D3" w:rsidRDefault="003848A8" w:rsidP="005A2287">
      <w:pPr>
        <w:pStyle w:val="Heading2"/>
      </w:pPr>
      <w:bookmarkStart w:id="96" w:name="_Toc500510252"/>
      <w:r>
        <w:lastRenderedPageBreak/>
        <w:t>3.</w:t>
      </w:r>
      <w:r w:rsidR="007173D3" w:rsidRPr="007173D3">
        <w:t>3</w:t>
      </w:r>
      <w:r w:rsidR="0000686B" w:rsidRPr="007173D3">
        <w:tab/>
        <w:t>Economic evaluation of ezetimibe</w:t>
      </w:r>
      <w:bookmarkEnd w:id="96"/>
      <w:r w:rsidR="0000686B" w:rsidRPr="007173D3">
        <w:t xml:space="preserve"> </w:t>
      </w:r>
    </w:p>
    <w:p w14:paraId="204EB344" w14:textId="36EBE302" w:rsidR="003F37E9" w:rsidRPr="00E631B0" w:rsidRDefault="003F37E9" w:rsidP="005E0F22">
      <w:pPr>
        <w:pStyle w:val="ListParagraph"/>
        <w:spacing w:after="120" w:line="240" w:lineRule="auto"/>
        <w:ind w:left="0"/>
        <w:contextualSpacing w:val="0"/>
        <w:jc w:val="left"/>
        <w:rPr>
          <w:rFonts w:asciiTheme="minorHAnsi" w:hAnsiTheme="minorHAnsi"/>
        </w:rPr>
      </w:pPr>
      <w:r w:rsidRPr="00E631B0">
        <w:rPr>
          <w:rFonts w:asciiTheme="minorHAnsi" w:hAnsiTheme="minorHAnsi"/>
        </w:rPr>
        <w:t>In April 2016, the sponsor of ezetimibe submitted a modelled economic evaluation as part of its submission to the Review. The economic evaluation assessed the cost-effectiveness of adding ezetimibe to background treatment with a statin (simvastatin 40 mg) in the patient population eligible for PBS subsidised ezetimibe therapy. The economic evaluation consisted of a Markov model and the base case presented by MSD applied:</w:t>
      </w:r>
    </w:p>
    <w:p w14:paraId="063FF1B4" w14:textId="1270A3F0" w:rsidR="003F37E9" w:rsidRPr="00E631B0" w:rsidRDefault="003F37E9" w:rsidP="005E0F22">
      <w:pPr>
        <w:numPr>
          <w:ilvl w:val="0"/>
          <w:numId w:val="19"/>
        </w:numPr>
        <w:spacing w:after="160" w:line="259" w:lineRule="auto"/>
        <w:contextualSpacing/>
        <w:jc w:val="left"/>
        <w:rPr>
          <w:rFonts w:asciiTheme="minorHAnsi" w:hAnsiTheme="minorHAnsi"/>
        </w:rPr>
      </w:pPr>
      <w:r w:rsidRPr="00E631B0">
        <w:rPr>
          <w:rFonts w:asciiTheme="minorHAnsi" w:hAnsiTheme="minorHAnsi"/>
        </w:rPr>
        <w:t xml:space="preserve">Baseline </w:t>
      </w:r>
      <w:r w:rsidR="00D83C5F" w:rsidRPr="00E631B0">
        <w:rPr>
          <w:rFonts w:asciiTheme="minorHAnsi" w:hAnsiTheme="minorHAnsi"/>
        </w:rPr>
        <w:t>Bettering the Evaluation and Care of Health (</w:t>
      </w:r>
      <w:r w:rsidRPr="00E631B0">
        <w:rPr>
          <w:rFonts w:asciiTheme="minorHAnsi" w:hAnsiTheme="minorHAnsi"/>
        </w:rPr>
        <w:t>BEACH</w:t>
      </w:r>
      <w:r w:rsidR="00D83C5F" w:rsidRPr="00E631B0">
        <w:rPr>
          <w:rFonts w:asciiTheme="minorHAnsi" w:hAnsiTheme="minorHAnsi"/>
        </w:rPr>
        <w:t>)</w:t>
      </w:r>
      <w:r w:rsidRPr="00E631B0">
        <w:rPr>
          <w:rFonts w:asciiTheme="minorHAnsi" w:hAnsiTheme="minorHAnsi"/>
        </w:rPr>
        <w:t xml:space="preserve"> </w:t>
      </w:r>
      <w:r w:rsidR="00D83C5F" w:rsidRPr="00E631B0">
        <w:rPr>
          <w:rFonts w:asciiTheme="minorHAnsi" w:hAnsiTheme="minorHAnsi"/>
        </w:rPr>
        <w:t>Supplementary Analysis of Nominated Data (</w:t>
      </w:r>
      <w:r w:rsidRPr="00E631B0">
        <w:rPr>
          <w:rFonts w:asciiTheme="minorHAnsi" w:hAnsiTheme="minorHAnsi"/>
        </w:rPr>
        <w:t>SAND</w:t>
      </w:r>
      <w:r w:rsidR="00D83C5F" w:rsidRPr="00E631B0">
        <w:rPr>
          <w:rFonts w:asciiTheme="minorHAnsi" w:hAnsiTheme="minorHAnsi"/>
        </w:rPr>
        <w:t>)</w:t>
      </w:r>
      <w:r w:rsidRPr="00E631B0">
        <w:rPr>
          <w:rFonts w:asciiTheme="minorHAnsi" w:hAnsiTheme="minorHAnsi"/>
        </w:rPr>
        <w:t xml:space="preserve"> population patient characteristics</w:t>
      </w:r>
      <w:r w:rsidR="00D83C5F" w:rsidRPr="00E631B0">
        <w:rPr>
          <w:rFonts w:asciiTheme="minorHAnsi" w:hAnsiTheme="minorHAnsi"/>
        </w:rPr>
        <w:t>.</w:t>
      </w:r>
    </w:p>
    <w:p w14:paraId="5E282A21" w14:textId="064DEA5C" w:rsidR="003F37E9" w:rsidRPr="00E631B0" w:rsidRDefault="003F37E9" w:rsidP="005E0F22">
      <w:pPr>
        <w:numPr>
          <w:ilvl w:val="0"/>
          <w:numId w:val="19"/>
        </w:numPr>
        <w:spacing w:after="160" w:line="259" w:lineRule="auto"/>
        <w:contextualSpacing/>
        <w:jc w:val="left"/>
        <w:rPr>
          <w:rFonts w:asciiTheme="minorHAnsi" w:hAnsiTheme="minorHAnsi"/>
        </w:rPr>
      </w:pPr>
      <w:r w:rsidRPr="00E631B0">
        <w:rPr>
          <w:rFonts w:asciiTheme="minorHAnsi" w:hAnsiTheme="minorHAnsi"/>
        </w:rPr>
        <w:t>The change in TC:HDL ratios from the 2006 meta-analysis of ezetimibe add-on trials -19.5% vs -2.6% in the ezetimibe and comparator arms, respectively</w:t>
      </w:r>
      <w:r w:rsidR="008B1D2E" w:rsidRPr="00E631B0">
        <w:rPr>
          <w:rFonts w:asciiTheme="minorHAnsi" w:hAnsiTheme="minorHAnsi"/>
        </w:rPr>
        <w:t>.</w:t>
      </w:r>
    </w:p>
    <w:p w14:paraId="45E5267B" w14:textId="7624796D" w:rsidR="003F37E9" w:rsidRPr="00E631B0" w:rsidRDefault="003F37E9" w:rsidP="005E0F22">
      <w:pPr>
        <w:numPr>
          <w:ilvl w:val="0"/>
          <w:numId w:val="19"/>
        </w:numPr>
        <w:spacing w:after="160" w:line="259" w:lineRule="auto"/>
        <w:contextualSpacing/>
        <w:jc w:val="left"/>
        <w:rPr>
          <w:rFonts w:asciiTheme="minorHAnsi" w:hAnsiTheme="minorHAnsi"/>
        </w:rPr>
      </w:pPr>
      <w:r w:rsidRPr="00E631B0">
        <w:rPr>
          <w:rFonts w:asciiTheme="minorHAnsi" w:hAnsiTheme="minorHAnsi"/>
        </w:rPr>
        <w:t>Disutility value 0.055 for post-unstable angina and post MI</w:t>
      </w:r>
      <w:r w:rsidR="008B1D2E" w:rsidRPr="00E631B0">
        <w:rPr>
          <w:rFonts w:asciiTheme="minorHAnsi" w:hAnsiTheme="minorHAnsi"/>
        </w:rPr>
        <w:t>.</w:t>
      </w:r>
    </w:p>
    <w:p w14:paraId="03020525" w14:textId="77777777" w:rsidR="003F37E9" w:rsidRPr="00E631B0" w:rsidRDefault="003F37E9" w:rsidP="005E0F22">
      <w:pPr>
        <w:numPr>
          <w:ilvl w:val="0"/>
          <w:numId w:val="19"/>
        </w:numPr>
        <w:spacing w:after="160" w:line="259" w:lineRule="auto"/>
        <w:contextualSpacing/>
        <w:jc w:val="left"/>
        <w:rPr>
          <w:rFonts w:ascii="Calibri" w:hAnsi="Calibri" w:cs="Times New Roman"/>
          <w:szCs w:val="20"/>
        </w:rPr>
      </w:pPr>
      <w:r w:rsidRPr="00E631B0">
        <w:rPr>
          <w:rFonts w:asciiTheme="minorHAnsi" w:hAnsiTheme="minorHAnsi"/>
        </w:rPr>
        <w:t>Time horizon=70 years.</w:t>
      </w:r>
      <w:r w:rsidRPr="00E631B0">
        <w:rPr>
          <w:rFonts w:ascii="Calibri" w:hAnsi="Calibri" w:cs="Times New Roman"/>
          <w:szCs w:val="20"/>
        </w:rPr>
        <w:t xml:space="preserve"> </w:t>
      </w:r>
    </w:p>
    <w:p w14:paraId="7F8C025A" w14:textId="77777777" w:rsidR="0000686B" w:rsidRPr="00E631B0" w:rsidRDefault="0000686B" w:rsidP="005E0F22">
      <w:pPr>
        <w:pStyle w:val="NormalWeb"/>
        <w:jc w:val="left"/>
      </w:pPr>
      <w:r w:rsidRPr="00E631B0">
        <w:rPr>
          <w:rFonts w:asciiTheme="minorHAnsi" w:hAnsiTheme="minorHAnsi"/>
          <w:szCs w:val="22"/>
        </w:rPr>
        <w:t>This is the same Markov structure and transition probabilities as was previously considered by the PBAC in seven economic models for ezetimibe between December 2003 and March 2012.</w:t>
      </w:r>
    </w:p>
    <w:p w14:paraId="39433374" w14:textId="77777777" w:rsidR="0000686B" w:rsidRPr="00E631B0" w:rsidRDefault="0000686B" w:rsidP="005E0F22">
      <w:pPr>
        <w:pStyle w:val="CommentText"/>
        <w:jc w:val="left"/>
        <w:rPr>
          <w:rFonts w:asciiTheme="minorHAnsi" w:hAnsiTheme="minorHAnsi"/>
          <w:sz w:val="24"/>
          <w:szCs w:val="22"/>
        </w:rPr>
      </w:pPr>
      <w:r w:rsidRPr="00E631B0">
        <w:rPr>
          <w:rFonts w:asciiTheme="minorHAnsi" w:hAnsiTheme="minorHAnsi"/>
          <w:sz w:val="24"/>
          <w:szCs w:val="22"/>
        </w:rPr>
        <w:t>The submission claimed that the reduction in CV events as observed in the IMPROVE-IT trial were consistent with the model presented previously to the PBAC. On this basis the submission presented an analysis of the cost-effectiveness of ezetimibe using the previous model.</w:t>
      </w:r>
    </w:p>
    <w:p w14:paraId="6219C42D" w14:textId="77777777" w:rsidR="0000686B" w:rsidRPr="00E631B0" w:rsidRDefault="0000686B" w:rsidP="005E0F22">
      <w:pPr>
        <w:spacing w:line="240" w:lineRule="auto"/>
        <w:jc w:val="left"/>
        <w:rPr>
          <w:rFonts w:asciiTheme="minorHAnsi" w:hAnsiTheme="minorHAnsi"/>
        </w:rPr>
      </w:pPr>
      <w:r w:rsidRPr="00E631B0">
        <w:rPr>
          <w:rFonts w:asciiTheme="minorHAnsi" w:hAnsiTheme="minorHAnsi"/>
        </w:rPr>
        <w:t>Whilst the Review was not able to</w:t>
      </w:r>
      <w:r w:rsidR="00E25060" w:rsidRPr="00E631B0">
        <w:rPr>
          <w:rFonts w:asciiTheme="minorHAnsi" w:hAnsiTheme="minorHAnsi"/>
        </w:rPr>
        <w:t xml:space="preserve"> </w:t>
      </w:r>
      <w:r w:rsidRPr="00E631B0">
        <w:rPr>
          <w:rFonts w:asciiTheme="minorHAnsi" w:hAnsiTheme="minorHAnsi"/>
        </w:rPr>
        <w:t>evaluate the model in the same manner as a submission to the PBAC, a preliminary review of the model by health economists and the Reference Group noted the following issues with the model:</w:t>
      </w:r>
    </w:p>
    <w:p w14:paraId="1187E6CA" w14:textId="77777777" w:rsidR="00B810F8" w:rsidRPr="00E631B0" w:rsidRDefault="0000686B" w:rsidP="005E0F22">
      <w:pPr>
        <w:pStyle w:val="ListParagraph"/>
        <w:numPr>
          <w:ilvl w:val="0"/>
          <w:numId w:val="22"/>
        </w:numPr>
        <w:spacing w:after="120" w:line="240" w:lineRule="auto"/>
        <w:ind w:left="425" w:hanging="425"/>
        <w:contextualSpacing w:val="0"/>
        <w:jc w:val="left"/>
        <w:rPr>
          <w:rFonts w:asciiTheme="minorHAnsi" w:hAnsiTheme="minorHAnsi"/>
        </w:rPr>
      </w:pPr>
      <w:r w:rsidRPr="00E631B0">
        <w:rPr>
          <w:rFonts w:asciiTheme="minorHAnsi" w:hAnsiTheme="minorHAnsi"/>
        </w:rPr>
        <w:t>The submission stated that data from the IMPROVE-IT trial could be used to test the validity of the economic model used in previous PBAC submissions. Specifically, the submission considered that if the economic model accurately predicted the outcomes of the IMPROVE-IT trial, then it can reliably be used to assess the cost-effectiveness of ezetimibe in a broader patient population</w:t>
      </w:r>
      <w:r w:rsidR="003F37E9" w:rsidRPr="00E631B0">
        <w:rPr>
          <w:rFonts w:asciiTheme="minorHAnsi" w:hAnsiTheme="minorHAnsi"/>
        </w:rPr>
        <w:t>.</w:t>
      </w:r>
      <w:r w:rsidR="00B810F8" w:rsidRPr="00E631B0">
        <w:rPr>
          <w:rFonts w:asciiTheme="minorHAnsi" w:hAnsiTheme="minorHAnsi"/>
        </w:rPr>
        <w:t xml:space="preserve"> </w:t>
      </w:r>
    </w:p>
    <w:p w14:paraId="25AD9133" w14:textId="705338AA" w:rsidR="0000686B" w:rsidRPr="00E631B0" w:rsidRDefault="0000686B" w:rsidP="005E0F22">
      <w:pPr>
        <w:pStyle w:val="ListParagraph"/>
        <w:numPr>
          <w:ilvl w:val="0"/>
          <w:numId w:val="22"/>
        </w:numPr>
        <w:spacing w:after="120" w:line="240" w:lineRule="auto"/>
        <w:ind w:left="425" w:hanging="425"/>
        <w:contextualSpacing w:val="0"/>
        <w:jc w:val="left"/>
        <w:rPr>
          <w:rFonts w:asciiTheme="minorHAnsi" w:hAnsiTheme="minorHAnsi"/>
        </w:rPr>
      </w:pPr>
      <w:r w:rsidRPr="00E631B0">
        <w:rPr>
          <w:rFonts w:asciiTheme="minorHAnsi" w:hAnsiTheme="minorHAnsi"/>
        </w:rPr>
        <w:t xml:space="preserve">The model did not reliably predict the number of CV events observed in the IMPROVE-IT trial based on the observed change in TC:HDL. The submission attributed the difference to a) the absence of the difference in the </w:t>
      </w:r>
      <w:r w:rsidR="00C138A6" w:rsidRPr="00E631B0">
        <w:rPr>
          <w:rFonts w:asciiTheme="minorHAnsi" w:hAnsiTheme="minorHAnsi"/>
        </w:rPr>
        <w:t xml:space="preserve">absolute rate of </w:t>
      </w:r>
      <w:r w:rsidRPr="00E631B0">
        <w:rPr>
          <w:rFonts w:asciiTheme="minorHAnsi" w:hAnsiTheme="minorHAnsi"/>
        </w:rPr>
        <w:t xml:space="preserve">CHD events </w:t>
      </w:r>
      <w:r w:rsidR="00C138A6" w:rsidRPr="00E631B0">
        <w:rPr>
          <w:rFonts w:asciiTheme="minorHAnsi" w:hAnsiTheme="minorHAnsi"/>
        </w:rPr>
        <w:t xml:space="preserve">in the two arms </w:t>
      </w:r>
      <w:r w:rsidRPr="00E631B0">
        <w:rPr>
          <w:rFonts w:asciiTheme="minorHAnsi" w:hAnsiTheme="minorHAnsi"/>
        </w:rPr>
        <w:t>in the first year of the IMPROVE-IT trial</w:t>
      </w:r>
      <w:r w:rsidR="00367449" w:rsidRPr="00E631B0">
        <w:rPr>
          <w:rFonts w:asciiTheme="minorHAnsi" w:hAnsiTheme="minorHAnsi"/>
        </w:rPr>
        <w:t>,</w:t>
      </w:r>
      <w:r w:rsidR="00C138A6" w:rsidRPr="00E631B0">
        <w:rPr>
          <w:rFonts w:asciiTheme="minorHAnsi" w:hAnsiTheme="minorHAnsi"/>
        </w:rPr>
        <w:t xml:space="preserve"> explained by the recent </w:t>
      </w:r>
      <w:r w:rsidR="00367449" w:rsidRPr="00E631B0">
        <w:rPr>
          <w:rFonts w:asciiTheme="minorHAnsi" w:hAnsiTheme="minorHAnsi"/>
        </w:rPr>
        <w:t xml:space="preserve">acute coronary syndrome </w:t>
      </w:r>
      <w:r w:rsidR="00C138A6" w:rsidRPr="00E631B0">
        <w:rPr>
          <w:rFonts w:asciiTheme="minorHAnsi" w:hAnsiTheme="minorHAnsi"/>
        </w:rPr>
        <w:t>qualifying event necessary for inclusion into the trial;</w:t>
      </w:r>
      <w:r w:rsidRPr="00E631B0">
        <w:rPr>
          <w:rFonts w:asciiTheme="minorHAnsi" w:hAnsiTheme="minorHAnsi"/>
        </w:rPr>
        <w:t xml:space="preserve"> and b) </w:t>
      </w:r>
      <w:r w:rsidR="00C138A6" w:rsidRPr="00E631B0">
        <w:rPr>
          <w:rFonts w:asciiTheme="minorHAnsi" w:hAnsiTheme="minorHAnsi"/>
        </w:rPr>
        <w:t xml:space="preserve">the </w:t>
      </w:r>
      <w:r w:rsidRPr="00E631B0">
        <w:rPr>
          <w:rFonts w:asciiTheme="minorHAnsi" w:hAnsiTheme="minorHAnsi"/>
        </w:rPr>
        <w:t xml:space="preserve">much higher risk of CHD </w:t>
      </w:r>
      <w:r w:rsidR="00C138A6" w:rsidRPr="00E631B0">
        <w:rPr>
          <w:rFonts w:asciiTheme="minorHAnsi" w:hAnsiTheme="minorHAnsi"/>
        </w:rPr>
        <w:t xml:space="preserve">events </w:t>
      </w:r>
      <w:r w:rsidRPr="00E631B0">
        <w:rPr>
          <w:rFonts w:asciiTheme="minorHAnsi" w:hAnsiTheme="minorHAnsi"/>
        </w:rPr>
        <w:t>observed in the first year</w:t>
      </w:r>
      <w:r w:rsidR="00C138A6" w:rsidRPr="00E631B0">
        <w:rPr>
          <w:rFonts w:asciiTheme="minorHAnsi" w:hAnsiTheme="minorHAnsi"/>
        </w:rPr>
        <w:t xml:space="preserve"> of the trial than was predicted by the MSD model</w:t>
      </w:r>
      <w:r w:rsidRPr="00E631B0">
        <w:rPr>
          <w:rFonts w:asciiTheme="minorHAnsi" w:hAnsiTheme="minorHAnsi"/>
        </w:rPr>
        <w:t xml:space="preserve">. The submission claimed that if the numbers of events predicted by the model were multiplied by a factor of 3.98 for the first year and 1.11 for subsequent years (years 2-7) that the model predicted the number of observed events in the trial. The submission further claimed that as the calibration factors were the same for </w:t>
      </w:r>
      <w:r w:rsidR="004C7D89" w:rsidRPr="00E631B0">
        <w:rPr>
          <w:rFonts w:asciiTheme="minorHAnsi" w:hAnsiTheme="minorHAnsi"/>
        </w:rPr>
        <w:t>the</w:t>
      </w:r>
      <w:r w:rsidRPr="00E631B0">
        <w:rPr>
          <w:rFonts w:asciiTheme="minorHAnsi" w:hAnsiTheme="minorHAnsi"/>
        </w:rPr>
        <w:t xml:space="preserve"> statin and the ezetimibe plus statin arms of the economic model, that the model accurately predicts CV events in the future.</w:t>
      </w:r>
    </w:p>
    <w:p w14:paraId="0EA825C0" w14:textId="16D9673D" w:rsidR="007701B6" w:rsidRPr="00E631B0" w:rsidRDefault="0000686B" w:rsidP="005E0F22">
      <w:pPr>
        <w:spacing w:after="120" w:line="240" w:lineRule="auto"/>
        <w:jc w:val="left"/>
        <w:rPr>
          <w:rFonts w:asciiTheme="minorHAnsi" w:hAnsiTheme="minorHAnsi"/>
        </w:rPr>
      </w:pPr>
      <w:r w:rsidRPr="00E631B0">
        <w:rPr>
          <w:rFonts w:asciiTheme="minorHAnsi" w:hAnsiTheme="minorHAnsi"/>
        </w:rPr>
        <w:lastRenderedPageBreak/>
        <w:t xml:space="preserve">The Reference Group did not consider the approach used in the submission to be appropriate </w:t>
      </w:r>
      <w:r w:rsidR="007701B6" w:rsidRPr="00E631B0">
        <w:rPr>
          <w:rFonts w:asciiTheme="minorHAnsi" w:hAnsiTheme="minorHAnsi"/>
        </w:rPr>
        <w:t>and noted the advice of the ESC that due to applicability issues</w:t>
      </w:r>
      <w:r w:rsidR="006B0899" w:rsidRPr="00E631B0">
        <w:rPr>
          <w:rFonts w:asciiTheme="minorHAnsi" w:hAnsiTheme="minorHAnsi"/>
        </w:rPr>
        <w:t>,</w:t>
      </w:r>
      <w:r w:rsidR="007701B6" w:rsidRPr="00E631B0">
        <w:rPr>
          <w:rFonts w:asciiTheme="minorHAnsi" w:hAnsiTheme="minorHAnsi"/>
        </w:rPr>
        <w:t xml:space="preserve"> an economic model based on the results of IMPROVE-IT would not provide a reasonable estimate of the cost</w:t>
      </w:r>
      <w:r w:rsidR="00216B38" w:rsidRPr="00E631B0">
        <w:rPr>
          <w:rFonts w:asciiTheme="minorHAnsi" w:hAnsiTheme="minorHAnsi"/>
        </w:rPr>
        <w:t>-</w:t>
      </w:r>
      <w:r w:rsidR="007701B6" w:rsidRPr="00E631B0">
        <w:rPr>
          <w:rFonts w:asciiTheme="minorHAnsi" w:hAnsiTheme="minorHAnsi"/>
        </w:rPr>
        <w:t>effectiveness of the current use of ezetimibe on the PBS. The ESC advised a more appropriate method may be to create a model that uses evidence relevant to the PBS population and addresses the concerns raised previously by the PBAC.</w:t>
      </w:r>
    </w:p>
    <w:p w14:paraId="63BCF085" w14:textId="77777777" w:rsidR="0000686B" w:rsidRPr="00E631B0" w:rsidRDefault="0000686B" w:rsidP="005E0F22">
      <w:pPr>
        <w:spacing w:after="120" w:line="240" w:lineRule="auto"/>
        <w:jc w:val="left"/>
        <w:rPr>
          <w:rFonts w:asciiTheme="minorHAnsi" w:hAnsiTheme="minorHAnsi"/>
        </w:rPr>
      </w:pPr>
      <w:r w:rsidRPr="00E631B0">
        <w:rPr>
          <w:rFonts w:asciiTheme="minorHAnsi" w:hAnsiTheme="minorHAnsi"/>
        </w:rPr>
        <w:t>Regarding the economic model presented in the sponsor’s submission, the Reference Group noted the results are particularly sensitive to:</w:t>
      </w:r>
    </w:p>
    <w:p w14:paraId="6263F9E1" w14:textId="7EA65B29" w:rsidR="0000686B" w:rsidRPr="00E631B0" w:rsidRDefault="0000686B" w:rsidP="005E0F22">
      <w:pPr>
        <w:pStyle w:val="ListParagraph"/>
        <w:numPr>
          <w:ilvl w:val="0"/>
          <w:numId w:val="18"/>
        </w:numPr>
        <w:spacing w:after="120" w:line="240" w:lineRule="auto"/>
        <w:ind w:left="426" w:hanging="426"/>
        <w:contextualSpacing w:val="0"/>
        <w:jc w:val="left"/>
        <w:rPr>
          <w:rFonts w:asciiTheme="minorHAnsi" w:hAnsiTheme="minorHAnsi"/>
        </w:rPr>
      </w:pPr>
      <w:r w:rsidRPr="00E631B0">
        <w:rPr>
          <w:rFonts w:asciiTheme="minorHAnsi" w:hAnsiTheme="minorHAnsi"/>
        </w:rPr>
        <w:t>the efficacy estimates (changes in</w:t>
      </w:r>
      <w:r w:rsidR="008B1D2E" w:rsidRPr="00E631B0">
        <w:rPr>
          <w:rFonts w:asciiTheme="minorHAnsi" w:hAnsiTheme="minorHAnsi"/>
        </w:rPr>
        <w:t xml:space="preserve"> TC</w:t>
      </w:r>
      <w:r w:rsidRPr="00E631B0">
        <w:rPr>
          <w:rFonts w:asciiTheme="minorHAnsi" w:hAnsiTheme="minorHAnsi"/>
        </w:rPr>
        <w:t>:</w:t>
      </w:r>
      <w:r w:rsidR="008B1D2E" w:rsidRPr="00E631B0">
        <w:rPr>
          <w:rFonts w:asciiTheme="minorHAnsi" w:hAnsiTheme="minorHAnsi"/>
        </w:rPr>
        <w:t xml:space="preserve">HDL </w:t>
      </w:r>
      <w:r w:rsidRPr="00E631B0">
        <w:rPr>
          <w:rFonts w:asciiTheme="minorHAnsi" w:hAnsiTheme="minorHAnsi"/>
        </w:rPr>
        <w:t>ratios for the intervention and comparator arms)</w:t>
      </w:r>
    </w:p>
    <w:p w14:paraId="3076053B" w14:textId="715EB13F" w:rsidR="003F37E9" w:rsidRPr="00E631B0" w:rsidRDefault="0000686B" w:rsidP="005E0F22">
      <w:pPr>
        <w:pStyle w:val="ListParagraph"/>
        <w:numPr>
          <w:ilvl w:val="0"/>
          <w:numId w:val="18"/>
        </w:numPr>
        <w:spacing w:after="120" w:line="240" w:lineRule="auto"/>
        <w:ind w:left="426" w:hanging="426"/>
        <w:contextualSpacing w:val="0"/>
        <w:jc w:val="left"/>
        <w:rPr>
          <w:rFonts w:asciiTheme="minorHAnsi" w:hAnsiTheme="minorHAnsi"/>
        </w:rPr>
      </w:pPr>
      <w:r w:rsidRPr="00E631B0">
        <w:rPr>
          <w:rFonts w:asciiTheme="minorHAnsi" w:hAnsiTheme="minorHAnsi"/>
        </w:rPr>
        <w:t xml:space="preserve">the time horizon. The ICER using a 7 year time horizon (the duration of follow-up for the IMPROVE-IT trial) was $72,297 per QALY gained compared with $24,256 per QALY gained for a lifetime model (70 years). The substantial reduction in the ICER with the longer time horizon was considered by the Reference Group to highlight the uncertainty with the ICER associated with extrapolating results over a long period of time. </w:t>
      </w:r>
    </w:p>
    <w:p w14:paraId="3AB36FC4" w14:textId="5B1A6BE3" w:rsidR="00343939" w:rsidRPr="00E631B0" w:rsidRDefault="00343939" w:rsidP="005E0F22">
      <w:pPr>
        <w:spacing w:line="240" w:lineRule="auto"/>
        <w:jc w:val="left"/>
        <w:rPr>
          <w:rFonts w:asciiTheme="minorHAnsi" w:eastAsiaTheme="minorEastAsia" w:hAnsiTheme="minorHAnsi"/>
          <w:lang w:eastAsia="zh-CN"/>
        </w:rPr>
      </w:pPr>
      <w:r w:rsidRPr="00E631B0">
        <w:rPr>
          <w:rFonts w:asciiTheme="minorHAnsi" w:eastAsia="Calibri" w:hAnsiTheme="minorHAnsi" w:cs="Times New Roman"/>
        </w:rPr>
        <w:t xml:space="preserve">During the </w:t>
      </w:r>
      <w:r w:rsidR="008B1D2E" w:rsidRPr="00E631B0">
        <w:rPr>
          <w:rFonts w:asciiTheme="minorHAnsi" w:eastAsia="Calibri" w:hAnsiTheme="minorHAnsi" w:cs="Times New Roman"/>
        </w:rPr>
        <w:t>R</w:t>
      </w:r>
      <w:r w:rsidR="004C7D89" w:rsidRPr="00E631B0">
        <w:rPr>
          <w:rFonts w:asciiTheme="minorHAnsi" w:eastAsia="Calibri" w:hAnsiTheme="minorHAnsi" w:cs="Times New Roman"/>
        </w:rPr>
        <w:t>eview,</w:t>
      </w:r>
      <w:r w:rsidRPr="00E631B0">
        <w:rPr>
          <w:rFonts w:asciiTheme="minorHAnsi" w:eastAsia="Calibri" w:hAnsiTheme="minorHAnsi" w:cs="Times New Roman"/>
        </w:rPr>
        <w:t xml:space="preserve"> a</w:t>
      </w:r>
      <w:r w:rsidRPr="00E631B0">
        <w:rPr>
          <w:rFonts w:asciiTheme="minorHAnsi" w:eastAsiaTheme="minorEastAsia" w:hAnsiTheme="minorHAnsi"/>
          <w:lang w:eastAsia="zh-CN"/>
        </w:rPr>
        <w:t xml:space="preserve">lternative </w:t>
      </w:r>
      <w:r w:rsidRPr="00E631B0">
        <w:rPr>
          <w:rFonts w:asciiTheme="minorHAnsi" w:hAnsiTheme="minorHAnsi"/>
        </w:rPr>
        <w:t>efficacy</w:t>
      </w:r>
      <w:r w:rsidRPr="00E631B0">
        <w:rPr>
          <w:rFonts w:asciiTheme="minorHAnsi" w:eastAsiaTheme="minorEastAsia" w:hAnsiTheme="minorHAnsi"/>
          <w:lang w:eastAsia="zh-CN"/>
        </w:rPr>
        <w:t xml:space="preserve"> estimates were obtained for a sensitivity analysis from the meta-analysis of trials that enrolled primary, secondary or mixed prevention population</w:t>
      </w:r>
      <w:r w:rsidR="008B1D2E" w:rsidRPr="00E631B0">
        <w:rPr>
          <w:rFonts w:asciiTheme="minorHAnsi" w:eastAsiaTheme="minorEastAsia" w:hAnsiTheme="minorHAnsi"/>
          <w:lang w:eastAsia="zh-CN"/>
        </w:rPr>
        <w:t>s</w:t>
      </w:r>
      <w:r w:rsidRPr="00E631B0">
        <w:rPr>
          <w:rFonts w:asciiTheme="minorHAnsi" w:eastAsiaTheme="minorEastAsia" w:hAnsiTheme="minorHAnsi"/>
          <w:lang w:eastAsia="zh-CN"/>
        </w:rPr>
        <w:t>, all receiving second</w:t>
      </w:r>
      <w:r w:rsidR="008B1D2E" w:rsidRPr="00E631B0">
        <w:rPr>
          <w:rFonts w:asciiTheme="minorHAnsi" w:eastAsiaTheme="minorEastAsia" w:hAnsiTheme="minorHAnsi"/>
          <w:lang w:eastAsia="zh-CN"/>
        </w:rPr>
        <w:t xml:space="preserve"> </w:t>
      </w:r>
      <w:r w:rsidRPr="00E631B0">
        <w:rPr>
          <w:rFonts w:asciiTheme="minorHAnsi" w:eastAsiaTheme="minorEastAsia" w:hAnsiTheme="minorHAnsi"/>
          <w:lang w:eastAsia="zh-CN"/>
        </w:rPr>
        <w:t xml:space="preserve">line treatment with ezetimibe </w:t>
      </w:r>
      <w:r w:rsidR="000421F4" w:rsidRPr="00E631B0">
        <w:rPr>
          <w:rFonts w:asciiTheme="minorHAnsi" w:eastAsiaTheme="minorEastAsia" w:hAnsiTheme="minorHAnsi"/>
          <w:lang w:eastAsia="zh-CN"/>
        </w:rPr>
        <w:t>plus</w:t>
      </w:r>
      <w:r w:rsidRPr="00E631B0">
        <w:rPr>
          <w:rFonts w:asciiTheme="minorHAnsi" w:eastAsiaTheme="minorEastAsia" w:hAnsiTheme="minorHAnsi"/>
          <w:lang w:eastAsia="zh-CN"/>
        </w:rPr>
        <w:t xml:space="preserve"> statin (intervention) versus up-titrated statin</w:t>
      </w:r>
      <w:r w:rsidR="00257E45" w:rsidRPr="00E631B0">
        <w:rPr>
          <w:rFonts w:asciiTheme="minorHAnsi" w:eastAsiaTheme="minorEastAsia" w:hAnsiTheme="minorHAnsi"/>
          <w:lang w:eastAsia="zh-CN"/>
        </w:rPr>
        <w:t xml:space="preserve"> </w:t>
      </w:r>
      <w:r w:rsidRPr="00E631B0">
        <w:rPr>
          <w:rFonts w:asciiTheme="minorHAnsi" w:eastAsiaTheme="minorEastAsia" w:hAnsiTheme="minorHAnsi"/>
          <w:lang w:eastAsia="zh-CN"/>
        </w:rPr>
        <w:t xml:space="preserve">(control). This </w:t>
      </w:r>
      <w:r w:rsidR="00E33C85" w:rsidRPr="00E631B0">
        <w:rPr>
          <w:rFonts w:asciiTheme="minorHAnsi" w:eastAsiaTheme="minorEastAsia" w:hAnsiTheme="minorHAnsi"/>
          <w:i/>
          <w:lang w:eastAsia="zh-CN"/>
        </w:rPr>
        <w:t>ad hoc</w:t>
      </w:r>
      <w:r w:rsidR="00E33C85" w:rsidRPr="00E631B0">
        <w:rPr>
          <w:rFonts w:asciiTheme="minorHAnsi" w:eastAsiaTheme="minorEastAsia" w:hAnsiTheme="minorHAnsi"/>
          <w:lang w:eastAsia="zh-CN"/>
        </w:rPr>
        <w:t xml:space="preserve"> </w:t>
      </w:r>
      <w:r w:rsidRPr="00E631B0">
        <w:rPr>
          <w:rFonts w:asciiTheme="minorHAnsi" w:eastAsiaTheme="minorEastAsia" w:hAnsiTheme="minorHAnsi"/>
          <w:lang w:eastAsia="zh-CN"/>
        </w:rPr>
        <w:t xml:space="preserve">meta-analysis was conducted by Deakin for the </w:t>
      </w:r>
      <w:r w:rsidR="008B1D2E" w:rsidRPr="00E631B0">
        <w:rPr>
          <w:rFonts w:asciiTheme="minorHAnsi" w:eastAsiaTheme="minorEastAsia" w:hAnsiTheme="minorHAnsi"/>
          <w:lang w:eastAsia="zh-CN"/>
        </w:rPr>
        <w:t>R</w:t>
      </w:r>
      <w:r w:rsidRPr="00E631B0">
        <w:rPr>
          <w:rFonts w:asciiTheme="minorHAnsi" w:eastAsiaTheme="minorEastAsia" w:hAnsiTheme="minorHAnsi"/>
          <w:lang w:eastAsia="zh-CN"/>
        </w:rPr>
        <w:t xml:space="preserve">eview. </w:t>
      </w:r>
      <w:r w:rsidR="000421F4" w:rsidRPr="00E631B0">
        <w:rPr>
          <w:rFonts w:asciiTheme="minorHAnsi" w:eastAsiaTheme="minorEastAsia" w:hAnsiTheme="minorHAnsi"/>
          <w:lang w:eastAsia="zh-CN"/>
        </w:rPr>
        <w:t>Using the result of this meta-analysis as input to the model (</w:t>
      </w:r>
      <w:r w:rsidR="00E33C85" w:rsidRPr="00E631B0">
        <w:rPr>
          <w:rFonts w:asciiTheme="minorHAnsi" w:eastAsiaTheme="minorEastAsia" w:hAnsiTheme="minorHAnsi"/>
          <w:lang w:eastAsia="zh-CN"/>
        </w:rPr>
        <w:t xml:space="preserve">reduction in </w:t>
      </w:r>
      <w:r w:rsidR="000421F4" w:rsidRPr="00E631B0">
        <w:rPr>
          <w:rFonts w:asciiTheme="minorHAnsi" w:eastAsiaTheme="minorEastAsia" w:hAnsiTheme="minorHAnsi"/>
          <w:lang w:eastAsia="zh-CN"/>
        </w:rPr>
        <w:t xml:space="preserve">TC:HDL </w:t>
      </w:r>
      <w:r w:rsidR="00E33C85" w:rsidRPr="00E631B0">
        <w:rPr>
          <w:rFonts w:asciiTheme="minorHAnsi" w:eastAsiaTheme="minorEastAsia" w:hAnsiTheme="minorHAnsi"/>
          <w:lang w:eastAsia="zh-CN"/>
        </w:rPr>
        <w:t>of -</w:t>
      </w:r>
      <w:r w:rsidR="000421F4" w:rsidRPr="00E631B0">
        <w:rPr>
          <w:rFonts w:asciiTheme="minorHAnsi" w:eastAsiaTheme="minorEastAsia" w:hAnsiTheme="minorHAnsi"/>
          <w:lang w:eastAsia="zh-CN"/>
        </w:rPr>
        <w:t>18.84% v</w:t>
      </w:r>
      <w:r w:rsidR="00E33C85" w:rsidRPr="00E631B0">
        <w:rPr>
          <w:rFonts w:asciiTheme="minorHAnsi" w:eastAsiaTheme="minorEastAsia" w:hAnsiTheme="minorHAnsi"/>
          <w:lang w:eastAsia="zh-CN"/>
        </w:rPr>
        <w:t>ersus</w:t>
      </w:r>
      <w:r w:rsidR="000421F4" w:rsidRPr="00E631B0">
        <w:rPr>
          <w:rFonts w:asciiTheme="minorHAnsi" w:eastAsiaTheme="minorEastAsia" w:hAnsiTheme="minorHAnsi"/>
          <w:lang w:eastAsia="zh-CN"/>
        </w:rPr>
        <w:t xml:space="preserve"> </w:t>
      </w:r>
      <w:r w:rsidR="00E33C85" w:rsidRPr="00E631B0">
        <w:rPr>
          <w:rFonts w:asciiTheme="minorHAnsi" w:eastAsiaTheme="minorEastAsia" w:hAnsiTheme="minorHAnsi"/>
          <w:lang w:eastAsia="zh-CN"/>
        </w:rPr>
        <w:t>-</w:t>
      </w:r>
      <w:r w:rsidR="000421F4" w:rsidRPr="00E631B0">
        <w:rPr>
          <w:rFonts w:asciiTheme="minorHAnsi" w:eastAsiaTheme="minorEastAsia" w:hAnsiTheme="minorHAnsi"/>
          <w:lang w:eastAsia="zh-CN"/>
        </w:rPr>
        <w:t>9.65%</w:t>
      </w:r>
      <w:r w:rsidR="00E33C85" w:rsidRPr="00E631B0">
        <w:rPr>
          <w:rFonts w:asciiTheme="minorHAnsi" w:eastAsiaTheme="minorEastAsia" w:hAnsiTheme="minorHAnsi"/>
          <w:lang w:eastAsia="zh-CN"/>
        </w:rPr>
        <w:t xml:space="preserve"> in the ezetimibe and comparator arm</w:t>
      </w:r>
      <w:r w:rsidR="008B1D2E" w:rsidRPr="00E631B0">
        <w:rPr>
          <w:rFonts w:asciiTheme="minorHAnsi" w:eastAsiaTheme="minorEastAsia" w:hAnsiTheme="minorHAnsi"/>
          <w:lang w:eastAsia="zh-CN"/>
        </w:rPr>
        <w:t>,</w:t>
      </w:r>
      <w:r w:rsidR="00E33C85" w:rsidRPr="00E631B0">
        <w:rPr>
          <w:rFonts w:asciiTheme="minorHAnsi" w:eastAsiaTheme="minorEastAsia" w:hAnsiTheme="minorHAnsi"/>
          <w:lang w:eastAsia="zh-CN"/>
        </w:rPr>
        <w:t xml:space="preserve"> respectively</w:t>
      </w:r>
      <w:r w:rsidR="000421F4" w:rsidRPr="00E631B0">
        <w:rPr>
          <w:rFonts w:asciiTheme="minorHAnsi" w:eastAsiaTheme="minorEastAsia" w:hAnsiTheme="minorHAnsi"/>
          <w:lang w:eastAsia="zh-CN"/>
        </w:rPr>
        <w:t xml:space="preserve">) rather than the estimate used by the sponsor, the base case </w:t>
      </w:r>
      <w:r w:rsidRPr="00E631B0">
        <w:rPr>
          <w:rFonts w:asciiTheme="minorHAnsi" w:eastAsiaTheme="minorEastAsia" w:hAnsiTheme="minorHAnsi"/>
          <w:lang w:eastAsia="zh-CN"/>
        </w:rPr>
        <w:t>ICER</w:t>
      </w:r>
      <w:r w:rsidR="000421F4" w:rsidRPr="00E631B0">
        <w:rPr>
          <w:rFonts w:asciiTheme="minorHAnsi" w:eastAsiaTheme="minorEastAsia" w:hAnsiTheme="minorHAnsi"/>
          <w:lang w:eastAsia="zh-CN"/>
        </w:rPr>
        <w:t xml:space="preserve"> based on a time horizon of 20 years</w:t>
      </w:r>
      <w:r w:rsidRPr="00E631B0">
        <w:rPr>
          <w:rFonts w:asciiTheme="minorHAnsi" w:eastAsiaTheme="minorEastAsia" w:hAnsiTheme="minorHAnsi"/>
          <w:lang w:eastAsia="zh-CN"/>
        </w:rPr>
        <w:t xml:space="preserve"> almost doubled from $28,000 to $53,000/QALY (</w:t>
      </w:r>
      <w:r w:rsidR="00174DDF" w:rsidRPr="00E631B0">
        <w:rPr>
          <w:rFonts w:asciiTheme="minorHAnsi" w:eastAsiaTheme="minorEastAsia" w:hAnsiTheme="minorHAnsi"/>
          <w:b/>
          <w:lang w:eastAsia="zh-CN"/>
        </w:rPr>
        <w:t>Appendix J</w:t>
      </w:r>
      <w:r w:rsidR="00ED5376" w:rsidRPr="00E631B0">
        <w:rPr>
          <w:rFonts w:asciiTheme="minorHAnsi" w:eastAsiaTheme="minorEastAsia" w:hAnsiTheme="minorHAnsi"/>
          <w:lang w:eastAsia="zh-CN"/>
        </w:rPr>
        <w:t>, Table</w:t>
      </w:r>
      <w:r w:rsidR="002609E5" w:rsidRPr="00E631B0">
        <w:rPr>
          <w:rFonts w:asciiTheme="minorHAnsi" w:eastAsiaTheme="minorEastAsia" w:hAnsiTheme="minorHAnsi"/>
          <w:lang w:eastAsia="zh-CN"/>
        </w:rPr>
        <w:t xml:space="preserve">s 1.3 and </w:t>
      </w:r>
      <w:r w:rsidR="00ED5376" w:rsidRPr="00E631B0">
        <w:rPr>
          <w:rFonts w:asciiTheme="minorHAnsi" w:eastAsiaTheme="minorEastAsia" w:hAnsiTheme="minorHAnsi"/>
          <w:lang w:eastAsia="zh-CN"/>
        </w:rPr>
        <w:t>1.4, p</w:t>
      </w:r>
      <w:r w:rsidR="008B1D2E" w:rsidRPr="00E631B0">
        <w:rPr>
          <w:rFonts w:asciiTheme="minorHAnsi" w:eastAsiaTheme="minorEastAsia" w:hAnsiTheme="minorHAnsi"/>
          <w:lang w:eastAsia="zh-CN"/>
        </w:rPr>
        <w:t xml:space="preserve"> </w:t>
      </w:r>
      <w:r w:rsidR="00ED5376" w:rsidRPr="00E631B0">
        <w:rPr>
          <w:rFonts w:asciiTheme="minorHAnsi" w:eastAsiaTheme="minorEastAsia" w:hAnsiTheme="minorHAnsi"/>
          <w:lang w:eastAsia="zh-CN"/>
        </w:rPr>
        <w:t>21</w:t>
      </w:r>
      <w:r w:rsidRPr="00E631B0">
        <w:rPr>
          <w:rFonts w:asciiTheme="minorHAnsi" w:eastAsiaTheme="minorEastAsia" w:hAnsiTheme="minorHAnsi"/>
          <w:lang w:eastAsia="zh-CN"/>
        </w:rPr>
        <w:t xml:space="preserve">). </w:t>
      </w:r>
    </w:p>
    <w:p w14:paraId="10D3890C" w14:textId="50EF470E" w:rsidR="0000686B" w:rsidRPr="00E631B0" w:rsidRDefault="00441776" w:rsidP="005E0F22">
      <w:pPr>
        <w:pStyle w:val="ListParagraph"/>
        <w:spacing w:line="240" w:lineRule="auto"/>
        <w:ind w:left="0"/>
        <w:contextualSpacing w:val="0"/>
        <w:jc w:val="left"/>
        <w:rPr>
          <w:rFonts w:asciiTheme="minorHAnsi" w:hAnsiTheme="minorHAnsi"/>
        </w:rPr>
      </w:pPr>
      <w:r w:rsidRPr="00E631B0">
        <w:rPr>
          <w:rFonts w:ascii="Calibri" w:eastAsia="Calibri" w:hAnsi="Calibri" w:cs="Times New Roman"/>
        </w:rPr>
        <w:t>Whilst the sponsor maintains that a lifetime horizon is appropriate, the Reference Group considered that a large proportion of patients using ezetimibe as second line therapy would be older than fifty years</w:t>
      </w:r>
      <w:r w:rsidR="00824927" w:rsidRPr="00E631B0">
        <w:rPr>
          <w:rFonts w:ascii="Calibri" w:eastAsia="Calibri" w:hAnsi="Calibri" w:cs="Times New Roman"/>
        </w:rPr>
        <w:t xml:space="preserve">. </w:t>
      </w:r>
      <w:r w:rsidR="00824927" w:rsidRPr="00E631B0">
        <w:rPr>
          <w:rFonts w:asciiTheme="minorHAnsi" w:hAnsiTheme="minorHAnsi"/>
        </w:rPr>
        <w:t>T</w:t>
      </w:r>
      <w:r w:rsidR="0000686B" w:rsidRPr="00E631B0">
        <w:rPr>
          <w:rFonts w:asciiTheme="minorHAnsi" w:hAnsiTheme="minorHAnsi"/>
        </w:rPr>
        <w:t>he Reference Group acknowledged that 70 years may be an appropriate time horizon for the youngest participants in the model</w:t>
      </w:r>
      <w:r w:rsidR="008B1D2E" w:rsidRPr="00E631B0">
        <w:rPr>
          <w:rFonts w:asciiTheme="minorHAnsi" w:hAnsiTheme="minorHAnsi"/>
        </w:rPr>
        <w:t>; however,</w:t>
      </w:r>
      <w:r w:rsidR="0000686B" w:rsidRPr="00E631B0">
        <w:rPr>
          <w:rFonts w:asciiTheme="minorHAnsi" w:hAnsiTheme="minorHAnsi"/>
        </w:rPr>
        <w:t xml:space="preserve"> the average age of the BEACH SAND population treated with PBS subsidised ezetimibe was over 60 years and selection of this time horizon did not seem plausible. The Reference Group requested a further analysis to explore the effect on the ICER of 10 year time horizon incremental extrapolations between 6 years and 70 years. </w:t>
      </w:r>
    </w:p>
    <w:p w14:paraId="1E3D58D8" w14:textId="0685C2B9" w:rsidR="00343939" w:rsidRPr="00E631B0" w:rsidRDefault="00343939" w:rsidP="005E0F22">
      <w:pPr>
        <w:spacing w:line="240" w:lineRule="auto"/>
        <w:jc w:val="left"/>
        <w:rPr>
          <w:rFonts w:asciiTheme="minorHAnsi" w:eastAsiaTheme="minorEastAsia" w:hAnsiTheme="minorHAnsi"/>
          <w:lang w:eastAsia="zh-CN"/>
        </w:rPr>
      </w:pPr>
      <w:r w:rsidRPr="00E631B0">
        <w:rPr>
          <w:rFonts w:asciiTheme="minorHAnsi" w:eastAsiaTheme="minorEastAsia" w:hAnsiTheme="minorHAnsi"/>
          <w:lang w:eastAsia="zh-CN"/>
        </w:rPr>
        <w:t xml:space="preserve">The results of this sensitivity analysis showed that the ICERs estimated as either a cost/LYG or cost/QALY remain unchanged when </w:t>
      </w:r>
      <w:r w:rsidR="008B1D2E" w:rsidRPr="00E631B0">
        <w:rPr>
          <w:rFonts w:asciiTheme="minorHAnsi" w:eastAsiaTheme="minorEastAsia" w:hAnsiTheme="minorHAnsi"/>
          <w:lang w:eastAsia="zh-CN"/>
        </w:rPr>
        <w:t xml:space="preserve">the </w:t>
      </w:r>
      <w:r w:rsidRPr="00E631B0">
        <w:rPr>
          <w:rFonts w:asciiTheme="minorHAnsi" w:eastAsiaTheme="minorEastAsia" w:hAnsiTheme="minorHAnsi"/>
          <w:lang w:eastAsia="zh-CN"/>
        </w:rPr>
        <w:t>time horizon</w:t>
      </w:r>
      <w:r w:rsidR="00161D12" w:rsidRPr="00E631B0">
        <w:rPr>
          <w:rFonts w:asciiTheme="minorHAnsi" w:eastAsiaTheme="minorEastAsia" w:hAnsiTheme="minorHAnsi"/>
          <w:lang w:eastAsia="zh-CN"/>
        </w:rPr>
        <w:t xml:space="preserve"> extends beyond </w:t>
      </w:r>
      <w:r w:rsidRPr="00E631B0">
        <w:rPr>
          <w:rFonts w:asciiTheme="minorHAnsi" w:eastAsiaTheme="minorEastAsia" w:hAnsiTheme="minorHAnsi"/>
          <w:lang w:eastAsia="zh-CN"/>
        </w:rPr>
        <w:t>30</w:t>
      </w:r>
      <w:r w:rsidR="00161D12" w:rsidRPr="00E631B0">
        <w:rPr>
          <w:rFonts w:asciiTheme="minorHAnsi" w:eastAsiaTheme="minorEastAsia" w:hAnsiTheme="minorHAnsi"/>
          <w:lang w:eastAsia="zh-CN"/>
        </w:rPr>
        <w:t xml:space="preserve"> years (</w:t>
      </w:r>
      <w:r w:rsidR="00161D12" w:rsidRPr="00E631B0">
        <w:rPr>
          <w:rFonts w:asciiTheme="minorHAnsi" w:eastAsiaTheme="minorEastAsia" w:hAnsiTheme="minorHAnsi"/>
          <w:b/>
          <w:lang w:eastAsia="zh-CN"/>
        </w:rPr>
        <w:t>Appendix J</w:t>
      </w:r>
      <w:r w:rsidR="00C77B52" w:rsidRPr="00E631B0">
        <w:rPr>
          <w:rFonts w:asciiTheme="minorHAnsi" w:eastAsiaTheme="minorEastAsia" w:hAnsiTheme="minorHAnsi"/>
          <w:lang w:eastAsia="zh-CN"/>
        </w:rPr>
        <w:t>, p</w:t>
      </w:r>
      <w:r w:rsidR="008B1D2E" w:rsidRPr="00E631B0">
        <w:rPr>
          <w:rFonts w:asciiTheme="minorHAnsi" w:eastAsiaTheme="minorEastAsia" w:hAnsiTheme="minorHAnsi"/>
          <w:lang w:eastAsia="zh-CN"/>
        </w:rPr>
        <w:t xml:space="preserve"> </w:t>
      </w:r>
      <w:r w:rsidR="00C77B52" w:rsidRPr="00E631B0">
        <w:rPr>
          <w:rFonts w:asciiTheme="minorHAnsi" w:eastAsiaTheme="minorEastAsia" w:hAnsiTheme="minorHAnsi"/>
          <w:lang w:eastAsia="zh-CN"/>
        </w:rPr>
        <w:t>20</w:t>
      </w:r>
      <w:r w:rsidR="002609E5" w:rsidRPr="00E631B0">
        <w:rPr>
          <w:rFonts w:asciiTheme="minorHAnsi" w:eastAsiaTheme="minorEastAsia" w:hAnsiTheme="minorHAnsi"/>
          <w:lang w:eastAsia="zh-CN"/>
        </w:rPr>
        <w:t>-21</w:t>
      </w:r>
      <w:r w:rsidR="00161D12" w:rsidRPr="00E631B0">
        <w:rPr>
          <w:rFonts w:asciiTheme="minorHAnsi" w:eastAsiaTheme="minorEastAsia" w:hAnsiTheme="minorHAnsi"/>
          <w:lang w:eastAsia="zh-CN"/>
        </w:rPr>
        <w:t>)</w:t>
      </w:r>
      <w:r w:rsidR="00C77B52" w:rsidRPr="00E631B0">
        <w:rPr>
          <w:rFonts w:asciiTheme="minorHAnsi" w:eastAsiaTheme="minorEastAsia" w:hAnsiTheme="minorHAnsi"/>
          <w:lang w:eastAsia="zh-CN"/>
        </w:rPr>
        <w:t>.</w:t>
      </w:r>
      <w:r w:rsidRPr="00E631B0">
        <w:rPr>
          <w:rFonts w:asciiTheme="minorHAnsi" w:eastAsiaTheme="minorEastAsia" w:hAnsiTheme="minorHAnsi"/>
          <w:lang w:eastAsia="zh-CN"/>
        </w:rPr>
        <w:t xml:space="preserve"> This is because after the first 30 cycles (years) of the Markov model, the survival rate is zero and there is no difference in either the incremental costs or the outcomes. </w:t>
      </w:r>
    </w:p>
    <w:p w14:paraId="328614E3" w14:textId="77777777" w:rsidR="00824927" w:rsidRPr="00E631B0" w:rsidRDefault="00824927" w:rsidP="005E0F22">
      <w:pPr>
        <w:pStyle w:val="ListParagraph"/>
        <w:spacing w:line="240" w:lineRule="auto"/>
        <w:ind w:left="0"/>
        <w:contextualSpacing w:val="0"/>
        <w:jc w:val="left"/>
        <w:rPr>
          <w:rFonts w:asciiTheme="minorHAnsi" w:eastAsia="Calibri" w:hAnsiTheme="minorHAnsi" w:cs="Times New Roman"/>
          <w:szCs w:val="24"/>
        </w:rPr>
      </w:pPr>
      <w:r w:rsidRPr="00E631B0">
        <w:rPr>
          <w:rFonts w:asciiTheme="minorHAnsi" w:eastAsia="Calibri" w:hAnsiTheme="minorHAnsi" w:cs="Times New Roman"/>
          <w:szCs w:val="24"/>
        </w:rPr>
        <w:t xml:space="preserve">The Reference Group also considered that from the results of the revised utilisation analysis, for the ‘red’, and a proportion of the ‘orange’ groups currently using </w:t>
      </w:r>
      <w:r w:rsidRPr="00E631B0">
        <w:rPr>
          <w:rFonts w:asciiTheme="minorHAnsi" w:eastAsia="Calibri" w:hAnsiTheme="minorHAnsi" w:cs="Times New Roman"/>
          <w:szCs w:val="24"/>
        </w:rPr>
        <w:lastRenderedPageBreak/>
        <w:t xml:space="preserve">ezetimibe, statins would be an appropriate comparator as maximally tolerated doses of statins/statins of higher potency are the therapies being replaced, not placebo. </w:t>
      </w:r>
    </w:p>
    <w:p w14:paraId="5CDC07B4" w14:textId="548BF67E" w:rsidR="00824927" w:rsidRPr="00E631B0" w:rsidRDefault="00824927" w:rsidP="005E0F22">
      <w:pPr>
        <w:pStyle w:val="ListParagraph"/>
        <w:spacing w:line="240" w:lineRule="auto"/>
        <w:ind w:left="0"/>
        <w:contextualSpacing w:val="0"/>
        <w:jc w:val="left"/>
        <w:rPr>
          <w:rFonts w:asciiTheme="minorHAnsi" w:eastAsia="Calibri" w:hAnsiTheme="minorHAnsi" w:cs="Times New Roman"/>
          <w:szCs w:val="24"/>
        </w:rPr>
      </w:pPr>
      <w:r w:rsidRPr="00E631B0">
        <w:rPr>
          <w:rFonts w:asciiTheme="minorHAnsi" w:eastAsia="Calibri" w:hAnsiTheme="minorHAnsi" w:cs="Times New Roman"/>
          <w:szCs w:val="24"/>
        </w:rPr>
        <w:t>The Reference Group agreed that for those patients using ezetimibe in accordance with the PBS restrictions, estimated at 46.9% (designated ‘green</w:t>
      </w:r>
      <w:r w:rsidR="008B1D2E" w:rsidRPr="00E631B0">
        <w:rPr>
          <w:rFonts w:asciiTheme="minorHAnsi" w:eastAsia="Calibri" w:hAnsiTheme="minorHAnsi" w:cs="Times New Roman"/>
          <w:szCs w:val="24"/>
        </w:rPr>
        <w:t>’</w:t>
      </w:r>
      <w:r w:rsidRPr="00E631B0">
        <w:rPr>
          <w:rFonts w:asciiTheme="minorHAnsi" w:eastAsia="Calibri" w:hAnsiTheme="minorHAnsi" w:cs="Times New Roman"/>
          <w:szCs w:val="24"/>
        </w:rPr>
        <w:t xml:space="preserve"> group from the revised utilisation analysis), placebo </w:t>
      </w:r>
      <w:r w:rsidR="00343939" w:rsidRPr="00E631B0">
        <w:rPr>
          <w:rFonts w:asciiTheme="minorHAnsi" w:eastAsia="Calibri" w:hAnsiTheme="minorHAnsi" w:cs="Times New Roman"/>
          <w:szCs w:val="24"/>
        </w:rPr>
        <w:t>is the appropriate comparator.</w:t>
      </w:r>
    </w:p>
    <w:p w14:paraId="002069EC" w14:textId="36054E3F" w:rsidR="00824927" w:rsidRPr="00E631B0" w:rsidRDefault="00824927" w:rsidP="005E0F22">
      <w:pPr>
        <w:pStyle w:val="ListParagraph"/>
        <w:spacing w:line="240" w:lineRule="auto"/>
        <w:ind w:left="0"/>
        <w:contextualSpacing w:val="0"/>
        <w:jc w:val="left"/>
        <w:rPr>
          <w:rFonts w:asciiTheme="minorHAnsi" w:eastAsia="Calibri" w:hAnsiTheme="minorHAnsi" w:cs="Times New Roman"/>
        </w:rPr>
      </w:pPr>
      <w:r w:rsidRPr="00E631B0">
        <w:rPr>
          <w:rFonts w:asciiTheme="minorHAnsi" w:eastAsia="Calibri" w:hAnsiTheme="minorHAnsi" w:cs="Times New Roman"/>
        </w:rPr>
        <w:t>Thus a weighted comparison with a proportion of use compared to up-titration of statin dose/switching to a higher potency statin and a proportion of use compared to placebo/non statin LLT</w:t>
      </w:r>
      <w:r w:rsidR="00356640" w:rsidRPr="00E631B0">
        <w:rPr>
          <w:rFonts w:asciiTheme="minorHAnsi" w:eastAsia="Calibri" w:hAnsiTheme="minorHAnsi" w:cs="Times New Roman"/>
        </w:rPr>
        <w:t>,</w:t>
      </w:r>
      <w:r w:rsidRPr="00E631B0">
        <w:rPr>
          <w:rFonts w:asciiTheme="minorHAnsi" w:eastAsia="Calibri" w:hAnsiTheme="minorHAnsi" w:cs="Times New Roman"/>
        </w:rPr>
        <w:t xml:space="preserve"> may be one way to estimate the cost-effectiveness of ezetimibe in current practice.</w:t>
      </w:r>
    </w:p>
    <w:p w14:paraId="768C3AED" w14:textId="6C962634" w:rsidR="0000686B" w:rsidRPr="00F47616" w:rsidRDefault="003848A8">
      <w:pPr>
        <w:pStyle w:val="Heading2"/>
      </w:pPr>
      <w:bookmarkStart w:id="97" w:name="_Toc500510253"/>
      <w:r w:rsidRPr="00F47616">
        <w:t>3.</w:t>
      </w:r>
      <w:r w:rsidR="0000686B" w:rsidRPr="00F47616">
        <w:t>4</w:t>
      </w:r>
      <w:r w:rsidR="0000686B" w:rsidRPr="00F47616">
        <w:tab/>
        <w:t xml:space="preserve">Key issues raised </w:t>
      </w:r>
      <w:r w:rsidR="00356640">
        <w:t>by</w:t>
      </w:r>
      <w:r w:rsidR="0000686B" w:rsidRPr="00F47616">
        <w:t xml:space="preserve"> stakeholder</w:t>
      </w:r>
      <w:r w:rsidR="00D52C20">
        <w:t>s on TOR 3</w:t>
      </w:r>
      <w:bookmarkEnd w:id="97"/>
    </w:p>
    <w:p w14:paraId="7CBD9F24" w14:textId="3F35BF0B" w:rsidR="0000686B" w:rsidRPr="00E631B0" w:rsidRDefault="0000686B" w:rsidP="005E0F22">
      <w:pPr>
        <w:spacing w:line="240" w:lineRule="auto"/>
        <w:jc w:val="left"/>
        <w:rPr>
          <w:rFonts w:asciiTheme="minorHAnsi" w:hAnsiTheme="minorHAnsi"/>
        </w:rPr>
      </w:pPr>
      <w:r w:rsidRPr="00E631B0">
        <w:rPr>
          <w:rFonts w:asciiTheme="minorHAnsi" w:hAnsiTheme="minorHAnsi"/>
        </w:rPr>
        <w:t xml:space="preserve">Details of the submissions to the Review are provided in </w:t>
      </w:r>
      <w:r w:rsidRPr="00E631B0">
        <w:rPr>
          <w:rFonts w:asciiTheme="minorHAnsi" w:hAnsiTheme="minorHAnsi"/>
          <w:b/>
        </w:rPr>
        <w:t>Appendix H</w:t>
      </w:r>
      <w:r w:rsidRPr="00E631B0">
        <w:rPr>
          <w:rFonts w:asciiTheme="minorHAnsi" w:hAnsiTheme="minorHAnsi"/>
        </w:rPr>
        <w:t>.</w:t>
      </w:r>
    </w:p>
    <w:p w14:paraId="118F18B3" w14:textId="23B3BF32" w:rsidR="0000686B" w:rsidRPr="00F47616" w:rsidRDefault="003848A8" w:rsidP="005E0F22">
      <w:pPr>
        <w:pStyle w:val="Heading3"/>
        <w:jc w:val="left"/>
      </w:pPr>
      <w:bookmarkStart w:id="98" w:name="_Toc500510254"/>
      <w:r w:rsidRPr="00F47616">
        <w:t>3.</w:t>
      </w:r>
      <w:r w:rsidR="0000686B" w:rsidRPr="00F47616">
        <w:t>4.1</w:t>
      </w:r>
      <w:r w:rsidR="000F1815">
        <w:tab/>
      </w:r>
      <w:r w:rsidR="0000686B" w:rsidRPr="00F47616">
        <w:t xml:space="preserve">Submissions to the </w:t>
      </w:r>
      <w:r w:rsidR="00D52C20">
        <w:t>Review</w:t>
      </w:r>
      <w:bookmarkEnd w:id="98"/>
    </w:p>
    <w:p w14:paraId="39B33ECE" w14:textId="41BAAB58" w:rsidR="0000686B" w:rsidRPr="00E631B0" w:rsidRDefault="00257E45" w:rsidP="005E0F22">
      <w:pPr>
        <w:spacing w:line="240" w:lineRule="auto"/>
        <w:jc w:val="left"/>
        <w:rPr>
          <w:rFonts w:asciiTheme="minorHAnsi" w:hAnsiTheme="minorHAnsi"/>
        </w:rPr>
      </w:pPr>
      <w:r w:rsidRPr="00E631B0">
        <w:rPr>
          <w:rFonts w:asciiTheme="minorHAnsi" w:hAnsiTheme="minorHAnsi"/>
        </w:rPr>
        <w:t xml:space="preserve">In the seven week public consultation held between 4 March and 22 April 2016 stakeholders raised the following key points in relation to </w:t>
      </w:r>
      <w:r w:rsidR="00356640" w:rsidRPr="00E631B0">
        <w:rPr>
          <w:rFonts w:asciiTheme="minorHAnsi" w:hAnsiTheme="minorHAnsi"/>
        </w:rPr>
        <w:t xml:space="preserve">TOR </w:t>
      </w:r>
      <w:r w:rsidRPr="00E631B0">
        <w:rPr>
          <w:rFonts w:asciiTheme="minorHAnsi" w:hAnsiTheme="minorHAnsi"/>
        </w:rPr>
        <w:t>3:</w:t>
      </w:r>
    </w:p>
    <w:p w14:paraId="2C7D2C05" w14:textId="77777777" w:rsidR="0000686B" w:rsidRPr="00E631B0" w:rsidRDefault="0000686B" w:rsidP="005E0F22">
      <w:pPr>
        <w:pStyle w:val="ListParagraph"/>
        <w:numPr>
          <w:ilvl w:val="0"/>
          <w:numId w:val="8"/>
        </w:numPr>
        <w:spacing w:after="120" w:line="240" w:lineRule="auto"/>
        <w:ind w:left="426" w:hanging="426"/>
        <w:contextualSpacing w:val="0"/>
        <w:jc w:val="left"/>
        <w:rPr>
          <w:rFonts w:asciiTheme="minorHAnsi" w:hAnsiTheme="minorHAnsi"/>
        </w:rPr>
      </w:pPr>
      <w:r w:rsidRPr="00E631B0">
        <w:rPr>
          <w:rFonts w:asciiTheme="minorHAnsi" w:hAnsiTheme="minorHAnsi"/>
        </w:rPr>
        <w:t>If utilisation of ezetimibe is found to be consistent with the intent of the PBS within local clinical guidelines, it is unnecessary to review the cost-effectiveness of ezetimibe.</w:t>
      </w:r>
    </w:p>
    <w:p w14:paraId="590E84B8" w14:textId="77777777" w:rsidR="0000686B" w:rsidRPr="00E631B0" w:rsidRDefault="0000686B" w:rsidP="005E0F22">
      <w:pPr>
        <w:pStyle w:val="ListParagraph"/>
        <w:numPr>
          <w:ilvl w:val="0"/>
          <w:numId w:val="8"/>
        </w:numPr>
        <w:spacing w:after="120" w:line="240" w:lineRule="auto"/>
        <w:ind w:left="426" w:hanging="426"/>
        <w:contextualSpacing w:val="0"/>
        <w:jc w:val="left"/>
        <w:rPr>
          <w:rFonts w:asciiTheme="minorHAnsi" w:hAnsiTheme="minorHAnsi"/>
        </w:rPr>
      </w:pPr>
      <w:r w:rsidRPr="00E631B0">
        <w:rPr>
          <w:rFonts w:asciiTheme="minorHAnsi" w:hAnsiTheme="minorHAnsi"/>
        </w:rPr>
        <w:t xml:space="preserve">There have been no other changes in the intervening period in terms of PBS listings, local treatment guidelines or choice of comparator that would warrant reconsideration of the cost-effectiveness of ezetimibe. </w:t>
      </w:r>
    </w:p>
    <w:p w14:paraId="1D067CEF" w14:textId="77777777" w:rsidR="0000686B" w:rsidRPr="00E631B0" w:rsidRDefault="0000686B" w:rsidP="005E0F22">
      <w:pPr>
        <w:pStyle w:val="ListParagraph"/>
        <w:numPr>
          <w:ilvl w:val="0"/>
          <w:numId w:val="8"/>
        </w:numPr>
        <w:spacing w:after="120" w:line="240" w:lineRule="auto"/>
        <w:ind w:left="426" w:hanging="426"/>
        <w:contextualSpacing w:val="0"/>
        <w:jc w:val="left"/>
        <w:rPr>
          <w:rFonts w:asciiTheme="minorHAnsi" w:hAnsiTheme="minorHAnsi"/>
        </w:rPr>
      </w:pPr>
      <w:r w:rsidRPr="00E631B0">
        <w:rPr>
          <w:rFonts w:asciiTheme="minorHAnsi" w:hAnsiTheme="minorHAnsi"/>
        </w:rPr>
        <w:t xml:space="preserve">New evidence from the IMPROVE-IT study has confirmed the benefit of adding ezetimibe to statins. </w:t>
      </w:r>
    </w:p>
    <w:p w14:paraId="1CF39A7E" w14:textId="262001A0" w:rsidR="0000686B" w:rsidRPr="00E631B0" w:rsidRDefault="0000686B" w:rsidP="005E0F22">
      <w:pPr>
        <w:pStyle w:val="ListParagraph"/>
        <w:numPr>
          <w:ilvl w:val="0"/>
          <w:numId w:val="8"/>
        </w:numPr>
        <w:spacing w:after="120" w:line="240" w:lineRule="auto"/>
        <w:ind w:left="426" w:hanging="426"/>
        <w:contextualSpacing w:val="0"/>
        <w:jc w:val="left"/>
        <w:rPr>
          <w:rFonts w:asciiTheme="minorHAnsi" w:hAnsiTheme="minorHAnsi"/>
        </w:rPr>
      </w:pPr>
      <w:r w:rsidRPr="00E631B0">
        <w:rPr>
          <w:rFonts w:asciiTheme="minorHAnsi" w:hAnsiTheme="minorHAnsi"/>
        </w:rPr>
        <w:t>Ezetimibe achieved a reduction in LDL-C of 0.4</w:t>
      </w:r>
      <w:r w:rsidR="00356640" w:rsidRPr="00E631B0">
        <w:rPr>
          <w:rFonts w:asciiTheme="minorHAnsi" w:hAnsiTheme="minorHAnsi"/>
        </w:rPr>
        <w:t xml:space="preserve"> </w:t>
      </w:r>
      <w:r w:rsidRPr="00E631B0">
        <w:rPr>
          <w:rFonts w:asciiTheme="minorHAnsi" w:hAnsiTheme="minorHAnsi"/>
        </w:rPr>
        <w:t>mmol/L compared with placebo in the IMPROVE-IT trial.</w:t>
      </w:r>
    </w:p>
    <w:p w14:paraId="487A9A0E" w14:textId="77777777" w:rsidR="0000686B" w:rsidRPr="00E631B0" w:rsidRDefault="0000686B" w:rsidP="005E0F22">
      <w:pPr>
        <w:pStyle w:val="ListParagraph"/>
        <w:numPr>
          <w:ilvl w:val="0"/>
          <w:numId w:val="8"/>
        </w:numPr>
        <w:spacing w:after="120" w:line="240" w:lineRule="auto"/>
        <w:ind w:left="426" w:hanging="426"/>
        <w:contextualSpacing w:val="0"/>
        <w:jc w:val="left"/>
        <w:rPr>
          <w:rFonts w:asciiTheme="minorHAnsi" w:hAnsiTheme="minorHAnsi"/>
        </w:rPr>
      </w:pPr>
      <w:r w:rsidRPr="00E631B0">
        <w:rPr>
          <w:rFonts w:asciiTheme="minorHAnsi" w:hAnsiTheme="minorHAnsi"/>
        </w:rPr>
        <w:t>The IMPROVE-IT result has been described as proof that LDL-C is a causal factor of CVD and reducing LDL-C reduces CVD.</w:t>
      </w:r>
    </w:p>
    <w:p w14:paraId="2274F377" w14:textId="77777777" w:rsidR="0000686B" w:rsidRPr="00E631B0" w:rsidRDefault="003848A8" w:rsidP="005E0F22">
      <w:pPr>
        <w:pStyle w:val="Heading3"/>
        <w:jc w:val="left"/>
      </w:pPr>
      <w:bookmarkStart w:id="99" w:name="_Toc500510255"/>
      <w:r w:rsidRPr="00E631B0">
        <w:t>3.</w:t>
      </w:r>
      <w:r w:rsidR="0000686B" w:rsidRPr="00E631B0">
        <w:t>4.2</w:t>
      </w:r>
      <w:r w:rsidR="0000686B" w:rsidRPr="00E631B0">
        <w:tab/>
        <w:t>Outcomes from the stakeholder forum</w:t>
      </w:r>
      <w:bookmarkEnd w:id="99"/>
    </w:p>
    <w:p w14:paraId="7BACD0AD" w14:textId="314C2211" w:rsidR="005224AC" w:rsidRPr="00E631B0" w:rsidRDefault="0000686B" w:rsidP="005E0F22">
      <w:pPr>
        <w:pStyle w:val="BodyText"/>
        <w:spacing w:after="200" w:line="240" w:lineRule="auto"/>
        <w:jc w:val="left"/>
        <w:rPr>
          <w:rFonts w:asciiTheme="minorHAnsi" w:hAnsiTheme="minorHAnsi"/>
        </w:rPr>
      </w:pPr>
      <w:r w:rsidRPr="00E631B0">
        <w:rPr>
          <w:rFonts w:asciiTheme="minorHAnsi" w:hAnsiTheme="minorHAnsi"/>
        </w:rPr>
        <w:t>The Reference Group sought any further recent evidence that may inform its consideration of T</w:t>
      </w:r>
      <w:r w:rsidR="00356640" w:rsidRPr="00E631B0">
        <w:rPr>
          <w:rFonts w:asciiTheme="minorHAnsi" w:hAnsiTheme="minorHAnsi"/>
        </w:rPr>
        <w:t>O</w:t>
      </w:r>
      <w:r w:rsidRPr="00E631B0">
        <w:rPr>
          <w:rFonts w:asciiTheme="minorHAnsi" w:hAnsiTheme="minorHAnsi"/>
        </w:rPr>
        <w:t>R 3. Participants agreed to identify other relevant studies to the Review Secretariat.</w:t>
      </w:r>
      <w:r w:rsidR="005224AC" w:rsidRPr="00E631B0">
        <w:rPr>
          <w:rFonts w:asciiTheme="minorHAnsi" w:hAnsiTheme="minorHAnsi"/>
        </w:rPr>
        <w:t xml:space="preserve"> Following the stakeholder forum the </w:t>
      </w:r>
      <w:r w:rsidR="004C7D89" w:rsidRPr="00E631B0">
        <w:rPr>
          <w:rFonts w:asciiTheme="minorHAnsi" w:hAnsiTheme="minorHAnsi"/>
        </w:rPr>
        <w:t>sponsor provided the citations</w:t>
      </w:r>
      <w:r w:rsidR="005224AC" w:rsidRPr="00E631B0">
        <w:rPr>
          <w:rFonts w:asciiTheme="minorHAnsi" w:hAnsiTheme="minorHAnsi"/>
        </w:rPr>
        <w:t xml:space="preserve">. </w:t>
      </w:r>
    </w:p>
    <w:p w14:paraId="2FCE82BF" w14:textId="77777777" w:rsidR="0000686B" w:rsidRPr="00E631B0" w:rsidRDefault="0000686B" w:rsidP="005E0F22">
      <w:pPr>
        <w:spacing w:line="240" w:lineRule="auto"/>
        <w:jc w:val="left"/>
        <w:rPr>
          <w:rFonts w:asciiTheme="minorHAnsi" w:hAnsiTheme="minorHAnsi"/>
        </w:rPr>
      </w:pPr>
      <w:r w:rsidRPr="00E631B0">
        <w:rPr>
          <w:rFonts w:asciiTheme="minorHAnsi" w:hAnsiTheme="minorHAnsi"/>
        </w:rPr>
        <w:t>Specific comments made by participants included:</w:t>
      </w:r>
    </w:p>
    <w:p w14:paraId="207AA3A5" w14:textId="50C3AA82" w:rsidR="0000686B" w:rsidRPr="00E631B0" w:rsidRDefault="00356640" w:rsidP="005E0F22">
      <w:pPr>
        <w:pStyle w:val="ListBullet"/>
        <w:tabs>
          <w:tab w:val="clear" w:pos="850"/>
          <w:tab w:val="num" w:pos="426"/>
        </w:tabs>
        <w:spacing w:before="0" w:after="120" w:line="240" w:lineRule="auto"/>
        <w:ind w:left="426" w:hanging="426"/>
        <w:rPr>
          <w:rFonts w:eastAsiaTheme="minorHAnsi" w:cstheme="minorBidi"/>
          <w:sz w:val="24"/>
          <w:lang w:eastAsia="en-US"/>
        </w:rPr>
      </w:pPr>
      <w:r w:rsidRPr="00E631B0">
        <w:rPr>
          <w:sz w:val="24"/>
          <w:szCs w:val="24"/>
        </w:rPr>
        <w:t>I</w:t>
      </w:r>
      <w:r w:rsidR="0000686B" w:rsidRPr="00E631B0">
        <w:rPr>
          <w:sz w:val="24"/>
          <w:szCs w:val="24"/>
        </w:rPr>
        <w:t xml:space="preserve">n </w:t>
      </w:r>
      <w:r w:rsidR="0000686B" w:rsidRPr="00E631B0">
        <w:rPr>
          <w:rFonts w:eastAsiaTheme="minorHAnsi" w:cstheme="minorBidi"/>
          <w:sz w:val="24"/>
          <w:lang w:eastAsia="en-US"/>
        </w:rPr>
        <w:t>using any studies, it is important to consider the depth of evidence and applicability to the Australian context</w:t>
      </w:r>
      <w:r w:rsidRPr="00E631B0">
        <w:rPr>
          <w:rFonts w:eastAsiaTheme="minorHAnsi" w:cstheme="minorBidi"/>
          <w:sz w:val="24"/>
          <w:lang w:eastAsia="en-US"/>
        </w:rPr>
        <w:t>.</w:t>
      </w:r>
    </w:p>
    <w:p w14:paraId="1BE4A4A5" w14:textId="7A548D64" w:rsidR="0000686B" w:rsidRPr="00E631B0" w:rsidRDefault="00356640" w:rsidP="005E0F22">
      <w:pPr>
        <w:pStyle w:val="ListBullet"/>
        <w:tabs>
          <w:tab w:val="clear" w:pos="850"/>
          <w:tab w:val="num" w:pos="426"/>
        </w:tabs>
        <w:spacing w:before="0" w:after="120" w:line="240" w:lineRule="auto"/>
        <w:ind w:left="426" w:hanging="426"/>
        <w:rPr>
          <w:rFonts w:eastAsiaTheme="minorHAnsi" w:cstheme="minorBidi"/>
          <w:sz w:val="24"/>
          <w:lang w:eastAsia="en-US"/>
        </w:rPr>
      </w:pPr>
      <w:r w:rsidRPr="00E631B0">
        <w:rPr>
          <w:rFonts w:eastAsiaTheme="minorHAnsi" w:cstheme="minorBidi"/>
          <w:sz w:val="24"/>
          <w:lang w:eastAsia="en-US"/>
        </w:rPr>
        <w:t>D</w:t>
      </w:r>
      <w:r w:rsidR="0000686B" w:rsidRPr="00E631B0">
        <w:rPr>
          <w:rFonts w:eastAsiaTheme="minorHAnsi" w:cstheme="minorBidi"/>
          <w:sz w:val="24"/>
          <w:lang w:eastAsia="en-US"/>
        </w:rPr>
        <w:t>espite its limitations, IMPROVE-IT is the most up-to-date study, and also addresse</w:t>
      </w:r>
      <w:r w:rsidRPr="00E631B0">
        <w:rPr>
          <w:rFonts w:eastAsiaTheme="minorHAnsi" w:cstheme="minorBidi"/>
          <w:sz w:val="24"/>
          <w:lang w:eastAsia="en-US"/>
        </w:rPr>
        <w:t>s</w:t>
      </w:r>
      <w:r w:rsidR="0000686B" w:rsidRPr="00E631B0">
        <w:rPr>
          <w:rFonts w:eastAsiaTheme="minorHAnsi" w:cstheme="minorBidi"/>
          <w:sz w:val="24"/>
          <w:lang w:eastAsia="en-US"/>
        </w:rPr>
        <w:t xml:space="preserve"> questions in relation to the safety of ezetimibe</w:t>
      </w:r>
      <w:r w:rsidRPr="00E631B0">
        <w:rPr>
          <w:rFonts w:eastAsiaTheme="minorHAnsi" w:cstheme="minorBidi"/>
          <w:sz w:val="24"/>
          <w:lang w:eastAsia="en-US"/>
        </w:rPr>
        <w:t>.</w:t>
      </w:r>
    </w:p>
    <w:p w14:paraId="2D8D0E28" w14:textId="18C1317D" w:rsidR="0000686B" w:rsidRDefault="00356640" w:rsidP="005E0F22">
      <w:pPr>
        <w:pStyle w:val="ListBullet"/>
        <w:tabs>
          <w:tab w:val="clear" w:pos="850"/>
          <w:tab w:val="num" w:pos="426"/>
        </w:tabs>
        <w:spacing w:before="0" w:after="120" w:line="240" w:lineRule="auto"/>
        <w:ind w:left="426" w:hanging="426"/>
        <w:rPr>
          <w:rFonts w:eastAsiaTheme="minorHAnsi" w:cstheme="minorBidi"/>
          <w:sz w:val="24"/>
          <w:lang w:eastAsia="en-US"/>
        </w:rPr>
      </w:pPr>
      <w:r>
        <w:rPr>
          <w:rFonts w:eastAsiaTheme="minorHAnsi" w:cstheme="minorBidi"/>
          <w:sz w:val="24"/>
          <w:lang w:eastAsia="en-US"/>
        </w:rPr>
        <w:lastRenderedPageBreak/>
        <w:t>T</w:t>
      </w:r>
      <w:r w:rsidR="0000686B" w:rsidRPr="00F47616">
        <w:rPr>
          <w:rFonts w:eastAsiaTheme="minorHAnsi" w:cstheme="minorBidi"/>
          <w:sz w:val="24"/>
          <w:lang w:eastAsia="en-US"/>
        </w:rPr>
        <w:t>he experiences of failed studies (studies that did not demonstrate outcomes) is also relevant to this Review.</w:t>
      </w:r>
    </w:p>
    <w:p w14:paraId="1764E18F" w14:textId="673ABE96" w:rsidR="00D52C20" w:rsidRPr="00833088" w:rsidRDefault="00D52C20" w:rsidP="005E0F22">
      <w:pPr>
        <w:spacing w:line="240" w:lineRule="auto"/>
        <w:jc w:val="left"/>
        <w:rPr>
          <w:rStyle w:val="Hyperlink"/>
          <w:rFonts w:asciiTheme="minorHAnsi" w:hAnsiTheme="minorHAnsi" w:cs="Times New Roman"/>
          <w:sz w:val="22"/>
          <w:szCs w:val="24"/>
          <w:lang w:eastAsia="en-AU"/>
        </w:rPr>
      </w:pPr>
      <w:r>
        <w:rPr>
          <w:rFonts w:asciiTheme="minorHAnsi" w:hAnsiTheme="minorHAnsi"/>
          <w:szCs w:val="24"/>
        </w:rPr>
        <w:t>T</w:t>
      </w:r>
      <w:r w:rsidRPr="00FA7D1A">
        <w:rPr>
          <w:rFonts w:asciiTheme="minorHAnsi" w:hAnsiTheme="minorHAnsi"/>
          <w:szCs w:val="24"/>
        </w:rPr>
        <w:t xml:space="preserve">he </w:t>
      </w:r>
      <w:hyperlink r:id="rId28" w:history="1">
        <w:r w:rsidRPr="00252863">
          <w:rPr>
            <w:rStyle w:val="Hyperlink"/>
            <w:rFonts w:asciiTheme="minorHAnsi" w:hAnsiTheme="minorHAnsi"/>
            <w:szCs w:val="24"/>
          </w:rPr>
          <w:t>Stakeholder Forum Outcome Statement</w:t>
        </w:r>
      </w:hyperlink>
      <w:r>
        <w:rPr>
          <w:rFonts w:asciiTheme="minorHAnsi" w:hAnsiTheme="minorHAnsi"/>
          <w:szCs w:val="24"/>
        </w:rPr>
        <w:t xml:space="preserve"> is available on the Review website</w:t>
      </w:r>
      <w:r w:rsidR="007431BB">
        <w:rPr>
          <w:rFonts w:asciiTheme="minorHAnsi" w:hAnsiTheme="minorHAnsi"/>
          <w:szCs w:val="24"/>
        </w:rPr>
        <w:t xml:space="preserve"> and at </w:t>
      </w:r>
      <w:r w:rsidR="007431BB" w:rsidRPr="007431BB">
        <w:rPr>
          <w:rFonts w:asciiTheme="minorHAnsi" w:hAnsiTheme="minorHAnsi"/>
          <w:b/>
          <w:szCs w:val="24"/>
        </w:rPr>
        <w:t>Appendix F</w:t>
      </w:r>
      <w:r w:rsidRPr="009623C7">
        <w:rPr>
          <w:rStyle w:val="Hyperlink"/>
          <w:rFonts w:asciiTheme="minorHAnsi" w:hAnsiTheme="minorHAnsi"/>
          <w:color w:val="auto"/>
          <w:szCs w:val="24"/>
          <w:u w:val="none"/>
        </w:rPr>
        <w:t>.</w:t>
      </w:r>
      <w:r w:rsidR="007431BB">
        <w:rPr>
          <w:rStyle w:val="Hyperlink"/>
          <w:rFonts w:asciiTheme="minorHAnsi" w:hAnsiTheme="minorHAnsi"/>
          <w:szCs w:val="24"/>
          <w:u w:val="none"/>
        </w:rPr>
        <w:t xml:space="preserve"> </w:t>
      </w:r>
      <w:r w:rsidRPr="00204D95">
        <w:rPr>
          <w:rFonts w:asciiTheme="minorHAnsi" w:hAnsiTheme="minorHAnsi"/>
          <w:szCs w:val="24"/>
        </w:rPr>
        <w:t xml:space="preserve">Stakeholder </w:t>
      </w:r>
      <w:r w:rsidRPr="00833088">
        <w:rPr>
          <w:rFonts w:asciiTheme="minorHAnsi" w:hAnsiTheme="minorHAnsi"/>
          <w:szCs w:val="24"/>
        </w:rPr>
        <w:t>responses to the Stakeholder Forum Outcome Statement</w:t>
      </w:r>
      <w:r>
        <w:rPr>
          <w:rFonts w:asciiTheme="minorHAnsi" w:hAnsiTheme="minorHAnsi"/>
          <w:szCs w:val="24"/>
        </w:rPr>
        <w:t xml:space="preserve"> are available on the Review’s </w:t>
      </w:r>
      <w:hyperlink r:id="rId29" w:history="1">
        <w:r w:rsidRPr="00D52C20">
          <w:rPr>
            <w:rStyle w:val="Hyperlink"/>
            <w:rFonts w:asciiTheme="minorHAnsi" w:hAnsiTheme="minorHAnsi"/>
            <w:szCs w:val="24"/>
          </w:rPr>
          <w:t>Public Consultation website</w:t>
        </w:r>
      </w:hyperlink>
      <w:r>
        <w:rPr>
          <w:rFonts w:asciiTheme="minorHAnsi" w:hAnsiTheme="minorHAnsi"/>
          <w:szCs w:val="24"/>
        </w:rPr>
        <w:t>.</w:t>
      </w:r>
    </w:p>
    <w:p w14:paraId="142DFA4D" w14:textId="46943B23" w:rsidR="0000686B" w:rsidRPr="00E631B0" w:rsidRDefault="003848A8" w:rsidP="005E0F22">
      <w:pPr>
        <w:pStyle w:val="Heading3"/>
        <w:jc w:val="left"/>
      </w:pPr>
      <w:bookmarkStart w:id="100" w:name="_Toc500510256"/>
      <w:r w:rsidRPr="00E631B0">
        <w:t>3.</w:t>
      </w:r>
      <w:r w:rsidR="0000686B" w:rsidRPr="00E631B0">
        <w:t>4.3</w:t>
      </w:r>
      <w:r w:rsidR="000F1815" w:rsidRPr="00E631B0">
        <w:tab/>
      </w:r>
      <w:r w:rsidR="0000686B" w:rsidRPr="00E631B0">
        <w:t>Stakeholder submissions to the draft Report</w:t>
      </w:r>
      <w:bookmarkEnd w:id="100"/>
    </w:p>
    <w:p w14:paraId="42E81D29" w14:textId="77777777" w:rsidR="0000686B" w:rsidRPr="00E631B0" w:rsidRDefault="0000686B" w:rsidP="005E0F22">
      <w:pPr>
        <w:jc w:val="left"/>
        <w:rPr>
          <w:rFonts w:asciiTheme="minorHAnsi" w:hAnsiTheme="minorHAnsi"/>
        </w:rPr>
      </w:pPr>
      <w:r w:rsidRPr="00E631B0">
        <w:rPr>
          <w:rFonts w:asciiTheme="minorHAnsi" w:hAnsiTheme="minorHAnsi"/>
        </w:rPr>
        <w:t>Stakeholders raised the following points in their responses to the draft Report provided on the PMR website from 30 January to 10 February 2017.</w:t>
      </w:r>
    </w:p>
    <w:p w14:paraId="5DB388C8" w14:textId="171A9A47" w:rsidR="0000686B" w:rsidRPr="00E631B0" w:rsidRDefault="0000686B" w:rsidP="005E0F22">
      <w:pPr>
        <w:pStyle w:val="ListParagraph"/>
        <w:numPr>
          <w:ilvl w:val="0"/>
          <w:numId w:val="24"/>
        </w:numPr>
        <w:ind w:left="426" w:hanging="426"/>
        <w:jc w:val="left"/>
        <w:rPr>
          <w:rFonts w:asciiTheme="minorHAnsi" w:hAnsiTheme="minorHAnsi"/>
        </w:rPr>
      </w:pPr>
      <w:r w:rsidRPr="00E631B0">
        <w:rPr>
          <w:rFonts w:asciiTheme="minorHAnsi" w:hAnsiTheme="minorHAnsi"/>
        </w:rPr>
        <w:t xml:space="preserve">Stakeholders highlighted an important new article by J G Robinson et al in </w:t>
      </w:r>
      <w:r w:rsidR="00356640" w:rsidRPr="00E631B0">
        <w:rPr>
          <w:rFonts w:asciiTheme="minorHAnsi" w:hAnsiTheme="minorHAnsi"/>
        </w:rPr>
        <w:t xml:space="preserve">the </w:t>
      </w:r>
      <w:r w:rsidRPr="00E631B0">
        <w:rPr>
          <w:rFonts w:asciiTheme="minorHAnsi" w:hAnsiTheme="minorHAnsi"/>
        </w:rPr>
        <w:t>Journal of American College of Cardiology, December 2016.</w:t>
      </w:r>
    </w:p>
    <w:p w14:paraId="4B934728" w14:textId="7F0B0632" w:rsidR="0000686B" w:rsidRPr="00E631B0" w:rsidRDefault="0000686B" w:rsidP="005E0F22">
      <w:pPr>
        <w:pStyle w:val="ListParagraph"/>
        <w:numPr>
          <w:ilvl w:val="0"/>
          <w:numId w:val="24"/>
        </w:numPr>
        <w:ind w:left="426" w:hanging="426"/>
        <w:jc w:val="left"/>
        <w:rPr>
          <w:rFonts w:asciiTheme="minorHAnsi" w:hAnsiTheme="minorHAnsi"/>
        </w:rPr>
      </w:pPr>
      <w:r w:rsidRPr="00E631B0">
        <w:rPr>
          <w:rFonts w:asciiTheme="minorHAnsi" w:hAnsiTheme="minorHAnsi"/>
        </w:rPr>
        <w:t>Overall</w:t>
      </w:r>
      <w:r w:rsidR="00356640" w:rsidRPr="00E631B0">
        <w:rPr>
          <w:rFonts w:asciiTheme="minorHAnsi" w:hAnsiTheme="minorHAnsi"/>
        </w:rPr>
        <w:t>,</w:t>
      </w:r>
      <w:r w:rsidRPr="00E631B0">
        <w:rPr>
          <w:rFonts w:asciiTheme="minorHAnsi" w:hAnsiTheme="minorHAnsi"/>
        </w:rPr>
        <w:t xml:space="preserve"> stakeholder</w:t>
      </w:r>
      <w:r w:rsidR="00356640" w:rsidRPr="00E631B0">
        <w:rPr>
          <w:rFonts w:asciiTheme="minorHAnsi" w:hAnsiTheme="minorHAnsi"/>
        </w:rPr>
        <w:t>s</w:t>
      </w:r>
      <w:r w:rsidRPr="00E631B0">
        <w:rPr>
          <w:rFonts w:asciiTheme="minorHAnsi" w:hAnsiTheme="minorHAnsi"/>
        </w:rPr>
        <w:t xml:space="preserve"> considered that all clinical evidence supported ezetimibe as a second</w:t>
      </w:r>
      <w:r w:rsidR="00356640" w:rsidRPr="00E631B0">
        <w:rPr>
          <w:rFonts w:asciiTheme="minorHAnsi" w:hAnsiTheme="minorHAnsi"/>
        </w:rPr>
        <w:t xml:space="preserve"> </w:t>
      </w:r>
      <w:r w:rsidRPr="00E631B0">
        <w:rPr>
          <w:rFonts w:asciiTheme="minorHAnsi" w:hAnsiTheme="minorHAnsi"/>
        </w:rPr>
        <w:t xml:space="preserve">line therapeutic option to lower LDL-C and other harmful lipids in patients at increased risk of </w:t>
      </w:r>
      <w:r w:rsidR="00356640" w:rsidRPr="00E631B0">
        <w:rPr>
          <w:rFonts w:asciiTheme="minorHAnsi" w:hAnsiTheme="minorHAnsi"/>
        </w:rPr>
        <w:t xml:space="preserve">CV </w:t>
      </w:r>
      <w:r w:rsidRPr="00E631B0">
        <w:rPr>
          <w:rFonts w:asciiTheme="minorHAnsi" w:hAnsiTheme="minorHAnsi"/>
        </w:rPr>
        <w:t>events</w:t>
      </w:r>
      <w:r w:rsidR="00356640" w:rsidRPr="00E631B0">
        <w:rPr>
          <w:rFonts w:asciiTheme="minorHAnsi" w:hAnsiTheme="minorHAnsi"/>
        </w:rPr>
        <w:t>.</w:t>
      </w:r>
    </w:p>
    <w:p w14:paraId="6C1DB5F3" w14:textId="026D0DF0" w:rsidR="0000686B" w:rsidRPr="00E631B0" w:rsidRDefault="0000686B" w:rsidP="005E0F22">
      <w:pPr>
        <w:pStyle w:val="ListParagraph"/>
        <w:numPr>
          <w:ilvl w:val="0"/>
          <w:numId w:val="24"/>
        </w:numPr>
        <w:ind w:left="426" w:hanging="426"/>
        <w:jc w:val="left"/>
        <w:rPr>
          <w:rFonts w:asciiTheme="minorHAnsi" w:hAnsiTheme="minorHAnsi"/>
        </w:rPr>
      </w:pPr>
      <w:r w:rsidRPr="00E631B0">
        <w:rPr>
          <w:rFonts w:asciiTheme="minorHAnsi" w:hAnsiTheme="minorHAnsi"/>
        </w:rPr>
        <w:t>Key findings of the IMPROVE-IT study were stated to be</w:t>
      </w:r>
      <w:r w:rsidR="00356640" w:rsidRPr="00E631B0">
        <w:rPr>
          <w:rFonts w:asciiTheme="minorHAnsi" w:hAnsiTheme="minorHAnsi"/>
        </w:rPr>
        <w:t>:</w:t>
      </w:r>
      <w:r w:rsidRPr="00E631B0">
        <w:rPr>
          <w:rFonts w:asciiTheme="minorHAnsi" w:hAnsiTheme="minorHAnsi"/>
        </w:rPr>
        <w:t xml:space="preserve"> </w:t>
      </w:r>
    </w:p>
    <w:p w14:paraId="4ADA251C" w14:textId="64F99D01" w:rsidR="0000686B" w:rsidRPr="00E631B0" w:rsidRDefault="0000686B" w:rsidP="005E0F22">
      <w:pPr>
        <w:pStyle w:val="ListParagraph"/>
        <w:numPr>
          <w:ilvl w:val="1"/>
          <w:numId w:val="24"/>
        </w:numPr>
        <w:ind w:left="851" w:hanging="425"/>
        <w:jc w:val="left"/>
        <w:rPr>
          <w:rFonts w:asciiTheme="minorHAnsi" w:hAnsiTheme="minorHAnsi"/>
        </w:rPr>
      </w:pPr>
      <w:r w:rsidRPr="00E631B0">
        <w:rPr>
          <w:rFonts w:asciiTheme="minorHAnsi" w:hAnsiTheme="minorHAnsi"/>
        </w:rPr>
        <w:t xml:space="preserve">validation of LDL-C as a surrogate </w:t>
      </w:r>
    </w:p>
    <w:p w14:paraId="2DCE8A59" w14:textId="3314CFDF" w:rsidR="0000686B" w:rsidRPr="00E631B0" w:rsidRDefault="0000686B" w:rsidP="005E0F22">
      <w:pPr>
        <w:pStyle w:val="ListParagraph"/>
        <w:numPr>
          <w:ilvl w:val="1"/>
          <w:numId w:val="24"/>
        </w:numPr>
        <w:ind w:left="851" w:hanging="425"/>
        <w:jc w:val="left"/>
        <w:rPr>
          <w:rFonts w:asciiTheme="minorHAnsi" w:hAnsiTheme="minorHAnsi"/>
        </w:rPr>
      </w:pPr>
      <w:r w:rsidRPr="00E631B0">
        <w:rPr>
          <w:rFonts w:asciiTheme="minorHAnsi" w:hAnsiTheme="minorHAnsi"/>
        </w:rPr>
        <w:t xml:space="preserve">the benefit of addition </w:t>
      </w:r>
      <w:r w:rsidR="00356640" w:rsidRPr="00E631B0">
        <w:rPr>
          <w:rFonts w:asciiTheme="minorHAnsi" w:hAnsiTheme="minorHAnsi"/>
        </w:rPr>
        <w:t xml:space="preserve">of </w:t>
      </w:r>
      <w:r w:rsidRPr="00E631B0">
        <w:rPr>
          <w:rFonts w:asciiTheme="minorHAnsi" w:hAnsiTheme="minorHAnsi"/>
        </w:rPr>
        <w:t>ezetimibe has been shown in</w:t>
      </w:r>
      <w:r w:rsidR="00356640" w:rsidRPr="00E631B0">
        <w:rPr>
          <w:rFonts w:asciiTheme="minorHAnsi" w:hAnsiTheme="minorHAnsi"/>
        </w:rPr>
        <w:t xml:space="preserve"> a</w:t>
      </w:r>
      <w:r w:rsidRPr="00E631B0">
        <w:rPr>
          <w:rFonts w:asciiTheme="minorHAnsi" w:hAnsiTheme="minorHAnsi"/>
        </w:rPr>
        <w:t xml:space="preserve"> high risk (secondary </w:t>
      </w:r>
      <w:r w:rsidR="00356640" w:rsidRPr="00E631B0">
        <w:rPr>
          <w:rFonts w:asciiTheme="minorHAnsi" w:hAnsiTheme="minorHAnsi"/>
        </w:rPr>
        <w:t>prevention</w:t>
      </w:r>
      <w:r w:rsidRPr="00E631B0">
        <w:rPr>
          <w:rFonts w:asciiTheme="minorHAnsi" w:hAnsiTheme="minorHAnsi"/>
        </w:rPr>
        <w:t>)</w:t>
      </w:r>
      <w:r w:rsidR="00356640" w:rsidRPr="00E631B0">
        <w:rPr>
          <w:rFonts w:asciiTheme="minorHAnsi" w:hAnsiTheme="minorHAnsi"/>
        </w:rPr>
        <w:t xml:space="preserve"> population</w:t>
      </w:r>
      <w:r w:rsidRPr="00E631B0">
        <w:rPr>
          <w:rFonts w:asciiTheme="minorHAnsi" w:hAnsiTheme="minorHAnsi"/>
        </w:rPr>
        <w:t xml:space="preserve"> so </w:t>
      </w:r>
      <w:r w:rsidR="00257E45" w:rsidRPr="00E631B0">
        <w:rPr>
          <w:rFonts w:asciiTheme="minorHAnsi" w:hAnsiTheme="minorHAnsi"/>
        </w:rPr>
        <w:t xml:space="preserve">that </w:t>
      </w:r>
      <w:r w:rsidRPr="00E631B0">
        <w:rPr>
          <w:rFonts w:asciiTheme="minorHAnsi" w:hAnsiTheme="minorHAnsi"/>
        </w:rPr>
        <w:t xml:space="preserve">the </w:t>
      </w:r>
      <w:r w:rsidR="00356640" w:rsidRPr="00E631B0">
        <w:rPr>
          <w:rFonts w:asciiTheme="minorHAnsi" w:hAnsiTheme="minorHAnsi"/>
        </w:rPr>
        <w:t xml:space="preserve">issue of </w:t>
      </w:r>
      <w:r w:rsidRPr="00E631B0">
        <w:rPr>
          <w:rFonts w:asciiTheme="minorHAnsi" w:hAnsiTheme="minorHAnsi"/>
        </w:rPr>
        <w:t xml:space="preserve">applicability to the PBS population with </w:t>
      </w:r>
      <w:r w:rsidR="00356640" w:rsidRPr="00E631B0">
        <w:rPr>
          <w:rFonts w:asciiTheme="minorHAnsi" w:hAnsiTheme="minorHAnsi"/>
        </w:rPr>
        <w:t xml:space="preserve">a </w:t>
      </w:r>
      <w:r w:rsidRPr="00E631B0">
        <w:rPr>
          <w:rFonts w:asciiTheme="minorHAnsi" w:hAnsiTheme="minorHAnsi"/>
        </w:rPr>
        <w:t xml:space="preserve">low risk of </w:t>
      </w:r>
      <w:r w:rsidR="00356640" w:rsidRPr="00E631B0">
        <w:rPr>
          <w:rFonts w:asciiTheme="minorHAnsi" w:hAnsiTheme="minorHAnsi"/>
        </w:rPr>
        <w:t xml:space="preserve">CV </w:t>
      </w:r>
      <w:r w:rsidRPr="00E631B0">
        <w:rPr>
          <w:rFonts w:asciiTheme="minorHAnsi" w:hAnsiTheme="minorHAnsi"/>
        </w:rPr>
        <w:t xml:space="preserve">disease remains without adequate evidence in terms of the extent of benefit from adding </w:t>
      </w:r>
      <w:r w:rsidR="00C05E80" w:rsidRPr="00E631B0">
        <w:rPr>
          <w:rFonts w:asciiTheme="minorHAnsi" w:hAnsiTheme="minorHAnsi"/>
        </w:rPr>
        <w:t>ezetimibe</w:t>
      </w:r>
    </w:p>
    <w:p w14:paraId="679E56BD" w14:textId="3F15FC35" w:rsidR="0000686B" w:rsidRPr="00E631B0" w:rsidRDefault="0000686B" w:rsidP="005E0F22">
      <w:pPr>
        <w:pStyle w:val="ListParagraph"/>
        <w:numPr>
          <w:ilvl w:val="1"/>
          <w:numId w:val="24"/>
        </w:numPr>
        <w:ind w:left="851" w:hanging="425"/>
        <w:jc w:val="left"/>
        <w:rPr>
          <w:rFonts w:asciiTheme="minorHAnsi" w:hAnsiTheme="minorHAnsi"/>
        </w:rPr>
      </w:pPr>
      <w:r w:rsidRPr="00E631B0">
        <w:rPr>
          <w:rFonts w:asciiTheme="minorHAnsi" w:hAnsiTheme="minorHAnsi"/>
        </w:rPr>
        <w:t xml:space="preserve">there was no gain in mortality in populations with high risk of </w:t>
      </w:r>
      <w:r w:rsidR="00356640" w:rsidRPr="00E631B0">
        <w:rPr>
          <w:rFonts w:asciiTheme="minorHAnsi" w:hAnsiTheme="minorHAnsi"/>
        </w:rPr>
        <w:t xml:space="preserve">CV </w:t>
      </w:r>
      <w:r w:rsidRPr="00E631B0">
        <w:rPr>
          <w:rFonts w:asciiTheme="minorHAnsi" w:hAnsiTheme="minorHAnsi"/>
        </w:rPr>
        <w:t>events</w:t>
      </w:r>
      <w:r w:rsidR="00356640" w:rsidRPr="00E631B0">
        <w:rPr>
          <w:rFonts w:asciiTheme="minorHAnsi" w:hAnsiTheme="minorHAnsi"/>
        </w:rPr>
        <w:t>.</w:t>
      </w:r>
    </w:p>
    <w:p w14:paraId="40728BC5" w14:textId="77777777" w:rsidR="0000686B" w:rsidRPr="00E631B0" w:rsidRDefault="0000686B" w:rsidP="005E0F22">
      <w:pPr>
        <w:pStyle w:val="ListParagraph"/>
        <w:numPr>
          <w:ilvl w:val="0"/>
          <w:numId w:val="24"/>
        </w:numPr>
        <w:ind w:left="426" w:hanging="426"/>
        <w:jc w:val="left"/>
        <w:rPr>
          <w:rFonts w:asciiTheme="minorHAnsi" w:hAnsiTheme="minorHAnsi"/>
        </w:rPr>
      </w:pPr>
      <w:r w:rsidRPr="00E631B0">
        <w:rPr>
          <w:rFonts w:asciiTheme="minorHAnsi" w:hAnsiTheme="minorHAnsi"/>
        </w:rPr>
        <w:t>Additional clinical comments from stakeholders were:</w:t>
      </w:r>
    </w:p>
    <w:p w14:paraId="0568C8C1" w14:textId="64C976FC" w:rsidR="0000686B" w:rsidRPr="00E631B0" w:rsidRDefault="00356640" w:rsidP="005E0F22">
      <w:pPr>
        <w:pStyle w:val="ListParagraph"/>
        <w:numPr>
          <w:ilvl w:val="1"/>
          <w:numId w:val="24"/>
        </w:numPr>
        <w:ind w:left="851" w:hanging="425"/>
        <w:jc w:val="left"/>
        <w:rPr>
          <w:rFonts w:asciiTheme="minorHAnsi" w:hAnsiTheme="minorHAnsi"/>
        </w:rPr>
      </w:pPr>
      <w:r w:rsidRPr="00E631B0">
        <w:rPr>
          <w:rFonts w:asciiTheme="minorHAnsi" w:hAnsiTheme="minorHAnsi"/>
        </w:rPr>
        <w:t>T</w:t>
      </w:r>
      <w:r w:rsidR="0000686B" w:rsidRPr="00E631B0">
        <w:rPr>
          <w:rFonts w:asciiTheme="minorHAnsi" w:hAnsiTheme="minorHAnsi"/>
        </w:rPr>
        <w:t xml:space="preserve">he response of patients to ezetimibe has been found to be subject to high levels of individual variation, possibly associated with </w:t>
      </w:r>
      <w:r w:rsidRPr="00E631B0">
        <w:rPr>
          <w:rFonts w:asciiTheme="minorHAnsi" w:hAnsiTheme="minorHAnsi"/>
        </w:rPr>
        <w:t xml:space="preserve">pharmacodynamic </w:t>
      </w:r>
      <w:r w:rsidR="0000686B" w:rsidRPr="00E631B0">
        <w:rPr>
          <w:rFonts w:asciiTheme="minorHAnsi" w:hAnsiTheme="minorHAnsi"/>
        </w:rPr>
        <w:t>factors.</w:t>
      </w:r>
    </w:p>
    <w:p w14:paraId="1FEA52D5" w14:textId="79055F2F" w:rsidR="0000686B" w:rsidRPr="00E631B0" w:rsidRDefault="0000686B" w:rsidP="005E0F22">
      <w:pPr>
        <w:pStyle w:val="ListParagraph"/>
        <w:numPr>
          <w:ilvl w:val="1"/>
          <w:numId w:val="24"/>
        </w:numPr>
        <w:ind w:left="851" w:hanging="425"/>
        <w:jc w:val="left"/>
        <w:rPr>
          <w:rFonts w:asciiTheme="minorHAnsi" w:hAnsiTheme="minorHAnsi"/>
        </w:rPr>
      </w:pPr>
      <w:r w:rsidRPr="00E631B0">
        <w:rPr>
          <w:rFonts w:asciiTheme="minorHAnsi" w:hAnsiTheme="minorHAnsi"/>
        </w:rPr>
        <w:t>One submission commented on the apparently high doses of ezetimibe in the marketed product when the ED50 (median effective dose i.e. dose for 50% of the population to have the specified effect)</w:t>
      </w:r>
      <w:r w:rsidR="00DF0E02" w:rsidRPr="00E631B0">
        <w:rPr>
          <w:rFonts w:asciiTheme="minorHAnsi" w:hAnsiTheme="minorHAnsi"/>
        </w:rPr>
        <w:t xml:space="preserve"> has never been shown to reduce mortality. </w:t>
      </w:r>
      <w:r w:rsidRPr="00E631B0">
        <w:rPr>
          <w:rFonts w:asciiTheme="minorHAnsi" w:hAnsiTheme="minorHAnsi"/>
          <w:i/>
        </w:rPr>
        <w:t>The Review notes that this is a regulatory issue and out of scope of this Review</w:t>
      </w:r>
      <w:r w:rsidRPr="00E631B0">
        <w:rPr>
          <w:rFonts w:asciiTheme="minorHAnsi" w:hAnsiTheme="minorHAnsi"/>
        </w:rPr>
        <w:t>.</w:t>
      </w:r>
    </w:p>
    <w:p w14:paraId="7B786A20" w14:textId="1FE6911E" w:rsidR="0000686B" w:rsidRPr="00E631B0" w:rsidRDefault="0000686B" w:rsidP="005E0F22">
      <w:pPr>
        <w:pStyle w:val="ListParagraph"/>
        <w:numPr>
          <w:ilvl w:val="1"/>
          <w:numId w:val="24"/>
        </w:numPr>
        <w:ind w:left="851" w:hanging="425"/>
        <w:jc w:val="left"/>
        <w:rPr>
          <w:rFonts w:asciiTheme="minorHAnsi" w:hAnsiTheme="minorHAnsi"/>
        </w:rPr>
      </w:pPr>
      <w:r w:rsidRPr="00E631B0">
        <w:rPr>
          <w:rFonts w:asciiTheme="minorHAnsi" w:hAnsiTheme="minorHAnsi"/>
        </w:rPr>
        <w:t xml:space="preserve">The future availability of PCSK 9 inhibitors will provide a major stimulus to effective treatments to reduce </w:t>
      </w:r>
      <w:r w:rsidR="00356640" w:rsidRPr="00E631B0">
        <w:rPr>
          <w:rFonts w:asciiTheme="minorHAnsi" w:hAnsiTheme="minorHAnsi"/>
        </w:rPr>
        <w:t xml:space="preserve">CV </w:t>
      </w:r>
      <w:r w:rsidRPr="00E631B0">
        <w:rPr>
          <w:rFonts w:asciiTheme="minorHAnsi" w:hAnsiTheme="minorHAnsi"/>
        </w:rPr>
        <w:t>events.</w:t>
      </w:r>
    </w:p>
    <w:p w14:paraId="558C4908" w14:textId="77777777" w:rsidR="0000686B" w:rsidRPr="00E631B0" w:rsidRDefault="0000686B" w:rsidP="005E0F22">
      <w:pPr>
        <w:pStyle w:val="ListParagraph"/>
        <w:numPr>
          <w:ilvl w:val="0"/>
          <w:numId w:val="24"/>
        </w:numPr>
        <w:ind w:left="426" w:hanging="426"/>
        <w:jc w:val="left"/>
        <w:rPr>
          <w:rFonts w:asciiTheme="minorHAnsi" w:hAnsiTheme="minorHAnsi"/>
        </w:rPr>
      </w:pPr>
      <w:r w:rsidRPr="00E631B0">
        <w:rPr>
          <w:rFonts w:asciiTheme="minorHAnsi" w:hAnsiTheme="minorHAnsi"/>
        </w:rPr>
        <w:t xml:space="preserve">A 2016 New England Journal of Medicine data report from the Framingham study reported that maintaining low blood pressure and LDL-C decreased the risk of developing dementia. </w:t>
      </w:r>
    </w:p>
    <w:p w14:paraId="01DA980B" w14:textId="77777777" w:rsidR="0000686B" w:rsidRPr="00E631B0" w:rsidRDefault="0000686B" w:rsidP="005E0F22">
      <w:pPr>
        <w:pStyle w:val="ListParagraph"/>
        <w:numPr>
          <w:ilvl w:val="0"/>
          <w:numId w:val="24"/>
        </w:numPr>
        <w:ind w:left="426" w:hanging="426"/>
        <w:jc w:val="left"/>
        <w:rPr>
          <w:rFonts w:asciiTheme="minorHAnsi" w:hAnsiTheme="minorHAnsi"/>
        </w:rPr>
      </w:pPr>
      <w:r w:rsidRPr="00E631B0">
        <w:rPr>
          <w:rFonts w:asciiTheme="minorHAnsi" w:hAnsiTheme="minorHAnsi"/>
        </w:rPr>
        <w:t>Cost-effectiveness of ezetimibe:</w:t>
      </w:r>
    </w:p>
    <w:p w14:paraId="3A079332" w14:textId="77777777" w:rsidR="0000686B" w:rsidRPr="00E631B0" w:rsidRDefault="0000686B" w:rsidP="005E0F22">
      <w:pPr>
        <w:pStyle w:val="ListParagraph"/>
        <w:numPr>
          <w:ilvl w:val="1"/>
          <w:numId w:val="24"/>
        </w:numPr>
        <w:ind w:left="851" w:hanging="425"/>
        <w:jc w:val="left"/>
        <w:rPr>
          <w:rFonts w:asciiTheme="minorHAnsi" w:hAnsiTheme="minorHAnsi"/>
        </w:rPr>
      </w:pPr>
      <w:r w:rsidRPr="00E631B0">
        <w:rPr>
          <w:rFonts w:asciiTheme="minorHAnsi" w:hAnsiTheme="minorHAnsi"/>
        </w:rPr>
        <w:t>One submission considered that the evidence presented did not provide a basis for a review of cost-effectiveness.</w:t>
      </w:r>
    </w:p>
    <w:p w14:paraId="4FA6BDA8" w14:textId="4F3AB87A" w:rsidR="0000686B" w:rsidRPr="00E631B0" w:rsidRDefault="0000686B" w:rsidP="00E31653">
      <w:pPr>
        <w:pStyle w:val="ListParagraph"/>
        <w:numPr>
          <w:ilvl w:val="1"/>
          <w:numId w:val="24"/>
        </w:numPr>
        <w:ind w:left="851" w:hanging="425"/>
        <w:jc w:val="left"/>
        <w:rPr>
          <w:rFonts w:asciiTheme="minorHAnsi" w:hAnsiTheme="minorHAnsi"/>
        </w:rPr>
      </w:pPr>
      <w:r w:rsidRPr="00E631B0">
        <w:rPr>
          <w:rFonts w:asciiTheme="minorHAnsi" w:hAnsiTheme="minorHAnsi"/>
        </w:rPr>
        <w:t xml:space="preserve">Three submissions were concerned about the addition of a second comparator in considering cost-effectiveness of ezetimibe in this </w:t>
      </w:r>
      <w:r w:rsidR="00356640" w:rsidRPr="00E631B0">
        <w:rPr>
          <w:rFonts w:asciiTheme="minorHAnsi" w:hAnsiTheme="minorHAnsi"/>
        </w:rPr>
        <w:t>R</w:t>
      </w:r>
      <w:r w:rsidRPr="00E631B0">
        <w:rPr>
          <w:rFonts w:asciiTheme="minorHAnsi" w:hAnsiTheme="minorHAnsi"/>
        </w:rPr>
        <w:t xml:space="preserve">eview. </w:t>
      </w:r>
      <w:r w:rsidRPr="00E631B0">
        <w:rPr>
          <w:rFonts w:asciiTheme="minorHAnsi" w:hAnsiTheme="minorHAnsi"/>
        </w:rPr>
        <w:lastRenderedPageBreak/>
        <w:t>The second comparator, higher doses of statin, was felt to be inconsistent with the position of ezetimibe as a second</w:t>
      </w:r>
      <w:r w:rsidR="00356640" w:rsidRPr="00E631B0">
        <w:rPr>
          <w:rFonts w:asciiTheme="minorHAnsi" w:hAnsiTheme="minorHAnsi"/>
        </w:rPr>
        <w:t xml:space="preserve"> </w:t>
      </w:r>
      <w:r w:rsidRPr="00E631B0">
        <w:rPr>
          <w:rFonts w:asciiTheme="minorHAnsi" w:hAnsiTheme="minorHAnsi"/>
        </w:rPr>
        <w:t xml:space="preserve">line agent. These submissions noted that the PBAC </w:t>
      </w:r>
      <w:r w:rsidR="00356640" w:rsidRPr="00E631B0">
        <w:rPr>
          <w:rFonts w:asciiTheme="minorHAnsi" w:hAnsiTheme="minorHAnsi"/>
        </w:rPr>
        <w:t xml:space="preserve">did </w:t>
      </w:r>
      <w:r w:rsidRPr="00E631B0">
        <w:rPr>
          <w:rFonts w:asciiTheme="minorHAnsi" w:hAnsiTheme="minorHAnsi"/>
        </w:rPr>
        <w:t>not considered higher dose statins as a comparator when considering ezet</w:t>
      </w:r>
      <w:r w:rsidR="00C05E80" w:rsidRPr="00E631B0">
        <w:rPr>
          <w:rFonts w:asciiTheme="minorHAnsi" w:hAnsiTheme="minorHAnsi"/>
        </w:rPr>
        <w:t>i</w:t>
      </w:r>
      <w:r w:rsidRPr="00E631B0">
        <w:rPr>
          <w:rFonts w:asciiTheme="minorHAnsi" w:hAnsiTheme="minorHAnsi"/>
        </w:rPr>
        <w:t>mibe for listing on the PBS.</w:t>
      </w:r>
    </w:p>
    <w:p w14:paraId="4AC6B45E" w14:textId="40C85155" w:rsidR="0000686B" w:rsidRPr="00E631B0" w:rsidRDefault="0000686B" w:rsidP="00E31653">
      <w:pPr>
        <w:pStyle w:val="ListParagraph"/>
        <w:numPr>
          <w:ilvl w:val="1"/>
          <w:numId w:val="24"/>
        </w:numPr>
        <w:ind w:left="851" w:hanging="425"/>
        <w:jc w:val="left"/>
        <w:rPr>
          <w:rFonts w:asciiTheme="minorHAnsi" w:hAnsiTheme="minorHAnsi"/>
        </w:rPr>
      </w:pPr>
      <w:r w:rsidRPr="00E631B0">
        <w:rPr>
          <w:rFonts w:asciiTheme="minorHAnsi" w:hAnsiTheme="minorHAnsi"/>
        </w:rPr>
        <w:t xml:space="preserve">The main concern about the model was in regard to the duration of the model. Submissions were concerned that a lifetime duration was consistent with the current statements for chronic diseases in the </w:t>
      </w:r>
      <w:r w:rsidRPr="00E631B0">
        <w:rPr>
          <w:rFonts w:asciiTheme="minorHAnsi" w:hAnsiTheme="minorHAnsi"/>
          <w:i/>
        </w:rPr>
        <w:t xml:space="preserve">Guidelines for </w:t>
      </w:r>
      <w:r w:rsidR="00E81405" w:rsidRPr="00E631B0">
        <w:rPr>
          <w:rFonts w:asciiTheme="minorHAnsi" w:hAnsiTheme="minorHAnsi"/>
          <w:i/>
        </w:rPr>
        <w:t xml:space="preserve">preparing a </w:t>
      </w:r>
      <w:r w:rsidRPr="00E631B0">
        <w:rPr>
          <w:rFonts w:asciiTheme="minorHAnsi" w:hAnsiTheme="minorHAnsi"/>
          <w:i/>
        </w:rPr>
        <w:t>su</w:t>
      </w:r>
      <w:r w:rsidR="00C05E80" w:rsidRPr="00E631B0">
        <w:rPr>
          <w:rFonts w:asciiTheme="minorHAnsi" w:hAnsiTheme="minorHAnsi"/>
          <w:i/>
        </w:rPr>
        <w:t>b</w:t>
      </w:r>
      <w:r w:rsidRPr="00E631B0">
        <w:rPr>
          <w:rFonts w:asciiTheme="minorHAnsi" w:hAnsiTheme="minorHAnsi"/>
          <w:i/>
        </w:rPr>
        <w:t>mission to</w:t>
      </w:r>
      <w:r w:rsidR="00E81405" w:rsidRPr="00E631B0">
        <w:rPr>
          <w:rFonts w:asciiTheme="minorHAnsi" w:hAnsiTheme="minorHAnsi"/>
          <w:i/>
        </w:rPr>
        <w:t xml:space="preserve"> the Pharmaceutical Benefits Advisory Committee</w:t>
      </w:r>
      <w:r w:rsidRPr="00E631B0">
        <w:rPr>
          <w:rFonts w:asciiTheme="minorHAnsi" w:hAnsiTheme="minorHAnsi"/>
        </w:rPr>
        <w:t xml:space="preserve">. </w:t>
      </w:r>
    </w:p>
    <w:p w14:paraId="440247ED" w14:textId="227E0264" w:rsidR="00D06167" w:rsidRPr="00E631B0" w:rsidRDefault="0000686B" w:rsidP="00E31653">
      <w:pPr>
        <w:pStyle w:val="ListParagraph"/>
        <w:numPr>
          <w:ilvl w:val="0"/>
          <w:numId w:val="24"/>
        </w:numPr>
        <w:ind w:left="426" w:hanging="426"/>
        <w:jc w:val="left"/>
        <w:rPr>
          <w:rFonts w:asciiTheme="minorHAnsi" w:hAnsiTheme="minorHAnsi"/>
        </w:rPr>
      </w:pPr>
      <w:r w:rsidRPr="00E631B0">
        <w:rPr>
          <w:rFonts w:asciiTheme="minorHAnsi" w:hAnsiTheme="minorHAnsi"/>
        </w:rPr>
        <w:t xml:space="preserve">Additional commercial-in-confidence technical comments on the model in the MSD submission were provided to </w:t>
      </w:r>
      <w:r w:rsidR="00E81405" w:rsidRPr="00E631B0">
        <w:rPr>
          <w:rFonts w:asciiTheme="minorHAnsi" w:hAnsiTheme="minorHAnsi"/>
        </w:rPr>
        <w:t xml:space="preserve">ESC </w:t>
      </w:r>
      <w:r w:rsidRPr="00E631B0">
        <w:rPr>
          <w:rFonts w:asciiTheme="minorHAnsi" w:hAnsiTheme="minorHAnsi"/>
        </w:rPr>
        <w:t>and</w:t>
      </w:r>
      <w:r w:rsidR="00E81405" w:rsidRPr="00E631B0">
        <w:rPr>
          <w:rFonts w:asciiTheme="minorHAnsi" w:hAnsiTheme="minorHAnsi"/>
        </w:rPr>
        <w:t xml:space="preserve"> DUSC</w:t>
      </w:r>
      <w:r w:rsidRPr="00E631B0">
        <w:rPr>
          <w:rFonts w:asciiTheme="minorHAnsi" w:hAnsiTheme="minorHAnsi"/>
        </w:rPr>
        <w:t xml:space="preserve">. </w:t>
      </w:r>
    </w:p>
    <w:p w14:paraId="268E1768" w14:textId="77777777" w:rsidR="00D06167" w:rsidRPr="00E631B0" w:rsidRDefault="00D06167" w:rsidP="005A2287">
      <w:pPr>
        <w:spacing w:after="0" w:line="240" w:lineRule="auto"/>
        <w:rPr>
          <w:rFonts w:asciiTheme="minorHAnsi" w:hAnsiTheme="minorHAnsi"/>
          <w:highlight w:val="yellow"/>
        </w:rPr>
      </w:pPr>
      <w:r w:rsidRPr="00E631B0">
        <w:rPr>
          <w:rFonts w:asciiTheme="minorHAnsi" w:hAnsiTheme="minorHAnsi"/>
          <w:highlight w:val="yellow"/>
        </w:rPr>
        <w:br w:type="page"/>
      </w:r>
    </w:p>
    <w:p w14:paraId="3424AF1F" w14:textId="77777777" w:rsidR="0000686B" w:rsidRPr="00441776" w:rsidRDefault="0000686B" w:rsidP="005A2287">
      <w:pPr>
        <w:pStyle w:val="ListParagraph"/>
        <w:rPr>
          <w:rFonts w:asciiTheme="minorHAnsi" w:hAnsiTheme="minorHAnsi"/>
          <w:highlight w:val="yellow"/>
        </w:rPr>
      </w:pPr>
    </w:p>
    <w:p w14:paraId="19A0F040" w14:textId="77777777" w:rsidR="000F1815" w:rsidRDefault="000F1815" w:rsidP="006842B1">
      <w:pPr>
        <w:pStyle w:val="Heading1"/>
      </w:pPr>
      <w:bookmarkStart w:id="101" w:name="_Toc500510257"/>
      <w:bookmarkEnd w:id="88"/>
      <w:r>
        <w:t>List of Appendices</w:t>
      </w:r>
      <w:bookmarkEnd w:id="101"/>
    </w:p>
    <w:p w14:paraId="669596B8" w14:textId="77777777" w:rsidR="003E1D8D" w:rsidRDefault="003E1D8D" w:rsidP="00ED5B37">
      <w:pPr>
        <w:spacing w:after="0"/>
      </w:pPr>
    </w:p>
    <w:p w14:paraId="08C7A0B4" w14:textId="6F69780B" w:rsidR="000F1815" w:rsidRPr="00C04AD2" w:rsidRDefault="007C496D" w:rsidP="00ED5B37">
      <w:pPr>
        <w:pStyle w:val="Heading2"/>
        <w:spacing w:before="0" w:after="0"/>
      </w:pPr>
      <w:bookmarkStart w:id="102" w:name="_Toc500510258"/>
      <w:r w:rsidRPr="00926C2A">
        <w:t xml:space="preserve">Appendix A </w:t>
      </w:r>
      <w:r w:rsidR="00221FBE" w:rsidRPr="00926C2A">
        <w:t>–</w:t>
      </w:r>
      <w:r w:rsidRPr="00926C2A">
        <w:t xml:space="preserve"> </w:t>
      </w:r>
      <w:r w:rsidR="00B817F7">
        <w:t>History of PBS l</w:t>
      </w:r>
      <w:r w:rsidR="00221FBE" w:rsidRPr="00926C2A">
        <w:t>istings</w:t>
      </w:r>
      <w:bookmarkEnd w:id="102"/>
    </w:p>
    <w:p w14:paraId="207C8B68" w14:textId="77777777" w:rsidR="000F1815" w:rsidRPr="00FF43FB" w:rsidRDefault="000F1815" w:rsidP="00ED5B37">
      <w:pPr>
        <w:spacing w:after="0"/>
      </w:pPr>
    </w:p>
    <w:p w14:paraId="6D6CD2A2" w14:textId="6F243EAF" w:rsidR="000F1815" w:rsidRPr="00C04AD2" w:rsidRDefault="007C496D" w:rsidP="00ED5B37">
      <w:pPr>
        <w:pStyle w:val="Heading2"/>
        <w:spacing w:before="0" w:after="0"/>
      </w:pPr>
      <w:bookmarkStart w:id="103" w:name="_Toc500510259"/>
      <w:r w:rsidRPr="00926C2A">
        <w:t xml:space="preserve">Appendix B </w:t>
      </w:r>
      <w:r w:rsidR="00221FBE" w:rsidRPr="00926C2A">
        <w:t>–</w:t>
      </w:r>
      <w:r w:rsidRPr="00926C2A">
        <w:t xml:space="preserve"> </w:t>
      </w:r>
      <w:r w:rsidR="00B817F7">
        <w:t>PBS ezetimibe r</w:t>
      </w:r>
      <w:r w:rsidR="00221FBE" w:rsidRPr="00926C2A">
        <w:t>estrictions</w:t>
      </w:r>
      <w:bookmarkEnd w:id="103"/>
    </w:p>
    <w:p w14:paraId="144D72A0" w14:textId="77777777" w:rsidR="000F1815" w:rsidRDefault="000F1815" w:rsidP="00ED5B37">
      <w:pPr>
        <w:spacing w:after="0"/>
      </w:pPr>
    </w:p>
    <w:p w14:paraId="02D9885E" w14:textId="11043383" w:rsidR="000F1815" w:rsidRPr="00C04AD2" w:rsidRDefault="007C496D" w:rsidP="00ED5B37">
      <w:pPr>
        <w:pStyle w:val="Heading2"/>
        <w:spacing w:before="0" w:after="0"/>
      </w:pPr>
      <w:bookmarkStart w:id="104" w:name="_Toc500510260"/>
      <w:r w:rsidRPr="00926C2A">
        <w:t xml:space="preserve">Appendix C </w:t>
      </w:r>
      <w:r w:rsidR="00221FBE" w:rsidRPr="00926C2A">
        <w:t>–</w:t>
      </w:r>
      <w:r w:rsidRPr="00926C2A">
        <w:t xml:space="preserve"> </w:t>
      </w:r>
      <w:r w:rsidR="00221FBE" w:rsidRPr="00926C2A">
        <w:t xml:space="preserve">Key </w:t>
      </w:r>
      <w:r w:rsidR="00B817F7">
        <w:t>d</w:t>
      </w:r>
      <w:r w:rsidR="00221FBE" w:rsidRPr="00926C2A">
        <w:t>ates</w:t>
      </w:r>
      <w:bookmarkEnd w:id="104"/>
    </w:p>
    <w:p w14:paraId="11A4B3BD" w14:textId="77777777" w:rsidR="000F1815" w:rsidRPr="00FF43FB" w:rsidRDefault="000F1815" w:rsidP="00ED5B37">
      <w:pPr>
        <w:spacing w:after="0"/>
      </w:pPr>
    </w:p>
    <w:p w14:paraId="6E5126D5" w14:textId="7B1D565E" w:rsidR="000F1815" w:rsidRPr="00C04AD2" w:rsidRDefault="00B817F7" w:rsidP="00ED5B37">
      <w:pPr>
        <w:pStyle w:val="Heading2"/>
        <w:spacing w:before="0" w:after="0"/>
      </w:pPr>
      <w:bookmarkStart w:id="105" w:name="_Toc500510261"/>
      <w:r>
        <w:t>Appendix D – Reference Group m</w:t>
      </w:r>
      <w:r w:rsidR="00BC24F7" w:rsidRPr="00926C2A">
        <w:t>embership</w:t>
      </w:r>
      <w:bookmarkEnd w:id="105"/>
    </w:p>
    <w:p w14:paraId="51A28429" w14:textId="77777777" w:rsidR="000F1815" w:rsidRPr="00FF43FB" w:rsidRDefault="000F1815" w:rsidP="00ED5B37">
      <w:pPr>
        <w:spacing w:after="0"/>
      </w:pPr>
    </w:p>
    <w:p w14:paraId="3A4BAB6C" w14:textId="141BF6EF" w:rsidR="000F1815" w:rsidRPr="00C04AD2" w:rsidRDefault="00BC24F7" w:rsidP="00ED5B37">
      <w:pPr>
        <w:pStyle w:val="Heading2"/>
        <w:spacing w:before="0" w:after="0"/>
      </w:pPr>
      <w:bookmarkStart w:id="106" w:name="_Toc500510262"/>
      <w:r w:rsidRPr="00926C2A">
        <w:t>Appen</w:t>
      </w:r>
      <w:r w:rsidR="00B817F7">
        <w:t>dix E – Analysis of Utilisation Data</w:t>
      </w:r>
      <w:bookmarkEnd w:id="106"/>
    </w:p>
    <w:p w14:paraId="10BFA89A" w14:textId="77777777" w:rsidR="000F1815" w:rsidRPr="00FF43FB" w:rsidRDefault="000F1815" w:rsidP="00ED5B37">
      <w:pPr>
        <w:spacing w:after="0"/>
      </w:pPr>
    </w:p>
    <w:p w14:paraId="03FC2A2D" w14:textId="3609A5CF" w:rsidR="000F1815" w:rsidRPr="00C04AD2" w:rsidRDefault="00E30DCB" w:rsidP="00ED5B37">
      <w:pPr>
        <w:pStyle w:val="Heading2"/>
        <w:spacing w:before="0" w:after="0"/>
      </w:pPr>
      <w:bookmarkStart w:id="107" w:name="_Toc500510263"/>
      <w:r w:rsidRPr="00926C2A">
        <w:t xml:space="preserve">Appendix F </w:t>
      </w:r>
      <w:r w:rsidR="00BC24F7" w:rsidRPr="00926C2A">
        <w:t xml:space="preserve">– Stakeholder Forum </w:t>
      </w:r>
      <w:r w:rsidRPr="00926C2A">
        <w:t>Outcome S</w:t>
      </w:r>
      <w:r w:rsidR="0076278B" w:rsidRPr="00926C2A">
        <w:t>tatement</w:t>
      </w:r>
      <w:bookmarkEnd w:id="107"/>
    </w:p>
    <w:p w14:paraId="056D47BA" w14:textId="77777777" w:rsidR="000F1815" w:rsidRPr="00FF43FB" w:rsidRDefault="000F1815" w:rsidP="00ED5B37">
      <w:pPr>
        <w:spacing w:after="0"/>
      </w:pPr>
    </w:p>
    <w:p w14:paraId="38FF5CA8" w14:textId="7DF5D2B6" w:rsidR="000F1815" w:rsidRPr="00843188" w:rsidRDefault="00BC24F7" w:rsidP="00ED5B37">
      <w:pPr>
        <w:pStyle w:val="Heading2"/>
        <w:spacing w:before="0" w:after="0"/>
      </w:pPr>
      <w:bookmarkStart w:id="108" w:name="_Toc500510264"/>
      <w:r w:rsidRPr="00561FE6">
        <w:t xml:space="preserve">Appendix G </w:t>
      </w:r>
      <w:r w:rsidR="004C6F07" w:rsidRPr="00561FE6">
        <w:t>–</w:t>
      </w:r>
      <w:r w:rsidRPr="00520EF8">
        <w:t xml:space="preserve"> </w:t>
      </w:r>
      <w:r w:rsidR="0076278B" w:rsidRPr="00BE2E12">
        <w:t xml:space="preserve">Review of </w:t>
      </w:r>
      <w:r w:rsidR="00B817F7">
        <w:t>clinical g</w:t>
      </w:r>
      <w:r w:rsidR="004C6F07" w:rsidRPr="00BE2E12">
        <w:t>uidelines</w:t>
      </w:r>
      <w:bookmarkEnd w:id="108"/>
    </w:p>
    <w:p w14:paraId="7BEAAEF3" w14:textId="77777777" w:rsidR="000F1815" w:rsidRPr="00E554E9" w:rsidRDefault="000F1815" w:rsidP="00ED5B37">
      <w:pPr>
        <w:spacing w:after="0"/>
      </w:pPr>
    </w:p>
    <w:p w14:paraId="75469FBA" w14:textId="01D45ADB" w:rsidR="000F1815" w:rsidRPr="00C04AD2" w:rsidRDefault="00BC24F7" w:rsidP="00ED5B37">
      <w:pPr>
        <w:pStyle w:val="Heading2"/>
        <w:spacing w:before="0" w:after="0"/>
      </w:pPr>
      <w:bookmarkStart w:id="109" w:name="_Toc500510265"/>
      <w:r w:rsidRPr="00926C2A">
        <w:t xml:space="preserve">Appendix H </w:t>
      </w:r>
      <w:r w:rsidR="004C6F07" w:rsidRPr="00926C2A">
        <w:t>–</w:t>
      </w:r>
      <w:r w:rsidRPr="00926C2A">
        <w:t xml:space="preserve"> </w:t>
      </w:r>
      <w:r w:rsidR="004C6F07" w:rsidRPr="00926C2A">
        <w:t xml:space="preserve">Public </w:t>
      </w:r>
      <w:r w:rsidR="00B817F7">
        <w:t>c</w:t>
      </w:r>
      <w:r w:rsidR="004C6F07" w:rsidRPr="00926C2A">
        <w:t>onsultation</w:t>
      </w:r>
      <w:bookmarkEnd w:id="109"/>
    </w:p>
    <w:p w14:paraId="5744545C" w14:textId="77777777" w:rsidR="000F1815" w:rsidRPr="00FF43FB" w:rsidRDefault="000F1815" w:rsidP="00ED5B37">
      <w:pPr>
        <w:spacing w:after="0"/>
      </w:pPr>
    </w:p>
    <w:p w14:paraId="316AA1BA" w14:textId="22DD7864" w:rsidR="000F1815" w:rsidRPr="00C04AD2" w:rsidRDefault="00BC24F7" w:rsidP="00ED5B37">
      <w:pPr>
        <w:pStyle w:val="Heading2"/>
        <w:spacing w:before="0" w:after="0"/>
      </w:pPr>
      <w:bookmarkStart w:id="110" w:name="_Toc500510266"/>
      <w:r w:rsidRPr="00926C2A">
        <w:t xml:space="preserve">Appendix I </w:t>
      </w:r>
      <w:r w:rsidR="004C6F07" w:rsidRPr="00926C2A">
        <w:t>–</w:t>
      </w:r>
      <w:r w:rsidRPr="00926C2A">
        <w:t xml:space="preserve"> </w:t>
      </w:r>
      <w:r w:rsidR="00E30DCB" w:rsidRPr="00926C2A">
        <w:t>Systematic L</w:t>
      </w:r>
      <w:r w:rsidR="004C6F07" w:rsidRPr="00926C2A">
        <w:t xml:space="preserve">iterature </w:t>
      </w:r>
      <w:r w:rsidR="00E30DCB" w:rsidRPr="00926C2A">
        <w:t>R</w:t>
      </w:r>
      <w:r w:rsidR="004C6F07" w:rsidRPr="00926C2A">
        <w:t>eview</w:t>
      </w:r>
      <w:bookmarkEnd w:id="110"/>
    </w:p>
    <w:p w14:paraId="192F01E4" w14:textId="77777777" w:rsidR="000F1815" w:rsidRDefault="000F1815" w:rsidP="00ED5B37">
      <w:pPr>
        <w:spacing w:after="0"/>
      </w:pPr>
    </w:p>
    <w:p w14:paraId="70DAB9CB" w14:textId="77777777" w:rsidR="004C6F07" w:rsidRPr="00561FE6" w:rsidRDefault="004C6F07" w:rsidP="00ED5B37">
      <w:pPr>
        <w:pStyle w:val="Heading2"/>
        <w:spacing w:before="0" w:after="0"/>
      </w:pPr>
      <w:bookmarkStart w:id="111" w:name="_Toc500510267"/>
      <w:r w:rsidRPr="00C04AD2">
        <w:t xml:space="preserve">Appendix J – </w:t>
      </w:r>
      <w:r w:rsidR="00216B38" w:rsidRPr="00FF43FB">
        <w:t>Modelled Economic Evaluations</w:t>
      </w:r>
      <w:bookmarkEnd w:id="111"/>
    </w:p>
    <w:p w14:paraId="62CB197C" w14:textId="64539C65" w:rsidR="000F1815" w:rsidRPr="0016327B" w:rsidRDefault="005E0F22" w:rsidP="00ED5B37">
      <w:pPr>
        <w:rPr>
          <w:rFonts w:asciiTheme="minorHAnsi" w:hAnsiTheme="minorHAnsi" w:cs="Arial"/>
          <w:b/>
          <w:bCs/>
          <w:iCs/>
          <w:color w:val="365F91" w:themeColor="accent1" w:themeShade="BF"/>
          <w:szCs w:val="24"/>
        </w:rPr>
      </w:pPr>
      <w:r w:rsidRPr="0016327B">
        <w:rPr>
          <w:rFonts w:asciiTheme="minorHAnsi" w:hAnsiTheme="minorHAnsi" w:cs="Arial"/>
          <w:b/>
          <w:bCs/>
          <w:iCs/>
          <w:color w:val="365F91" w:themeColor="accent1" w:themeShade="BF"/>
          <w:szCs w:val="24"/>
        </w:rPr>
        <w:t>(NOT FOR PUBLICATION-contains commercial-in-confidence information)</w:t>
      </w:r>
    </w:p>
    <w:p w14:paraId="1216A5E6" w14:textId="77777777" w:rsidR="008864E8" w:rsidRDefault="008864E8" w:rsidP="00ED5B37">
      <w:r>
        <w:br w:type="page"/>
      </w:r>
    </w:p>
    <w:p w14:paraId="09E7137E" w14:textId="77777777" w:rsidR="008864E8" w:rsidRPr="008864E8" w:rsidRDefault="008864E8" w:rsidP="008864E8"/>
    <w:p w14:paraId="00E37F53" w14:textId="77777777" w:rsidR="00BC24F7" w:rsidRPr="00BC24F7" w:rsidRDefault="004C6F07" w:rsidP="004A06F1">
      <w:pPr>
        <w:pStyle w:val="Heading1"/>
      </w:pPr>
      <w:bookmarkStart w:id="112" w:name="_Toc500510268"/>
      <w:r w:rsidRPr="008810FB">
        <w:t>References</w:t>
      </w:r>
      <w:bookmarkEnd w:id="112"/>
    </w:p>
    <w:sectPr w:rsidR="00BC24F7" w:rsidRPr="00BC24F7" w:rsidSect="00EB691F">
      <w:headerReference w:type="even" r:id="rId30"/>
      <w:headerReference w:type="default" r:id="rId31"/>
      <w:footerReference w:type="even" r:id="rId32"/>
      <w:footerReference w:type="default" r:id="rId33"/>
      <w:headerReference w:type="first" r:id="rId34"/>
      <w:footerReference w:type="first" r:id="rId35"/>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90287" w14:textId="77777777" w:rsidR="003435B0" w:rsidRDefault="003435B0" w:rsidP="0000686B">
      <w:pPr>
        <w:spacing w:after="0" w:line="240" w:lineRule="auto"/>
      </w:pPr>
      <w:r>
        <w:separator/>
      </w:r>
    </w:p>
  </w:endnote>
  <w:endnote w:type="continuationSeparator" w:id="0">
    <w:p w14:paraId="22F67836" w14:textId="77777777" w:rsidR="003435B0" w:rsidRDefault="003435B0" w:rsidP="0000686B">
      <w:pPr>
        <w:spacing w:after="0" w:line="240" w:lineRule="auto"/>
      </w:pPr>
      <w:r>
        <w:continuationSeparator/>
      </w:r>
    </w:p>
  </w:endnote>
  <w:endnote w:type="continuationNotice" w:id="1">
    <w:p w14:paraId="7EEFA6EF" w14:textId="77777777" w:rsidR="003435B0" w:rsidRDefault="003435B0">
      <w:pPr>
        <w:spacing w:after="0" w:line="240" w:lineRule="auto"/>
      </w:pPr>
    </w:p>
  </w:endnote>
  <w:endnote w:id="2">
    <w:p w14:paraId="7EE4F3A4" w14:textId="3F2BA4A9" w:rsidR="006F6651" w:rsidRPr="00E30DCB" w:rsidRDefault="006F6651" w:rsidP="00ED5B37">
      <w:pPr>
        <w:pStyle w:val="EndnoteText"/>
        <w:spacing w:before="120" w:after="120" w:line="0" w:lineRule="atLeas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Thomson PD What to Believe and do about Statin Associated Adverse Effects </w:t>
      </w:r>
      <w:r w:rsidRPr="00E30DCB">
        <w:rPr>
          <w:rFonts w:asciiTheme="minorHAnsi" w:hAnsiTheme="minorHAnsi"/>
          <w:i/>
          <w:sz w:val="18"/>
          <w:szCs w:val="18"/>
        </w:rPr>
        <w:t xml:space="preserve">JAMA </w:t>
      </w:r>
      <w:r w:rsidRPr="00E30DCB">
        <w:rPr>
          <w:rFonts w:asciiTheme="minorHAnsi" w:hAnsiTheme="minorHAnsi"/>
          <w:sz w:val="18"/>
          <w:szCs w:val="18"/>
        </w:rPr>
        <w:t>November 15, 2016 Volume 316, Number 19</w:t>
      </w:r>
      <w:r>
        <w:rPr>
          <w:rFonts w:asciiTheme="minorHAnsi" w:hAnsiTheme="minorHAnsi"/>
          <w:sz w:val="18"/>
          <w:szCs w:val="18"/>
        </w:rPr>
        <w:t>.</w:t>
      </w:r>
    </w:p>
  </w:endnote>
  <w:endnote w:id="3">
    <w:p w14:paraId="3063D486" w14:textId="23A0B3D4" w:rsidR="006F6651" w:rsidRPr="00E30DCB" w:rsidRDefault="006F6651" w:rsidP="00ED5B37">
      <w:pPr>
        <w:spacing w:before="120" w:after="120" w:line="0" w:lineRule="atLeast"/>
        <w:outlineLvl w:val="1"/>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Arial"/>
          <w:sz w:val="18"/>
          <w:szCs w:val="18"/>
        </w:rPr>
        <w:t xml:space="preserve">Cannon CP, Blazing MA, Giugliano RP et al </w:t>
      </w:r>
      <w:r w:rsidRPr="00E30DCB">
        <w:rPr>
          <w:rFonts w:asciiTheme="minorHAnsi" w:hAnsiTheme="minorHAnsi" w:cs="Arial"/>
          <w:bCs/>
          <w:kern w:val="36"/>
          <w:sz w:val="18"/>
          <w:szCs w:val="18"/>
        </w:rPr>
        <w:t xml:space="preserve">Ezetimibe Added to Statin Therapy after Acute Coronary Syndromes </w:t>
      </w:r>
      <w:r w:rsidRPr="00E30DCB">
        <w:rPr>
          <w:rStyle w:val="citation"/>
          <w:rFonts w:asciiTheme="minorHAnsi" w:hAnsiTheme="minorHAnsi" w:cs="Arial"/>
          <w:i/>
          <w:sz w:val="18"/>
          <w:szCs w:val="18"/>
        </w:rPr>
        <w:t>N Engl J Med</w:t>
      </w:r>
      <w:r w:rsidRPr="00E30DCB">
        <w:rPr>
          <w:rStyle w:val="citation"/>
          <w:rFonts w:asciiTheme="minorHAnsi" w:hAnsiTheme="minorHAnsi" w:cs="Arial"/>
          <w:sz w:val="18"/>
          <w:szCs w:val="18"/>
        </w:rPr>
        <w:t xml:space="preserve"> 2015; 372:2387-2397 </w:t>
      </w:r>
      <w:hyperlink r:id="rId1" w:history="1">
        <w:r w:rsidRPr="00E30DCB">
          <w:rPr>
            <w:rStyle w:val="Hyperlink"/>
            <w:rFonts w:asciiTheme="minorHAnsi" w:hAnsiTheme="minorHAnsi" w:cs="Arial"/>
            <w:color w:val="auto"/>
            <w:sz w:val="18"/>
            <w:szCs w:val="18"/>
            <w:u w:val="none"/>
          </w:rPr>
          <w:t>June 18, 2015</w:t>
        </w:r>
      </w:hyperlink>
      <w:r w:rsidRPr="00E30DCB">
        <w:rPr>
          <w:rStyle w:val="Hyperlink"/>
          <w:rFonts w:asciiTheme="minorHAnsi" w:hAnsiTheme="minorHAnsi" w:cs="Arial"/>
          <w:color w:val="auto"/>
          <w:sz w:val="18"/>
          <w:szCs w:val="18"/>
        </w:rPr>
        <w:t xml:space="preserve"> </w:t>
      </w:r>
      <w:r w:rsidRPr="00E30DCB">
        <w:rPr>
          <w:rStyle w:val="doi1"/>
          <w:rFonts w:asciiTheme="minorHAnsi" w:hAnsiTheme="minorHAnsi" w:cs="Arial"/>
          <w:color w:val="auto"/>
          <w:sz w:val="18"/>
          <w:szCs w:val="18"/>
        </w:rPr>
        <w:t>DOI: 10.1056/NEJMoa1410489</w:t>
      </w:r>
      <w:r>
        <w:rPr>
          <w:rStyle w:val="doi1"/>
          <w:rFonts w:asciiTheme="minorHAnsi" w:hAnsiTheme="minorHAnsi" w:cs="Arial"/>
          <w:color w:val="auto"/>
          <w:sz w:val="18"/>
          <w:szCs w:val="18"/>
        </w:rPr>
        <w:t>.</w:t>
      </w:r>
    </w:p>
  </w:endnote>
  <w:endnote w:id="4">
    <w:p w14:paraId="00DCF72B" w14:textId="3346655F" w:rsidR="006F6651" w:rsidRPr="00E30DCB" w:rsidRDefault="006F6651" w:rsidP="00ED5B37">
      <w:pPr>
        <w:pStyle w:val="EndnoteText"/>
        <w:spacing w:before="120" w:after="120" w:line="0" w:lineRule="atLeas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Eisen A, Cannon CP, Blazing MA et al The Benefit of Adding Ezetimibe to Stain Therapy in Patients with Prior Coronary Artery Bypass Graft Surgery and Acute Coronary Syndrome in the IMPROVE-IT Trial. </w:t>
      </w:r>
      <w:r w:rsidRPr="00E30DCB">
        <w:rPr>
          <w:rFonts w:asciiTheme="minorHAnsi" w:hAnsiTheme="minorHAnsi"/>
          <w:i/>
          <w:sz w:val="18"/>
          <w:szCs w:val="18"/>
        </w:rPr>
        <w:t>European Heart J</w:t>
      </w:r>
      <w:r w:rsidRPr="00E30DCB">
        <w:rPr>
          <w:rFonts w:asciiTheme="minorHAnsi" w:hAnsiTheme="minorHAnsi"/>
          <w:sz w:val="18"/>
          <w:szCs w:val="18"/>
        </w:rPr>
        <w:t xml:space="preserve"> (2016)37, 3576-3584</w:t>
      </w:r>
      <w:r>
        <w:rPr>
          <w:rFonts w:asciiTheme="minorHAnsi" w:hAnsiTheme="minorHAnsi"/>
          <w:sz w:val="18"/>
          <w:szCs w:val="18"/>
        </w:rPr>
        <w:t>.</w:t>
      </w:r>
    </w:p>
  </w:endnote>
  <w:endnote w:id="5">
    <w:p w14:paraId="3802E1F9" w14:textId="5AC439ED" w:rsidR="006F6651" w:rsidRPr="00E30DCB" w:rsidRDefault="006F6651" w:rsidP="00ED5B37">
      <w:pPr>
        <w:pStyle w:val="EndnoteText"/>
        <w:spacing w:before="120" w:after="120" w:line="0" w:lineRule="atLeas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Jacoby DS, Rader DJ. Improving Cardiovascular Outcomes by Intensifying Low Density Lipoprotein Lowering Therapy in High Risk Patients </w:t>
      </w:r>
      <w:r w:rsidRPr="00E30DCB">
        <w:rPr>
          <w:rFonts w:asciiTheme="minorHAnsi" w:hAnsiTheme="minorHAnsi"/>
          <w:i/>
          <w:sz w:val="18"/>
          <w:szCs w:val="18"/>
        </w:rPr>
        <w:t>European Heart J</w:t>
      </w:r>
      <w:r w:rsidRPr="00E30DCB">
        <w:rPr>
          <w:rFonts w:asciiTheme="minorHAnsi" w:hAnsiTheme="minorHAnsi"/>
          <w:sz w:val="18"/>
          <w:szCs w:val="18"/>
        </w:rPr>
        <w:t xml:space="preserve"> (2016)37, 3576–3584</w:t>
      </w:r>
      <w:r>
        <w:rPr>
          <w:rFonts w:asciiTheme="minorHAnsi" w:hAnsiTheme="minorHAnsi"/>
          <w:sz w:val="18"/>
          <w:szCs w:val="18"/>
        </w:rPr>
        <w:t>.</w:t>
      </w:r>
    </w:p>
  </w:endnote>
  <w:endnote w:id="6">
    <w:p w14:paraId="61A3CD85" w14:textId="2C22999C" w:rsidR="006F6651" w:rsidRPr="00E30DCB" w:rsidRDefault="006F6651" w:rsidP="00ED5B37">
      <w:pPr>
        <w:spacing w:before="120" w:after="120" w:line="240" w:lineRule="auto"/>
        <w:jc w:val="left"/>
        <w:rPr>
          <w:rFonts w:asciiTheme="minorHAnsi" w:hAnsiTheme="minorHAnsi" w:cs="Arial"/>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Arial"/>
          <w:sz w:val="18"/>
          <w:szCs w:val="18"/>
        </w:rPr>
        <w:t xml:space="preserve">Bohula et al :Atherothrombotic Risk Stratification and Ezetimibe for Secondary Prevention </w:t>
      </w:r>
      <w:r w:rsidRPr="00E30DCB">
        <w:rPr>
          <w:rFonts w:asciiTheme="minorHAnsi" w:hAnsiTheme="minorHAnsi" w:cs="Arial"/>
          <w:i/>
          <w:sz w:val="18"/>
          <w:szCs w:val="18"/>
        </w:rPr>
        <w:t>JACC</w:t>
      </w:r>
      <w:r w:rsidRPr="00E30DCB">
        <w:rPr>
          <w:rFonts w:asciiTheme="minorHAnsi" w:hAnsiTheme="minorHAnsi" w:cs="Arial"/>
          <w:sz w:val="18"/>
          <w:szCs w:val="18"/>
        </w:rPr>
        <w:t xml:space="preserve"> Vol.69,No.8 2017</w:t>
      </w:r>
      <w:r>
        <w:rPr>
          <w:rFonts w:asciiTheme="minorHAnsi" w:hAnsiTheme="minorHAnsi" w:cs="Arial"/>
          <w:sz w:val="18"/>
          <w:szCs w:val="18"/>
        </w:rPr>
        <w:t>.</w:t>
      </w:r>
    </w:p>
  </w:endnote>
  <w:endnote w:id="7">
    <w:p w14:paraId="6410583B" w14:textId="6B2C8F74"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Pr>
          <w:rFonts w:asciiTheme="minorHAnsi" w:hAnsiTheme="minorHAnsi"/>
          <w:sz w:val="18"/>
          <w:szCs w:val="18"/>
        </w:rPr>
        <w:t xml:space="preserve"> Department of Health, </w:t>
      </w:r>
      <w:r w:rsidRPr="00E30DCB">
        <w:rPr>
          <w:rFonts w:asciiTheme="minorHAnsi" w:hAnsiTheme="minorHAnsi"/>
          <w:sz w:val="18"/>
          <w:szCs w:val="18"/>
        </w:rPr>
        <w:t>(2016). Pharmaceutical Benefits Scheme (PBS)</w:t>
      </w:r>
      <w:r>
        <w:rPr>
          <w:rFonts w:asciiTheme="minorHAnsi" w:hAnsiTheme="minorHAnsi"/>
          <w:sz w:val="18"/>
          <w:szCs w:val="18"/>
        </w:rPr>
        <w:t xml:space="preserve"> </w:t>
      </w:r>
      <w:hyperlink r:id="rId2" w:history="1">
        <w:r w:rsidRPr="00541F18">
          <w:rPr>
            <w:rStyle w:val="Hyperlink"/>
            <w:rFonts w:asciiTheme="minorHAnsi" w:hAnsiTheme="minorHAnsi"/>
            <w:sz w:val="18"/>
            <w:szCs w:val="18"/>
          </w:rPr>
          <w:t>GENERAL STATEMENT FOR LIPID-LOWERING DRUGS PRESCRIBED AS PHARMACEUTICAL BENEFITS</w:t>
        </w:r>
      </w:hyperlink>
      <w:r w:rsidRPr="00E30DCB">
        <w:rPr>
          <w:rFonts w:asciiTheme="minorHAnsi" w:hAnsiTheme="minorHAnsi"/>
          <w:sz w:val="18"/>
          <w:szCs w:val="18"/>
        </w:rPr>
        <w:t>. [online] Accessed 9 Dec. 2016.</w:t>
      </w:r>
    </w:p>
  </w:endnote>
  <w:endnote w:id="8">
    <w:p w14:paraId="6215C55E" w14:textId="2FF3EBB0" w:rsidR="006F6651" w:rsidRPr="00E30DCB" w:rsidRDefault="006F6651" w:rsidP="00ED5B37">
      <w:pPr>
        <w:spacing w:before="120" w:after="120" w:line="0" w:lineRule="atLeast"/>
        <w:jc w:val="left"/>
        <w:outlineLvl w:val="1"/>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Arial"/>
          <w:sz w:val="18"/>
          <w:szCs w:val="18"/>
        </w:rPr>
        <w:t xml:space="preserve">Cannon CP, Blazing MA, Giugliano RP et al Ezetimibe Added to Statin Therapy after Acute Coronary Syndromes </w:t>
      </w:r>
      <w:r w:rsidRPr="00E30DCB">
        <w:rPr>
          <w:rFonts w:asciiTheme="minorHAnsi" w:hAnsiTheme="minorHAnsi" w:cs="Arial"/>
          <w:i/>
          <w:sz w:val="18"/>
          <w:szCs w:val="18"/>
        </w:rPr>
        <w:t>N Engl J Med</w:t>
      </w:r>
      <w:r w:rsidRPr="00E30DCB">
        <w:rPr>
          <w:rFonts w:asciiTheme="minorHAnsi" w:hAnsiTheme="minorHAnsi" w:cs="Arial"/>
          <w:sz w:val="18"/>
          <w:szCs w:val="18"/>
        </w:rPr>
        <w:t xml:space="preserve"> 2015; 372:2387-2397 June 18, 2015DOI: 10.1056/NEJMoa1410489</w:t>
      </w:r>
      <w:r>
        <w:rPr>
          <w:rFonts w:asciiTheme="minorHAnsi" w:hAnsiTheme="minorHAnsi" w:cs="Arial"/>
          <w:sz w:val="18"/>
          <w:szCs w:val="18"/>
        </w:rPr>
        <w:t>.</w:t>
      </w:r>
    </w:p>
  </w:endnote>
  <w:endnote w:id="9">
    <w:p w14:paraId="7841A39A" w14:textId="278839EC" w:rsidR="006F6651" w:rsidRPr="00E30DCB" w:rsidRDefault="006F6651" w:rsidP="00ED5B37">
      <w:pPr>
        <w:pStyle w:val="EndnoteText"/>
        <w:spacing w:before="120" w:after="120"/>
        <w:jc w:val="left"/>
        <w:rPr>
          <w:rFonts w:asciiTheme="minorHAnsi" w:hAnsiTheme="minorHAnsi"/>
          <w:sz w:val="18"/>
          <w:szCs w:val="18"/>
        </w:rPr>
      </w:pPr>
      <w:r w:rsidRPr="00AE1E65">
        <w:rPr>
          <w:rStyle w:val="EndnoteReference"/>
          <w:rFonts w:asciiTheme="minorHAnsi" w:hAnsiTheme="minorHAnsi"/>
          <w:sz w:val="18"/>
          <w:vertAlign w:val="baseline"/>
        </w:rPr>
        <w:endnoteRef/>
      </w:r>
      <w:r w:rsidRPr="00E30DCB">
        <w:rPr>
          <w:rFonts w:asciiTheme="minorHAnsi" w:hAnsiTheme="minorHAnsi"/>
          <w:sz w:val="18"/>
          <w:szCs w:val="18"/>
        </w:rPr>
        <w:t xml:space="preserve"> Bohula et al: Atherothrombotic Risk Stratification and Ezetimibe for Secondary Prevention </w:t>
      </w:r>
      <w:r w:rsidRPr="00E30DCB">
        <w:rPr>
          <w:rFonts w:asciiTheme="minorHAnsi" w:hAnsiTheme="minorHAnsi"/>
          <w:i/>
          <w:sz w:val="18"/>
          <w:szCs w:val="18"/>
        </w:rPr>
        <w:t xml:space="preserve">JACC </w:t>
      </w:r>
      <w:r w:rsidRPr="00E30DCB">
        <w:rPr>
          <w:rFonts w:asciiTheme="minorHAnsi" w:hAnsiTheme="minorHAnsi"/>
          <w:sz w:val="18"/>
          <w:szCs w:val="18"/>
        </w:rPr>
        <w:t>Vol.69,No.8 2017.</w:t>
      </w:r>
    </w:p>
  </w:endnote>
  <w:endnote w:id="10">
    <w:p w14:paraId="092E3FD6" w14:textId="3022D20D" w:rsidR="006F6651" w:rsidRPr="00E30DCB" w:rsidRDefault="006F6651" w:rsidP="00ED5B37">
      <w:pPr>
        <w:pStyle w:val="EndnoteText"/>
        <w:spacing w:before="120" w:after="120"/>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Eisen A, Cannon CP, Blazing MA et al The Benefit of Adding Ezetimibe to Stain Therapy in Patients with Prior Coronary Artery Bypass Graft Surgery and Acute Coronary Syndrome in the IMPROVE-IT Trial. </w:t>
      </w:r>
      <w:r w:rsidRPr="00E30DCB">
        <w:rPr>
          <w:rFonts w:asciiTheme="minorHAnsi" w:hAnsiTheme="minorHAnsi"/>
          <w:i/>
          <w:sz w:val="18"/>
          <w:szCs w:val="18"/>
        </w:rPr>
        <w:t>European Heart J</w:t>
      </w:r>
      <w:r w:rsidRPr="00E30DCB">
        <w:rPr>
          <w:rFonts w:asciiTheme="minorHAnsi" w:hAnsiTheme="minorHAnsi"/>
          <w:sz w:val="18"/>
          <w:szCs w:val="18"/>
        </w:rPr>
        <w:t xml:space="preserve"> (2016) 37,3576-3584</w:t>
      </w:r>
      <w:r>
        <w:rPr>
          <w:rFonts w:asciiTheme="minorHAnsi" w:hAnsiTheme="minorHAnsi"/>
          <w:sz w:val="18"/>
          <w:szCs w:val="18"/>
        </w:rPr>
        <w:t>.</w:t>
      </w:r>
    </w:p>
  </w:endnote>
  <w:endnote w:id="11">
    <w:p w14:paraId="4E53B601" w14:textId="42E102DB"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Jacoby DS, Rader DJ. Improving Cardiovascular Outcomes by Intensifying Low Density Lipoprotein Lowering Therapy in High Risk Patients </w:t>
      </w:r>
      <w:r w:rsidRPr="00E30DCB">
        <w:rPr>
          <w:rFonts w:asciiTheme="minorHAnsi" w:hAnsiTheme="minorHAnsi"/>
          <w:i/>
          <w:sz w:val="18"/>
          <w:szCs w:val="18"/>
        </w:rPr>
        <w:t>European Heart J</w:t>
      </w:r>
      <w:r w:rsidRPr="00E30DCB">
        <w:rPr>
          <w:rFonts w:asciiTheme="minorHAnsi" w:hAnsiTheme="minorHAnsi"/>
          <w:sz w:val="18"/>
          <w:szCs w:val="18"/>
        </w:rPr>
        <w:t xml:space="preserve"> (2016)37, 35856-3587</w:t>
      </w:r>
      <w:r>
        <w:rPr>
          <w:rFonts w:asciiTheme="minorHAnsi" w:hAnsiTheme="minorHAnsi"/>
          <w:sz w:val="18"/>
          <w:szCs w:val="18"/>
        </w:rPr>
        <w:t>.</w:t>
      </w:r>
    </w:p>
  </w:endnote>
  <w:endnote w:id="12">
    <w:p w14:paraId="7C7A2637" w14:textId="4D3765FF"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Yang YJ, See SH, Kim BS, Cho YK et al. Combination Therapy of Rosuvastatin and Ezetimibe in Patients with High Cardiovascular Risk. </w:t>
      </w:r>
      <w:r w:rsidRPr="00E30DCB">
        <w:rPr>
          <w:rFonts w:asciiTheme="minorHAnsi" w:hAnsiTheme="minorHAnsi"/>
          <w:i/>
          <w:sz w:val="18"/>
          <w:szCs w:val="18"/>
        </w:rPr>
        <w:t>Clin Ther.</w:t>
      </w:r>
      <w:r w:rsidRPr="00E30DCB">
        <w:rPr>
          <w:rFonts w:asciiTheme="minorHAnsi" w:hAnsiTheme="minorHAnsi"/>
          <w:sz w:val="18"/>
          <w:szCs w:val="18"/>
        </w:rPr>
        <w:t>2016;38:107-117</w:t>
      </w:r>
      <w:r>
        <w:rPr>
          <w:rFonts w:asciiTheme="minorHAnsi" w:hAnsiTheme="minorHAnsi"/>
          <w:sz w:val="18"/>
          <w:szCs w:val="18"/>
        </w:rPr>
        <w:t>.</w:t>
      </w:r>
    </w:p>
  </w:endnote>
  <w:endnote w:id="13">
    <w:p w14:paraId="751914B9" w14:textId="6150CAB1"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w:t>
      </w:r>
      <w:hyperlink r:id="rId3" w:history="1">
        <w:r w:rsidRPr="00541F18">
          <w:rPr>
            <w:rStyle w:val="Hyperlink"/>
            <w:rFonts w:asciiTheme="minorHAnsi" w:hAnsiTheme="minorHAnsi"/>
            <w:sz w:val="18"/>
            <w:szCs w:val="18"/>
          </w:rPr>
          <w:t>Australian Commission on Safety and Quality in Healthcare</w:t>
        </w:r>
      </w:hyperlink>
    </w:p>
  </w:endnote>
  <w:endnote w:id="14">
    <w:p w14:paraId="5E3CEA14" w14:textId="1CA1D3B0"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w:t>
      </w:r>
      <w:r>
        <w:rPr>
          <w:rFonts w:asciiTheme="minorHAnsi" w:hAnsiTheme="minorHAnsi"/>
          <w:sz w:val="18"/>
          <w:szCs w:val="18"/>
        </w:rPr>
        <w:t>Department of Health</w:t>
      </w:r>
      <w:r w:rsidRPr="00E30DCB">
        <w:rPr>
          <w:rFonts w:asciiTheme="minorHAnsi" w:hAnsiTheme="minorHAnsi"/>
          <w:sz w:val="18"/>
          <w:szCs w:val="18"/>
        </w:rPr>
        <w:t xml:space="preserve">, (2016). [online] </w:t>
      </w:r>
      <w:hyperlink r:id="rId4" w:history="1">
        <w:r w:rsidRPr="00541F18">
          <w:rPr>
            <w:rStyle w:val="Hyperlink"/>
            <w:rFonts w:asciiTheme="minorHAnsi" w:hAnsiTheme="minorHAnsi"/>
            <w:sz w:val="18"/>
            <w:szCs w:val="18"/>
          </w:rPr>
          <w:t>PBAC Guidelines for preparing submissions version 5.0</w:t>
        </w:r>
      </w:hyperlink>
      <w:r>
        <w:rPr>
          <w:rFonts w:asciiTheme="minorHAnsi" w:hAnsiTheme="minorHAnsi"/>
          <w:sz w:val="18"/>
          <w:szCs w:val="18"/>
        </w:rPr>
        <w:t>.</w:t>
      </w:r>
      <w:r w:rsidRPr="00E30DCB">
        <w:rPr>
          <w:rFonts w:asciiTheme="minorHAnsi" w:hAnsiTheme="minorHAnsi"/>
          <w:sz w:val="18"/>
          <w:szCs w:val="18"/>
        </w:rPr>
        <w:t xml:space="preserve"> Accessed 1 Nov. 2016.</w:t>
      </w:r>
    </w:p>
  </w:endnote>
  <w:endnote w:id="15">
    <w:p w14:paraId="61ECD841" w14:textId="75C67BB8" w:rsidR="006F6651" w:rsidRPr="00E30DCB" w:rsidRDefault="006F6651" w:rsidP="00ED5B37">
      <w:pPr>
        <w:pStyle w:val="EndnoteText"/>
        <w:spacing w:before="120" w:after="120"/>
        <w:jc w:val="left"/>
        <w:rPr>
          <w:rFonts w:asciiTheme="minorHAnsi" w:hAnsiTheme="minorHAnsi"/>
          <w:sz w:val="18"/>
          <w:szCs w:val="18"/>
        </w:rPr>
      </w:pPr>
      <w:r w:rsidRPr="00E30DCB">
        <w:rPr>
          <w:rFonts w:asciiTheme="minorHAnsi" w:hAnsiTheme="minorHAnsi"/>
          <w:sz w:val="18"/>
          <w:szCs w:val="18"/>
        </w:rPr>
        <w:endnoteRef/>
      </w:r>
      <w:r w:rsidRPr="00E30DCB">
        <w:rPr>
          <w:rFonts w:asciiTheme="minorHAnsi" w:hAnsiTheme="minorHAnsi"/>
          <w:sz w:val="18"/>
          <w:szCs w:val="18"/>
        </w:rPr>
        <w:t xml:space="preserve"> </w:t>
      </w:r>
      <w:r>
        <w:rPr>
          <w:rFonts w:asciiTheme="minorHAnsi" w:hAnsiTheme="minorHAnsi"/>
          <w:sz w:val="18"/>
          <w:szCs w:val="18"/>
        </w:rPr>
        <w:t>Department of Health</w:t>
      </w:r>
      <w:r w:rsidRPr="00E30DCB">
        <w:rPr>
          <w:rFonts w:asciiTheme="minorHAnsi" w:hAnsiTheme="minorHAnsi"/>
          <w:sz w:val="18"/>
          <w:szCs w:val="18"/>
        </w:rPr>
        <w:t xml:space="preserve">, (2016). [online] </w:t>
      </w:r>
      <w:hyperlink r:id="rId5" w:history="1">
        <w:r w:rsidRPr="00541F18">
          <w:rPr>
            <w:rStyle w:val="Hyperlink"/>
            <w:rFonts w:asciiTheme="minorHAnsi" w:hAnsiTheme="minorHAnsi"/>
            <w:sz w:val="18"/>
            <w:szCs w:val="18"/>
          </w:rPr>
          <w:t>Post-market reviews</w:t>
        </w:r>
      </w:hyperlink>
      <w:r>
        <w:rPr>
          <w:rFonts w:asciiTheme="minorHAnsi" w:hAnsiTheme="minorHAnsi"/>
          <w:sz w:val="18"/>
          <w:szCs w:val="18"/>
        </w:rPr>
        <w:t>.</w:t>
      </w:r>
      <w:r w:rsidRPr="00E30DCB">
        <w:rPr>
          <w:rFonts w:asciiTheme="minorHAnsi" w:hAnsiTheme="minorHAnsi"/>
          <w:sz w:val="18"/>
          <w:szCs w:val="18"/>
        </w:rPr>
        <w:t xml:space="preserve"> Accessed 1 Nov. 2016.</w:t>
      </w:r>
    </w:p>
  </w:endnote>
  <w:endnote w:id="16">
    <w:p w14:paraId="56313165" w14:textId="3BFFEC32" w:rsidR="006F6651" w:rsidRPr="00E30DCB" w:rsidRDefault="006F6651" w:rsidP="00ED5B37">
      <w:pPr>
        <w:pStyle w:val="EndnoteText"/>
        <w:spacing w:before="120" w:after="120"/>
        <w:jc w:val="left"/>
        <w:rPr>
          <w:rFonts w:asciiTheme="minorHAnsi" w:hAnsiTheme="minorHAnsi"/>
          <w:sz w:val="18"/>
          <w:szCs w:val="18"/>
        </w:rPr>
      </w:pPr>
      <w:r w:rsidRPr="00E30DCB">
        <w:rPr>
          <w:rFonts w:asciiTheme="minorHAnsi" w:hAnsiTheme="minorHAnsi"/>
          <w:sz w:val="18"/>
          <w:szCs w:val="18"/>
        </w:rPr>
        <w:endnoteRef/>
      </w:r>
      <w:r w:rsidRPr="00E30DCB">
        <w:rPr>
          <w:rFonts w:asciiTheme="minorHAnsi" w:hAnsiTheme="minorHAnsi"/>
          <w:sz w:val="18"/>
          <w:szCs w:val="18"/>
        </w:rPr>
        <w:t xml:space="preserve"> </w:t>
      </w:r>
      <w:r>
        <w:rPr>
          <w:rFonts w:asciiTheme="minorHAnsi" w:hAnsiTheme="minorHAnsi"/>
          <w:sz w:val="18"/>
          <w:szCs w:val="18"/>
        </w:rPr>
        <w:t>Department of Health</w:t>
      </w:r>
      <w:r w:rsidRPr="00E30DCB">
        <w:rPr>
          <w:rFonts w:asciiTheme="minorHAnsi" w:hAnsiTheme="minorHAnsi"/>
          <w:sz w:val="18"/>
          <w:szCs w:val="18"/>
        </w:rPr>
        <w:t xml:space="preserve">. (2016). </w:t>
      </w:r>
      <w:hyperlink r:id="rId6" w:history="1">
        <w:r w:rsidRPr="00ED5B37">
          <w:rPr>
            <w:rStyle w:val="Hyperlink"/>
          </w:rPr>
          <w:t>Pharmaceutical Benefits Scheme (PBS) Home</w:t>
        </w:r>
      </w:hyperlink>
      <w:r w:rsidRPr="00E30DCB">
        <w:rPr>
          <w:rFonts w:asciiTheme="minorHAnsi" w:hAnsiTheme="minorHAnsi"/>
          <w:sz w:val="18"/>
          <w:szCs w:val="18"/>
        </w:rPr>
        <w:t>. [online] Accessed 1 Nov. 2016.</w:t>
      </w:r>
    </w:p>
  </w:endnote>
  <w:endnote w:id="17">
    <w:p w14:paraId="3840CC3B" w14:textId="4CFA4935" w:rsidR="006F6651" w:rsidRPr="00E30DCB" w:rsidRDefault="006F6651" w:rsidP="00ED5B37">
      <w:pPr>
        <w:pStyle w:val="EndnoteText"/>
        <w:spacing w:before="120" w:after="120"/>
        <w:jc w:val="left"/>
        <w:rPr>
          <w:rFonts w:asciiTheme="minorHAnsi" w:hAnsiTheme="minorHAnsi"/>
          <w:sz w:val="18"/>
          <w:szCs w:val="18"/>
        </w:rPr>
      </w:pPr>
      <w:r w:rsidRPr="00E30DCB">
        <w:rPr>
          <w:rFonts w:asciiTheme="minorHAnsi" w:hAnsiTheme="minorHAnsi"/>
          <w:sz w:val="18"/>
          <w:szCs w:val="18"/>
        </w:rPr>
        <w:endnoteRef/>
      </w:r>
      <w:r w:rsidRPr="00E30DCB">
        <w:rPr>
          <w:rFonts w:asciiTheme="minorHAnsi" w:hAnsiTheme="minorHAnsi"/>
          <w:sz w:val="18"/>
          <w:szCs w:val="18"/>
        </w:rPr>
        <w:t xml:space="preserve"> Anon, (2016). [online] </w:t>
      </w:r>
      <w:hyperlink r:id="rId7" w:history="1">
        <w:r w:rsidRPr="00541F18">
          <w:rPr>
            <w:rStyle w:val="Hyperlink"/>
            <w:rFonts w:asciiTheme="minorHAnsi" w:hAnsiTheme="minorHAnsi"/>
            <w:sz w:val="18"/>
            <w:szCs w:val="18"/>
          </w:rPr>
          <w:t>Post-market Review Framework 2015</w:t>
        </w:r>
      </w:hyperlink>
      <w:r>
        <w:rPr>
          <w:rFonts w:asciiTheme="minorHAnsi" w:hAnsiTheme="minorHAnsi"/>
          <w:sz w:val="18"/>
          <w:szCs w:val="18"/>
        </w:rPr>
        <w:t>.</w:t>
      </w:r>
      <w:r w:rsidRPr="00E30DCB">
        <w:rPr>
          <w:rFonts w:asciiTheme="minorHAnsi" w:hAnsiTheme="minorHAnsi"/>
          <w:sz w:val="18"/>
          <w:szCs w:val="18"/>
        </w:rPr>
        <w:t xml:space="preserve"> Accessed 1 Nov. 2016.</w:t>
      </w:r>
    </w:p>
  </w:endnote>
  <w:endnote w:id="18">
    <w:p w14:paraId="28E7B36D" w14:textId="28DD68D0" w:rsidR="006F6651" w:rsidRPr="00E30DCB" w:rsidRDefault="006F6651" w:rsidP="00ED5B37">
      <w:pPr>
        <w:pStyle w:val="EndnoteText"/>
        <w:spacing w:before="120" w:after="120"/>
        <w:jc w:val="left"/>
        <w:rPr>
          <w:rFonts w:asciiTheme="minorHAnsi" w:hAnsiTheme="minorHAnsi"/>
          <w:sz w:val="18"/>
          <w:szCs w:val="18"/>
        </w:rPr>
      </w:pPr>
      <w:r w:rsidRPr="00E30DCB">
        <w:rPr>
          <w:rFonts w:asciiTheme="minorHAnsi" w:hAnsiTheme="minorHAnsi"/>
          <w:sz w:val="18"/>
          <w:szCs w:val="18"/>
        </w:rPr>
        <w:endnoteRef/>
      </w:r>
      <w:r w:rsidRPr="00E30DCB">
        <w:rPr>
          <w:rFonts w:asciiTheme="minorHAnsi" w:hAnsiTheme="minorHAnsi"/>
          <w:sz w:val="18"/>
          <w:szCs w:val="18"/>
        </w:rPr>
        <w:t xml:space="preserve"> </w:t>
      </w:r>
      <w:r>
        <w:rPr>
          <w:rFonts w:asciiTheme="minorHAnsi" w:hAnsiTheme="minorHAnsi"/>
          <w:sz w:val="18"/>
          <w:szCs w:val="18"/>
        </w:rPr>
        <w:t xml:space="preserve">Therapeutic Goods Administration, </w:t>
      </w:r>
      <w:hyperlink r:id="rId8" w:history="1">
        <w:r w:rsidRPr="00541F18">
          <w:rPr>
            <w:rStyle w:val="Hyperlink"/>
            <w:rFonts w:asciiTheme="minorHAnsi" w:hAnsiTheme="minorHAnsi"/>
            <w:sz w:val="18"/>
            <w:szCs w:val="18"/>
          </w:rPr>
          <w:t>Product Information Ezetrol</w:t>
        </w:r>
        <w:r>
          <w:rPr>
            <w:rStyle w:val="Hyperlink"/>
            <w:rFonts w:asciiTheme="minorHAnsi" w:hAnsiTheme="minorHAnsi"/>
            <w:sz w:val="18"/>
            <w:szCs w:val="18"/>
          </w:rPr>
          <w:t xml:space="preserve"> </w:t>
        </w:r>
        <w:r w:rsidRPr="00541F18">
          <w:rPr>
            <w:rStyle w:val="Hyperlink"/>
            <w:rFonts w:asciiTheme="minorHAnsi" w:hAnsiTheme="minorHAnsi"/>
            <w:sz w:val="18"/>
            <w:szCs w:val="18"/>
          </w:rPr>
          <w:t>(Ezetimibe)</w:t>
        </w:r>
      </w:hyperlink>
      <w:r>
        <w:rPr>
          <w:rFonts w:asciiTheme="minorHAnsi" w:hAnsiTheme="minorHAnsi"/>
          <w:sz w:val="18"/>
          <w:szCs w:val="18"/>
        </w:rPr>
        <w:t xml:space="preserve">, </w:t>
      </w:r>
      <w:r w:rsidRPr="00E30DCB">
        <w:rPr>
          <w:rFonts w:asciiTheme="minorHAnsi" w:hAnsiTheme="minorHAnsi"/>
          <w:sz w:val="18"/>
          <w:szCs w:val="18"/>
        </w:rPr>
        <w:t>(2016). Accessed 9 Dec. 2016.</w:t>
      </w:r>
    </w:p>
  </w:endnote>
  <w:endnote w:id="19">
    <w:p w14:paraId="5BDB14B8" w14:textId="77777777" w:rsidR="006F6651" w:rsidRPr="00E30DCB" w:rsidRDefault="006F6651" w:rsidP="00ED5B37">
      <w:pPr>
        <w:pStyle w:val="EndnoteText"/>
        <w:spacing w:before="120" w:after="120"/>
        <w:jc w:val="left"/>
        <w:rPr>
          <w:rFonts w:asciiTheme="minorHAnsi" w:hAnsiTheme="minorHAnsi"/>
          <w:sz w:val="18"/>
          <w:szCs w:val="18"/>
        </w:rPr>
      </w:pPr>
      <w:r w:rsidRPr="00E30DCB">
        <w:rPr>
          <w:rFonts w:asciiTheme="minorHAnsi" w:hAnsiTheme="minorHAnsi"/>
          <w:sz w:val="18"/>
          <w:szCs w:val="18"/>
        </w:rPr>
        <w:endnoteRef/>
      </w:r>
      <w:r w:rsidRPr="00E30DCB">
        <w:rPr>
          <w:rFonts w:asciiTheme="minorHAnsi" w:hAnsiTheme="minorHAnsi"/>
          <w:sz w:val="18"/>
          <w:szCs w:val="18"/>
        </w:rPr>
        <w:t xml:space="preserve"> Australian Institute of Health and Welfare, 2011, Cardiovascular Disease Australian Facts 2011.</w:t>
      </w:r>
    </w:p>
  </w:endnote>
  <w:endnote w:id="20">
    <w:p w14:paraId="7EB6B28D" w14:textId="77777777" w:rsidR="006F6651" w:rsidRPr="00E30DCB" w:rsidRDefault="006F6651" w:rsidP="00ED5B37">
      <w:pPr>
        <w:pStyle w:val="EndnoteText"/>
        <w:spacing w:before="120" w:after="120"/>
        <w:ind w:left="709" w:hanging="709"/>
        <w:jc w:val="left"/>
        <w:rPr>
          <w:rFonts w:asciiTheme="minorHAnsi" w:hAnsiTheme="minorHAnsi"/>
          <w:sz w:val="18"/>
          <w:szCs w:val="18"/>
        </w:rPr>
      </w:pPr>
      <w:r w:rsidRPr="00E30DCB">
        <w:rPr>
          <w:rFonts w:asciiTheme="minorHAnsi" w:hAnsiTheme="minorHAnsi"/>
          <w:sz w:val="18"/>
          <w:szCs w:val="18"/>
        </w:rPr>
        <w:endnoteRef/>
      </w:r>
      <w:r w:rsidRPr="00E30DCB">
        <w:rPr>
          <w:rFonts w:asciiTheme="minorHAnsi" w:hAnsiTheme="minorHAnsi"/>
          <w:sz w:val="18"/>
          <w:szCs w:val="18"/>
        </w:rPr>
        <w:t xml:space="preserve"> Australian Bureau of Statistics, 2015, </w:t>
      </w:r>
      <w:hyperlink r:id="rId9" w:history="1">
        <w:r w:rsidRPr="00E30DCB">
          <w:rPr>
            <w:rFonts w:asciiTheme="minorHAnsi" w:hAnsiTheme="minorHAnsi"/>
            <w:sz w:val="18"/>
            <w:szCs w:val="18"/>
          </w:rPr>
          <w:t>3303.0 – Causes of Death, Australia, 2013</w:t>
        </w:r>
      </w:hyperlink>
      <w:r w:rsidRPr="00E30DCB">
        <w:rPr>
          <w:rFonts w:asciiTheme="minorHAnsi" w:hAnsiTheme="minorHAnsi"/>
          <w:sz w:val="18"/>
          <w:szCs w:val="18"/>
        </w:rPr>
        <w:t>.</w:t>
      </w:r>
    </w:p>
  </w:endnote>
  <w:endnote w:id="21">
    <w:p w14:paraId="41ECD803" w14:textId="77777777" w:rsidR="006F6651" w:rsidRPr="00E30DCB" w:rsidRDefault="006F6651" w:rsidP="00ED5B37">
      <w:pPr>
        <w:pStyle w:val="EndnoteText"/>
        <w:spacing w:before="120" w:after="120"/>
        <w:jc w:val="left"/>
        <w:rPr>
          <w:rFonts w:asciiTheme="minorHAnsi" w:hAnsiTheme="minorHAnsi"/>
          <w:sz w:val="18"/>
          <w:szCs w:val="18"/>
        </w:rPr>
      </w:pPr>
      <w:r w:rsidRPr="00E30DCB">
        <w:rPr>
          <w:rFonts w:asciiTheme="minorHAnsi" w:hAnsiTheme="minorHAnsi"/>
          <w:sz w:val="18"/>
          <w:szCs w:val="18"/>
        </w:rPr>
        <w:endnoteRef/>
      </w:r>
      <w:r w:rsidRPr="00E30DCB">
        <w:rPr>
          <w:rFonts w:asciiTheme="minorHAnsi" w:hAnsiTheme="minorHAnsi"/>
          <w:sz w:val="18"/>
          <w:szCs w:val="18"/>
        </w:rPr>
        <w:t xml:space="preserve"> Australian Institute of Health and Welfare, 2015, </w:t>
      </w:r>
      <w:hyperlink r:id="rId10" w:history="1">
        <w:r w:rsidRPr="00E30DCB">
          <w:rPr>
            <w:rFonts w:asciiTheme="minorHAnsi" w:hAnsiTheme="minorHAnsi"/>
            <w:sz w:val="18"/>
            <w:szCs w:val="18"/>
          </w:rPr>
          <w:t>Burden of Disease</w:t>
        </w:r>
      </w:hyperlink>
      <w:r w:rsidRPr="00E30DCB">
        <w:rPr>
          <w:rFonts w:asciiTheme="minorHAnsi" w:hAnsiTheme="minorHAnsi"/>
          <w:sz w:val="18"/>
          <w:szCs w:val="18"/>
        </w:rPr>
        <w:t>.</w:t>
      </w:r>
    </w:p>
  </w:endnote>
  <w:endnote w:id="22">
    <w:p w14:paraId="3627D09E" w14:textId="2D167FC2" w:rsidR="006F6651" w:rsidRPr="00E30DCB" w:rsidRDefault="006F6651" w:rsidP="00ED5B37">
      <w:pPr>
        <w:spacing w:before="120" w:after="120" w:line="240" w:lineRule="auto"/>
        <w:jc w:val="left"/>
        <w:rPr>
          <w:rFonts w:asciiTheme="minorHAnsi" w:hAnsiTheme="minorHAnsi"/>
          <w:sz w:val="18"/>
          <w:szCs w:val="18"/>
        </w:rPr>
      </w:pPr>
      <w:r w:rsidRPr="00E30DCB">
        <w:rPr>
          <w:rFonts w:asciiTheme="minorHAnsi" w:eastAsia="Times New Roman" w:hAnsiTheme="minorHAnsi" w:cs="Times New Roman"/>
          <w:sz w:val="18"/>
          <w:szCs w:val="18"/>
          <w:lang w:eastAsia="en-AU"/>
        </w:rPr>
        <w:endnoteRef/>
      </w:r>
      <w:r w:rsidRPr="00E30DCB">
        <w:rPr>
          <w:rFonts w:asciiTheme="minorHAnsi" w:eastAsia="Times New Roman" w:hAnsiTheme="minorHAnsi" w:cs="Times New Roman"/>
          <w:sz w:val="18"/>
          <w:szCs w:val="18"/>
          <w:lang w:eastAsia="en-AU"/>
        </w:rPr>
        <w:t xml:space="preserve"> </w:t>
      </w:r>
      <w:r>
        <w:rPr>
          <w:rFonts w:asciiTheme="minorHAnsi" w:eastAsia="Times New Roman" w:hAnsiTheme="minorHAnsi" w:cs="Times New Roman"/>
          <w:sz w:val="18"/>
          <w:szCs w:val="18"/>
          <w:lang w:eastAsia="en-AU"/>
        </w:rPr>
        <w:t>eTG Complete</w:t>
      </w:r>
      <w:r w:rsidRPr="00E30DCB">
        <w:rPr>
          <w:rFonts w:asciiTheme="minorHAnsi" w:eastAsia="Times New Roman" w:hAnsiTheme="minorHAnsi" w:cs="Times New Roman"/>
          <w:sz w:val="18"/>
          <w:szCs w:val="18"/>
          <w:lang w:eastAsia="en-AU"/>
        </w:rPr>
        <w:t xml:space="preserve">, (2016). [online] </w:t>
      </w:r>
      <w:hyperlink r:id="rId11" w:anchor="toc_d1e182" w:history="1">
        <w:r w:rsidRPr="00541F18">
          <w:rPr>
            <w:rStyle w:val="Hyperlink"/>
            <w:rFonts w:asciiTheme="minorHAnsi" w:eastAsia="Times New Roman" w:hAnsiTheme="minorHAnsi" w:cs="Times New Roman"/>
            <w:sz w:val="18"/>
            <w:szCs w:val="18"/>
            <w:lang w:eastAsia="en-AU"/>
          </w:rPr>
          <w:t>Cardiovascular Disease Risk Stratification</w:t>
        </w:r>
      </w:hyperlink>
      <w:r>
        <w:rPr>
          <w:rFonts w:asciiTheme="minorHAnsi" w:eastAsia="Times New Roman" w:hAnsiTheme="minorHAnsi" w:cs="Times New Roman"/>
          <w:sz w:val="18"/>
          <w:szCs w:val="18"/>
          <w:lang w:eastAsia="en-AU"/>
        </w:rPr>
        <w:t xml:space="preserve">. </w:t>
      </w:r>
      <w:r w:rsidRPr="00E30DCB">
        <w:rPr>
          <w:rFonts w:asciiTheme="minorHAnsi" w:eastAsia="Times New Roman" w:hAnsiTheme="minorHAnsi" w:cs="Times New Roman"/>
          <w:sz w:val="18"/>
          <w:szCs w:val="18"/>
          <w:lang w:eastAsia="en-AU"/>
        </w:rPr>
        <w:t xml:space="preserve">Accessed 25 Nov 2016. </w:t>
      </w:r>
    </w:p>
  </w:endnote>
  <w:endnote w:id="23">
    <w:p w14:paraId="307B1BF6" w14:textId="0868CC0A" w:rsidR="006F6651" w:rsidRPr="00E30DCB" w:rsidRDefault="006F6651" w:rsidP="00ED5B37">
      <w:pPr>
        <w:pStyle w:val="EndnoteText"/>
        <w:spacing w:before="120" w:after="120"/>
        <w:jc w:val="left"/>
        <w:rPr>
          <w:rFonts w:asciiTheme="minorHAnsi" w:hAnsiTheme="minorHAnsi"/>
          <w:sz w:val="18"/>
          <w:szCs w:val="18"/>
        </w:rPr>
      </w:pPr>
      <w:r w:rsidRPr="00E30DCB">
        <w:rPr>
          <w:rFonts w:asciiTheme="minorHAnsi" w:hAnsiTheme="minorHAnsi"/>
          <w:sz w:val="18"/>
          <w:szCs w:val="18"/>
        </w:rPr>
        <w:endnoteRef/>
      </w:r>
      <w:r w:rsidRPr="00E30DCB">
        <w:rPr>
          <w:rFonts w:asciiTheme="minorHAnsi" w:hAnsiTheme="minorHAnsi"/>
          <w:sz w:val="18"/>
          <w:szCs w:val="18"/>
        </w:rPr>
        <w:t xml:space="preserve"> eTG Complete , (2016). [online] </w:t>
      </w:r>
      <w:hyperlink r:id="rId12" w:anchor="toc_d1e47" w:history="1">
        <w:r w:rsidRPr="00541F18">
          <w:rPr>
            <w:rStyle w:val="Hyperlink"/>
            <w:rFonts w:asciiTheme="minorHAnsi" w:hAnsiTheme="minorHAnsi"/>
            <w:sz w:val="18"/>
            <w:szCs w:val="18"/>
          </w:rPr>
          <w:t>Dyslipidaemia</w:t>
        </w:r>
      </w:hyperlink>
      <w:r>
        <w:rPr>
          <w:rFonts w:asciiTheme="minorHAnsi" w:hAnsiTheme="minorHAnsi"/>
          <w:sz w:val="18"/>
          <w:szCs w:val="18"/>
        </w:rPr>
        <w:t xml:space="preserve">. </w:t>
      </w:r>
      <w:r w:rsidRPr="00E30DCB">
        <w:rPr>
          <w:rFonts w:asciiTheme="minorHAnsi" w:hAnsiTheme="minorHAnsi"/>
          <w:sz w:val="18"/>
          <w:szCs w:val="18"/>
        </w:rPr>
        <w:t xml:space="preserve">Accessed 25 Nov. 2016. </w:t>
      </w:r>
    </w:p>
  </w:endnote>
  <w:endnote w:id="24">
    <w:p w14:paraId="7DEC68AE" w14:textId="6DA06D1C" w:rsidR="006F6651" w:rsidRPr="00E30DCB" w:rsidRDefault="006F6651" w:rsidP="00ED5B37">
      <w:pPr>
        <w:pStyle w:val="EndnoteText"/>
        <w:spacing w:before="120" w:after="120"/>
        <w:jc w:val="left"/>
        <w:rPr>
          <w:rFonts w:asciiTheme="minorHAnsi" w:hAnsiTheme="minorHAnsi"/>
          <w:sz w:val="18"/>
          <w:szCs w:val="18"/>
        </w:rPr>
      </w:pPr>
      <w:r w:rsidRPr="00E30DCB">
        <w:rPr>
          <w:rFonts w:asciiTheme="minorHAnsi" w:hAnsiTheme="minorHAnsi"/>
          <w:sz w:val="18"/>
          <w:szCs w:val="18"/>
        </w:rPr>
        <w:endnoteRef/>
      </w:r>
      <w:r w:rsidRPr="00E30DCB">
        <w:rPr>
          <w:rFonts w:asciiTheme="minorHAnsi" w:hAnsiTheme="minorHAnsi"/>
          <w:sz w:val="18"/>
          <w:szCs w:val="18"/>
        </w:rPr>
        <w:t xml:space="preserve"> eTG Complete , (2016). [online] </w:t>
      </w:r>
      <w:r>
        <w:rPr>
          <w:rFonts w:asciiTheme="minorHAnsi" w:hAnsiTheme="minorHAnsi"/>
          <w:sz w:val="18"/>
          <w:szCs w:val="18"/>
        </w:rPr>
        <w:t>.</w:t>
      </w:r>
      <w:hyperlink r:id="rId13" w:anchor="cvg-c07-s6" w:history="1">
        <w:r w:rsidRPr="00961E59">
          <w:rPr>
            <w:rStyle w:val="Hyperlink"/>
            <w:rFonts w:asciiTheme="minorHAnsi" w:hAnsiTheme="minorHAnsi"/>
            <w:sz w:val="18"/>
            <w:szCs w:val="18"/>
          </w:rPr>
          <w:t>Dyslipidaemia</w:t>
        </w:r>
      </w:hyperlink>
      <w:r>
        <w:rPr>
          <w:rFonts w:asciiTheme="minorHAnsi" w:hAnsiTheme="minorHAnsi"/>
          <w:sz w:val="18"/>
          <w:szCs w:val="18"/>
        </w:rPr>
        <w:t xml:space="preserve">. </w:t>
      </w:r>
      <w:r w:rsidRPr="00E30DCB">
        <w:rPr>
          <w:rFonts w:asciiTheme="minorHAnsi" w:hAnsiTheme="minorHAnsi"/>
          <w:sz w:val="18"/>
          <w:szCs w:val="18"/>
        </w:rPr>
        <w:t xml:space="preserve">Accessed 25 Nov. 2016. </w:t>
      </w:r>
    </w:p>
  </w:endnote>
  <w:endnote w:id="25">
    <w:p w14:paraId="7178E3E1" w14:textId="60930A08" w:rsidR="006F6651" w:rsidRPr="00E30DCB" w:rsidRDefault="006F6651" w:rsidP="00ED5B37">
      <w:pPr>
        <w:pStyle w:val="EndnoteText"/>
        <w:spacing w:before="120" w:after="120"/>
        <w:jc w:val="left"/>
        <w:rPr>
          <w:rFonts w:asciiTheme="minorHAnsi" w:hAnsiTheme="minorHAnsi"/>
          <w:sz w:val="18"/>
          <w:szCs w:val="18"/>
        </w:rPr>
      </w:pPr>
      <w:r w:rsidRPr="00E30DCB">
        <w:rPr>
          <w:rFonts w:asciiTheme="minorHAnsi" w:hAnsiTheme="minorHAnsi"/>
          <w:sz w:val="18"/>
          <w:szCs w:val="18"/>
        </w:rPr>
        <w:endnoteRef/>
      </w:r>
      <w:r w:rsidRPr="00E30DCB">
        <w:rPr>
          <w:rFonts w:asciiTheme="minorHAnsi" w:hAnsiTheme="minorHAnsi"/>
          <w:sz w:val="18"/>
          <w:szCs w:val="18"/>
        </w:rPr>
        <w:t xml:space="preserve"> </w:t>
      </w:r>
      <w:r>
        <w:rPr>
          <w:rFonts w:asciiTheme="minorHAnsi" w:hAnsiTheme="minorHAnsi"/>
          <w:sz w:val="18"/>
          <w:szCs w:val="18"/>
        </w:rPr>
        <w:t>National Vascular Disease Prevention Alliance</w:t>
      </w:r>
      <w:r w:rsidRPr="00E30DCB">
        <w:rPr>
          <w:rFonts w:asciiTheme="minorHAnsi" w:hAnsiTheme="minorHAnsi"/>
          <w:sz w:val="18"/>
          <w:szCs w:val="18"/>
        </w:rPr>
        <w:t xml:space="preserve">, (2016). [online] </w:t>
      </w:r>
      <w:hyperlink r:id="rId14" w:history="1">
        <w:r w:rsidRPr="00961E59">
          <w:rPr>
            <w:rStyle w:val="Hyperlink"/>
            <w:rFonts w:asciiTheme="minorHAnsi" w:hAnsiTheme="minorHAnsi"/>
            <w:sz w:val="18"/>
            <w:szCs w:val="18"/>
          </w:rPr>
          <w:t>Absolute cardiovascular risk calculator</w:t>
        </w:r>
      </w:hyperlink>
      <w:r w:rsidRPr="00E30DCB">
        <w:rPr>
          <w:rFonts w:asciiTheme="minorHAnsi" w:hAnsiTheme="minorHAnsi"/>
          <w:sz w:val="18"/>
          <w:szCs w:val="18"/>
        </w:rPr>
        <w:t>. Accessed 1 Nov. 2016.</w:t>
      </w:r>
    </w:p>
  </w:endnote>
  <w:endnote w:id="26">
    <w:p w14:paraId="45CB1491" w14:textId="7411DAC2"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Stone NJ et al</w:t>
      </w:r>
      <w:r>
        <w:rPr>
          <w:rFonts w:asciiTheme="minorHAnsi" w:hAnsiTheme="minorHAnsi"/>
          <w:sz w:val="18"/>
          <w:szCs w:val="18"/>
        </w:rPr>
        <w:t xml:space="preserve"> </w:t>
      </w:r>
      <w:r w:rsidRPr="00E30DCB">
        <w:rPr>
          <w:rFonts w:asciiTheme="minorHAnsi" w:hAnsiTheme="minorHAnsi"/>
          <w:sz w:val="18"/>
          <w:szCs w:val="18"/>
        </w:rPr>
        <w:t>(2013) ACC/AHA Guideline on the Treatment of Blood cholesterol to Reduce Atherosclerotic Cardiovascular Risk In Adults A Report of the American College of Cardiology/American Heart Association Task Force on Practice Guidelines, Circulation, 129 [Suppl 2]:S1-S45</w:t>
      </w:r>
      <w:r>
        <w:rPr>
          <w:rFonts w:asciiTheme="minorHAnsi" w:hAnsiTheme="minorHAnsi"/>
          <w:sz w:val="18"/>
          <w:szCs w:val="18"/>
        </w:rPr>
        <w:t>.</w:t>
      </w:r>
    </w:p>
  </w:endnote>
  <w:endnote w:id="27">
    <w:p w14:paraId="1AE0D2D3" w14:textId="16C6B4F4"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Thomson PD What to Believe and do about Statin Associated Adverse Effects </w:t>
      </w:r>
      <w:r w:rsidRPr="00E30DCB">
        <w:rPr>
          <w:rFonts w:asciiTheme="minorHAnsi" w:hAnsiTheme="minorHAnsi"/>
          <w:i/>
          <w:sz w:val="18"/>
          <w:szCs w:val="18"/>
        </w:rPr>
        <w:t xml:space="preserve">JAMA </w:t>
      </w:r>
      <w:r w:rsidRPr="00E30DCB">
        <w:rPr>
          <w:rFonts w:asciiTheme="minorHAnsi" w:hAnsiTheme="minorHAnsi"/>
          <w:sz w:val="18"/>
          <w:szCs w:val="18"/>
        </w:rPr>
        <w:t>November 15, 2016 Volume 316, Number 19</w:t>
      </w:r>
      <w:r>
        <w:rPr>
          <w:rFonts w:asciiTheme="minorHAnsi" w:hAnsiTheme="minorHAnsi"/>
          <w:sz w:val="18"/>
          <w:szCs w:val="18"/>
        </w:rPr>
        <w:t>.</w:t>
      </w:r>
    </w:p>
  </w:endnote>
  <w:endnote w:id="28">
    <w:p w14:paraId="3E049B74" w14:textId="3FA92D30"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Chowdhury R, Khan H, Heydon E et al. Adherence to Cardiovascular Therapy: a meta-analysis of prevalence and clinical consequences. </w:t>
      </w:r>
      <w:r w:rsidRPr="00E30DCB">
        <w:rPr>
          <w:rFonts w:asciiTheme="minorHAnsi" w:hAnsiTheme="minorHAnsi"/>
          <w:i/>
          <w:sz w:val="18"/>
          <w:szCs w:val="18"/>
        </w:rPr>
        <w:t>Eur Heart J</w:t>
      </w:r>
      <w:r w:rsidRPr="00E30DCB">
        <w:rPr>
          <w:rFonts w:asciiTheme="minorHAnsi" w:hAnsiTheme="minorHAnsi"/>
          <w:sz w:val="18"/>
          <w:szCs w:val="18"/>
        </w:rPr>
        <w:t xml:space="preserve"> 2013;34:2940-8</w:t>
      </w:r>
      <w:r>
        <w:rPr>
          <w:rFonts w:asciiTheme="minorHAnsi" w:hAnsiTheme="minorHAnsi"/>
          <w:sz w:val="18"/>
          <w:szCs w:val="18"/>
        </w:rPr>
        <w:t>.</w:t>
      </w:r>
    </w:p>
  </w:endnote>
  <w:endnote w:id="29">
    <w:p w14:paraId="51CC90D3" w14:textId="5D2C8DA4" w:rsidR="006F6651" w:rsidRPr="00E30DCB" w:rsidRDefault="006F6651" w:rsidP="00ED5B37">
      <w:pPr>
        <w:pStyle w:val="Default"/>
        <w:spacing w:before="120" w:after="120"/>
        <w:rPr>
          <w:rFonts w:asciiTheme="minorHAnsi" w:hAnsiTheme="minorHAnsi" w:cs="Calibri"/>
          <w:sz w:val="18"/>
          <w:szCs w:val="18"/>
        </w:rPr>
      </w:pPr>
      <w:r w:rsidRPr="00AE1E65">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Calibri"/>
          <w:sz w:val="18"/>
          <w:szCs w:val="18"/>
        </w:rPr>
        <w:t xml:space="preserve">Doust J, Sanders S, Shaw J, Glasziou P. Prioritising CVD prevention therapy - absolute risk versus individual risk factors. </w:t>
      </w:r>
      <w:r w:rsidRPr="00E30DCB">
        <w:rPr>
          <w:rFonts w:asciiTheme="minorHAnsi" w:hAnsiTheme="minorHAnsi" w:cs="Calibri"/>
          <w:i/>
          <w:iCs/>
          <w:sz w:val="18"/>
          <w:szCs w:val="18"/>
        </w:rPr>
        <w:t xml:space="preserve">Aust Fam Physician </w:t>
      </w:r>
      <w:r w:rsidRPr="00E30DCB">
        <w:rPr>
          <w:rFonts w:asciiTheme="minorHAnsi" w:hAnsiTheme="minorHAnsi" w:cs="Calibri"/>
          <w:sz w:val="18"/>
          <w:szCs w:val="18"/>
        </w:rPr>
        <w:t xml:space="preserve">2012; 41:805-809. </w:t>
      </w:r>
    </w:p>
  </w:endnote>
  <w:endnote w:id="30">
    <w:p w14:paraId="2FDCC6C5" w14:textId="77777777"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Bohula et al: Atherothrombotic Risk Stratification and Ezetimibe for Secondary Prevention </w:t>
      </w:r>
      <w:r w:rsidRPr="00E30DCB">
        <w:rPr>
          <w:rFonts w:asciiTheme="minorHAnsi" w:hAnsiTheme="minorHAnsi"/>
          <w:i/>
          <w:sz w:val="18"/>
          <w:szCs w:val="18"/>
        </w:rPr>
        <w:t xml:space="preserve">JACC </w:t>
      </w:r>
      <w:r w:rsidRPr="00E30DCB">
        <w:rPr>
          <w:rFonts w:asciiTheme="minorHAnsi" w:hAnsiTheme="minorHAnsi"/>
          <w:sz w:val="18"/>
          <w:szCs w:val="18"/>
        </w:rPr>
        <w:t>Vol.69,No.8 2017.</w:t>
      </w:r>
    </w:p>
  </w:endnote>
  <w:endnote w:id="31">
    <w:p w14:paraId="43C23E6B" w14:textId="47F985E2" w:rsidR="006F6651" w:rsidRPr="00E30DCB" w:rsidRDefault="006F6651" w:rsidP="00ED5B37">
      <w:pPr>
        <w:pStyle w:val="Default"/>
        <w:spacing w:before="120" w:after="120"/>
        <w:rPr>
          <w:rFonts w:asciiTheme="minorHAnsi" w:hAnsiTheme="minorHAnsi" w:cs="Calibri"/>
          <w:sz w:val="18"/>
          <w:szCs w:val="18"/>
        </w:rPr>
      </w:pPr>
      <w:r w:rsidRPr="00AE1E65">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Calibri"/>
          <w:sz w:val="18"/>
          <w:szCs w:val="18"/>
        </w:rPr>
        <w:t xml:space="preserve">Anderson T.J., G.B. Mancini et al. The New Dyslipidemia Guidelines: What Is the Debate? </w:t>
      </w:r>
      <w:r w:rsidRPr="00E30DCB">
        <w:rPr>
          <w:rFonts w:asciiTheme="minorHAnsi" w:hAnsiTheme="minorHAnsi" w:cs="Calibri"/>
          <w:i/>
          <w:iCs/>
          <w:sz w:val="18"/>
          <w:szCs w:val="18"/>
        </w:rPr>
        <w:t xml:space="preserve">Canadian Journal of Cardiology </w:t>
      </w:r>
      <w:r w:rsidRPr="00E30DCB">
        <w:rPr>
          <w:rFonts w:asciiTheme="minorHAnsi" w:hAnsiTheme="minorHAnsi" w:cs="Calibri"/>
          <w:sz w:val="18"/>
          <w:szCs w:val="18"/>
        </w:rPr>
        <w:t>(2015) 31:605-612</w:t>
      </w:r>
      <w:r>
        <w:rPr>
          <w:rFonts w:asciiTheme="minorHAnsi" w:hAnsiTheme="minorHAnsi" w:cs="Calibri"/>
          <w:sz w:val="18"/>
          <w:szCs w:val="18"/>
        </w:rPr>
        <w:t>.</w:t>
      </w:r>
    </w:p>
  </w:endnote>
  <w:endnote w:id="32">
    <w:p w14:paraId="0DE17A52" w14:textId="77777777" w:rsidR="006F6651" w:rsidRPr="00E30DCB" w:rsidRDefault="006F6651" w:rsidP="00ED5B37">
      <w:pPr>
        <w:pStyle w:val="EndnoteText"/>
        <w:spacing w:before="120" w:after="120"/>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Morris P, Ballantyne C M et al. Review of Clinical Practice Guidelines for the Management of LDL-Related Risk. </w:t>
      </w:r>
      <w:r w:rsidRPr="00E30DCB">
        <w:rPr>
          <w:rFonts w:asciiTheme="minorHAnsi" w:hAnsiTheme="minorHAnsi"/>
          <w:i/>
          <w:iCs/>
          <w:sz w:val="18"/>
          <w:szCs w:val="18"/>
        </w:rPr>
        <w:t>J Am Coll Cardiol</w:t>
      </w:r>
      <w:r w:rsidRPr="00E30DCB">
        <w:rPr>
          <w:rFonts w:asciiTheme="minorHAnsi" w:hAnsiTheme="minorHAnsi"/>
          <w:sz w:val="18"/>
          <w:szCs w:val="18"/>
        </w:rPr>
        <w:t>. 2014;64(2):196-206.</w:t>
      </w:r>
    </w:p>
  </w:endnote>
  <w:endnote w:id="33">
    <w:p w14:paraId="1E1E6166" w14:textId="77777777" w:rsidR="006F6651" w:rsidRPr="00E30DCB" w:rsidRDefault="006F6651" w:rsidP="00ED5B37">
      <w:pPr>
        <w:pStyle w:val="EndnoteText"/>
        <w:spacing w:before="120" w:after="120"/>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McKenney JM. Something important is missing in the ACC/AHA cholesterol treatment guidelines. </w:t>
      </w:r>
      <w:r w:rsidRPr="00E30DCB">
        <w:rPr>
          <w:rFonts w:asciiTheme="minorHAnsi" w:hAnsiTheme="minorHAnsi"/>
          <w:i/>
          <w:iCs/>
          <w:sz w:val="18"/>
          <w:szCs w:val="18"/>
        </w:rPr>
        <w:t>J Am Pharm Assoc</w:t>
      </w:r>
      <w:r w:rsidRPr="00E30DCB">
        <w:rPr>
          <w:rFonts w:asciiTheme="minorHAnsi" w:hAnsiTheme="minorHAnsi"/>
          <w:sz w:val="18"/>
          <w:szCs w:val="18"/>
        </w:rPr>
        <w:t>. 2015;55(3):324-329.</w:t>
      </w:r>
    </w:p>
  </w:endnote>
  <w:endnote w:id="34">
    <w:p w14:paraId="0E8B5615" w14:textId="763C38E1" w:rsidR="006F6651" w:rsidRPr="00E30DCB" w:rsidRDefault="006F6651" w:rsidP="00ED5B37">
      <w:pPr>
        <w:pStyle w:val="EndnoteText"/>
        <w:spacing w:before="120" w:after="120"/>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Nayor M., Vasan R.S., Recent Update to the US Cholesterol Treatment Guidelines. A Comparison with International Guidelines. </w:t>
      </w:r>
      <w:r w:rsidRPr="00E30DCB">
        <w:rPr>
          <w:rFonts w:asciiTheme="minorHAnsi" w:hAnsiTheme="minorHAnsi"/>
          <w:i/>
          <w:iCs/>
          <w:sz w:val="18"/>
          <w:szCs w:val="18"/>
        </w:rPr>
        <w:t xml:space="preserve">Circulation. </w:t>
      </w:r>
      <w:r w:rsidRPr="00E30DCB">
        <w:rPr>
          <w:rFonts w:asciiTheme="minorHAnsi" w:hAnsiTheme="minorHAnsi"/>
          <w:sz w:val="18"/>
          <w:szCs w:val="18"/>
        </w:rPr>
        <w:t>2016;133:1795-1806</w:t>
      </w:r>
      <w:r>
        <w:rPr>
          <w:rFonts w:asciiTheme="minorHAnsi" w:hAnsiTheme="minorHAnsi"/>
          <w:sz w:val="18"/>
          <w:szCs w:val="18"/>
        </w:rPr>
        <w:t>.</w:t>
      </w:r>
    </w:p>
  </w:endnote>
  <w:endnote w:id="35">
    <w:p w14:paraId="127216CF" w14:textId="77777777" w:rsidR="006F6651" w:rsidRPr="00E30DCB" w:rsidRDefault="006F6651" w:rsidP="00ED5B37">
      <w:pPr>
        <w:pStyle w:val="EndnoteText"/>
        <w:spacing w:before="120" w:after="120"/>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Waite LH, Phan YL, Spinler SA. What's next for dyslipidemia management? The 2013 ACC/AHA Guidelines, the NLA recommendations, and beyond. Journal of the American Pharmacists Association (2016) 56:284-292.</w:t>
      </w:r>
    </w:p>
  </w:endnote>
  <w:endnote w:id="36">
    <w:p w14:paraId="3DE1B900" w14:textId="77777777"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Bohula et al: Atherothrombotic Risk Stratification and Ezetimibe for Secondary Prevention </w:t>
      </w:r>
      <w:r w:rsidRPr="00E30DCB">
        <w:rPr>
          <w:rFonts w:asciiTheme="minorHAnsi" w:hAnsiTheme="minorHAnsi"/>
          <w:i/>
          <w:sz w:val="18"/>
          <w:szCs w:val="18"/>
        </w:rPr>
        <w:t xml:space="preserve">JACC </w:t>
      </w:r>
      <w:r w:rsidRPr="00E30DCB">
        <w:rPr>
          <w:rFonts w:asciiTheme="minorHAnsi" w:hAnsiTheme="minorHAnsi"/>
          <w:sz w:val="18"/>
          <w:szCs w:val="18"/>
        </w:rPr>
        <w:t>Vol.69,No.8 2017.</w:t>
      </w:r>
    </w:p>
  </w:endnote>
  <w:endnote w:id="37">
    <w:p w14:paraId="1782F883" w14:textId="40602D13"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Eisen A, Cannon CP, Blazing MA et al The Benefit of Adding Ezetimibe to Stain Therapy in Patients with Prior Coronary Artery Bypass Graft Surgery and Acute Coronary Syndrome in the IMPROVE-IT Trial. </w:t>
      </w:r>
      <w:r w:rsidRPr="00E30DCB">
        <w:rPr>
          <w:rFonts w:asciiTheme="minorHAnsi" w:hAnsiTheme="minorHAnsi"/>
          <w:i/>
          <w:sz w:val="18"/>
          <w:szCs w:val="18"/>
        </w:rPr>
        <w:t>European Heart J</w:t>
      </w:r>
      <w:r w:rsidRPr="00E30DCB">
        <w:rPr>
          <w:rFonts w:asciiTheme="minorHAnsi" w:hAnsiTheme="minorHAnsi"/>
          <w:sz w:val="18"/>
          <w:szCs w:val="18"/>
        </w:rPr>
        <w:t xml:space="preserve"> (2016) 37,3576-3584</w:t>
      </w:r>
      <w:r>
        <w:rPr>
          <w:rFonts w:asciiTheme="minorHAnsi" w:hAnsiTheme="minorHAnsi"/>
          <w:sz w:val="18"/>
          <w:szCs w:val="18"/>
        </w:rPr>
        <w:t>.</w:t>
      </w:r>
    </w:p>
  </w:endnote>
  <w:endnote w:id="38">
    <w:p w14:paraId="16848652" w14:textId="23787BA7"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Jacoby DS, Rader DJ. Improving Cardiovascular Outcomes by Intensifying Low Density Lipoprotein Lowering Therapy in High Risk Patients </w:t>
      </w:r>
      <w:r w:rsidRPr="00E30DCB">
        <w:rPr>
          <w:rFonts w:asciiTheme="minorHAnsi" w:hAnsiTheme="minorHAnsi"/>
          <w:i/>
          <w:sz w:val="18"/>
          <w:szCs w:val="18"/>
        </w:rPr>
        <w:t>European Heart J</w:t>
      </w:r>
      <w:r w:rsidRPr="00E30DCB">
        <w:rPr>
          <w:rFonts w:asciiTheme="minorHAnsi" w:hAnsiTheme="minorHAnsi"/>
          <w:sz w:val="18"/>
          <w:szCs w:val="18"/>
        </w:rPr>
        <w:t xml:space="preserve"> (2016)37, 35856-3587</w:t>
      </w:r>
      <w:r>
        <w:rPr>
          <w:rFonts w:asciiTheme="minorHAnsi" w:hAnsiTheme="minorHAnsi"/>
          <w:sz w:val="18"/>
          <w:szCs w:val="18"/>
        </w:rPr>
        <w:t>.</w:t>
      </w:r>
    </w:p>
  </w:endnote>
  <w:endnote w:id="39">
    <w:p w14:paraId="7521AB43" w14:textId="20BF958C"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Yang YJ, See SH, Kim BS, Cho YK et al. Combination Therapy of Rosuvastatin and Ezetimibe in Patients with High Cardiovascular Risk. </w:t>
      </w:r>
      <w:r w:rsidRPr="00E30DCB">
        <w:rPr>
          <w:rFonts w:asciiTheme="minorHAnsi" w:hAnsiTheme="minorHAnsi"/>
          <w:i/>
          <w:sz w:val="18"/>
          <w:szCs w:val="18"/>
        </w:rPr>
        <w:t>Clin Ther.</w:t>
      </w:r>
      <w:r w:rsidRPr="00E30DCB">
        <w:rPr>
          <w:rFonts w:asciiTheme="minorHAnsi" w:hAnsiTheme="minorHAnsi"/>
          <w:sz w:val="18"/>
          <w:szCs w:val="18"/>
        </w:rPr>
        <w:t>2016;38:107-117</w:t>
      </w:r>
      <w:r>
        <w:rPr>
          <w:rFonts w:asciiTheme="minorHAnsi" w:hAnsiTheme="minorHAnsi"/>
          <w:sz w:val="18"/>
          <w:szCs w:val="18"/>
        </w:rPr>
        <w:t>.</w:t>
      </w:r>
    </w:p>
  </w:endnote>
  <w:endnote w:id="40">
    <w:p w14:paraId="27B42160" w14:textId="77777777" w:rsidR="006F6651" w:rsidRPr="00E30DCB" w:rsidRDefault="006F6651" w:rsidP="00ED5B37">
      <w:pPr>
        <w:pStyle w:val="EndnoteText"/>
        <w:spacing w:before="120" w:after="120"/>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Calibri"/>
          <w:sz w:val="18"/>
          <w:szCs w:val="18"/>
        </w:rPr>
        <w:t xml:space="preserve">Doust J, Sanders S, Shaw J, Glasziou P. Prioritising CVD prevention therapy - absolute risk versus individual risk factors. </w:t>
      </w:r>
      <w:r w:rsidRPr="00E30DCB">
        <w:rPr>
          <w:rFonts w:asciiTheme="minorHAnsi" w:hAnsiTheme="minorHAnsi" w:cs="Calibri"/>
          <w:i/>
          <w:iCs/>
          <w:sz w:val="18"/>
          <w:szCs w:val="18"/>
        </w:rPr>
        <w:t xml:space="preserve">Aust Fam Physician </w:t>
      </w:r>
      <w:r w:rsidRPr="00E30DCB">
        <w:rPr>
          <w:rFonts w:asciiTheme="minorHAnsi" w:hAnsiTheme="minorHAnsi" w:cs="Calibri"/>
          <w:sz w:val="18"/>
          <w:szCs w:val="18"/>
        </w:rPr>
        <w:t xml:space="preserve">2012; 41:805-809. </w:t>
      </w:r>
    </w:p>
  </w:endnote>
  <w:endnote w:id="41">
    <w:p w14:paraId="44713944" w14:textId="4A921095" w:rsidR="006F6651" w:rsidRPr="00E30DCB" w:rsidRDefault="006F6651" w:rsidP="00ED5B37">
      <w:pPr>
        <w:pStyle w:val="EndnoteText"/>
        <w:spacing w:before="120" w:after="120"/>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w:t>
      </w:r>
      <w:r>
        <w:rPr>
          <w:rFonts w:asciiTheme="minorHAnsi" w:hAnsiTheme="minorHAnsi"/>
          <w:sz w:val="18"/>
          <w:szCs w:val="18"/>
        </w:rPr>
        <w:t xml:space="preserve">Barr ELM et al, (2005). </w:t>
      </w:r>
      <w:hyperlink r:id="rId15" w:history="1">
        <w:r w:rsidRPr="00961E59">
          <w:rPr>
            <w:rStyle w:val="Hyperlink"/>
            <w:rFonts w:asciiTheme="minorHAnsi" w:hAnsiTheme="minorHAnsi"/>
            <w:sz w:val="18"/>
            <w:szCs w:val="18"/>
          </w:rPr>
          <w:t>AusDiab 2005: The Australian Dibetes, Obseity and Lifestyle Study</w:t>
        </w:r>
      </w:hyperlink>
      <w:r>
        <w:rPr>
          <w:rFonts w:asciiTheme="minorHAnsi" w:hAnsiTheme="minorHAnsi"/>
          <w:sz w:val="18"/>
          <w:szCs w:val="18"/>
        </w:rPr>
        <w:t>.</w:t>
      </w:r>
    </w:p>
  </w:endnote>
  <w:endnote w:id="42">
    <w:p w14:paraId="46AEB3EE" w14:textId="77777777" w:rsidR="006F6651" w:rsidRPr="00E30DCB" w:rsidRDefault="006F6651" w:rsidP="00ED5B37">
      <w:pPr>
        <w:pStyle w:val="EndnoteText"/>
        <w:spacing w:before="120" w:after="120"/>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Calibri"/>
          <w:sz w:val="18"/>
          <w:szCs w:val="18"/>
        </w:rPr>
        <w:t xml:space="preserve">Doust J, Sanders S, Shaw J, Glasziou P. Prioritising CVD prevention therapy - absolute risk versus individual risk factors. </w:t>
      </w:r>
      <w:r w:rsidRPr="00E30DCB">
        <w:rPr>
          <w:rFonts w:asciiTheme="minorHAnsi" w:hAnsiTheme="minorHAnsi" w:cs="Calibri"/>
          <w:i/>
          <w:iCs/>
          <w:sz w:val="18"/>
          <w:szCs w:val="18"/>
        </w:rPr>
        <w:t xml:space="preserve">Aust Fam Physician </w:t>
      </w:r>
      <w:r w:rsidRPr="00E30DCB">
        <w:rPr>
          <w:rFonts w:asciiTheme="minorHAnsi" w:hAnsiTheme="minorHAnsi" w:cs="Calibri"/>
          <w:sz w:val="18"/>
          <w:szCs w:val="18"/>
        </w:rPr>
        <w:t xml:space="preserve">2012; 41:805-809. </w:t>
      </w:r>
    </w:p>
  </w:endnote>
  <w:endnote w:id="43">
    <w:p w14:paraId="37397D37" w14:textId="77777777" w:rsidR="006F6651" w:rsidRPr="00E30DCB" w:rsidRDefault="006F6651" w:rsidP="00ED5B37">
      <w:pPr>
        <w:tabs>
          <w:tab w:val="left" w:pos="0"/>
        </w:tabs>
        <w:spacing w:before="120" w:after="120" w:line="240" w:lineRule="auto"/>
        <w:jc w:val="left"/>
        <w:rPr>
          <w:rFonts w:asciiTheme="minorHAnsi" w:hAnsiTheme="minorHAnsi" w:cs="Arial"/>
          <w:bCs/>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Arial"/>
          <w:color w:val="222222"/>
          <w:sz w:val="18"/>
          <w:szCs w:val="18"/>
          <w:shd w:val="clear" w:color="auto" w:fill="FFFFFF"/>
        </w:rPr>
        <w:t>Silverman, M.G., Ference, B.A., Im, K., Wiviott, S.D., Giugliano, R.P., Grundy, S.M., Braunwald, E. and Sabatine, M.S., 2016. Association between lowering LDL-C and cardiovascular risk reduction among different therapeutic interventions: a systematic review and meta-analysis.</w:t>
      </w:r>
      <w:r w:rsidRPr="00E30DCB">
        <w:rPr>
          <w:rStyle w:val="apple-converted-space"/>
          <w:rFonts w:asciiTheme="minorHAnsi" w:hAnsiTheme="minorHAnsi" w:cs="Arial"/>
          <w:color w:val="222222"/>
          <w:sz w:val="18"/>
          <w:szCs w:val="18"/>
          <w:shd w:val="clear" w:color="auto" w:fill="FFFFFF"/>
        </w:rPr>
        <w:t> </w:t>
      </w:r>
      <w:r w:rsidRPr="00E30DCB">
        <w:rPr>
          <w:rFonts w:asciiTheme="minorHAnsi" w:hAnsiTheme="minorHAnsi" w:cs="Arial"/>
          <w:i/>
          <w:iCs/>
          <w:color w:val="222222"/>
          <w:sz w:val="18"/>
          <w:szCs w:val="18"/>
          <w:shd w:val="clear" w:color="auto" w:fill="FFFFFF"/>
        </w:rPr>
        <w:t>JAMA</w:t>
      </w:r>
      <w:r w:rsidRPr="00E30DCB">
        <w:rPr>
          <w:rFonts w:asciiTheme="minorHAnsi" w:hAnsiTheme="minorHAnsi" w:cs="Arial"/>
          <w:color w:val="222222"/>
          <w:sz w:val="18"/>
          <w:szCs w:val="18"/>
          <w:shd w:val="clear" w:color="auto" w:fill="FFFFFF"/>
        </w:rPr>
        <w:t xml:space="preserve"> </w:t>
      </w:r>
      <w:r w:rsidRPr="00E30DCB">
        <w:rPr>
          <w:rFonts w:asciiTheme="minorHAnsi" w:hAnsiTheme="minorHAnsi" w:cs="Arial"/>
          <w:i/>
          <w:iCs/>
          <w:color w:val="222222"/>
          <w:sz w:val="18"/>
          <w:szCs w:val="18"/>
          <w:shd w:val="clear" w:color="auto" w:fill="FFFFFF"/>
        </w:rPr>
        <w:t>316</w:t>
      </w:r>
      <w:r w:rsidRPr="00E30DCB">
        <w:rPr>
          <w:rFonts w:asciiTheme="minorHAnsi" w:hAnsiTheme="minorHAnsi" w:cs="Arial"/>
          <w:color w:val="222222"/>
          <w:sz w:val="18"/>
          <w:szCs w:val="18"/>
          <w:shd w:val="clear" w:color="auto" w:fill="FFFFFF"/>
        </w:rPr>
        <w:t>(12), pp.1289-1297.</w:t>
      </w:r>
    </w:p>
  </w:endnote>
  <w:endnote w:id="44">
    <w:p w14:paraId="338572F5" w14:textId="77777777" w:rsidR="006F6651" w:rsidRPr="00E30DCB" w:rsidRDefault="006F6651" w:rsidP="00ED5B37">
      <w:pPr>
        <w:pStyle w:val="EndnoteText"/>
        <w:spacing w:before="120" w:after="120"/>
        <w:jc w:val="left"/>
        <w:rPr>
          <w:rFonts w:asciiTheme="minorHAnsi" w:hAnsiTheme="minorHAnsi"/>
          <w:sz w:val="18"/>
          <w:szCs w:val="18"/>
        </w:rPr>
      </w:pPr>
      <w:r w:rsidRPr="00ED5B37">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Arial"/>
          <w:color w:val="222222"/>
          <w:sz w:val="18"/>
          <w:szCs w:val="18"/>
          <w:shd w:val="clear" w:color="auto" w:fill="FFFFFF"/>
        </w:rPr>
        <w:t>Silverman, M.G., Ference, B.A., Im, K., Wiviott, S.D., Giugliano, R.P., Grundy, S.M., Braunwald, E. and Sabatine, M.S., 2016. Association between lowering LDL-C and cardiovascular risk reduction among different therapeutic interventions: a systematic review and meta-analysis.</w:t>
      </w:r>
      <w:r w:rsidRPr="00E30DCB">
        <w:rPr>
          <w:rStyle w:val="apple-converted-space"/>
          <w:rFonts w:asciiTheme="minorHAnsi" w:hAnsiTheme="minorHAnsi" w:cs="Arial"/>
          <w:color w:val="222222"/>
          <w:sz w:val="18"/>
          <w:szCs w:val="18"/>
          <w:shd w:val="clear" w:color="auto" w:fill="FFFFFF"/>
        </w:rPr>
        <w:t> </w:t>
      </w:r>
      <w:r w:rsidRPr="00E30DCB">
        <w:rPr>
          <w:rFonts w:asciiTheme="minorHAnsi" w:hAnsiTheme="minorHAnsi" w:cs="Arial"/>
          <w:i/>
          <w:iCs/>
          <w:color w:val="222222"/>
          <w:sz w:val="18"/>
          <w:szCs w:val="18"/>
          <w:shd w:val="clear" w:color="auto" w:fill="FFFFFF"/>
        </w:rPr>
        <w:t>JAMA</w:t>
      </w:r>
      <w:r w:rsidRPr="00E30DCB">
        <w:rPr>
          <w:rFonts w:asciiTheme="minorHAnsi" w:hAnsiTheme="minorHAnsi" w:cs="Arial"/>
          <w:color w:val="222222"/>
          <w:sz w:val="18"/>
          <w:szCs w:val="18"/>
          <w:shd w:val="clear" w:color="auto" w:fill="FFFFFF"/>
        </w:rPr>
        <w:t xml:space="preserve"> </w:t>
      </w:r>
      <w:r w:rsidRPr="00E30DCB">
        <w:rPr>
          <w:rFonts w:asciiTheme="minorHAnsi" w:hAnsiTheme="minorHAnsi" w:cs="Arial"/>
          <w:i/>
          <w:iCs/>
          <w:color w:val="222222"/>
          <w:sz w:val="18"/>
          <w:szCs w:val="18"/>
          <w:shd w:val="clear" w:color="auto" w:fill="FFFFFF"/>
        </w:rPr>
        <w:t>316</w:t>
      </w:r>
      <w:r w:rsidRPr="00E30DCB">
        <w:rPr>
          <w:rFonts w:asciiTheme="minorHAnsi" w:hAnsiTheme="minorHAnsi" w:cs="Arial"/>
          <w:color w:val="222222"/>
          <w:sz w:val="18"/>
          <w:szCs w:val="18"/>
          <w:shd w:val="clear" w:color="auto" w:fill="FFFFFF"/>
        </w:rPr>
        <w:t>(12), pp.1289-1297.</w:t>
      </w:r>
    </w:p>
  </w:endnote>
  <w:endnote w:id="45">
    <w:p w14:paraId="219801E3" w14:textId="392D1A6C"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Thomson PD What to Believe and do about Statin Associated Adverse Effects </w:t>
      </w:r>
      <w:r w:rsidRPr="00E30DCB">
        <w:rPr>
          <w:rFonts w:asciiTheme="minorHAnsi" w:hAnsiTheme="minorHAnsi"/>
          <w:i/>
          <w:sz w:val="18"/>
          <w:szCs w:val="18"/>
        </w:rPr>
        <w:t xml:space="preserve">JAMA </w:t>
      </w:r>
      <w:r w:rsidRPr="00E30DCB">
        <w:rPr>
          <w:rFonts w:asciiTheme="minorHAnsi" w:hAnsiTheme="minorHAnsi"/>
          <w:sz w:val="18"/>
          <w:szCs w:val="18"/>
        </w:rPr>
        <w:t>November 15, 2016 Volume 316, Number 19</w:t>
      </w:r>
      <w:r>
        <w:rPr>
          <w:rFonts w:asciiTheme="minorHAnsi" w:hAnsiTheme="minorHAnsi"/>
          <w:sz w:val="18"/>
          <w:szCs w:val="18"/>
        </w:rPr>
        <w:t>.</w:t>
      </w:r>
    </w:p>
  </w:endnote>
  <w:endnote w:id="46">
    <w:p w14:paraId="5F8D35FB" w14:textId="453CB901"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Thomson PD et al Statin Associated Side Effects. </w:t>
      </w:r>
      <w:r w:rsidRPr="00E30DCB">
        <w:rPr>
          <w:rFonts w:asciiTheme="minorHAnsi" w:hAnsiTheme="minorHAnsi"/>
          <w:i/>
          <w:sz w:val="18"/>
          <w:szCs w:val="18"/>
        </w:rPr>
        <w:t>J Am Coll Cardiol</w:t>
      </w:r>
      <w:r w:rsidRPr="00E30DCB">
        <w:rPr>
          <w:rFonts w:asciiTheme="minorHAnsi" w:hAnsiTheme="minorHAnsi"/>
          <w:sz w:val="18"/>
          <w:szCs w:val="18"/>
        </w:rPr>
        <w:t>.2016;67(20):2395-2410</w:t>
      </w:r>
      <w:r>
        <w:rPr>
          <w:rFonts w:asciiTheme="minorHAnsi" w:hAnsiTheme="minorHAnsi"/>
          <w:sz w:val="18"/>
          <w:szCs w:val="18"/>
        </w:rPr>
        <w:t>.</w:t>
      </w:r>
    </w:p>
  </w:endnote>
  <w:endnote w:id="47">
    <w:p w14:paraId="475CDA31" w14:textId="08DA4B4C"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Cohen JD, Brinton EA, ITO MK et al. Understanding Satin Use in America and Gaps in Patient Education (USAGE): an internet based survey of 10,138 current and former statin users. </w:t>
      </w:r>
      <w:r w:rsidRPr="00E30DCB">
        <w:rPr>
          <w:rFonts w:asciiTheme="minorHAnsi" w:hAnsiTheme="minorHAnsi"/>
          <w:i/>
          <w:sz w:val="18"/>
          <w:szCs w:val="18"/>
        </w:rPr>
        <w:t>J Clin Lipidol</w:t>
      </w:r>
      <w:r w:rsidRPr="00E30DCB">
        <w:rPr>
          <w:rFonts w:asciiTheme="minorHAnsi" w:hAnsiTheme="minorHAnsi"/>
          <w:sz w:val="18"/>
          <w:szCs w:val="18"/>
        </w:rPr>
        <w:t xml:space="preserve"> 2012;6:208-15</w:t>
      </w:r>
      <w:r>
        <w:rPr>
          <w:rFonts w:asciiTheme="minorHAnsi" w:hAnsiTheme="minorHAnsi"/>
          <w:sz w:val="18"/>
          <w:szCs w:val="18"/>
        </w:rPr>
        <w:t>.</w:t>
      </w:r>
    </w:p>
  </w:endnote>
  <w:endnote w:id="48">
    <w:p w14:paraId="502B54E1" w14:textId="5EF94BAA"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w:t>
      </w:r>
      <w:r>
        <w:rPr>
          <w:rFonts w:asciiTheme="minorHAnsi" w:hAnsiTheme="minorHAnsi"/>
          <w:sz w:val="18"/>
          <w:szCs w:val="18"/>
        </w:rPr>
        <w:t xml:space="preserve">OECD (2015), </w:t>
      </w:r>
      <w:hyperlink r:id="rId16" w:history="1">
        <w:r w:rsidRPr="00961E59">
          <w:rPr>
            <w:rStyle w:val="Hyperlink"/>
            <w:rFonts w:asciiTheme="minorHAnsi" w:hAnsiTheme="minorHAnsi"/>
            <w:sz w:val="18"/>
            <w:szCs w:val="18"/>
          </w:rPr>
          <w:t>Health at a Glance 2015: How does Australia compare?</w:t>
        </w:r>
      </w:hyperlink>
      <w:r>
        <w:rPr>
          <w:rFonts w:asciiTheme="minorHAnsi" w:hAnsiTheme="minorHAnsi"/>
          <w:sz w:val="18"/>
          <w:szCs w:val="18"/>
        </w:rPr>
        <w:t>.</w:t>
      </w:r>
    </w:p>
  </w:endnote>
  <w:endnote w:id="49">
    <w:p w14:paraId="296415BB" w14:textId="1CD8A57B"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w:t>
      </w:r>
      <w:r>
        <w:rPr>
          <w:rFonts w:asciiTheme="minorHAnsi" w:hAnsiTheme="minorHAnsi"/>
          <w:sz w:val="18"/>
          <w:szCs w:val="18"/>
        </w:rPr>
        <w:t xml:space="preserve">National Vascular Disease Prevention Alliance (2012). </w:t>
      </w:r>
      <w:hyperlink r:id="rId17" w:history="1">
        <w:r w:rsidRPr="00961E59">
          <w:rPr>
            <w:rStyle w:val="Hyperlink"/>
            <w:rFonts w:asciiTheme="minorHAnsi" w:hAnsiTheme="minorHAnsi"/>
            <w:sz w:val="18"/>
            <w:szCs w:val="18"/>
          </w:rPr>
          <w:t>Australian Absolute Cardiovascular Disease Risk Calculator</w:t>
        </w:r>
      </w:hyperlink>
      <w:r>
        <w:rPr>
          <w:rFonts w:asciiTheme="minorHAnsi" w:hAnsiTheme="minorHAnsi"/>
          <w:sz w:val="18"/>
          <w:szCs w:val="18"/>
        </w:rPr>
        <w:t xml:space="preserve">. </w:t>
      </w:r>
    </w:p>
  </w:endnote>
  <w:endnote w:id="50">
    <w:p w14:paraId="7FA2602D" w14:textId="3AAEDAAB"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Arial"/>
          <w:sz w:val="18"/>
          <w:szCs w:val="18"/>
        </w:rPr>
        <w:t xml:space="preserve">Cannon CP, Blazing MA, Giugliano RP et al Ezetimibe Added to Statin Therapy after Acute Coronary Syndromes </w:t>
      </w:r>
      <w:r w:rsidRPr="00E30DCB">
        <w:rPr>
          <w:rFonts w:asciiTheme="minorHAnsi" w:hAnsiTheme="minorHAnsi" w:cs="Arial"/>
          <w:i/>
          <w:sz w:val="18"/>
          <w:szCs w:val="18"/>
        </w:rPr>
        <w:t>N Engl J Med</w:t>
      </w:r>
      <w:r w:rsidRPr="00E30DCB">
        <w:rPr>
          <w:rFonts w:asciiTheme="minorHAnsi" w:hAnsiTheme="minorHAnsi" w:cs="Arial"/>
          <w:sz w:val="18"/>
          <w:szCs w:val="18"/>
        </w:rPr>
        <w:t xml:space="preserve"> 2015; 372:2387-2397 June 18, 2015DOI: 10.1056/NEJMoa1410489</w:t>
      </w:r>
      <w:r>
        <w:rPr>
          <w:rFonts w:asciiTheme="minorHAnsi" w:hAnsiTheme="minorHAnsi" w:cs="Arial"/>
          <w:sz w:val="18"/>
          <w:szCs w:val="18"/>
        </w:rPr>
        <w:t>.</w:t>
      </w:r>
    </w:p>
  </w:endnote>
  <w:endnote w:id="51">
    <w:p w14:paraId="135095DD" w14:textId="77777777"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Pandor, A. Ara, R. M. et al Ezetimibe monotherapy for cholesterol lowering in 2,722 people: systematic review and meta-analysis of randomized controlled trials </w:t>
      </w:r>
      <w:r w:rsidRPr="00E30DCB">
        <w:rPr>
          <w:rFonts w:asciiTheme="minorHAnsi" w:hAnsiTheme="minorHAnsi"/>
          <w:i/>
          <w:iCs/>
          <w:sz w:val="18"/>
          <w:szCs w:val="18"/>
        </w:rPr>
        <w:t>Journal of Internal Medicine</w:t>
      </w:r>
      <w:r w:rsidRPr="00E30DCB">
        <w:rPr>
          <w:rFonts w:asciiTheme="minorHAnsi" w:hAnsiTheme="minorHAnsi"/>
          <w:sz w:val="18"/>
          <w:szCs w:val="18"/>
        </w:rPr>
        <w:t xml:space="preserve">, 2009, 265(5)568-80.  </w:t>
      </w:r>
    </w:p>
  </w:endnote>
  <w:endnote w:id="52">
    <w:p w14:paraId="197D0723" w14:textId="4A91D873" w:rsidR="006F6651" w:rsidRPr="00E30DCB" w:rsidRDefault="006F6651" w:rsidP="000D5F09">
      <w:pPr>
        <w:spacing w:before="120" w:after="120" w:line="240" w:lineRule="auto"/>
      </w:pPr>
      <w:r w:rsidRPr="00961E59">
        <w:rPr>
          <w:rStyle w:val="EndnoteReference"/>
          <w:rFonts w:asciiTheme="minorHAnsi" w:hAnsiTheme="minorHAnsi"/>
          <w:sz w:val="18"/>
          <w:vertAlign w:val="baseline"/>
        </w:rPr>
        <w:endnoteRef/>
      </w:r>
      <w:r w:rsidRPr="00E30DCB">
        <w:rPr>
          <w:rFonts w:asciiTheme="minorHAnsi" w:hAnsiTheme="minorHAnsi"/>
          <w:sz w:val="18"/>
          <w:szCs w:val="18"/>
        </w:rPr>
        <w:t xml:space="preserve"> Bohula et al :Atherothrombotic Risk Stratification and Ezetimibe for Secondary Prevention</w:t>
      </w:r>
      <w:r w:rsidRPr="00E30DCB">
        <w:rPr>
          <w:rFonts w:asciiTheme="minorHAnsi" w:hAnsiTheme="minorHAnsi" w:cs="Arial"/>
          <w:sz w:val="18"/>
          <w:szCs w:val="18"/>
        </w:rPr>
        <w:t xml:space="preserve"> </w:t>
      </w:r>
      <w:r w:rsidRPr="00E30DCB">
        <w:rPr>
          <w:rFonts w:asciiTheme="minorHAnsi" w:hAnsiTheme="minorHAnsi"/>
          <w:i/>
          <w:sz w:val="18"/>
          <w:szCs w:val="18"/>
        </w:rPr>
        <w:t>JACC</w:t>
      </w:r>
      <w:r w:rsidRPr="00E30DCB">
        <w:rPr>
          <w:rFonts w:asciiTheme="minorHAnsi" w:hAnsiTheme="minorHAnsi"/>
          <w:sz w:val="18"/>
          <w:szCs w:val="18"/>
        </w:rPr>
        <w:t xml:space="preserve"> Vol.69,No.8 2017.</w:t>
      </w:r>
    </w:p>
  </w:endnote>
  <w:endnote w:id="53">
    <w:p w14:paraId="6C878EB9" w14:textId="77777777" w:rsidR="006F6651" w:rsidRPr="00E30DCB" w:rsidRDefault="006F6651" w:rsidP="000D5F09">
      <w:pPr>
        <w:pStyle w:val="EndnoteText"/>
        <w:spacing w:before="120" w:after="120"/>
        <w:jc w:val="left"/>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Arial"/>
          <w:color w:val="222222"/>
          <w:sz w:val="18"/>
          <w:szCs w:val="18"/>
          <w:shd w:val="clear" w:color="auto" w:fill="FFFFFF"/>
        </w:rPr>
        <w:t>Ray, K.K., Ginsberg, H.N., Davidson, M.H., Pordy, R., Bessac, L., Minini, P., Eckel, R.H. and Cannon, C.P., 2016. Reductions in Atherogenic Lipids and Major Cardiovascular Events: A Pooled Analysis of 10 ODYSSEY Trials Comparing Alirocumab to Control.</w:t>
      </w:r>
      <w:r w:rsidRPr="00E30DCB">
        <w:rPr>
          <w:rStyle w:val="apple-converted-space"/>
          <w:rFonts w:asciiTheme="minorHAnsi" w:eastAsiaTheme="majorEastAsia" w:hAnsiTheme="minorHAnsi" w:cs="Arial"/>
          <w:color w:val="222222"/>
          <w:sz w:val="18"/>
          <w:szCs w:val="18"/>
          <w:shd w:val="clear" w:color="auto" w:fill="FFFFFF"/>
        </w:rPr>
        <w:t> </w:t>
      </w:r>
      <w:r w:rsidRPr="00E30DCB">
        <w:rPr>
          <w:rFonts w:asciiTheme="minorHAnsi" w:hAnsiTheme="minorHAnsi" w:cs="Arial"/>
          <w:i/>
          <w:iCs/>
          <w:color w:val="222222"/>
          <w:sz w:val="18"/>
          <w:szCs w:val="18"/>
          <w:shd w:val="clear" w:color="auto" w:fill="FFFFFF"/>
        </w:rPr>
        <w:t>Circulation</w:t>
      </w:r>
      <w:r w:rsidRPr="00E30DCB">
        <w:rPr>
          <w:rFonts w:asciiTheme="minorHAnsi" w:hAnsiTheme="minorHAnsi" w:cs="Arial"/>
          <w:color w:val="222222"/>
          <w:sz w:val="18"/>
          <w:szCs w:val="18"/>
          <w:shd w:val="clear" w:color="auto" w:fill="FFFFFF"/>
        </w:rPr>
        <w:t>, 2016 Oct 24.</w:t>
      </w:r>
    </w:p>
  </w:endnote>
  <w:endnote w:id="54">
    <w:p w14:paraId="277B3436" w14:textId="77777777" w:rsidR="006F6651" w:rsidRPr="00E30DCB" w:rsidRDefault="006F6651" w:rsidP="000D5F09">
      <w:pPr>
        <w:tabs>
          <w:tab w:val="left" w:pos="0"/>
        </w:tabs>
        <w:spacing w:before="120" w:after="120" w:line="240" w:lineRule="auto"/>
        <w:jc w:val="left"/>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Arial"/>
          <w:color w:val="222222"/>
          <w:sz w:val="18"/>
          <w:szCs w:val="18"/>
          <w:shd w:val="clear" w:color="auto" w:fill="FFFFFF"/>
        </w:rPr>
        <w:t>Silverman, M.G., Ference, B.A., IM, K., Wiviott, S.D., Giugliano, R.P., Grundy, S.M., Braunwald, E. and Sabatine, M.S., 2016. Association between lowering LDL-C and cardiovascular risk reduction among different therapeutic interventions: a systematic review and meta-analysis.</w:t>
      </w:r>
      <w:r w:rsidRPr="00E30DCB">
        <w:rPr>
          <w:rStyle w:val="apple-converted-space"/>
          <w:rFonts w:asciiTheme="minorHAnsi" w:hAnsiTheme="minorHAnsi" w:cs="Arial"/>
          <w:color w:val="222222"/>
          <w:sz w:val="18"/>
          <w:szCs w:val="18"/>
          <w:shd w:val="clear" w:color="auto" w:fill="FFFFFF"/>
        </w:rPr>
        <w:t> </w:t>
      </w:r>
      <w:r w:rsidRPr="00E30DCB">
        <w:rPr>
          <w:rFonts w:asciiTheme="minorHAnsi" w:hAnsiTheme="minorHAnsi" w:cs="Arial"/>
          <w:i/>
          <w:iCs/>
          <w:color w:val="222222"/>
          <w:sz w:val="18"/>
          <w:szCs w:val="18"/>
          <w:shd w:val="clear" w:color="auto" w:fill="FFFFFF"/>
        </w:rPr>
        <w:t>JAMA</w:t>
      </w:r>
      <w:r w:rsidRPr="00E30DCB">
        <w:rPr>
          <w:rFonts w:asciiTheme="minorHAnsi" w:hAnsiTheme="minorHAnsi" w:cs="Arial"/>
          <w:color w:val="222222"/>
          <w:sz w:val="18"/>
          <w:szCs w:val="18"/>
          <w:shd w:val="clear" w:color="auto" w:fill="FFFFFF"/>
        </w:rPr>
        <w:t xml:space="preserve"> </w:t>
      </w:r>
      <w:r w:rsidRPr="00E30DCB">
        <w:rPr>
          <w:rFonts w:asciiTheme="minorHAnsi" w:hAnsiTheme="minorHAnsi" w:cs="Arial"/>
          <w:i/>
          <w:iCs/>
          <w:color w:val="222222"/>
          <w:sz w:val="18"/>
          <w:szCs w:val="18"/>
          <w:shd w:val="clear" w:color="auto" w:fill="FFFFFF"/>
        </w:rPr>
        <w:t>316</w:t>
      </w:r>
      <w:r w:rsidRPr="00E30DCB">
        <w:rPr>
          <w:rFonts w:asciiTheme="minorHAnsi" w:hAnsiTheme="minorHAnsi" w:cs="Arial"/>
          <w:color w:val="222222"/>
          <w:sz w:val="18"/>
          <w:szCs w:val="18"/>
          <w:shd w:val="clear" w:color="auto" w:fill="FFFFFF"/>
        </w:rPr>
        <w:t>(12), pp.1289-1297.</w:t>
      </w:r>
    </w:p>
  </w:endnote>
  <w:endnote w:id="55">
    <w:p w14:paraId="3C8ECFC3" w14:textId="1CF5CE41"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Anderson TJ (2016) Editorial: Bringing Structure to the Art of Lipid Lowering Therapy. </w:t>
      </w:r>
      <w:r w:rsidRPr="00E30DCB">
        <w:rPr>
          <w:rFonts w:asciiTheme="minorHAnsi" w:hAnsiTheme="minorHAnsi"/>
          <w:i/>
          <w:sz w:val="18"/>
          <w:szCs w:val="18"/>
        </w:rPr>
        <w:t>Journal of the American College of Cardiology</w:t>
      </w:r>
      <w:r w:rsidRPr="00E30DCB">
        <w:rPr>
          <w:rFonts w:asciiTheme="minorHAnsi" w:hAnsiTheme="minorHAnsi"/>
          <w:sz w:val="18"/>
          <w:szCs w:val="18"/>
        </w:rPr>
        <w:t xml:space="preserve"> Vol68,No.22</w:t>
      </w:r>
      <w:r>
        <w:rPr>
          <w:rFonts w:asciiTheme="minorHAnsi" w:hAnsiTheme="minorHAnsi"/>
          <w:sz w:val="18"/>
          <w:szCs w:val="18"/>
        </w:rPr>
        <w:t>.</w:t>
      </w:r>
    </w:p>
  </w:endnote>
  <w:endnote w:id="56">
    <w:p w14:paraId="4DC54501" w14:textId="65FFB6CB" w:rsidR="006F6651" w:rsidRPr="00E30DCB" w:rsidRDefault="006F6651" w:rsidP="000D5F09">
      <w:pPr>
        <w:pStyle w:val="EndnoteText"/>
        <w:spacing w:before="120" w:after="120"/>
        <w:rPr>
          <w:rFonts w:asciiTheme="minorHAnsi" w:eastAsiaTheme="minorHAnsi" w:hAnsiTheme="minorHAnsi" w:cs="Arial"/>
          <w:color w:val="222222"/>
          <w:sz w:val="18"/>
          <w:szCs w:val="18"/>
          <w:shd w:val="clear" w:color="auto" w:fill="FFFFFF"/>
          <w:lang w:eastAsia="en-US"/>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Robinson JG (2016) Determining When to Add Non-Statin Therapy - A Quantitative Approach. </w:t>
      </w:r>
      <w:r w:rsidRPr="00E30DCB">
        <w:rPr>
          <w:rFonts w:asciiTheme="minorHAnsi" w:hAnsiTheme="minorHAnsi"/>
          <w:i/>
          <w:sz w:val="18"/>
          <w:szCs w:val="18"/>
        </w:rPr>
        <w:t>Journal of the American College of Cardiology</w:t>
      </w:r>
      <w:r w:rsidRPr="00E30DCB">
        <w:rPr>
          <w:rFonts w:asciiTheme="minorHAnsi" w:hAnsiTheme="minorHAnsi"/>
          <w:sz w:val="18"/>
          <w:szCs w:val="18"/>
        </w:rPr>
        <w:t>, Vol68,No.22</w:t>
      </w:r>
      <w:r>
        <w:rPr>
          <w:rFonts w:asciiTheme="minorHAnsi" w:hAnsiTheme="minorHAnsi"/>
          <w:sz w:val="18"/>
          <w:szCs w:val="18"/>
        </w:rPr>
        <w:t>.</w:t>
      </w:r>
    </w:p>
  </w:endnote>
  <w:endnote w:id="57">
    <w:p w14:paraId="23F5170C" w14:textId="77777777" w:rsidR="006F6651" w:rsidRPr="00E30DCB" w:rsidRDefault="006F6651" w:rsidP="000D5F09">
      <w:pPr>
        <w:spacing w:before="120" w:after="120" w:line="240" w:lineRule="auto"/>
        <w:rPr>
          <w:rFonts w:asciiTheme="minorHAnsi" w:hAnsiTheme="minorHAnsi"/>
          <w:sz w:val="18"/>
          <w:szCs w:val="18"/>
        </w:rPr>
      </w:pPr>
      <w:r w:rsidRPr="00E30DCB">
        <w:rPr>
          <w:rFonts w:asciiTheme="minorHAnsi" w:hAnsiTheme="minorHAnsi" w:cs="Arial"/>
          <w:color w:val="222222"/>
          <w:sz w:val="18"/>
          <w:szCs w:val="18"/>
          <w:shd w:val="clear" w:color="auto" w:fill="FFFFFF"/>
        </w:rPr>
        <w:endnoteRef/>
      </w:r>
      <w:r w:rsidRPr="00E30DCB">
        <w:rPr>
          <w:rFonts w:asciiTheme="minorHAnsi" w:hAnsiTheme="minorHAnsi" w:cs="Arial"/>
          <w:color w:val="222222"/>
          <w:sz w:val="18"/>
          <w:szCs w:val="18"/>
          <w:shd w:val="clear" w:color="auto" w:fill="FFFFFF"/>
        </w:rPr>
        <w:t xml:space="preserve"> Bohula et al: Atherothrombotic Risk Stratification and Ezetimibe for Secondary Prevention </w:t>
      </w:r>
      <w:r w:rsidRPr="00E30DCB">
        <w:rPr>
          <w:rFonts w:asciiTheme="minorHAnsi" w:hAnsiTheme="minorHAnsi" w:cs="Arial"/>
          <w:i/>
          <w:color w:val="222222"/>
          <w:sz w:val="18"/>
          <w:szCs w:val="18"/>
          <w:shd w:val="clear" w:color="auto" w:fill="FFFFFF"/>
        </w:rPr>
        <w:t>JACC</w:t>
      </w:r>
      <w:r w:rsidRPr="00E30DCB">
        <w:rPr>
          <w:rFonts w:asciiTheme="minorHAnsi" w:hAnsiTheme="minorHAnsi" w:cs="Arial"/>
          <w:color w:val="222222"/>
          <w:sz w:val="18"/>
          <w:szCs w:val="18"/>
          <w:shd w:val="clear" w:color="auto" w:fill="FFFFFF"/>
        </w:rPr>
        <w:t xml:space="preserve"> Vol.69,No.8 2017.</w:t>
      </w:r>
    </w:p>
  </w:endnote>
  <w:endnote w:id="58">
    <w:p w14:paraId="0C81FF7A" w14:textId="77777777"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eastAsiaTheme="minorHAnsi" w:hAnsiTheme="minorHAnsi" w:cs="Arial"/>
          <w:color w:val="222222"/>
          <w:sz w:val="18"/>
          <w:szCs w:val="18"/>
          <w:shd w:val="clear" w:color="auto" w:fill="FFFFFF"/>
          <w:lang w:eastAsia="en-US"/>
        </w:rPr>
        <w:t>AHRQ 2009. Sharma M, Ansari MT, Abou-Setta AM, Soares-Weiser K, Ooi TC, Sears M, et al. Systematic review: comparative effectiveness and harms of combination therapy and monotherapy for dyslipidemia. Ann Intern Med. 2009a;151:622-30.</w:t>
      </w:r>
      <w:r w:rsidRPr="00E30DCB">
        <w:rPr>
          <w:rFonts w:asciiTheme="minorHAnsi" w:hAnsiTheme="minorHAnsi"/>
          <w:sz w:val="18"/>
          <w:szCs w:val="18"/>
        </w:rPr>
        <w:t xml:space="preserve">  </w:t>
      </w:r>
    </w:p>
  </w:endnote>
  <w:endnote w:id="59">
    <w:p w14:paraId="7232B62C" w14:textId="0D740BA1"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Mikhailidis DP Comparative efficacy of the addition of ezetimibe to statin vs statin titration in patients with hypercholesterolaemia: systematic review and meta-analysis. </w:t>
      </w:r>
      <w:r w:rsidRPr="00E30DCB">
        <w:rPr>
          <w:rFonts w:asciiTheme="minorHAnsi" w:hAnsiTheme="minorHAnsi"/>
          <w:i/>
          <w:iCs/>
          <w:sz w:val="18"/>
          <w:szCs w:val="18"/>
        </w:rPr>
        <w:t xml:space="preserve">Curr Med Res Opin. </w:t>
      </w:r>
      <w:r w:rsidRPr="00E30DCB">
        <w:rPr>
          <w:rFonts w:asciiTheme="minorHAnsi" w:hAnsiTheme="minorHAnsi"/>
          <w:sz w:val="18"/>
          <w:szCs w:val="18"/>
        </w:rPr>
        <w:t>2011 Jun;27(6):1191-210</w:t>
      </w:r>
      <w:r>
        <w:rPr>
          <w:rFonts w:asciiTheme="minorHAnsi" w:hAnsiTheme="minorHAnsi"/>
          <w:sz w:val="18"/>
          <w:szCs w:val="18"/>
        </w:rPr>
        <w:t>.</w:t>
      </w:r>
      <w:r w:rsidRPr="00E30DCB">
        <w:rPr>
          <w:rFonts w:asciiTheme="minorHAnsi" w:hAnsiTheme="minorHAnsi"/>
          <w:sz w:val="18"/>
          <w:szCs w:val="18"/>
        </w:rPr>
        <w:t xml:space="preserve">  </w:t>
      </w:r>
    </w:p>
  </w:endnote>
  <w:endnote w:id="60">
    <w:p w14:paraId="1E83A16F" w14:textId="77777777"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Ara R, Tumur I, Pandor A, Duenas A, Williams R, Wilkinson A, et al. Ezetimibe for the treatment of hyper cholesterolaemia: a systematic review and economic evaluation. </w:t>
      </w:r>
      <w:r w:rsidRPr="00E30DCB">
        <w:rPr>
          <w:rFonts w:asciiTheme="minorHAnsi" w:hAnsiTheme="minorHAnsi"/>
          <w:i/>
          <w:iCs/>
          <w:sz w:val="18"/>
          <w:szCs w:val="18"/>
        </w:rPr>
        <w:t xml:space="preserve">Health Technology Assessment </w:t>
      </w:r>
      <w:r w:rsidRPr="00E30DCB">
        <w:rPr>
          <w:rFonts w:asciiTheme="minorHAnsi" w:hAnsiTheme="minorHAnsi"/>
          <w:sz w:val="18"/>
          <w:szCs w:val="18"/>
        </w:rPr>
        <w:t xml:space="preserve">2008;12(21)  </w:t>
      </w:r>
    </w:p>
  </w:endnote>
  <w:endnote w:id="61">
    <w:p w14:paraId="3AD4E4EF" w14:textId="4E138D98"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w:t>
      </w:r>
      <w:r>
        <w:rPr>
          <w:rFonts w:asciiTheme="minorHAnsi" w:hAnsiTheme="minorHAnsi"/>
          <w:sz w:val="18"/>
          <w:szCs w:val="18"/>
        </w:rPr>
        <w:t xml:space="preserve">NICE (2015). </w:t>
      </w:r>
      <w:hyperlink r:id="rId18" w:history="1">
        <w:r w:rsidRPr="00961E59">
          <w:rPr>
            <w:rStyle w:val="Hyperlink"/>
            <w:rFonts w:asciiTheme="minorHAnsi" w:hAnsiTheme="minorHAnsi"/>
            <w:sz w:val="18"/>
            <w:szCs w:val="18"/>
          </w:rPr>
          <w:t>Final appraisal determination: Ezetimibe for treating primary heterozygous famial and non-famial hypercholesterolaemia</w:t>
        </w:r>
      </w:hyperlink>
      <w:r>
        <w:rPr>
          <w:rFonts w:asciiTheme="minorHAnsi" w:hAnsiTheme="minorHAnsi"/>
          <w:sz w:val="18"/>
          <w:szCs w:val="18"/>
        </w:rPr>
        <w:t>.</w:t>
      </w:r>
    </w:p>
  </w:endnote>
  <w:endnote w:id="62">
    <w:p w14:paraId="145F74DA" w14:textId="5F2BE512" w:rsidR="006F6651" w:rsidRPr="00E30DCB" w:rsidRDefault="006F6651" w:rsidP="000D5F09">
      <w:pPr>
        <w:spacing w:before="120" w:after="120" w:line="0" w:lineRule="atLeast"/>
        <w:outlineLvl w:val="1"/>
        <w:rPr>
          <w:rFonts w:asciiTheme="minorHAnsi" w:hAnsiTheme="minorHAnsi"/>
          <w:sz w:val="18"/>
          <w:szCs w:val="18"/>
        </w:rPr>
      </w:pPr>
      <w:r w:rsidRPr="00AE1E65">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Arial"/>
          <w:sz w:val="18"/>
          <w:szCs w:val="18"/>
        </w:rPr>
        <w:t xml:space="preserve">Cannon CP, Blazing MA, Giugliano RP et al </w:t>
      </w:r>
      <w:r w:rsidRPr="00E30DCB">
        <w:rPr>
          <w:rFonts w:asciiTheme="minorHAnsi" w:hAnsiTheme="minorHAnsi" w:cs="Arial"/>
          <w:bCs/>
          <w:kern w:val="36"/>
          <w:sz w:val="18"/>
          <w:szCs w:val="18"/>
        </w:rPr>
        <w:t xml:space="preserve">Ezetimibe Added to Statin Therapy after Acute Coronary Syndromes </w:t>
      </w:r>
      <w:r w:rsidRPr="00E30DCB">
        <w:rPr>
          <w:rStyle w:val="citation"/>
          <w:rFonts w:asciiTheme="minorHAnsi" w:hAnsiTheme="minorHAnsi" w:cs="Arial"/>
          <w:i/>
          <w:sz w:val="18"/>
          <w:szCs w:val="18"/>
        </w:rPr>
        <w:t>N Engl J Med</w:t>
      </w:r>
      <w:r w:rsidRPr="00E30DCB">
        <w:rPr>
          <w:rStyle w:val="citation"/>
          <w:rFonts w:asciiTheme="minorHAnsi" w:hAnsiTheme="minorHAnsi" w:cs="Arial"/>
          <w:sz w:val="18"/>
          <w:szCs w:val="18"/>
        </w:rPr>
        <w:t xml:space="preserve"> 2015; 372:2387-2397 </w:t>
      </w:r>
      <w:hyperlink r:id="rId19" w:history="1">
        <w:r w:rsidRPr="00E30DCB">
          <w:rPr>
            <w:rStyle w:val="Hyperlink"/>
            <w:rFonts w:asciiTheme="minorHAnsi" w:hAnsiTheme="minorHAnsi" w:cs="Arial"/>
            <w:color w:val="auto"/>
            <w:sz w:val="18"/>
            <w:szCs w:val="18"/>
            <w:u w:val="none"/>
          </w:rPr>
          <w:t>June 18, 2015</w:t>
        </w:r>
      </w:hyperlink>
      <w:r w:rsidRPr="00E30DCB">
        <w:rPr>
          <w:rStyle w:val="Hyperlink"/>
          <w:rFonts w:asciiTheme="minorHAnsi" w:hAnsiTheme="minorHAnsi" w:cs="Arial"/>
          <w:color w:val="auto"/>
          <w:sz w:val="18"/>
          <w:szCs w:val="18"/>
        </w:rPr>
        <w:t xml:space="preserve"> </w:t>
      </w:r>
      <w:r w:rsidRPr="00E30DCB">
        <w:rPr>
          <w:rStyle w:val="doi1"/>
          <w:rFonts w:asciiTheme="minorHAnsi" w:hAnsiTheme="minorHAnsi" w:cs="Arial"/>
          <w:color w:val="auto"/>
          <w:sz w:val="18"/>
          <w:szCs w:val="18"/>
        </w:rPr>
        <w:t>DOI: 10.1056/NEJMoa1410489</w:t>
      </w:r>
      <w:r>
        <w:rPr>
          <w:rStyle w:val="doi1"/>
          <w:rFonts w:asciiTheme="minorHAnsi" w:hAnsiTheme="minorHAnsi" w:cs="Arial"/>
          <w:color w:val="auto"/>
          <w:sz w:val="18"/>
          <w:szCs w:val="18"/>
        </w:rPr>
        <w:t>.</w:t>
      </w:r>
    </w:p>
  </w:endnote>
  <w:endnote w:id="63">
    <w:p w14:paraId="2D12825F" w14:textId="77777777" w:rsidR="006F6651" w:rsidRPr="00E30DCB" w:rsidRDefault="006F6651" w:rsidP="000D5F09">
      <w:pPr>
        <w:pStyle w:val="EndnoteText"/>
        <w:spacing w:before="120" w:after="120"/>
        <w:jc w:val="left"/>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Arial"/>
          <w:color w:val="222222"/>
          <w:sz w:val="18"/>
          <w:szCs w:val="18"/>
          <w:shd w:val="clear" w:color="auto" w:fill="FFFFFF"/>
        </w:rPr>
        <w:t>Ray, K.K., Ginsberg, H.N., Davidson, M.H., Pordy, R., Bessac, L., Minini, P., Eckel, R.H. and Cannon, C.P., 2016. Reductions in Atherogenic Lipids and Major Cardiovascular Events: A Pooled Analysis of 10 ODYSSEY Trials Comparing Alirocumab to Control.</w:t>
      </w:r>
      <w:r w:rsidRPr="00E30DCB">
        <w:rPr>
          <w:rStyle w:val="apple-converted-space"/>
          <w:rFonts w:asciiTheme="minorHAnsi" w:eastAsiaTheme="majorEastAsia" w:hAnsiTheme="minorHAnsi" w:cs="Arial"/>
          <w:color w:val="222222"/>
          <w:sz w:val="18"/>
          <w:szCs w:val="18"/>
          <w:shd w:val="clear" w:color="auto" w:fill="FFFFFF"/>
        </w:rPr>
        <w:t> </w:t>
      </w:r>
      <w:r w:rsidRPr="00E30DCB">
        <w:rPr>
          <w:rFonts w:asciiTheme="minorHAnsi" w:hAnsiTheme="minorHAnsi" w:cs="Arial"/>
          <w:i/>
          <w:iCs/>
          <w:color w:val="222222"/>
          <w:sz w:val="18"/>
          <w:szCs w:val="18"/>
          <w:shd w:val="clear" w:color="auto" w:fill="FFFFFF"/>
        </w:rPr>
        <w:t>Circulation</w:t>
      </w:r>
      <w:r w:rsidRPr="00E30DCB">
        <w:rPr>
          <w:rFonts w:asciiTheme="minorHAnsi" w:hAnsiTheme="minorHAnsi" w:cs="Arial"/>
          <w:color w:val="222222"/>
          <w:sz w:val="18"/>
          <w:szCs w:val="18"/>
          <w:shd w:val="clear" w:color="auto" w:fill="FFFFFF"/>
        </w:rPr>
        <w:t>, 2016 Oct 24.</w:t>
      </w:r>
    </w:p>
  </w:endnote>
  <w:endnote w:id="64">
    <w:p w14:paraId="3A2052AD" w14:textId="59DC9339" w:rsidR="006F6651" w:rsidRPr="00E30DCB" w:rsidRDefault="006F6651" w:rsidP="000D5F09">
      <w:pPr>
        <w:pStyle w:val="EndnoteText"/>
        <w:spacing w:before="120" w:after="120"/>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w:t>
      </w:r>
      <w:r w:rsidRPr="00E30DCB">
        <w:rPr>
          <w:rFonts w:asciiTheme="minorHAnsi" w:hAnsiTheme="minorHAnsi" w:cs="Arial"/>
          <w:sz w:val="18"/>
          <w:szCs w:val="18"/>
        </w:rPr>
        <w:t xml:space="preserve">Cannon CP, Blazing MA, Giugliano RP et al Ezetimibe Added to Statin Therapy after Acute Coronary Syndromes </w:t>
      </w:r>
      <w:r w:rsidRPr="00E30DCB">
        <w:rPr>
          <w:rFonts w:asciiTheme="minorHAnsi" w:hAnsiTheme="minorHAnsi" w:cs="Arial"/>
          <w:i/>
          <w:sz w:val="18"/>
          <w:szCs w:val="18"/>
        </w:rPr>
        <w:t>N Engl J Med</w:t>
      </w:r>
      <w:r w:rsidRPr="00E30DCB">
        <w:rPr>
          <w:rFonts w:asciiTheme="minorHAnsi" w:hAnsiTheme="minorHAnsi" w:cs="Arial"/>
          <w:sz w:val="18"/>
          <w:szCs w:val="18"/>
        </w:rPr>
        <w:t xml:space="preserve"> 2015; 372:2387-2397 June 18, 2015DOI: 10.1056/NEJMoa1410489</w:t>
      </w:r>
      <w:r>
        <w:rPr>
          <w:rFonts w:asciiTheme="minorHAnsi" w:hAnsiTheme="minorHAnsi" w:cs="Arial"/>
          <w:sz w:val="18"/>
          <w:szCs w:val="18"/>
        </w:rPr>
        <w:t>.</w:t>
      </w:r>
    </w:p>
  </w:endnote>
  <w:endnote w:id="65">
    <w:p w14:paraId="05107A5D" w14:textId="3956DD34" w:rsidR="006F6651" w:rsidRPr="00E30DCB" w:rsidRDefault="006F6651" w:rsidP="000D5F09">
      <w:pPr>
        <w:spacing w:before="120" w:after="120" w:line="240" w:lineRule="auto"/>
        <w:jc w:val="left"/>
        <w:rPr>
          <w:rFonts w:asciiTheme="minorHAnsi" w:hAnsiTheme="minorHAnsi"/>
          <w:sz w:val="18"/>
          <w:szCs w:val="18"/>
        </w:rPr>
      </w:pPr>
      <w:r w:rsidRPr="000D5F09">
        <w:rPr>
          <w:rStyle w:val="EndnoteReference"/>
          <w:rFonts w:asciiTheme="minorHAnsi" w:hAnsiTheme="minorHAnsi"/>
          <w:sz w:val="18"/>
          <w:vertAlign w:val="baseline"/>
        </w:rPr>
        <w:endnoteRef/>
      </w:r>
      <w:r w:rsidRPr="00E30DCB">
        <w:rPr>
          <w:rFonts w:asciiTheme="minorHAnsi" w:hAnsiTheme="minorHAnsi"/>
          <w:sz w:val="18"/>
          <w:szCs w:val="18"/>
        </w:rPr>
        <w:t xml:space="preserve"> </w:t>
      </w:r>
      <w:r>
        <w:rPr>
          <w:rFonts w:asciiTheme="minorHAnsi" w:eastAsia="Calibri" w:hAnsiTheme="minorHAnsi" w:cs="Times New Roman"/>
          <w:sz w:val="18"/>
          <w:szCs w:val="18"/>
        </w:rPr>
        <w:t>Huston L</w:t>
      </w:r>
      <w:r w:rsidRPr="00E30DCB">
        <w:rPr>
          <w:rFonts w:asciiTheme="minorHAnsi" w:eastAsia="Calibri" w:hAnsiTheme="minorHAnsi" w:cs="Times New Roman"/>
          <w:sz w:val="18"/>
          <w:szCs w:val="18"/>
        </w:rPr>
        <w:t xml:space="preserve">, (2016). [online] </w:t>
      </w:r>
      <w:hyperlink r:id="rId20" w:history="1">
        <w:r w:rsidRPr="00961E59">
          <w:rPr>
            <w:rStyle w:val="Hyperlink"/>
            <w:rFonts w:asciiTheme="minorHAnsi" w:eastAsia="Calibri" w:hAnsiTheme="minorHAnsi" w:cs="Times New Roman"/>
            <w:sz w:val="18"/>
            <w:szCs w:val="18"/>
          </w:rPr>
          <w:t>CardioBrief: FDA Panel Rejects Broader Ezetimibe Indication</w:t>
        </w:r>
      </w:hyperlink>
      <w:r>
        <w:rPr>
          <w:rFonts w:asciiTheme="minorHAnsi" w:eastAsia="Calibri" w:hAnsiTheme="minorHAnsi" w:cs="Times New Roman"/>
          <w:sz w:val="18"/>
          <w:szCs w:val="18"/>
        </w:rPr>
        <w:t xml:space="preserve">, </w:t>
      </w:r>
      <w:r w:rsidRPr="00E30DCB">
        <w:rPr>
          <w:rFonts w:asciiTheme="minorHAnsi" w:eastAsia="Calibri" w:hAnsiTheme="minorHAnsi" w:cs="Times New Roman"/>
          <w:sz w:val="18"/>
          <w:szCs w:val="18"/>
        </w:rPr>
        <w:t>Medpage Today Accessed 8 Dec. 2016.</w:t>
      </w:r>
    </w:p>
    <w:p w14:paraId="6432E826" w14:textId="77777777" w:rsidR="006F6651" w:rsidRPr="00E30DCB" w:rsidRDefault="006F665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eBold">
    <w:altName w:val="MuseeBold"/>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FPEF">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FranklinGothicITCbyBT-Boo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19A6" w14:textId="77777777" w:rsidR="00787E7D" w:rsidRDefault="00787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592815"/>
      <w:docPartObj>
        <w:docPartGallery w:val="Page Numbers (Bottom of Page)"/>
        <w:docPartUnique/>
      </w:docPartObj>
    </w:sdtPr>
    <w:sdtEndPr>
      <w:rPr>
        <w:noProof/>
      </w:rPr>
    </w:sdtEndPr>
    <w:sdtContent>
      <w:p w14:paraId="45487B68" w14:textId="77777777" w:rsidR="006F6651" w:rsidRDefault="006F6651">
        <w:pPr>
          <w:pStyle w:val="Footer"/>
          <w:jc w:val="right"/>
        </w:pPr>
        <w:r>
          <w:fldChar w:fldCharType="begin"/>
        </w:r>
        <w:r>
          <w:instrText xml:space="preserve"> PAGE   \* MERGEFORMAT </w:instrText>
        </w:r>
        <w:r>
          <w:fldChar w:fldCharType="separate"/>
        </w:r>
        <w:r w:rsidR="00787E7D">
          <w:rPr>
            <w:noProof/>
          </w:rPr>
          <w:t>9</w:t>
        </w:r>
        <w:r>
          <w:rPr>
            <w:noProof/>
          </w:rPr>
          <w:fldChar w:fldCharType="end"/>
        </w:r>
      </w:p>
    </w:sdtContent>
  </w:sdt>
  <w:p w14:paraId="08B310D6" w14:textId="77777777" w:rsidR="006F6651" w:rsidRPr="00212FCE" w:rsidRDefault="006F6651">
    <w:pPr>
      <w:pStyle w:val="Footer"/>
      <w:jc w:val="right"/>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3195B" w14:textId="77777777" w:rsidR="006F6651" w:rsidRDefault="006F6651" w:rsidP="005879E3">
    <w:pPr>
      <w:pStyle w:val="Footer"/>
      <w:jc w:val="center"/>
    </w:pPr>
    <w:r>
      <w:t>Committee-in confidence</w:t>
    </w:r>
  </w:p>
  <w:p w14:paraId="2A507799" w14:textId="77777777" w:rsidR="006F6651" w:rsidRDefault="006F6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55034" w14:textId="77777777" w:rsidR="003435B0" w:rsidRDefault="003435B0" w:rsidP="0000686B">
      <w:pPr>
        <w:spacing w:after="0" w:line="240" w:lineRule="auto"/>
      </w:pPr>
      <w:r>
        <w:separator/>
      </w:r>
    </w:p>
  </w:footnote>
  <w:footnote w:type="continuationSeparator" w:id="0">
    <w:p w14:paraId="20B0AB92" w14:textId="77777777" w:rsidR="003435B0" w:rsidRDefault="003435B0" w:rsidP="0000686B">
      <w:pPr>
        <w:spacing w:after="0" w:line="240" w:lineRule="auto"/>
      </w:pPr>
      <w:r>
        <w:continuationSeparator/>
      </w:r>
    </w:p>
  </w:footnote>
  <w:footnote w:type="continuationNotice" w:id="1">
    <w:p w14:paraId="4A74B465" w14:textId="77777777" w:rsidR="003435B0" w:rsidRDefault="003435B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B6896" w14:textId="77777777" w:rsidR="00787E7D" w:rsidRDefault="00787E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6DCA4" w14:textId="77777777" w:rsidR="00787E7D" w:rsidRDefault="00787E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7DED6" w14:textId="77777777" w:rsidR="006F6651" w:rsidRDefault="006F6651" w:rsidP="005879E3">
    <w:pPr>
      <w:pStyle w:val="Footer"/>
      <w:jc w:val="center"/>
    </w:pPr>
    <w:r>
      <w:t>Committee-in-confidence</w:t>
    </w:r>
  </w:p>
  <w:p w14:paraId="43CC6766" w14:textId="77777777" w:rsidR="006F6651" w:rsidRDefault="006F6651">
    <w:pPr>
      <w:pStyle w:val="Header"/>
    </w:pPr>
  </w:p>
  <w:p w14:paraId="13A77B9D" w14:textId="77777777" w:rsidR="006F6651" w:rsidRDefault="006F6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26C2FE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C94F56"/>
    <w:multiLevelType w:val="hybridMultilevel"/>
    <w:tmpl w:val="510006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1110770"/>
    <w:multiLevelType w:val="hybridMultilevel"/>
    <w:tmpl w:val="961C3EFA"/>
    <w:lvl w:ilvl="0" w:tplc="0C090001">
      <w:start w:val="1"/>
      <w:numFmt w:val="bullet"/>
      <w:lvlText w:val=""/>
      <w:lvlJc w:val="left"/>
      <w:pPr>
        <w:ind w:left="696"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
    <w:nsid w:val="043F109E"/>
    <w:multiLevelType w:val="hybridMultilevel"/>
    <w:tmpl w:val="7CF061BC"/>
    <w:lvl w:ilvl="0" w:tplc="0C090001">
      <w:start w:val="1"/>
      <w:numFmt w:val="bullet"/>
      <w:lvlText w:val=""/>
      <w:lvlJc w:val="left"/>
      <w:pPr>
        <w:ind w:left="720" w:hanging="360"/>
      </w:pPr>
      <w:rPr>
        <w:rFonts w:ascii="Symbol" w:hAnsi="Symbol"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9A4140D"/>
    <w:multiLevelType w:val="hybridMultilevel"/>
    <w:tmpl w:val="EA9612C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681805"/>
    <w:multiLevelType w:val="hybridMultilevel"/>
    <w:tmpl w:val="1D188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4A7448"/>
    <w:multiLevelType w:val="hybridMultilevel"/>
    <w:tmpl w:val="80E07CE2"/>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8">
    <w:nsid w:val="12770A17"/>
    <w:multiLevelType w:val="hybridMultilevel"/>
    <w:tmpl w:val="16BEB75A"/>
    <w:lvl w:ilvl="0" w:tplc="75888588">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8B59EA"/>
    <w:multiLevelType w:val="hybridMultilevel"/>
    <w:tmpl w:val="7BA6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0800FB"/>
    <w:multiLevelType w:val="hybridMultilevel"/>
    <w:tmpl w:val="8536E59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493750"/>
    <w:multiLevelType w:val="hybridMultilevel"/>
    <w:tmpl w:val="B1F81C6C"/>
    <w:lvl w:ilvl="0" w:tplc="0C09000F">
      <w:start w:val="1"/>
      <w:numFmt w:val="decimal"/>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1AD1216"/>
    <w:multiLevelType w:val="multilevel"/>
    <w:tmpl w:val="ED9CFA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E385C"/>
    <w:multiLevelType w:val="hybridMultilevel"/>
    <w:tmpl w:val="7E4C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6D6158"/>
    <w:multiLevelType w:val="hybridMultilevel"/>
    <w:tmpl w:val="21925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2730DC"/>
    <w:multiLevelType w:val="hybridMultilevel"/>
    <w:tmpl w:val="3378F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0E411A"/>
    <w:multiLevelType w:val="hybridMultilevel"/>
    <w:tmpl w:val="AEE61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D00AEA"/>
    <w:multiLevelType w:val="hybridMultilevel"/>
    <w:tmpl w:val="B272322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4136B87"/>
    <w:multiLevelType w:val="hybridMultilevel"/>
    <w:tmpl w:val="20DCDCAE"/>
    <w:lvl w:ilvl="0" w:tplc="9D1009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A23832"/>
    <w:multiLevelType w:val="multilevel"/>
    <w:tmpl w:val="0E94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50590A"/>
    <w:multiLevelType w:val="hybridMultilevel"/>
    <w:tmpl w:val="1640D32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nsid w:val="37EF13AB"/>
    <w:multiLevelType w:val="hybridMultilevel"/>
    <w:tmpl w:val="A0A08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C50191B"/>
    <w:multiLevelType w:val="hybridMultilevel"/>
    <w:tmpl w:val="AFBA0C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rPr>
        <w:rFonts w:hint="default"/>
      </w:rPr>
    </w:lvl>
    <w:lvl w:ilvl="3" w:tplc="751AD32E">
      <w:numFmt w:val="bullet"/>
      <w:lvlText w:val="•"/>
      <w:lvlJc w:val="left"/>
      <w:pPr>
        <w:ind w:left="3240" w:hanging="720"/>
      </w:pPr>
      <w:rPr>
        <w:rFonts w:ascii="Calibri" w:eastAsiaTheme="minorHAnsi" w:hAnsi="Calibri" w:cstheme="minorBid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4571AA"/>
    <w:multiLevelType w:val="hybridMultilevel"/>
    <w:tmpl w:val="BC6AA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9749D7"/>
    <w:multiLevelType w:val="hybridMultilevel"/>
    <w:tmpl w:val="25963964"/>
    <w:lvl w:ilvl="0" w:tplc="6166084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313797A"/>
    <w:multiLevelType w:val="multilevel"/>
    <w:tmpl w:val="ED9CFA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0F369E"/>
    <w:multiLevelType w:val="hybridMultilevel"/>
    <w:tmpl w:val="35FEC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76E7A23"/>
    <w:multiLevelType w:val="hybridMultilevel"/>
    <w:tmpl w:val="DE54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D4522D4"/>
    <w:multiLevelType w:val="hybridMultilevel"/>
    <w:tmpl w:val="B4B865A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1">
    <w:nsid w:val="4DE87F4C"/>
    <w:multiLevelType w:val="hybridMultilevel"/>
    <w:tmpl w:val="CFEA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2704E46"/>
    <w:multiLevelType w:val="multilevel"/>
    <w:tmpl w:val="ED9CFA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BD361C"/>
    <w:multiLevelType w:val="hybridMultilevel"/>
    <w:tmpl w:val="6FD480AA"/>
    <w:lvl w:ilvl="0" w:tplc="0C090003">
      <w:start w:val="1"/>
      <w:numFmt w:val="bullet"/>
      <w:lvlText w:val="o"/>
      <w:lvlJc w:val="left"/>
      <w:pPr>
        <w:ind w:left="854" w:hanging="360"/>
      </w:pPr>
      <w:rPr>
        <w:rFonts w:ascii="Courier New" w:hAnsi="Courier New" w:cs="Courier New"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34">
    <w:nsid w:val="55903D11"/>
    <w:multiLevelType w:val="hybridMultilevel"/>
    <w:tmpl w:val="D1F8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8FB5FC6"/>
    <w:multiLevelType w:val="hybridMultilevel"/>
    <w:tmpl w:val="31F4CC4E"/>
    <w:lvl w:ilvl="0" w:tplc="CBE46064">
      <w:start w:val="7"/>
      <w:numFmt w:val="decimal"/>
      <w:lvlText w:val="%1."/>
      <w:lvlJc w:val="left"/>
      <w:pPr>
        <w:ind w:left="720" w:hanging="360"/>
      </w:pPr>
      <w:rPr>
        <w:rFonts w:hint="default"/>
        <w:b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C6425FD"/>
    <w:multiLevelType w:val="hybridMultilevel"/>
    <w:tmpl w:val="44303CD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5CE33677"/>
    <w:multiLevelType w:val="hybridMultilevel"/>
    <w:tmpl w:val="201E9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040681"/>
    <w:multiLevelType w:val="hybridMultilevel"/>
    <w:tmpl w:val="E9424174"/>
    <w:lvl w:ilvl="0" w:tplc="81681B2E">
      <w:start w:val="1"/>
      <w:numFmt w:val="bullet"/>
      <w:pStyle w:val="ListBullet"/>
      <w:lvlText w:val="●"/>
      <w:lvlJc w:val="left"/>
      <w:pPr>
        <w:tabs>
          <w:tab w:val="num" w:pos="850"/>
        </w:tabs>
        <w:ind w:left="850" w:hanging="425"/>
      </w:pPr>
      <w:rPr>
        <w:rFonts w:ascii="Arial" w:hAnsi="Arial" w:hint="default"/>
        <w:color w:val="auto"/>
        <w:position w:val="0"/>
        <w:sz w:val="18"/>
        <w:szCs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9">
    <w:nsid w:val="60F30F5F"/>
    <w:multiLevelType w:val="hybridMultilevel"/>
    <w:tmpl w:val="DFBE1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C44EA1"/>
    <w:multiLevelType w:val="hybridMultilevel"/>
    <w:tmpl w:val="6F44234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6B530E20"/>
    <w:multiLevelType w:val="hybridMultilevel"/>
    <w:tmpl w:val="37340D38"/>
    <w:lvl w:ilvl="0" w:tplc="0C090003">
      <w:start w:val="1"/>
      <w:numFmt w:val="bullet"/>
      <w:lvlText w:val="o"/>
      <w:lvlJc w:val="left"/>
      <w:pPr>
        <w:ind w:left="360" w:hanging="360"/>
      </w:pPr>
      <w:rPr>
        <w:rFonts w:ascii="Courier New" w:hAnsi="Courier New" w:cs="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BC7767D"/>
    <w:multiLevelType w:val="multilevel"/>
    <w:tmpl w:val="ED9CFA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E267C1"/>
    <w:multiLevelType w:val="multilevel"/>
    <w:tmpl w:val="ED9CFA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080CA3"/>
    <w:multiLevelType w:val="multilevel"/>
    <w:tmpl w:val="0B9E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676C47"/>
    <w:multiLevelType w:val="hybridMultilevel"/>
    <w:tmpl w:val="3DCC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60A39FE"/>
    <w:multiLevelType w:val="hybridMultilevel"/>
    <w:tmpl w:val="FB268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83E2509"/>
    <w:multiLevelType w:val="hybridMultilevel"/>
    <w:tmpl w:val="F7622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nsid w:val="7C6F107E"/>
    <w:multiLevelType w:val="hybridMultilevel"/>
    <w:tmpl w:val="E1B214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7CC5703F"/>
    <w:multiLevelType w:val="hybridMultilevel"/>
    <w:tmpl w:val="26E0E03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0">
    <w:nsid w:val="7F3E417C"/>
    <w:multiLevelType w:val="hybridMultilevel"/>
    <w:tmpl w:val="D88E46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4"/>
  </w:num>
  <w:num w:numId="3">
    <w:abstractNumId w:val="4"/>
  </w:num>
  <w:num w:numId="4">
    <w:abstractNumId w:val="28"/>
  </w:num>
  <w:num w:numId="5">
    <w:abstractNumId w:val="6"/>
  </w:num>
  <w:num w:numId="6">
    <w:abstractNumId w:val="14"/>
  </w:num>
  <w:num w:numId="7">
    <w:abstractNumId w:val="9"/>
  </w:num>
  <w:num w:numId="8">
    <w:abstractNumId w:val="45"/>
  </w:num>
  <w:num w:numId="9">
    <w:abstractNumId w:val="44"/>
  </w:num>
  <w:num w:numId="10">
    <w:abstractNumId w:val="15"/>
  </w:num>
  <w:num w:numId="11">
    <w:abstractNumId w:val="29"/>
  </w:num>
  <w:num w:numId="12">
    <w:abstractNumId w:val="27"/>
  </w:num>
  <w:num w:numId="13">
    <w:abstractNumId w:val="41"/>
  </w:num>
  <w:num w:numId="14">
    <w:abstractNumId w:val="38"/>
  </w:num>
  <w:num w:numId="15">
    <w:abstractNumId w:val="16"/>
  </w:num>
  <w:num w:numId="16">
    <w:abstractNumId w:val="39"/>
  </w:num>
  <w:num w:numId="17">
    <w:abstractNumId w:val="7"/>
  </w:num>
  <w:num w:numId="18">
    <w:abstractNumId w:val="31"/>
  </w:num>
  <w:num w:numId="19">
    <w:abstractNumId w:val="13"/>
  </w:num>
  <w:num w:numId="20">
    <w:abstractNumId w:val="0"/>
  </w:num>
  <w:num w:numId="21">
    <w:abstractNumId w:val="46"/>
  </w:num>
  <w:num w:numId="22">
    <w:abstractNumId w:val="37"/>
  </w:num>
  <w:num w:numId="23">
    <w:abstractNumId w:val="18"/>
  </w:num>
  <w:num w:numId="24">
    <w:abstractNumId w:val="24"/>
  </w:num>
  <w:num w:numId="25">
    <w:abstractNumId w:val="30"/>
  </w:num>
  <w:num w:numId="26">
    <w:abstractNumId w:val="42"/>
  </w:num>
  <w:num w:numId="27">
    <w:abstractNumId w:val="47"/>
  </w:num>
  <w:num w:numId="28">
    <w:abstractNumId w:val="26"/>
  </w:num>
  <w:num w:numId="29">
    <w:abstractNumId w:val="19"/>
  </w:num>
  <w:num w:numId="30">
    <w:abstractNumId w:val="25"/>
  </w:num>
  <w:num w:numId="31">
    <w:abstractNumId w:val="2"/>
  </w:num>
  <w:num w:numId="32">
    <w:abstractNumId w:val="11"/>
  </w:num>
  <w:num w:numId="33">
    <w:abstractNumId w:val="35"/>
  </w:num>
  <w:num w:numId="34">
    <w:abstractNumId w:val="48"/>
  </w:num>
  <w:num w:numId="35">
    <w:abstractNumId w:val="49"/>
  </w:num>
  <w:num w:numId="36">
    <w:abstractNumId w:val="40"/>
  </w:num>
  <w:num w:numId="37">
    <w:abstractNumId w:val="36"/>
  </w:num>
  <w:num w:numId="38">
    <w:abstractNumId w:val="17"/>
  </w:num>
  <w:num w:numId="39">
    <w:abstractNumId w:val="10"/>
  </w:num>
  <w:num w:numId="40">
    <w:abstractNumId w:val="30"/>
  </w:num>
  <w:num w:numId="41">
    <w:abstractNumId w:val="32"/>
  </w:num>
  <w:num w:numId="42">
    <w:abstractNumId w:val="12"/>
  </w:num>
  <w:num w:numId="43">
    <w:abstractNumId w:val="33"/>
  </w:num>
  <w:num w:numId="44">
    <w:abstractNumId w:val="43"/>
  </w:num>
  <w:num w:numId="45">
    <w:abstractNumId w:val="23"/>
  </w:num>
  <w:num w:numId="46">
    <w:abstractNumId w:val="50"/>
  </w:num>
  <w:num w:numId="47">
    <w:abstractNumId w:val="5"/>
  </w:num>
  <w:num w:numId="48">
    <w:abstractNumId w:val="1"/>
  </w:num>
  <w:num w:numId="49">
    <w:abstractNumId w:val="21"/>
  </w:num>
  <w:num w:numId="50">
    <w:abstractNumId w:val="20"/>
  </w:num>
  <w:num w:numId="51">
    <w:abstractNumId w:val="8"/>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E3"/>
    <w:rsid w:val="00003743"/>
    <w:rsid w:val="0000686B"/>
    <w:rsid w:val="00012D86"/>
    <w:rsid w:val="00020350"/>
    <w:rsid w:val="00040F4C"/>
    <w:rsid w:val="000421F4"/>
    <w:rsid w:val="00046A13"/>
    <w:rsid w:val="0004772E"/>
    <w:rsid w:val="0006124A"/>
    <w:rsid w:val="000626EA"/>
    <w:rsid w:val="00066C98"/>
    <w:rsid w:val="00067456"/>
    <w:rsid w:val="00074D93"/>
    <w:rsid w:val="0007734B"/>
    <w:rsid w:val="0008182B"/>
    <w:rsid w:val="000831ED"/>
    <w:rsid w:val="0008637B"/>
    <w:rsid w:val="0009258B"/>
    <w:rsid w:val="0009468D"/>
    <w:rsid w:val="00095BB9"/>
    <w:rsid w:val="00097C04"/>
    <w:rsid w:val="000A3857"/>
    <w:rsid w:val="000A555E"/>
    <w:rsid w:val="000A74D5"/>
    <w:rsid w:val="000A7890"/>
    <w:rsid w:val="000B04D0"/>
    <w:rsid w:val="000B1039"/>
    <w:rsid w:val="000B19CC"/>
    <w:rsid w:val="000B1F8F"/>
    <w:rsid w:val="000D24F1"/>
    <w:rsid w:val="000D3D03"/>
    <w:rsid w:val="000D5F09"/>
    <w:rsid w:val="000D7BE3"/>
    <w:rsid w:val="000E0C66"/>
    <w:rsid w:val="000F1815"/>
    <w:rsid w:val="000F1CF3"/>
    <w:rsid w:val="000F2E7B"/>
    <w:rsid w:val="00104FD5"/>
    <w:rsid w:val="00105467"/>
    <w:rsid w:val="00106006"/>
    <w:rsid w:val="0011209E"/>
    <w:rsid w:val="0011354D"/>
    <w:rsid w:val="00114086"/>
    <w:rsid w:val="001142C3"/>
    <w:rsid w:val="00120814"/>
    <w:rsid w:val="00130DC0"/>
    <w:rsid w:val="001314F6"/>
    <w:rsid w:val="00136551"/>
    <w:rsid w:val="00136A5C"/>
    <w:rsid w:val="00145EAB"/>
    <w:rsid w:val="00150546"/>
    <w:rsid w:val="00150B45"/>
    <w:rsid w:val="00151BC5"/>
    <w:rsid w:val="00152E3B"/>
    <w:rsid w:val="001531A1"/>
    <w:rsid w:val="00153C67"/>
    <w:rsid w:val="00161D12"/>
    <w:rsid w:val="001624DB"/>
    <w:rsid w:val="0016327B"/>
    <w:rsid w:val="00174DDF"/>
    <w:rsid w:val="001751C4"/>
    <w:rsid w:val="00177CC3"/>
    <w:rsid w:val="00182F7A"/>
    <w:rsid w:val="00185C5A"/>
    <w:rsid w:val="00187016"/>
    <w:rsid w:val="00187B73"/>
    <w:rsid w:val="001955A7"/>
    <w:rsid w:val="001A153C"/>
    <w:rsid w:val="001A5A52"/>
    <w:rsid w:val="001A5A6B"/>
    <w:rsid w:val="001A6A79"/>
    <w:rsid w:val="001B082B"/>
    <w:rsid w:val="001B3443"/>
    <w:rsid w:val="001D783E"/>
    <w:rsid w:val="001E5227"/>
    <w:rsid w:val="001F4238"/>
    <w:rsid w:val="001F7560"/>
    <w:rsid w:val="00203087"/>
    <w:rsid w:val="00204BF1"/>
    <w:rsid w:val="002054EB"/>
    <w:rsid w:val="00205BCE"/>
    <w:rsid w:val="00205FE2"/>
    <w:rsid w:val="00206511"/>
    <w:rsid w:val="00207EF4"/>
    <w:rsid w:val="002102A1"/>
    <w:rsid w:val="0021180D"/>
    <w:rsid w:val="002126CF"/>
    <w:rsid w:val="00216B38"/>
    <w:rsid w:val="00221CE2"/>
    <w:rsid w:val="00221FBE"/>
    <w:rsid w:val="00226DBF"/>
    <w:rsid w:val="00231714"/>
    <w:rsid w:val="00236878"/>
    <w:rsid w:val="0023772D"/>
    <w:rsid w:val="002423A4"/>
    <w:rsid w:val="00242A6A"/>
    <w:rsid w:val="00244A73"/>
    <w:rsid w:val="002451EA"/>
    <w:rsid w:val="002458A0"/>
    <w:rsid w:val="00252863"/>
    <w:rsid w:val="00254A75"/>
    <w:rsid w:val="00256622"/>
    <w:rsid w:val="00257E45"/>
    <w:rsid w:val="002609E5"/>
    <w:rsid w:val="0026551F"/>
    <w:rsid w:val="002713D8"/>
    <w:rsid w:val="002752A9"/>
    <w:rsid w:val="002777EF"/>
    <w:rsid w:val="00280938"/>
    <w:rsid w:val="002933D1"/>
    <w:rsid w:val="00294E37"/>
    <w:rsid w:val="00297E12"/>
    <w:rsid w:val="002A3141"/>
    <w:rsid w:val="002A316A"/>
    <w:rsid w:val="002A31E8"/>
    <w:rsid w:val="002A465C"/>
    <w:rsid w:val="002A5B68"/>
    <w:rsid w:val="002B08BB"/>
    <w:rsid w:val="002B63EB"/>
    <w:rsid w:val="002C1379"/>
    <w:rsid w:val="002C4ABC"/>
    <w:rsid w:val="002D2F13"/>
    <w:rsid w:val="002D2FC2"/>
    <w:rsid w:val="002D6CEA"/>
    <w:rsid w:val="002E1AAB"/>
    <w:rsid w:val="002F3684"/>
    <w:rsid w:val="002F3AE3"/>
    <w:rsid w:val="003062CF"/>
    <w:rsid w:val="0030786C"/>
    <w:rsid w:val="00321FDE"/>
    <w:rsid w:val="00325C05"/>
    <w:rsid w:val="0032693A"/>
    <w:rsid w:val="00327A95"/>
    <w:rsid w:val="003306B9"/>
    <w:rsid w:val="00334176"/>
    <w:rsid w:val="0033494A"/>
    <w:rsid w:val="00341378"/>
    <w:rsid w:val="003435B0"/>
    <w:rsid w:val="00343939"/>
    <w:rsid w:val="00351843"/>
    <w:rsid w:val="00356640"/>
    <w:rsid w:val="00364FE8"/>
    <w:rsid w:val="00367449"/>
    <w:rsid w:val="00367920"/>
    <w:rsid w:val="003736D0"/>
    <w:rsid w:val="00374DC9"/>
    <w:rsid w:val="00375000"/>
    <w:rsid w:val="00376BB8"/>
    <w:rsid w:val="00381672"/>
    <w:rsid w:val="00382D53"/>
    <w:rsid w:val="003848A8"/>
    <w:rsid w:val="00386D8A"/>
    <w:rsid w:val="00391A90"/>
    <w:rsid w:val="0039377A"/>
    <w:rsid w:val="00394780"/>
    <w:rsid w:val="00394829"/>
    <w:rsid w:val="0039666F"/>
    <w:rsid w:val="00396A58"/>
    <w:rsid w:val="00397214"/>
    <w:rsid w:val="003A34FE"/>
    <w:rsid w:val="003A476E"/>
    <w:rsid w:val="003B0EC5"/>
    <w:rsid w:val="003B1BF0"/>
    <w:rsid w:val="003B5FC4"/>
    <w:rsid w:val="003C07A2"/>
    <w:rsid w:val="003C1695"/>
    <w:rsid w:val="003C1B35"/>
    <w:rsid w:val="003C3BBA"/>
    <w:rsid w:val="003D0CB2"/>
    <w:rsid w:val="003D17F9"/>
    <w:rsid w:val="003D75A3"/>
    <w:rsid w:val="003E1D8D"/>
    <w:rsid w:val="003E4259"/>
    <w:rsid w:val="003E4BC0"/>
    <w:rsid w:val="003E69FB"/>
    <w:rsid w:val="003F0D2A"/>
    <w:rsid w:val="003F37E9"/>
    <w:rsid w:val="003F547B"/>
    <w:rsid w:val="003F6888"/>
    <w:rsid w:val="00402432"/>
    <w:rsid w:val="00403EF3"/>
    <w:rsid w:val="00404D9D"/>
    <w:rsid w:val="00405B5C"/>
    <w:rsid w:val="00424CB2"/>
    <w:rsid w:val="00425FDA"/>
    <w:rsid w:val="00431C89"/>
    <w:rsid w:val="00441776"/>
    <w:rsid w:val="00444787"/>
    <w:rsid w:val="004462DB"/>
    <w:rsid w:val="004507FB"/>
    <w:rsid w:val="004529EF"/>
    <w:rsid w:val="00454D74"/>
    <w:rsid w:val="004576DF"/>
    <w:rsid w:val="00460E13"/>
    <w:rsid w:val="004631BF"/>
    <w:rsid w:val="0047174E"/>
    <w:rsid w:val="00473BC1"/>
    <w:rsid w:val="00481C57"/>
    <w:rsid w:val="0048328A"/>
    <w:rsid w:val="00484A70"/>
    <w:rsid w:val="00484B00"/>
    <w:rsid w:val="0048646B"/>
    <w:rsid w:val="004867E2"/>
    <w:rsid w:val="0048730F"/>
    <w:rsid w:val="00492F8A"/>
    <w:rsid w:val="004966D2"/>
    <w:rsid w:val="00497F14"/>
    <w:rsid w:val="004A06F1"/>
    <w:rsid w:val="004A0A6D"/>
    <w:rsid w:val="004A5D64"/>
    <w:rsid w:val="004B0E0B"/>
    <w:rsid w:val="004B1768"/>
    <w:rsid w:val="004B3EB8"/>
    <w:rsid w:val="004B7C94"/>
    <w:rsid w:val="004C1339"/>
    <w:rsid w:val="004C39F3"/>
    <w:rsid w:val="004C6F07"/>
    <w:rsid w:val="004C7D89"/>
    <w:rsid w:val="004D3943"/>
    <w:rsid w:val="004D6C21"/>
    <w:rsid w:val="004F22C1"/>
    <w:rsid w:val="004F4EDD"/>
    <w:rsid w:val="004F7994"/>
    <w:rsid w:val="0050266F"/>
    <w:rsid w:val="00503D84"/>
    <w:rsid w:val="005127D3"/>
    <w:rsid w:val="00514129"/>
    <w:rsid w:val="00520EF8"/>
    <w:rsid w:val="005224AC"/>
    <w:rsid w:val="00531A7F"/>
    <w:rsid w:val="005322EF"/>
    <w:rsid w:val="005353B9"/>
    <w:rsid w:val="0053643C"/>
    <w:rsid w:val="00537890"/>
    <w:rsid w:val="0054163A"/>
    <w:rsid w:val="00541F18"/>
    <w:rsid w:val="0054261B"/>
    <w:rsid w:val="00543BF8"/>
    <w:rsid w:val="0055761C"/>
    <w:rsid w:val="00561A9A"/>
    <w:rsid w:val="00561FE6"/>
    <w:rsid w:val="0056425D"/>
    <w:rsid w:val="00572D82"/>
    <w:rsid w:val="00573A8A"/>
    <w:rsid w:val="00577BB3"/>
    <w:rsid w:val="00580B8A"/>
    <w:rsid w:val="00580F9E"/>
    <w:rsid w:val="005869C5"/>
    <w:rsid w:val="005879E3"/>
    <w:rsid w:val="005936F5"/>
    <w:rsid w:val="005A0CF1"/>
    <w:rsid w:val="005A2287"/>
    <w:rsid w:val="005A3367"/>
    <w:rsid w:val="005A433B"/>
    <w:rsid w:val="005A4664"/>
    <w:rsid w:val="005B045E"/>
    <w:rsid w:val="005C0F9B"/>
    <w:rsid w:val="005C37C5"/>
    <w:rsid w:val="005C413E"/>
    <w:rsid w:val="005D2E19"/>
    <w:rsid w:val="005D54A7"/>
    <w:rsid w:val="005E0F22"/>
    <w:rsid w:val="005E5A9F"/>
    <w:rsid w:val="005F3FC1"/>
    <w:rsid w:val="005F46CF"/>
    <w:rsid w:val="005F5F53"/>
    <w:rsid w:val="005F7E9E"/>
    <w:rsid w:val="00604DFE"/>
    <w:rsid w:val="006053E7"/>
    <w:rsid w:val="006053FB"/>
    <w:rsid w:val="0060565A"/>
    <w:rsid w:val="006111BC"/>
    <w:rsid w:val="00611E01"/>
    <w:rsid w:val="006258A9"/>
    <w:rsid w:val="006348E3"/>
    <w:rsid w:val="0063535D"/>
    <w:rsid w:val="00644A63"/>
    <w:rsid w:val="00644D15"/>
    <w:rsid w:val="00653C39"/>
    <w:rsid w:val="0066585B"/>
    <w:rsid w:val="00666694"/>
    <w:rsid w:val="00666E3B"/>
    <w:rsid w:val="0067506D"/>
    <w:rsid w:val="00680184"/>
    <w:rsid w:val="006842B1"/>
    <w:rsid w:val="00685127"/>
    <w:rsid w:val="006879F5"/>
    <w:rsid w:val="00687FC0"/>
    <w:rsid w:val="00691D4A"/>
    <w:rsid w:val="00692E6E"/>
    <w:rsid w:val="006A1EC2"/>
    <w:rsid w:val="006A33B0"/>
    <w:rsid w:val="006B0899"/>
    <w:rsid w:val="006C0A64"/>
    <w:rsid w:val="006C2FBA"/>
    <w:rsid w:val="006C63C6"/>
    <w:rsid w:val="006C6A60"/>
    <w:rsid w:val="006D66FF"/>
    <w:rsid w:val="006E3131"/>
    <w:rsid w:val="006E5923"/>
    <w:rsid w:val="006F0544"/>
    <w:rsid w:val="006F249B"/>
    <w:rsid w:val="006F6651"/>
    <w:rsid w:val="00714798"/>
    <w:rsid w:val="00714A18"/>
    <w:rsid w:val="007173D3"/>
    <w:rsid w:val="00736E4A"/>
    <w:rsid w:val="007431BB"/>
    <w:rsid w:val="00750E7F"/>
    <w:rsid w:val="00752C36"/>
    <w:rsid w:val="00756992"/>
    <w:rsid w:val="0076247E"/>
    <w:rsid w:val="0076278B"/>
    <w:rsid w:val="00762B05"/>
    <w:rsid w:val="00766A52"/>
    <w:rsid w:val="007701B6"/>
    <w:rsid w:val="007714D8"/>
    <w:rsid w:val="00772350"/>
    <w:rsid w:val="00772922"/>
    <w:rsid w:val="00773EEE"/>
    <w:rsid w:val="00786D3C"/>
    <w:rsid w:val="00787E7D"/>
    <w:rsid w:val="00791419"/>
    <w:rsid w:val="007A615D"/>
    <w:rsid w:val="007A66AD"/>
    <w:rsid w:val="007A71BA"/>
    <w:rsid w:val="007B1F52"/>
    <w:rsid w:val="007B51E7"/>
    <w:rsid w:val="007B5BD7"/>
    <w:rsid w:val="007C1B6A"/>
    <w:rsid w:val="007C496D"/>
    <w:rsid w:val="007C6BF9"/>
    <w:rsid w:val="007D17F0"/>
    <w:rsid w:val="007D70DD"/>
    <w:rsid w:val="007E5147"/>
    <w:rsid w:val="007E703C"/>
    <w:rsid w:val="00802C5E"/>
    <w:rsid w:val="00816EBE"/>
    <w:rsid w:val="008205A3"/>
    <w:rsid w:val="0082069A"/>
    <w:rsid w:val="00821929"/>
    <w:rsid w:val="00821A23"/>
    <w:rsid w:val="00824927"/>
    <w:rsid w:val="008264EB"/>
    <w:rsid w:val="00833088"/>
    <w:rsid w:val="00843188"/>
    <w:rsid w:val="00847F05"/>
    <w:rsid w:val="00847F3C"/>
    <w:rsid w:val="008600B5"/>
    <w:rsid w:val="00866F52"/>
    <w:rsid w:val="008810FB"/>
    <w:rsid w:val="00883C44"/>
    <w:rsid w:val="00885B50"/>
    <w:rsid w:val="008864E8"/>
    <w:rsid w:val="00896DF8"/>
    <w:rsid w:val="008973C1"/>
    <w:rsid w:val="008A3526"/>
    <w:rsid w:val="008A37F9"/>
    <w:rsid w:val="008A4091"/>
    <w:rsid w:val="008B1D2E"/>
    <w:rsid w:val="008B2795"/>
    <w:rsid w:val="008B5A8D"/>
    <w:rsid w:val="008B5CE2"/>
    <w:rsid w:val="008B6065"/>
    <w:rsid w:val="008B6729"/>
    <w:rsid w:val="008B74D7"/>
    <w:rsid w:val="008B78A5"/>
    <w:rsid w:val="008C0581"/>
    <w:rsid w:val="008C22F9"/>
    <w:rsid w:val="008D2EC8"/>
    <w:rsid w:val="008E57F6"/>
    <w:rsid w:val="008E6BEE"/>
    <w:rsid w:val="008F32A5"/>
    <w:rsid w:val="00902322"/>
    <w:rsid w:val="00907F7E"/>
    <w:rsid w:val="00920324"/>
    <w:rsid w:val="00926C2A"/>
    <w:rsid w:val="009273F6"/>
    <w:rsid w:val="00927AAF"/>
    <w:rsid w:val="00930248"/>
    <w:rsid w:val="009303C6"/>
    <w:rsid w:val="00930FAB"/>
    <w:rsid w:val="009405EA"/>
    <w:rsid w:val="00943EFE"/>
    <w:rsid w:val="00947AFC"/>
    <w:rsid w:val="00947FC1"/>
    <w:rsid w:val="00952835"/>
    <w:rsid w:val="00961E59"/>
    <w:rsid w:val="0096217E"/>
    <w:rsid w:val="009623C7"/>
    <w:rsid w:val="00962AA5"/>
    <w:rsid w:val="0097121A"/>
    <w:rsid w:val="00981892"/>
    <w:rsid w:val="009878CA"/>
    <w:rsid w:val="0099788F"/>
    <w:rsid w:val="009A02FD"/>
    <w:rsid w:val="009A05CB"/>
    <w:rsid w:val="009A136F"/>
    <w:rsid w:val="009A2D33"/>
    <w:rsid w:val="009C009E"/>
    <w:rsid w:val="009C01A7"/>
    <w:rsid w:val="009C07F7"/>
    <w:rsid w:val="009D0B06"/>
    <w:rsid w:val="009D5829"/>
    <w:rsid w:val="009E6D17"/>
    <w:rsid w:val="009E7F5D"/>
    <w:rsid w:val="009F448D"/>
    <w:rsid w:val="009F5906"/>
    <w:rsid w:val="009F67BC"/>
    <w:rsid w:val="009F7197"/>
    <w:rsid w:val="00A058EC"/>
    <w:rsid w:val="00A07A60"/>
    <w:rsid w:val="00A11DDF"/>
    <w:rsid w:val="00A12D8B"/>
    <w:rsid w:val="00A12F22"/>
    <w:rsid w:val="00A2217A"/>
    <w:rsid w:val="00A24486"/>
    <w:rsid w:val="00A2779C"/>
    <w:rsid w:val="00A32442"/>
    <w:rsid w:val="00A40A17"/>
    <w:rsid w:val="00A4214C"/>
    <w:rsid w:val="00A4512D"/>
    <w:rsid w:val="00A47BE4"/>
    <w:rsid w:val="00A50B6D"/>
    <w:rsid w:val="00A62445"/>
    <w:rsid w:val="00A6498F"/>
    <w:rsid w:val="00A65030"/>
    <w:rsid w:val="00A66EDA"/>
    <w:rsid w:val="00A705AF"/>
    <w:rsid w:val="00A83336"/>
    <w:rsid w:val="00AA0237"/>
    <w:rsid w:val="00AA0ED0"/>
    <w:rsid w:val="00AA217D"/>
    <w:rsid w:val="00AA3B4D"/>
    <w:rsid w:val="00AA583A"/>
    <w:rsid w:val="00AB3222"/>
    <w:rsid w:val="00AC3FB3"/>
    <w:rsid w:val="00AC750A"/>
    <w:rsid w:val="00AD0496"/>
    <w:rsid w:val="00AD1BBB"/>
    <w:rsid w:val="00AD3B30"/>
    <w:rsid w:val="00AD57AB"/>
    <w:rsid w:val="00AD7EAC"/>
    <w:rsid w:val="00AE1E65"/>
    <w:rsid w:val="00AE37D1"/>
    <w:rsid w:val="00AE4582"/>
    <w:rsid w:val="00AF0690"/>
    <w:rsid w:val="00B01B7E"/>
    <w:rsid w:val="00B05EBA"/>
    <w:rsid w:val="00B06988"/>
    <w:rsid w:val="00B06A19"/>
    <w:rsid w:val="00B07002"/>
    <w:rsid w:val="00B25C1F"/>
    <w:rsid w:val="00B42851"/>
    <w:rsid w:val="00B53CE3"/>
    <w:rsid w:val="00B53D1B"/>
    <w:rsid w:val="00B577F2"/>
    <w:rsid w:val="00B61B31"/>
    <w:rsid w:val="00B708D2"/>
    <w:rsid w:val="00B74D35"/>
    <w:rsid w:val="00B810F8"/>
    <w:rsid w:val="00B817F7"/>
    <w:rsid w:val="00B87EE6"/>
    <w:rsid w:val="00B90C8C"/>
    <w:rsid w:val="00B92198"/>
    <w:rsid w:val="00B94AAC"/>
    <w:rsid w:val="00B95F48"/>
    <w:rsid w:val="00BA106C"/>
    <w:rsid w:val="00BB6544"/>
    <w:rsid w:val="00BC068B"/>
    <w:rsid w:val="00BC24F7"/>
    <w:rsid w:val="00BE2E12"/>
    <w:rsid w:val="00BE4210"/>
    <w:rsid w:val="00BF3D12"/>
    <w:rsid w:val="00C015E6"/>
    <w:rsid w:val="00C01A97"/>
    <w:rsid w:val="00C027A2"/>
    <w:rsid w:val="00C02F41"/>
    <w:rsid w:val="00C04AD2"/>
    <w:rsid w:val="00C05E80"/>
    <w:rsid w:val="00C1047B"/>
    <w:rsid w:val="00C12DA5"/>
    <w:rsid w:val="00C138A6"/>
    <w:rsid w:val="00C17B2A"/>
    <w:rsid w:val="00C17F30"/>
    <w:rsid w:val="00C24DBD"/>
    <w:rsid w:val="00C25005"/>
    <w:rsid w:val="00C25420"/>
    <w:rsid w:val="00C41B1C"/>
    <w:rsid w:val="00C454CC"/>
    <w:rsid w:val="00C45AF0"/>
    <w:rsid w:val="00C47E1F"/>
    <w:rsid w:val="00C53A52"/>
    <w:rsid w:val="00C605C8"/>
    <w:rsid w:val="00C67019"/>
    <w:rsid w:val="00C77B52"/>
    <w:rsid w:val="00C904F3"/>
    <w:rsid w:val="00C92E45"/>
    <w:rsid w:val="00C930D4"/>
    <w:rsid w:val="00C94907"/>
    <w:rsid w:val="00CA28A3"/>
    <w:rsid w:val="00CB45BB"/>
    <w:rsid w:val="00CB5B1A"/>
    <w:rsid w:val="00CB72B9"/>
    <w:rsid w:val="00CC0C57"/>
    <w:rsid w:val="00CC14E7"/>
    <w:rsid w:val="00CC7811"/>
    <w:rsid w:val="00CD2147"/>
    <w:rsid w:val="00CD260F"/>
    <w:rsid w:val="00CD38B9"/>
    <w:rsid w:val="00CD63AA"/>
    <w:rsid w:val="00CE1B26"/>
    <w:rsid w:val="00CE4284"/>
    <w:rsid w:val="00CF5BDB"/>
    <w:rsid w:val="00D007AE"/>
    <w:rsid w:val="00D03579"/>
    <w:rsid w:val="00D047E2"/>
    <w:rsid w:val="00D056A4"/>
    <w:rsid w:val="00D06167"/>
    <w:rsid w:val="00D07235"/>
    <w:rsid w:val="00D07C0E"/>
    <w:rsid w:val="00D11D83"/>
    <w:rsid w:val="00D15002"/>
    <w:rsid w:val="00D179A9"/>
    <w:rsid w:val="00D20B5C"/>
    <w:rsid w:val="00D2265E"/>
    <w:rsid w:val="00D26A6C"/>
    <w:rsid w:val="00D4030E"/>
    <w:rsid w:val="00D443D1"/>
    <w:rsid w:val="00D47BD8"/>
    <w:rsid w:val="00D52431"/>
    <w:rsid w:val="00D52C20"/>
    <w:rsid w:val="00D533CF"/>
    <w:rsid w:val="00D562EB"/>
    <w:rsid w:val="00D600E9"/>
    <w:rsid w:val="00D6780F"/>
    <w:rsid w:val="00D71F09"/>
    <w:rsid w:val="00D8141C"/>
    <w:rsid w:val="00D81596"/>
    <w:rsid w:val="00D81E3B"/>
    <w:rsid w:val="00D81EE3"/>
    <w:rsid w:val="00D83C5F"/>
    <w:rsid w:val="00D8435F"/>
    <w:rsid w:val="00DA0FE3"/>
    <w:rsid w:val="00DA269F"/>
    <w:rsid w:val="00DA63B6"/>
    <w:rsid w:val="00DA79B6"/>
    <w:rsid w:val="00DA7A17"/>
    <w:rsid w:val="00DC6A3B"/>
    <w:rsid w:val="00DD7B96"/>
    <w:rsid w:val="00DE56B1"/>
    <w:rsid w:val="00DF0E02"/>
    <w:rsid w:val="00DF1E82"/>
    <w:rsid w:val="00DF509D"/>
    <w:rsid w:val="00DF57CD"/>
    <w:rsid w:val="00DF59D2"/>
    <w:rsid w:val="00DF6401"/>
    <w:rsid w:val="00E03D84"/>
    <w:rsid w:val="00E05DB4"/>
    <w:rsid w:val="00E12CD4"/>
    <w:rsid w:val="00E12EF9"/>
    <w:rsid w:val="00E1330E"/>
    <w:rsid w:val="00E136C0"/>
    <w:rsid w:val="00E147F2"/>
    <w:rsid w:val="00E1567A"/>
    <w:rsid w:val="00E15E0E"/>
    <w:rsid w:val="00E22EB3"/>
    <w:rsid w:val="00E24EAA"/>
    <w:rsid w:val="00E25060"/>
    <w:rsid w:val="00E27E2F"/>
    <w:rsid w:val="00E30DCB"/>
    <w:rsid w:val="00E31653"/>
    <w:rsid w:val="00E33C85"/>
    <w:rsid w:val="00E42C91"/>
    <w:rsid w:val="00E51338"/>
    <w:rsid w:val="00E51E93"/>
    <w:rsid w:val="00E53895"/>
    <w:rsid w:val="00E554E9"/>
    <w:rsid w:val="00E61E3D"/>
    <w:rsid w:val="00E631B0"/>
    <w:rsid w:val="00E7248D"/>
    <w:rsid w:val="00E72566"/>
    <w:rsid w:val="00E72ED5"/>
    <w:rsid w:val="00E730E1"/>
    <w:rsid w:val="00E73AE4"/>
    <w:rsid w:val="00E77BE6"/>
    <w:rsid w:val="00E81405"/>
    <w:rsid w:val="00E816CE"/>
    <w:rsid w:val="00E837F3"/>
    <w:rsid w:val="00E84073"/>
    <w:rsid w:val="00E85CBE"/>
    <w:rsid w:val="00E8705D"/>
    <w:rsid w:val="00E92FDF"/>
    <w:rsid w:val="00E94280"/>
    <w:rsid w:val="00E9503C"/>
    <w:rsid w:val="00EA1C9D"/>
    <w:rsid w:val="00EA525A"/>
    <w:rsid w:val="00EA5381"/>
    <w:rsid w:val="00EA7D7C"/>
    <w:rsid w:val="00EB0757"/>
    <w:rsid w:val="00EB68CF"/>
    <w:rsid w:val="00EB691F"/>
    <w:rsid w:val="00EC0EDC"/>
    <w:rsid w:val="00EC145E"/>
    <w:rsid w:val="00EC58BB"/>
    <w:rsid w:val="00EC6DA4"/>
    <w:rsid w:val="00EC7CB7"/>
    <w:rsid w:val="00ED188F"/>
    <w:rsid w:val="00ED5376"/>
    <w:rsid w:val="00ED55AA"/>
    <w:rsid w:val="00ED5B37"/>
    <w:rsid w:val="00EE0921"/>
    <w:rsid w:val="00EE16D2"/>
    <w:rsid w:val="00EE7629"/>
    <w:rsid w:val="00EF4454"/>
    <w:rsid w:val="00EF5014"/>
    <w:rsid w:val="00F01861"/>
    <w:rsid w:val="00F03B50"/>
    <w:rsid w:val="00F1079D"/>
    <w:rsid w:val="00F16A1F"/>
    <w:rsid w:val="00F21D61"/>
    <w:rsid w:val="00F22E69"/>
    <w:rsid w:val="00F231FD"/>
    <w:rsid w:val="00F24AE9"/>
    <w:rsid w:val="00F332AC"/>
    <w:rsid w:val="00F404A5"/>
    <w:rsid w:val="00F42F74"/>
    <w:rsid w:val="00F43D38"/>
    <w:rsid w:val="00F45531"/>
    <w:rsid w:val="00F47616"/>
    <w:rsid w:val="00F53453"/>
    <w:rsid w:val="00F60E6A"/>
    <w:rsid w:val="00F6243C"/>
    <w:rsid w:val="00F63F39"/>
    <w:rsid w:val="00F64114"/>
    <w:rsid w:val="00F708E4"/>
    <w:rsid w:val="00F7627D"/>
    <w:rsid w:val="00F76E0A"/>
    <w:rsid w:val="00F8465F"/>
    <w:rsid w:val="00F85C3C"/>
    <w:rsid w:val="00F863DB"/>
    <w:rsid w:val="00F903DD"/>
    <w:rsid w:val="00FA5EBE"/>
    <w:rsid w:val="00FB3E88"/>
    <w:rsid w:val="00FC19AD"/>
    <w:rsid w:val="00FC1FA8"/>
    <w:rsid w:val="00FD02CB"/>
    <w:rsid w:val="00FD3BF9"/>
    <w:rsid w:val="00FD66B2"/>
    <w:rsid w:val="00FD6B5F"/>
    <w:rsid w:val="00FD70C6"/>
    <w:rsid w:val="00FD7646"/>
    <w:rsid w:val="00FE03BC"/>
    <w:rsid w:val="00FE22A3"/>
    <w:rsid w:val="00FE6799"/>
    <w:rsid w:val="00FF1595"/>
    <w:rsid w:val="00FF424F"/>
    <w:rsid w:val="00FF4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Bullet" w:uiPriority="99" w:qFormat="1"/>
    <w:lsdException w:name="List Bullet 2" w:uiPriority="99"/>
    <w:lsdException w:name="Title"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B52"/>
    <w:pPr>
      <w:spacing w:after="200" w:line="276" w:lineRule="auto"/>
      <w:jc w:val="both"/>
    </w:pPr>
    <w:rPr>
      <w:rFonts w:ascii="Cambria" w:eastAsiaTheme="minorHAnsi" w:hAnsi="Cambria" w:cstheme="minorBidi"/>
      <w:sz w:val="24"/>
      <w:szCs w:val="22"/>
      <w:lang w:eastAsia="en-US"/>
    </w:rPr>
  </w:style>
  <w:style w:type="paragraph" w:styleId="Heading1">
    <w:name w:val="heading 1"/>
    <w:basedOn w:val="Normal"/>
    <w:next w:val="Normal"/>
    <w:link w:val="Heading1Char"/>
    <w:uiPriority w:val="9"/>
    <w:qFormat/>
    <w:rsid w:val="00F03B50"/>
    <w:pPr>
      <w:keepNext/>
      <w:spacing w:before="240" w:after="60"/>
      <w:jc w:val="center"/>
      <w:outlineLvl w:val="0"/>
    </w:pPr>
    <w:rPr>
      <w:rFonts w:asciiTheme="minorHAnsi" w:hAnsiTheme="minorHAnsi" w:cs="Arial"/>
      <w:b/>
      <w:bCs/>
      <w:color w:val="365F91" w:themeColor="accent1" w:themeShade="BF"/>
      <w:kern w:val="28"/>
      <w:sz w:val="40"/>
      <w:szCs w:val="32"/>
    </w:rPr>
  </w:style>
  <w:style w:type="paragraph" w:styleId="Heading2">
    <w:name w:val="heading 2"/>
    <w:basedOn w:val="Normal"/>
    <w:next w:val="Normal"/>
    <w:link w:val="Heading2Char"/>
    <w:uiPriority w:val="9"/>
    <w:qFormat/>
    <w:rsid w:val="008810FB"/>
    <w:pPr>
      <w:keepNext/>
      <w:spacing w:before="240" w:after="60"/>
      <w:jc w:val="left"/>
      <w:outlineLvl w:val="1"/>
    </w:pPr>
    <w:rPr>
      <w:rFonts w:asciiTheme="minorHAnsi" w:hAnsiTheme="minorHAnsi" w:cs="Arial"/>
      <w:b/>
      <w:bCs/>
      <w:iCs/>
      <w:color w:val="365F91" w:themeColor="accent1" w:themeShade="BF"/>
      <w:sz w:val="32"/>
      <w:szCs w:val="28"/>
    </w:rPr>
  </w:style>
  <w:style w:type="paragraph" w:styleId="Heading3">
    <w:name w:val="heading 3"/>
    <w:basedOn w:val="Normal"/>
    <w:next w:val="Normal"/>
    <w:link w:val="Heading3Char"/>
    <w:uiPriority w:val="9"/>
    <w:qFormat/>
    <w:rsid w:val="00DA7A17"/>
    <w:pPr>
      <w:keepNext/>
      <w:spacing w:before="240" w:after="60"/>
      <w:outlineLvl w:val="2"/>
    </w:pPr>
    <w:rPr>
      <w:rFonts w:asciiTheme="minorHAnsi" w:hAnsiTheme="minorHAnsi" w:cs="Arial"/>
      <w:b/>
      <w:bCs/>
      <w:i/>
      <w:sz w:val="28"/>
      <w:szCs w:val="26"/>
    </w:rPr>
  </w:style>
  <w:style w:type="paragraph" w:styleId="Heading4">
    <w:name w:val="heading 4"/>
    <w:basedOn w:val="Normal"/>
    <w:next w:val="Normal"/>
    <w:link w:val="Heading4Char"/>
    <w:uiPriority w:val="9"/>
    <w:qFormat/>
    <w:rsid w:val="00F03B50"/>
    <w:pPr>
      <w:keepNext/>
      <w:spacing w:before="240" w:after="60"/>
      <w:outlineLvl w:val="3"/>
    </w:pPr>
    <w:rPr>
      <w:rFonts w:asciiTheme="minorHAnsi" w:hAnsiTheme="minorHAnsi"/>
      <w:b/>
      <w:bCs/>
      <w:i/>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rPr>
  </w:style>
  <w:style w:type="paragraph" w:styleId="Heading7">
    <w:name w:val="heading 7"/>
    <w:basedOn w:val="Normal"/>
    <w:next w:val="Normal"/>
    <w:link w:val="Heading7Char"/>
    <w:uiPriority w:val="9"/>
    <w:semiHidden/>
    <w:unhideWhenUsed/>
    <w:qFormat/>
    <w:rsid w:val="0000686B"/>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86B"/>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86B"/>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Footnote,BulletPoints"/>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uiPriority w:val="9"/>
    <w:semiHidden/>
    <w:rsid w:val="0000686B"/>
    <w:rPr>
      <w:rFonts w:asciiTheme="majorHAnsi" w:eastAsiaTheme="majorEastAsia" w:hAnsiTheme="majorHAnsi" w:cstheme="majorBidi"/>
      <w:i/>
      <w:iCs/>
      <w:color w:val="404040" w:themeColor="text1" w:themeTint="BF"/>
      <w:sz w:val="24"/>
      <w:szCs w:val="22"/>
      <w:lang w:eastAsia="en-US"/>
    </w:rPr>
  </w:style>
  <w:style w:type="character" w:customStyle="1" w:styleId="Heading8Char">
    <w:name w:val="Heading 8 Char"/>
    <w:basedOn w:val="DefaultParagraphFont"/>
    <w:link w:val="Heading8"/>
    <w:uiPriority w:val="9"/>
    <w:semiHidden/>
    <w:rsid w:val="0000686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0686B"/>
    <w:rPr>
      <w:rFonts w:asciiTheme="majorHAnsi" w:eastAsiaTheme="majorEastAsia" w:hAnsiTheme="majorHAnsi" w:cstheme="majorBidi"/>
      <w:i/>
      <w:iCs/>
      <w:color w:val="404040" w:themeColor="text1" w:themeTint="BF"/>
      <w:lang w:eastAsia="en-US"/>
    </w:rPr>
  </w:style>
  <w:style w:type="character" w:customStyle="1" w:styleId="Heading1Char">
    <w:name w:val="Heading 1 Char"/>
    <w:basedOn w:val="DefaultParagraphFont"/>
    <w:link w:val="Heading1"/>
    <w:uiPriority w:val="9"/>
    <w:rsid w:val="00F03B50"/>
    <w:rPr>
      <w:rFonts w:asciiTheme="minorHAnsi" w:eastAsiaTheme="minorHAnsi" w:hAnsiTheme="minorHAnsi" w:cs="Arial"/>
      <w:b/>
      <w:bCs/>
      <w:color w:val="365F91" w:themeColor="accent1" w:themeShade="BF"/>
      <w:kern w:val="28"/>
      <w:sz w:val="40"/>
      <w:szCs w:val="32"/>
      <w:lang w:eastAsia="en-US"/>
    </w:rPr>
  </w:style>
  <w:style w:type="character" w:customStyle="1" w:styleId="Heading2Char">
    <w:name w:val="Heading 2 Char"/>
    <w:basedOn w:val="DefaultParagraphFont"/>
    <w:link w:val="Heading2"/>
    <w:uiPriority w:val="9"/>
    <w:rsid w:val="008810FB"/>
    <w:rPr>
      <w:rFonts w:asciiTheme="minorHAnsi" w:eastAsiaTheme="minorHAnsi" w:hAnsiTheme="minorHAnsi" w:cs="Arial"/>
      <w:b/>
      <w:bCs/>
      <w:iCs/>
      <w:color w:val="365F91" w:themeColor="accent1" w:themeShade="BF"/>
      <w:sz w:val="32"/>
      <w:szCs w:val="28"/>
      <w:lang w:eastAsia="en-US"/>
    </w:rPr>
  </w:style>
  <w:style w:type="character" w:customStyle="1" w:styleId="Heading3Char">
    <w:name w:val="Heading 3 Char"/>
    <w:basedOn w:val="DefaultParagraphFont"/>
    <w:link w:val="Heading3"/>
    <w:uiPriority w:val="9"/>
    <w:rsid w:val="00DA7A17"/>
    <w:rPr>
      <w:rFonts w:asciiTheme="minorHAnsi" w:eastAsiaTheme="minorHAnsi" w:hAnsiTheme="minorHAnsi" w:cs="Arial"/>
      <w:b/>
      <w:bCs/>
      <w:i/>
      <w:sz w:val="28"/>
      <w:szCs w:val="26"/>
      <w:lang w:eastAsia="en-US"/>
    </w:rPr>
  </w:style>
  <w:style w:type="character" w:customStyle="1" w:styleId="Heading4Char">
    <w:name w:val="Heading 4 Char"/>
    <w:basedOn w:val="DefaultParagraphFont"/>
    <w:link w:val="Heading4"/>
    <w:uiPriority w:val="9"/>
    <w:rsid w:val="00F03B50"/>
    <w:rPr>
      <w:rFonts w:asciiTheme="minorHAnsi" w:eastAsiaTheme="minorHAnsi" w:hAnsiTheme="minorHAnsi" w:cstheme="minorBidi"/>
      <w:b/>
      <w:bCs/>
      <w:i/>
      <w:sz w:val="24"/>
      <w:szCs w:val="28"/>
      <w:lang w:eastAsia="en-US"/>
    </w:rPr>
  </w:style>
  <w:style w:type="character" w:customStyle="1" w:styleId="Heading5Char">
    <w:name w:val="Heading 5 Char"/>
    <w:basedOn w:val="DefaultParagraphFont"/>
    <w:link w:val="Heading5"/>
    <w:rsid w:val="0000686B"/>
    <w:rPr>
      <w:b/>
      <w:bCs/>
      <w:iCs/>
      <w:sz w:val="24"/>
      <w:szCs w:val="26"/>
      <w:lang w:eastAsia="en-US"/>
    </w:rPr>
  </w:style>
  <w:style w:type="character" w:customStyle="1" w:styleId="Heading6Char">
    <w:name w:val="Heading 6 Char"/>
    <w:basedOn w:val="DefaultParagraphFont"/>
    <w:link w:val="Heading6"/>
    <w:rsid w:val="0000686B"/>
    <w:rPr>
      <w:b/>
      <w:bCs/>
      <w:i/>
      <w:sz w:val="24"/>
      <w:szCs w:val="22"/>
      <w:lang w:eastAsia="en-US"/>
    </w:rPr>
  </w:style>
  <w:style w:type="character" w:customStyle="1" w:styleId="ListParagraphChar">
    <w:name w:val="List Paragraph Char"/>
    <w:aliases w:val="Footnote Char,BulletPoints Char"/>
    <w:basedOn w:val="DefaultParagraphFont"/>
    <w:link w:val="ListParagraph"/>
    <w:uiPriority w:val="34"/>
    <w:locked/>
    <w:rsid w:val="0000686B"/>
    <w:rPr>
      <w:sz w:val="24"/>
      <w:szCs w:val="24"/>
      <w:lang w:eastAsia="en-US"/>
    </w:rPr>
  </w:style>
  <w:style w:type="paragraph" w:styleId="NormalWeb">
    <w:name w:val="Normal (Web)"/>
    <w:basedOn w:val="Normal"/>
    <w:link w:val="NormalWebChar"/>
    <w:uiPriority w:val="99"/>
    <w:unhideWhenUsed/>
    <w:rsid w:val="0000686B"/>
    <w:pPr>
      <w:spacing w:before="100" w:beforeAutospacing="1" w:after="100" w:afterAutospacing="1" w:line="240" w:lineRule="auto"/>
    </w:pPr>
    <w:rPr>
      <w:rFonts w:eastAsia="Times New Roman" w:cs="Times New Roman"/>
      <w:szCs w:val="24"/>
      <w:lang w:eastAsia="en-AU"/>
    </w:rPr>
  </w:style>
  <w:style w:type="character" w:customStyle="1" w:styleId="NormalWebChar">
    <w:name w:val="Normal (Web) Char"/>
    <w:link w:val="NormalWeb"/>
    <w:uiPriority w:val="99"/>
    <w:rsid w:val="0000686B"/>
    <w:rPr>
      <w:rFonts w:ascii="Cambria" w:hAnsi="Cambria"/>
      <w:sz w:val="24"/>
      <w:szCs w:val="24"/>
    </w:rPr>
  </w:style>
  <w:style w:type="paragraph" w:styleId="BalloonText">
    <w:name w:val="Balloon Text"/>
    <w:basedOn w:val="Normal"/>
    <w:link w:val="BalloonTextChar"/>
    <w:uiPriority w:val="99"/>
    <w:unhideWhenUsed/>
    <w:rsid w:val="00006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0686B"/>
    <w:rPr>
      <w:rFonts w:ascii="Tahoma" w:eastAsiaTheme="minorHAnsi" w:hAnsi="Tahoma" w:cs="Tahoma"/>
      <w:sz w:val="16"/>
      <w:szCs w:val="16"/>
      <w:lang w:eastAsia="en-US"/>
    </w:rPr>
  </w:style>
  <w:style w:type="character" w:customStyle="1" w:styleId="normalchar">
    <w:name w:val="normal_char"/>
    <w:rsid w:val="0000686B"/>
    <w:rPr>
      <w:color w:val="auto"/>
    </w:rPr>
  </w:style>
  <w:style w:type="character" w:styleId="Hyperlink">
    <w:name w:val="Hyperlink"/>
    <w:basedOn w:val="DefaultParagraphFont"/>
    <w:uiPriority w:val="99"/>
    <w:rsid w:val="0000686B"/>
    <w:rPr>
      <w:color w:val="0000FF" w:themeColor="hyperlink"/>
      <w:u w:val="single"/>
    </w:rPr>
  </w:style>
  <w:style w:type="character" w:styleId="CommentReference">
    <w:name w:val="annotation reference"/>
    <w:basedOn w:val="DefaultParagraphFont"/>
    <w:uiPriority w:val="99"/>
    <w:unhideWhenUsed/>
    <w:rsid w:val="0000686B"/>
    <w:rPr>
      <w:sz w:val="16"/>
      <w:szCs w:val="16"/>
    </w:rPr>
  </w:style>
  <w:style w:type="paragraph" w:styleId="CommentText">
    <w:name w:val="annotation text"/>
    <w:basedOn w:val="Normal"/>
    <w:link w:val="CommentTextChar"/>
    <w:uiPriority w:val="99"/>
    <w:unhideWhenUsed/>
    <w:rsid w:val="0000686B"/>
    <w:pPr>
      <w:spacing w:line="240" w:lineRule="auto"/>
    </w:pPr>
    <w:rPr>
      <w:sz w:val="20"/>
      <w:szCs w:val="20"/>
    </w:rPr>
  </w:style>
  <w:style w:type="character" w:customStyle="1" w:styleId="CommentTextChar">
    <w:name w:val="Comment Text Char"/>
    <w:basedOn w:val="DefaultParagraphFont"/>
    <w:link w:val="CommentText"/>
    <w:uiPriority w:val="99"/>
    <w:rsid w:val="0000686B"/>
    <w:rPr>
      <w:rFonts w:ascii="Cambria" w:eastAsiaTheme="minorHAnsi" w:hAnsi="Cambria" w:cstheme="minorBidi"/>
      <w:lang w:eastAsia="en-US"/>
    </w:rPr>
  </w:style>
  <w:style w:type="paragraph" w:styleId="CommentSubject">
    <w:name w:val="annotation subject"/>
    <w:basedOn w:val="CommentText"/>
    <w:next w:val="CommentText"/>
    <w:link w:val="CommentSubjectChar"/>
    <w:uiPriority w:val="99"/>
    <w:unhideWhenUsed/>
    <w:rsid w:val="0000686B"/>
    <w:rPr>
      <w:b/>
      <w:bCs/>
    </w:rPr>
  </w:style>
  <w:style w:type="character" w:customStyle="1" w:styleId="CommentSubjectChar">
    <w:name w:val="Comment Subject Char"/>
    <w:basedOn w:val="CommentTextChar"/>
    <w:link w:val="CommentSubject"/>
    <w:uiPriority w:val="99"/>
    <w:rsid w:val="0000686B"/>
    <w:rPr>
      <w:rFonts w:ascii="Cambria" w:eastAsiaTheme="minorHAnsi" w:hAnsi="Cambria" w:cstheme="minorBidi"/>
      <w:b/>
      <w:bCs/>
      <w:lang w:eastAsia="en-US"/>
    </w:rPr>
  </w:style>
  <w:style w:type="paragraph" w:styleId="BodyTextIndent3">
    <w:name w:val="Body Text Indent 3"/>
    <w:basedOn w:val="Normal"/>
    <w:link w:val="BodyTextIndent3Char"/>
    <w:rsid w:val="0000686B"/>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00686B"/>
    <w:rPr>
      <w:rFonts w:ascii="Cambria" w:hAnsi="Cambria"/>
      <w:sz w:val="16"/>
      <w:szCs w:val="16"/>
      <w:lang w:eastAsia="en-US"/>
    </w:rPr>
  </w:style>
  <w:style w:type="paragraph" w:styleId="Header">
    <w:name w:val="header"/>
    <w:basedOn w:val="Normal"/>
    <w:link w:val="HeaderChar"/>
    <w:uiPriority w:val="99"/>
    <w:unhideWhenUsed/>
    <w:rsid w:val="0000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6B"/>
    <w:rPr>
      <w:rFonts w:ascii="Cambria" w:eastAsiaTheme="minorHAnsi" w:hAnsi="Cambria" w:cstheme="minorBidi"/>
      <w:sz w:val="24"/>
      <w:szCs w:val="22"/>
      <w:lang w:eastAsia="en-US"/>
    </w:rPr>
  </w:style>
  <w:style w:type="paragraph" w:styleId="Footer">
    <w:name w:val="footer"/>
    <w:basedOn w:val="Normal"/>
    <w:link w:val="FooterChar"/>
    <w:uiPriority w:val="99"/>
    <w:unhideWhenUsed/>
    <w:rsid w:val="0000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6B"/>
    <w:rPr>
      <w:rFonts w:ascii="Cambria" w:eastAsiaTheme="minorHAnsi" w:hAnsi="Cambria" w:cstheme="minorBidi"/>
      <w:sz w:val="24"/>
      <w:szCs w:val="22"/>
      <w:lang w:eastAsia="en-US"/>
    </w:rPr>
  </w:style>
  <w:style w:type="paragraph" w:styleId="TOCHeading">
    <w:name w:val="TOC Heading"/>
    <w:basedOn w:val="Heading1"/>
    <w:next w:val="Normal"/>
    <w:uiPriority w:val="39"/>
    <w:unhideWhenUsed/>
    <w:qFormat/>
    <w:rsid w:val="0000686B"/>
    <w:pPr>
      <w:keepLines/>
      <w:spacing w:before="0" w:after="120"/>
      <w:outlineLvl w:val="9"/>
    </w:pPr>
    <w:rPr>
      <w:rFonts w:asciiTheme="majorHAnsi" w:eastAsiaTheme="majorEastAsia" w:hAnsiTheme="majorHAnsi" w:cstheme="majorBidi"/>
      <w:color w:val="4F81BD" w:themeColor="accent1"/>
      <w:kern w:val="0"/>
      <w:sz w:val="32"/>
      <w:szCs w:val="26"/>
      <w:lang w:val="en-US" w:eastAsia="ja-JP"/>
    </w:rPr>
  </w:style>
  <w:style w:type="paragraph" w:styleId="TOC1">
    <w:name w:val="toc 1"/>
    <w:basedOn w:val="Normal"/>
    <w:next w:val="Normal"/>
    <w:autoRedefine/>
    <w:uiPriority w:val="39"/>
    <w:unhideWhenUsed/>
    <w:qFormat/>
    <w:rsid w:val="0000686B"/>
    <w:pPr>
      <w:spacing w:after="100"/>
    </w:pPr>
  </w:style>
  <w:style w:type="paragraph" w:styleId="TOC2">
    <w:name w:val="toc 2"/>
    <w:basedOn w:val="Normal"/>
    <w:next w:val="Normal"/>
    <w:autoRedefine/>
    <w:uiPriority w:val="39"/>
    <w:unhideWhenUsed/>
    <w:qFormat/>
    <w:rsid w:val="0000686B"/>
    <w:pPr>
      <w:spacing w:after="100"/>
      <w:ind w:left="240"/>
    </w:pPr>
  </w:style>
  <w:style w:type="paragraph" w:styleId="TOC3">
    <w:name w:val="toc 3"/>
    <w:basedOn w:val="Normal"/>
    <w:next w:val="Normal"/>
    <w:autoRedefine/>
    <w:uiPriority w:val="39"/>
    <w:unhideWhenUsed/>
    <w:qFormat/>
    <w:rsid w:val="0000686B"/>
    <w:pPr>
      <w:spacing w:after="100"/>
      <w:ind w:left="480"/>
    </w:pPr>
  </w:style>
  <w:style w:type="character" w:customStyle="1" w:styleId="NoSpacingChar">
    <w:name w:val="No Spacing Char"/>
    <w:basedOn w:val="DefaultParagraphFont"/>
    <w:link w:val="NoSpacing"/>
    <w:uiPriority w:val="1"/>
    <w:locked/>
    <w:rsid w:val="0000686B"/>
    <w:rPr>
      <w:sz w:val="24"/>
      <w:szCs w:val="24"/>
      <w:lang w:eastAsia="en-US"/>
    </w:rPr>
  </w:style>
  <w:style w:type="character" w:customStyle="1" w:styleId="apple-converted-space">
    <w:name w:val="apple-converted-space"/>
    <w:basedOn w:val="DefaultParagraphFont"/>
    <w:rsid w:val="0000686B"/>
  </w:style>
  <w:style w:type="character" w:styleId="FollowedHyperlink">
    <w:name w:val="FollowedHyperlink"/>
    <w:uiPriority w:val="99"/>
    <w:unhideWhenUsed/>
    <w:rsid w:val="0000686B"/>
    <w:rPr>
      <w:color w:val="800080"/>
      <w:u w:val="single"/>
    </w:rPr>
  </w:style>
  <w:style w:type="character" w:styleId="HTMLCite">
    <w:name w:val="HTML Cite"/>
    <w:uiPriority w:val="99"/>
    <w:unhideWhenUsed/>
    <w:rsid w:val="0000686B"/>
    <w:rPr>
      <w:b w:val="0"/>
      <w:bCs w:val="0"/>
      <w:i w:val="0"/>
      <w:iCs w:val="0"/>
      <w:vanish w:val="0"/>
      <w:webHidden w:val="0"/>
      <w:specVanish w:val="0"/>
    </w:rPr>
  </w:style>
  <w:style w:type="character" w:customStyle="1" w:styleId="author4">
    <w:name w:val="author4"/>
    <w:rsid w:val="0000686B"/>
    <w:rPr>
      <w:b w:val="0"/>
      <w:bCs w:val="0"/>
      <w:i w:val="0"/>
      <w:iCs w:val="0"/>
      <w:smallCaps w:val="0"/>
      <w:sz w:val="24"/>
      <w:szCs w:val="24"/>
    </w:rPr>
  </w:style>
  <w:style w:type="character" w:customStyle="1" w:styleId="articletitle7">
    <w:name w:val="articletitle7"/>
    <w:basedOn w:val="DefaultParagraphFont"/>
    <w:rsid w:val="0000686B"/>
  </w:style>
  <w:style w:type="character" w:customStyle="1" w:styleId="journaltitle4">
    <w:name w:val="journaltitle4"/>
    <w:rsid w:val="0000686B"/>
    <w:rPr>
      <w:i/>
      <w:iCs/>
    </w:rPr>
  </w:style>
  <w:style w:type="character" w:customStyle="1" w:styleId="pubyear">
    <w:name w:val="pubyear"/>
    <w:basedOn w:val="DefaultParagraphFont"/>
    <w:rsid w:val="0000686B"/>
  </w:style>
  <w:style w:type="character" w:customStyle="1" w:styleId="citedissue">
    <w:name w:val="citedissue"/>
    <w:basedOn w:val="DefaultParagraphFont"/>
    <w:rsid w:val="0000686B"/>
  </w:style>
  <w:style w:type="character" w:customStyle="1" w:styleId="frlabel1">
    <w:name w:val="fr_label1"/>
    <w:rsid w:val="0000686B"/>
    <w:rPr>
      <w:b/>
      <w:bCs/>
    </w:rPr>
  </w:style>
  <w:style w:type="character" w:customStyle="1" w:styleId="hithilite3">
    <w:name w:val="hithilite3"/>
    <w:rsid w:val="0000686B"/>
    <w:rPr>
      <w:shd w:val="clear" w:color="auto" w:fill="FFFF00"/>
    </w:rPr>
  </w:style>
  <w:style w:type="character" w:customStyle="1" w:styleId="maintitle4">
    <w:name w:val="maintitle4"/>
    <w:rsid w:val="0000686B"/>
    <w:rPr>
      <w:vanish w:val="0"/>
      <w:webHidden w:val="0"/>
      <w:specVanish w:val="0"/>
    </w:rPr>
  </w:style>
  <w:style w:type="character" w:customStyle="1" w:styleId="override-xref-content-element7">
    <w:name w:val="override-xref-content-element7"/>
    <w:rsid w:val="0000686B"/>
    <w:rPr>
      <w:color w:val="007E8A"/>
    </w:rPr>
  </w:style>
  <w:style w:type="paragraph" w:customStyle="1" w:styleId="para10">
    <w:name w:val="para10"/>
    <w:basedOn w:val="Normal"/>
    <w:rsid w:val="0000686B"/>
    <w:pPr>
      <w:spacing w:after="240" w:line="360" w:lineRule="atLeast"/>
    </w:pPr>
    <w:rPr>
      <w:rFonts w:eastAsia="Times New Roman" w:cs="Times New Roman"/>
      <w:sz w:val="29"/>
      <w:szCs w:val="29"/>
      <w:lang w:eastAsia="en-AU"/>
    </w:rPr>
  </w:style>
  <w:style w:type="table" w:styleId="TableGrid">
    <w:name w:val="Table Grid"/>
    <w:basedOn w:val="TableNormal"/>
    <w:uiPriority w:val="39"/>
    <w:rsid w:val="0000686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0686B"/>
    <w:rPr>
      <w:i/>
      <w:iCs/>
    </w:rPr>
  </w:style>
  <w:style w:type="paragraph" w:customStyle="1" w:styleId="CM18">
    <w:name w:val="CM18"/>
    <w:basedOn w:val="Normal"/>
    <w:next w:val="Normal"/>
    <w:uiPriority w:val="99"/>
    <w:rsid w:val="0000686B"/>
    <w:pPr>
      <w:widowControl w:val="0"/>
      <w:autoSpaceDE w:val="0"/>
      <w:autoSpaceDN w:val="0"/>
      <w:adjustRightInd w:val="0"/>
      <w:spacing w:after="0" w:line="240" w:lineRule="auto"/>
    </w:pPr>
    <w:rPr>
      <w:rFonts w:ascii="MuseeBold" w:eastAsia="Times New Roman" w:hAnsi="MuseeBold" w:cs="Times New Roman"/>
      <w:szCs w:val="24"/>
      <w:lang w:eastAsia="en-AU"/>
    </w:rPr>
  </w:style>
  <w:style w:type="paragraph" w:customStyle="1" w:styleId="Heading5new">
    <w:name w:val="Heading 5 new"/>
    <w:basedOn w:val="NormalWeb"/>
    <w:link w:val="Heading5newChar"/>
    <w:qFormat/>
    <w:rsid w:val="0000686B"/>
    <w:pPr>
      <w:spacing w:before="0" w:beforeAutospacing="0" w:after="240" w:afterAutospacing="0" w:line="312" w:lineRule="atLeast"/>
    </w:pPr>
    <w:rPr>
      <w:b/>
      <w:i/>
      <w:color w:val="000000"/>
      <w:u w:val="single"/>
    </w:rPr>
  </w:style>
  <w:style w:type="character" w:customStyle="1" w:styleId="Heading5newChar">
    <w:name w:val="Heading 5 new Char"/>
    <w:link w:val="Heading5new"/>
    <w:rsid w:val="0000686B"/>
    <w:rPr>
      <w:rFonts w:ascii="Cambria" w:hAnsi="Cambria"/>
      <w:b/>
      <w:i/>
      <w:color w:val="000000"/>
      <w:sz w:val="24"/>
      <w:szCs w:val="24"/>
      <w:u w:val="single"/>
    </w:rPr>
  </w:style>
  <w:style w:type="paragraph" w:customStyle="1" w:styleId="Heading4new">
    <w:name w:val="Heading 4 new"/>
    <w:basedOn w:val="Heading5new"/>
    <w:link w:val="Heading4newChar"/>
    <w:qFormat/>
    <w:rsid w:val="00AE1E65"/>
    <w:rPr>
      <w:rFonts w:asciiTheme="minorHAnsi" w:hAnsiTheme="minorHAnsi"/>
      <w:u w:val="none"/>
    </w:rPr>
  </w:style>
  <w:style w:type="character" w:customStyle="1" w:styleId="Heading4newChar">
    <w:name w:val="Heading 4 new Char"/>
    <w:link w:val="Heading4new"/>
    <w:rsid w:val="00E30DCB"/>
    <w:rPr>
      <w:rFonts w:asciiTheme="minorHAnsi" w:hAnsiTheme="minorHAnsi"/>
      <w:b/>
      <w:i/>
      <w:color w:val="000000"/>
      <w:sz w:val="24"/>
      <w:szCs w:val="24"/>
    </w:rPr>
  </w:style>
  <w:style w:type="character" w:customStyle="1" w:styleId="label31">
    <w:name w:val="label31"/>
    <w:basedOn w:val="DefaultParagraphFont"/>
    <w:rsid w:val="0000686B"/>
  </w:style>
  <w:style w:type="character" w:customStyle="1" w:styleId="b7">
    <w:name w:val="b7"/>
    <w:rsid w:val="0000686B"/>
    <w:rPr>
      <w:b/>
      <w:bCs/>
    </w:rPr>
  </w:style>
  <w:style w:type="character" w:customStyle="1" w:styleId="tablenotes-note">
    <w:name w:val="tablenotes-note"/>
    <w:basedOn w:val="DefaultParagraphFont"/>
    <w:rsid w:val="0000686B"/>
  </w:style>
  <w:style w:type="character" w:customStyle="1" w:styleId="section-title3">
    <w:name w:val="section-title3"/>
    <w:rsid w:val="0000686B"/>
    <w:rPr>
      <w:vanish w:val="0"/>
      <w:webHidden w:val="0"/>
      <w:specVanish w:val="0"/>
    </w:rPr>
  </w:style>
  <w:style w:type="paragraph" w:customStyle="1" w:styleId="Default">
    <w:name w:val="Default"/>
    <w:rsid w:val="0000686B"/>
    <w:pPr>
      <w:widowControl w:val="0"/>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unhideWhenUsed/>
    <w:rsid w:val="0000686B"/>
    <w:pPr>
      <w:spacing w:after="100"/>
      <w:ind w:left="660"/>
    </w:pPr>
    <w:rPr>
      <w:rFonts w:ascii="Calibri" w:eastAsia="Times New Roman" w:hAnsi="Calibri" w:cs="Times New Roman"/>
      <w:sz w:val="22"/>
      <w:lang w:eastAsia="en-AU"/>
    </w:rPr>
  </w:style>
  <w:style w:type="paragraph" w:styleId="Revision">
    <w:name w:val="Revision"/>
    <w:hidden/>
    <w:uiPriority w:val="99"/>
    <w:semiHidden/>
    <w:rsid w:val="0000686B"/>
    <w:rPr>
      <w:rFonts w:ascii="Calibri" w:hAnsi="Calibri"/>
      <w:sz w:val="22"/>
      <w:szCs w:val="22"/>
    </w:rPr>
  </w:style>
  <w:style w:type="paragraph" w:styleId="FootnoteText">
    <w:name w:val="footnote text"/>
    <w:basedOn w:val="Normal"/>
    <w:link w:val="FootnoteTextChar"/>
    <w:uiPriority w:val="99"/>
    <w:unhideWhenUsed/>
    <w:rsid w:val="0000686B"/>
    <w:pPr>
      <w:spacing w:after="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uiPriority w:val="99"/>
    <w:rsid w:val="0000686B"/>
    <w:rPr>
      <w:rFonts w:ascii="Calibri" w:hAnsi="Calibri"/>
    </w:rPr>
  </w:style>
  <w:style w:type="character" w:styleId="FootnoteReference">
    <w:name w:val="footnote reference"/>
    <w:uiPriority w:val="99"/>
    <w:unhideWhenUsed/>
    <w:rsid w:val="0000686B"/>
    <w:rPr>
      <w:vertAlign w:val="superscript"/>
    </w:rPr>
  </w:style>
  <w:style w:type="table" w:customStyle="1" w:styleId="TableGrid1">
    <w:name w:val="Table Grid1"/>
    <w:basedOn w:val="TableNormal"/>
    <w:next w:val="TableGrid"/>
    <w:uiPriority w:val="39"/>
    <w:rsid w:val="0000686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00686B"/>
    <w:pPr>
      <w:spacing w:after="0" w:line="240" w:lineRule="auto"/>
    </w:pPr>
    <w:rPr>
      <w:rFonts w:ascii="Calibri" w:eastAsia="Times New Roman" w:hAnsi="Calibri" w:cs="Times New Roman"/>
      <w:sz w:val="20"/>
      <w:szCs w:val="20"/>
      <w:lang w:eastAsia="en-AU"/>
    </w:rPr>
  </w:style>
  <w:style w:type="character" w:customStyle="1" w:styleId="EndnoteTextChar">
    <w:name w:val="Endnote Text Char"/>
    <w:basedOn w:val="DefaultParagraphFont"/>
    <w:link w:val="EndnoteText"/>
    <w:uiPriority w:val="99"/>
    <w:rsid w:val="0000686B"/>
    <w:rPr>
      <w:rFonts w:ascii="Calibri" w:hAnsi="Calibri"/>
    </w:rPr>
  </w:style>
  <w:style w:type="character" w:styleId="EndnoteReference">
    <w:name w:val="endnote reference"/>
    <w:uiPriority w:val="99"/>
    <w:unhideWhenUsed/>
    <w:rsid w:val="0000686B"/>
    <w:rPr>
      <w:vertAlign w:val="superscript"/>
    </w:rPr>
  </w:style>
  <w:style w:type="paragraph" w:customStyle="1" w:styleId="para">
    <w:name w:val="para"/>
    <w:basedOn w:val="Normal"/>
    <w:rsid w:val="0000686B"/>
    <w:pPr>
      <w:spacing w:before="100" w:beforeAutospacing="1" w:after="100" w:afterAutospacing="1" w:line="240" w:lineRule="auto"/>
    </w:pPr>
    <w:rPr>
      <w:rFonts w:eastAsia="Times New Roman" w:cs="Times New Roman"/>
      <w:szCs w:val="24"/>
      <w:lang w:eastAsia="en-AU"/>
    </w:rPr>
  </w:style>
  <w:style w:type="paragraph" w:styleId="Caption">
    <w:name w:val="caption"/>
    <w:basedOn w:val="Normal"/>
    <w:next w:val="Normal"/>
    <w:uiPriority w:val="35"/>
    <w:unhideWhenUsed/>
    <w:qFormat/>
    <w:rsid w:val="0000686B"/>
    <w:pPr>
      <w:spacing w:line="240" w:lineRule="auto"/>
    </w:pPr>
    <w:rPr>
      <w:rFonts w:asciiTheme="minorHAnsi" w:eastAsia="Times New Roman" w:hAnsiTheme="minorHAnsi" w:cs="Times New Roman"/>
      <w:b/>
      <w:bCs/>
      <w:szCs w:val="18"/>
      <w:lang w:eastAsia="en-AU"/>
    </w:rPr>
  </w:style>
  <w:style w:type="paragraph" w:customStyle="1" w:styleId="ListBullet1">
    <w:name w:val="List Bullet1"/>
    <w:basedOn w:val="Normal"/>
    <w:uiPriority w:val="5"/>
    <w:qFormat/>
    <w:rsid w:val="0000686B"/>
    <w:pPr>
      <w:numPr>
        <w:numId w:val="1"/>
      </w:numPr>
      <w:shd w:val="clear" w:color="auto" w:fill="FFFFFF" w:themeFill="background1"/>
      <w:spacing w:before="120" w:after="120" w:line="260" w:lineRule="exact"/>
      <w:contextualSpacing/>
    </w:pPr>
    <w:rPr>
      <w:rFonts w:ascii="Arial" w:eastAsia="Times New Roman" w:hAnsi="Arial" w:cs="Arial"/>
      <w:sz w:val="20"/>
      <w:szCs w:val="20"/>
      <w:lang w:eastAsia="en-AU"/>
    </w:rPr>
  </w:style>
  <w:style w:type="character" w:customStyle="1" w:styleId="Bold">
    <w:name w:val="Bold"/>
    <w:uiPriority w:val="99"/>
    <w:qFormat/>
    <w:rsid w:val="0000686B"/>
    <w:rPr>
      <w:b/>
      <w:lang w:val="en-AU" w:eastAsia="en-US"/>
    </w:rPr>
  </w:style>
  <w:style w:type="character" w:customStyle="1" w:styleId="Italic">
    <w:name w:val="Italic"/>
    <w:uiPriority w:val="3"/>
    <w:rsid w:val="0000686B"/>
    <w:rPr>
      <w:i/>
      <w:lang w:val="en-AU" w:eastAsia="en-US"/>
    </w:rPr>
  </w:style>
  <w:style w:type="character" w:customStyle="1" w:styleId="HighlightOrange">
    <w:name w:val="Highlight Orange"/>
    <w:basedOn w:val="DefaultParagraphFont"/>
    <w:uiPriority w:val="75"/>
    <w:qFormat/>
    <w:rsid w:val="0000686B"/>
    <w:rPr>
      <w:color w:val="F47B28"/>
    </w:rPr>
  </w:style>
  <w:style w:type="table" w:customStyle="1" w:styleId="Boxorange">
    <w:name w:val="Box orange"/>
    <w:basedOn w:val="TableNormal"/>
    <w:uiPriority w:val="99"/>
    <w:qFormat/>
    <w:rsid w:val="0000686B"/>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00686B"/>
    <w:rPr>
      <w:bdr w:val="none" w:sz="0" w:space="0" w:color="auto"/>
      <w:shd w:val="clear" w:color="auto" w:fill="FFFF00"/>
    </w:rPr>
  </w:style>
  <w:style w:type="paragraph" w:styleId="TOC5">
    <w:name w:val="toc 5"/>
    <w:basedOn w:val="Normal"/>
    <w:next w:val="Normal"/>
    <w:autoRedefine/>
    <w:uiPriority w:val="39"/>
    <w:unhideWhenUsed/>
    <w:rsid w:val="0000686B"/>
    <w:pPr>
      <w:spacing w:after="100"/>
      <w:ind w:left="880"/>
      <w:jc w:val="left"/>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00686B"/>
    <w:pPr>
      <w:spacing w:after="100"/>
      <w:ind w:left="1100"/>
      <w:jc w:val="left"/>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00686B"/>
    <w:pPr>
      <w:spacing w:after="100"/>
      <w:ind w:left="1320"/>
      <w:jc w:val="left"/>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00686B"/>
    <w:pPr>
      <w:spacing w:after="100"/>
      <w:ind w:left="1540"/>
      <w:jc w:val="left"/>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00686B"/>
    <w:pPr>
      <w:spacing w:after="100"/>
      <w:ind w:left="1760"/>
      <w:jc w:val="left"/>
    </w:pPr>
    <w:rPr>
      <w:rFonts w:asciiTheme="minorHAnsi" w:eastAsiaTheme="minorEastAsia" w:hAnsiTheme="minorHAnsi"/>
      <w:sz w:val="22"/>
      <w:lang w:eastAsia="en-AU"/>
    </w:rPr>
  </w:style>
  <w:style w:type="table" w:styleId="LightGrid-Accent4">
    <w:name w:val="Light Grid Accent 4"/>
    <w:basedOn w:val="TableNormal"/>
    <w:uiPriority w:val="62"/>
    <w:rsid w:val="0000686B"/>
    <w:rPr>
      <w:rFonts w:eastAsiaTheme="minorHAnsi" w:cstheme="minorBidi"/>
      <w:sz w:val="24"/>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00686B"/>
    <w:rPr>
      <w:rFonts w:eastAsiaTheme="minorHAnsi" w:cstheme="minorBidi"/>
      <w:sz w:val="24"/>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00686B"/>
  </w:style>
  <w:style w:type="table" w:styleId="LightGrid-Accent6">
    <w:name w:val="Light Grid Accent 6"/>
    <w:basedOn w:val="TableNormal"/>
    <w:uiPriority w:val="62"/>
    <w:rsid w:val="0000686B"/>
    <w:rPr>
      <w:rFonts w:eastAsiaTheme="minorHAnsi"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00686B"/>
    <w:rPr>
      <w:rFonts w:eastAsiaTheme="minorHAnsi" w:cstheme="minorBidi"/>
      <w:sz w:val="24"/>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Heading51">
    <w:name w:val="Heading 51"/>
    <w:basedOn w:val="Normal"/>
    <w:link w:val="heading5Char0"/>
    <w:qFormat/>
    <w:rsid w:val="0000686B"/>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00686B"/>
    <w:rPr>
      <w:rFonts w:asciiTheme="majorHAnsi" w:eastAsiaTheme="minorHAnsi" w:hAnsiTheme="majorHAnsi" w:cstheme="minorBidi"/>
      <w:b/>
      <w:i/>
      <w:sz w:val="24"/>
      <w:szCs w:val="24"/>
      <w:lang w:eastAsia="en-US"/>
    </w:rPr>
  </w:style>
  <w:style w:type="paragraph" w:customStyle="1" w:styleId="BodyText1">
    <w:name w:val="Body Text1"/>
    <w:basedOn w:val="Normal"/>
    <w:link w:val="BodytextChar"/>
    <w:uiPriority w:val="1"/>
    <w:qFormat/>
    <w:rsid w:val="0000686B"/>
    <w:pPr>
      <w:shd w:val="clear" w:color="auto" w:fill="FFFFFF" w:themeFill="background1"/>
      <w:spacing w:before="120" w:after="120" w:line="260" w:lineRule="exact"/>
      <w:jc w:val="left"/>
    </w:pPr>
    <w:rPr>
      <w:rFonts w:ascii="Arial" w:eastAsia="Times New Roman" w:hAnsi="Arial" w:cs="Arial"/>
      <w:sz w:val="20"/>
      <w:szCs w:val="20"/>
      <w:lang w:eastAsia="en-AU"/>
    </w:rPr>
  </w:style>
  <w:style w:type="character" w:customStyle="1" w:styleId="BodytextChar">
    <w:name w:val="Body text Char"/>
    <w:basedOn w:val="DefaultParagraphFont"/>
    <w:link w:val="BodyText1"/>
    <w:uiPriority w:val="1"/>
    <w:rsid w:val="0000686B"/>
    <w:rPr>
      <w:rFonts w:ascii="Arial" w:hAnsi="Arial" w:cs="Arial"/>
      <w:shd w:val="clear" w:color="auto" w:fill="FFFFFF" w:themeFill="background1"/>
    </w:rPr>
  </w:style>
  <w:style w:type="paragraph" w:customStyle="1" w:styleId="Tablefootnote">
    <w:name w:val="Table footnote"/>
    <w:basedOn w:val="Normal"/>
    <w:next w:val="BodyText1"/>
    <w:link w:val="TablefootnoteCharChar"/>
    <w:uiPriority w:val="57"/>
    <w:rsid w:val="0000686B"/>
    <w:pPr>
      <w:spacing w:before="60" w:after="60" w:line="240" w:lineRule="auto"/>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00686B"/>
    <w:rPr>
      <w:rFonts w:ascii="Arial Narrow" w:hAnsi="Arial Narrow"/>
      <w:sz w:val="16"/>
      <w:lang w:eastAsia="en-US"/>
    </w:rPr>
  </w:style>
  <w:style w:type="paragraph" w:customStyle="1" w:styleId="Tabletitle">
    <w:name w:val="Table title"/>
    <w:basedOn w:val="Normal"/>
    <w:next w:val="BodyText1"/>
    <w:uiPriority w:val="99"/>
    <w:rsid w:val="0000686B"/>
    <w:pPr>
      <w:keepNext/>
      <w:numPr>
        <w:numId w:val="3"/>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00686B"/>
    <w:pPr>
      <w:spacing w:before="60" w:line="264" w:lineRule="auto"/>
    </w:pPr>
    <w:rPr>
      <w:rFonts w:ascii="Arial Narrow" w:hAnsi="Arial Narrow"/>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00686B"/>
    <w:pPr>
      <w:numPr>
        <w:numId w:val="4"/>
      </w:numPr>
      <w:spacing w:after="0" w:line="240" w:lineRule="auto"/>
      <w:jc w:val="left"/>
    </w:pPr>
    <w:rPr>
      <w:rFonts w:ascii="Arial Narrow" w:eastAsia="Times New Roman" w:hAnsi="Arial Narrow" w:cs="Times New Roman"/>
      <w:sz w:val="20"/>
      <w:szCs w:val="24"/>
      <w:lang w:eastAsia="en-AU"/>
    </w:rPr>
  </w:style>
  <w:style w:type="character" w:customStyle="1" w:styleId="Superscript">
    <w:name w:val="Superscript"/>
    <w:uiPriority w:val="18"/>
    <w:rsid w:val="0000686B"/>
    <w:rPr>
      <w:vertAlign w:val="superscript"/>
    </w:rPr>
  </w:style>
  <w:style w:type="paragraph" w:customStyle="1" w:styleId="ReportSubtitle">
    <w:name w:val="Report Subtitle"/>
    <w:basedOn w:val="Normal"/>
    <w:rsid w:val="0000686B"/>
    <w:pPr>
      <w:spacing w:after="240" w:line="240" w:lineRule="auto"/>
      <w:ind w:left="720"/>
      <w:jc w:val="right"/>
    </w:pPr>
    <w:rPr>
      <w:rFonts w:ascii="Arial Bold" w:eastAsia="Times New Roman" w:hAnsi="Arial Bold" w:cs="Times New Roman"/>
      <w:b/>
      <w:bCs/>
      <w:color w:val="000000"/>
      <w:sz w:val="40"/>
      <w:szCs w:val="20"/>
      <w:lang w:eastAsia="en-AU"/>
    </w:rPr>
  </w:style>
  <w:style w:type="character" w:customStyle="1" w:styleId="label-">
    <w:name w:val="label-"/>
    <w:basedOn w:val="DefaultParagraphFont"/>
    <w:rsid w:val="0000686B"/>
  </w:style>
  <w:style w:type="table" w:customStyle="1" w:styleId="TableGrid2">
    <w:name w:val="Table Grid2"/>
    <w:basedOn w:val="TableNormal"/>
    <w:next w:val="TableGrid"/>
    <w:uiPriority w:val="39"/>
    <w:rsid w:val="0000686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00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0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0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00686B"/>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element">
    <w:name w:val="removeelement"/>
    <w:basedOn w:val="Normal"/>
    <w:rsid w:val="0000686B"/>
    <w:pPr>
      <w:spacing w:after="300" w:line="300" w:lineRule="atLeast"/>
      <w:jc w:val="left"/>
    </w:pPr>
    <w:rPr>
      <w:rFonts w:ascii="Times New Roman" w:eastAsia="Times New Roman" w:hAnsi="Times New Roman" w:cs="Times New Roman"/>
      <w:color w:val="414042"/>
      <w:sz w:val="21"/>
      <w:szCs w:val="21"/>
      <w:lang w:eastAsia="en-AU"/>
    </w:rPr>
  </w:style>
  <w:style w:type="character" w:customStyle="1" w:styleId="abbrev">
    <w:name w:val="abbrev"/>
    <w:basedOn w:val="DefaultParagraphFont"/>
    <w:rsid w:val="0000686B"/>
  </w:style>
  <w:style w:type="character" w:customStyle="1" w:styleId="online">
    <w:name w:val="online"/>
    <w:basedOn w:val="DefaultParagraphFont"/>
    <w:rsid w:val="0000686B"/>
  </w:style>
  <w:style w:type="character" w:customStyle="1" w:styleId="st1">
    <w:name w:val="st1"/>
    <w:basedOn w:val="DefaultParagraphFont"/>
    <w:rsid w:val="0000686B"/>
  </w:style>
  <w:style w:type="character" w:customStyle="1" w:styleId="tgc">
    <w:name w:val="_tgc"/>
    <w:basedOn w:val="DefaultParagraphFont"/>
    <w:rsid w:val="0000686B"/>
  </w:style>
  <w:style w:type="paragraph" w:customStyle="1" w:styleId="Notes">
    <w:name w:val="Notes"/>
    <w:basedOn w:val="Normal"/>
    <w:qFormat/>
    <w:rsid w:val="0000686B"/>
    <w:pPr>
      <w:spacing w:after="0" w:line="240" w:lineRule="auto"/>
      <w:jc w:val="left"/>
    </w:pPr>
    <w:rPr>
      <w:rFonts w:ascii="Arial" w:eastAsia="Times New Roman" w:hAnsi="Arial" w:cs="Arial"/>
      <w:noProof/>
      <w:sz w:val="20"/>
      <w:szCs w:val="20"/>
      <w:lang w:val="en-US" w:eastAsia="en-AU"/>
    </w:rPr>
  </w:style>
  <w:style w:type="character" w:customStyle="1" w:styleId="TablewritingChar">
    <w:name w:val="Table writing Char"/>
    <w:link w:val="Tablewriting"/>
    <w:locked/>
    <w:rsid w:val="0000686B"/>
    <w:rPr>
      <w:rFonts w:ascii="Arial" w:hAnsi="Arial" w:cs="Arial"/>
      <w:sz w:val="22"/>
    </w:rPr>
  </w:style>
  <w:style w:type="paragraph" w:customStyle="1" w:styleId="Tablewriting">
    <w:name w:val="Table writing"/>
    <w:basedOn w:val="Normal"/>
    <w:link w:val="TablewritingChar"/>
    <w:qFormat/>
    <w:rsid w:val="0000686B"/>
    <w:pPr>
      <w:overflowPunct w:val="0"/>
      <w:autoSpaceDE w:val="0"/>
      <w:autoSpaceDN w:val="0"/>
      <w:adjustRightInd w:val="0"/>
      <w:spacing w:before="40" w:after="40" w:line="240" w:lineRule="auto"/>
      <w:jc w:val="left"/>
    </w:pPr>
    <w:rPr>
      <w:rFonts w:ascii="Arial" w:eastAsia="Times New Roman" w:hAnsi="Arial" w:cs="Arial"/>
      <w:sz w:val="22"/>
      <w:szCs w:val="20"/>
      <w:lang w:eastAsia="en-AU"/>
    </w:rPr>
  </w:style>
  <w:style w:type="paragraph" w:styleId="BodyText">
    <w:name w:val="Body Text"/>
    <w:basedOn w:val="Normal"/>
    <w:link w:val="BodyTextChar0"/>
    <w:uiPriority w:val="1"/>
    <w:unhideWhenUsed/>
    <w:qFormat/>
    <w:rsid w:val="0000686B"/>
    <w:pPr>
      <w:spacing w:after="120"/>
    </w:pPr>
  </w:style>
  <w:style w:type="character" w:customStyle="1" w:styleId="BodyTextChar0">
    <w:name w:val="Body Text Char"/>
    <w:basedOn w:val="DefaultParagraphFont"/>
    <w:link w:val="BodyText"/>
    <w:uiPriority w:val="1"/>
    <w:rsid w:val="0000686B"/>
    <w:rPr>
      <w:rFonts w:ascii="Cambria" w:eastAsiaTheme="minorHAnsi" w:hAnsi="Cambria" w:cstheme="minorBidi"/>
      <w:sz w:val="24"/>
      <w:szCs w:val="22"/>
      <w:lang w:eastAsia="en-US"/>
    </w:rPr>
  </w:style>
  <w:style w:type="paragraph" w:styleId="ListBullet">
    <w:name w:val="List Bullet"/>
    <w:basedOn w:val="BodyText"/>
    <w:uiPriority w:val="99"/>
    <w:qFormat/>
    <w:rsid w:val="0000686B"/>
    <w:pPr>
      <w:numPr>
        <w:numId w:val="14"/>
      </w:numPr>
      <w:spacing w:before="120" w:after="0" w:line="300" w:lineRule="atLeast"/>
      <w:jc w:val="left"/>
    </w:pPr>
    <w:rPr>
      <w:rFonts w:asciiTheme="minorHAnsi" w:eastAsia="Times New Roman" w:hAnsiTheme="minorHAnsi" w:cs="Times New Roman"/>
      <w:sz w:val="22"/>
      <w:lang w:eastAsia="en-AU"/>
    </w:rPr>
  </w:style>
  <w:style w:type="table" w:customStyle="1" w:styleId="TableGrid23">
    <w:name w:val="Table Grid23"/>
    <w:basedOn w:val="TableNormal"/>
    <w:next w:val="TableGrid"/>
    <w:rsid w:val="0000686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character" w:customStyle="1" w:styleId="selectable">
    <w:name w:val="selectable"/>
    <w:basedOn w:val="DefaultParagraphFont"/>
    <w:rsid w:val="0000686B"/>
  </w:style>
  <w:style w:type="paragraph" w:customStyle="1" w:styleId="TableParagraph">
    <w:name w:val="Table Paragraph"/>
    <w:basedOn w:val="Normal"/>
    <w:uiPriority w:val="1"/>
    <w:qFormat/>
    <w:rsid w:val="0000686B"/>
    <w:pPr>
      <w:widowControl w:val="0"/>
      <w:autoSpaceDE w:val="0"/>
      <w:autoSpaceDN w:val="0"/>
      <w:adjustRightInd w:val="0"/>
      <w:spacing w:after="0" w:line="240" w:lineRule="auto"/>
      <w:jc w:val="left"/>
    </w:pPr>
    <w:rPr>
      <w:rFonts w:ascii="Times New Roman" w:eastAsiaTheme="minorEastAsia" w:hAnsi="Times New Roman" w:cs="Times New Roman"/>
      <w:szCs w:val="24"/>
      <w:lang w:eastAsia="en-AU"/>
    </w:rPr>
  </w:style>
  <w:style w:type="paragraph" w:customStyle="1" w:styleId="Figuretitle">
    <w:name w:val="Figure title"/>
    <w:basedOn w:val="Tabletitle"/>
    <w:link w:val="FiguretitleChar"/>
    <w:qFormat/>
    <w:rsid w:val="0000686B"/>
    <w:pPr>
      <w:keepNext w:val="0"/>
      <w:numPr>
        <w:numId w:val="0"/>
      </w:numPr>
      <w:shd w:val="clear" w:color="auto" w:fill="auto"/>
      <w:spacing w:before="60" w:after="60" w:line="240" w:lineRule="auto"/>
      <w:outlineLvl w:val="3"/>
    </w:pPr>
    <w:rPr>
      <w:rFonts w:asciiTheme="minorHAnsi" w:eastAsiaTheme="minorEastAsia" w:hAnsiTheme="minorHAnsi" w:cstheme="minorBidi"/>
      <w:caps w:val="0"/>
      <w:color w:val="auto"/>
      <w:sz w:val="24"/>
      <w:szCs w:val="24"/>
      <w:lang w:val="en-US"/>
    </w:rPr>
  </w:style>
  <w:style w:type="character" w:customStyle="1" w:styleId="FiguretitleChar">
    <w:name w:val="Figure title Char"/>
    <w:basedOn w:val="DefaultParagraphFont"/>
    <w:link w:val="Figuretitle"/>
    <w:rsid w:val="0000686B"/>
    <w:rPr>
      <w:rFonts w:asciiTheme="minorHAnsi" w:eastAsiaTheme="minorEastAsia" w:hAnsiTheme="minorHAnsi" w:cstheme="minorBidi"/>
      <w:b/>
      <w:sz w:val="24"/>
      <w:szCs w:val="24"/>
      <w:lang w:val="en-US" w:eastAsia="en-US"/>
    </w:rPr>
  </w:style>
  <w:style w:type="paragraph" w:customStyle="1" w:styleId="Figurecaption">
    <w:name w:val="Figure caption"/>
    <w:basedOn w:val="Normal"/>
    <w:link w:val="FigurecaptionChar"/>
    <w:qFormat/>
    <w:rsid w:val="0000686B"/>
    <w:pPr>
      <w:spacing w:before="60" w:after="60" w:line="240" w:lineRule="auto"/>
      <w:jc w:val="left"/>
    </w:pPr>
    <w:rPr>
      <w:rFonts w:asciiTheme="minorHAnsi" w:eastAsiaTheme="minorEastAsia" w:hAnsiTheme="minorHAnsi"/>
      <w:sz w:val="20"/>
      <w:szCs w:val="20"/>
    </w:rPr>
  </w:style>
  <w:style w:type="character" w:customStyle="1" w:styleId="FigurecaptionChar">
    <w:name w:val="Figure caption Char"/>
    <w:basedOn w:val="DefaultParagraphFont"/>
    <w:link w:val="Figurecaption"/>
    <w:rsid w:val="0000686B"/>
    <w:rPr>
      <w:rFonts w:asciiTheme="minorHAnsi" w:eastAsiaTheme="minorEastAsia" w:hAnsiTheme="minorHAnsi" w:cstheme="minorBidi"/>
      <w:lang w:eastAsia="en-US"/>
    </w:rPr>
  </w:style>
  <w:style w:type="table" w:customStyle="1" w:styleId="TableGrid25">
    <w:name w:val="Table Grid25"/>
    <w:basedOn w:val="TableNormal"/>
    <w:next w:val="TableGrid"/>
    <w:uiPriority w:val="39"/>
    <w:rsid w:val="0000686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xmsolistparagraph">
    <w:name w:val="x_msolistparagraph"/>
    <w:basedOn w:val="Normal"/>
    <w:uiPriority w:val="99"/>
    <w:rsid w:val="0000686B"/>
    <w:pPr>
      <w:spacing w:after="0" w:line="240" w:lineRule="auto"/>
      <w:jc w:val="left"/>
    </w:pPr>
    <w:rPr>
      <w:rFonts w:ascii="Times New Roman" w:hAnsi="Times New Roman" w:cs="Times New Roman"/>
      <w:szCs w:val="24"/>
      <w:lang w:eastAsia="en-AU"/>
    </w:rPr>
  </w:style>
  <w:style w:type="paragraph" w:styleId="ListBullet2">
    <w:name w:val="List Bullet 2"/>
    <w:basedOn w:val="Normal"/>
    <w:uiPriority w:val="99"/>
    <w:unhideWhenUsed/>
    <w:rsid w:val="0000686B"/>
    <w:pPr>
      <w:numPr>
        <w:numId w:val="20"/>
      </w:numPr>
      <w:contextualSpacing/>
    </w:pPr>
  </w:style>
  <w:style w:type="paragraph" w:customStyle="1" w:styleId="Coverdate">
    <w:name w:val="Cover date"/>
    <w:basedOn w:val="Subtitle"/>
    <w:next w:val="BodyText"/>
    <w:uiPriority w:val="99"/>
    <w:rsid w:val="0000686B"/>
    <w:pPr>
      <w:framePr w:w="8335" w:h="2552" w:hRule="exact" w:hSpace="181" w:wrap="notBeside" w:vAnchor="page" w:hAnchor="text" w:x="1" w:y="4254"/>
      <w:numPr>
        <w:ilvl w:val="0"/>
      </w:numPr>
      <w:tabs>
        <w:tab w:val="left" w:pos="425"/>
      </w:tabs>
      <w:spacing w:before="120" w:line="300" w:lineRule="atLeast"/>
    </w:pPr>
    <w:rPr>
      <w:rFonts w:ascii="Arial Bold" w:eastAsia="Times New Roman" w:hAnsi="Arial Bold" w:cs="Arial"/>
      <w:iCs w:val="0"/>
      <w:caps/>
      <w:color w:val="1F497D" w:themeColor="text2"/>
      <w:spacing w:val="20"/>
      <w:kern w:val="28"/>
      <w:szCs w:val="40"/>
      <w:lang w:eastAsia="en-AU"/>
    </w:rPr>
  </w:style>
  <w:style w:type="paragraph" w:customStyle="1" w:styleId="Contents">
    <w:name w:val="Contents"/>
    <w:basedOn w:val="BodyText"/>
    <w:next w:val="BodyText"/>
    <w:uiPriority w:val="99"/>
    <w:unhideWhenUsed/>
    <w:rsid w:val="0000686B"/>
    <w:pPr>
      <w:spacing w:before="480" w:after="480" w:line="360" w:lineRule="atLeast"/>
      <w:jc w:val="left"/>
    </w:pPr>
    <w:rPr>
      <w:rFonts w:asciiTheme="majorHAnsi" w:eastAsia="Times New Roman" w:hAnsiTheme="majorHAnsi" w:cs="Times New Roman"/>
      <w:b/>
      <w:caps/>
      <w:sz w:val="32"/>
      <w:lang w:eastAsia="en-AU"/>
    </w:rPr>
  </w:style>
  <w:style w:type="table" w:customStyle="1" w:styleId="TableGrid16">
    <w:name w:val="Table Grid16"/>
    <w:basedOn w:val="TableNormal"/>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0686B"/>
    <w:rPr>
      <w:rFonts w:ascii="Cambria"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Name"/>
    <w:basedOn w:val="Normal"/>
    <w:qFormat/>
    <w:rsid w:val="00AE1E65"/>
    <w:pPr>
      <w:spacing w:after="0" w:line="240" w:lineRule="auto"/>
    </w:pPr>
    <w:rPr>
      <w:rFonts w:asciiTheme="minorHAnsi" w:hAnsiTheme="minorHAnsi"/>
      <w:b/>
      <w:bCs/>
      <w:szCs w:val="24"/>
    </w:rPr>
  </w:style>
  <w:style w:type="character" w:customStyle="1" w:styleId="TableTextChar">
    <w:name w:val="Table Text Char"/>
    <w:link w:val="TableText"/>
    <w:locked/>
    <w:rsid w:val="0000686B"/>
    <w:rPr>
      <w:rFonts w:ascii="Arial" w:hAnsi="Arial"/>
      <w:sz w:val="18"/>
    </w:rPr>
  </w:style>
  <w:style w:type="paragraph" w:customStyle="1" w:styleId="TableText">
    <w:name w:val="Table Text"/>
    <w:basedOn w:val="Normal"/>
    <w:link w:val="TableTextChar"/>
    <w:rsid w:val="0000686B"/>
    <w:pPr>
      <w:keepNext/>
      <w:spacing w:before="40" w:after="40" w:line="240" w:lineRule="auto"/>
      <w:jc w:val="left"/>
    </w:pPr>
    <w:rPr>
      <w:rFonts w:ascii="Arial" w:eastAsia="Times New Roman" w:hAnsi="Arial" w:cs="Times New Roman"/>
      <w:sz w:val="18"/>
      <w:szCs w:val="20"/>
      <w:lang w:eastAsia="en-AU"/>
    </w:rPr>
  </w:style>
  <w:style w:type="paragraph" w:customStyle="1" w:styleId="Caption1">
    <w:name w:val="Caption1"/>
    <w:basedOn w:val="Normal"/>
    <w:rsid w:val="0000686B"/>
    <w:pPr>
      <w:spacing w:before="100" w:beforeAutospacing="1" w:after="100" w:afterAutospacing="1" w:line="240" w:lineRule="auto"/>
      <w:jc w:val="left"/>
    </w:pPr>
    <w:rPr>
      <w:rFonts w:ascii="Times New Roman" w:eastAsia="Times New Roman" w:hAnsi="Times New Roman" w:cs="Times New Roman"/>
      <w:szCs w:val="24"/>
      <w:lang w:eastAsia="zh-CN"/>
    </w:rPr>
  </w:style>
  <w:style w:type="character" w:customStyle="1" w:styleId="TabletextChar0">
    <w:name w:val="Table text Char"/>
    <w:link w:val="Tabletext0"/>
    <w:locked/>
    <w:rsid w:val="0000686B"/>
    <w:rPr>
      <w:rFonts w:ascii="Arial Narrow" w:hAnsi="Arial Narrow"/>
      <w:szCs w:val="24"/>
    </w:rPr>
  </w:style>
  <w:style w:type="paragraph" w:customStyle="1" w:styleId="Tabletext0">
    <w:name w:val="Table text"/>
    <w:basedOn w:val="Normal"/>
    <w:link w:val="TabletextChar0"/>
    <w:qFormat/>
    <w:rsid w:val="0000686B"/>
    <w:pPr>
      <w:spacing w:after="0" w:line="240" w:lineRule="auto"/>
      <w:ind w:left="34"/>
      <w:jc w:val="left"/>
    </w:pPr>
    <w:rPr>
      <w:rFonts w:ascii="Arial Narrow" w:eastAsia="Times New Roman" w:hAnsi="Arial Narrow" w:cs="Times New Roman"/>
      <w:sz w:val="20"/>
      <w:szCs w:val="24"/>
      <w:lang w:eastAsia="en-AU"/>
    </w:rPr>
  </w:style>
  <w:style w:type="character" w:customStyle="1" w:styleId="term">
    <w:name w:val="term"/>
    <w:basedOn w:val="DefaultParagraphFont"/>
    <w:rsid w:val="0000686B"/>
  </w:style>
  <w:style w:type="table" w:customStyle="1" w:styleId="TableGrid7">
    <w:name w:val="Table Grid7"/>
    <w:basedOn w:val="TableNormal"/>
    <w:uiPriority w:val="39"/>
    <w:rsid w:val="0000686B"/>
    <w:pPr>
      <w:spacing w:after="240"/>
      <w:ind w:left="720"/>
    </w:pPr>
    <w:rPr>
      <w:rFonts w:ascii="Garamond" w:hAnsi="Garamond"/>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00686B"/>
    <w:pPr>
      <w:spacing w:after="240"/>
      <w:ind w:left="720"/>
    </w:pPr>
    <w:rPr>
      <w:rFonts w:ascii="Garamond" w:hAnsi="Garamond"/>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00686B"/>
    <w:pPr>
      <w:spacing w:after="240"/>
      <w:ind w:left="720"/>
    </w:pPr>
    <w:rPr>
      <w:rFonts w:ascii="Garamond" w:hAnsi="Garamond"/>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00686B"/>
    <w:pPr>
      <w:spacing w:after="240"/>
      <w:ind w:left="720"/>
    </w:pPr>
    <w:rPr>
      <w:rFonts w:ascii="Garamond" w:hAnsi="Garamond"/>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00686B"/>
    <w:pPr>
      <w:spacing w:after="240"/>
      <w:ind w:left="720"/>
    </w:pPr>
    <w:rPr>
      <w:rFonts w:ascii="Garamond" w:hAnsi="Garamond"/>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0686B"/>
  </w:style>
  <w:style w:type="table" w:customStyle="1" w:styleId="TableGrid12">
    <w:name w:val="Table Grid12"/>
    <w:basedOn w:val="TableNormal"/>
    <w:next w:val="TableGrid"/>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0686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numbering" w:customStyle="1" w:styleId="NoList2">
    <w:name w:val="No List2"/>
    <w:next w:val="NoList"/>
    <w:uiPriority w:val="99"/>
    <w:semiHidden/>
    <w:unhideWhenUsed/>
    <w:rsid w:val="0000686B"/>
  </w:style>
  <w:style w:type="numbering" w:customStyle="1" w:styleId="NoList11">
    <w:name w:val="No List11"/>
    <w:next w:val="NoList"/>
    <w:uiPriority w:val="99"/>
    <w:semiHidden/>
    <w:unhideWhenUsed/>
    <w:rsid w:val="0000686B"/>
  </w:style>
  <w:style w:type="table" w:customStyle="1" w:styleId="TableGrid15">
    <w:name w:val="Table Grid15"/>
    <w:basedOn w:val="TableNormal"/>
    <w:next w:val="TableGrid"/>
    <w:uiPriority w:val="39"/>
    <w:rsid w:val="000068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068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068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0686B"/>
  </w:style>
  <w:style w:type="table" w:customStyle="1" w:styleId="TableGrid121">
    <w:name w:val="Table Grid121"/>
    <w:basedOn w:val="TableNormal"/>
    <w:next w:val="TableGrid"/>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00686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0686B"/>
    <w:pPr>
      <w:spacing w:after="160" w:line="240" w:lineRule="exact"/>
      <w:jc w:val="left"/>
    </w:pPr>
    <w:rPr>
      <w:rFonts w:ascii="Verdana" w:eastAsia="MS Mincho" w:hAnsi="Verdana" w:cs="Verdana"/>
      <w:sz w:val="20"/>
      <w:szCs w:val="20"/>
      <w:lang w:val="en-US"/>
    </w:rPr>
  </w:style>
  <w:style w:type="numbering" w:customStyle="1" w:styleId="NoList3">
    <w:name w:val="No List3"/>
    <w:next w:val="NoList"/>
    <w:uiPriority w:val="99"/>
    <w:semiHidden/>
    <w:unhideWhenUsed/>
    <w:rsid w:val="0000686B"/>
  </w:style>
  <w:style w:type="table" w:customStyle="1" w:styleId="TableGrid17">
    <w:name w:val="Table Grid17"/>
    <w:basedOn w:val="TableNormal"/>
    <w:next w:val="TableGrid"/>
    <w:uiPriority w:val="39"/>
    <w:rsid w:val="002D2F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line">
    <w:name w:val="citationline"/>
    <w:basedOn w:val="Normal"/>
    <w:rsid w:val="002713D8"/>
    <w:pPr>
      <w:spacing w:before="100" w:beforeAutospacing="1" w:after="100" w:afterAutospacing="1" w:line="336" w:lineRule="atLeast"/>
      <w:jc w:val="left"/>
    </w:pPr>
    <w:rPr>
      <w:rFonts w:ascii="Times New Roman" w:eastAsia="Times New Roman" w:hAnsi="Times New Roman" w:cs="Times New Roman"/>
      <w:sz w:val="17"/>
      <w:szCs w:val="17"/>
      <w:lang w:eastAsia="en-AU"/>
    </w:rPr>
  </w:style>
  <w:style w:type="paragraph" w:customStyle="1" w:styleId="authors">
    <w:name w:val="authors"/>
    <w:basedOn w:val="Normal"/>
    <w:rsid w:val="002713D8"/>
    <w:pPr>
      <w:spacing w:before="100" w:beforeAutospacing="1" w:after="100" w:afterAutospacing="1" w:line="336" w:lineRule="atLeast"/>
      <w:jc w:val="left"/>
    </w:pPr>
    <w:rPr>
      <w:rFonts w:ascii="Times New Roman" w:eastAsia="Times New Roman" w:hAnsi="Times New Roman" w:cs="Times New Roman"/>
      <w:sz w:val="17"/>
      <w:szCs w:val="17"/>
      <w:lang w:eastAsia="en-AU"/>
    </w:rPr>
  </w:style>
  <w:style w:type="character" w:customStyle="1" w:styleId="doi1">
    <w:name w:val="doi1"/>
    <w:basedOn w:val="DefaultParagraphFont"/>
    <w:rsid w:val="002713D8"/>
    <w:rPr>
      <w:color w:val="666666"/>
    </w:rPr>
  </w:style>
  <w:style w:type="character" w:customStyle="1" w:styleId="nlmon-behalf-of">
    <w:name w:val="nlm_on-behalf-of"/>
    <w:basedOn w:val="DefaultParagraphFont"/>
    <w:rsid w:val="002713D8"/>
  </w:style>
  <w:style w:type="character" w:customStyle="1" w:styleId="citation">
    <w:name w:val="citation"/>
    <w:basedOn w:val="DefaultParagraphFont"/>
    <w:rsid w:val="00271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Bullet" w:uiPriority="99" w:qFormat="1"/>
    <w:lsdException w:name="List Bullet 2" w:uiPriority="99"/>
    <w:lsdException w:name="Title"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B52"/>
    <w:pPr>
      <w:spacing w:after="200" w:line="276" w:lineRule="auto"/>
      <w:jc w:val="both"/>
    </w:pPr>
    <w:rPr>
      <w:rFonts w:ascii="Cambria" w:eastAsiaTheme="minorHAnsi" w:hAnsi="Cambria" w:cstheme="minorBidi"/>
      <w:sz w:val="24"/>
      <w:szCs w:val="22"/>
      <w:lang w:eastAsia="en-US"/>
    </w:rPr>
  </w:style>
  <w:style w:type="paragraph" w:styleId="Heading1">
    <w:name w:val="heading 1"/>
    <w:basedOn w:val="Normal"/>
    <w:next w:val="Normal"/>
    <w:link w:val="Heading1Char"/>
    <w:uiPriority w:val="9"/>
    <w:qFormat/>
    <w:rsid w:val="00F03B50"/>
    <w:pPr>
      <w:keepNext/>
      <w:spacing w:before="240" w:after="60"/>
      <w:jc w:val="center"/>
      <w:outlineLvl w:val="0"/>
    </w:pPr>
    <w:rPr>
      <w:rFonts w:asciiTheme="minorHAnsi" w:hAnsiTheme="minorHAnsi" w:cs="Arial"/>
      <w:b/>
      <w:bCs/>
      <w:color w:val="365F91" w:themeColor="accent1" w:themeShade="BF"/>
      <w:kern w:val="28"/>
      <w:sz w:val="40"/>
      <w:szCs w:val="32"/>
    </w:rPr>
  </w:style>
  <w:style w:type="paragraph" w:styleId="Heading2">
    <w:name w:val="heading 2"/>
    <w:basedOn w:val="Normal"/>
    <w:next w:val="Normal"/>
    <w:link w:val="Heading2Char"/>
    <w:uiPriority w:val="9"/>
    <w:qFormat/>
    <w:rsid w:val="008810FB"/>
    <w:pPr>
      <w:keepNext/>
      <w:spacing w:before="240" w:after="60"/>
      <w:jc w:val="left"/>
      <w:outlineLvl w:val="1"/>
    </w:pPr>
    <w:rPr>
      <w:rFonts w:asciiTheme="minorHAnsi" w:hAnsiTheme="minorHAnsi" w:cs="Arial"/>
      <w:b/>
      <w:bCs/>
      <w:iCs/>
      <w:color w:val="365F91" w:themeColor="accent1" w:themeShade="BF"/>
      <w:sz w:val="32"/>
      <w:szCs w:val="28"/>
    </w:rPr>
  </w:style>
  <w:style w:type="paragraph" w:styleId="Heading3">
    <w:name w:val="heading 3"/>
    <w:basedOn w:val="Normal"/>
    <w:next w:val="Normal"/>
    <w:link w:val="Heading3Char"/>
    <w:uiPriority w:val="9"/>
    <w:qFormat/>
    <w:rsid w:val="00DA7A17"/>
    <w:pPr>
      <w:keepNext/>
      <w:spacing w:before="240" w:after="60"/>
      <w:outlineLvl w:val="2"/>
    </w:pPr>
    <w:rPr>
      <w:rFonts w:asciiTheme="minorHAnsi" w:hAnsiTheme="minorHAnsi" w:cs="Arial"/>
      <w:b/>
      <w:bCs/>
      <w:i/>
      <w:sz w:val="28"/>
      <w:szCs w:val="26"/>
    </w:rPr>
  </w:style>
  <w:style w:type="paragraph" w:styleId="Heading4">
    <w:name w:val="heading 4"/>
    <w:basedOn w:val="Normal"/>
    <w:next w:val="Normal"/>
    <w:link w:val="Heading4Char"/>
    <w:uiPriority w:val="9"/>
    <w:qFormat/>
    <w:rsid w:val="00F03B50"/>
    <w:pPr>
      <w:keepNext/>
      <w:spacing w:before="240" w:after="60"/>
      <w:outlineLvl w:val="3"/>
    </w:pPr>
    <w:rPr>
      <w:rFonts w:asciiTheme="minorHAnsi" w:hAnsiTheme="minorHAnsi"/>
      <w:b/>
      <w:bCs/>
      <w:i/>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rPr>
  </w:style>
  <w:style w:type="paragraph" w:styleId="Heading7">
    <w:name w:val="heading 7"/>
    <w:basedOn w:val="Normal"/>
    <w:next w:val="Normal"/>
    <w:link w:val="Heading7Char"/>
    <w:uiPriority w:val="9"/>
    <w:semiHidden/>
    <w:unhideWhenUsed/>
    <w:qFormat/>
    <w:rsid w:val="0000686B"/>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86B"/>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86B"/>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Footnote,BulletPoints"/>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uiPriority w:val="9"/>
    <w:semiHidden/>
    <w:rsid w:val="0000686B"/>
    <w:rPr>
      <w:rFonts w:asciiTheme="majorHAnsi" w:eastAsiaTheme="majorEastAsia" w:hAnsiTheme="majorHAnsi" w:cstheme="majorBidi"/>
      <w:i/>
      <w:iCs/>
      <w:color w:val="404040" w:themeColor="text1" w:themeTint="BF"/>
      <w:sz w:val="24"/>
      <w:szCs w:val="22"/>
      <w:lang w:eastAsia="en-US"/>
    </w:rPr>
  </w:style>
  <w:style w:type="character" w:customStyle="1" w:styleId="Heading8Char">
    <w:name w:val="Heading 8 Char"/>
    <w:basedOn w:val="DefaultParagraphFont"/>
    <w:link w:val="Heading8"/>
    <w:uiPriority w:val="9"/>
    <w:semiHidden/>
    <w:rsid w:val="0000686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0686B"/>
    <w:rPr>
      <w:rFonts w:asciiTheme="majorHAnsi" w:eastAsiaTheme="majorEastAsia" w:hAnsiTheme="majorHAnsi" w:cstheme="majorBidi"/>
      <w:i/>
      <w:iCs/>
      <w:color w:val="404040" w:themeColor="text1" w:themeTint="BF"/>
      <w:lang w:eastAsia="en-US"/>
    </w:rPr>
  </w:style>
  <w:style w:type="character" w:customStyle="1" w:styleId="Heading1Char">
    <w:name w:val="Heading 1 Char"/>
    <w:basedOn w:val="DefaultParagraphFont"/>
    <w:link w:val="Heading1"/>
    <w:uiPriority w:val="9"/>
    <w:rsid w:val="00F03B50"/>
    <w:rPr>
      <w:rFonts w:asciiTheme="minorHAnsi" w:eastAsiaTheme="minorHAnsi" w:hAnsiTheme="minorHAnsi" w:cs="Arial"/>
      <w:b/>
      <w:bCs/>
      <w:color w:val="365F91" w:themeColor="accent1" w:themeShade="BF"/>
      <w:kern w:val="28"/>
      <w:sz w:val="40"/>
      <w:szCs w:val="32"/>
      <w:lang w:eastAsia="en-US"/>
    </w:rPr>
  </w:style>
  <w:style w:type="character" w:customStyle="1" w:styleId="Heading2Char">
    <w:name w:val="Heading 2 Char"/>
    <w:basedOn w:val="DefaultParagraphFont"/>
    <w:link w:val="Heading2"/>
    <w:uiPriority w:val="9"/>
    <w:rsid w:val="008810FB"/>
    <w:rPr>
      <w:rFonts w:asciiTheme="minorHAnsi" w:eastAsiaTheme="minorHAnsi" w:hAnsiTheme="minorHAnsi" w:cs="Arial"/>
      <w:b/>
      <w:bCs/>
      <w:iCs/>
      <w:color w:val="365F91" w:themeColor="accent1" w:themeShade="BF"/>
      <w:sz w:val="32"/>
      <w:szCs w:val="28"/>
      <w:lang w:eastAsia="en-US"/>
    </w:rPr>
  </w:style>
  <w:style w:type="character" w:customStyle="1" w:styleId="Heading3Char">
    <w:name w:val="Heading 3 Char"/>
    <w:basedOn w:val="DefaultParagraphFont"/>
    <w:link w:val="Heading3"/>
    <w:uiPriority w:val="9"/>
    <w:rsid w:val="00DA7A17"/>
    <w:rPr>
      <w:rFonts w:asciiTheme="minorHAnsi" w:eastAsiaTheme="minorHAnsi" w:hAnsiTheme="minorHAnsi" w:cs="Arial"/>
      <w:b/>
      <w:bCs/>
      <w:i/>
      <w:sz w:val="28"/>
      <w:szCs w:val="26"/>
      <w:lang w:eastAsia="en-US"/>
    </w:rPr>
  </w:style>
  <w:style w:type="character" w:customStyle="1" w:styleId="Heading4Char">
    <w:name w:val="Heading 4 Char"/>
    <w:basedOn w:val="DefaultParagraphFont"/>
    <w:link w:val="Heading4"/>
    <w:uiPriority w:val="9"/>
    <w:rsid w:val="00F03B50"/>
    <w:rPr>
      <w:rFonts w:asciiTheme="minorHAnsi" w:eastAsiaTheme="minorHAnsi" w:hAnsiTheme="minorHAnsi" w:cstheme="minorBidi"/>
      <w:b/>
      <w:bCs/>
      <w:i/>
      <w:sz w:val="24"/>
      <w:szCs w:val="28"/>
      <w:lang w:eastAsia="en-US"/>
    </w:rPr>
  </w:style>
  <w:style w:type="character" w:customStyle="1" w:styleId="Heading5Char">
    <w:name w:val="Heading 5 Char"/>
    <w:basedOn w:val="DefaultParagraphFont"/>
    <w:link w:val="Heading5"/>
    <w:rsid w:val="0000686B"/>
    <w:rPr>
      <w:b/>
      <w:bCs/>
      <w:iCs/>
      <w:sz w:val="24"/>
      <w:szCs w:val="26"/>
      <w:lang w:eastAsia="en-US"/>
    </w:rPr>
  </w:style>
  <w:style w:type="character" w:customStyle="1" w:styleId="Heading6Char">
    <w:name w:val="Heading 6 Char"/>
    <w:basedOn w:val="DefaultParagraphFont"/>
    <w:link w:val="Heading6"/>
    <w:rsid w:val="0000686B"/>
    <w:rPr>
      <w:b/>
      <w:bCs/>
      <w:i/>
      <w:sz w:val="24"/>
      <w:szCs w:val="22"/>
      <w:lang w:eastAsia="en-US"/>
    </w:rPr>
  </w:style>
  <w:style w:type="character" w:customStyle="1" w:styleId="ListParagraphChar">
    <w:name w:val="List Paragraph Char"/>
    <w:aliases w:val="Footnote Char,BulletPoints Char"/>
    <w:basedOn w:val="DefaultParagraphFont"/>
    <w:link w:val="ListParagraph"/>
    <w:uiPriority w:val="34"/>
    <w:locked/>
    <w:rsid w:val="0000686B"/>
    <w:rPr>
      <w:sz w:val="24"/>
      <w:szCs w:val="24"/>
      <w:lang w:eastAsia="en-US"/>
    </w:rPr>
  </w:style>
  <w:style w:type="paragraph" w:styleId="NormalWeb">
    <w:name w:val="Normal (Web)"/>
    <w:basedOn w:val="Normal"/>
    <w:link w:val="NormalWebChar"/>
    <w:uiPriority w:val="99"/>
    <w:unhideWhenUsed/>
    <w:rsid w:val="0000686B"/>
    <w:pPr>
      <w:spacing w:before="100" w:beforeAutospacing="1" w:after="100" w:afterAutospacing="1" w:line="240" w:lineRule="auto"/>
    </w:pPr>
    <w:rPr>
      <w:rFonts w:eastAsia="Times New Roman" w:cs="Times New Roman"/>
      <w:szCs w:val="24"/>
      <w:lang w:eastAsia="en-AU"/>
    </w:rPr>
  </w:style>
  <w:style w:type="character" w:customStyle="1" w:styleId="NormalWebChar">
    <w:name w:val="Normal (Web) Char"/>
    <w:link w:val="NormalWeb"/>
    <w:uiPriority w:val="99"/>
    <w:rsid w:val="0000686B"/>
    <w:rPr>
      <w:rFonts w:ascii="Cambria" w:hAnsi="Cambria"/>
      <w:sz w:val="24"/>
      <w:szCs w:val="24"/>
    </w:rPr>
  </w:style>
  <w:style w:type="paragraph" w:styleId="BalloonText">
    <w:name w:val="Balloon Text"/>
    <w:basedOn w:val="Normal"/>
    <w:link w:val="BalloonTextChar"/>
    <w:uiPriority w:val="99"/>
    <w:unhideWhenUsed/>
    <w:rsid w:val="00006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0686B"/>
    <w:rPr>
      <w:rFonts w:ascii="Tahoma" w:eastAsiaTheme="minorHAnsi" w:hAnsi="Tahoma" w:cs="Tahoma"/>
      <w:sz w:val="16"/>
      <w:szCs w:val="16"/>
      <w:lang w:eastAsia="en-US"/>
    </w:rPr>
  </w:style>
  <w:style w:type="character" w:customStyle="1" w:styleId="normalchar">
    <w:name w:val="normal_char"/>
    <w:rsid w:val="0000686B"/>
    <w:rPr>
      <w:color w:val="auto"/>
    </w:rPr>
  </w:style>
  <w:style w:type="character" w:styleId="Hyperlink">
    <w:name w:val="Hyperlink"/>
    <w:basedOn w:val="DefaultParagraphFont"/>
    <w:uiPriority w:val="99"/>
    <w:rsid w:val="0000686B"/>
    <w:rPr>
      <w:color w:val="0000FF" w:themeColor="hyperlink"/>
      <w:u w:val="single"/>
    </w:rPr>
  </w:style>
  <w:style w:type="character" w:styleId="CommentReference">
    <w:name w:val="annotation reference"/>
    <w:basedOn w:val="DefaultParagraphFont"/>
    <w:uiPriority w:val="99"/>
    <w:unhideWhenUsed/>
    <w:rsid w:val="0000686B"/>
    <w:rPr>
      <w:sz w:val="16"/>
      <w:szCs w:val="16"/>
    </w:rPr>
  </w:style>
  <w:style w:type="paragraph" w:styleId="CommentText">
    <w:name w:val="annotation text"/>
    <w:basedOn w:val="Normal"/>
    <w:link w:val="CommentTextChar"/>
    <w:uiPriority w:val="99"/>
    <w:unhideWhenUsed/>
    <w:rsid w:val="0000686B"/>
    <w:pPr>
      <w:spacing w:line="240" w:lineRule="auto"/>
    </w:pPr>
    <w:rPr>
      <w:sz w:val="20"/>
      <w:szCs w:val="20"/>
    </w:rPr>
  </w:style>
  <w:style w:type="character" w:customStyle="1" w:styleId="CommentTextChar">
    <w:name w:val="Comment Text Char"/>
    <w:basedOn w:val="DefaultParagraphFont"/>
    <w:link w:val="CommentText"/>
    <w:uiPriority w:val="99"/>
    <w:rsid w:val="0000686B"/>
    <w:rPr>
      <w:rFonts w:ascii="Cambria" w:eastAsiaTheme="minorHAnsi" w:hAnsi="Cambria" w:cstheme="minorBidi"/>
      <w:lang w:eastAsia="en-US"/>
    </w:rPr>
  </w:style>
  <w:style w:type="paragraph" w:styleId="CommentSubject">
    <w:name w:val="annotation subject"/>
    <w:basedOn w:val="CommentText"/>
    <w:next w:val="CommentText"/>
    <w:link w:val="CommentSubjectChar"/>
    <w:uiPriority w:val="99"/>
    <w:unhideWhenUsed/>
    <w:rsid w:val="0000686B"/>
    <w:rPr>
      <w:b/>
      <w:bCs/>
    </w:rPr>
  </w:style>
  <w:style w:type="character" w:customStyle="1" w:styleId="CommentSubjectChar">
    <w:name w:val="Comment Subject Char"/>
    <w:basedOn w:val="CommentTextChar"/>
    <w:link w:val="CommentSubject"/>
    <w:uiPriority w:val="99"/>
    <w:rsid w:val="0000686B"/>
    <w:rPr>
      <w:rFonts w:ascii="Cambria" w:eastAsiaTheme="minorHAnsi" w:hAnsi="Cambria" w:cstheme="minorBidi"/>
      <w:b/>
      <w:bCs/>
      <w:lang w:eastAsia="en-US"/>
    </w:rPr>
  </w:style>
  <w:style w:type="paragraph" w:styleId="BodyTextIndent3">
    <w:name w:val="Body Text Indent 3"/>
    <w:basedOn w:val="Normal"/>
    <w:link w:val="BodyTextIndent3Char"/>
    <w:rsid w:val="0000686B"/>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00686B"/>
    <w:rPr>
      <w:rFonts w:ascii="Cambria" w:hAnsi="Cambria"/>
      <w:sz w:val="16"/>
      <w:szCs w:val="16"/>
      <w:lang w:eastAsia="en-US"/>
    </w:rPr>
  </w:style>
  <w:style w:type="paragraph" w:styleId="Header">
    <w:name w:val="header"/>
    <w:basedOn w:val="Normal"/>
    <w:link w:val="HeaderChar"/>
    <w:uiPriority w:val="99"/>
    <w:unhideWhenUsed/>
    <w:rsid w:val="0000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6B"/>
    <w:rPr>
      <w:rFonts w:ascii="Cambria" w:eastAsiaTheme="minorHAnsi" w:hAnsi="Cambria" w:cstheme="minorBidi"/>
      <w:sz w:val="24"/>
      <w:szCs w:val="22"/>
      <w:lang w:eastAsia="en-US"/>
    </w:rPr>
  </w:style>
  <w:style w:type="paragraph" w:styleId="Footer">
    <w:name w:val="footer"/>
    <w:basedOn w:val="Normal"/>
    <w:link w:val="FooterChar"/>
    <w:uiPriority w:val="99"/>
    <w:unhideWhenUsed/>
    <w:rsid w:val="0000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6B"/>
    <w:rPr>
      <w:rFonts w:ascii="Cambria" w:eastAsiaTheme="minorHAnsi" w:hAnsi="Cambria" w:cstheme="minorBidi"/>
      <w:sz w:val="24"/>
      <w:szCs w:val="22"/>
      <w:lang w:eastAsia="en-US"/>
    </w:rPr>
  </w:style>
  <w:style w:type="paragraph" w:styleId="TOCHeading">
    <w:name w:val="TOC Heading"/>
    <w:basedOn w:val="Heading1"/>
    <w:next w:val="Normal"/>
    <w:uiPriority w:val="39"/>
    <w:unhideWhenUsed/>
    <w:qFormat/>
    <w:rsid w:val="0000686B"/>
    <w:pPr>
      <w:keepLines/>
      <w:spacing w:before="0" w:after="120"/>
      <w:outlineLvl w:val="9"/>
    </w:pPr>
    <w:rPr>
      <w:rFonts w:asciiTheme="majorHAnsi" w:eastAsiaTheme="majorEastAsia" w:hAnsiTheme="majorHAnsi" w:cstheme="majorBidi"/>
      <w:color w:val="4F81BD" w:themeColor="accent1"/>
      <w:kern w:val="0"/>
      <w:sz w:val="32"/>
      <w:szCs w:val="26"/>
      <w:lang w:val="en-US" w:eastAsia="ja-JP"/>
    </w:rPr>
  </w:style>
  <w:style w:type="paragraph" w:styleId="TOC1">
    <w:name w:val="toc 1"/>
    <w:basedOn w:val="Normal"/>
    <w:next w:val="Normal"/>
    <w:autoRedefine/>
    <w:uiPriority w:val="39"/>
    <w:unhideWhenUsed/>
    <w:qFormat/>
    <w:rsid w:val="0000686B"/>
    <w:pPr>
      <w:spacing w:after="100"/>
    </w:pPr>
  </w:style>
  <w:style w:type="paragraph" w:styleId="TOC2">
    <w:name w:val="toc 2"/>
    <w:basedOn w:val="Normal"/>
    <w:next w:val="Normal"/>
    <w:autoRedefine/>
    <w:uiPriority w:val="39"/>
    <w:unhideWhenUsed/>
    <w:qFormat/>
    <w:rsid w:val="0000686B"/>
    <w:pPr>
      <w:spacing w:after="100"/>
      <w:ind w:left="240"/>
    </w:pPr>
  </w:style>
  <w:style w:type="paragraph" w:styleId="TOC3">
    <w:name w:val="toc 3"/>
    <w:basedOn w:val="Normal"/>
    <w:next w:val="Normal"/>
    <w:autoRedefine/>
    <w:uiPriority w:val="39"/>
    <w:unhideWhenUsed/>
    <w:qFormat/>
    <w:rsid w:val="0000686B"/>
    <w:pPr>
      <w:spacing w:after="100"/>
      <w:ind w:left="480"/>
    </w:pPr>
  </w:style>
  <w:style w:type="character" w:customStyle="1" w:styleId="NoSpacingChar">
    <w:name w:val="No Spacing Char"/>
    <w:basedOn w:val="DefaultParagraphFont"/>
    <w:link w:val="NoSpacing"/>
    <w:uiPriority w:val="1"/>
    <w:locked/>
    <w:rsid w:val="0000686B"/>
    <w:rPr>
      <w:sz w:val="24"/>
      <w:szCs w:val="24"/>
      <w:lang w:eastAsia="en-US"/>
    </w:rPr>
  </w:style>
  <w:style w:type="character" w:customStyle="1" w:styleId="apple-converted-space">
    <w:name w:val="apple-converted-space"/>
    <w:basedOn w:val="DefaultParagraphFont"/>
    <w:rsid w:val="0000686B"/>
  </w:style>
  <w:style w:type="character" w:styleId="FollowedHyperlink">
    <w:name w:val="FollowedHyperlink"/>
    <w:uiPriority w:val="99"/>
    <w:unhideWhenUsed/>
    <w:rsid w:val="0000686B"/>
    <w:rPr>
      <w:color w:val="800080"/>
      <w:u w:val="single"/>
    </w:rPr>
  </w:style>
  <w:style w:type="character" w:styleId="HTMLCite">
    <w:name w:val="HTML Cite"/>
    <w:uiPriority w:val="99"/>
    <w:unhideWhenUsed/>
    <w:rsid w:val="0000686B"/>
    <w:rPr>
      <w:b w:val="0"/>
      <w:bCs w:val="0"/>
      <w:i w:val="0"/>
      <w:iCs w:val="0"/>
      <w:vanish w:val="0"/>
      <w:webHidden w:val="0"/>
      <w:specVanish w:val="0"/>
    </w:rPr>
  </w:style>
  <w:style w:type="character" w:customStyle="1" w:styleId="author4">
    <w:name w:val="author4"/>
    <w:rsid w:val="0000686B"/>
    <w:rPr>
      <w:b w:val="0"/>
      <w:bCs w:val="0"/>
      <w:i w:val="0"/>
      <w:iCs w:val="0"/>
      <w:smallCaps w:val="0"/>
      <w:sz w:val="24"/>
      <w:szCs w:val="24"/>
    </w:rPr>
  </w:style>
  <w:style w:type="character" w:customStyle="1" w:styleId="articletitle7">
    <w:name w:val="articletitle7"/>
    <w:basedOn w:val="DefaultParagraphFont"/>
    <w:rsid w:val="0000686B"/>
  </w:style>
  <w:style w:type="character" w:customStyle="1" w:styleId="journaltitle4">
    <w:name w:val="journaltitle4"/>
    <w:rsid w:val="0000686B"/>
    <w:rPr>
      <w:i/>
      <w:iCs/>
    </w:rPr>
  </w:style>
  <w:style w:type="character" w:customStyle="1" w:styleId="pubyear">
    <w:name w:val="pubyear"/>
    <w:basedOn w:val="DefaultParagraphFont"/>
    <w:rsid w:val="0000686B"/>
  </w:style>
  <w:style w:type="character" w:customStyle="1" w:styleId="citedissue">
    <w:name w:val="citedissue"/>
    <w:basedOn w:val="DefaultParagraphFont"/>
    <w:rsid w:val="0000686B"/>
  </w:style>
  <w:style w:type="character" w:customStyle="1" w:styleId="frlabel1">
    <w:name w:val="fr_label1"/>
    <w:rsid w:val="0000686B"/>
    <w:rPr>
      <w:b/>
      <w:bCs/>
    </w:rPr>
  </w:style>
  <w:style w:type="character" w:customStyle="1" w:styleId="hithilite3">
    <w:name w:val="hithilite3"/>
    <w:rsid w:val="0000686B"/>
    <w:rPr>
      <w:shd w:val="clear" w:color="auto" w:fill="FFFF00"/>
    </w:rPr>
  </w:style>
  <w:style w:type="character" w:customStyle="1" w:styleId="maintitle4">
    <w:name w:val="maintitle4"/>
    <w:rsid w:val="0000686B"/>
    <w:rPr>
      <w:vanish w:val="0"/>
      <w:webHidden w:val="0"/>
      <w:specVanish w:val="0"/>
    </w:rPr>
  </w:style>
  <w:style w:type="character" w:customStyle="1" w:styleId="override-xref-content-element7">
    <w:name w:val="override-xref-content-element7"/>
    <w:rsid w:val="0000686B"/>
    <w:rPr>
      <w:color w:val="007E8A"/>
    </w:rPr>
  </w:style>
  <w:style w:type="paragraph" w:customStyle="1" w:styleId="para10">
    <w:name w:val="para10"/>
    <w:basedOn w:val="Normal"/>
    <w:rsid w:val="0000686B"/>
    <w:pPr>
      <w:spacing w:after="240" w:line="360" w:lineRule="atLeast"/>
    </w:pPr>
    <w:rPr>
      <w:rFonts w:eastAsia="Times New Roman" w:cs="Times New Roman"/>
      <w:sz w:val="29"/>
      <w:szCs w:val="29"/>
      <w:lang w:eastAsia="en-AU"/>
    </w:rPr>
  </w:style>
  <w:style w:type="table" w:styleId="TableGrid">
    <w:name w:val="Table Grid"/>
    <w:basedOn w:val="TableNormal"/>
    <w:uiPriority w:val="39"/>
    <w:rsid w:val="0000686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0686B"/>
    <w:rPr>
      <w:i/>
      <w:iCs/>
    </w:rPr>
  </w:style>
  <w:style w:type="paragraph" w:customStyle="1" w:styleId="CM18">
    <w:name w:val="CM18"/>
    <w:basedOn w:val="Normal"/>
    <w:next w:val="Normal"/>
    <w:uiPriority w:val="99"/>
    <w:rsid w:val="0000686B"/>
    <w:pPr>
      <w:widowControl w:val="0"/>
      <w:autoSpaceDE w:val="0"/>
      <w:autoSpaceDN w:val="0"/>
      <w:adjustRightInd w:val="0"/>
      <w:spacing w:after="0" w:line="240" w:lineRule="auto"/>
    </w:pPr>
    <w:rPr>
      <w:rFonts w:ascii="MuseeBold" w:eastAsia="Times New Roman" w:hAnsi="MuseeBold" w:cs="Times New Roman"/>
      <w:szCs w:val="24"/>
      <w:lang w:eastAsia="en-AU"/>
    </w:rPr>
  </w:style>
  <w:style w:type="paragraph" w:customStyle="1" w:styleId="Heading5new">
    <w:name w:val="Heading 5 new"/>
    <w:basedOn w:val="NormalWeb"/>
    <w:link w:val="Heading5newChar"/>
    <w:qFormat/>
    <w:rsid w:val="0000686B"/>
    <w:pPr>
      <w:spacing w:before="0" w:beforeAutospacing="0" w:after="240" w:afterAutospacing="0" w:line="312" w:lineRule="atLeast"/>
    </w:pPr>
    <w:rPr>
      <w:b/>
      <w:i/>
      <w:color w:val="000000"/>
      <w:u w:val="single"/>
    </w:rPr>
  </w:style>
  <w:style w:type="character" w:customStyle="1" w:styleId="Heading5newChar">
    <w:name w:val="Heading 5 new Char"/>
    <w:link w:val="Heading5new"/>
    <w:rsid w:val="0000686B"/>
    <w:rPr>
      <w:rFonts w:ascii="Cambria" w:hAnsi="Cambria"/>
      <w:b/>
      <w:i/>
      <w:color w:val="000000"/>
      <w:sz w:val="24"/>
      <w:szCs w:val="24"/>
      <w:u w:val="single"/>
    </w:rPr>
  </w:style>
  <w:style w:type="paragraph" w:customStyle="1" w:styleId="Heading4new">
    <w:name w:val="Heading 4 new"/>
    <w:basedOn w:val="Heading5new"/>
    <w:link w:val="Heading4newChar"/>
    <w:qFormat/>
    <w:rsid w:val="00AE1E65"/>
    <w:rPr>
      <w:rFonts w:asciiTheme="minorHAnsi" w:hAnsiTheme="minorHAnsi"/>
      <w:u w:val="none"/>
    </w:rPr>
  </w:style>
  <w:style w:type="character" w:customStyle="1" w:styleId="Heading4newChar">
    <w:name w:val="Heading 4 new Char"/>
    <w:link w:val="Heading4new"/>
    <w:rsid w:val="00E30DCB"/>
    <w:rPr>
      <w:rFonts w:asciiTheme="minorHAnsi" w:hAnsiTheme="minorHAnsi"/>
      <w:b/>
      <w:i/>
      <w:color w:val="000000"/>
      <w:sz w:val="24"/>
      <w:szCs w:val="24"/>
    </w:rPr>
  </w:style>
  <w:style w:type="character" w:customStyle="1" w:styleId="label31">
    <w:name w:val="label31"/>
    <w:basedOn w:val="DefaultParagraphFont"/>
    <w:rsid w:val="0000686B"/>
  </w:style>
  <w:style w:type="character" w:customStyle="1" w:styleId="b7">
    <w:name w:val="b7"/>
    <w:rsid w:val="0000686B"/>
    <w:rPr>
      <w:b/>
      <w:bCs/>
    </w:rPr>
  </w:style>
  <w:style w:type="character" w:customStyle="1" w:styleId="tablenotes-note">
    <w:name w:val="tablenotes-note"/>
    <w:basedOn w:val="DefaultParagraphFont"/>
    <w:rsid w:val="0000686B"/>
  </w:style>
  <w:style w:type="character" w:customStyle="1" w:styleId="section-title3">
    <w:name w:val="section-title3"/>
    <w:rsid w:val="0000686B"/>
    <w:rPr>
      <w:vanish w:val="0"/>
      <w:webHidden w:val="0"/>
      <w:specVanish w:val="0"/>
    </w:rPr>
  </w:style>
  <w:style w:type="paragraph" w:customStyle="1" w:styleId="Default">
    <w:name w:val="Default"/>
    <w:rsid w:val="0000686B"/>
    <w:pPr>
      <w:widowControl w:val="0"/>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unhideWhenUsed/>
    <w:rsid w:val="0000686B"/>
    <w:pPr>
      <w:spacing w:after="100"/>
      <w:ind w:left="660"/>
    </w:pPr>
    <w:rPr>
      <w:rFonts w:ascii="Calibri" w:eastAsia="Times New Roman" w:hAnsi="Calibri" w:cs="Times New Roman"/>
      <w:sz w:val="22"/>
      <w:lang w:eastAsia="en-AU"/>
    </w:rPr>
  </w:style>
  <w:style w:type="paragraph" w:styleId="Revision">
    <w:name w:val="Revision"/>
    <w:hidden/>
    <w:uiPriority w:val="99"/>
    <w:semiHidden/>
    <w:rsid w:val="0000686B"/>
    <w:rPr>
      <w:rFonts w:ascii="Calibri" w:hAnsi="Calibri"/>
      <w:sz w:val="22"/>
      <w:szCs w:val="22"/>
    </w:rPr>
  </w:style>
  <w:style w:type="paragraph" w:styleId="FootnoteText">
    <w:name w:val="footnote text"/>
    <w:basedOn w:val="Normal"/>
    <w:link w:val="FootnoteTextChar"/>
    <w:uiPriority w:val="99"/>
    <w:unhideWhenUsed/>
    <w:rsid w:val="0000686B"/>
    <w:pPr>
      <w:spacing w:after="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uiPriority w:val="99"/>
    <w:rsid w:val="0000686B"/>
    <w:rPr>
      <w:rFonts w:ascii="Calibri" w:hAnsi="Calibri"/>
    </w:rPr>
  </w:style>
  <w:style w:type="character" w:styleId="FootnoteReference">
    <w:name w:val="footnote reference"/>
    <w:uiPriority w:val="99"/>
    <w:unhideWhenUsed/>
    <w:rsid w:val="0000686B"/>
    <w:rPr>
      <w:vertAlign w:val="superscript"/>
    </w:rPr>
  </w:style>
  <w:style w:type="table" w:customStyle="1" w:styleId="TableGrid1">
    <w:name w:val="Table Grid1"/>
    <w:basedOn w:val="TableNormal"/>
    <w:next w:val="TableGrid"/>
    <w:uiPriority w:val="39"/>
    <w:rsid w:val="0000686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00686B"/>
    <w:pPr>
      <w:spacing w:after="0" w:line="240" w:lineRule="auto"/>
    </w:pPr>
    <w:rPr>
      <w:rFonts w:ascii="Calibri" w:eastAsia="Times New Roman" w:hAnsi="Calibri" w:cs="Times New Roman"/>
      <w:sz w:val="20"/>
      <w:szCs w:val="20"/>
      <w:lang w:eastAsia="en-AU"/>
    </w:rPr>
  </w:style>
  <w:style w:type="character" w:customStyle="1" w:styleId="EndnoteTextChar">
    <w:name w:val="Endnote Text Char"/>
    <w:basedOn w:val="DefaultParagraphFont"/>
    <w:link w:val="EndnoteText"/>
    <w:uiPriority w:val="99"/>
    <w:rsid w:val="0000686B"/>
    <w:rPr>
      <w:rFonts w:ascii="Calibri" w:hAnsi="Calibri"/>
    </w:rPr>
  </w:style>
  <w:style w:type="character" w:styleId="EndnoteReference">
    <w:name w:val="endnote reference"/>
    <w:uiPriority w:val="99"/>
    <w:unhideWhenUsed/>
    <w:rsid w:val="0000686B"/>
    <w:rPr>
      <w:vertAlign w:val="superscript"/>
    </w:rPr>
  </w:style>
  <w:style w:type="paragraph" w:customStyle="1" w:styleId="para">
    <w:name w:val="para"/>
    <w:basedOn w:val="Normal"/>
    <w:rsid w:val="0000686B"/>
    <w:pPr>
      <w:spacing w:before="100" w:beforeAutospacing="1" w:after="100" w:afterAutospacing="1" w:line="240" w:lineRule="auto"/>
    </w:pPr>
    <w:rPr>
      <w:rFonts w:eastAsia="Times New Roman" w:cs="Times New Roman"/>
      <w:szCs w:val="24"/>
      <w:lang w:eastAsia="en-AU"/>
    </w:rPr>
  </w:style>
  <w:style w:type="paragraph" w:styleId="Caption">
    <w:name w:val="caption"/>
    <w:basedOn w:val="Normal"/>
    <w:next w:val="Normal"/>
    <w:uiPriority w:val="35"/>
    <w:unhideWhenUsed/>
    <w:qFormat/>
    <w:rsid w:val="0000686B"/>
    <w:pPr>
      <w:spacing w:line="240" w:lineRule="auto"/>
    </w:pPr>
    <w:rPr>
      <w:rFonts w:asciiTheme="minorHAnsi" w:eastAsia="Times New Roman" w:hAnsiTheme="minorHAnsi" w:cs="Times New Roman"/>
      <w:b/>
      <w:bCs/>
      <w:szCs w:val="18"/>
      <w:lang w:eastAsia="en-AU"/>
    </w:rPr>
  </w:style>
  <w:style w:type="paragraph" w:customStyle="1" w:styleId="ListBullet1">
    <w:name w:val="List Bullet1"/>
    <w:basedOn w:val="Normal"/>
    <w:uiPriority w:val="5"/>
    <w:qFormat/>
    <w:rsid w:val="0000686B"/>
    <w:pPr>
      <w:numPr>
        <w:numId w:val="1"/>
      </w:numPr>
      <w:shd w:val="clear" w:color="auto" w:fill="FFFFFF" w:themeFill="background1"/>
      <w:spacing w:before="120" w:after="120" w:line="260" w:lineRule="exact"/>
      <w:contextualSpacing/>
    </w:pPr>
    <w:rPr>
      <w:rFonts w:ascii="Arial" w:eastAsia="Times New Roman" w:hAnsi="Arial" w:cs="Arial"/>
      <w:sz w:val="20"/>
      <w:szCs w:val="20"/>
      <w:lang w:eastAsia="en-AU"/>
    </w:rPr>
  </w:style>
  <w:style w:type="character" w:customStyle="1" w:styleId="Bold">
    <w:name w:val="Bold"/>
    <w:uiPriority w:val="99"/>
    <w:qFormat/>
    <w:rsid w:val="0000686B"/>
    <w:rPr>
      <w:b/>
      <w:lang w:val="en-AU" w:eastAsia="en-US"/>
    </w:rPr>
  </w:style>
  <w:style w:type="character" w:customStyle="1" w:styleId="Italic">
    <w:name w:val="Italic"/>
    <w:uiPriority w:val="3"/>
    <w:rsid w:val="0000686B"/>
    <w:rPr>
      <w:i/>
      <w:lang w:val="en-AU" w:eastAsia="en-US"/>
    </w:rPr>
  </w:style>
  <w:style w:type="character" w:customStyle="1" w:styleId="HighlightOrange">
    <w:name w:val="Highlight Orange"/>
    <w:basedOn w:val="DefaultParagraphFont"/>
    <w:uiPriority w:val="75"/>
    <w:qFormat/>
    <w:rsid w:val="0000686B"/>
    <w:rPr>
      <w:color w:val="F47B28"/>
    </w:rPr>
  </w:style>
  <w:style w:type="table" w:customStyle="1" w:styleId="Boxorange">
    <w:name w:val="Box orange"/>
    <w:basedOn w:val="TableNormal"/>
    <w:uiPriority w:val="99"/>
    <w:qFormat/>
    <w:rsid w:val="0000686B"/>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00686B"/>
    <w:rPr>
      <w:bdr w:val="none" w:sz="0" w:space="0" w:color="auto"/>
      <w:shd w:val="clear" w:color="auto" w:fill="FFFF00"/>
    </w:rPr>
  </w:style>
  <w:style w:type="paragraph" w:styleId="TOC5">
    <w:name w:val="toc 5"/>
    <w:basedOn w:val="Normal"/>
    <w:next w:val="Normal"/>
    <w:autoRedefine/>
    <w:uiPriority w:val="39"/>
    <w:unhideWhenUsed/>
    <w:rsid w:val="0000686B"/>
    <w:pPr>
      <w:spacing w:after="100"/>
      <w:ind w:left="880"/>
      <w:jc w:val="left"/>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00686B"/>
    <w:pPr>
      <w:spacing w:after="100"/>
      <w:ind w:left="1100"/>
      <w:jc w:val="left"/>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00686B"/>
    <w:pPr>
      <w:spacing w:after="100"/>
      <w:ind w:left="1320"/>
      <w:jc w:val="left"/>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00686B"/>
    <w:pPr>
      <w:spacing w:after="100"/>
      <w:ind w:left="1540"/>
      <w:jc w:val="left"/>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00686B"/>
    <w:pPr>
      <w:spacing w:after="100"/>
      <w:ind w:left="1760"/>
      <w:jc w:val="left"/>
    </w:pPr>
    <w:rPr>
      <w:rFonts w:asciiTheme="minorHAnsi" w:eastAsiaTheme="minorEastAsia" w:hAnsiTheme="minorHAnsi"/>
      <w:sz w:val="22"/>
      <w:lang w:eastAsia="en-AU"/>
    </w:rPr>
  </w:style>
  <w:style w:type="table" w:styleId="LightGrid-Accent4">
    <w:name w:val="Light Grid Accent 4"/>
    <w:basedOn w:val="TableNormal"/>
    <w:uiPriority w:val="62"/>
    <w:rsid w:val="0000686B"/>
    <w:rPr>
      <w:rFonts w:eastAsiaTheme="minorHAnsi" w:cstheme="minorBidi"/>
      <w:sz w:val="24"/>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00686B"/>
    <w:rPr>
      <w:rFonts w:eastAsiaTheme="minorHAnsi" w:cstheme="minorBidi"/>
      <w:sz w:val="24"/>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00686B"/>
  </w:style>
  <w:style w:type="table" w:styleId="LightGrid-Accent6">
    <w:name w:val="Light Grid Accent 6"/>
    <w:basedOn w:val="TableNormal"/>
    <w:uiPriority w:val="62"/>
    <w:rsid w:val="0000686B"/>
    <w:rPr>
      <w:rFonts w:eastAsiaTheme="minorHAnsi"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00686B"/>
    <w:rPr>
      <w:rFonts w:eastAsiaTheme="minorHAnsi" w:cstheme="minorBidi"/>
      <w:sz w:val="24"/>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Heading51">
    <w:name w:val="Heading 51"/>
    <w:basedOn w:val="Normal"/>
    <w:link w:val="heading5Char0"/>
    <w:qFormat/>
    <w:rsid w:val="0000686B"/>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00686B"/>
    <w:rPr>
      <w:rFonts w:asciiTheme="majorHAnsi" w:eastAsiaTheme="minorHAnsi" w:hAnsiTheme="majorHAnsi" w:cstheme="minorBidi"/>
      <w:b/>
      <w:i/>
      <w:sz w:val="24"/>
      <w:szCs w:val="24"/>
      <w:lang w:eastAsia="en-US"/>
    </w:rPr>
  </w:style>
  <w:style w:type="paragraph" w:customStyle="1" w:styleId="BodyText1">
    <w:name w:val="Body Text1"/>
    <w:basedOn w:val="Normal"/>
    <w:link w:val="BodytextChar"/>
    <w:uiPriority w:val="1"/>
    <w:qFormat/>
    <w:rsid w:val="0000686B"/>
    <w:pPr>
      <w:shd w:val="clear" w:color="auto" w:fill="FFFFFF" w:themeFill="background1"/>
      <w:spacing w:before="120" w:after="120" w:line="260" w:lineRule="exact"/>
      <w:jc w:val="left"/>
    </w:pPr>
    <w:rPr>
      <w:rFonts w:ascii="Arial" w:eastAsia="Times New Roman" w:hAnsi="Arial" w:cs="Arial"/>
      <w:sz w:val="20"/>
      <w:szCs w:val="20"/>
      <w:lang w:eastAsia="en-AU"/>
    </w:rPr>
  </w:style>
  <w:style w:type="character" w:customStyle="1" w:styleId="BodytextChar">
    <w:name w:val="Body text Char"/>
    <w:basedOn w:val="DefaultParagraphFont"/>
    <w:link w:val="BodyText1"/>
    <w:uiPriority w:val="1"/>
    <w:rsid w:val="0000686B"/>
    <w:rPr>
      <w:rFonts w:ascii="Arial" w:hAnsi="Arial" w:cs="Arial"/>
      <w:shd w:val="clear" w:color="auto" w:fill="FFFFFF" w:themeFill="background1"/>
    </w:rPr>
  </w:style>
  <w:style w:type="paragraph" w:customStyle="1" w:styleId="Tablefootnote">
    <w:name w:val="Table footnote"/>
    <w:basedOn w:val="Normal"/>
    <w:next w:val="BodyText1"/>
    <w:link w:val="TablefootnoteCharChar"/>
    <w:uiPriority w:val="57"/>
    <w:rsid w:val="0000686B"/>
    <w:pPr>
      <w:spacing w:before="60" w:after="60" w:line="240" w:lineRule="auto"/>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00686B"/>
    <w:rPr>
      <w:rFonts w:ascii="Arial Narrow" w:hAnsi="Arial Narrow"/>
      <w:sz w:val="16"/>
      <w:lang w:eastAsia="en-US"/>
    </w:rPr>
  </w:style>
  <w:style w:type="paragraph" w:customStyle="1" w:styleId="Tabletitle">
    <w:name w:val="Table title"/>
    <w:basedOn w:val="Normal"/>
    <w:next w:val="BodyText1"/>
    <w:uiPriority w:val="99"/>
    <w:rsid w:val="0000686B"/>
    <w:pPr>
      <w:keepNext/>
      <w:numPr>
        <w:numId w:val="3"/>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00686B"/>
    <w:pPr>
      <w:spacing w:before="60" w:line="264" w:lineRule="auto"/>
    </w:pPr>
    <w:rPr>
      <w:rFonts w:ascii="Arial Narrow" w:hAnsi="Arial Narrow"/>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00686B"/>
    <w:pPr>
      <w:numPr>
        <w:numId w:val="4"/>
      </w:numPr>
      <w:spacing w:after="0" w:line="240" w:lineRule="auto"/>
      <w:jc w:val="left"/>
    </w:pPr>
    <w:rPr>
      <w:rFonts w:ascii="Arial Narrow" w:eastAsia="Times New Roman" w:hAnsi="Arial Narrow" w:cs="Times New Roman"/>
      <w:sz w:val="20"/>
      <w:szCs w:val="24"/>
      <w:lang w:eastAsia="en-AU"/>
    </w:rPr>
  </w:style>
  <w:style w:type="character" w:customStyle="1" w:styleId="Superscript">
    <w:name w:val="Superscript"/>
    <w:uiPriority w:val="18"/>
    <w:rsid w:val="0000686B"/>
    <w:rPr>
      <w:vertAlign w:val="superscript"/>
    </w:rPr>
  </w:style>
  <w:style w:type="paragraph" w:customStyle="1" w:styleId="ReportSubtitle">
    <w:name w:val="Report Subtitle"/>
    <w:basedOn w:val="Normal"/>
    <w:rsid w:val="0000686B"/>
    <w:pPr>
      <w:spacing w:after="240" w:line="240" w:lineRule="auto"/>
      <w:ind w:left="720"/>
      <w:jc w:val="right"/>
    </w:pPr>
    <w:rPr>
      <w:rFonts w:ascii="Arial Bold" w:eastAsia="Times New Roman" w:hAnsi="Arial Bold" w:cs="Times New Roman"/>
      <w:b/>
      <w:bCs/>
      <w:color w:val="000000"/>
      <w:sz w:val="40"/>
      <w:szCs w:val="20"/>
      <w:lang w:eastAsia="en-AU"/>
    </w:rPr>
  </w:style>
  <w:style w:type="character" w:customStyle="1" w:styleId="label-">
    <w:name w:val="label-"/>
    <w:basedOn w:val="DefaultParagraphFont"/>
    <w:rsid w:val="0000686B"/>
  </w:style>
  <w:style w:type="table" w:customStyle="1" w:styleId="TableGrid2">
    <w:name w:val="Table Grid2"/>
    <w:basedOn w:val="TableNormal"/>
    <w:next w:val="TableGrid"/>
    <w:uiPriority w:val="39"/>
    <w:rsid w:val="0000686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00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0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0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00686B"/>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element">
    <w:name w:val="removeelement"/>
    <w:basedOn w:val="Normal"/>
    <w:rsid w:val="0000686B"/>
    <w:pPr>
      <w:spacing w:after="300" w:line="300" w:lineRule="atLeast"/>
      <w:jc w:val="left"/>
    </w:pPr>
    <w:rPr>
      <w:rFonts w:ascii="Times New Roman" w:eastAsia="Times New Roman" w:hAnsi="Times New Roman" w:cs="Times New Roman"/>
      <w:color w:val="414042"/>
      <w:sz w:val="21"/>
      <w:szCs w:val="21"/>
      <w:lang w:eastAsia="en-AU"/>
    </w:rPr>
  </w:style>
  <w:style w:type="character" w:customStyle="1" w:styleId="abbrev">
    <w:name w:val="abbrev"/>
    <w:basedOn w:val="DefaultParagraphFont"/>
    <w:rsid w:val="0000686B"/>
  </w:style>
  <w:style w:type="character" w:customStyle="1" w:styleId="online">
    <w:name w:val="online"/>
    <w:basedOn w:val="DefaultParagraphFont"/>
    <w:rsid w:val="0000686B"/>
  </w:style>
  <w:style w:type="character" w:customStyle="1" w:styleId="st1">
    <w:name w:val="st1"/>
    <w:basedOn w:val="DefaultParagraphFont"/>
    <w:rsid w:val="0000686B"/>
  </w:style>
  <w:style w:type="character" w:customStyle="1" w:styleId="tgc">
    <w:name w:val="_tgc"/>
    <w:basedOn w:val="DefaultParagraphFont"/>
    <w:rsid w:val="0000686B"/>
  </w:style>
  <w:style w:type="paragraph" w:customStyle="1" w:styleId="Notes">
    <w:name w:val="Notes"/>
    <w:basedOn w:val="Normal"/>
    <w:qFormat/>
    <w:rsid w:val="0000686B"/>
    <w:pPr>
      <w:spacing w:after="0" w:line="240" w:lineRule="auto"/>
      <w:jc w:val="left"/>
    </w:pPr>
    <w:rPr>
      <w:rFonts w:ascii="Arial" w:eastAsia="Times New Roman" w:hAnsi="Arial" w:cs="Arial"/>
      <w:noProof/>
      <w:sz w:val="20"/>
      <w:szCs w:val="20"/>
      <w:lang w:val="en-US" w:eastAsia="en-AU"/>
    </w:rPr>
  </w:style>
  <w:style w:type="character" w:customStyle="1" w:styleId="TablewritingChar">
    <w:name w:val="Table writing Char"/>
    <w:link w:val="Tablewriting"/>
    <w:locked/>
    <w:rsid w:val="0000686B"/>
    <w:rPr>
      <w:rFonts w:ascii="Arial" w:hAnsi="Arial" w:cs="Arial"/>
      <w:sz w:val="22"/>
    </w:rPr>
  </w:style>
  <w:style w:type="paragraph" w:customStyle="1" w:styleId="Tablewriting">
    <w:name w:val="Table writing"/>
    <w:basedOn w:val="Normal"/>
    <w:link w:val="TablewritingChar"/>
    <w:qFormat/>
    <w:rsid w:val="0000686B"/>
    <w:pPr>
      <w:overflowPunct w:val="0"/>
      <w:autoSpaceDE w:val="0"/>
      <w:autoSpaceDN w:val="0"/>
      <w:adjustRightInd w:val="0"/>
      <w:spacing w:before="40" w:after="40" w:line="240" w:lineRule="auto"/>
      <w:jc w:val="left"/>
    </w:pPr>
    <w:rPr>
      <w:rFonts w:ascii="Arial" w:eastAsia="Times New Roman" w:hAnsi="Arial" w:cs="Arial"/>
      <w:sz w:val="22"/>
      <w:szCs w:val="20"/>
      <w:lang w:eastAsia="en-AU"/>
    </w:rPr>
  </w:style>
  <w:style w:type="paragraph" w:styleId="BodyText">
    <w:name w:val="Body Text"/>
    <w:basedOn w:val="Normal"/>
    <w:link w:val="BodyTextChar0"/>
    <w:uiPriority w:val="1"/>
    <w:unhideWhenUsed/>
    <w:qFormat/>
    <w:rsid w:val="0000686B"/>
    <w:pPr>
      <w:spacing w:after="120"/>
    </w:pPr>
  </w:style>
  <w:style w:type="character" w:customStyle="1" w:styleId="BodyTextChar0">
    <w:name w:val="Body Text Char"/>
    <w:basedOn w:val="DefaultParagraphFont"/>
    <w:link w:val="BodyText"/>
    <w:uiPriority w:val="1"/>
    <w:rsid w:val="0000686B"/>
    <w:rPr>
      <w:rFonts w:ascii="Cambria" w:eastAsiaTheme="minorHAnsi" w:hAnsi="Cambria" w:cstheme="minorBidi"/>
      <w:sz w:val="24"/>
      <w:szCs w:val="22"/>
      <w:lang w:eastAsia="en-US"/>
    </w:rPr>
  </w:style>
  <w:style w:type="paragraph" w:styleId="ListBullet">
    <w:name w:val="List Bullet"/>
    <w:basedOn w:val="BodyText"/>
    <w:uiPriority w:val="99"/>
    <w:qFormat/>
    <w:rsid w:val="0000686B"/>
    <w:pPr>
      <w:numPr>
        <w:numId w:val="14"/>
      </w:numPr>
      <w:spacing w:before="120" w:after="0" w:line="300" w:lineRule="atLeast"/>
      <w:jc w:val="left"/>
    </w:pPr>
    <w:rPr>
      <w:rFonts w:asciiTheme="minorHAnsi" w:eastAsia="Times New Roman" w:hAnsiTheme="minorHAnsi" w:cs="Times New Roman"/>
      <w:sz w:val="22"/>
      <w:lang w:eastAsia="en-AU"/>
    </w:rPr>
  </w:style>
  <w:style w:type="table" w:customStyle="1" w:styleId="TableGrid23">
    <w:name w:val="Table Grid23"/>
    <w:basedOn w:val="TableNormal"/>
    <w:next w:val="TableGrid"/>
    <w:rsid w:val="0000686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character" w:customStyle="1" w:styleId="selectable">
    <w:name w:val="selectable"/>
    <w:basedOn w:val="DefaultParagraphFont"/>
    <w:rsid w:val="0000686B"/>
  </w:style>
  <w:style w:type="paragraph" w:customStyle="1" w:styleId="TableParagraph">
    <w:name w:val="Table Paragraph"/>
    <w:basedOn w:val="Normal"/>
    <w:uiPriority w:val="1"/>
    <w:qFormat/>
    <w:rsid w:val="0000686B"/>
    <w:pPr>
      <w:widowControl w:val="0"/>
      <w:autoSpaceDE w:val="0"/>
      <w:autoSpaceDN w:val="0"/>
      <w:adjustRightInd w:val="0"/>
      <w:spacing w:after="0" w:line="240" w:lineRule="auto"/>
      <w:jc w:val="left"/>
    </w:pPr>
    <w:rPr>
      <w:rFonts w:ascii="Times New Roman" w:eastAsiaTheme="minorEastAsia" w:hAnsi="Times New Roman" w:cs="Times New Roman"/>
      <w:szCs w:val="24"/>
      <w:lang w:eastAsia="en-AU"/>
    </w:rPr>
  </w:style>
  <w:style w:type="paragraph" w:customStyle="1" w:styleId="Figuretitle">
    <w:name w:val="Figure title"/>
    <w:basedOn w:val="Tabletitle"/>
    <w:link w:val="FiguretitleChar"/>
    <w:qFormat/>
    <w:rsid w:val="0000686B"/>
    <w:pPr>
      <w:keepNext w:val="0"/>
      <w:numPr>
        <w:numId w:val="0"/>
      </w:numPr>
      <w:shd w:val="clear" w:color="auto" w:fill="auto"/>
      <w:spacing w:before="60" w:after="60" w:line="240" w:lineRule="auto"/>
      <w:outlineLvl w:val="3"/>
    </w:pPr>
    <w:rPr>
      <w:rFonts w:asciiTheme="minorHAnsi" w:eastAsiaTheme="minorEastAsia" w:hAnsiTheme="minorHAnsi" w:cstheme="minorBidi"/>
      <w:caps w:val="0"/>
      <w:color w:val="auto"/>
      <w:sz w:val="24"/>
      <w:szCs w:val="24"/>
      <w:lang w:val="en-US"/>
    </w:rPr>
  </w:style>
  <w:style w:type="character" w:customStyle="1" w:styleId="FiguretitleChar">
    <w:name w:val="Figure title Char"/>
    <w:basedOn w:val="DefaultParagraphFont"/>
    <w:link w:val="Figuretitle"/>
    <w:rsid w:val="0000686B"/>
    <w:rPr>
      <w:rFonts w:asciiTheme="minorHAnsi" w:eastAsiaTheme="minorEastAsia" w:hAnsiTheme="minorHAnsi" w:cstheme="minorBidi"/>
      <w:b/>
      <w:sz w:val="24"/>
      <w:szCs w:val="24"/>
      <w:lang w:val="en-US" w:eastAsia="en-US"/>
    </w:rPr>
  </w:style>
  <w:style w:type="paragraph" w:customStyle="1" w:styleId="Figurecaption">
    <w:name w:val="Figure caption"/>
    <w:basedOn w:val="Normal"/>
    <w:link w:val="FigurecaptionChar"/>
    <w:qFormat/>
    <w:rsid w:val="0000686B"/>
    <w:pPr>
      <w:spacing w:before="60" w:after="60" w:line="240" w:lineRule="auto"/>
      <w:jc w:val="left"/>
    </w:pPr>
    <w:rPr>
      <w:rFonts w:asciiTheme="minorHAnsi" w:eastAsiaTheme="minorEastAsia" w:hAnsiTheme="minorHAnsi"/>
      <w:sz w:val="20"/>
      <w:szCs w:val="20"/>
    </w:rPr>
  </w:style>
  <w:style w:type="character" w:customStyle="1" w:styleId="FigurecaptionChar">
    <w:name w:val="Figure caption Char"/>
    <w:basedOn w:val="DefaultParagraphFont"/>
    <w:link w:val="Figurecaption"/>
    <w:rsid w:val="0000686B"/>
    <w:rPr>
      <w:rFonts w:asciiTheme="minorHAnsi" w:eastAsiaTheme="minorEastAsia" w:hAnsiTheme="minorHAnsi" w:cstheme="minorBidi"/>
      <w:lang w:eastAsia="en-US"/>
    </w:rPr>
  </w:style>
  <w:style w:type="table" w:customStyle="1" w:styleId="TableGrid25">
    <w:name w:val="Table Grid25"/>
    <w:basedOn w:val="TableNormal"/>
    <w:next w:val="TableGrid"/>
    <w:uiPriority w:val="39"/>
    <w:rsid w:val="0000686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xmsolistparagraph">
    <w:name w:val="x_msolistparagraph"/>
    <w:basedOn w:val="Normal"/>
    <w:uiPriority w:val="99"/>
    <w:rsid w:val="0000686B"/>
    <w:pPr>
      <w:spacing w:after="0" w:line="240" w:lineRule="auto"/>
      <w:jc w:val="left"/>
    </w:pPr>
    <w:rPr>
      <w:rFonts w:ascii="Times New Roman" w:hAnsi="Times New Roman" w:cs="Times New Roman"/>
      <w:szCs w:val="24"/>
      <w:lang w:eastAsia="en-AU"/>
    </w:rPr>
  </w:style>
  <w:style w:type="paragraph" w:styleId="ListBullet2">
    <w:name w:val="List Bullet 2"/>
    <w:basedOn w:val="Normal"/>
    <w:uiPriority w:val="99"/>
    <w:unhideWhenUsed/>
    <w:rsid w:val="0000686B"/>
    <w:pPr>
      <w:numPr>
        <w:numId w:val="20"/>
      </w:numPr>
      <w:contextualSpacing/>
    </w:pPr>
  </w:style>
  <w:style w:type="paragraph" w:customStyle="1" w:styleId="Coverdate">
    <w:name w:val="Cover date"/>
    <w:basedOn w:val="Subtitle"/>
    <w:next w:val="BodyText"/>
    <w:uiPriority w:val="99"/>
    <w:rsid w:val="0000686B"/>
    <w:pPr>
      <w:framePr w:w="8335" w:h="2552" w:hRule="exact" w:hSpace="181" w:wrap="notBeside" w:vAnchor="page" w:hAnchor="text" w:x="1" w:y="4254"/>
      <w:numPr>
        <w:ilvl w:val="0"/>
      </w:numPr>
      <w:tabs>
        <w:tab w:val="left" w:pos="425"/>
      </w:tabs>
      <w:spacing w:before="120" w:line="300" w:lineRule="atLeast"/>
    </w:pPr>
    <w:rPr>
      <w:rFonts w:ascii="Arial Bold" w:eastAsia="Times New Roman" w:hAnsi="Arial Bold" w:cs="Arial"/>
      <w:iCs w:val="0"/>
      <w:caps/>
      <w:color w:val="1F497D" w:themeColor="text2"/>
      <w:spacing w:val="20"/>
      <w:kern w:val="28"/>
      <w:szCs w:val="40"/>
      <w:lang w:eastAsia="en-AU"/>
    </w:rPr>
  </w:style>
  <w:style w:type="paragraph" w:customStyle="1" w:styleId="Contents">
    <w:name w:val="Contents"/>
    <w:basedOn w:val="BodyText"/>
    <w:next w:val="BodyText"/>
    <w:uiPriority w:val="99"/>
    <w:unhideWhenUsed/>
    <w:rsid w:val="0000686B"/>
    <w:pPr>
      <w:spacing w:before="480" w:after="480" w:line="360" w:lineRule="atLeast"/>
      <w:jc w:val="left"/>
    </w:pPr>
    <w:rPr>
      <w:rFonts w:asciiTheme="majorHAnsi" w:eastAsia="Times New Roman" w:hAnsiTheme="majorHAnsi" w:cs="Times New Roman"/>
      <w:b/>
      <w:caps/>
      <w:sz w:val="32"/>
      <w:lang w:eastAsia="en-AU"/>
    </w:rPr>
  </w:style>
  <w:style w:type="table" w:customStyle="1" w:styleId="TableGrid16">
    <w:name w:val="Table Grid16"/>
    <w:basedOn w:val="TableNormal"/>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0686B"/>
    <w:rPr>
      <w:rFonts w:ascii="Cambria"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Name"/>
    <w:basedOn w:val="Normal"/>
    <w:qFormat/>
    <w:rsid w:val="00AE1E65"/>
    <w:pPr>
      <w:spacing w:after="0" w:line="240" w:lineRule="auto"/>
    </w:pPr>
    <w:rPr>
      <w:rFonts w:asciiTheme="minorHAnsi" w:hAnsiTheme="minorHAnsi"/>
      <w:b/>
      <w:bCs/>
      <w:szCs w:val="24"/>
    </w:rPr>
  </w:style>
  <w:style w:type="character" w:customStyle="1" w:styleId="TableTextChar">
    <w:name w:val="Table Text Char"/>
    <w:link w:val="TableText"/>
    <w:locked/>
    <w:rsid w:val="0000686B"/>
    <w:rPr>
      <w:rFonts w:ascii="Arial" w:hAnsi="Arial"/>
      <w:sz w:val="18"/>
    </w:rPr>
  </w:style>
  <w:style w:type="paragraph" w:customStyle="1" w:styleId="TableText">
    <w:name w:val="Table Text"/>
    <w:basedOn w:val="Normal"/>
    <w:link w:val="TableTextChar"/>
    <w:rsid w:val="0000686B"/>
    <w:pPr>
      <w:keepNext/>
      <w:spacing w:before="40" w:after="40" w:line="240" w:lineRule="auto"/>
      <w:jc w:val="left"/>
    </w:pPr>
    <w:rPr>
      <w:rFonts w:ascii="Arial" w:eastAsia="Times New Roman" w:hAnsi="Arial" w:cs="Times New Roman"/>
      <w:sz w:val="18"/>
      <w:szCs w:val="20"/>
      <w:lang w:eastAsia="en-AU"/>
    </w:rPr>
  </w:style>
  <w:style w:type="paragraph" w:customStyle="1" w:styleId="Caption1">
    <w:name w:val="Caption1"/>
    <w:basedOn w:val="Normal"/>
    <w:rsid w:val="0000686B"/>
    <w:pPr>
      <w:spacing w:before="100" w:beforeAutospacing="1" w:after="100" w:afterAutospacing="1" w:line="240" w:lineRule="auto"/>
      <w:jc w:val="left"/>
    </w:pPr>
    <w:rPr>
      <w:rFonts w:ascii="Times New Roman" w:eastAsia="Times New Roman" w:hAnsi="Times New Roman" w:cs="Times New Roman"/>
      <w:szCs w:val="24"/>
      <w:lang w:eastAsia="zh-CN"/>
    </w:rPr>
  </w:style>
  <w:style w:type="character" w:customStyle="1" w:styleId="TabletextChar0">
    <w:name w:val="Table text Char"/>
    <w:link w:val="Tabletext0"/>
    <w:locked/>
    <w:rsid w:val="0000686B"/>
    <w:rPr>
      <w:rFonts w:ascii="Arial Narrow" w:hAnsi="Arial Narrow"/>
      <w:szCs w:val="24"/>
    </w:rPr>
  </w:style>
  <w:style w:type="paragraph" w:customStyle="1" w:styleId="Tabletext0">
    <w:name w:val="Table text"/>
    <w:basedOn w:val="Normal"/>
    <w:link w:val="TabletextChar0"/>
    <w:qFormat/>
    <w:rsid w:val="0000686B"/>
    <w:pPr>
      <w:spacing w:after="0" w:line="240" w:lineRule="auto"/>
      <w:ind w:left="34"/>
      <w:jc w:val="left"/>
    </w:pPr>
    <w:rPr>
      <w:rFonts w:ascii="Arial Narrow" w:eastAsia="Times New Roman" w:hAnsi="Arial Narrow" w:cs="Times New Roman"/>
      <w:sz w:val="20"/>
      <w:szCs w:val="24"/>
      <w:lang w:eastAsia="en-AU"/>
    </w:rPr>
  </w:style>
  <w:style w:type="character" w:customStyle="1" w:styleId="term">
    <w:name w:val="term"/>
    <w:basedOn w:val="DefaultParagraphFont"/>
    <w:rsid w:val="0000686B"/>
  </w:style>
  <w:style w:type="table" w:customStyle="1" w:styleId="TableGrid7">
    <w:name w:val="Table Grid7"/>
    <w:basedOn w:val="TableNormal"/>
    <w:uiPriority w:val="39"/>
    <w:rsid w:val="0000686B"/>
    <w:pPr>
      <w:spacing w:after="240"/>
      <w:ind w:left="720"/>
    </w:pPr>
    <w:rPr>
      <w:rFonts w:ascii="Garamond" w:hAnsi="Garamond"/>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00686B"/>
    <w:pPr>
      <w:spacing w:after="240"/>
      <w:ind w:left="720"/>
    </w:pPr>
    <w:rPr>
      <w:rFonts w:ascii="Garamond" w:hAnsi="Garamond"/>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00686B"/>
    <w:pPr>
      <w:spacing w:after="240"/>
      <w:ind w:left="720"/>
    </w:pPr>
    <w:rPr>
      <w:rFonts w:ascii="Garamond" w:hAnsi="Garamond"/>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00686B"/>
    <w:pPr>
      <w:spacing w:after="240"/>
      <w:ind w:left="720"/>
    </w:pPr>
    <w:rPr>
      <w:rFonts w:ascii="Garamond" w:hAnsi="Garamond"/>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00686B"/>
    <w:pPr>
      <w:spacing w:after="240"/>
      <w:ind w:left="720"/>
    </w:pPr>
    <w:rPr>
      <w:rFonts w:ascii="Garamond" w:hAnsi="Garamond"/>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0686B"/>
  </w:style>
  <w:style w:type="table" w:customStyle="1" w:styleId="TableGrid12">
    <w:name w:val="Table Grid12"/>
    <w:basedOn w:val="TableNormal"/>
    <w:next w:val="TableGrid"/>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0686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numbering" w:customStyle="1" w:styleId="NoList2">
    <w:name w:val="No List2"/>
    <w:next w:val="NoList"/>
    <w:uiPriority w:val="99"/>
    <w:semiHidden/>
    <w:unhideWhenUsed/>
    <w:rsid w:val="0000686B"/>
  </w:style>
  <w:style w:type="numbering" w:customStyle="1" w:styleId="NoList11">
    <w:name w:val="No List11"/>
    <w:next w:val="NoList"/>
    <w:uiPriority w:val="99"/>
    <w:semiHidden/>
    <w:unhideWhenUsed/>
    <w:rsid w:val="0000686B"/>
  </w:style>
  <w:style w:type="table" w:customStyle="1" w:styleId="TableGrid15">
    <w:name w:val="Table Grid15"/>
    <w:basedOn w:val="TableNormal"/>
    <w:next w:val="TableGrid"/>
    <w:uiPriority w:val="39"/>
    <w:rsid w:val="000068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068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068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0686B"/>
    <w:pPr>
      <w:spacing w:after="240"/>
      <w:ind w:left="720"/>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0686B"/>
  </w:style>
  <w:style w:type="table" w:customStyle="1" w:styleId="TableGrid121">
    <w:name w:val="Table Grid121"/>
    <w:basedOn w:val="TableNormal"/>
    <w:next w:val="TableGrid"/>
    <w:uiPriority w:val="39"/>
    <w:rsid w:val="000068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00686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0686B"/>
    <w:pPr>
      <w:spacing w:after="160" w:line="240" w:lineRule="exact"/>
      <w:jc w:val="left"/>
    </w:pPr>
    <w:rPr>
      <w:rFonts w:ascii="Verdana" w:eastAsia="MS Mincho" w:hAnsi="Verdana" w:cs="Verdana"/>
      <w:sz w:val="20"/>
      <w:szCs w:val="20"/>
      <w:lang w:val="en-US"/>
    </w:rPr>
  </w:style>
  <w:style w:type="numbering" w:customStyle="1" w:styleId="NoList3">
    <w:name w:val="No List3"/>
    <w:next w:val="NoList"/>
    <w:uiPriority w:val="99"/>
    <w:semiHidden/>
    <w:unhideWhenUsed/>
    <w:rsid w:val="0000686B"/>
  </w:style>
  <w:style w:type="table" w:customStyle="1" w:styleId="TableGrid17">
    <w:name w:val="Table Grid17"/>
    <w:basedOn w:val="TableNormal"/>
    <w:next w:val="TableGrid"/>
    <w:uiPriority w:val="39"/>
    <w:rsid w:val="002D2F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line">
    <w:name w:val="citationline"/>
    <w:basedOn w:val="Normal"/>
    <w:rsid w:val="002713D8"/>
    <w:pPr>
      <w:spacing w:before="100" w:beforeAutospacing="1" w:after="100" w:afterAutospacing="1" w:line="336" w:lineRule="atLeast"/>
      <w:jc w:val="left"/>
    </w:pPr>
    <w:rPr>
      <w:rFonts w:ascii="Times New Roman" w:eastAsia="Times New Roman" w:hAnsi="Times New Roman" w:cs="Times New Roman"/>
      <w:sz w:val="17"/>
      <w:szCs w:val="17"/>
      <w:lang w:eastAsia="en-AU"/>
    </w:rPr>
  </w:style>
  <w:style w:type="paragraph" w:customStyle="1" w:styleId="authors">
    <w:name w:val="authors"/>
    <w:basedOn w:val="Normal"/>
    <w:rsid w:val="002713D8"/>
    <w:pPr>
      <w:spacing w:before="100" w:beforeAutospacing="1" w:after="100" w:afterAutospacing="1" w:line="336" w:lineRule="atLeast"/>
      <w:jc w:val="left"/>
    </w:pPr>
    <w:rPr>
      <w:rFonts w:ascii="Times New Roman" w:eastAsia="Times New Roman" w:hAnsi="Times New Roman" w:cs="Times New Roman"/>
      <w:sz w:val="17"/>
      <w:szCs w:val="17"/>
      <w:lang w:eastAsia="en-AU"/>
    </w:rPr>
  </w:style>
  <w:style w:type="character" w:customStyle="1" w:styleId="doi1">
    <w:name w:val="doi1"/>
    <w:basedOn w:val="DefaultParagraphFont"/>
    <w:rsid w:val="002713D8"/>
    <w:rPr>
      <w:color w:val="666666"/>
    </w:rPr>
  </w:style>
  <w:style w:type="character" w:customStyle="1" w:styleId="nlmon-behalf-of">
    <w:name w:val="nlm_on-behalf-of"/>
    <w:basedOn w:val="DefaultParagraphFont"/>
    <w:rsid w:val="002713D8"/>
  </w:style>
  <w:style w:type="character" w:customStyle="1" w:styleId="citation">
    <w:name w:val="citation"/>
    <w:basedOn w:val="DefaultParagraphFont"/>
    <w:rsid w:val="0027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185">
      <w:bodyDiv w:val="1"/>
      <w:marLeft w:val="0"/>
      <w:marRight w:val="0"/>
      <w:marTop w:val="0"/>
      <w:marBottom w:val="0"/>
      <w:divBdr>
        <w:top w:val="none" w:sz="0" w:space="0" w:color="auto"/>
        <w:left w:val="none" w:sz="0" w:space="0" w:color="auto"/>
        <w:bottom w:val="none" w:sz="0" w:space="0" w:color="auto"/>
        <w:right w:val="none" w:sz="0" w:space="0" w:color="auto"/>
      </w:divBdr>
    </w:div>
    <w:div w:id="130634216">
      <w:bodyDiv w:val="1"/>
      <w:marLeft w:val="0"/>
      <w:marRight w:val="0"/>
      <w:marTop w:val="0"/>
      <w:marBottom w:val="0"/>
      <w:divBdr>
        <w:top w:val="none" w:sz="0" w:space="0" w:color="auto"/>
        <w:left w:val="none" w:sz="0" w:space="0" w:color="auto"/>
        <w:bottom w:val="none" w:sz="0" w:space="0" w:color="auto"/>
        <w:right w:val="none" w:sz="0" w:space="0" w:color="auto"/>
      </w:divBdr>
    </w:div>
    <w:div w:id="207185665">
      <w:bodyDiv w:val="1"/>
      <w:marLeft w:val="0"/>
      <w:marRight w:val="0"/>
      <w:marTop w:val="0"/>
      <w:marBottom w:val="0"/>
      <w:divBdr>
        <w:top w:val="none" w:sz="0" w:space="0" w:color="auto"/>
        <w:left w:val="none" w:sz="0" w:space="0" w:color="auto"/>
        <w:bottom w:val="none" w:sz="0" w:space="0" w:color="auto"/>
        <w:right w:val="none" w:sz="0" w:space="0" w:color="auto"/>
      </w:divBdr>
    </w:div>
    <w:div w:id="258414025">
      <w:bodyDiv w:val="1"/>
      <w:marLeft w:val="0"/>
      <w:marRight w:val="0"/>
      <w:marTop w:val="0"/>
      <w:marBottom w:val="0"/>
      <w:divBdr>
        <w:top w:val="none" w:sz="0" w:space="0" w:color="auto"/>
        <w:left w:val="none" w:sz="0" w:space="0" w:color="auto"/>
        <w:bottom w:val="none" w:sz="0" w:space="0" w:color="auto"/>
        <w:right w:val="none" w:sz="0" w:space="0" w:color="auto"/>
      </w:divBdr>
    </w:div>
    <w:div w:id="377316860">
      <w:bodyDiv w:val="1"/>
      <w:marLeft w:val="0"/>
      <w:marRight w:val="0"/>
      <w:marTop w:val="0"/>
      <w:marBottom w:val="0"/>
      <w:divBdr>
        <w:top w:val="none" w:sz="0" w:space="0" w:color="auto"/>
        <w:left w:val="none" w:sz="0" w:space="0" w:color="auto"/>
        <w:bottom w:val="none" w:sz="0" w:space="0" w:color="auto"/>
        <w:right w:val="none" w:sz="0" w:space="0" w:color="auto"/>
      </w:divBdr>
    </w:div>
    <w:div w:id="600332181">
      <w:bodyDiv w:val="1"/>
      <w:marLeft w:val="0"/>
      <w:marRight w:val="0"/>
      <w:marTop w:val="0"/>
      <w:marBottom w:val="0"/>
      <w:divBdr>
        <w:top w:val="none" w:sz="0" w:space="0" w:color="auto"/>
        <w:left w:val="none" w:sz="0" w:space="0" w:color="auto"/>
        <w:bottom w:val="none" w:sz="0" w:space="0" w:color="auto"/>
        <w:right w:val="none" w:sz="0" w:space="0" w:color="auto"/>
      </w:divBdr>
    </w:div>
    <w:div w:id="688144920">
      <w:bodyDiv w:val="1"/>
      <w:marLeft w:val="0"/>
      <w:marRight w:val="0"/>
      <w:marTop w:val="0"/>
      <w:marBottom w:val="0"/>
      <w:divBdr>
        <w:top w:val="none" w:sz="0" w:space="0" w:color="auto"/>
        <w:left w:val="none" w:sz="0" w:space="0" w:color="auto"/>
        <w:bottom w:val="none" w:sz="0" w:space="0" w:color="auto"/>
        <w:right w:val="none" w:sz="0" w:space="0" w:color="auto"/>
      </w:divBdr>
    </w:div>
    <w:div w:id="996104451">
      <w:bodyDiv w:val="1"/>
      <w:marLeft w:val="0"/>
      <w:marRight w:val="0"/>
      <w:marTop w:val="0"/>
      <w:marBottom w:val="0"/>
      <w:divBdr>
        <w:top w:val="none" w:sz="0" w:space="0" w:color="auto"/>
        <w:left w:val="none" w:sz="0" w:space="0" w:color="auto"/>
        <w:bottom w:val="none" w:sz="0" w:space="0" w:color="auto"/>
        <w:right w:val="none" w:sz="0" w:space="0" w:color="auto"/>
      </w:divBdr>
    </w:div>
    <w:div w:id="1116945482">
      <w:bodyDiv w:val="1"/>
      <w:marLeft w:val="0"/>
      <w:marRight w:val="0"/>
      <w:marTop w:val="0"/>
      <w:marBottom w:val="0"/>
      <w:divBdr>
        <w:top w:val="none" w:sz="0" w:space="0" w:color="auto"/>
        <w:left w:val="none" w:sz="0" w:space="0" w:color="auto"/>
        <w:bottom w:val="none" w:sz="0" w:space="0" w:color="auto"/>
        <w:right w:val="none" w:sz="0" w:space="0" w:color="auto"/>
      </w:divBdr>
    </w:div>
    <w:div w:id="1241677482">
      <w:bodyDiv w:val="1"/>
      <w:marLeft w:val="0"/>
      <w:marRight w:val="0"/>
      <w:marTop w:val="0"/>
      <w:marBottom w:val="0"/>
      <w:divBdr>
        <w:top w:val="none" w:sz="0" w:space="0" w:color="auto"/>
        <w:left w:val="none" w:sz="0" w:space="0" w:color="auto"/>
        <w:bottom w:val="none" w:sz="0" w:space="0" w:color="auto"/>
        <w:right w:val="none" w:sz="0" w:space="0" w:color="auto"/>
      </w:divBdr>
    </w:div>
    <w:div w:id="1343320949">
      <w:bodyDiv w:val="1"/>
      <w:marLeft w:val="0"/>
      <w:marRight w:val="0"/>
      <w:marTop w:val="0"/>
      <w:marBottom w:val="0"/>
      <w:divBdr>
        <w:top w:val="none" w:sz="0" w:space="0" w:color="auto"/>
        <w:left w:val="none" w:sz="0" w:space="0" w:color="auto"/>
        <w:bottom w:val="none" w:sz="0" w:space="0" w:color="auto"/>
        <w:right w:val="none" w:sz="0" w:space="0" w:color="auto"/>
      </w:divBdr>
    </w:div>
    <w:div w:id="1480223326">
      <w:bodyDiv w:val="1"/>
      <w:marLeft w:val="0"/>
      <w:marRight w:val="0"/>
      <w:marTop w:val="0"/>
      <w:marBottom w:val="0"/>
      <w:divBdr>
        <w:top w:val="none" w:sz="0" w:space="0" w:color="auto"/>
        <w:left w:val="none" w:sz="0" w:space="0" w:color="auto"/>
        <w:bottom w:val="none" w:sz="0" w:space="0" w:color="auto"/>
        <w:right w:val="none" w:sz="0" w:space="0" w:color="auto"/>
      </w:divBdr>
    </w:div>
    <w:div w:id="1516572630">
      <w:bodyDiv w:val="1"/>
      <w:marLeft w:val="0"/>
      <w:marRight w:val="0"/>
      <w:marTop w:val="0"/>
      <w:marBottom w:val="0"/>
      <w:divBdr>
        <w:top w:val="none" w:sz="0" w:space="0" w:color="auto"/>
        <w:left w:val="none" w:sz="0" w:space="0" w:color="auto"/>
        <w:bottom w:val="none" w:sz="0" w:space="0" w:color="auto"/>
        <w:right w:val="none" w:sz="0" w:space="0" w:color="auto"/>
      </w:divBdr>
    </w:div>
    <w:div w:id="1535574648">
      <w:bodyDiv w:val="1"/>
      <w:marLeft w:val="0"/>
      <w:marRight w:val="0"/>
      <w:marTop w:val="0"/>
      <w:marBottom w:val="0"/>
      <w:divBdr>
        <w:top w:val="none" w:sz="0" w:space="0" w:color="auto"/>
        <w:left w:val="none" w:sz="0" w:space="0" w:color="auto"/>
        <w:bottom w:val="none" w:sz="0" w:space="0" w:color="auto"/>
        <w:right w:val="none" w:sz="0" w:space="0" w:color="auto"/>
      </w:divBdr>
    </w:div>
    <w:div w:id="1574316809">
      <w:bodyDiv w:val="1"/>
      <w:marLeft w:val="0"/>
      <w:marRight w:val="0"/>
      <w:marTop w:val="0"/>
      <w:marBottom w:val="0"/>
      <w:divBdr>
        <w:top w:val="none" w:sz="0" w:space="0" w:color="auto"/>
        <w:left w:val="none" w:sz="0" w:space="0" w:color="auto"/>
        <w:bottom w:val="none" w:sz="0" w:space="0" w:color="auto"/>
        <w:right w:val="none" w:sz="0" w:space="0" w:color="auto"/>
      </w:divBdr>
    </w:div>
    <w:div w:id="1648820412">
      <w:bodyDiv w:val="1"/>
      <w:marLeft w:val="0"/>
      <w:marRight w:val="0"/>
      <w:marTop w:val="0"/>
      <w:marBottom w:val="0"/>
      <w:divBdr>
        <w:top w:val="none" w:sz="0" w:space="0" w:color="auto"/>
        <w:left w:val="none" w:sz="0" w:space="0" w:color="auto"/>
        <w:bottom w:val="none" w:sz="0" w:space="0" w:color="auto"/>
        <w:right w:val="none" w:sz="0" w:space="0" w:color="auto"/>
      </w:divBdr>
    </w:div>
    <w:div w:id="1665011219">
      <w:bodyDiv w:val="1"/>
      <w:marLeft w:val="0"/>
      <w:marRight w:val="0"/>
      <w:marTop w:val="0"/>
      <w:marBottom w:val="0"/>
      <w:divBdr>
        <w:top w:val="none" w:sz="0" w:space="0" w:color="auto"/>
        <w:left w:val="none" w:sz="0" w:space="0" w:color="auto"/>
        <w:bottom w:val="none" w:sz="0" w:space="0" w:color="auto"/>
        <w:right w:val="none" w:sz="0" w:space="0" w:color="auto"/>
      </w:divBdr>
    </w:div>
    <w:div w:id="1771662559">
      <w:bodyDiv w:val="1"/>
      <w:marLeft w:val="0"/>
      <w:marRight w:val="0"/>
      <w:marTop w:val="0"/>
      <w:marBottom w:val="0"/>
      <w:divBdr>
        <w:top w:val="none" w:sz="0" w:space="0" w:color="auto"/>
        <w:left w:val="none" w:sz="0" w:space="0" w:color="auto"/>
        <w:bottom w:val="none" w:sz="0" w:space="0" w:color="auto"/>
        <w:right w:val="none" w:sz="0" w:space="0" w:color="auto"/>
      </w:divBdr>
    </w:div>
    <w:div w:id="1856380680">
      <w:bodyDiv w:val="1"/>
      <w:marLeft w:val="0"/>
      <w:marRight w:val="0"/>
      <w:marTop w:val="0"/>
      <w:marBottom w:val="0"/>
      <w:divBdr>
        <w:top w:val="none" w:sz="0" w:space="0" w:color="auto"/>
        <w:left w:val="none" w:sz="0" w:space="0" w:color="auto"/>
        <w:bottom w:val="none" w:sz="0" w:space="0" w:color="auto"/>
        <w:right w:val="none" w:sz="0" w:space="0" w:color="auto"/>
      </w:divBdr>
    </w:div>
    <w:div w:id="1863783934">
      <w:bodyDiv w:val="1"/>
      <w:marLeft w:val="0"/>
      <w:marRight w:val="0"/>
      <w:marTop w:val="0"/>
      <w:marBottom w:val="0"/>
      <w:divBdr>
        <w:top w:val="none" w:sz="0" w:space="0" w:color="auto"/>
        <w:left w:val="none" w:sz="0" w:space="0" w:color="auto"/>
        <w:bottom w:val="none" w:sz="0" w:space="0" w:color="auto"/>
        <w:right w:val="none" w:sz="0" w:space="0" w:color="auto"/>
      </w:divBdr>
      <w:divsChild>
        <w:div w:id="178349970">
          <w:marLeft w:val="0"/>
          <w:marRight w:val="0"/>
          <w:marTop w:val="0"/>
          <w:marBottom w:val="0"/>
          <w:divBdr>
            <w:top w:val="single" w:sz="2" w:space="0" w:color="CCCCCC"/>
            <w:left w:val="single" w:sz="6" w:space="11" w:color="CCCCCC"/>
            <w:bottom w:val="single" w:sz="6" w:space="0" w:color="CCCCCC"/>
            <w:right w:val="single" w:sz="6" w:space="11" w:color="CCCCCC"/>
          </w:divBdr>
          <w:divsChild>
            <w:div w:id="649291580">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System" TargetMode="External"/><Relationship Id="rId18" Type="http://schemas.openxmlformats.org/officeDocument/2006/relationships/hyperlink" Target="http://www.pbs.gov.au/info/reviews/subsidised-medicines-reviews/" TargetMode="External"/><Relationship Id="rId26" Type="http://schemas.openxmlformats.org/officeDocument/2006/relationships/hyperlink" Target="https://clinicaltrials.gov/ct2/home" TargetMode="External"/><Relationship Id="rId3" Type="http://schemas.openxmlformats.org/officeDocument/2006/relationships/styles" Target="styles.xml"/><Relationship Id="rId21" Type="http://schemas.openxmlformats.org/officeDocument/2006/relationships/hyperlink" Target="http://www.pbs.gov.au/reviews/ezetimibe-review-files/ezetimibe-stakeholder-forum-outcomes-report.pdf"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en.wikipedia.org/wiki/Organ_(anatomy)" TargetMode="External"/><Relationship Id="rId17" Type="http://schemas.openxmlformats.org/officeDocument/2006/relationships/hyperlink" Target="http://www.pbs.gov.au/pbs/home" TargetMode="External"/><Relationship Id="rId25" Type="http://schemas.openxmlformats.org/officeDocument/2006/relationships/chart" Target="charts/chart1.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ustlii.edu.au/au/legis/cth/consol_act/nha1953147/s101.html" TargetMode="External"/><Relationship Id="rId20" Type="http://schemas.openxmlformats.org/officeDocument/2006/relationships/hyperlink" Target="http://www.pbs.gov.au/info/reviews/post-market-review-ezetimibe" TargetMode="External"/><Relationship Id="rId29" Type="http://schemas.openxmlformats.org/officeDocument/2006/relationships/hyperlink" Target="http://www.pbs.gov.au/info/reviews/ezetimibe-review-public-consult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Drug" TargetMode="External"/><Relationship Id="rId24" Type="http://schemas.openxmlformats.org/officeDocument/2006/relationships/hyperlink" Target="http://www.pbs.gov.au/info/reviews/ezetimibe-review-public-consultatio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Pharmacological" TargetMode="External"/><Relationship Id="rId23" Type="http://schemas.openxmlformats.org/officeDocument/2006/relationships/hyperlink" Target="http://www.pbs.gov.au/reviews/ezetimibe-review-files/ezetimibe-stakeholder-forum-outcomes-report.pdf" TargetMode="External"/><Relationship Id="rId28" Type="http://schemas.openxmlformats.org/officeDocument/2006/relationships/hyperlink" Target="http://www.pbs.gov.au/reviews/ezetimibe-review-files/ezetimibe-stakeholder-forum-outcomes-report.pdf" TargetMode="External"/><Relationship Id="rId36" Type="http://schemas.openxmlformats.org/officeDocument/2006/relationships/fontTable" Target="fontTable.xml"/><Relationship Id="rId10" Type="http://schemas.openxmlformats.org/officeDocument/2006/relationships/hyperlink" Target="https://en.wikipedia.org/wiki/Medication" TargetMode="External"/><Relationship Id="rId19" Type="http://schemas.openxmlformats.org/officeDocument/2006/relationships/hyperlink" Target="http://www.pbs.gov.au/info/reviews/post-market-review-ezetimibe"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en.wikipedia.org/wiki/Drug_class" TargetMode="External"/><Relationship Id="rId14" Type="http://schemas.openxmlformats.org/officeDocument/2006/relationships/hyperlink" Target="https://en.wikipedia.org/wiki/Therapeutic" TargetMode="External"/><Relationship Id="rId22" Type="http://schemas.openxmlformats.org/officeDocument/2006/relationships/hyperlink" Target="http://www.pbs.gov.au/info/reviews/ezetimibe-review-public-consultation"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tga.gov.au/sites/default/files/auspar-ezetimibe-130228-pi.doc" TargetMode="External"/><Relationship Id="rId13" Type="http://schemas.openxmlformats.org/officeDocument/2006/relationships/hyperlink" Target="https://tgldcdp.tg.org.au/viewTopic?topicfile=dyslipidaemia" TargetMode="External"/><Relationship Id="rId18" Type="http://schemas.openxmlformats.org/officeDocument/2006/relationships/hyperlink" Target="https://www.nice.org.uk/guidance/TA385/documents/final-appraisal-determination-document" TargetMode="External"/><Relationship Id="rId3" Type="http://schemas.openxmlformats.org/officeDocument/2006/relationships/hyperlink" Target="https://www.safetyandquality.gov.au/" TargetMode="External"/><Relationship Id="rId7" Type="http://schemas.openxmlformats.org/officeDocument/2006/relationships/hyperlink" Target="http://www.pbs.gov.au/info/reviews/subsidised-medicines-reviews" TargetMode="External"/><Relationship Id="rId12" Type="http://schemas.openxmlformats.org/officeDocument/2006/relationships/hyperlink" Target="https://tgldcdp.tg.org.au/viewTopic?topicfile=dyslipidaemia" TargetMode="External"/><Relationship Id="rId17" Type="http://schemas.openxmlformats.org/officeDocument/2006/relationships/hyperlink" Target="http://www.cvdcheck.org.au/" TargetMode="External"/><Relationship Id="rId2" Type="http://schemas.openxmlformats.org/officeDocument/2006/relationships/hyperlink" Target="http://www.pbs.gov.au/info/healthpro/explanatory-notes/gs-lipid-lowering-drugs" TargetMode="External"/><Relationship Id="rId16" Type="http://schemas.openxmlformats.org/officeDocument/2006/relationships/hyperlink" Target="https://www.oecd.org/australia/Health-at-a-Glance-2015-Key-Findings-AUSTRALIA.pdf" TargetMode="External"/><Relationship Id="rId20" Type="http://schemas.openxmlformats.org/officeDocument/2006/relationships/hyperlink" Target="http://www.medpagetoday.com/ClinicalFocus/LDLCholesterol/56328?xid=nl_mpt_ACC_confreporter_20160825&amp;" TargetMode="External"/><Relationship Id="rId1" Type="http://schemas.openxmlformats.org/officeDocument/2006/relationships/hyperlink" Target="http://www.nejm.org/toc/nejm/372/25/" TargetMode="External"/><Relationship Id="rId6" Type="http://schemas.openxmlformats.org/officeDocument/2006/relationships/hyperlink" Target="http://www.pbs.gov.au/" TargetMode="External"/><Relationship Id="rId11" Type="http://schemas.openxmlformats.org/officeDocument/2006/relationships/hyperlink" Target="https://tgldcdp.tg.org.au/viewTopic?topicfile=cardiovascular-disease-risk-stratification" TargetMode="External"/><Relationship Id="rId5" Type="http://schemas.openxmlformats.org/officeDocument/2006/relationships/hyperlink" Target="http://www.pbs.gov.au/info/reviews/subsidised-medicines-reviews" TargetMode="External"/><Relationship Id="rId15" Type="http://schemas.openxmlformats.org/officeDocument/2006/relationships/hyperlink" Target="https://www.baker.edu.au/Assets/Files/AUSDIAB_Report_2005.pdf" TargetMode="External"/><Relationship Id="rId10" Type="http://schemas.openxmlformats.org/officeDocument/2006/relationships/hyperlink" Target="http://www.aihw.gov.au/burden-of-disease/" TargetMode="External"/><Relationship Id="rId19" Type="http://schemas.openxmlformats.org/officeDocument/2006/relationships/hyperlink" Target="http://www.nejm.org/toc/nejm/372/25/" TargetMode="External"/><Relationship Id="rId4" Type="http://schemas.openxmlformats.org/officeDocument/2006/relationships/hyperlink" Target="https://pbac.pbs.gov.au/" TargetMode="External"/><Relationship Id="rId9" Type="http://schemas.openxmlformats.org/officeDocument/2006/relationships/hyperlink" Target="http://www.abs.gov.au/ausstats/abs@.nsf/Lookup/by%20Subject/3303.0~2013~Main%20Features~Leading%20Causes%20of%20Death~10001" TargetMode="External"/><Relationship Id="rId14" Type="http://schemas.openxmlformats.org/officeDocument/2006/relationships/hyperlink" Target="http://www.cvdcheck.org.a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userenv\Users\User_05\ajamih\Desktop\Copy%20of%20Ezetimibe%20Market%20analysis%20to%20September%202016%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a:t>RPBS/PBS</a:t>
            </a:r>
            <a:r>
              <a:rPr lang="en-AU"/>
              <a:t> </a:t>
            </a:r>
            <a:r>
              <a:rPr lang="en-AU" sz="1320" b="1" i="0" u="none" strike="noStrike" baseline="0">
                <a:effectLst/>
              </a:rPr>
              <a:t>Prescriptions</a:t>
            </a:r>
            <a:endParaRPr lang="en-AU"/>
          </a:p>
        </c:rich>
      </c:tx>
      <c:overlay val="0"/>
    </c:title>
    <c:autoTitleDeleted val="0"/>
    <c:plotArea>
      <c:layout>
        <c:manualLayout>
          <c:layoutTarget val="inner"/>
          <c:xMode val="edge"/>
          <c:yMode val="edge"/>
          <c:x val="0.22174181625425665"/>
          <c:y val="0.12913883950305147"/>
          <c:w val="0.7542464793719349"/>
          <c:h val="0.559128968312672"/>
        </c:manualLayout>
      </c:layout>
      <c:lineChart>
        <c:grouping val="standard"/>
        <c:varyColors val="0"/>
        <c:ser>
          <c:idx val="0"/>
          <c:order val="0"/>
          <c:tx>
            <c:strRef>
              <c:f>Sheet1!$B$60</c:f>
              <c:strCache>
                <c:ptCount val="1"/>
                <c:pt idx="0">
                  <c:v>Total Ezetimibe mono</c:v>
                </c:pt>
              </c:strCache>
            </c:strRef>
          </c:tx>
          <c:cat>
            <c:strRef>
              <c:f>Sheet1!$A$61:$A$65</c:f>
              <c:strCache>
                <c:ptCount val="5"/>
                <c:pt idx="0">
                  <c:v>2011-2012</c:v>
                </c:pt>
                <c:pt idx="1">
                  <c:v>2012-2013</c:v>
                </c:pt>
                <c:pt idx="2">
                  <c:v>2013-2014</c:v>
                </c:pt>
                <c:pt idx="3">
                  <c:v>2014-2015</c:v>
                </c:pt>
                <c:pt idx="4">
                  <c:v>2015-2016</c:v>
                </c:pt>
              </c:strCache>
            </c:strRef>
          </c:cat>
          <c:val>
            <c:numRef>
              <c:f>Sheet1!$B$61:$B$65</c:f>
              <c:numCache>
                <c:formatCode>General</c:formatCode>
                <c:ptCount val="5"/>
                <c:pt idx="0">
                  <c:v>1096418</c:v>
                </c:pt>
                <c:pt idx="1">
                  <c:v>1175545</c:v>
                </c:pt>
                <c:pt idx="2">
                  <c:v>1237564</c:v>
                </c:pt>
                <c:pt idx="3">
                  <c:v>1247469</c:v>
                </c:pt>
                <c:pt idx="4">
                  <c:v>1202346</c:v>
                </c:pt>
              </c:numCache>
            </c:numRef>
          </c:val>
          <c:smooth val="0"/>
        </c:ser>
        <c:ser>
          <c:idx val="1"/>
          <c:order val="1"/>
          <c:tx>
            <c:strRef>
              <c:f>Sheet1!$C$60</c:f>
              <c:strCache>
                <c:ptCount val="1"/>
                <c:pt idx="0">
                  <c:v>Total Ezetimibe FDC</c:v>
                </c:pt>
              </c:strCache>
            </c:strRef>
          </c:tx>
          <c:cat>
            <c:strRef>
              <c:f>Sheet1!$A$61:$A$65</c:f>
              <c:strCache>
                <c:ptCount val="5"/>
                <c:pt idx="0">
                  <c:v>2011-2012</c:v>
                </c:pt>
                <c:pt idx="1">
                  <c:v>2012-2013</c:v>
                </c:pt>
                <c:pt idx="2">
                  <c:v>2013-2014</c:v>
                </c:pt>
                <c:pt idx="3">
                  <c:v>2014-2015</c:v>
                </c:pt>
                <c:pt idx="4">
                  <c:v>2015-2016</c:v>
                </c:pt>
              </c:strCache>
            </c:strRef>
          </c:cat>
          <c:val>
            <c:numRef>
              <c:f>Sheet1!$C$61:$C$65</c:f>
              <c:numCache>
                <c:formatCode>General</c:formatCode>
                <c:ptCount val="5"/>
                <c:pt idx="0">
                  <c:v>828631</c:v>
                </c:pt>
                <c:pt idx="1">
                  <c:v>912413</c:v>
                </c:pt>
                <c:pt idx="2">
                  <c:v>1000651</c:v>
                </c:pt>
                <c:pt idx="3">
                  <c:v>1150453</c:v>
                </c:pt>
                <c:pt idx="4">
                  <c:v>1462560</c:v>
                </c:pt>
              </c:numCache>
            </c:numRef>
          </c:val>
          <c:smooth val="0"/>
        </c:ser>
        <c:ser>
          <c:idx val="2"/>
          <c:order val="2"/>
          <c:tx>
            <c:strRef>
              <c:f>Sheet1!$D$60</c:f>
              <c:strCache>
                <c:ptCount val="1"/>
                <c:pt idx="0">
                  <c:v>Total Ezetimibe mono + Total Ezetimibe FDC</c:v>
                </c:pt>
              </c:strCache>
            </c:strRef>
          </c:tx>
          <c:cat>
            <c:strRef>
              <c:f>Sheet1!$A$61:$A$65</c:f>
              <c:strCache>
                <c:ptCount val="5"/>
                <c:pt idx="0">
                  <c:v>2011-2012</c:v>
                </c:pt>
                <c:pt idx="1">
                  <c:v>2012-2013</c:v>
                </c:pt>
                <c:pt idx="2">
                  <c:v>2013-2014</c:v>
                </c:pt>
                <c:pt idx="3">
                  <c:v>2014-2015</c:v>
                </c:pt>
                <c:pt idx="4">
                  <c:v>2015-2016</c:v>
                </c:pt>
              </c:strCache>
            </c:strRef>
          </c:cat>
          <c:val>
            <c:numRef>
              <c:f>Sheet1!$D$61:$D$65</c:f>
              <c:numCache>
                <c:formatCode>General</c:formatCode>
                <c:ptCount val="5"/>
                <c:pt idx="0">
                  <c:v>1925049</c:v>
                </c:pt>
                <c:pt idx="1">
                  <c:v>2087958</c:v>
                </c:pt>
                <c:pt idx="2">
                  <c:v>2238215</c:v>
                </c:pt>
                <c:pt idx="3">
                  <c:v>2397922</c:v>
                </c:pt>
                <c:pt idx="4">
                  <c:v>2664906</c:v>
                </c:pt>
              </c:numCache>
            </c:numRef>
          </c:val>
          <c:smooth val="0"/>
        </c:ser>
        <c:dLbls>
          <c:showLegendKey val="0"/>
          <c:showVal val="0"/>
          <c:showCatName val="0"/>
          <c:showSerName val="0"/>
          <c:showPercent val="0"/>
          <c:showBubbleSize val="0"/>
        </c:dLbls>
        <c:marker val="1"/>
        <c:smooth val="0"/>
        <c:axId val="294002048"/>
        <c:axId val="294007936"/>
      </c:lineChart>
      <c:catAx>
        <c:axId val="294002048"/>
        <c:scaling>
          <c:orientation val="minMax"/>
        </c:scaling>
        <c:delete val="0"/>
        <c:axPos val="b"/>
        <c:majorTickMark val="out"/>
        <c:minorTickMark val="none"/>
        <c:tickLblPos val="nextTo"/>
        <c:txPr>
          <a:bodyPr rot="-2700000"/>
          <a:lstStyle/>
          <a:p>
            <a:pPr>
              <a:defRPr/>
            </a:pPr>
            <a:endParaRPr lang="en-US"/>
          </a:p>
        </c:txPr>
        <c:crossAx val="294007936"/>
        <c:crosses val="autoZero"/>
        <c:auto val="1"/>
        <c:lblAlgn val="ctr"/>
        <c:lblOffset val="100"/>
        <c:noMultiLvlLbl val="0"/>
      </c:catAx>
      <c:valAx>
        <c:axId val="294007936"/>
        <c:scaling>
          <c:orientation val="minMax"/>
        </c:scaling>
        <c:delete val="0"/>
        <c:axPos val="l"/>
        <c:majorGridlines/>
        <c:title>
          <c:tx>
            <c:rich>
              <a:bodyPr rot="-5400000" vert="horz"/>
              <a:lstStyle/>
              <a:p>
                <a:pPr>
                  <a:defRPr sz="1400"/>
                </a:pPr>
                <a:r>
                  <a:rPr lang="en-AU" sz="1400" b="1" i="0" u="none" strike="noStrike" baseline="0">
                    <a:effectLst/>
                  </a:rPr>
                  <a:t>Prescription</a:t>
                </a:r>
                <a:endParaRPr lang="en-AU" sz="1400"/>
              </a:p>
            </c:rich>
          </c:tx>
          <c:overlay val="0"/>
        </c:title>
        <c:numFmt formatCode="#,##0.00" sourceLinked="0"/>
        <c:majorTickMark val="out"/>
        <c:minorTickMark val="none"/>
        <c:tickLblPos val="nextTo"/>
        <c:crossAx val="294002048"/>
        <c:crosses val="autoZero"/>
        <c:crossBetween val="between"/>
      </c:valAx>
    </c:plotArea>
    <c:legend>
      <c:legendPos val="b"/>
      <c:layout>
        <c:manualLayout>
          <c:xMode val="edge"/>
          <c:yMode val="edge"/>
          <c:x val="9.6786119890563942E-3"/>
          <c:y val="0.89209693082864139"/>
          <c:w val="0.98782022544326153"/>
          <c:h val="8.4533700566719383E-2"/>
        </c:manualLayout>
      </c:layout>
      <c:overlay val="0"/>
    </c:legend>
    <c:plotVisOnly val="1"/>
    <c:dispBlanksAs val="gap"/>
    <c:showDLblsOverMax val="0"/>
  </c:chart>
  <c:txPr>
    <a:bodyPr/>
    <a:lstStyle/>
    <a:p>
      <a:pPr>
        <a:defRPr sz="1100"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0FF9-D831-4182-9D5B-271AF182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27275</Words>
  <Characters>155470</Characters>
  <Application>Microsoft Office Word</Application>
  <DocSecurity>0</DocSecurity>
  <Lines>1295</Lines>
  <Paragraphs>364</Paragraphs>
  <ScaleCrop>false</ScaleCrop>
  <Company/>
  <LinksUpToDate>false</LinksUpToDate>
  <CharactersWithSpaces>182381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2017-12-18T03:39:00Z</dcterms:created>
  <dcterms:modified xsi:type="dcterms:W3CDTF">2017-12-18T03:40:00Z</dcterms:modified>
</cp:coreProperties>
</file>