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C8A" w:rsidRDefault="00FB1C8A" w:rsidP="00516E62">
      <w:pPr>
        <w:pStyle w:val="Default"/>
        <w:rPr>
          <w:b/>
          <w:bCs/>
          <w:sz w:val="40"/>
          <w:szCs w:val="40"/>
        </w:rPr>
      </w:pPr>
      <w:r>
        <w:rPr>
          <w:noProof/>
          <w:lang w:eastAsia="en-AU"/>
        </w:rPr>
        <w:drawing>
          <wp:anchor distT="0" distB="0" distL="114300" distR="114300" simplePos="0" relativeHeight="251659264" behindDoc="0" locked="0" layoutInCell="1" allowOverlap="1" wp14:anchorId="76EEF1F0" wp14:editId="47C46D76">
            <wp:simplePos x="0" y="0"/>
            <wp:positionH relativeFrom="column">
              <wp:posOffset>1057275</wp:posOffset>
            </wp:positionH>
            <wp:positionV relativeFrom="paragraph">
              <wp:posOffset>-8890</wp:posOffset>
            </wp:positionV>
            <wp:extent cx="3419475" cy="1913890"/>
            <wp:effectExtent l="0" t="0" r="9525" b="0"/>
            <wp:wrapTopAndBottom/>
            <wp:docPr id="3" name="Picture 3" descr="DH_stacke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_stacked_bla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19475" cy="1913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1C8A" w:rsidRDefault="00FB1C8A" w:rsidP="00B02550">
      <w:pPr>
        <w:pStyle w:val="Default"/>
        <w:jc w:val="center"/>
        <w:rPr>
          <w:b/>
          <w:bCs/>
          <w:sz w:val="40"/>
          <w:szCs w:val="40"/>
        </w:rPr>
      </w:pPr>
    </w:p>
    <w:p w:rsidR="00FB1C8A" w:rsidRDefault="00FB1C8A" w:rsidP="00516E62">
      <w:pPr>
        <w:pStyle w:val="Default"/>
        <w:rPr>
          <w:b/>
          <w:bCs/>
          <w:sz w:val="40"/>
          <w:szCs w:val="40"/>
        </w:rPr>
      </w:pPr>
    </w:p>
    <w:p w:rsidR="00FB1C8A" w:rsidRDefault="00FB1C8A" w:rsidP="00516E62">
      <w:pPr>
        <w:pStyle w:val="Default"/>
        <w:rPr>
          <w:b/>
          <w:bCs/>
          <w:sz w:val="40"/>
          <w:szCs w:val="40"/>
        </w:rPr>
      </w:pPr>
    </w:p>
    <w:p w:rsidR="00FB1C8A" w:rsidRDefault="00FB1C8A" w:rsidP="00516E62">
      <w:pPr>
        <w:pStyle w:val="Default"/>
        <w:rPr>
          <w:b/>
          <w:bCs/>
          <w:sz w:val="40"/>
          <w:szCs w:val="40"/>
        </w:rPr>
      </w:pPr>
    </w:p>
    <w:p w:rsidR="00FB1C8A" w:rsidRPr="00FB1C8A" w:rsidRDefault="00FB1C8A" w:rsidP="00B02550">
      <w:pPr>
        <w:pStyle w:val="Default"/>
        <w:jc w:val="center"/>
        <w:rPr>
          <w:b/>
          <w:bCs/>
          <w:sz w:val="48"/>
          <w:szCs w:val="48"/>
        </w:rPr>
      </w:pPr>
      <w:r w:rsidRPr="00FB1C8A">
        <w:rPr>
          <w:b/>
          <w:bCs/>
          <w:sz w:val="48"/>
          <w:szCs w:val="48"/>
        </w:rPr>
        <w:t>L</w:t>
      </w:r>
      <w:r>
        <w:rPr>
          <w:b/>
          <w:bCs/>
          <w:sz w:val="48"/>
          <w:szCs w:val="48"/>
        </w:rPr>
        <w:t xml:space="preserve">IFE </w:t>
      </w:r>
      <w:r w:rsidRPr="00FB1C8A">
        <w:rPr>
          <w:b/>
          <w:bCs/>
          <w:sz w:val="48"/>
          <w:szCs w:val="48"/>
        </w:rPr>
        <w:t>S</w:t>
      </w:r>
      <w:r>
        <w:rPr>
          <w:b/>
          <w:bCs/>
          <w:sz w:val="48"/>
          <w:szCs w:val="48"/>
        </w:rPr>
        <w:t xml:space="preserve">AVING </w:t>
      </w:r>
      <w:r w:rsidRPr="00FB1C8A">
        <w:rPr>
          <w:b/>
          <w:bCs/>
          <w:sz w:val="48"/>
          <w:szCs w:val="48"/>
        </w:rPr>
        <w:t>D</w:t>
      </w:r>
      <w:r>
        <w:rPr>
          <w:b/>
          <w:bCs/>
          <w:sz w:val="48"/>
          <w:szCs w:val="48"/>
        </w:rPr>
        <w:t xml:space="preserve">RUGS </w:t>
      </w:r>
      <w:r w:rsidRPr="00FB1C8A">
        <w:rPr>
          <w:b/>
          <w:bCs/>
          <w:sz w:val="48"/>
          <w:szCs w:val="48"/>
        </w:rPr>
        <w:t>P</w:t>
      </w:r>
      <w:r>
        <w:rPr>
          <w:b/>
          <w:bCs/>
          <w:sz w:val="48"/>
          <w:szCs w:val="48"/>
        </w:rPr>
        <w:t>ROGRAMME</w:t>
      </w:r>
      <w:r w:rsidRPr="00FB1C8A">
        <w:rPr>
          <w:b/>
          <w:bCs/>
          <w:sz w:val="48"/>
          <w:szCs w:val="48"/>
        </w:rPr>
        <w:t xml:space="preserve"> POST MARKET REVIEW</w:t>
      </w:r>
    </w:p>
    <w:p w:rsidR="00FB1C8A" w:rsidRDefault="00FB1C8A" w:rsidP="00B02550">
      <w:pPr>
        <w:pStyle w:val="Default"/>
        <w:jc w:val="center"/>
        <w:rPr>
          <w:b/>
          <w:bCs/>
          <w:sz w:val="48"/>
          <w:szCs w:val="48"/>
        </w:rPr>
      </w:pPr>
    </w:p>
    <w:p w:rsidR="00FB1C8A" w:rsidRDefault="00FB1C8A" w:rsidP="00B02550">
      <w:pPr>
        <w:pStyle w:val="Default"/>
        <w:jc w:val="center"/>
        <w:rPr>
          <w:b/>
          <w:bCs/>
          <w:sz w:val="48"/>
          <w:szCs w:val="48"/>
        </w:rPr>
      </w:pPr>
      <w:r w:rsidRPr="00FB1C8A">
        <w:rPr>
          <w:b/>
          <w:bCs/>
          <w:sz w:val="48"/>
          <w:szCs w:val="48"/>
        </w:rPr>
        <w:t>ISSUES PAPER</w:t>
      </w:r>
    </w:p>
    <w:p w:rsidR="00FB1C8A" w:rsidRDefault="00FB1C8A" w:rsidP="00516E62">
      <w:pPr>
        <w:pStyle w:val="Default"/>
        <w:rPr>
          <w:b/>
          <w:bCs/>
          <w:sz w:val="48"/>
          <w:szCs w:val="48"/>
        </w:rPr>
      </w:pPr>
    </w:p>
    <w:p w:rsidR="00FB1C8A" w:rsidRDefault="00FB1C8A" w:rsidP="00516E62">
      <w:pPr>
        <w:pStyle w:val="Default"/>
        <w:rPr>
          <w:b/>
          <w:bCs/>
          <w:sz w:val="48"/>
          <w:szCs w:val="48"/>
        </w:rPr>
      </w:pPr>
    </w:p>
    <w:p w:rsidR="00FB1C8A" w:rsidRDefault="00FB1C8A" w:rsidP="00516E62">
      <w:pPr>
        <w:pStyle w:val="Default"/>
        <w:rPr>
          <w:b/>
          <w:bCs/>
          <w:sz w:val="48"/>
          <w:szCs w:val="48"/>
        </w:rPr>
      </w:pPr>
    </w:p>
    <w:p w:rsidR="00FB1C8A" w:rsidRDefault="00FB1C8A" w:rsidP="00516E62">
      <w:pPr>
        <w:pStyle w:val="Default"/>
        <w:rPr>
          <w:b/>
          <w:bCs/>
          <w:sz w:val="48"/>
          <w:szCs w:val="48"/>
        </w:rPr>
      </w:pPr>
    </w:p>
    <w:p w:rsidR="007E68DE" w:rsidRDefault="007E68DE" w:rsidP="00516E62">
      <w:pPr>
        <w:pStyle w:val="Default"/>
        <w:rPr>
          <w:b/>
          <w:bCs/>
          <w:sz w:val="48"/>
          <w:szCs w:val="48"/>
        </w:rPr>
      </w:pPr>
    </w:p>
    <w:p w:rsidR="00FB1C8A" w:rsidRDefault="00FB1C8A" w:rsidP="00516E62">
      <w:pPr>
        <w:pStyle w:val="Default"/>
        <w:rPr>
          <w:b/>
          <w:bCs/>
          <w:sz w:val="48"/>
          <w:szCs w:val="48"/>
        </w:rPr>
      </w:pPr>
    </w:p>
    <w:p w:rsidR="00FB1C8A" w:rsidRDefault="00FB1C8A" w:rsidP="00516E62">
      <w:pPr>
        <w:pStyle w:val="Default"/>
        <w:rPr>
          <w:b/>
          <w:bCs/>
          <w:sz w:val="48"/>
          <w:szCs w:val="48"/>
        </w:rPr>
      </w:pPr>
    </w:p>
    <w:p w:rsidR="00FB1C8A" w:rsidRDefault="00004167" w:rsidP="00FB1C8A">
      <w:pPr>
        <w:pStyle w:val="Default"/>
        <w:jc w:val="center"/>
        <w:rPr>
          <w:b/>
          <w:bCs/>
          <w:sz w:val="40"/>
          <w:szCs w:val="40"/>
        </w:rPr>
      </w:pPr>
      <w:r>
        <w:rPr>
          <w:b/>
          <w:bCs/>
          <w:sz w:val="40"/>
          <w:szCs w:val="40"/>
        </w:rPr>
        <w:t>APRIL</w:t>
      </w:r>
      <w:r w:rsidR="00FB1C8A" w:rsidRPr="00FB1C8A">
        <w:rPr>
          <w:b/>
          <w:bCs/>
          <w:sz w:val="40"/>
          <w:szCs w:val="40"/>
        </w:rPr>
        <w:t xml:space="preserve"> 2015</w:t>
      </w:r>
    </w:p>
    <w:p w:rsidR="00FB1C8A" w:rsidRDefault="00FB1C8A" w:rsidP="00516E62">
      <w:pPr>
        <w:pStyle w:val="Default"/>
        <w:rPr>
          <w:b/>
          <w:bCs/>
          <w:sz w:val="40"/>
          <w:szCs w:val="40"/>
        </w:rPr>
      </w:pPr>
    </w:p>
    <w:p w:rsidR="00FB1C8A" w:rsidRDefault="00FB1C8A" w:rsidP="00516E62">
      <w:pPr>
        <w:pStyle w:val="Default"/>
        <w:rPr>
          <w:b/>
          <w:bCs/>
          <w:sz w:val="40"/>
          <w:szCs w:val="40"/>
        </w:rPr>
      </w:pPr>
    </w:p>
    <w:p w:rsidR="00FB1C8A" w:rsidRDefault="00FB1C8A" w:rsidP="00516E62">
      <w:pPr>
        <w:pStyle w:val="Default"/>
        <w:rPr>
          <w:b/>
          <w:bCs/>
          <w:sz w:val="40"/>
          <w:szCs w:val="40"/>
        </w:rPr>
      </w:pPr>
    </w:p>
    <w:p w:rsidR="00466E9A" w:rsidRDefault="00466E9A" w:rsidP="00516E62">
      <w:pPr>
        <w:pStyle w:val="Default"/>
        <w:rPr>
          <w:b/>
          <w:bCs/>
          <w:sz w:val="40"/>
          <w:szCs w:val="40"/>
        </w:rPr>
      </w:pPr>
    </w:p>
    <w:p w:rsidR="00C550D2" w:rsidRDefault="00C550D2" w:rsidP="00466E9A">
      <w:pPr>
        <w:pStyle w:val="LegalSubheading"/>
        <w:spacing w:before="4800"/>
        <w:rPr>
          <w:b w:val="0"/>
          <w:bCs/>
          <w:sz w:val="40"/>
          <w:szCs w:val="40"/>
        </w:rPr>
      </w:pPr>
    </w:p>
    <w:p w:rsidR="00C550D2" w:rsidRDefault="00C550D2" w:rsidP="00C550D2">
      <w:pPr>
        <w:autoSpaceDE w:val="0"/>
        <w:autoSpaceDN w:val="0"/>
        <w:spacing w:after="240"/>
        <w:rPr>
          <w:rFonts w:ascii="Cambria" w:eastAsia="Cambria" w:hAnsi="Cambria" w:cs="Times New Roman"/>
          <w:sz w:val="17"/>
          <w:szCs w:val="20"/>
          <w:lang w:eastAsia="en-AU"/>
        </w:rPr>
      </w:pPr>
    </w:p>
    <w:p w:rsidR="00C550D2" w:rsidRDefault="00C550D2" w:rsidP="00C550D2">
      <w:pPr>
        <w:autoSpaceDE w:val="0"/>
        <w:autoSpaceDN w:val="0"/>
        <w:spacing w:after="240"/>
        <w:rPr>
          <w:rFonts w:ascii="Cambria" w:eastAsia="Cambria" w:hAnsi="Cambria" w:cs="Times New Roman"/>
          <w:sz w:val="17"/>
          <w:szCs w:val="20"/>
          <w:lang w:eastAsia="en-AU"/>
        </w:rPr>
      </w:pPr>
    </w:p>
    <w:p w:rsidR="00B968B2" w:rsidRDefault="00B968B2" w:rsidP="00C550D2">
      <w:pPr>
        <w:autoSpaceDE w:val="0"/>
        <w:autoSpaceDN w:val="0"/>
        <w:spacing w:after="240"/>
        <w:rPr>
          <w:rFonts w:ascii="Cambria" w:eastAsia="Cambria" w:hAnsi="Cambria" w:cs="Times New Roman"/>
          <w:sz w:val="17"/>
          <w:szCs w:val="20"/>
          <w:lang w:eastAsia="en-AU"/>
        </w:rPr>
      </w:pPr>
    </w:p>
    <w:p w:rsidR="00B968B2" w:rsidRDefault="00B968B2" w:rsidP="00C550D2">
      <w:pPr>
        <w:autoSpaceDE w:val="0"/>
        <w:autoSpaceDN w:val="0"/>
        <w:spacing w:after="240"/>
        <w:rPr>
          <w:rFonts w:ascii="Cambria" w:eastAsia="Cambria" w:hAnsi="Cambria" w:cs="Times New Roman"/>
          <w:sz w:val="17"/>
          <w:szCs w:val="20"/>
          <w:lang w:eastAsia="en-AU"/>
        </w:rPr>
      </w:pPr>
    </w:p>
    <w:p w:rsidR="00B968B2" w:rsidRDefault="00B968B2" w:rsidP="00C550D2">
      <w:pPr>
        <w:autoSpaceDE w:val="0"/>
        <w:autoSpaceDN w:val="0"/>
        <w:spacing w:after="240"/>
        <w:rPr>
          <w:rFonts w:ascii="Cambria" w:eastAsia="Cambria" w:hAnsi="Cambria" w:cs="Times New Roman"/>
          <w:sz w:val="17"/>
          <w:szCs w:val="20"/>
          <w:lang w:eastAsia="en-AU"/>
        </w:rPr>
      </w:pPr>
    </w:p>
    <w:p w:rsidR="00B968B2" w:rsidRDefault="00B968B2" w:rsidP="00C550D2">
      <w:pPr>
        <w:autoSpaceDE w:val="0"/>
        <w:autoSpaceDN w:val="0"/>
        <w:spacing w:after="240"/>
        <w:rPr>
          <w:rFonts w:ascii="Cambria" w:eastAsia="Cambria" w:hAnsi="Cambria" w:cs="Times New Roman"/>
          <w:sz w:val="17"/>
          <w:szCs w:val="20"/>
          <w:lang w:eastAsia="en-AU"/>
        </w:rPr>
      </w:pPr>
    </w:p>
    <w:p w:rsidR="00B968B2" w:rsidRDefault="00B968B2" w:rsidP="00C550D2">
      <w:pPr>
        <w:autoSpaceDE w:val="0"/>
        <w:autoSpaceDN w:val="0"/>
        <w:spacing w:after="240"/>
        <w:rPr>
          <w:rFonts w:ascii="Cambria" w:eastAsia="Cambria" w:hAnsi="Cambria" w:cs="Times New Roman"/>
          <w:sz w:val="17"/>
          <w:szCs w:val="20"/>
          <w:lang w:eastAsia="en-AU"/>
        </w:rPr>
      </w:pPr>
    </w:p>
    <w:p w:rsidR="00B968B2" w:rsidRDefault="00B968B2" w:rsidP="00C550D2">
      <w:pPr>
        <w:autoSpaceDE w:val="0"/>
        <w:autoSpaceDN w:val="0"/>
        <w:spacing w:after="240"/>
        <w:rPr>
          <w:rFonts w:ascii="Cambria" w:eastAsia="Cambria" w:hAnsi="Cambria" w:cs="Times New Roman"/>
          <w:sz w:val="17"/>
          <w:szCs w:val="20"/>
          <w:lang w:eastAsia="en-AU"/>
        </w:rPr>
      </w:pPr>
    </w:p>
    <w:p w:rsidR="00B968B2" w:rsidRDefault="00B968B2" w:rsidP="00C550D2">
      <w:pPr>
        <w:autoSpaceDE w:val="0"/>
        <w:autoSpaceDN w:val="0"/>
        <w:spacing w:after="240"/>
        <w:rPr>
          <w:rFonts w:ascii="Cambria" w:eastAsia="Cambria" w:hAnsi="Cambria" w:cs="Times New Roman"/>
          <w:sz w:val="17"/>
          <w:szCs w:val="20"/>
          <w:lang w:eastAsia="en-AU"/>
        </w:rPr>
      </w:pPr>
    </w:p>
    <w:p w:rsidR="00B968B2" w:rsidRDefault="00B968B2" w:rsidP="00C550D2">
      <w:pPr>
        <w:autoSpaceDE w:val="0"/>
        <w:autoSpaceDN w:val="0"/>
        <w:spacing w:after="240"/>
        <w:rPr>
          <w:rFonts w:ascii="Cambria" w:eastAsia="Cambria" w:hAnsi="Cambria" w:cs="Times New Roman"/>
          <w:sz w:val="17"/>
          <w:szCs w:val="20"/>
          <w:lang w:eastAsia="en-AU"/>
        </w:rPr>
      </w:pPr>
    </w:p>
    <w:p w:rsidR="00B968B2" w:rsidRDefault="00B968B2" w:rsidP="00C550D2">
      <w:pPr>
        <w:autoSpaceDE w:val="0"/>
        <w:autoSpaceDN w:val="0"/>
        <w:spacing w:after="240"/>
        <w:rPr>
          <w:rFonts w:ascii="Cambria" w:eastAsia="Cambria" w:hAnsi="Cambria" w:cs="Times New Roman"/>
          <w:sz w:val="17"/>
          <w:szCs w:val="20"/>
          <w:lang w:eastAsia="en-AU"/>
        </w:rPr>
      </w:pPr>
    </w:p>
    <w:p w:rsidR="00B968B2" w:rsidRDefault="00B968B2" w:rsidP="00C550D2">
      <w:pPr>
        <w:autoSpaceDE w:val="0"/>
        <w:autoSpaceDN w:val="0"/>
        <w:spacing w:after="240"/>
        <w:rPr>
          <w:rFonts w:ascii="Cambria" w:eastAsia="Cambria" w:hAnsi="Cambria" w:cs="Times New Roman"/>
          <w:sz w:val="17"/>
          <w:szCs w:val="20"/>
          <w:lang w:eastAsia="en-AU"/>
        </w:rPr>
      </w:pPr>
    </w:p>
    <w:p w:rsidR="00B968B2" w:rsidRDefault="00B968B2" w:rsidP="00C550D2">
      <w:pPr>
        <w:autoSpaceDE w:val="0"/>
        <w:autoSpaceDN w:val="0"/>
        <w:spacing w:after="240"/>
        <w:rPr>
          <w:rFonts w:ascii="Cambria" w:eastAsia="Cambria" w:hAnsi="Cambria" w:cs="Times New Roman"/>
          <w:sz w:val="17"/>
          <w:szCs w:val="20"/>
          <w:lang w:eastAsia="en-AU"/>
        </w:rPr>
      </w:pPr>
    </w:p>
    <w:p w:rsidR="00B968B2" w:rsidRDefault="00B968B2" w:rsidP="00C550D2">
      <w:pPr>
        <w:autoSpaceDE w:val="0"/>
        <w:autoSpaceDN w:val="0"/>
        <w:spacing w:after="240"/>
        <w:rPr>
          <w:rFonts w:ascii="Cambria" w:eastAsia="Cambria" w:hAnsi="Cambria" w:cs="Times New Roman"/>
          <w:sz w:val="17"/>
          <w:szCs w:val="20"/>
          <w:lang w:eastAsia="en-AU"/>
        </w:rPr>
      </w:pPr>
    </w:p>
    <w:p w:rsidR="00B968B2" w:rsidRDefault="00B968B2" w:rsidP="00C550D2">
      <w:pPr>
        <w:autoSpaceDE w:val="0"/>
        <w:autoSpaceDN w:val="0"/>
        <w:spacing w:after="240"/>
        <w:rPr>
          <w:rFonts w:ascii="Cambria" w:eastAsia="Cambria" w:hAnsi="Cambria" w:cs="Times New Roman"/>
          <w:sz w:val="17"/>
          <w:szCs w:val="20"/>
          <w:lang w:eastAsia="en-AU"/>
        </w:rPr>
      </w:pPr>
    </w:p>
    <w:p w:rsidR="00B968B2" w:rsidRDefault="00B968B2" w:rsidP="00C550D2">
      <w:pPr>
        <w:autoSpaceDE w:val="0"/>
        <w:autoSpaceDN w:val="0"/>
        <w:spacing w:after="240"/>
        <w:rPr>
          <w:rFonts w:ascii="Cambria" w:eastAsia="Cambria" w:hAnsi="Cambria" w:cs="Times New Roman"/>
          <w:sz w:val="17"/>
          <w:szCs w:val="20"/>
          <w:lang w:eastAsia="en-AU"/>
        </w:rPr>
      </w:pPr>
    </w:p>
    <w:p w:rsidR="00C550D2" w:rsidRPr="00C550D2" w:rsidRDefault="00C550D2" w:rsidP="00C550D2">
      <w:pPr>
        <w:autoSpaceDE w:val="0"/>
        <w:autoSpaceDN w:val="0"/>
        <w:spacing w:after="240"/>
        <w:rPr>
          <w:rFonts w:ascii="Cambria" w:eastAsia="Cambria" w:hAnsi="Cambria" w:cs="Times New Roman"/>
          <w:sz w:val="17"/>
          <w:szCs w:val="20"/>
          <w:lang w:eastAsia="en-AU"/>
        </w:rPr>
      </w:pPr>
      <w:r w:rsidRPr="00C550D2">
        <w:rPr>
          <w:rFonts w:ascii="Cambria" w:eastAsia="Cambria" w:hAnsi="Cambria" w:cs="Times New Roman"/>
          <w:sz w:val="17"/>
          <w:szCs w:val="20"/>
          <w:lang w:eastAsia="en-AU"/>
        </w:rPr>
        <w:t>© Commonwealth of Australia 2015</w:t>
      </w:r>
    </w:p>
    <w:p w:rsidR="00C550D2" w:rsidRPr="00C550D2" w:rsidRDefault="00C550D2" w:rsidP="00C550D2">
      <w:pPr>
        <w:rPr>
          <w:rFonts w:ascii="Cambria" w:eastAsia="Cambria" w:hAnsi="Cambria" w:cs="Times New Roman"/>
          <w:sz w:val="17"/>
          <w:szCs w:val="20"/>
          <w:lang w:eastAsia="en-AU"/>
        </w:rPr>
      </w:pPr>
      <w:r w:rsidRPr="00C550D2">
        <w:rPr>
          <w:rFonts w:ascii="Cambria" w:eastAsia="Cambria" w:hAnsi="Cambria" w:cs="Times New Roman"/>
          <w:sz w:val="17"/>
          <w:szCs w:val="20"/>
          <w:lang w:eastAsia="en-AU"/>
        </w:rPr>
        <w:t xml:space="preserve">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Copyright Act 1968 or allowed by this copyright notice, all other rights are reserved and you are not allowed to reproduce the whole or any part of this work in any way (electronic or otherwise) without first being given the specific written permission from the Commonwealth to do so. Requests and inquiries concerning reproduction and rights are to be sent to the Communication Branch, Department of Health, GPO Box 9848, Canberra ACT 2601, or via e-mail to </w:t>
      </w:r>
      <w:hyperlink r:id="rId10" w:history="1">
        <w:r w:rsidRPr="00C550D2">
          <w:rPr>
            <w:rFonts w:ascii="Cambria" w:eastAsia="Cambria" w:hAnsi="Cambria" w:cs="Times New Roman"/>
            <w:sz w:val="17"/>
          </w:rPr>
          <w:t>copyright@health.gov.au</w:t>
        </w:r>
      </w:hyperlink>
      <w:r w:rsidRPr="00C550D2">
        <w:rPr>
          <w:rFonts w:ascii="Cambria" w:eastAsia="Cambria" w:hAnsi="Cambria" w:cs="Times New Roman"/>
          <w:sz w:val="17"/>
          <w:szCs w:val="20"/>
          <w:lang w:eastAsia="en-AU"/>
        </w:rPr>
        <w:t>.</w:t>
      </w:r>
    </w:p>
    <w:p w:rsidR="00C550D2" w:rsidRDefault="00C550D2" w:rsidP="00466E9A">
      <w:pPr>
        <w:pStyle w:val="LegalSubheading"/>
      </w:pPr>
    </w:p>
    <w:p w:rsidR="00C550D2" w:rsidRDefault="00C550D2" w:rsidP="00466E9A">
      <w:pPr>
        <w:pStyle w:val="LegalSubheading"/>
      </w:pPr>
    </w:p>
    <w:p w:rsidR="00C550D2" w:rsidRDefault="00C550D2" w:rsidP="00466E9A">
      <w:pPr>
        <w:pStyle w:val="LegalSubheading"/>
      </w:pPr>
    </w:p>
    <w:p w:rsidR="00466E9A" w:rsidRPr="00170CED" w:rsidRDefault="00466E9A" w:rsidP="00466E9A">
      <w:pPr>
        <w:pStyle w:val="LegalSubheading"/>
      </w:pPr>
      <w:r w:rsidRPr="00170CED">
        <w:t>Confidentiality</w:t>
      </w:r>
    </w:p>
    <w:p w:rsidR="00466E9A" w:rsidRDefault="00466E9A" w:rsidP="00466E9A">
      <w:pPr>
        <w:pStyle w:val="LegalCopy"/>
        <w:rPr>
          <w:lang w:eastAsia="en-AU"/>
        </w:rPr>
      </w:pPr>
      <w:r>
        <w:rPr>
          <w:lang w:eastAsia="en-AU"/>
        </w:rPr>
        <w:t xml:space="preserve">All submissions received will be placed on </w:t>
      </w:r>
      <w:r w:rsidR="00881CB4">
        <w:rPr>
          <w:lang w:eastAsia="en-AU"/>
        </w:rPr>
        <w:t xml:space="preserve">the </w:t>
      </w:r>
      <w:proofErr w:type="gramStart"/>
      <w:r w:rsidR="00881CB4">
        <w:rPr>
          <w:lang w:eastAsia="en-AU"/>
        </w:rPr>
        <w:t>PBS</w:t>
      </w:r>
      <w:r>
        <w:rPr>
          <w:lang w:eastAsia="en-AU"/>
        </w:rPr>
        <w:t xml:space="preserve"> </w:t>
      </w:r>
      <w:r w:rsidR="00881CB4">
        <w:rPr>
          <w:lang w:eastAsia="en-AU"/>
        </w:rPr>
        <w:t xml:space="preserve"> </w:t>
      </w:r>
      <w:r>
        <w:rPr>
          <w:lang w:eastAsia="en-AU"/>
        </w:rPr>
        <w:t>website</w:t>
      </w:r>
      <w:proofErr w:type="gramEnd"/>
      <w:r>
        <w:rPr>
          <w:lang w:eastAsia="en-AU"/>
        </w:rPr>
        <w:t>, unless marked confidential. Any confidential material contained within your submission should be provided under a separate cover and clearly marked “IN CONFIDENCE”. Reasons for a claim to confidentiality must be included in the space provided on the PBS submission coversheet. For submission made by individuals, all personal details, other than your name, will be removed from your submission before it is published on the PBS website. In addition, a list of parties making submissions will be published. If you do not wish to be identified with your submission you must specifically request this in the space provided on the submission coversheet.</w:t>
      </w:r>
    </w:p>
    <w:p w:rsidR="00C550D2" w:rsidRDefault="00C550D2" w:rsidP="00466E9A">
      <w:pPr>
        <w:pStyle w:val="LegalCopy"/>
        <w:rPr>
          <w:lang w:eastAsia="en-AU"/>
        </w:rPr>
      </w:pPr>
    </w:p>
    <w:p w:rsidR="00C550D2" w:rsidRDefault="00C550D2" w:rsidP="00466E9A">
      <w:pPr>
        <w:pStyle w:val="LegalCopy"/>
        <w:rPr>
          <w:lang w:eastAsia="en-AU"/>
        </w:rPr>
      </w:pPr>
    </w:p>
    <w:p w:rsidR="00B968B2" w:rsidRDefault="00B968B2" w:rsidP="00466E9A">
      <w:pPr>
        <w:pStyle w:val="LegalCopy"/>
        <w:rPr>
          <w:lang w:eastAsia="en-AU"/>
        </w:rPr>
      </w:pPr>
    </w:p>
    <w:p w:rsidR="00C550D2" w:rsidRDefault="00C550D2" w:rsidP="00466E9A">
      <w:pPr>
        <w:pStyle w:val="LegalCopy"/>
        <w:rPr>
          <w:lang w:eastAsia="en-AU"/>
        </w:rPr>
      </w:pPr>
    </w:p>
    <w:sdt>
      <w:sdtPr>
        <w:rPr>
          <w:rFonts w:ascii="Times New Roman" w:eastAsiaTheme="minorHAnsi" w:hAnsi="Times New Roman" w:cstheme="minorBidi"/>
          <w:b w:val="0"/>
          <w:bCs w:val="0"/>
          <w:color w:val="auto"/>
          <w:sz w:val="24"/>
          <w:szCs w:val="22"/>
          <w:lang w:val="en-AU" w:eastAsia="en-US"/>
        </w:rPr>
        <w:id w:val="-1541359975"/>
        <w:docPartObj>
          <w:docPartGallery w:val="Table of Contents"/>
          <w:docPartUnique/>
        </w:docPartObj>
      </w:sdtPr>
      <w:sdtEndPr>
        <w:rPr>
          <w:noProof/>
        </w:rPr>
      </w:sdtEndPr>
      <w:sdtContent>
        <w:p w:rsidR="00A07614" w:rsidRDefault="00A07614" w:rsidP="00A07614">
          <w:pPr>
            <w:pStyle w:val="TOCHeading"/>
          </w:pPr>
          <w:r>
            <w:t>Table of Contents</w:t>
          </w:r>
        </w:p>
        <w:p w:rsidR="00A07614" w:rsidRPr="00C716F2" w:rsidRDefault="00A07614" w:rsidP="00A07614">
          <w:pPr>
            <w:pStyle w:val="TOC2"/>
            <w:rPr>
              <w:rFonts w:eastAsiaTheme="minorEastAsia"/>
              <w:noProof/>
              <w:sz w:val="20"/>
              <w:szCs w:val="20"/>
              <w:lang w:eastAsia="en-AU"/>
            </w:rPr>
          </w:pPr>
          <w:r w:rsidRPr="004E7CB0">
            <w:rPr>
              <w:rFonts w:asciiTheme="minorHAnsi" w:hAnsiTheme="minorHAnsi"/>
              <w:sz w:val="24"/>
              <w:szCs w:val="24"/>
            </w:rPr>
            <w:fldChar w:fldCharType="begin"/>
          </w:r>
          <w:r w:rsidRPr="004E7CB0">
            <w:rPr>
              <w:rFonts w:asciiTheme="minorHAnsi" w:hAnsiTheme="minorHAnsi"/>
              <w:sz w:val="24"/>
              <w:szCs w:val="24"/>
            </w:rPr>
            <w:instrText xml:space="preserve"> TOC \o "1-3" \h \z \u </w:instrText>
          </w:r>
          <w:r w:rsidRPr="004E7CB0">
            <w:rPr>
              <w:rFonts w:asciiTheme="minorHAnsi" w:hAnsiTheme="minorHAnsi"/>
              <w:sz w:val="24"/>
              <w:szCs w:val="24"/>
            </w:rPr>
            <w:fldChar w:fldCharType="separate"/>
          </w:r>
          <w:hyperlink w:anchor="_Toc412728842" w:history="1">
            <w:r w:rsidRPr="00C716F2">
              <w:rPr>
                <w:rStyle w:val="Hyperlink"/>
                <w:noProof/>
                <w:sz w:val="20"/>
                <w:szCs w:val="20"/>
              </w:rPr>
              <w:t>Introduction .</w:t>
            </w:r>
            <w:r w:rsidRPr="00C716F2">
              <w:rPr>
                <w:noProof/>
                <w:webHidden/>
                <w:sz w:val="20"/>
                <w:szCs w:val="20"/>
              </w:rPr>
              <w:tab/>
            </w:r>
          </w:hyperlink>
          <w:r w:rsidRPr="00C716F2">
            <w:rPr>
              <w:noProof/>
              <w:sz w:val="20"/>
              <w:szCs w:val="20"/>
            </w:rPr>
            <w:t>……</w:t>
          </w:r>
          <w:r w:rsidRPr="00C716F2">
            <w:rPr>
              <w:rStyle w:val="Hyperlink"/>
              <w:noProof/>
              <w:color w:val="auto"/>
              <w:sz w:val="20"/>
              <w:szCs w:val="20"/>
              <w:u w:val="none"/>
            </w:rPr>
            <w:t>5</w:t>
          </w:r>
        </w:p>
        <w:p w:rsidR="00A07614" w:rsidRPr="00C716F2" w:rsidRDefault="007C57EA" w:rsidP="00A07614">
          <w:pPr>
            <w:pStyle w:val="TOC2"/>
            <w:rPr>
              <w:rFonts w:eastAsiaTheme="minorEastAsia"/>
              <w:noProof/>
              <w:sz w:val="20"/>
              <w:szCs w:val="20"/>
              <w:lang w:eastAsia="en-AU"/>
            </w:rPr>
          </w:pPr>
          <w:hyperlink w:anchor="_Toc412728843" w:history="1">
            <w:r w:rsidR="00A07614" w:rsidRPr="00C716F2">
              <w:rPr>
                <w:rStyle w:val="Hyperlink"/>
                <w:noProof/>
                <w:sz w:val="20"/>
                <w:szCs w:val="20"/>
              </w:rPr>
              <w:t>Background to the Post Market Review.</w:t>
            </w:r>
            <w:r w:rsidR="00A07614" w:rsidRPr="00C716F2">
              <w:rPr>
                <w:noProof/>
                <w:webHidden/>
                <w:sz w:val="20"/>
                <w:szCs w:val="20"/>
              </w:rPr>
              <w:tab/>
            </w:r>
          </w:hyperlink>
          <w:r w:rsidR="00A07614" w:rsidRPr="00C716F2">
            <w:rPr>
              <w:rStyle w:val="Hyperlink"/>
              <w:noProof/>
              <w:color w:val="auto"/>
              <w:sz w:val="20"/>
              <w:szCs w:val="20"/>
              <w:u w:val="none"/>
            </w:rPr>
            <w:t>6</w:t>
          </w:r>
        </w:p>
        <w:p w:rsidR="00A07614" w:rsidRPr="00C716F2" w:rsidRDefault="007C57EA" w:rsidP="00A07614">
          <w:pPr>
            <w:pStyle w:val="TOC2"/>
            <w:rPr>
              <w:rFonts w:eastAsiaTheme="minorEastAsia"/>
              <w:noProof/>
              <w:sz w:val="20"/>
              <w:szCs w:val="20"/>
              <w:lang w:eastAsia="en-AU"/>
            </w:rPr>
          </w:pPr>
          <w:hyperlink w:anchor="_Toc412728844" w:history="1">
            <w:r w:rsidR="00A07614" w:rsidRPr="00C716F2">
              <w:rPr>
                <w:rStyle w:val="Hyperlink"/>
                <w:noProof/>
                <w:sz w:val="20"/>
                <w:szCs w:val="20"/>
              </w:rPr>
              <w:t>Overview of the LSDP</w:t>
            </w:r>
            <w:r w:rsidR="00A07614" w:rsidRPr="00C716F2">
              <w:rPr>
                <w:noProof/>
                <w:webHidden/>
                <w:sz w:val="20"/>
                <w:szCs w:val="20"/>
              </w:rPr>
              <w:tab/>
              <w:t>7</w:t>
            </w:r>
          </w:hyperlink>
        </w:p>
        <w:p w:rsidR="00A07614" w:rsidRPr="00C716F2" w:rsidRDefault="007C57EA" w:rsidP="00A07614">
          <w:pPr>
            <w:pStyle w:val="TOC2"/>
            <w:rPr>
              <w:rFonts w:eastAsiaTheme="minorEastAsia"/>
              <w:noProof/>
              <w:sz w:val="20"/>
              <w:szCs w:val="20"/>
              <w:lang w:eastAsia="en-AU"/>
            </w:rPr>
          </w:pPr>
          <w:hyperlink w:anchor="_Toc412728845" w:history="1">
            <w:r w:rsidR="00A07614" w:rsidRPr="00C716F2">
              <w:rPr>
                <w:rStyle w:val="Hyperlink"/>
                <w:noProof/>
                <w:sz w:val="20"/>
                <w:szCs w:val="20"/>
              </w:rPr>
              <w:t>Process to list LSDP drugs</w:t>
            </w:r>
            <w:r w:rsidR="00A07614" w:rsidRPr="00C716F2">
              <w:rPr>
                <w:noProof/>
                <w:webHidden/>
                <w:sz w:val="20"/>
                <w:szCs w:val="20"/>
              </w:rPr>
              <w:tab/>
              <w:t>7</w:t>
            </w:r>
          </w:hyperlink>
        </w:p>
        <w:p w:rsidR="00A07614" w:rsidRPr="00C716F2" w:rsidRDefault="007C57EA" w:rsidP="00A07614">
          <w:pPr>
            <w:pStyle w:val="TOC2"/>
            <w:rPr>
              <w:rFonts w:eastAsiaTheme="minorEastAsia"/>
              <w:noProof/>
              <w:sz w:val="20"/>
              <w:szCs w:val="20"/>
              <w:lang w:eastAsia="en-AU"/>
            </w:rPr>
          </w:pPr>
          <w:hyperlink w:anchor="_Toc412728846" w:history="1">
            <w:r w:rsidR="00A07614" w:rsidRPr="00C716F2">
              <w:rPr>
                <w:rStyle w:val="Hyperlink"/>
                <w:noProof/>
                <w:sz w:val="20"/>
                <w:szCs w:val="20"/>
              </w:rPr>
              <w:t>2014 Administrative changes.</w:t>
            </w:r>
            <w:r w:rsidR="00A07614" w:rsidRPr="00C716F2">
              <w:rPr>
                <w:noProof/>
                <w:webHidden/>
                <w:sz w:val="20"/>
                <w:szCs w:val="20"/>
              </w:rPr>
              <w:tab/>
              <w:t>8</w:t>
            </w:r>
          </w:hyperlink>
        </w:p>
        <w:p w:rsidR="00A07614" w:rsidRPr="00C716F2" w:rsidRDefault="007C57EA" w:rsidP="00A07614">
          <w:pPr>
            <w:pStyle w:val="TOC2"/>
            <w:rPr>
              <w:rFonts w:eastAsiaTheme="minorEastAsia"/>
              <w:noProof/>
              <w:sz w:val="20"/>
              <w:szCs w:val="20"/>
              <w:lang w:eastAsia="en-AU"/>
            </w:rPr>
          </w:pPr>
          <w:hyperlink w:anchor="_Toc412728847" w:history="1">
            <w:r w:rsidR="00A07614" w:rsidRPr="00C716F2">
              <w:rPr>
                <w:rStyle w:val="Hyperlink"/>
                <w:noProof/>
                <w:sz w:val="20"/>
                <w:szCs w:val="20"/>
              </w:rPr>
              <w:t>Process to supply LSDP drugs.</w:t>
            </w:r>
            <w:r w:rsidR="00A07614" w:rsidRPr="00C716F2">
              <w:rPr>
                <w:noProof/>
                <w:webHidden/>
                <w:sz w:val="20"/>
                <w:szCs w:val="20"/>
              </w:rPr>
              <w:tab/>
            </w:r>
          </w:hyperlink>
          <w:r w:rsidR="00A07614" w:rsidRPr="00C716F2">
            <w:rPr>
              <w:rStyle w:val="Hyperlink"/>
              <w:noProof/>
              <w:color w:val="auto"/>
              <w:sz w:val="20"/>
              <w:szCs w:val="20"/>
              <w:u w:val="none"/>
            </w:rPr>
            <w:t>9</w:t>
          </w:r>
        </w:p>
        <w:p w:rsidR="00A07614" w:rsidRPr="00C716F2" w:rsidRDefault="00A07614" w:rsidP="009248AE">
          <w:pPr>
            <w:pStyle w:val="TOC2"/>
            <w:rPr>
              <w:sz w:val="20"/>
              <w:szCs w:val="20"/>
            </w:rPr>
          </w:pPr>
          <w:r w:rsidRPr="00C716F2">
            <w:rPr>
              <w:noProof/>
              <w:sz w:val="20"/>
              <w:szCs w:val="20"/>
            </w:rPr>
            <w:t>Orphan Drugs and Rare Disease…………………………………………………</w:t>
          </w:r>
          <w:r w:rsidR="004A29E2" w:rsidRPr="00C716F2">
            <w:rPr>
              <w:noProof/>
              <w:sz w:val="20"/>
              <w:szCs w:val="20"/>
            </w:rPr>
            <w:t>…</w:t>
          </w:r>
          <w:bookmarkStart w:id="0" w:name="_GoBack"/>
          <w:bookmarkEnd w:id="0"/>
          <w:r w:rsidR="004A29E2" w:rsidRPr="00C716F2">
            <w:rPr>
              <w:noProof/>
              <w:sz w:val="20"/>
              <w:szCs w:val="20"/>
            </w:rPr>
            <w:t>………………</w:t>
          </w:r>
          <w:r w:rsidR="00C716F2">
            <w:rPr>
              <w:noProof/>
              <w:sz w:val="20"/>
              <w:szCs w:val="20"/>
            </w:rPr>
            <w:t>……</w:t>
          </w:r>
          <w:r w:rsidR="009248AE">
            <w:rPr>
              <w:sz w:val="20"/>
              <w:szCs w:val="20"/>
            </w:rPr>
            <w:t xml:space="preserve">10 </w:t>
          </w:r>
        </w:p>
        <w:p w:rsidR="00A07614" w:rsidRPr="00C716F2" w:rsidRDefault="007C57EA" w:rsidP="00A07614">
          <w:pPr>
            <w:pStyle w:val="TOC2"/>
            <w:rPr>
              <w:rFonts w:eastAsiaTheme="minorEastAsia"/>
              <w:noProof/>
              <w:sz w:val="20"/>
              <w:szCs w:val="20"/>
              <w:lang w:eastAsia="en-AU"/>
            </w:rPr>
          </w:pPr>
          <w:hyperlink w:anchor="_Toc412728848" w:history="1">
            <w:r w:rsidR="00B3754A" w:rsidRPr="00C716F2">
              <w:rPr>
                <w:rStyle w:val="Hyperlink"/>
                <w:noProof/>
                <w:sz w:val="20"/>
                <w:szCs w:val="20"/>
              </w:rPr>
              <w:t>Reference Group Interim Report</w:t>
            </w:r>
            <w:r w:rsidR="00B3754A" w:rsidRPr="00C716F2">
              <w:rPr>
                <w:noProof/>
                <w:webHidden/>
                <w:sz w:val="20"/>
                <w:szCs w:val="20"/>
              </w:rPr>
              <w:tab/>
            </w:r>
            <w:r w:rsidR="00B3754A">
              <w:rPr>
                <w:noProof/>
                <w:webHidden/>
                <w:sz w:val="20"/>
                <w:szCs w:val="20"/>
              </w:rPr>
              <w:t>12</w:t>
            </w:r>
          </w:hyperlink>
        </w:p>
        <w:p w:rsidR="00A07614" w:rsidRPr="00C716F2" w:rsidRDefault="009248AE" w:rsidP="00A07614">
          <w:pPr>
            <w:pStyle w:val="TOC2"/>
            <w:rPr>
              <w:rFonts w:eastAsiaTheme="minorEastAsia"/>
              <w:noProof/>
              <w:sz w:val="20"/>
              <w:szCs w:val="20"/>
              <w:lang w:eastAsia="en-AU"/>
            </w:rPr>
          </w:pPr>
          <w:hyperlink w:anchor="_Toc412728849" w:history="1">
            <w:r w:rsidRPr="00C716F2">
              <w:rPr>
                <w:rStyle w:val="Hyperlink"/>
                <w:noProof/>
                <w:sz w:val="20"/>
                <w:szCs w:val="20"/>
              </w:rPr>
              <w:t>ToR 1</w:t>
            </w:r>
            <w:r w:rsidRPr="00C716F2">
              <w:rPr>
                <w:rStyle w:val="Hyperlink"/>
                <w:noProof/>
                <w:color w:val="auto"/>
                <w:sz w:val="20"/>
                <w:szCs w:val="20"/>
                <w:u w:val="none"/>
              </w:rPr>
              <w:t xml:space="preserve">– </w:t>
            </w:r>
            <w:r w:rsidRPr="00C716F2">
              <w:rPr>
                <w:rStyle w:val="Hyperlink"/>
                <w:noProof/>
                <w:sz w:val="20"/>
                <w:szCs w:val="20"/>
              </w:rPr>
              <w:t>Review the clinical effectivenss and safety of medicines curerntly subsidised through the LSDP</w:t>
            </w:r>
            <w:r w:rsidRPr="00C716F2">
              <w:rPr>
                <w:noProof/>
                <w:webHidden/>
                <w:sz w:val="20"/>
                <w:szCs w:val="20"/>
              </w:rPr>
              <w:tab/>
            </w:r>
            <w:r>
              <w:rPr>
                <w:noProof/>
                <w:webHidden/>
                <w:sz w:val="20"/>
                <w:szCs w:val="20"/>
              </w:rPr>
              <w:t>12</w:t>
            </w:r>
          </w:hyperlink>
        </w:p>
        <w:p w:rsidR="00A07614" w:rsidRPr="00C716F2" w:rsidRDefault="007C57EA" w:rsidP="00A07614">
          <w:pPr>
            <w:pStyle w:val="TOC2"/>
            <w:rPr>
              <w:rFonts w:eastAsiaTheme="minorEastAsia"/>
              <w:noProof/>
              <w:sz w:val="20"/>
              <w:szCs w:val="20"/>
              <w:lang w:eastAsia="en-AU"/>
            </w:rPr>
          </w:pPr>
          <w:hyperlink w:anchor="_Toc412728850" w:history="1">
            <w:r w:rsidR="00B3754A" w:rsidRPr="00C716F2">
              <w:rPr>
                <w:rStyle w:val="Hyperlink"/>
                <w:noProof/>
                <w:sz w:val="20"/>
                <w:szCs w:val="20"/>
              </w:rPr>
              <w:t>Issue 1</w:t>
            </w:r>
            <w:r w:rsidR="00B3754A" w:rsidRPr="00C716F2">
              <w:rPr>
                <w:noProof/>
                <w:webHidden/>
                <w:sz w:val="20"/>
                <w:szCs w:val="20"/>
              </w:rPr>
              <w:tab/>
            </w:r>
            <w:r w:rsidR="00B3754A">
              <w:rPr>
                <w:noProof/>
                <w:webHidden/>
                <w:sz w:val="20"/>
                <w:szCs w:val="20"/>
              </w:rPr>
              <w:t>15</w:t>
            </w:r>
          </w:hyperlink>
        </w:p>
        <w:p w:rsidR="00A07614" w:rsidRPr="00C716F2" w:rsidRDefault="007C57EA" w:rsidP="00A07614">
          <w:pPr>
            <w:pStyle w:val="TOC2"/>
            <w:rPr>
              <w:rStyle w:val="Hyperlink"/>
              <w:noProof/>
              <w:sz w:val="20"/>
              <w:szCs w:val="20"/>
            </w:rPr>
          </w:pPr>
          <w:hyperlink w:anchor="_Toc412728851" w:history="1">
            <w:r w:rsidR="00B3754A" w:rsidRPr="00C716F2">
              <w:rPr>
                <w:rStyle w:val="Hyperlink"/>
                <w:noProof/>
                <w:sz w:val="20"/>
                <w:szCs w:val="20"/>
              </w:rPr>
              <w:t>Issue 2.</w:t>
            </w:r>
            <w:r w:rsidR="00B3754A" w:rsidRPr="00C716F2">
              <w:rPr>
                <w:rStyle w:val="Hyperlink"/>
                <w:noProof/>
                <w:webHidden/>
                <w:sz w:val="20"/>
                <w:szCs w:val="20"/>
              </w:rPr>
              <w:tab/>
            </w:r>
            <w:r w:rsidR="00B3754A">
              <w:rPr>
                <w:rStyle w:val="Hyperlink"/>
                <w:noProof/>
                <w:webHidden/>
                <w:sz w:val="20"/>
                <w:szCs w:val="20"/>
              </w:rPr>
              <w:t>15</w:t>
            </w:r>
          </w:hyperlink>
        </w:p>
        <w:p w:rsidR="00A07614" w:rsidRPr="00C716F2" w:rsidRDefault="007C57EA" w:rsidP="00A07614">
          <w:pPr>
            <w:pStyle w:val="TOC2"/>
            <w:rPr>
              <w:sz w:val="20"/>
              <w:szCs w:val="20"/>
            </w:rPr>
          </w:pPr>
          <w:hyperlink w:anchor="_Toc412728852" w:history="1">
            <w:r w:rsidR="00A07614" w:rsidRPr="00C716F2">
              <w:rPr>
                <w:rStyle w:val="Hyperlink"/>
                <w:noProof/>
                <w:sz w:val="20"/>
                <w:szCs w:val="20"/>
              </w:rPr>
              <w:t>Issue 3</w:t>
            </w:r>
            <w:r w:rsidR="00A07614" w:rsidRPr="00C716F2">
              <w:rPr>
                <w:rStyle w:val="Hyperlink"/>
                <w:noProof/>
                <w:webHidden/>
                <w:sz w:val="20"/>
                <w:szCs w:val="20"/>
              </w:rPr>
              <w:tab/>
            </w:r>
          </w:hyperlink>
          <w:r w:rsidR="00B3754A">
            <w:rPr>
              <w:rStyle w:val="Hyperlink"/>
              <w:noProof/>
              <w:color w:val="auto"/>
              <w:sz w:val="20"/>
              <w:szCs w:val="20"/>
              <w:u w:val="none"/>
            </w:rPr>
            <w:t>16</w:t>
          </w:r>
        </w:p>
        <w:p w:rsidR="00A07614" w:rsidRPr="00C716F2" w:rsidRDefault="00A07614" w:rsidP="00A07614">
          <w:pPr>
            <w:pStyle w:val="TOC2"/>
            <w:rPr>
              <w:rStyle w:val="Hyperlink"/>
              <w:noProof/>
              <w:color w:val="auto"/>
              <w:sz w:val="20"/>
              <w:szCs w:val="20"/>
              <w:u w:val="none"/>
            </w:rPr>
          </w:pPr>
          <w:r w:rsidRPr="00C716F2">
            <w:rPr>
              <w:rStyle w:val="Hyperlink"/>
              <w:noProof/>
              <w:color w:val="auto"/>
              <w:sz w:val="20"/>
              <w:szCs w:val="20"/>
              <w:u w:val="none"/>
            </w:rPr>
            <w:t>ToR 2 – Review emerging clinical treatments and diseases including those that identify sub-groups by molecular target, which could potentially seek subsidisation through the LSDP in the future ………………………………………………………………………………</w:t>
          </w:r>
          <w:r w:rsidR="004E7CB0" w:rsidRPr="00C716F2">
            <w:rPr>
              <w:rStyle w:val="Hyperlink"/>
              <w:noProof/>
              <w:color w:val="auto"/>
              <w:sz w:val="20"/>
              <w:szCs w:val="20"/>
              <w:u w:val="none"/>
            </w:rPr>
            <w:t>………………….</w:t>
          </w:r>
          <w:r w:rsidRPr="00C716F2">
            <w:rPr>
              <w:rStyle w:val="Hyperlink"/>
              <w:noProof/>
              <w:color w:val="auto"/>
              <w:sz w:val="20"/>
              <w:szCs w:val="20"/>
              <w:u w:val="none"/>
            </w:rPr>
            <w:t>.</w:t>
          </w:r>
          <w:r w:rsidR="00FC3D4D" w:rsidRPr="00C716F2">
            <w:rPr>
              <w:rStyle w:val="Hyperlink"/>
              <w:noProof/>
              <w:color w:val="auto"/>
              <w:sz w:val="20"/>
              <w:szCs w:val="20"/>
              <w:u w:val="none"/>
            </w:rPr>
            <w:t>.</w:t>
          </w:r>
          <w:r w:rsidR="00EA6D80">
            <w:rPr>
              <w:rStyle w:val="Hyperlink"/>
              <w:noProof/>
              <w:color w:val="auto"/>
              <w:sz w:val="20"/>
              <w:szCs w:val="20"/>
              <w:u w:val="none"/>
            </w:rPr>
            <w:t>.................</w:t>
          </w:r>
          <w:r w:rsidR="00B3754A">
            <w:rPr>
              <w:rStyle w:val="Hyperlink"/>
              <w:noProof/>
              <w:color w:val="auto"/>
              <w:sz w:val="20"/>
              <w:szCs w:val="20"/>
              <w:u w:val="none"/>
            </w:rPr>
            <w:t>16</w:t>
          </w:r>
          <w:r w:rsidR="00B3754A" w:rsidRPr="00C716F2">
            <w:rPr>
              <w:rStyle w:val="Hyperlink"/>
              <w:noProof/>
              <w:color w:val="auto"/>
              <w:sz w:val="20"/>
              <w:szCs w:val="20"/>
              <w:u w:val="none"/>
            </w:rPr>
            <w:t xml:space="preserve"> </w:t>
          </w:r>
        </w:p>
        <w:p w:rsidR="00A07614" w:rsidRPr="00C716F2" w:rsidRDefault="00A07614" w:rsidP="00A07614">
          <w:pPr>
            <w:pStyle w:val="TOC2"/>
            <w:rPr>
              <w:rStyle w:val="Hyperlink"/>
              <w:noProof/>
              <w:color w:val="auto"/>
              <w:sz w:val="20"/>
              <w:szCs w:val="20"/>
              <w:u w:val="none"/>
            </w:rPr>
          </w:pPr>
          <w:r w:rsidRPr="00C716F2">
            <w:rPr>
              <w:rStyle w:val="Hyperlink"/>
              <w:noProof/>
              <w:color w:val="auto"/>
              <w:sz w:val="20"/>
              <w:szCs w:val="20"/>
              <w:u w:val="none"/>
            </w:rPr>
            <w:t>Issue 4……………………………………………………………………………………………</w:t>
          </w:r>
          <w:r w:rsidR="004E7CB0" w:rsidRPr="00C716F2">
            <w:rPr>
              <w:rStyle w:val="Hyperlink"/>
              <w:noProof/>
              <w:color w:val="auto"/>
              <w:sz w:val="20"/>
              <w:szCs w:val="20"/>
              <w:u w:val="none"/>
            </w:rPr>
            <w:t>…</w:t>
          </w:r>
          <w:r w:rsidR="00EA6D80">
            <w:rPr>
              <w:rStyle w:val="Hyperlink"/>
              <w:noProof/>
              <w:color w:val="auto"/>
              <w:sz w:val="20"/>
              <w:szCs w:val="20"/>
              <w:u w:val="none"/>
            </w:rPr>
            <w:t>…</w:t>
          </w:r>
          <w:r w:rsidR="00C716F2">
            <w:rPr>
              <w:rStyle w:val="Hyperlink"/>
              <w:noProof/>
              <w:color w:val="auto"/>
              <w:sz w:val="20"/>
              <w:szCs w:val="20"/>
              <w:u w:val="none"/>
            </w:rPr>
            <w:t>……..19</w:t>
          </w:r>
        </w:p>
        <w:p w:rsidR="00A07614" w:rsidRPr="00C716F2" w:rsidRDefault="00A07614" w:rsidP="00A07614">
          <w:pPr>
            <w:pStyle w:val="TOC2"/>
            <w:rPr>
              <w:rFonts w:eastAsiaTheme="minorEastAsia"/>
              <w:noProof/>
              <w:sz w:val="20"/>
              <w:szCs w:val="20"/>
              <w:lang w:eastAsia="en-AU"/>
            </w:rPr>
          </w:pPr>
          <w:r w:rsidRPr="00C716F2">
            <w:rPr>
              <w:rStyle w:val="Hyperlink"/>
              <w:noProof/>
              <w:color w:val="auto"/>
              <w:sz w:val="20"/>
              <w:szCs w:val="20"/>
              <w:u w:val="none"/>
            </w:rPr>
            <w:t xml:space="preserve">ToR 3 – </w:t>
          </w:r>
          <w:r w:rsidR="00B3754A" w:rsidRPr="00B3754A">
            <w:rPr>
              <w:noProof/>
              <w:sz w:val="20"/>
              <w:szCs w:val="20"/>
            </w:rPr>
            <w:t>Conduct an international comparison of subsidisation of drugs for rare diseases and the definitions for a rare/ultra-rare disease</w:t>
          </w:r>
          <w:r w:rsidR="00B3754A" w:rsidRPr="00C716F2">
            <w:rPr>
              <w:noProof/>
              <w:webHidden/>
              <w:sz w:val="20"/>
              <w:szCs w:val="20"/>
            </w:rPr>
            <w:tab/>
          </w:r>
          <w:r w:rsidR="00B3754A">
            <w:rPr>
              <w:noProof/>
              <w:webHidden/>
              <w:sz w:val="20"/>
              <w:szCs w:val="20"/>
            </w:rPr>
            <w:t>19</w:t>
          </w:r>
        </w:p>
        <w:p w:rsidR="00A07614" w:rsidRPr="00C716F2" w:rsidRDefault="007C57EA" w:rsidP="00A07614">
          <w:pPr>
            <w:pStyle w:val="TOC2"/>
            <w:rPr>
              <w:rFonts w:eastAsiaTheme="minorEastAsia"/>
              <w:noProof/>
              <w:sz w:val="20"/>
              <w:szCs w:val="20"/>
              <w:lang w:eastAsia="en-AU"/>
            </w:rPr>
          </w:pPr>
          <w:hyperlink w:anchor="_Toc412728856" w:history="1">
            <w:r w:rsidR="00B3754A" w:rsidRPr="00C716F2">
              <w:rPr>
                <w:rStyle w:val="Hyperlink"/>
                <w:noProof/>
                <w:sz w:val="20"/>
                <w:szCs w:val="20"/>
              </w:rPr>
              <w:t>Issue 5</w:t>
            </w:r>
            <w:r w:rsidR="00B3754A" w:rsidRPr="00C716F2">
              <w:rPr>
                <w:noProof/>
                <w:webHidden/>
                <w:sz w:val="20"/>
                <w:szCs w:val="20"/>
              </w:rPr>
              <w:tab/>
            </w:r>
            <w:r w:rsidR="00B3754A">
              <w:rPr>
                <w:noProof/>
                <w:webHidden/>
                <w:sz w:val="20"/>
                <w:szCs w:val="20"/>
              </w:rPr>
              <w:t>21</w:t>
            </w:r>
          </w:hyperlink>
        </w:p>
        <w:p w:rsidR="00A07614" w:rsidRPr="00C716F2" w:rsidRDefault="00A07614" w:rsidP="00A07614">
          <w:pPr>
            <w:pStyle w:val="TOC2"/>
            <w:rPr>
              <w:rFonts w:eastAsiaTheme="minorEastAsia"/>
              <w:noProof/>
              <w:sz w:val="20"/>
              <w:szCs w:val="20"/>
              <w:lang w:eastAsia="en-AU"/>
            </w:rPr>
          </w:pPr>
          <w:r w:rsidRPr="00C716F2">
            <w:rPr>
              <w:noProof/>
              <w:sz w:val="20"/>
              <w:szCs w:val="20"/>
            </w:rPr>
            <w:t>ToR 4 – Compare the subsidisation and equity principles of the Pharmaceutical Benefits Scheme and the LSDP.</w:t>
          </w:r>
          <w:r w:rsidRPr="00C716F2">
            <w:rPr>
              <w:noProof/>
              <w:webHidden/>
              <w:sz w:val="20"/>
              <w:szCs w:val="20"/>
            </w:rPr>
            <w:tab/>
          </w:r>
          <w:r w:rsidR="00B3754A">
            <w:rPr>
              <w:noProof/>
              <w:webHidden/>
              <w:sz w:val="20"/>
              <w:szCs w:val="20"/>
            </w:rPr>
            <w:t>22</w:t>
          </w:r>
        </w:p>
        <w:p w:rsidR="00A07614" w:rsidRPr="00C716F2" w:rsidRDefault="007C57EA" w:rsidP="00A07614">
          <w:pPr>
            <w:pStyle w:val="TOC2"/>
            <w:rPr>
              <w:rFonts w:eastAsiaTheme="minorEastAsia"/>
              <w:noProof/>
              <w:sz w:val="20"/>
              <w:szCs w:val="20"/>
              <w:lang w:eastAsia="en-AU"/>
            </w:rPr>
          </w:pPr>
          <w:hyperlink w:anchor="_Toc412728858" w:history="1">
            <w:r w:rsidR="00B3754A" w:rsidRPr="00C716F2">
              <w:rPr>
                <w:rStyle w:val="Hyperlink"/>
                <w:noProof/>
                <w:sz w:val="20"/>
                <w:szCs w:val="20"/>
              </w:rPr>
              <w:t>Issue 6</w:t>
            </w:r>
            <w:r w:rsidR="00B3754A" w:rsidRPr="00C716F2">
              <w:rPr>
                <w:noProof/>
                <w:webHidden/>
                <w:sz w:val="20"/>
                <w:szCs w:val="20"/>
              </w:rPr>
              <w:tab/>
            </w:r>
            <w:r w:rsidR="00B3754A">
              <w:rPr>
                <w:noProof/>
                <w:webHidden/>
                <w:sz w:val="20"/>
                <w:szCs w:val="20"/>
              </w:rPr>
              <w:t>23</w:t>
            </w:r>
          </w:hyperlink>
        </w:p>
        <w:p w:rsidR="00A07614" w:rsidRPr="00C716F2" w:rsidRDefault="007C57EA" w:rsidP="00A07614">
          <w:pPr>
            <w:pStyle w:val="TOC2"/>
            <w:rPr>
              <w:rFonts w:eastAsiaTheme="minorEastAsia"/>
              <w:noProof/>
              <w:sz w:val="20"/>
              <w:szCs w:val="20"/>
              <w:lang w:eastAsia="en-AU"/>
            </w:rPr>
          </w:pPr>
          <w:hyperlink w:anchor="_Toc412728859" w:history="1">
            <w:r w:rsidR="00B3754A" w:rsidRPr="00C716F2">
              <w:rPr>
                <w:rStyle w:val="Hyperlink"/>
                <w:noProof/>
                <w:sz w:val="20"/>
                <w:szCs w:val="20"/>
              </w:rPr>
              <w:t>ToR 5 – Assess the value for money of the medicines subsidised on the LSDP by evaluating the benefit of each drug’s treatment outcomes, including in terms of quality of life achieved through the programme, and their cost</w:t>
            </w:r>
            <w:r w:rsidR="00B3754A" w:rsidRPr="00C716F2">
              <w:rPr>
                <w:noProof/>
                <w:webHidden/>
                <w:sz w:val="20"/>
                <w:szCs w:val="20"/>
              </w:rPr>
              <w:tab/>
            </w:r>
            <w:r w:rsidR="00B3754A">
              <w:rPr>
                <w:noProof/>
                <w:webHidden/>
                <w:sz w:val="20"/>
                <w:szCs w:val="20"/>
              </w:rPr>
              <w:t>24</w:t>
            </w:r>
          </w:hyperlink>
        </w:p>
        <w:p w:rsidR="00A07614" w:rsidRPr="00C716F2" w:rsidRDefault="007C57EA" w:rsidP="00A07614">
          <w:pPr>
            <w:pStyle w:val="TOC2"/>
            <w:rPr>
              <w:rFonts w:eastAsiaTheme="minorEastAsia"/>
              <w:noProof/>
              <w:sz w:val="20"/>
              <w:szCs w:val="20"/>
              <w:lang w:eastAsia="en-AU"/>
            </w:rPr>
          </w:pPr>
          <w:hyperlink w:anchor="_Toc412728860" w:history="1">
            <w:r w:rsidR="00B3754A" w:rsidRPr="00C716F2">
              <w:rPr>
                <w:rStyle w:val="Hyperlink"/>
                <w:noProof/>
                <w:sz w:val="20"/>
                <w:szCs w:val="20"/>
              </w:rPr>
              <w:t>Issue 7</w:t>
            </w:r>
            <w:r w:rsidR="00B3754A" w:rsidRPr="00C716F2">
              <w:rPr>
                <w:noProof/>
                <w:webHidden/>
                <w:sz w:val="20"/>
                <w:szCs w:val="20"/>
              </w:rPr>
              <w:tab/>
            </w:r>
            <w:r w:rsidR="00B3754A">
              <w:rPr>
                <w:noProof/>
                <w:webHidden/>
                <w:sz w:val="20"/>
                <w:szCs w:val="20"/>
              </w:rPr>
              <w:t>25</w:t>
            </w:r>
          </w:hyperlink>
        </w:p>
        <w:p w:rsidR="00A07614" w:rsidRPr="00C716F2" w:rsidRDefault="007C57EA" w:rsidP="00A07614">
          <w:pPr>
            <w:pStyle w:val="TOC2"/>
            <w:rPr>
              <w:rStyle w:val="Hyperlink"/>
              <w:noProof/>
              <w:sz w:val="20"/>
              <w:szCs w:val="20"/>
            </w:rPr>
          </w:pPr>
          <w:hyperlink w:anchor="_Toc412728861" w:history="1">
            <w:r w:rsidR="00B3754A" w:rsidRPr="00C716F2">
              <w:rPr>
                <w:rStyle w:val="Hyperlink"/>
                <w:noProof/>
                <w:sz w:val="20"/>
                <w:szCs w:val="20"/>
              </w:rPr>
              <w:t>ToR 6– Review the administration of the LSDP, including the Guidelines with which the programme is administered for each condition, and assess alternative systems</w:t>
            </w:r>
            <w:r w:rsidR="00B3754A" w:rsidRPr="00C716F2">
              <w:rPr>
                <w:noProof/>
                <w:webHidden/>
                <w:sz w:val="20"/>
                <w:szCs w:val="20"/>
              </w:rPr>
              <w:tab/>
            </w:r>
            <w:r w:rsidR="00B3754A">
              <w:rPr>
                <w:noProof/>
                <w:webHidden/>
                <w:sz w:val="20"/>
                <w:szCs w:val="20"/>
              </w:rPr>
              <w:t>25</w:t>
            </w:r>
          </w:hyperlink>
        </w:p>
        <w:p w:rsidR="00A07614" w:rsidRPr="00C716F2" w:rsidRDefault="007C57EA" w:rsidP="00A07614">
          <w:pPr>
            <w:pStyle w:val="TOC2"/>
            <w:rPr>
              <w:rFonts w:eastAsiaTheme="minorEastAsia"/>
              <w:noProof/>
              <w:sz w:val="20"/>
              <w:szCs w:val="20"/>
              <w:lang w:eastAsia="en-AU"/>
            </w:rPr>
          </w:pPr>
          <w:hyperlink w:anchor="_Toc412728860" w:history="1">
            <w:r w:rsidR="00B3754A" w:rsidRPr="00C716F2">
              <w:rPr>
                <w:rStyle w:val="Hyperlink"/>
                <w:noProof/>
                <w:sz w:val="20"/>
                <w:szCs w:val="20"/>
              </w:rPr>
              <w:t>Issue 8</w:t>
            </w:r>
            <w:r w:rsidR="00B3754A" w:rsidRPr="00C716F2">
              <w:rPr>
                <w:noProof/>
                <w:webHidden/>
                <w:sz w:val="20"/>
                <w:szCs w:val="20"/>
              </w:rPr>
              <w:tab/>
            </w:r>
            <w:r w:rsidR="00B3754A">
              <w:rPr>
                <w:noProof/>
                <w:webHidden/>
                <w:sz w:val="20"/>
                <w:szCs w:val="20"/>
              </w:rPr>
              <w:t>26</w:t>
            </w:r>
          </w:hyperlink>
        </w:p>
        <w:p w:rsidR="00A07614" w:rsidRPr="00C716F2" w:rsidRDefault="007C57EA" w:rsidP="00A07614">
          <w:pPr>
            <w:pStyle w:val="TOC2"/>
            <w:rPr>
              <w:rFonts w:eastAsiaTheme="minorEastAsia"/>
              <w:noProof/>
              <w:sz w:val="20"/>
              <w:szCs w:val="20"/>
              <w:lang w:eastAsia="en-AU"/>
            </w:rPr>
          </w:pPr>
          <w:hyperlink w:anchor="_Toc412728860" w:history="1">
            <w:r w:rsidR="00C716F2" w:rsidRPr="00C716F2">
              <w:rPr>
                <w:rStyle w:val="Hyperlink"/>
                <w:noProof/>
                <w:sz w:val="20"/>
                <w:szCs w:val="20"/>
              </w:rPr>
              <w:t>Issue 9</w:t>
            </w:r>
            <w:r w:rsidR="00C716F2" w:rsidRPr="00C716F2">
              <w:rPr>
                <w:noProof/>
                <w:webHidden/>
                <w:sz w:val="20"/>
                <w:szCs w:val="20"/>
              </w:rPr>
              <w:tab/>
            </w:r>
            <w:r w:rsidR="00C716F2">
              <w:rPr>
                <w:noProof/>
                <w:webHidden/>
                <w:sz w:val="20"/>
                <w:szCs w:val="20"/>
              </w:rPr>
              <w:t>27</w:t>
            </w:r>
          </w:hyperlink>
        </w:p>
        <w:p w:rsidR="00A07614" w:rsidRPr="00C716F2" w:rsidRDefault="00A07614" w:rsidP="00A07614">
          <w:pPr>
            <w:ind w:left="240"/>
            <w:rPr>
              <w:rStyle w:val="Hyperlink"/>
              <w:rFonts w:ascii="Arial" w:hAnsi="Arial" w:cs="Arial"/>
              <w:noProof/>
              <w:color w:val="auto"/>
              <w:sz w:val="20"/>
              <w:szCs w:val="20"/>
              <w:u w:val="none"/>
            </w:rPr>
          </w:pPr>
          <w:r w:rsidRPr="00C716F2">
            <w:rPr>
              <w:rStyle w:val="Hyperlink"/>
              <w:rFonts w:ascii="Arial" w:hAnsi="Arial" w:cs="Arial"/>
              <w:noProof/>
              <w:color w:val="auto"/>
              <w:sz w:val="20"/>
              <w:szCs w:val="20"/>
              <w:u w:val="none"/>
            </w:rPr>
            <w:t>ToR 7 – Establish a framework for data collection on rare diseases in Australia and assess how this could function internationally …………………………….. ………………</w:t>
          </w:r>
          <w:r w:rsidR="004E7CB0" w:rsidRPr="00C716F2">
            <w:rPr>
              <w:rStyle w:val="Hyperlink"/>
              <w:rFonts w:ascii="Arial" w:hAnsi="Arial" w:cs="Arial"/>
              <w:noProof/>
              <w:color w:val="auto"/>
              <w:sz w:val="20"/>
              <w:szCs w:val="20"/>
              <w:u w:val="none"/>
            </w:rPr>
            <w:t>…………….</w:t>
          </w:r>
          <w:r w:rsidRPr="00C716F2">
            <w:rPr>
              <w:rStyle w:val="Hyperlink"/>
              <w:rFonts w:ascii="Arial" w:hAnsi="Arial" w:cs="Arial"/>
              <w:noProof/>
              <w:color w:val="auto"/>
              <w:sz w:val="20"/>
              <w:szCs w:val="20"/>
              <w:u w:val="none"/>
            </w:rPr>
            <w:t>..</w:t>
          </w:r>
          <w:r w:rsidR="00C716F2">
            <w:rPr>
              <w:rStyle w:val="Hyperlink"/>
              <w:rFonts w:ascii="Arial" w:hAnsi="Arial" w:cs="Arial"/>
              <w:noProof/>
              <w:color w:val="auto"/>
              <w:sz w:val="20"/>
              <w:szCs w:val="20"/>
              <w:u w:val="none"/>
            </w:rPr>
            <w:t>...............</w:t>
          </w:r>
          <w:r w:rsidR="00B3754A">
            <w:rPr>
              <w:rStyle w:val="Hyperlink"/>
              <w:rFonts w:ascii="Arial" w:hAnsi="Arial" w:cs="Arial"/>
              <w:noProof/>
              <w:color w:val="auto"/>
              <w:sz w:val="20"/>
              <w:szCs w:val="20"/>
              <w:u w:val="none"/>
            </w:rPr>
            <w:t>27</w:t>
          </w:r>
        </w:p>
        <w:p w:rsidR="00A07614" w:rsidRPr="00C716F2" w:rsidRDefault="00A07614" w:rsidP="00A07614">
          <w:pPr>
            <w:ind w:left="240"/>
            <w:rPr>
              <w:rStyle w:val="Hyperlink"/>
              <w:rFonts w:ascii="Arial" w:hAnsi="Arial" w:cs="Arial"/>
              <w:noProof/>
              <w:color w:val="auto"/>
              <w:sz w:val="20"/>
              <w:szCs w:val="20"/>
              <w:u w:val="none"/>
            </w:rPr>
          </w:pPr>
          <w:r w:rsidRPr="00C716F2">
            <w:rPr>
              <w:rStyle w:val="Hyperlink"/>
              <w:rFonts w:ascii="Arial" w:hAnsi="Arial" w:cs="Arial"/>
              <w:noProof/>
              <w:color w:val="auto"/>
              <w:sz w:val="20"/>
              <w:szCs w:val="20"/>
              <w:u w:val="none"/>
            </w:rPr>
            <w:t>Issue 10……………………………………………………………………………………………</w:t>
          </w:r>
          <w:r w:rsidR="004E7CB0" w:rsidRPr="00C716F2">
            <w:rPr>
              <w:rStyle w:val="Hyperlink"/>
              <w:rFonts w:ascii="Arial" w:hAnsi="Arial" w:cs="Arial"/>
              <w:noProof/>
              <w:color w:val="auto"/>
              <w:sz w:val="20"/>
              <w:szCs w:val="20"/>
              <w:u w:val="none"/>
            </w:rPr>
            <w:t>…</w:t>
          </w:r>
          <w:r w:rsidR="00C716F2">
            <w:rPr>
              <w:rStyle w:val="Hyperlink"/>
              <w:rFonts w:ascii="Arial" w:hAnsi="Arial" w:cs="Arial"/>
              <w:noProof/>
              <w:color w:val="auto"/>
              <w:sz w:val="20"/>
              <w:szCs w:val="20"/>
              <w:u w:val="none"/>
            </w:rPr>
            <w:t>……</w:t>
          </w:r>
          <w:r w:rsidR="004E5727">
            <w:rPr>
              <w:rStyle w:val="Hyperlink"/>
              <w:rFonts w:ascii="Arial" w:hAnsi="Arial" w:cs="Arial"/>
              <w:noProof/>
              <w:color w:val="auto"/>
              <w:sz w:val="20"/>
              <w:szCs w:val="20"/>
              <w:u w:val="none"/>
            </w:rPr>
            <w:t>…</w:t>
          </w:r>
          <w:r w:rsidR="00C716F2">
            <w:rPr>
              <w:rStyle w:val="Hyperlink"/>
              <w:rFonts w:ascii="Arial" w:hAnsi="Arial" w:cs="Arial"/>
              <w:noProof/>
              <w:color w:val="auto"/>
              <w:sz w:val="20"/>
              <w:szCs w:val="20"/>
              <w:u w:val="none"/>
            </w:rPr>
            <w:t>28</w:t>
          </w:r>
        </w:p>
        <w:p w:rsidR="00A07614" w:rsidRPr="00C716F2" w:rsidRDefault="00A07614" w:rsidP="00A07614">
          <w:pPr>
            <w:ind w:left="240"/>
            <w:rPr>
              <w:rStyle w:val="Hyperlink"/>
              <w:rFonts w:ascii="Arial" w:hAnsi="Arial" w:cs="Arial"/>
              <w:noProof/>
              <w:color w:val="auto"/>
              <w:sz w:val="20"/>
              <w:szCs w:val="20"/>
              <w:u w:val="none"/>
            </w:rPr>
          </w:pPr>
          <w:r w:rsidRPr="00C716F2">
            <w:rPr>
              <w:rStyle w:val="Hyperlink"/>
              <w:rFonts w:ascii="Arial" w:hAnsi="Arial" w:cs="Arial"/>
              <w:noProof/>
              <w:color w:val="auto"/>
              <w:sz w:val="20"/>
              <w:szCs w:val="20"/>
              <w:u w:val="none"/>
            </w:rPr>
            <w:t>General Issues…………………………………………………………………………………</w:t>
          </w:r>
          <w:r w:rsidR="004E7CB0" w:rsidRPr="00C716F2">
            <w:rPr>
              <w:rStyle w:val="Hyperlink"/>
              <w:rFonts w:ascii="Arial" w:hAnsi="Arial" w:cs="Arial"/>
              <w:noProof/>
              <w:color w:val="auto"/>
              <w:sz w:val="20"/>
              <w:szCs w:val="20"/>
              <w:u w:val="none"/>
            </w:rPr>
            <w:t>…..</w:t>
          </w:r>
          <w:r w:rsidRPr="00C716F2">
            <w:rPr>
              <w:rStyle w:val="Hyperlink"/>
              <w:rFonts w:ascii="Arial" w:hAnsi="Arial" w:cs="Arial"/>
              <w:noProof/>
              <w:color w:val="auto"/>
              <w:sz w:val="20"/>
              <w:szCs w:val="20"/>
              <w:u w:val="none"/>
            </w:rPr>
            <w:t xml:space="preserve"> </w:t>
          </w:r>
          <w:r w:rsidR="00C716F2">
            <w:rPr>
              <w:rStyle w:val="Hyperlink"/>
              <w:rFonts w:ascii="Arial" w:hAnsi="Arial" w:cs="Arial"/>
              <w:noProof/>
              <w:color w:val="auto"/>
              <w:sz w:val="20"/>
              <w:szCs w:val="20"/>
              <w:u w:val="none"/>
            </w:rPr>
            <w:t>………</w:t>
          </w:r>
          <w:r w:rsidR="00B3754A">
            <w:rPr>
              <w:rStyle w:val="Hyperlink"/>
              <w:rFonts w:ascii="Arial" w:hAnsi="Arial" w:cs="Arial"/>
              <w:noProof/>
              <w:color w:val="auto"/>
              <w:sz w:val="20"/>
              <w:szCs w:val="20"/>
              <w:u w:val="none"/>
            </w:rPr>
            <w:t>28</w:t>
          </w:r>
        </w:p>
        <w:p w:rsidR="00A07614" w:rsidRDefault="00A07614" w:rsidP="00A07614">
          <w:pPr>
            <w:ind w:left="240"/>
            <w:rPr>
              <w:rStyle w:val="Hyperlink"/>
              <w:rFonts w:ascii="Arial" w:hAnsi="Arial" w:cs="Arial"/>
              <w:noProof/>
              <w:color w:val="auto"/>
              <w:sz w:val="20"/>
              <w:szCs w:val="20"/>
              <w:u w:val="none"/>
            </w:rPr>
          </w:pPr>
          <w:r w:rsidRPr="00C716F2">
            <w:rPr>
              <w:rStyle w:val="Hyperlink"/>
              <w:rFonts w:ascii="Arial" w:hAnsi="Arial" w:cs="Arial"/>
              <w:noProof/>
              <w:color w:val="auto"/>
              <w:sz w:val="20"/>
              <w:szCs w:val="20"/>
              <w:u w:val="none"/>
            </w:rPr>
            <w:t>Options……………………………………………………………………………………………</w:t>
          </w:r>
          <w:r w:rsidR="004E7CB0" w:rsidRPr="00C716F2">
            <w:rPr>
              <w:rStyle w:val="Hyperlink"/>
              <w:rFonts w:ascii="Arial" w:hAnsi="Arial" w:cs="Arial"/>
              <w:noProof/>
              <w:color w:val="auto"/>
              <w:sz w:val="20"/>
              <w:szCs w:val="20"/>
              <w:u w:val="none"/>
            </w:rPr>
            <w:t>….</w:t>
          </w:r>
          <w:r w:rsidR="00C716F2">
            <w:rPr>
              <w:rStyle w:val="Hyperlink"/>
              <w:rFonts w:ascii="Arial" w:hAnsi="Arial" w:cs="Arial"/>
              <w:noProof/>
              <w:color w:val="auto"/>
              <w:sz w:val="20"/>
              <w:szCs w:val="20"/>
              <w:u w:val="none"/>
            </w:rPr>
            <w:t>……</w:t>
          </w:r>
          <w:r w:rsidR="004E5727">
            <w:rPr>
              <w:rStyle w:val="Hyperlink"/>
              <w:rFonts w:ascii="Arial" w:hAnsi="Arial" w:cs="Arial"/>
              <w:noProof/>
              <w:color w:val="auto"/>
              <w:sz w:val="20"/>
              <w:szCs w:val="20"/>
              <w:u w:val="none"/>
            </w:rPr>
            <w:t>...</w:t>
          </w:r>
          <w:r w:rsidR="00B3754A">
            <w:rPr>
              <w:rStyle w:val="Hyperlink"/>
              <w:rFonts w:ascii="Arial" w:hAnsi="Arial" w:cs="Arial"/>
              <w:noProof/>
              <w:color w:val="auto"/>
              <w:sz w:val="20"/>
              <w:szCs w:val="20"/>
              <w:u w:val="none"/>
            </w:rPr>
            <w:t>30</w:t>
          </w:r>
        </w:p>
        <w:p w:rsidR="00C716F2" w:rsidRPr="00C716F2" w:rsidRDefault="00C716F2" w:rsidP="00A07614">
          <w:pPr>
            <w:ind w:left="240"/>
            <w:rPr>
              <w:rStyle w:val="Hyperlink"/>
              <w:rFonts w:ascii="Arial" w:hAnsi="Arial" w:cs="Arial"/>
              <w:noProof/>
              <w:color w:val="auto"/>
              <w:sz w:val="20"/>
              <w:szCs w:val="20"/>
              <w:u w:val="none"/>
            </w:rPr>
          </w:pPr>
          <w:r>
            <w:rPr>
              <w:rStyle w:val="Hyperlink"/>
              <w:rFonts w:ascii="Arial" w:hAnsi="Arial" w:cs="Arial"/>
              <w:noProof/>
              <w:color w:val="auto"/>
              <w:sz w:val="20"/>
              <w:szCs w:val="20"/>
              <w:u w:val="none"/>
            </w:rPr>
            <w:t>References………………………………………………………………………………………………….</w:t>
          </w:r>
          <w:r w:rsidR="00B3754A">
            <w:rPr>
              <w:rStyle w:val="Hyperlink"/>
              <w:rFonts w:ascii="Arial" w:hAnsi="Arial" w:cs="Arial"/>
              <w:noProof/>
              <w:color w:val="auto"/>
              <w:sz w:val="20"/>
              <w:szCs w:val="20"/>
              <w:u w:val="none"/>
            </w:rPr>
            <w:t>32</w:t>
          </w:r>
        </w:p>
        <w:p w:rsidR="00A07614" w:rsidRPr="004E7CB0" w:rsidRDefault="00A07614" w:rsidP="00A07614">
          <w:pPr>
            <w:ind w:left="240"/>
            <w:rPr>
              <w:rStyle w:val="Hyperlink"/>
              <w:rFonts w:asciiTheme="minorHAnsi" w:hAnsiTheme="minorHAnsi" w:cs="Arial"/>
              <w:noProof/>
              <w:color w:val="auto"/>
              <w:szCs w:val="24"/>
              <w:u w:val="none"/>
            </w:rPr>
          </w:pPr>
        </w:p>
        <w:p w:rsidR="00A07614" w:rsidRDefault="00A07614" w:rsidP="00A07614">
          <w:pPr>
            <w:rPr>
              <w:noProof/>
            </w:rPr>
          </w:pPr>
          <w:r w:rsidRPr="004E7CB0">
            <w:rPr>
              <w:rFonts w:asciiTheme="minorHAnsi" w:hAnsiTheme="minorHAnsi"/>
              <w:b/>
              <w:bCs/>
              <w:noProof/>
              <w:szCs w:val="24"/>
            </w:rPr>
            <w:fldChar w:fldCharType="end"/>
          </w:r>
        </w:p>
      </w:sdtContent>
    </w:sdt>
    <w:p w:rsidR="00C550D2" w:rsidRDefault="00C550D2" w:rsidP="00466E9A">
      <w:pPr>
        <w:pStyle w:val="LegalCopy"/>
        <w:rPr>
          <w:lang w:eastAsia="en-AU"/>
        </w:rPr>
      </w:pPr>
    </w:p>
    <w:p w:rsidR="00BF3415" w:rsidRDefault="00BF3415" w:rsidP="00516E62">
      <w:pPr>
        <w:pStyle w:val="Default"/>
        <w:rPr>
          <w:b/>
          <w:bCs/>
          <w:sz w:val="40"/>
          <w:szCs w:val="40"/>
        </w:rPr>
      </w:pPr>
    </w:p>
    <w:p w:rsidR="00BF3415" w:rsidRDefault="00BF3415" w:rsidP="00516E62">
      <w:pPr>
        <w:pStyle w:val="Default"/>
        <w:rPr>
          <w:b/>
          <w:bCs/>
          <w:sz w:val="40"/>
          <w:szCs w:val="40"/>
        </w:rPr>
      </w:pPr>
    </w:p>
    <w:p w:rsidR="00BF3415" w:rsidRDefault="00BF3415" w:rsidP="00516E62">
      <w:pPr>
        <w:pStyle w:val="Default"/>
        <w:rPr>
          <w:b/>
          <w:bCs/>
          <w:sz w:val="40"/>
          <w:szCs w:val="40"/>
        </w:rPr>
      </w:pPr>
    </w:p>
    <w:p w:rsidR="00BF3415" w:rsidRDefault="00BF3415" w:rsidP="00516E62">
      <w:pPr>
        <w:pStyle w:val="Default"/>
        <w:rPr>
          <w:b/>
          <w:bCs/>
          <w:sz w:val="40"/>
          <w:szCs w:val="40"/>
        </w:rPr>
      </w:pPr>
    </w:p>
    <w:p w:rsidR="00BF3415" w:rsidRDefault="00EA6D80" w:rsidP="00EA6D80">
      <w:pPr>
        <w:pStyle w:val="Default"/>
        <w:jc w:val="both"/>
        <w:rPr>
          <w:b/>
          <w:bCs/>
          <w:sz w:val="40"/>
          <w:szCs w:val="40"/>
        </w:rPr>
      </w:pPr>
      <w:r>
        <w:rPr>
          <w:b/>
          <w:bCs/>
          <w:sz w:val="40"/>
          <w:szCs w:val="40"/>
        </w:rPr>
        <w:t xml:space="preserve">       This page is intentionally left blank</w:t>
      </w:r>
    </w:p>
    <w:p w:rsidR="00BF3415" w:rsidRDefault="00BF3415" w:rsidP="00516E62">
      <w:pPr>
        <w:pStyle w:val="Default"/>
        <w:rPr>
          <w:b/>
          <w:bCs/>
          <w:sz w:val="40"/>
          <w:szCs w:val="40"/>
        </w:rPr>
      </w:pPr>
    </w:p>
    <w:p w:rsidR="00BF3415" w:rsidRDefault="00BF3415" w:rsidP="00516E62">
      <w:pPr>
        <w:pStyle w:val="Default"/>
        <w:rPr>
          <w:b/>
          <w:bCs/>
          <w:sz w:val="40"/>
          <w:szCs w:val="40"/>
        </w:rPr>
      </w:pPr>
    </w:p>
    <w:p w:rsidR="00BF3415" w:rsidRDefault="00BF3415" w:rsidP="00516E62">
      <w:pPr>
        <w:pStyle w:val="Default"/>
        <w:rPr>
          <w:b/>
          <w:bCs/>
          <w:sz w:val="40"/>
          <w:szCs w:val="40"/>
        </w:rPr>
      </w:pPr>
    </w:p>
    <w:p w:rsidR="00BF3415" w:rsidRDefault="00BF3415" w:rsidP="00516E62">
      <w:pPr>
        <w:pStyle w:val="Default"/>
        <w:rPr>
          <w:b/>
          <w:bCs/>
          <w:sz w:val="40"/>
          <w:szCs w:val="40"/>
        </w:rPr>
      </w:pPr>
    </w:p>
    <w:p w:rsidR="00BF3415" w:rsidRDefault="00BF3415" w:rsidP="00516E62">
      <w:pPr>
        <w:pStyle w:val="Default"/>
        <w:rPr>
          <w:b/>
          <w:bCs/>
          <w:sz w:val="40"/>
          <w:szCs w:val="40"/>
        </w:rPr>
      </w:pPr>
    </w:p>
    <w:p w:rsidR="00BF3415" w:rsidRDefault="00BF3415" w:rsidP="00516E62">
      <w:pPr>
        <w:pStyle w:val="Default"/>
        <w:rPr>
          <w:b/>
          <w:bCs/>
          <w:sz w:val="40"/>
          <w:szCs w:val="40"/>
        </w:rPr>
      </w:pPr>
    </w:p>
    <w:p w:rsidR="00BF3415" w:rsidRDefault="00BF3415" w:rsidP="00516E62">
      <w:pPr>
        <w:pStyle w:val="Default"/>
        <w:rPr>
          <w:b/>
          <w:bCs/>
          <w:sz w:val="40"/>
          <w:szCs w:val="40"/>
        </w:rPr>
      </w:pPr>
    </w:p>
    <w:p w:rsidR="00BF3415" w:rsidRDefault="00BF3415" w:rsidP="00516E62">
      <w:pPr>
        <w:pStyle w:val="Default"/>
        <w:rPr>
          <w:b/>
          <w:bCs/>
          <w:sz w:val="40"/>
          <w:szCs w:val="40"/>
        </w:rPr>
      </w:pPr>
    </w:p>
    <w:p w:rsidR="00BF3415" w:rsidRDefault="00BF3415" w:rsidP="00516E62">
      <w:pPr>
        <w:pStyle w:val="Default"/>
        <w:rPr>
          <w:b/>
          <w:bCs/>
          <w:sz w:val="40"/>
          <w:szCs w:val="40"/>
        </w:rPr>
      </w:pPr>
    </w:p>
    <w:p w:rsidR="00BF3415" w:rsidRDefault="00BF3415" w:rsidP="00516E62">
      <w:pPr>
        <w:pStyle w:val="Default"/>
        <w:rPr>
          <w:b/>
          <w:bCs/>
          <w:sz w:val="40"/>
          <w:szCs w:val="40"/>
        </w:rPr>
      </w:pPr>
    </w:p>
    <w:p w:rsidR="00BF3415" w:rsidRDefault="00BF3415" w:rsidP="00516E62">
      <w:pPr>
        <w:pStyle w:val="Default"/>
        <w:rPr>
          <w:b/>
          <w:bCs/>
          <w:sz w:val="40"/>
          <w:szCs w:val="40"/>
        </w:rPr>
      </w:pPr>
    </w:p>
    <w:p w:rsidR="00BF3415" w:rsidRDefault="00BF3415" w:rsidP="00516E62">
      <w:pPr>
        <w:pStyle w:val="Default"/>
        <w:rPr>
          <w:b/>
          <w:bCs/>
          <w:sz w:val="40"/>
          <w:szCs w:val="40"/>
        </w:rPr>
      </w:pPr>
    </w:p>
    <w:p w:rsidR="00BF3415" w:rsidRDefault="00BF3415" w:rsidP="00516E62">
      <w:pPr>
        <w:pStyle w:val="Default"/>
        <w:rPr>
          <w:b/>
          <w:bCs/>
          <w:sz w:val="40"/>
          <w:szCs w:val="40"/>
        </w:rPr>
      </w:pPr>
    </w:p>
    <w:p w:rsidR="00BF3415" w:rsidRDefault="00BF3415" w:rsidP="00516E62">
      <w:pPr>
        <w:pStyle w:val="Default"/>
        <w:rPr>
          <w:b/>
          <w:bCs/>
          <w:sz w:val="40"/>
          <w:szCs w:val="40"/>
        </w:rPr>
      </w:pPr>
    </w:p>
    <w:p w:rsidR="00BF3415" w:rsidRDefault="00BF3415" w:rsidP="00516E62">
      <w:pPr>
        <w:pStyle w:val="Default"/>
        <w:rPr>
          <w:b/>
          <w:bCs/>
          <w:sz w:val="40"/>
          <w:szCs w:val="40"/>
        </w:rPr>
      </w:pPr>
    </w:p>
    <w:p w:rsidR="00BF3415" w:rsidRDefault="00BF3415" w:rsidP="00516E62">
      <w:pPr>
        <w:pStyle w:val="Default"/>
        <w:rPr>
          <w:b/>
          <w:bCs/>
          <w:sz w:val="40"/>
          <w:szCs w:val="40"/>
        </w:rPr>
      </w:pPr>
    </w:p>
    <w:p w:rsidR="00BF3415" w:rsidRDefault="00BF3415" w:rsidP="00516E62">
      <w:pPr>
        <w:pStyle w:val="Default"/>
        <w:rPr>
          <w:b/>
          <w:bCs/>
          <w:sz w:val="40"/>
          <w:szCs w:val="40"/>
        </w:rPr>
      </w:pPr>
    </w:p>
    <w:p w:rsidR="00BF3415" w:rsidRDefault="00BF3415" w:rsidP="00516E62">
      <w:pPr>
        <w:pStyle w:val="Default"/>
        <w:rPr>
          <w:b/>
          <w:bCs/>
          <w:sz w:val="40"/>
          <w:szCs w:val="40"/>
        </w:rPr>
      </w:pPr>
    </w:p>
    <w:p w:rsidR="00BF3415" w:rsidRDefault="00BF3415" w:rsidP="00516E62">
      <w:pPr>
        <w:pStyle w:val="Default"/>
        <w:rPr>
          <w:b/>
          <w:bCs/>
          <w:sz w:val="40"/>
          <w:szCs w:val="40"/>
        </w:rPr>
      </w:pPr>
    </w:p>
    <w:p w:rsidR="00463D7E" w:rsidRDefault="00463D7E" w:rsidP="00516E62">
      <w:pPr>
        <w:pStyle w:val="Default"/>
        <w:rPr>
          <w:b/>
          <w:bCs/>
          <w:sz w:val="40"/>
          <w:szCs w:val="40"/>
        </w:rPr>
      </w:pPr>
    </w:p>
    <w:p w:rsidR="00463D7E" w:rsidRDefault="00463D7E" w:rsidP="00516E62">
      <w:pPr>
        <w:pStyle w:val="Default"/>
        <w:rPr>
          <w:b/>
          <w:bCs/>
          <w:sz w:val="40"/>
          <w:szCs w:val="40"/>
        </w:rPr>
      </w:pPr>
    </w:p>
    <w:p w:rsidR="00516E62" w:rsidRDefault="00516E62" w:rsidP="00F81AA7">
      <w:pPr>
        <w:pStyle w:val="Heading1"/>
      </w:pPr>
      <w:r w:rsidRPr="00F81AA7">
        <w:rPr>
          <w:rFonts w:ascii="Arial" w:hAnsi="Arial" w:cs="Arial"/>
          <w:color w:val="auto"/>
          <w:sz w:val="40"/>
          <w:szCs w:val="40"/>
        </w:rPr>
        <w:lastRenderedPageBreak/>
        <w:t>Introduction</w:t>
      </w:r>
      <w:r w:rsidRPr="00F81AA7">
        <w:rPr>
          <w:rFonts w:ascii="Arial" w:hAnsi="Arial" w:cs="Arial"/>
          <w:sz w:val="40"/>
          <w:szCs w:val="40"/>
        </w:rPr>
        <w:t xml:space="preserve"> </w:t>
      </w:r>
    </w:p>
    <w:p w:rsidR="00516E62" w:rsidRPr="009F1CCB" w:rsidRDefault="00516E62" w:rsidP="008A4CEA">
      <w:pPr>
        <w:jc w:val="both"/>
        <w:rPr>
          <w:rFonts w:ascii="Arial" w:hAnsi="Arial" w:cs="Arial"/>
          <w:color w:val="000000"/>
          <w:szCs w:val="24"/>
        </w:rPr>
      </w:pPr>
      <w:r w:rsidRPr="009F1CCB">
        <w:rPr>
          <w:rFonts w:ascii="Arial" w:hAnsi="Arial" w:cs="Arial"/>
          <w:color w:val="000000"/>
          <w:szCs w:val="24"/>
        </w:rPr>
        <w:t xml:space="preserve">This paper discusses the issues identified by the Life Saving Drugs Programme (LSDP) Reference group in its review of the LSDP.  </w:t>
      </w:r>
      <w:r w:rsidR="005C0711">
        <w:rPr>
          <w:rFonts w:ascii="Arial" w:hAnsi="Arial" w:cs="Arial"/>
          <w:color w:val="000000"/>
          <w:szCs w:val="24"/>
        </w:rPr>
        <w:t xml:space="preserve">The issues and a number </w:t>
      </w:r>
      <w:r w:rsidR="00B968B2">
        <w:rPr>
          <w:rFonts w:ascii="Arial" w:hAnsi="Arial" w:cs="Arial"/>
          <w:color w:val="000000"/>
          <w:szCs w:val="24"/>
        </w:rPr>
        <w:t xml:space="preserve">of </w:t>
      </w:r>
      <w:r w:rsidR="00B968B2" w:rsidRPr="009F1CCB">
        <w:rPr>
          <w:rFonts w:ascii="Arial" w:hAnsi="Arial" w:cs="Arial"/>
          <w:color w:val="000000"/>
          <w:szCs w:val="24"/>
        </w:rPr>
        <w:t>options</w:t>
      </w:r>
      <w:r w:rsidRPr="009F1CCB">
        <w:rPr>
          <w:rFonts w:ascii="Arial" w:hAnsi="Arial" w:cs="Arial"/>
          <w:color w:val="000000"/>
          <w:szCs w:val="24"/>
        </w:rPr>
        <w:t xml:space="preserve"> are proposed for discussion</w:t>
      </w:r>
      <w:r w:rsidR="005C0711">
        <w:rPr>
          <w:rFonts w:ascii="Arial" w:hAnsi="Arial" w:cs="Arial"/>
          <w:color w:val="000000"/>
          <w:szCs w:val="24"/>
        </w:rPr>
        <w:t>.</w:t>
      </w:r>
      <w:r w:rsidR="009F1CCB">
        <w:rPr>
          <w:rFonts w:ascii="Arial" w:hAnsi="Arial" w:cs="Arial"/>
          <w:color w:val="000000"/>
          <w:szCs w:val="24"/>
        </w:rPr>
        <w:t xml:space="preserve"> </w:t>
      </w:r>
    </w:p>
    <w:p w:rsidR="000A293D" w:rsidRPr="009F1CCB" w:rsidRDefault="00516E62" w:rsidP="008A4CEA">
      <w:pPr>
        <w:jc w:val="both"/>
        <w:rPr>
          <w:rFonts w:ascii="Arial" w:hAnsi="Arial" w:cs="Arial"/>
          <w:color w:val="000000"/>
          <w:szCs w:val="24"/>
        </w:rPr>
      </w:pPr>
      <w:r w:rsidRPr="009F1CCB">
        <w:rPr>
          <w:rFonts w:ascii="Arial" w:hAnsi="Arial" w:cs="Arial"/>
          <w:color w:val="000000"/>
          <w:szCs w:val="24"/>
        </w:rPr>
        <w:t>The Department of Health invites interested parties to make written sub</w:t>
      </w:r>
      <w:r w:rsidR="00F63B35">
        <w:rPr>
          <w:rFonts w:ascii="Arial" w:hAnsi="Arial" w:cs="Arial"/>
          <w:color w:val="000000"/>
          <w:szCs w:val="24"/>
        </w:rPr>
        <w:t>missions on the i</w:t>
      </w:r>
      <w:r w:rsidRPr="009F1CCB">
        <w:rPr>
          <w:rFonts w:ascii="Arial" w:hAnsi="Arial" w:cs="Arial"/>
          <w:color w:val="000000"/>
          <w:szCs w:val="24"/>
        </w:rPr>
        <w:t xml:space="preserve">ssues </w:t>
      </w:r>
      <w:r w:rsidR="00F63B35">
        <w:rPr>
          <w:rFonts w:ascii="Arial" w:hAnsi="Arial" w:cs="Arial"/>
          <w:color w:val="000000"/>
          <w:szCs w:val="24"/>
        </w:rPr>
        <w:t xml:space="preserve">raised in this </w:t>
      </w:r>
      <w:r w:rsidRPr="009F1CCB">
        <w:rPr>
          <w:rFonts w:ascii="Arial" w:hAnsi="Arial" w:cs="Arial"/>
          <w:color w:val="000000"/>
          <w:szCs w:val="24"/>
        </w:rPr>
        <w:t xml:space="preserve">paper by </w:t>
      </w:r>
      <w:r w:rsidR="00BC7AAD">
        <w:rPr>
          <w:rFonts w:ascii="Arial" w:hAnsi="Arial" w:cs="Arial"/>
          <w:color w:val="000000"/>
          <w:szCs w:val="24"/>
        </w:rPr>
        <w:t>3</w:t>
      </w:r>
      <w:r w:rsidR="00075FA3">
        <w:rPr>
          <w:rFonts w:ascii="Arial" w:hAnsi="Arial" w:cs="Arial"/>
          <w:color w:val="000000"/>
          <w:szCs w:val="24"/>
        </w:rPr>
        <w:t>0</w:t>
      </w:r>
      <w:r w:rsidRPr="009F1CCB">
        <w:rPr>
          <w:rFonts w:ascii="Arial" w:hAnsi="Arial" w:cs="Arial"/>
          <w:color w:val="000000"/>
          <w:szCs w:val="24"/>
        </w:rPr>
        <w:t xml:space="preserve"> April 2015. </w:t>
      </w:r>
    </w:p>
    <w:p w:rsidR="008170FC" w:rsidRPr="009F1CCB" w:rsidRDefault="000A293D" w:rsidP="004E7CB0">
      <w:pPr>
        <w:jc w:val="both"/>
        <w:rPr>
          <w:rFonts w:ascii="Arial" w:hAnsi="Arial" w:cs="Arial"/>
          <w:color w:val="000000"/>
          <w:szCs w:val="24"/>
        </w:rPr>
      </w:pPr>
      <w:r w:rsidRPr="009F1CCB">
        <w:rPr>
          <w:rFonts w:ascii="Arial" w:hAnsi="Arial" w:cs="Arial"/>
          <w:color w:val="000000"/>
          <w:szCs w:val="24"/>
        </w:rPr>
        <w:t>This</w:t>
      </w:r>
      <w:r w:rsidR="008170FC" w:rsidRPr="009F1CCB">
        <w:rPr>
          <w:rFonts w:ascii="Arial" w:hAnsi="Arial" w:cs="Arial"/>
          <w:color w:val="000000"/>
          <w:szCs w:val="24"/>
        </w:rPr>
        <w:t xml:space="preserve"> Issues</w:t>
      </w:r>
      <w:r w:rsidRPr="009F1CCB">
        <w:rPr>
          <w:rFonts w:ascii="Arial" w:hAnsi="Arial" w:cs="Arial"/>
          <w:color w:val="000000"/>
          <w:szCs w:val="24"/>
        </w:rPr>
        <w:t xml:space="preserve"> paper </w:t>
      </w:r>
      <w:r w:rsidR="00F63B35">
        <w:rPr>
          <w:rFonts w:ascii="Arial" w:hAnsi="Arial" w:cs="Arial"/>
          <w:color w:val="000000"/>
          <w:szCs w:val="24"/>
        </w:rPr>
        <w:t>should be read in conjunction with</w:t>
      </w:r>
      <w:r w:rsidRPr="009F1CCB">
        <w:rPr>
          <w:rFonts w:ascii="Arial" w:hAnsi="Arial" w:cs="Arial"/>
          <w:color w:val="000000"/>
          <w:szCs w:val="24"/>
        </w:rPr>
        <w:t xml:space="preserve"> </w:t>
      </w:r>
      <w:r w:rsidR="00087AA0">
        <w:rPr>
          <w:rFonts w:ascii="Arial" w:hAnsi="Arial" w:cs="Arial"/>
          <w:color w:val="000000"/>
          <w:szCs w:val="24"/>
        </w:rPr>
        <w:t>the</w:t>
      </w:r>
    </w:p>
    <w:p w:rsidR="008170FC" w:rsidRPr="009F1CCB" w:rsidRDefault="000A293D" w:rsidP="004E7CB0">
      <w:pPr>
        <w:jc w:val="both"/>
        <w:rPr>
          <w:rFonts w:ascii="Arial" w:hAnsi="Arial" w:cs="Arial"/>
          <w:color w:val="000000"/>
          <w:szCs w:val="24"/>
        </w:rPr>
      </w:pPr>
      <w:r w:rsidRPr="009F1CCB">
        <w:rPr>
          <w:rFonts w:ascii="Arial" w:hAnsi="Arial" w:cs="Arial"/>
          <w:color w:val="000000"/>
          <w:szCs w:val="24"/>
        </w:rPr>
        <w:t>(</w:t>
      </w:r>
      <w:proofErr w:type="spellStart"/>
      <w:r w:rsidRPr="009F1CCB">
        <w:rPr>
          <w:rFonts w:ascii="Arial" w:hAnsi="Arial" w:cs="Arial"/>
          <w:color w:val="000000"/>
          <w:szCs w:val="24"/>
        </w:rPr>
        <w:t>i</w:t>
      </w:r>
      <w:proofErr w:type="spellEnd"/>
      <w:r w:rsidRPr="009F1CCB">
        <w:rPr>
          <w:rFonts w:ascii="Arial" w:hAnsi="Arial" w:cs="Arial"/>
          <w:color w:val="000000"/>
          <w:szCs w:val="24"/>
        </w:rPr>
        <w:t xml:space="preserve">) </w:t>
      </w:r>
      <w:proofErr w:type="gramStart"/>
      <w:r w:rsidR="008170FC" w:rsidRPr="009F1CCB">
        <w:rPr>
          <w:rFonts w:ascii="Arial" w:hAnsi="Arial" w:cs="Arial"/>
          <w:color w:val="000000"/>
          <w:szCs w:val="24"/>
        </w:rPr>
        <w:t>community</w:t>
      </w:r>
      <w:proofErr w:type="gramEnd"/>
      <w:r w:rsidR="008170FC" w:rsidRPr="009F1CCB">
        <w:rPr>
          <w:rFonts w:ascii="Arial" w:hAnsi="Arial" w:cs="Arial"/>
          <w:color w:val="000000"/>
          <w:szCs w:val="24"/>
        </w:rPr>
        <w:t>, industry and clinician</w:t>
      </w:r>
      <w:r w:rsidRPr="009F1CCB">
        <w:rPr>
          <w:rFonts w:ascii="Arial" w:hAnsi="Arial" w:cs="Arial"/>
          <w:color w:val="000000"/>
          <w:szCs w:val="24"/>
        </w:rPr>
        <w:t xml:space="preserve"> submissions </w:t>
      </w:r>
      <w:r w:rsidR="008170FC" w:rsidRPr="009F1CCB">
        <w:rPr>
          <w:rFonts w:ascii="Arial" w:hAnsi="Arial" w:cs="Arial"/>
          <w:color w:val="000000"/>
          <w:szCs w:val="24"/>
        </w:rPr>
        <w:t>on the LSDP Post Market Review terms of reference; and</w:t>
      </w:r>
    </w:p>
    <w:p w:rsidR="008170FC" w:rsidRDefault="008170FC" w:rsidP="004E7CB0">
      <w:pPr>
        <w:jc w:val="both"/>
        <w:rPr>
          <w:rFonts w:ascii="Arial" w:hAnsi="Arial" w:cs="Arial"/>
          <w:color w:val="000000"/>
          <w:szCs w:val="24"/>
        </w:rPr>
      </w:pPr>
      <w:r w:rsidRPr="009F1CCB">
        <w:rPr>
          <w:rFonts w:ascii="Arial" w:hAnsi="Arial" w:cs="Arial"/>
          <w:color w:val="000000"/>
          <w:szCs w:val="24"/>
        </w:rPr>
        <w:t>(ii) LSDP Review: Technical Assessment Report to terms of reference 1-3, 5 and 7 by the Evaluation Group</w:t>
      </w:r>
      <w:r w:rsidR="00FE4806">
        <w:rPr>
          <w:rFonts w:ascii="Arial" w:hAnsi="Arial" w:cs="Arial"/>
          <w:color w:val="000000"/>
          <w:szCs w:val="24"/>
        </w:rPr>
        <w:t xml:space="preserve"> (the Evaluat</w:t>
      </w:r>
      <w:r w:rsidR="0050296E">
        <w:rPr>
          <w:rFonts w:ascii="Arial" w:hAnsi="Arial" w:cs="Arial"/>
          <w:color w:val="000000"/>
          <w:szCs w:val="24"/>
        </w:rPr>
        <w:t>or’s</w:t>
      </w:r>
      <w:r w:rsidR="00FE4806">
        <w:rPr>
          <w:rFonts w:ascii="Arial" w:hAnsi="Arial" w:cs="Arial"/>
          <w:color w:val="000000"/>
          <w:szCs w:val="24"/>
        </w:rPr>
        <w:t xml:space="preserve"> report)</w:t>
      </w:r>
      <w:r w:rsidRPr="009F1CCB">
        <w:rPr>
          <w:rFonts w:ascii="Arial" w:hAnsi="Arial" w:cs="Arial"/>
          <w:color w:val="000000"/>
          <w:szCs w:val="24"/>
        </w:rPr>
        <w:t>.</w:t>
      </w:r>
    </w:p>
    <w:p w:rsidR="005C0711" w:rsidRDefault="005C0711" w:rsidP="00F81AA7">
      <w:pPr>
        <w:jc w:val="both"/>
        <w:rPr>
          <w:rFonts w:ascii="Arial" w:hAnsi="Arial" w:cs="Arial"/>
          <w:color w:val="000000"/>
          <w:szCs w:val="24"/>
        </w:rPr>
      </w:pPr>
      <w:r w:rsidRPr="00E040C9">
        <w:rPr>
          <w:rFonts w:ascii="Arial" w:hAnsi="Arial" w:cs="Arial"/>
          <w:color w:val="000000"/>
          <w:szCs w:val="24"/>
        </w:rPr>
        <w:t xml:space="preserve">Both documents can be accessed at </w:t>
      </w:r>
      <w:hyperlink r:id="rId11" w:history="1">
        <w:r w:rsidR="00C534D3" w:rsidRPr="00634606">
          <w:rPr>
            <w:rStyle w:val="Hyperlink"/>
            <w:rFonts w:ascii="Arial" w:hAnsi="Arial" w:cs="Arial"/>
            <w:szCs w:val="24"/>
          </w:rPr>
          <w:t>http://www.pbs.gov.au/info/reviews/life-saving-drugs</w:t>
        </w:r>
      </w:hyperlink>
      <w:r w:rsidR="00CB5520">
        <w:rPr>
          <w:rFonts w:ascii="Arial" w:hAnsi="Arial" w:cs="Arial"/>
          <w:color w:val="000000"/>
          <w:szCs w:val="24"/>
        </w:rPr>
        <w:t>.</w:t>
      </w:r>
    </w:p>
    <w:p w:rsidR="00C534D3" w:rsidRDefault="00C534D3" w:rsidP="00F81AA7">
      <w:pPr>
        <w:jc w:val="both"/>
      </w:pPr>
      <w:r>
        <w:rPr>
          <w:rFonts w:ascii="Arial" w:hAnsi="Arial" w:cs="Arial"/>
          <w:color w:val="000000"/>
          <w:szCs w:val="24"/>
        </w:rPr>
        <w:t xml:space="preserve">The Department of Health notes </w:t>
      </w:r>
      <w:r w:rsidR="00A67341">
        <w:rPr>
          <w:rFonts w:ascii="Arial" w:hAnsi="Arial" w:cs="Arial"/>
          <w:color w:val="000000"/>
          <w:szCs w:val="24"/>
        </w:rPr>
        <w:t xml:space="preserve">the </w:t>
      </w:r>
      <w:r>
        <w:rPr>
          <w:rFonts w:ascii="Arial" w:hAnsi="Arial" w:cs="Arial"/>
          <w:color w:val="000000"/>
          <w:szCs w:val="24"/>
        </w:rPr>
        <w:t xml:space="preserve">Therapeutic Goods Administration’s </w:t>
      </w:r>
      <w:r w:rsidR="00075FA3">
        <w:rPr>
          <w:rFonts w:ascii="Arial" w:hAnsi="Arial" w:cs="Arial"/>
          <w:color w:val="000000"/>
          <w:szCs w:val="24"/>
        </w:rPr>
        <w:t xml:space="preserve">Orphan Drugs Programme </w:t>
      </w:r>
      <w:r>
        <w:rPr>
          <w:rFonts w:ascii="Arial" w:hAnsi="Arial" w:cs="Arial"/>
          <w:color w:val="000000"/>
          <w:szCs w:val="24"/>
        </w:rPr>
        <w:t xml:space="preserve">discussion paper </w:t>
      </w:r>
      <w:r w:rsidR="00A67341">
        <w:rPr>
          <w:rFonts w:ascii="Arial" w:hAnsi="Arial" w:cs="Arial"/>
          <w:color w:val="000000"/>
          <w:szCs w:val="24"/>
        </w:rPr>
        <w:t xml:space="preserve">released </w:t>
      </w:r>
      <w:r w:rsidR="00CF3EFC">
        <w:rPr>
          <w:rFonts w:ascii="Arial" w:hAnsi="Arial" w:cs="Arial"/>
          <w:color w:val="000000"/>
          <w:szCs w:val="24"/>
        </w:rPr>
        <w:t xml:space="preserve">in </w:t>
      </w:r>
      <w:r w:rsidR="00075FA3">
        <w:rPr>
          <w:rFonts w:ascii="Arial" w:hAnsi="Arial" w:cs="Arial"/>
          <w:color w:val="000000"/>
          <w:szCs w:val="24"/>
        </w:rPr>
        <w:t>January 2015</w:t>
      </w:r>
      <w:r w:rsidR="00A67341">
        <w:rPr>
          <w:rFonts w:ascii="Arial" w:hAnsi="Arial" w:cs="Arial"/>
          <w:color w:val="000000"/>
          <w:szCs w:val="24"/>
        </w:rPr>
        <w:t>.</w:t>
      </w:r>
    </w:p>
    <w:p w:rsidR="004E7CB0" w:rsidRDefault="004E7CB0" w:rsidP="008A4CEA">
      <w:pPr>
        <w:pStyle w:val="Default"/>
        <w:jc w:val="both"/>
        <w:rPr>
          <w:b/>
        </w:rPr>
      </w:pPr>
    </w:p>
    <w:p w:rsidR="00FC5581" w:rsidRPr="009F1CCB" w:rsidRDefault="00FC5581" w:rsidP="008A4CEA">
      <w:pPr>
        <w:pStyle w:val="Default"/>
        <w:jc w:val="both"/>
        <w:rPr>
          <w:b/>
        </w:rPr>
      </w:pPr>
      <w:r w:rsidRPr="009F1CCB">
        <w:rPr>
          <w:b/>
        </w:rPr>
        <w:t xml:space="preserve">Written submissions should be sent to </w:t>
      </w:r>
      <w:r w:rsidR="008A4CEA">
        <w:rPr>
          <w:b/>
        </w:rPr>
        <w:t xml:space="preserve">PBSpostmarket </w:t>
      </w:r>
      <w:r w:rsidRPr="009F1CCB">
        <w:rPr>
          <w:b/>
        </w:rPr>
        <w:t xml:space="preserve">@health.gov.au. </w:t>
      </w:r>
    </w:p>
    <w:p w:rsidR="00516E62" w:rsidRPr="009F1CCB" w:rsidRDefault="00516E62" w:rsidP="008A4CEA">
      <w:pPr>
        <w:pStyle w:val="Default"/>
        <w:jc w:val="both"/>
      </w:pPr>
    </w:p>
    <w:p w:rsidR="00516E62" w:rsidRPr="009F1CCB" w:rsidRDefault="00516E62" w:rsidP="008A4CEA">
      <w:pPr>
        <w:jc w:val="both"/>
        <w:rPr>
          <w:rFonts w:ascii="Arial" w:hAnsi="Arial" w:cs="Arial"/>
          <w:color w:val="000000"/>
          <w:szCs w:val="24"/>
        </w:rPr>
      </w:pPr>
      <w:r w:rsidRPr="009F1CCB">
        <w:rPr>
          <w:rFonts w:ascii="Arial" w:hAnsi="Arial" w:cs="Arial"/>
          <w:color w:val="000000"/>
          <w:szCs w:val="24"/>
        </w:rPr>
        <w:t>For accessibility reasons, please submit responses by ema</w:t>
      </w:r>
      <w:r w:rsidR="009F1CCB">
        <w:rPr>
          <w:rFonts w:ascii="Arial" w:hAnsi="Arial" w:cs="Arial"/>
          <w:color w:val="000000"/>
          <w:szCs w:val="24"/>
        </w:rPr>
        <w:t xml:space="preserve">il in Word, RTF or PDF format. </w:t>
      </w:r>
      <w:r w:rsidRPr="009F1CCB">
        <w:rPr>
          <w:rFonts w:ascii="Arial" w:hAnsi="Arial" w:cs="Arial"/>
          <w:color w:val="000000"/>
          <w:szCs w:val="24"/>
        </w:rPr>
        <w:t>Please note that, unless requested otherwise, written comments submitted to the Department of Health may be made publicly available on our website and may be disclosed to other Commonwealth agencies, including, but not limited t</w:t>
      </w:r>
      <w:r w:rsidR="009F1CCB">
        <w:rPr>
          <w:rFonts w:ascii="Arial" w:hAnsi="Arial" w:cs="Arial"/>
          <w:color w:val="000000"/>
          <w:szCs w:val="24"/>
        </w:rPr>
        <w:t xml:space="preserve">o, the Department of Industry. </w:t>
      </w:r>
    </w:p>
    <w:p w:rsidR="00516E62" w:rsidRPr="009F1CCB" w:rsidRDefault="00516E62" w:rsidP="008A4CEA">
      <w:pPr>
        <w:jc w:val="both"/>
        <w:rPr>
          <w:rFonts w:ascii="Arial" w:hAnsi="Arial" w:cs="Arial"/>
          <w:color w:val="000000"/>
          <w:szCs w:val="24"/>
        </w:rPr>
      </w:pPr>
      <w:r w:rsidRPr="009F1CCB">
        <w:rPr>
          <w:rFonts w:ascii="Arial" w:hAnsi="Arial" w:cs="Arial"/>
          <w:color w:val="000000"/>
          <w:szCs w:val="24"/>
        </w:rPr>
        <w:t xml:space="preserve">When you make a submission, unless stated otherwise, you provide your consent to your personal information being published online. Information published online may be accessed world-wide, including by overseas entities. The Department of Health will not be able to control any subsequent use under </w:t>
      </w:r>
      <w:r w:rsidRPr="004E7CB0">
        <w:rPr>
          <w:rFonts w:ascii="Arial" w:hAnsi="Arial" w:cs="Arial"/>
          <w:color w:val="000000"/>
          <w:szCs w:val="24"/>
        </w:rPr>
        <w:t>the Privacy Act</w:t>
      </w:r>
      <w:r w:rsidRPr="009F1CCB">
        <w:rPr>
          <w:rFonts w:ascii="Arial" w:hAnsi="Arial" w:cs="Arial"/>
          <w:color w:val="000000"/>
          <w:szCs w:val="24"/>
        </w:rPr>
        <w:t xml:space="preserve"> </w:t>
      </w:r>
      <w:r w:rsidRPr="004E7CB0">
        <w:rPr>
          <w:rFonts w:ascii="Arial" w:hAnsi="Arial" w:cs="Arial"/>
          <w:color w:val="000000"/>
          <w:szCs w:val="24"/>
        </w:rPr>
        <w:t>1988,</w:t>
      </w:r>
      <w:r w:rsidRPr="009F1CCB">
        <w:rPr>
          <w:rFonts w:ascii="Arial" w:hAnsi="Arial" w:cs="Arial"/>
          <w:color w:val="000000"/>
          <w:szCs w:val="24"/>
        </w:rPr>
        <w:t xml:space="preserve"> nor are you able to seek redress under that Act, for the act</w:t>
      </w:r>
      <w:r w:rsidR="009F1CCB">
        <w:rPr>
          <w:rFonts w:ascii="Arial" w:hAnsi="Arial" w:cs="Arial"/>
          <w:color w:val="000000"/>
          <w:szCs w:val="24"/>
        </w:rPr>
        <w:t xml:space="preserve">ions of any overseas entities. </w:t>
      </w:r>
    </w:p>
    <w:p w:rsidR="0050296E" w:rsidRDefault="00516E62" w:rsidP="004E7CB0">
      <w:pPr>
        <w:jc w:val="both"/>
        <w:rPr>
          <w:rFonts w:ascii="Arial" w:hAnsi="Arial" w:cs="Arial"/>
          <w:color w:val="000000"/>
          <w:szCs w:val="24"/>
        </w:rPr>
      </w:pPr>
      <w:r w:rsidRPr="009F1CCB">
        <w:rPr>
          <w:rFonts w:ascii="Arial" w:hAnsi="Arial" w:cs="Arial"/>
          <w:color w:val="000000"/>
          <w:szCs w:val="24"/>
        </w:rPr>
        <w:t>The Department’s Privacy Policy can be viewed at</w:t>
      </w:r>
      <w:r w:rsidR="0050296E">
        <w:rPr>
          <w:rFonts w:ascii="Arial" w:hAnsi="Arial" w:cs="Arial"/>
          <w:color w:val="000000"/>
          <w:szCs w:val="24"/>
        </w:rPr>
        <w:t xml:space="preserve"> </w:t>
      </w:r>
      <w:r w:rsidR="0050296E" w:rsidRPr="0050296E">
        <w:rPr>
          <w:rFonts w:ascii="Arial" w:hAnsi="Arial" w:cs="Arial"/>
          <w:color w:val="000000"/>
          <w:szCs w:val="24"/>
        </w:rPr>
        <w:t>http://www.health.gov.au/internet/main/publishing.nsf/content/privacy-policy</w:t>
      </w:r>
      <w:r w:rsidR="009F1CCB">
        <w:rPr>
          <w:rFonts w:ascii="Arial" w:hAnsi="Arial" w:cs="Arial"/>
          <w:color w:val="000000"/>
          <w:szCs w:val="24"/>
        </w:rPr>
        <w:t xml:space="preserve">. </w:t>
      </w:r>
    </w:p>
    <w:p w:rsidR="00516E62" w:rsidRPr="009F1CCB" w:rsidRDefault="00516E62" w:rsidP="004E7CB0">
      <w:pPr>
        <w:jc w:val="both"/>
        <w:rPr>
          <w:rFonts w:ascii="Arial" w:hAnsi="Arial" w:cs="Arial"/>
          <w:color w:val="000000"/>
          <w:szCs w:val="24"/>
        </w:rPr>
      </w:pPr>
      <w:r w:rsidRPr="009F1CCB">
        <w:rPr>
          <w:rFonts w:ascii="Arial" w:hAnsi="Arial" w:cs="Arial"/>
          <w:color w:val="000000"/>
          <w:szCs w:val="24"/>
        </w:rPr>
        <w:t xml:space="preserve">The privacy policy also includes the following information: </w:t>
      </w:r>
    </w:p>
    <w:p w:rsidR="00516E62" w:rsidRPr="009F1CCB" w:rsidRDefault="00516E62" w:rsidP="004E7CB0">
      <w:pPr>
        <w:jc w:val="both"/>
        <w:rPr>
          <w:rFonts w:ascii="Arial" w:hAnsi="Arial" w:cs="Arial"/>
          <w:color w:val="000000"/>
          <w:szCs w:val="24"/>
        </w:rPr>
      </w:pPr>
      <w:r w:rsidRPr="009F1CCB">
        <w:rPr>
          <w:rFonts w:ascii="Arial" w:hAnsi="Arial" w:cs="Arial"/>
          <w:color w:val="000000"/>
          <w:szCs w:val="24"/>
        </w:rPr>
        <w:t xml:space="preserve">• </w:t>
      </w:r>
      <w:proofErr w:type="gramStart"/>
      <w:r w:rsidRPr="009F1CCB">
        <w:rPr>
          <w:rFonts w:ascii="Arial" w:hAnsi="Arial" w:cs="Arial"/>
          <w:color w:val="000000"/>
          <w:szCs w:val="24"/>
        </w:rPr>
        <w:t>how</w:t>
      </w:r>
      <w:proofErr w:type="gramEnd"/>
      <w:r w:rsidRPr="009F1CCB">
        <w:rPr>
          <w:rFonts w:ascii="Arial" w:hAnsi="Arial" w:cs="Arial"/>
          <w:color w:val="000000"/>
          <w:szCs w:val="24"/>
        </w:rPr>
        <w:t xml:space="preserve"> you may seek access to and correction of the personal information we hold; </w:t>
      </w:r>
    </w:p>
    <w:p w:rsidR="00516E62" w:rsidRPr="009F1CCB" w:rsidRDefault="00516E62" w:rsidP="004E7CB0">
      <w:pPr>
        <w:jc w:val="both"/>
        <w:rPr>
          <w:rFonts w:ascii="Arial" w:hAnsi="Arial" w:cs="Arial"/>
          <w:color w:val="000000"/>
          <w:szCs w:val="24"/>
        </w:rPr>
      </w:pPr>
      <w:r w:rsidRPr="009F1CCB">
        <w:rPr>
          <w:rFonts w:ascii="Arial" w:hAnsi="Arial" w:cs="Arial"/>
          <w:color w:val="000000"/>
          <w:szCs w:val="24"/>
        </w:rPr>
        <w:t xml:space="preserve">• </w:t>
      </w:r>
      <w:proofErr w:type="gramStart"/>
      <w:r w:rsidRPr="009F1CCB">
        <w:rPr>
          <w:rFonts w:ascii="Arial" w:hAnsi="Arial" w:cs="Arial"/>
          <w:color w:val="000000"/>
          <w:szCs w:val="24"/>
        </w:rPr>
        <w:t>how</w:t>
      </w:r>
      <w:proofErr w:type="gramEnd"/>
      <w:r w:rsidRPr="009F1CCB">
        <w:rPr>
          <w:rFonts w:ascii="Arial" w:hAnsi="Arial" w:cs="Arial"/>
          <w:color w:val="000000"/>
          <w:szCs w:val="24"/>
        </w:rPr>
        <w:t xml:space="preserve"> you may make a complaint about a breach of the Privacy Act and how we will deal with your complaint; and </w:t>
      </w:r>
    </w:p>
    <w:p w:rsidR="00516E62" w:rsidRPr="009F1CCB" w:rsidRDefault="00516E62" w:rsidP="004E7CB0">
      <w:pPr>
        <w:jc w:val="both"/>
        <w:rPr>
          <w:rFonts w:ascii="Arial" w:hAnsi="Arial" w:cs="Arial"/>
          <w:color w:val="000000"/>
          <w:szCs w:val="24"/>
        </w:rPr>
      </w:pPr>
      <w:r w:rsidRPr="009F1CCB">
        <w:rPr>
          <w:rFonts w:ascii="Arial" w:hAnsi="Arial" w:cs="Arial"/>
          <w:color w:val="000000"/>
          <w:szCs w:val="24"/>
        </w:rPr>
        <w:t xml:space="preserve">• Department of Health Privacy Contact Officer </w:t>
      </w:r>
      <w:proofErr w:type="gramStart"/>
      <w:r w:rsidRPr="009F1CCB">
        <w:rPr>
          <w:rFonts w:ascii="Arial" w:hAnsi="Arial" w:cs="Arial"/>
          <w:color w:val="000000"/>
          <w:szCs w:val="24"/>
        </w:rPr>
        <w:t>details</w:t>
      </w:r>
      <w:proofErr w:type="gramEnd"/>
      <w:r w:rsidRPr="009F1CCB">
        <w:rPr>
          <w:rFonts w:ascii="Arial" w:hAnsi="Arial" w:cs="Arial"/>
          <w:color w:val="000000"/>
          <w:szCs w:val="24"/>
        </w:rPr>
        <w:t>.</w:t>
      </w:r>
      <w:r w:rsidR="009F1CCB">
        <w:rPr>
          <w:rFonts w:ascii="Arial" w:hAnsi="Arial" w:cs="Arial"/>
          <w:color w:val="000000"/>
          <w:szCs w:val="24"/>
        </w:rPr>
        <w:t xml:space="preserve"> </w:t>
      </w:r>
    </w:p>
    <w:p w:rsidR="00A07614" w:rsidRDefault="00516E62" w:rsidP="00B968B2">
      <w:pPr>
        <w:jc w:val="both"/>
        <w:rPr>
          <w:rFonts w:ascii="Arial" w:hAnsi="Arial" w:cs="Arial"/>
          <w:color w:val="000000"/>
          <w:szCs w:val="24"/>
        </w:rPr>
      </w:pPr>
      <w:r w:rsidRPr="009F1CCB">
        <w:rPr>
          <w:rFonts w:ascii="Arial" w:hAnsi="Arial" w:cs="Arial"/>
          <w:color w:val="000000"/>
          <w:szCs w:val="24"/>
        </w:rPr>
        <w:lastRenderedPageBreak/>
        <w:t xml:space="preserve">A request made under the </w:t>
      </w:r>
      <w:r w:rsidRPr="006462AE">
        <w:rPr>
          <w:rFonts w:ascii="Arial" w:hAnsi="Arial" w:cs="Arial"/>
          <w:i/>
          <w:color w:val="000000"/>
          <w:szCs w:val="24"/>
        </w:rPr>
        <w:t>Freedom of Information Act</w:t>
      </w:r>
      <w:r w:rsidRPr="009F1CCB">
        <w:rPr>
          <w:rFonts w:ascii="Arial" w:hAnsi="Arial" w:cs="Arial"/>
          <w:color w:val="000000"/>
          <w:szCs w:val="24"/>
        </w:rPr>
        <w:t xml:space="preserve"> </w:t>
      </w:r>
      <w:r w:rsidRPr="006462AE">
        <w:rPr>
          <w:rFonts w:ascii="Arial" w:hAnsi="Arial" w:cs="Arial"/>
          <w:i/>
          <w:color w:val="000000"/>
          <w:szCs w:val="24"/>
        </w:rPr>
        <w:t>1982</w:t>
      </w:r>
      <w:r w:rsidRPr="009F1CCB">
        <w:rPr>
          <w:rFonts w:ascii="Arial" w:hAnsi="Arial" w:cs="Arial"/>
          <w:color w:val="000000"/>
          <w:szCs w:val="24"/>
        </w:rPr>
        <w:t xml:space="preserve"> for access to a submission marked confidential will be determine</w:t>
      </w:r>
      <w:r w:rsidR="00DC20C6">
        <w:rPr>
          <w:rFonts w:ascii="Arial" w:hAnsi="Arial" w:cs="Arial"/>
          <w:color w:val="000000"/>
          <w:szCs w:val="24"/>
        </w:rPr>
        <w:t xml:space="preserve">d in accordance with that Act. </w:t>
      </w:r>
    </w:p>
    <w:p w:rsidR="00516E62" w:rsidRPr="00B968B2" w:rsidRDefault="00516E62" w:rsidP="00B968B2">
      <w:pPr>
        <w:jc w:val="both"/>
        <w:rPr>
          <w:rFonts w:ascii="Arial" w:hAnsi="Arial" w:cs="Arial"/>
          <w:b/>
          <w:color w:val="000000"/>
          <w:szCs w:val="24"/>
        </w:rPr>
      </w:pPr>
      <w:r w:rsidRPr="00B968B2">
        <w:rPr>
          <w:rFonts w:ascii="Arial" w:hAnsi="Arial" w:cs="Arial"/>
          <w:b/>
          <w:color w:val="000000"/>
          <w:szCs w:val="24"/>
        </w:rPr>
        <w:t xml:space="preserve">Submissions should be received no later than </w:t>
      </w:r>
      <w:r w:rsidR="00BC7AAD" w:rsidRPr="00B968B2">
        <w:rPr>
          <w:rFonts w:ascii="Arial" w:hAnsi="Arial" w:cs="Arial"/>
          <w:b/>
          <w:color w:val="000000"/>
          <w:szCs w:val="24"/>
        </w:rPr>
        <w:t>3</w:t>
      </w:r>
      <w:r w:rsidR="00075FA3" w:rsidRPr="00B968B2">
        <w:rPr>
          <w:rFonts w:ascii="Arial" w:hAnsi="Arial" w:cs="Arial"/>
          <w:b/>
          <w:color w:val="000000"/>
          <w:szCs w:val="24"/>
        </w:rPr>
        <w:t>0</w:t>
      </w:r>
      <w:r w:rsidRPr="00B968B2">
        <w:rPr>
          <w:rFonts w:ascii="Arial" w:hAnsi="Arial" w:cs="Arial"/>
          <w:b/>
          <w:color w:val="000000"/>
          <w:szCs w:val="24"/>
        </w:rPr>
        <w:t xml:space="preserve"> April 2015</w:t>
      </w:r>
    </w:p>
    <w:p w:rsidR="00FC5581" w:rsidRPr="00FC5581" w:rsidRDefault="00FC5581" w:rsidP="00F81AA7">
      <w:pPr>
        <w:pStyle w:val="Heading1"/>
      </w:pPr>
      <w:r w:rsidRPr="00F81AA7">
        <w:rPr>
          <w:rFonts w:ascii="Arial" w:hAnsi="Arial" w:cs="Arial"/>
          <w:color w:val="auto"/>
          <w:sz w:val="40"/>
          <w:szCs w:val="40"/>
        </w:rPr>
        <w:t>Background to the Post Market Review</w:t>
      </w:r>
    </w:p>
    <w:p w:rsidR="00A32996" w:rsidRDefault="00746E4E" w:rsidP="00525AA3">
      <w:pPr>
        <w:jc w:val="both"/>
        <w:rPr>
          <w:rFonts w:ascii="Arial" w:hAnsi="Arial" w:cs="Arial"/>
          <w:color w:val="000000"/>
          <w:szCs w:val="24"/>
        </w:rPr>
      </w:pPr>
      <w:r>
        <w:rPr>
          <w:rFonts w:ascii="Arial" w:hAnsi="Arial" w:cs="Arial"/>
          <w:color w:val="000000"/>
          <w:szCs w:val="24"/>
        </w:rPr>
        <w:t xml:space="preserve">On 9 April 2014 the </w:t>
      </w:r>
      <w:r w:rsidR="00FC5581" w:rsidRPr="00DC20C6">
        <w:rPr>
          <w:rFonts w:ascii="Arial" w:hAnsi="Arial" w:cs="Arial"/>
          <w:color w:val="000000"/>
          <w:szCs w:val="24"/>
        </w:rPr>
        <w:t xml:space="preserve">Minister for Health announced the Government would review the Life Saving Drugs Programme (LSDP). </w:t>
      </w:r>
    </w:p>
    <w:p w:rsidR="00A32996" w:rsidRDefault="00A32996" w:rsidP="00525AA3">
      <w:pPr>
        <w:jc w:val="both"/>
        <w:rPr>
          <w:rFonts w:ascii="Arial" w:hAnsi="Arial" w:cs="Arial"/>
          <w:color w:val="000000"/>
          <w:szCs w:val="24"/>
        </w:rPr>
      </w:pPr>
      <w:r>
        <w:rPr>
          <w:rFonts w:ascii="Arial" w:hAnsi="Arial" w:cs="Arial"/>
          <w:color w:val="000000"/>
          <w:szCs w:val="24"/>
        </w:rPr>
        <w:t xml:space="preserve">The review </w:t>
      </w:r>
      <w:r w:rsidR="005C0711">
        <w:rPr>
          <w:rFonts w:ascii="Arial" w:hAnsi="Arial" w:cs="Arial"/>
          <w:color w:val="000000"/>
          <w:szCs w:val="24"/>
        </w:rPr>
        <w:t>is</w:t>
      </w:r>
      <w:r>
        <w:rPr>
          <w:rFonts w:ascii="Arial" w:hAnsi="Arial" w:cs="Arial"/>
          <w:color w:val="000000"/>
          <w:szCs w:val="24"/>
        </w:rPr>
        <w:t xml:space="preserve"> examin</w:t>
      </w:r>
      <w:r w:rsidR="005C0711">
        <w:rPr>
          <w:rFonts w:ascii="Arial" w:hAnsi="Arial" w:cs="Arial"/>
          <w:color w:val="000000"/>
          <w:szCs w:val="24"/>
        </w:rPr>
        <w:t>ing</w:t>
      </w:r>
      <w:r>
        <w:rPr>
          <w:rFonts w:ascii="Arial" w:hAnsi="Arial" w:cs="Arial"/>
          <w:color w:val="000000"/>
          <w:szCs w:val="24"/>
        </w:rPr>
        <w:t xml:space="preserve"> the current </w:t>
      </w:r>
      <w:r w:rsidR="005C0711">
        <w:rPr>
          <w:rFonts w:ascii="Arial" w:hAnsi="Arial" w:cs="Arial"/>
          <w:color w:val="000000"/>
          <w:szCs w:val="24"/>
        </w:rPr>
        <w:t>P</w:t>
      </w:r>
      <w:r>
        <w:rPr>
          <w:rFonts w:ascii="Arial" w:hAnsi="Arial" w:cs="Arial"/>
          <w:color w:val="000000"/>
          <w:szCs w:val="24"/>
        </w:rPr>
        <w:t>rogramme</w:t>
      </w:r>
      <w:r w:rsidRPr="00A32996">
        <w:rPr>
          <w:rFonts w:ascii="Arial" w:hAnsi="Arial" w:cs="Arial"/>
          <w:color w:val="000000"/>
          <w:szCs w:val="24"/>
        </w:rPr>
        <w:t xml:space="preserve"> to ensure that Australians with very rare conditions continue to have subsidised access to mu</w:t>
      </w:r>
      <w:r>
        <w:rPr>
          <w:rFonts w:ascii="Arial" w:hAnsi="Arial" w:cs="Arial"/>
          <w:color w:val="000000"/>
          <w:szCs w:val="24"/>
        </w:rPr>
        <w:t>ch-needed, expensive medicines. The Review will look at</w:t>
      </w:r>
      <w:r w:rsidRPr="00A32996">
        <w:rPr>
          <w:rFonts w:ascii="Arial" w:hAnsi="Arial" w:cs="Arial"/>
          <w:color w:val="000000"/>
          <w:szCs w:val="24"/>
        </w:rPr>
        <w:t xml:space="preserve"> important issues such as access and equity, value for money and the future administration of the programme.</w:t>
      </w:r>
    </w:p>
    <w:p w:rsidR="008F455B" w:rsidRDefault="005C0711" w:rsidP="00525AA3">
      <w:pPr>
        <w:jc w:val="both"/>
        <w:rPr>
          <w:rFonts w:ascii="Arial" w:hAnsi="Arial" w:cs="Arial"/>
          <w:color w:val="000000"/>
          <w:szCs w:val="24"/>
        </w:rPr>
      </w:pPr>
      <w:r>
        <w:rPr>
          <w:rFonts w:ascii="Arial" w:hAnsi="Arial" w:cs="Arial"/>
          <w:color w:val="000000"/>
          <w:szCs w:val="24"/>
        </w:rPr>
        <w:t>P</w:t>
      </w:r>
      <w:r w:rsidR="008F455B" w:rsidRPr="00A32996">
        <w:rPr>
          <w:rFonts w:ascii="Arial" w:hAnsi="Arial" w:cs="Arial"/>
          <w:color w:val="000000"/>
          <w:szCs w:val="24"/>
        </w:rPr>
        <w:t xml:space="preserve">atients </w:t>
      </w:r>
      <w:r w:rsidR="007C57EA">
        <w:rPr>
          <w:rFonts w:ascii="Arial" w:hAnsi="Arial" w:cs="Arial"/>
          <w:color w:val="000000"/>
          <w:szCs w:val="24"/>
        </w:rPr>
        <w:t>o</w:t>
      </w:r>
      <w:r w:rsidR="00356809">
        <w:rPr>
          <w:rFonts w:ascii="Arial" w:hAnsi="Arial" w:cs="Arial"/>
          <w:color w:val="000000"/>
          <w:szCs w:val="24"/>
        </w:rPr>
        <w:t>n</w:t>
      </w:r>
      <w:r w:rsidR="007C57EA">
        <w:rPr>
          <w:rFonts w:ascii="Arial" w:hAnsi="Arial" w:cs="Arial"/>
          <w:color w:val="000000"/>
          <w:szCs w:val="24"/>
        </w:rPr>
        <w:t xml:space="preserve"> </w:t>
      </w:r>
      <w:r w:rsidR="00356809">
        <w:rPr>
          <w:rFonts w:ascii="Arial" w:hAnsi="Arial" w:cs="Arial"/>
          <w:color w:val="000000"/>
          <w:szCs w:val="24"/>
        </w:rPr>
        <w:t xml:space="preserve">the </w:t>
      </w:r>
      <w:r>
        <w:rPr>
          <w:rFonts w:ascii="Arial" w:hAnsi="Arial" w:cs="Arial"/>
          <w:color w:val="000000"/>
          <w:szCs w:val="24"/>
        </w:rPr>
        <w:t>P</w:t>
      </w:r>
      <w:r w:rsidR="008F455B" w:rsidRPr="00A32996">
        <w:rPr>
          <w:rFonts w:ascii="Arial" w:hAnsi="Arial" w:cs="Arial"/>
          <w:color w:val="000000"/>
          <w:szCs w:val="24"/>
        </w:rPr>
        <w:t xml:space="preserve">rogramme </w:t>
      </w:r>
      <w:r w:rsidR="00356809">
        <w:rPr>
          <w:rFonts w:ascii="Arial" w:hAnsi="Arial" w:cs="Arial"/>
          <w:color w:val="000000"/>
          <w:szCs w:val="24"/>
        </w:rPr>
        <w:t>should be reassured that significant changes will not be made to eligibility for the LSDP during the course of the Review.</w:t>
      </w:r>
      <w:r>
        <w:rPr>
          <w:rFonts w:ascii="Arial" w:hAnsi="Arial" w:cs="Arial"/>
          <w:color w:val="000000"/>
          <w:szCs w:val="24"/>
        </w:rPr>
        <w:t xml:space="preserve"> N</w:t>
      </w:r>
      <w:r w:rsidR="008F455B" w:rsidRPr="00A32996">
        <w:rPr>
          <w:rFonts w:ascii="Arial" w:hAnsi="Arial" w:cs="Arial"/>
          <w:color w:val="000000"/>
          <w:szCs w:val="24"/>
        </w:rPr>
        <w:t xml:space="preserve">ew patients </w:t>
      </w:r>
      <w:r>
        <w:rPr>
          <w:rFonts w:ascii="Arial" w:hAnsi="Arial" w:cs="Arial"/>
          <w:color w:val="000000"/>
          <w:szCs w:val="24"/>
        </w:rPr>
        <w:t xml:space="preserve">with rare diseases that are eligible for existing drugs </w:t>
      </w:r>
      <w:r w:rsidR="008F455B" w:rsidRPr="00A32996">
        <w:rPr>
          <w:rFonts w:ascii="Arial" w:hAnsi="Arial" w:cs="Arial"/>
          <w:color w:val="000000"/>
          <w:szCs w:val="24"/>
        </w:rPr>
        <w:t xml:space="preserve">can continue to apply for access to treatment and applications for new medicines seeking LSDP listing will continue to be considered. </w:t>
      </w:r>
    </w:p>
    <w:p w:rsidR="008F455B" w:rsidRPr="008F455B" w:rsidRDefault="008F455B" w:rsidP="00525AA3">
      <w:pPr>
        <w:jc w:val="both"/>
        <w:rPr>
          <w:rFonts w:ascii="Arial" w:hAnsi="Arial" w:cs="Arial"/>
          <w:color w:val="000000"/>
          <w:szCs w:val="24"/>
        </w:rPr>
      </w:pPr>
      <w:r w:rsidRPr="008F455B">
        <w:rPr>
          <w:rFonts w:ascii="Arial" w:hAnsi="Arial" w:cs="Arial"/>
          <w:color w:val="000000"/>
          <w:szCs w:val="24"/>
        </w:rPr>
        <w:t>The public were invited to comment on the terms of reference from 11 August 2014 to 10 November 2014.  Submissions received can be</w:t>
      </w:r>
      <w:r w:rsidR="00B12F80">
        <w:rPr>
          <w:rFonts w:ascii="Arial" w:hAnsi="Arial" w:cs="Arial"/>
          <w:color w:val="000000"/>
          <w:szCs w:val="24"/>
        </w:rPr>
        <w:t xml:space="preserve"> found on the PBS website at </w:t>
      </w:r>
      <w:r w:rsidR="00252D20" w:rsidRPr="00252D20">
        <w:rPr>
          <w:rFonts w:ascii="Arial" w:hAnsi="Arial" w:cs="Arial"/>
          <w:color w:val="000000"/>
          <w:szCs w:val="24"/>
        </w:rPr>
        <w:t>http://www.pbs.gov.au/info/reviews/life-saving-drugs</w:t>
      </w:r>
    </w:p>
    <w:p w:rsidR="00FC5581" w:rsidRPr="00DC20C6" w:rsidRDefault="00FC5581" w:rsidP="004E7CB0">
      <w:pPr>
        <w:jc w:val="both"/>
        <w:rPr>
          <w:rFonts w:ascii="Arial" w:hAnsi="Arial" w:cs="Arial"/>
          <w:color w:val="000000"/>
          <w:szCs w:val="24"/>
        </w:rPr>
      </w:pPr>
      <w:r w:rsidRPr="00DC20C6">
        <w:rPr>
          <w:rFonts w:ascii="Arial" w:hAnsi="Arial" w:cs="Arial"/>
          <w:color w:val="000000"/>
          <w:szCs w:val="24"/>
        </w:rPr>
        <w:t>The terms of reference</w:t>
      </w:r>
      <w:r w:rsidR="00F21288">
        <w:rPr>
          <w:rFonts w:ascii="Arial" w:hAnsi="Arial" w:cs="Arial"/>
          <w:color w:val="000000"/>
          <w:szCs w:val="24"/>
        </w:rPr>
        <w:t xml:space="preserve"> (ToR)</w:t>
      </w:r>
      <w:r w:rsidRPr="00DC20C6">
        <w:rPr>
          <w:rFonts w:ascii="Arial" w:hAnsi="Arial" w:cs="Arial"/>
          <w:color w:val="000000"/>
          <w:szCs w:val="24"/>
        </w:rPr>
        <w:t xml:space="preserve"> are </w:t>
      </w:r>
    </w:p>
    <w:p w:rsidR="00FC5581" w:rsidRPr="00DC20C6" w:rsidRDefault="00FC5581" w:rsidP="00525AA3">
      <w:pPr>
        <w:pStyle w:val="ListParagraph"/>
        <w:numPr>
          <w:ilvl w:val="0"/>
          <w:numId w:val="30"/>
        </w:numPr>
        <w:jc w:val="both"/>
        <w:rPr>
          <w:rFonts w:ascii="Arial" w:hAnsi="Arial" w:cs="Arial"/>
          <w:color w:val="000000"/>
          <w:szCs w:val="24"/>
        </w:rPr>
      </w:pPr>
      <w:r w:rsidRPr="00DC20C6">
        <w:rPr>
          <w:rFonts w:ascii="Arial" w:hAnsi="Arial" w:cs="Arial"/>
          <w:color w:val="000000"/>
          <w:szCs w:val="24"/>
        </w:rPr>
        <w:t>Review the clinical effectiveness and safety of medicines currently subsidised through the LSDP.</w:t>
      </w:r>
    </w:p>
    <w:p w:rsidR="00FC5581" w:rsidRPr="00DC20C6" w:rsidRDefault="00FC5581" w:rsidP="00525AA3">
      <w:pPr>
        <w:pStyle w:val="ListParagraph"/>
        <w:numPr>
          <w:ilvl w:val="0"/>
          <w:numId w:val="30"/>
        </w:numPr>
        <w:jc w:val="both"/>
        <w:rPr>
          <w:rFonts w:ascii="Arial" w:hAnsi="Arial" w:cs="Arial"/>
          <w:color w:val="000000"/>
          <w:szCs w:val="24"/>
        </w:rPr>
      </w:pPr>
      <w:r w:rsidRPr="00DC20C6">
        <w:rPr>
          <w:rFonts w:ascii="Arial" w:hAnsi="Arial" w:cs="Arial"/>
          <w:color w:val="000000"/>
          <w:szCs w:val="24"/>
        </w:rPr>
        <w:t>Review the emerging clinical treatments and diseases, including those that identify sub-groups by molecular target, which could potentially seek subsidisation through the LSDP in the future.</w:t>
      </w:r>
    </w:p>
    <w:p w:rsidR="00FC5581" w:rsidRPr="00DC20C6" w:rsidRDefault="00FC5581" w:rsidP="00525AA3">
      <w:pPr>
        <w:pStyle w:val="ListParagraph"/>
        <w:numPr>
          <w:ilvl w:val="0"/>
          <w:numId w:val="30"/>
        </w:numPr>
        <w:jc w:val="both"/>
        <w:rPr>
          <w:rFonts w:ascii="Arial" w:hAnsi="Arial" w:cs="Arial"/>
          <w:color w:val="000000"/>
          <w:szCs w:val="24"/>
        </w:rPr>
      </w:pPr>
      <w:r w:rsidRPr="00DC20C6">
        <w:rPr>
          <w:rFonts w:ascii="Arial" w:hAnsi="Arial" w:cs="Arial"/>
          <w:color w:val="000000"/>
          <w:szCs w:val="24"/>
        </w:rPr>
        <w:t>Conduct an international comparison of subsidisation of drugs for rare diseases and the definitions for a rare/ultra-rare disease.</w:t>
      </w:r>
    </w:p>
    <w:p w:rsidR="00FC5581" w:rsidRPr="00DC20C6" w:rsidRDefault="00FC5581" w:rsidP="00525AA3">
      <w:pPr>
        <w:pStyle w:val="ListParagraph"/>
        <w:numPr>
          <w:ilvl w:val="0"/>
          <w:numId w:val="30"/>
        </w:numPr>
        <w:jc w:val="both"/>
        <w:rPr>
          <w:rFonts w:ascii="Arial" w:hAnsi="Arial" w:cs="Arial"/>
          <w:color w:val="000000"/>
          <w:szCs w:val="24"/>
        </w:rPr>
      </w:pPr>
      <w:r w:rsidRPr="00DC20C6">
        <w:rPr>
          <w:rFonts w:ascii="Arial" w:hAnsi="Arial" w:cs="Arial"/>
          <w:color w:val="000000"/>
          <w:szCs w:val="24"/>
        </w:rPr>
        <w:t>Compare the subsidisation and equity principles of the PBS and the LSDP.</w:t>
      </w:r>
    </w:p>
    <w:p w:rsidR="00FC5581" w:rsidRPr="00DC20C6" w:rsidRDefault="00FC5581" w:rsidP="00525AA3">
      <w:pPr>
        <w:pStyle w:val="ListParagraph"/>
        <w:numPr>
          <w:ilvl w:val="0"/>
          <w:numId w:val="30"/>
        </w:numPr>
        <w:jc w:val="both"/>
        <w:rPr>
          <w:rFonts w:ascii="Arial" w:hAnsi="Arial" w:cs="Arial"/>
          <w:color w:val="000000"/>
          <w:szCs w:val="24"/>
        </w:rPr>
      </w:pPr>
      <w:r w:rsidRPr="00DC20C6">
        <w:rPr>
          <w:rFonts w:ascii="Arial" w:hAnsi="Arial" w:cs="Arial"/>
          <w:color w:val="000000"/>
          <w:szCs w:val="24"/>
        </w:rPr>
        <w:t>Assess the value for money of the medicines subsidised on the LSDP by evaluating the benefit of each drug’s treatment outcomes, including in terms of quality of life achieved through the programme and their cost.</w:t>
      </w:r>
    </w:p>
    <w:p w:rsidR="00FC5581" w:rsidRPr="00DC20C6" w:rsidRDefault="00FC5581" w:rsidP="00525AA3">
      <w:pPr>
        <w:pStyle w:val="ListParagraph"/>
        <w:numPr>
          <w:ilvl w:val="0"/>
          <w:numId w:val="30"/>
        </w:numPr>
        <w:jc w:val="both"/>
        <w:rPr>
          <w:rFonts w:ascii="Arial" w:hAnsi="Arial" w:cs="Arial"/>
          <w:color w:val="000000"/>
          <w:szCs w:val="24"/>
        </w:rPr>
      </w:pPr>
      <w:r w:rsidRPr="00DC20C6">
        <w:rPr>
          <w:rFonts w:ascii="Arial" w:hAnsi="Arial" w:cs="Arial"/>
          <w:color w:val="000000"/>
          <w:szCs w:val="24"/>
        </w:rPr>
        <w:t>Review the administration of the LSDP including the Guidelines with which the programme is administered for each condition and assess alternative administrative systems.</w:t>
      </w:r>
    </w:p>
    <w:p w:rsidR="008F455B" w:rsidRPr="008F455B" w:rsidRDefault="00FC5581" w:rsidP="00525AA3">
      <w:pPr>
        <w:pStyle w:val="ListParagraph"/>
        <w:numPr>
          <w:ilvl w:val="0"/>
          <w:numId w:val="30"/>
        </w:numPr>
        <w:jc w:val="both"/>
        <w:rPr>
          <w:rFonts w:ascii="Arial" w:hAnsi="Arial" w:cs="Arial"/>
          <w:color w:val="000000"/>
          <w:szCs w:val="24"/>
        </w:rPr>
      </w:pPr>
      <w:r w:rsidRPr="00DC20C6">
        <w:rPr>
          <w:rFonts w:ascii="Arial" w:hAnsi="Arial" w:cs="Arial"/>
          <w:color w:val="000000"/>
          <w:szCs w:val="24"/>
        </w:rPr>
        <w:t xml:space="preserve">Establish a framework for data collection on rare diseases in Australia and assess how this could function internationally. </w:t>
      </w:r>
    </w:p>
    <w:p w:rsidR="00525AA3" w:rsidRDefault="00525AA3" w:rsidP="00525AA3">
      <w:pPr>
        <w:jc w:val="both"/>
        <w:rPr>
          <w:rFonts w:ascii="Arial" w:hAnsi="Arial" w:cs="Arial"/>
          <w:color w:val="000000"/>
          <w:szCs w:val="24"/>
        </w:rPr>
      </w:pPr>
    </w:p>
    <w:p w:rsidR="008F455B" w:rsidRPr="008F455B" w:rsidRDefault="008F455B" w:rsidP="00525AA3">
      <w:pPr>
        <w:jc w:val="both"/>
        <w:rPr>
          <w:rFonts w:ascii="Arial" w:hAnsi="Arial" w:cs="Arial"/>
          <w:color w:val="000000"/>
          <w:szCs w:val="24"/>
        </w:rPr>
      </w:pPr>
      <w:r w:rsidRPr="008F455B">
        <w:rPr>
          <w:rFonts w:ascii="Arial" w:hAnsi="Arial" w:cs="Arial"/>
          <w:color w:val="000000"/>
          <w:szCs w:val="24"/>
        </w:rPr>
        <w:lastRenderedPageBreak/>
        <w:t xml:space="preserve">An expert reference group was established to provide advice and steer the Review. This issues paper has been prepared </w:t>
      </w:r>
      <w:r w:rsidR="00252D20">
        <w:rPr>
          <w:rFonts w:ascii="Arial" w:hAnsi="Arial" w:cs="Arial"/>
          <w:color w:val="000000"/>
          <w:szCs w:val="24"/>
        </w:rPr>
        <w:t xml:space="preserve">by the reference group </w:t>
      </w:r>
      <w:r w:rsidRPr="008F455B">
        <w:rPr>
          <w:rFonts w:ascii="Arial" w:hAnsi="Arial" w:cs="Arial"/>
          <w:color w:val="000000"/>
          <w:szCs w:val="24"/>
        </w:rPr>
        <w:t>to seek public comment into the issues identified</w:t>
      </w:r>
      <w:r w:rsidR="00252D20">
        <w:rPr>
          <w:rFonts w:ascii="Arial" w:hAnsi="Arial" w:cs="Arial"/>
          <w:color w:val="000000"/>
          <w:szCs w:val="24"/>
        </w:rPr>
        <w:t>, to ensure the final report represents views of a wide range of people and these views inform the discussions about future options</w:t>
      </w:r>
      <w:r w:rsidRPr="008F455B">
        <w:rPr>
          <w:rFonts w:ascii="Arial" w:hAnsi="Arial" w:cs="Arial"/>
          <w:color w:val="000000"/>
          <w:szCs w:val="24"/>
        </w:rPr>
        <w:t>.</w:t>
      </w:r>
    </w:p>
    <w:p w:rsidR="008F455B" w:rsidRPr="008F455B" w:rsidRDefault="00252D20" w:rsidP="00525AA3">
      <w:pPr>
        <w:jc w:val="both"/>
        <w:rPr>
          <w:rFonts w:ascii="Arial" w:hAnsi="Arial" w:cs="Arial"/>
          <w:color w:val="000000"/>
          <w:szCs w:val="24"/>
        </w:rPr>
      </w:pPr>
      <w:r>
        <w:rPr>
          <w:rFonts w:ascii="Arial" w:hAnsi="Arial" w:cs="Arial"/>
          <w:color w:val="000000"/>
          <w:szCs w:val="24"/>
        </w:rPr>
        <w:t>The reference group has additional technical information on each term of reference provided</w:t>
      </w:r>
      <w:r w:rsidR="0083333D">
        <w:rPr>
          <w:rFonts w:ascii="Arial" w:hAnsi="Arial" w:cs="Arial"/>
          <w:color w:val="000000"/>
          <w:szCs w:val="24"/>
        </w:rPr>
        <w:t xml:space="preserve"> through</w:t>
      </w:r>
      <w:r>
        <w:rPr>
          <w:rFonts w:ascii="Arial" w:hAnsi="Arial" w:cs="Arial"/>
          <w:color w:val="000000"/>
          <w:szCs w:val="24"/>
        </w:rPr>
        <w:t>:</w:t>
      </w:r>
    </w:p>
    <w:p w:rsidR="008F455B" w:rsidRPr="00525AA3" w:rsidRDefault="008F455B" w:rsidP="00525AA3">
      <w:pPr>
        <w:pStyle w:val="ListParagraph"/>
        <w:numPr>
          <w:ilvl w:val="0"/>
          <w:numId w:val="30"/>
        </w:numPr>
        <w:jc w:val="both"/>
        <w:rPr>
          <w:rFonts w:ascii="Arial" w:hAnsi="Arial" w:cs="Arial"/>
          <w:color w:val="000000"/>
          <w:szCs w:val="24"/>
        </w:rPr>
      </w:pPr>
      <w:r w:rsidRPr="00525AA3">
        <w:rPr>
          <w:rFonts w:ascii="Arial" w:hAnsi="Arial" w:cs="Arial"/>
          <w:color w:val="000000"/>
          <w:szCs w:val="24"/>
        </w:rPr>
        <w:t>A</w:t>
      </w:r>
      <w:r w:rsidR="00252D20" w:rsidRPr="00525AA3">
        <w:rPr>
          <w:rFonts w:ascii="Arial" w:hAnsi="Arial" w:cs="Arial"/>
          <w:color w:val="000000"/>
          <w:szCs w:val="24"/>
        </w:rPr>
        <w:t xml:space="preserve"> health technology assessment </w:t>
      </w:r>
      <w:r w:rsidR="00C70960" w:rsidRPr="00525AA3">
        <w:rPr>
          <w:rFonts w:ascii="Arial" w:hAnsi="Arial" w:cs="Arial"/>
          <w:color w:val="000000"/>
          <w:szCs w:val="24"/>
        </w:rPr>
        <w:t xml:space="preserve">report </w:t>
      </w:r>
      <w:r w:rsidR="00252D20" w:rsidRPr="00525AA3">
        <w:rPr>
          <w:rFonts w:ascii="Arial" w:hAnsi="Arial" w:cs="Arial"/>
          <w:color w:val="000000"/>
          <w:szCs w:val="24"/>
        </w:rPr>
        <w:t xml:space="preserve">by </w:t>
      </w:r>
      <w:r w:rsidRPr="00525AA3">
        <w:rPr>
          <w:rFonts w:ascii="Arial" w:hAnsi="Arial" w:cs="Arial"/>
          <w:color w:val="000000"/>
          <w:szCs w:val="24"/>
        </w:rPr>
        <w:t>the University of Adelaide</w:t>
      </w:r>
      <w:r w:rsidR="00C870FE" w:rsidRPr="00525AA3">
        <w:rPr>
          <w:rFonts w:ascii="Arial" w:hAnsi="Arial" w:cs="Arial"/>
          <w:color w:val="000000"/>
          <w:szCs w:val="24"/>
        </w:rPr>
        <w:t xml:space="preserve"> Health Technology Assessment group</w:t>
      </w:r>
      <w:r w:rsidR="00252D20" w:rsidRPr="00525AA3">
        <w:rPr>
          <w:rFonts w:ascii="Arial" w:hAnsi="Arial" w:cs="Arial"/>
          <w:color w:val="000000"/>
          <w:szCs w:val="24"/>
        </w:rPr>
        <w:t xml:space="preserve"> (</w:t>
      </w:r>
      <w:r w:rsidRPr="00525AA3">
        <w:rPr>
          <w:rFonts w:ascii="Arial" w:hAnsi="Arial" w:cs="Arial"/>
          <w:color w:val="000000"/>
          <w:szCs w:val="24"/>
        </w:rPr>
        <w:t>terms of reference 1-3, 5 and 7</w:t>
      </w:r>
      <w:r w:rsidR="00252D20" w:rsidRPr="00525AA3">
        <w:rPr>
          <w:rFonts w:ascii="Arial" w:hAnsi="Arial" w:cs="Arial"/>
          <w:color w:val="000000"/>
          <w:szCs w:val="24"/>
        </w:rPr>
        <w:t>)</w:t>
      </w:r>
      <w:r w:rsidR="00BC7AAD" w:rsidRPr="00525AA3">
        <w:rPr>
          <w:rFonts w:ascii="Arial" w:hAnsi="Arial" w:cs="Arial"/>
          <w:color w:val="000000"/>
          <w:szCs w:val="24"/>
        </w:rPr>
        <w:t>, (the Evaluator’s report)</w:t>
      </w:r>
      <w:r w:rsidR="00252D20" w:rsidRPr="00525AA3">
        <w:rPr>
          <w:rFonts w:ascii="Arial" w:hAnsi="Arial" w:cs="Arial"/>
          <w:color w:val="000000"/>
          <w:szCs w:val="24"/>
        </w:rPr>
        <w:t>;</w:t>
      </w:r>
      <w:r w:rsidRPr="00525AA3">
        <w:rPr>
          <w:rFonts w:ascii="Arial" w:hAnsi="Arial" w:cs="Arial"/>
          <w:color w:val="000000"/>
          <w:szCs w:val="24"/>
        </w:rPr>
        <w:t xml:space="preserve"> </w:t>
      </w:r>
    </w:p>
    <w:p w:rsidR="00252D20" w:rsidRPr="00525AA3" w:rsidRDefault="0083333D" w:rsidP="00525AA3">
      <w:pPr>
        <w:pStyle w:val="ListParagraph"/>
        <w:numPr>
          <w:ilvl w:val="0"/>
          <w:numId w:val="30"/>
        </w:numPr>
        <w:jc w:val="both"/>
        <w:rPr>
          <w:rFonts w:ascii="Arial" w:hAnsi="Arial" w:cs="Arial"/>
          <w:color w:val="000000"/>
          <w:szCs w:val="24"/>
        </w:rPr>
      </w:pPr>
      <w:r w:rsidRPr="00525AA3">
        <w:rPr>
          <w:rFonts w:ascii="Arial" w:hAnsi="Arial" w:cs="Arial"/>
          <w:color w:val="000000"/>
          <w:szCs w:val="24"/>
        </w:rPr>
        <w:t>A r</w:t>
      </w:r>
      <w:r w:rsidR="00252D20" w:rsidRPr="00525AA3">
        <w:rPr>
          <w:rFonts w:ascii="Arial" w:hAnsi="Arial" w:cs="Arial"/>
          <w:color w:val="000000"/>
          <w:szCs w:val="24"/>
        </w:rPr>
        <w:t xml:space="preserve">esearch report into consumer perspectives undertaken by the </w:t>
      </w:r>
      <w:r w:rsidR="008F455B" w:rsidRPr="00525AA3">
        <w:rPr>
          <w:rFonts w:ascii="Arial" w:hAnsi="Arial" w:cs="Arial"/>
          <w:color w:val="000000"/>
          <w:szCs w:val="24"/>
        </w:rPr>
        <w:t>Consumer Health Forum of Australia</w:t>
      </w:r>
      <w:r w:rsidR="00252D20" w:rsidRPr="00525AA3">
        <w:rPr>
          <w:rFonts w:ascii="Arial" w:hAnsi="Arial" w:cs="Arial"/>
          <w:color w:val="000000"/>
          <w:szCs w:val="24"/>
        </w:rPr>
        <w:t>(</w:t>
      </w:r>
      <w:r w:rsidR="008F455B" w:rsidRPr="00525AA3">
        <w:rPr>
          <w:rFonts w:ascii="Arial" w:hAnsi="Arial" w:cs="Arial"/>
          <w:color w:val="000000"/>
          <w:szCs w:val="24"/>
        </w:rPr>
        <w:t xml:space="preserve">terms of reference </w:t>
      </w:r>
      <w:r w:rsidR="00C70960" w:rsidRPr="00525AA3">
        <w:rPr>
          <w:rFonts w:ascii="Arial" w:hAnsi="Arial" w:cs="Arial"/>
          <w:color w:val="000000"/>
          <w:szCs w:val="24"/>
        </w:rPr>
        <w:t>4</w:t>
      </w:r>
      <w:r w:rsidR="008F455B" w:rsidRPr="00525AA3">
        <w:rPr>
          <w:rFonts w:ascii="Arial" w:hAnsi="Arial" w:cs="Arial"/>
          <w:color w:val="000000"/>
          <w:szCs w:val="24"/>
        </w:rPr>
        <w:t xml:space="preserve"> and 7</w:t>
      </w:r>
      <w:r w:rsidR="00252D20" w:rsidRPr="00525AA3">
        <w:rPr>
          <w:rFonts w:ascii="Arial" w:hAnsi="Arial" w:cs="Arial"/>
          <w:color w:val="000000"/>
          <w:szCs w:val="24"/>
        </w:rPr>
        <w:t>); and</w:t>
      </w:r>
    </w:p>
    <w:p w:rsidR="008F455B" w:rsidRPr="00525AA3" w:rsidRDefault="0083333D" w:rsidP="00525AA3">
      <w:pPr>
        <w:pStyle w:val="ListParagraph"/>
        <w:numPr>
          <w:ilvl w:val="0"/>
          <w:numId w:val="30"/>
        </w:numPr>
        <w:jc w:val="both"/>
        <w:rPr>
          <w:rFonts w:ascii="Arial" w:hAnsi="Arial" w:cs="Arial"/>
          <w:color w:val="000000"/>
          <w:szCs w:val="24"/>
        </w:rPr>
      </w:pPr>
      <w:r w:rsidRPr="00525AA3">
        <w:rPr>
          <w:rFonts w:ascii="Arial" w:hAnsi="Arial" w:cs="Arial"/>
          <w:color w:val="000000"/>
          <w:szCs w:val="24"/>
        </w:rPr>
        <w:t>A r</w:t>
      </w:r>
      <w:r w:rsidR="00252D20" w:rsidRPr="00525AA3">
        <w:rPr>
          <w:rFonts w:ascii="Arial" w:hAnsi="Arial" w:cs="Arial"/>
          <w:color w:val="000000"/>
          <w:szCs w:val="24"/>
        </w:rPr>
        <w:t>eport on the current administration of the Programme provided by the Department of Health</w:t>
      </w:r>
      <w:r w:rsidR="008F455B" w:rsidRPr="00525AA3">
        <w:rPr>
          <w:rFonts w:ascii="Arial" w:hAnsi="Arial" w:cs="Arial"/>
          <w:color w:val="000000"/>
          <w:szCs w:val="24"/>
        </w:rPr>
        <w:t xml:space="preserve">. </w:t>
      </w:r>
    </w:p>
    <w:p w:rsidR="008F455B" w:rsidRPr="008F455B" w:rsidRDefault="008F455B" w:rsidP="00525AA3">
      <w:pPr>
        <w:jc w:val="both"/>
        <w:rPr>
          <w:rFonts w:ascii="Arial" w:hAnsi="Arial" w:cs="Arial"/>
          <w:color w:val="000000"/>
          <w:szCs w:val="24"/>
        </w:rPr>
      </w:pPr>
      <w:r w:rsidRPr="008F455B">
        <w:rPr>
          <w:rFonts w:ascii="Arial" w:hAnsi="Arial" w:cs="Arial"/>
          <w:color w:val="000000"/>
          <w:szCs w:val="24"/>
        </w:rPr>
        <w:t xml:space="preserve">Parties interested in providing comments to this Issues paper should provide their submissions no later than </w:t>
      </w:r>
      <w:r w:rsidR="00BC7AAD">
        <w:rPr>
          <w:rFonts w:ascii="Arial" w:hAnsi="Arial" w:cs="Arial"/>
          <w:color w:val="000000"/>
          <w:szCs w:val="24"/>
        </w:rPr>
        <w:t>3</w:t>
      </w:r>
      <w:r w:rsidR="00075FA3">
        <w:rPr>
          <w:rFonts w:ascii="Arial" w:hAnsi="Arial" w:cs="Arial"/>
          <w:color w:val="000000"/>
          <w:szCs w:val="24"/>
        </w:rPr>
        <w:t>0</w:t>
      </w:r>
      <w:r w:rsidRPr="008F455B">
        <w:rPr>
          <w:rFonts w:ascii="Arial" w:hAnsi="Arial" w:cs="Arial"/>
          <w:color w:val="000000"/>
          <w:szCs w:val="24"/>
        </w:rPr>
        <w:t xml:space="preserve"> April 2015.</w:t>
      </w:r>
    </w:p>
    <w:p w:rsidR="00525AA3" w:rsidRPr="00525AA3" w:rsidRDefault="008F455B" w:rsidP="00525AA3">
      <w:pPr>
        <w:pStyle w:val="Heading1"/>
        <w:jc w:val="both"/>
        <w:rPr>
          <w:color w:val="auto"/>
          <w:sz w:val="24"/>
          <w:szCs w:val="24"/>
        </w:rPr>
      </w:pPr>
      <w:r w:rsidRPr="00525AA3">
        <w:rPr>
          <w:rFonts w:ascii="Arial" w:hAnsi="Arial" w:cs="Arial"/>
          <w:b w:val="0"/>
          <w:color w:val="000000"/>
          <w:sz w:val="24"/>
          <w:szCs w:val="24"/>
        </w:rPr>
        <w:t xml:space="preserve">Further information about post market reviews can be found at </w:t>
      </w:r>
      <w:hyperlink r:id="rId12" w:history="1">
        <w:r w:rsidRPr="00525AA3">
          <w:rPr>
            <w:rStyle w:val="Hyperlink"/>
            <w:rFonts w:ascii="Arial" w:hAnsi="Arial" w:cs="Arial"/>
            <w:b w:val="0"/>
            <w:sz w:val="24"/>
            <w:szCs w:val="24"/>
          </w:rPr>
          <w:t>http://www.pbs.gov.au/info/browse/reviews</w:t>
        </w:r>
      </w:hyperlink>
    </w:p>
    <w:p w:rsidR="00DC20C6" w:rsidRPr="00F81AA7" w:rsidRDefault="00516E62" w:rsidP="00F81AA7">
      <w:pPr>
        <w:pStyle w:val="Heading1"/>
        <w:rPr>
          <w:rFonts w:ascii="Arial" w:hAnsi="Arial" w:cs="Arial"/>
          <w:color w:val="auto"/>
          <w:sz w:val="40"/>
          <w:szCs w:val="40"/>
        </w:rPr>
      </w:pPr>
      <w:r w:rsidRPr="00F81AA7">
        <w:rPr>
          <w:rFonts w:ascii="Arial" w:hAnsi="Arial" w:cs="Arial"/>
          <w:color w:val="auto"/>
          <w:sz w:val="40"/>
          <w:szCs w:val="40"/>
        </w:rPr>
        <w:t xml:space="preserve">Overview </w:t>
      </w:r>
      <w:r w:rsidR="00CD3730" w:rsidRPr="00F81AA7">
        <w:rPr>
          <w:rFonts w:ascii="Arial" w:hAnsi="Arial" w:cs="Arial"/>
          <w:color w:val="auto"/>
          <w:sz w:val="40"/>
          <w:szCs w:val="40"/>
        </w:rPr>
        <w:t>of the LSDP</w:t>
      </w:r>
    </w:p>
    <w:p w:rsidR="00A32996" w:rsidRPr="00C371D5" w:rsidRDefault="00A32996" w:rsidP="008A4CEA">
      <w:pPr>
        <w:pStyle w:val="Default"/>
        <w:jc w:val="both"/>
        <w:rPr>
          <w:b/>
          <w:bCs/>
          <w:sz w:val="36"/>
          <w:szCs w:val="40"/>
        </w:rPr>
      </w:pPr>
    </w:p>
    <w:p w:rsidR="009F1CCB" w:rsidRPr="009F1CCB" w:rsidRDefault="009F1CCB" w:rsidP="008A4CEA">
      <w:pPr>
        <w:jc w:val="both"/>
        <w:rPr>
          <w:rFonts w:ascii="Arial" w:hAnsi="Arial" w:cs="Arial"/>
          <w:color w:val="000000"/>
          <w:szCs w:val="24"/>
        </w:rPr>
      </w:pPr>
      <w:r w:rsidRPr="009F1CCB">
        <w:rPr>
          <w:rFonts w:ascii="Arial" w:hAnsi="Arial" w:cs="Arial"/>
          <w:color w:val="000000"/>
          <w:szCs w:val="24"/>
        </w:rPr>
        <w:t>The LSDP</w:t>
      </w:r>
      <w:r w:rsidR="00FC5581" w:rsidRPr="009F1CCB">
        <w:rPr>
          <w:rFonts w:ascii="Arial" w:hAnsi="Arial" w:cs="Arial"/>
          <w:color w:val="000000"/>
          <w:szCs w:val="24"/>
        </w:rPr>
        <w:t xml:space="preserve"> provides subsidised access for eligible patients to expensive and lifesaving drugs for seri</w:t>
      </w:r>
      <w:r w:rsidRPr="009F1CCB">
        <w:rPr>
          <w:rFonts w:ascii="Arial" w:hAnsi="Arial" w:cs="Arial"/>
          <w:color w:val="000000"/>
          <w:szCs w:val="24"/>
        </w:rPr>
        <w:t xml:space="preserve">ous and rare medical conditions, </w:t>
      </w:r>
      <w:r w:rsidRPr="00744004">
        <w:rPr>
          <w:rFonts w:ascii="Arial" w:hAnsi="Arial" w:cs="Arial"/>
          <w:color w:val="000000"/>
          <w:szCs w:val="24"/>
        </w:rPr>
        <w:t xml:space="preserve">under Section 32B (s32B) of the </w:t>
      </w:r>
      <w:r w:rsidRPr="00525AA3">
        <w:rPr>
          <w:rFonts w:ascii="Arial" w:hAnsi="Arial" w:cs="Arial"/>
          <w:i/>
          <w:color w:val="000000"/>
          <w:szCs w:val="24"/>
        </w:rPr>
        <w:t>Financial Framework (Supplementary Powers) Act 1997</w:t>
      </w:r>
      <w:r w:rsidRPr="00744004">
        <w:rPr>
          <w:rFonts w:ascii="Arial" w:hAnsi="Arial" w:cs="Arial"/>
          <w:color w:val="000000"/>
          <w:szCs w:val="24"/>
        </w:rPr>
        <w:t xml:space="preserve"> (</w:t>
      </w:r>
      <w:proofErr w:type="gramStart"/>
      <w:r w:rsidRPr="00744004">
        <w:rPr>
          <w:rFonts w:ascii="Arial" w:hAnsi="Arial" w:cs="Arial"/>
          <w:color w:val="000000"/>
          <w:szCs w:val="24"/>
        </w:rPr>
        <w:t>FF(</w:t>
      </w:r>
      <w:proofErr w:type="gramEnd"/>
      <w:r w:rsidRPr="00744004">
        <w:rPr>
          <w:rFonts w:ascii="Arial" w:hAnsi="Arial" w:cs="Arial"/>
          <w:color w:val="000000"/>
          <w:szCs w:val="24"/>
        </w:rPr>
        <w:t xml:space="preserve">SP) Act) and Schedule 1AA (Part 4) of </w:t>
      </w:r>
      <w:r w:rsidRPr="00525AA3">
        <w:rPr>
          <w:rFonts w:ascii="Arial" w:hAnsi="Arial" w:cs="Arial"/>
          <w:i/>
          <w:color w:val="000000"/>
          <w:szCs w:val="24"/>
        </w:rPr>
        <w:t>the Financial Framework (Supplementary Powers) Regulations 1997</w:t>
      </w:r>
      <w:r>
        <w:rPr>
          <w:rFonts w:ascii="Arial" w:hAnsi="Arial" w:cs="Arial"/>
          <w:color w:val="000000"/>
          <w:szCs w:val="24"/>
        </w:rPr>
        <w:t xml:space="preserve">  (FF(SP) Regulations),</w:t>
      </w:r>
      <w:r w:rsidRPr="00744004">
        <w:rPr>
          <w:rFonts w:ascii="Arial" w:hAnsi="Arial" w:cs="Arial"/>
          <w:color w:val="000000"/>
          <w:szCs w:val="24"/>
        </w:rPr>
        <w:t xml:space="preserve"> Item number 415.009 (Targeted Assistance – Pharmaceuticals).</w:t>
      </w:r>
    </w:p>
    <w:p w:rsidR="009F1CCB" w:rsidRDefault="009F1CCB" w:rsidP="008A4CEA">
      <w:pPr>
        <w:jc w:val="both"/>
        <w:rPr>
          <w:rFonts w:ascii="Arial" w:hAnsi="Arial" w:cs="Arial"/>
          <w:color w:val="000000"/>
          <w:szCs w:val="24"/>
        </w:rPr>
      </w:pPr>
      <w:r>
        <w:rPr>
          <w:rFonts w:ascii="Arial" w:hAnsi="Arial" w:cs="Arial"/>
          <w:color w:val="000000"/>
          <w:szCs w:val="24"/>
        </w:rPr>
        <w:t>U</w:t>
      </w:r>
      <w:r w:rsidRPr="00744004">
        <w:rPr>
          <w:rFonts w:ascii="Arial" w:hAnsi="Arial" w:cs="Arial"/>
          <w:color w:val="000000"/>
          <w:szCs w:val="24"/>
        </w:rPr>
        <w:t>nder item number 415.009</w:t>
      </w:r>
      <w:r>
        <w:rPr>
          <w:rFonts w:ascii="Arial" w:hAnsi="Arial" w:cs="Arial"/>
          <w:color w:val="000000"/>
          <w:szCs w:val="24"/>
        </w:rPr>
        <w:t xml:space="preserve"> the Minister for Health or her delegate, the Secretary of the Department of Health, must seek funding approval of a new medicine </w:t>
      </w:r>
      <w:r w:rsidR="00A32996">
        <w:rPr>
          <w:rFonts w:ascii="Arial" w:hAnsi="Arial" w:cs="Arial"/>
          <w:color w:val="000000"/>
          <w:szCs w:val="24"/>
        </w:rPr>
        <w:t xml:space="preserve">before </w:t>
      </w:r>
      <w:r>
        <w:rPr>
          <w:rFonts w:ascii="Arial" w:hAnsi="Arial" w:cs="Arial"/>
          <w:color w:val="000000"/>
          <w:szCs w:val="24"/>
        </w:rPr>
        <w:t>including the new medicine</w:t>
      </w:r>
      <w:r w:rsidR="00A32996">
        <w:rPr>
          <w:rFonts w:ascii="Arial" w:hAnsi="Arial" w:cs="Arial"/>
          <w:color w:val="000000"/>
          <w:szCs w:val="24"/>
        </w:rPr>
        <w:t xml:space="preserve"> i</w:t>
      </w:r>
      <w:r>
        <w:rPr>
          <w:rFonts w:ascii="Arial" w:hAnsi="Arial" w:cs="Arial"/>
          <w:color w:val="000000"/>
          <w:szCs w:val="24"/>
        </w:rPr>
        <w:t>n the LSDP.</w:t>
      </w:r>
    </w:p>
    <w:p w:rsidR="00CE51F8" w:rsidRPr="00CE51F8" w:rsidRDefault="00CE51F8" w:rsidP="008A4CEA">
      <w:pPr>
        <w:jc w:val="both"/>
        <w:rPr>
          <w:rFonts w:ascii="Arial" w:hAnsi="Arial" w:cs="Arial"/>
          <w:color w:val="000000"/>
          <w:szCs w:val="24"/>
        </w:rPr>
      </w:pPr>
      <w:r w:rsidRPr="00CE51F8">
        <w:rPr>
          <w:rFonts w:ascii="Arial" w:hAnsi="Arial" w:cs="Arial"/>
          <w:color w:val="000000"/>
          <w:szCs w:val="24"/>
        </w:rPr>
        <w:t xml:space="preserve">The LSDP currently subsidises ten medicines for eligible patients with one of seven rare and life threatening diseases. </w:t>
      </w:r>
    </w:p>
    <w:p w:rsidR="00CE51F8" w:rsidRDefault="00CE51F8" w:rsidP="008A4CEA">
      <w:pPr>
        <w:jc w:val="both"/>
        <w:rPr>
          <w:rFonts w:ascii="Arial" w:hAnsi="Arial" w:cs="Arial"/>
          <w:color w:val="000000"/>
          <w:szCs w:val="24"/>
        </w:rPr>
      </w:pPr>
      <w:r w:rsidRPr="00CE51F8">
        <w:rPr>
          <w:rFonts w:ascii="Arial" w:hAnsi="Arial" w:cs="Arial"/>
          <w:color w:val="000000"/>
          <w:szCs w:val="24"/>
        </w:rPr>
        <w:t xml:space="preserve">In 2013-14, the </w:t>
      </w:r>
      <w:r w:rsidR="00B25C41">
        <w:rPr>
          <w:rFonts w:ascii="Arial" w:hAnsi="Arial" w:cs="Arial"/>
          <w:color w:val="000000"/>
          <w:szCs w:val="24"/>
        </w:rPr>
        <w:t>P</w:t>
      </w:r>
      <w:r w:rsidRPr="00CE51F8">
        <w:rPr>
          <w:rFonts w:ascii="Arial" w:hAnsi="Arial" w:cs="Arial"/>
          <w:color w:val="000000"/>
          <w:szCs w:val="24"/>
        </w:rPr>
        <w:t>rogramme</w:t>
      </w:r>
      <w:r w:rsidR="00746E4E">
        <w:rPr>
          <w:rFonts w:ascii="Arial" w:hAnsi="Arial" w:cs="Arial"/>
          <w:color w:val="000000"/>
          <w:szCs w:val="24"/>
        </w:rPr>
        <w:t xml:space="preserve"> treated 257</w:t>
      </w:r>
      <w:r w:rsidRPr="00CE51F8">
        <w:rPr>
          <w:rFonts w:ascii="Arial" w:hAnsi="Arial" w:cs="Arial"/>
          <w:color w:val="000000"/>
          <w:szCs w:val="24"/>
        </w:rPr>
        <w:t xml:space="preserve"> patients at a cost of approximately </w:t>
      </w:r>
      <w:r w:rsidR="00746E4E">
        <w:rPr>
          <w:rFonts w:ascii="Arial" w:hAnsi="Arial" w:cs="Arial"/>
          <w:color w:val="000000"/>
          <w:szCs w:val="24"/>
        </w:rPr>
        <w:t>$77.</w:t>
      </w:r>
      <w:r w:rsidR="0083333D">
        <w:rPr>
          <w:rFonts w:ascii="Arial" w:hAnsi="Arial" w:cs="Arial"/>
          <w:color w:val="000000"/>
          <w:szCs w:val="24"/>
        </w:rPr>
        <w:t>3</w:t>
      </w:r>
      <w:r w:rsidRPr="00CE51F8">
        <w:rPr>
          <w:rFonts w:ascii="Arial" w:hAnsi="Arial" w:cs="Arial"/>
          <w:color w:val="000000"/>
          <w:szCs w:val="24"/>
        </w:rPr>
        <w:t xml:space="preserve"> million. </w:t>
      </w:r>
      <w:r w:rsidR="00B25C41">
        <w:rPr>
          <w:rFonts w:ascii="Arial" w:hAnsi="Arial" w:cs="Arial"/>
          <w:color w:val="000000"/>
          <w:szCs w:val="24"/>
        </w:rPr>
        <w:t xml:space="preserve">Currently 268 patients are being treated on the Programme. </w:t>
      </w:r>
      <w:proofErr w:type="gramStart"/>
      <w:r w:rsidRPr="00CE51F8">
        <w:rPr>
          <w:rFonts w:ascii="Arial" w:hAnsi="Arial" w:cs="Arial"/>
          <w:color w:val="000000"/>
          <w:szCs w:val="24"/>
        </w:rPr>
        <w:t xml:space="preserve">On average costs </w:t>
      </w:r>
      <w:r w:rsidR="0083333D">
        <w:rPr>
          <w:rFonts w:ascii="Arial" w:hAnsi="Arial" w:cs="Arial"/>
          <w:color w:val="000000"/>
          <w:szCs w:val="24"/>
        </w:rPr>
        <w:t xml:space="preserve">over </w:t>
      </w:r>
      <w:r>
        <w:rPr>
          <w:rFonts w:ascii="Arial" w:hAnsi="Arial" w:cs="Arial"/>
          <w:color w:val="000000"/>
          <w:szCs w:val="24"/>
        </w:rPr>
        <w:t>$30</w:t>
      </w:r>
      <w:r w:rsidRPr="00CE51F8">
        <w:rPr>
          <w:rFonts w:ascii="Arial" w:hAnsi="Arial" w:cs="Arial"/>
          <w:color w:val="000000"/>
          <w:szCs w:val="24"/>
        </w:rPr>
        <w:t>0,000 annually to treat a patient through the programme.</w:t>
      </w:r>
      <w:proofErr w:type="gramEnd"/>
      <w:r w:rsidRPr="00CE51F8">
        <w:rPr>
          <w:rFonts w:ascii="Arial" w:hAnsi="Arial" w:cs="Arial"/>
          <w:color w:val="000000"/>
          <w:szCs w:val="24"/>
        </w:rPr>
        <w:t xml:space="preserve"> </w:t>
      </w:r>
    </w:p>
    <w:p w:rsidR="00CB5520" w:rsidRPr="00F81AA7" w:rsidRDefault="00946C7B" w:rsidP="00F81AA7">
      <w:pPr>
        <w:pStyle w:val="Heading2"/>
        <w:spacing w:line="360" w:lineRule="auto"/>
        <w:rPr>
          <w:rFonts w:ascii="Arial" w:hAnsi="Arial" w:cs="Arial"/>
          <w:i/>
          <w:color w:val="auto"/>
          <w:sz w:val="24"/>
          <w:szCs w:val="24"/>
        </w:rPr>
      </w:pPr>
      <w:r w:rsidRPr="00F81AA7">
        <w:rPr>
          <w:rFonts w:ascii="Arial" w:hAnsi="Arial" w:cs="Arial"/>
          <w:i/>
          <w:color w:val="auto"/>
          <w:sz w:val="24"/>
          <w:szCs w:val="24"/>
        </w:rPr>
        <w:lastRenderedPageBreak/>
        <w:t xml:space="preserve">Process to list LSDP drugs </w:t>
      </w:r>
    </w:p>
    <w:p w:rsidR="009F1CCB" w:rsidRPr="009F1CCB" w:rsidRDefault="009F1CCB" w:rsidP="00525AA3">
      <w:pPr>
        <w:jc w:val="both"/>
        <w:rPr>
          <w:rFonts w:ascii="Arial" w:hAnsi="Arial" w:cs="Arial"/>
          <w:color w:val="000000"/>
          <w:szCs w:val="24"/>
        </w:rPr>
      </w:pPr>
      <w:r w:rsidRPr="009F1CCB">
        <w:rPr>
          <w:rFonts w:ascii="Arial" w:hAnsi="Arial" w:cs="Arial"/>
          <w:color w:val="000000"/>
          <w:szCs w:val="24"/>
        </w:rPr>
        <w:t xml:space="preserve">Submissions for a drug to be considered for inclusion in the </w:t>
      </w:r>
      <w:r w:rsidR="00DC20C6" w:rsidRPr="009F1CCB">
        <w:rPr>
          <w:rFonts w:ascii="Arial" w:hAnsi="Arial" w:cs="Arial"/>
          <w:color w:val="000000"/>
          <w:szCs w:val="24"/>
        </w:rPr>
        <w:t>LSDP must</w:t>
      </w:r>
      <w:r w:rsidRPr="009F1CCB">
        <w:rPr>
          <w:rFonts w:ascii="Arial" w:hAnsi="Arial" w:cs="Arial"/>
          <w:color w:val="000000"/>
          <w:szCs w:val="24"/>
        </w:rPr>
        <w:t xml:space="preserve"> </w:t>
      </w:r>
      <w:r w:rsidR="00DC64D9">
        <w:rPr>
          <w:rFonts w:ascii="Arial" w:hAnsi="Arial" w:cs="Arial"/>
          <w:color w:val="000000"/>
          <w:szCs w:val="24"/>
        </w:rPr>
        <w:t xml:space="preserve">be </w:t>
      </w:r>
      <w:r w:rsidR="00077BE7">
        <w:rPr>
          <w:rFonts w:ascii="Arial" w:hAnsi="Arial" w:cs="Arial"/>
          <w:color w:val="000000"/>
          <w:szCs w:val="24"/>
        </w:rPr>
        <w:t xml:space="preserve">lodged in </w:t>
      </w:r>
      <w:r w:rsidR="00DC64D9">
        <w:rPr>
          <w:rFonts w:ascii="Arial" w:hAnsi="Arial" w:cs="Arial"/>
          <w:color w:val="000000"/>
          <w:szCs w:val="24"/>
        </w:rPr>
        <w:t>c</w:t>
      </w:r>
      <w:r w:rsidR="00077BE7">
        <w:rPr>
          <w:rFonts w:ascii="Arial" w:hAnsi="Arial" w:cs="Arial"/>
          <w:color w:val="000000"/>
          <w:szCs w:val="24"/>
        </w:rPr>
        <w:t>onjunction with submissions</w:t>
      </w:r>
      <w:r w:rsidRPr="009F1CCB">
        <w:rPr>
          <w:rFonts w:ascii="Arial" w:hAnsi="Arial" w:cs="Arial"/>
          <w:color w:val="000000"/>
          <w:szCs w:val="24"/>
        </w:rPr>
        <w:t xml:space="preserve"> </w:t>
      </w:r>
      <w:r w:rsidR="00DC20C6">
        <w:rPr>
          <w:rFonts w:ascii="Arial" w:hAnsi="Arial" w:cs="Arial"/>
          <w:color w:val="000000"/>
          <w:szCs w:val="24"/>
        </w:rPr>
        <w:t>to the Pharmaceutical Benefits Advisory Committee (PBAC)</w:t>
      </w:r>
      <w:r w:rsidRPr="009F1CCB">
        <w:rPr>
          <w:rFonts w:ascii="Arial" w:hAnsi="Arial" w:cs="Arial"/>
          <w:color w:val="000000"/>
          <w:szCs w:val="24"/>
        </w:rPr>
        <w:t xml:space="preserve"> for P</w:t>
      </w:r>
      <w:r w:rsidR="00DC20C6">
        <w:rPr>
          <w:rFonts w:ascii="Arial" w:hAnsi="Arial" w:cs="Arial"/>
          <w:color w:val="000000"/>
          <w:szCs w:val="24"/>
        </w:rPr>
        <w:t xml:space="preserve">harmaceutical </w:t>
      </w:r>
      <w:r w:rsidRPr="009F1CCB">
        <w:rPr>
          <w:rFonts w:ascii="Arial" w:hAnsi="Arial" w:cs="Arial"/>
          <w:color w:val="000000"/>
          <w:szCs w:val="24"/>
        </w:rPr>
        <w:t>B</w:t>
      </w:r>
      <w:r w:rsidR="00DC20C6">
        <w:rPr>
          <w:rFonts w:ascii="Arial" w:hAnsi="Arial" w:cs="Arial"/>
          <w:color w:val="000000"/>
          <w:szCs w:val="24"/>
        </w:rPr>
        <w:t xml:space="preserve">enefits </w:t>
      </w:r>
      <w:r w:rsidRPr="009F1CCB">
        <w:rPr>
          <w:rFonts w:ascii="Arial" w:hAnsi="Arial" w:cs="Arial"/>
          <w:color w:val="000000"/>
          <w:szCs w:val="24"/>
        </w:rPr>
        <w:t>S</w:t>
      </w:r>
      <w:r w:rsidR="00DC20C6">
        <w:rPr>
          <w:rFonts w:ascii="Arial" w:hAnsi="Arial" w:cs="Arial"/>
          <w:color w:val="000000"/>
          <w:szCs w:val="24"/>
        </w:rPr>
        <w:t>chedule (PBS)</w:t>
      </w:r>
      <w:r w:rsidRPr="009F1CCB">
        <w:rPr>
          <w:rFonts w:ascii="Arial" w:hAnsi="Arial" w:cs="Arial"/>
          <w:color w:val="000000"/>
          <w:szCs w:val="24"/>
        </w:rPr>
        <w:t xml:space="preserve"> listing</w:t>
      </w:r>
      <w:r w:rsidR="00DC20C6">
        <w:rPr>
          <w:rFonts w:ascii="Arial" w:hAnsi="Arial" w:cs="Arial"/>
          <w:color w:val="000000"/>
          <w:szCs w:val="24"/>
        </w:rPr>
        <w:t xml:space="preserve">. </w:t>
      </w:r>
      <w:r w:rsidR="0083333D">
        <w:rPr>
          <w:rFonts w:ascii="Arial" w:hAnsi="Arial" w:cs="Arial"/>
          <w:color w:val="000000"/>
          <w:szCs w:val="24"/>
        </w:rPr>
        <w:t>Submissions are received</w:t>
      </w:r>
      <w:r w:rsidR="00DC20C6">
        <w:rPr>
          <w:rFonts w:ascii="Arial" w:hAnsi="Arial" w:cs="Arial"/>
          <w:color w:val="000000"/>
          <w:szCs w:val="24"/>
        </w:rPr>
        <w:t xml:space="preserve"> three </w:t>
      </w:r>
      <w:r w:rsidRPr="009F1CCB">
        <w:rPr>
          <w:rFonts w:ascii="Arial" w:hAnsi="Arial" w:cs="Arial"/>
          <w:color w:val="000000"/>
          <w:szCs w:val="24"/>
        </w:rPr>
        <w:t>times a year</w:t>
      </w:r>
      <w:r w:rsidR="00DC20C6">
        <w:rPr>
          <w:rFonts w:ascii="Arial" w:hAnsi="Arial" w:cs="Arial"/>
          <w:color w:val="000000"/>
          <w:szCs w:val="24"/>
        </w:rPr>
        <w:t>; March, July and November</w:t>
      </w:r>
      <w:r w:rsidR="0083333D">
        <w:rPr>
          <w:rFonts w:ascii="Arial" w:hAnsi="Arial" w:cs="Arial"/>
          <w:color w:val="000000"/>
          <w:szCs w:val="24"/>
        </w:rPr>
        <w:t xml:space="preserve"> by the Department of Health</w:t>
      </w:r>
      <w:r w:rsidR="00DC20C6">
        <w:rPr>
          <w:rFonts w:ascii="Arial" w:hAnsi="Arial" w:cs="Arial"/>
          <w:color w:val="000000"/>
          <w:szCs w:val="24"/>
        </w:rPr>
        <w:t xml:space="preserve">. </w:t>
      </w:r>
      <w:r w:rsidRPr="009F1CCB">
        <w:rPr>
          <w:rFonts w:ascii="Arial" w:hAnsi="Arial" w:cs="Arial"/>
          <w:color w:val="000000"/>
          <w:szCs w:val="24"/>
        </w:rPr>
        <w:t xml:space="preserve"> If </w:t>
      </w:r>
      <w:r w:rsidR="00BC7AAD">
        <w:rPr>
          <w:rFonts w:ascii="Arial" w:hAnsi="Arial" w:cs="Arial"/>
          <w:color w:val="000000"/>
          <w:szCs w:val="24"/>
        </w:rPr>
        <w:t xml:space="preserve">the </w:t>
      </w:r>
      <w:r w:rsidRPr="009F1CCB">
        <w:rPr>
          <w:rFonts w:ascii="Arial" w:hAnsi="Arial" w:cs="Arial"/>
          <w:color w:val="000000"/>
          <w:szCs w:val="24"/>
        </w:rPr>
        <w:t xml:space="preserve">PBAC accepts that the drug is clinically effective for the proposed indication but </w:t>
      </w:r>
      <w:r w:rsidR="00DC20C6">
        <w:rPr>
          <w:rFonts w:ascii="Arial" w:hAnsi="Arial" w:cs="Arial"/>
          <w:color w:val="000000"/>
          <w:szCs w:val="24"/>
        </w:rPr>
        <w:t>considers the drug</w:t>
      </w:r>
      <w:r w:rsidRPr="009F1CCB">
        <w:rPr>
          <w:rFonts w:ascii="Arial" w:hAnsi="Arial" w:cs="Arial"/>
          <w:color w:val="000000"/>
          <w:szCs w:val="24"/>
        </w:rPr>
        <w:t xml:space="preserve"> not cost effective and therefore r</w:t>
      </w:r>
      <w:r w:rsidR="00DC20C6">
        <w:rPr>
          <w:rFonts w:ascii="Arial" w:hAnsi="Arial" w:cs="Arial"/>
          <w:color w:val="000000"/>
          <w:szCs w:val="24"/>
        </w:rPr>
        <w:t>ejects it</w:t>
      </w:r>
      <w:r w:rsidRPr="009F1CCB">
        <w:rPr>
          <w:rFonts w:ascii="Arial" w:hAnsi="Arial" w:cs="Arial"/>
          <w:color w:val="000000"/>
          <w:szCs w:val="24"/>
        </w:rPr>
        <w:t xml:space="preserve"> for listing on the PBS, the Sponsor may then request </w:t>
      </w:r>
      <w:r w:rsidR="00DC20C6" w:rsidRPr="009F1CCB">
        <w:rPr>
          <w:rFonts w:ascii="Arial" w:hAnsi="Arial" w:cs="Arial"/>
          <w:color w:val="000000"/>
          <w:szCs w:val="24"/>
        </w:rPr>
        <w:t>the application</w:t>
      </w:r>
      <w:r w:rsidRPr="009F1CCB">
        <w:rPr>
          <w:rFonts w:ascii="Arial" w:hAnsi="Arial" w:cs="Arial"/>
          <w:color w:val="000000"/>
          <w:szCs w:val="24"/>
        </w:rPr>
        <w:t xml:space="preserve"> be considered for inclusion in the LSDP.</w:t>
      </w:r>
    </w:p>
    <w:p w:rsidR="00DC20C6" w:rsidRDefault="00DC20C6" w:rsidP="00525AA3">
      <w:pPr>
        <w:jc w:val="both"/>
        <w:rPr>
          <w:rFonts w:ascii="Arial" w:hAnsi="Arial" w:cs="Arial"/>
          <w:color w:val="000000"/>
          <w:szCs w:val="24"/>
        </w:rPr>
      </w:pPr>
      <w:r>
        <w:rPr>
          <w:rFonts w:ascii="Arial" w:hAnsi="Arial" w:cs="Arial"/>
          <w:color w:val="000000"/>
          <w:szCs w:val="24"/>
        </w:rPr>
        <w:t xml:space="preserve">To be included </w:t>
      </w:r>
      <w:r w:rsidR="009F1CCB" w:rsidRPr="009F1CCB">
        <w:rPr>
          <w:rFonts w:ascii="Arial" w:hAnsi="Arial" w:cs="Arial"/>
          <w:color w:val="000000"/>
          <w:szCs w:val="24"/>
        </w:rPr>
        <w:t xml:space="preserve">in the </w:t>
      </w:r>
      <w:r>
        <w:rPr>
          <w:rFonts w:ascii="Arial" w:hAnsi="Arial" w:cs="Arial"/>
          <w:color w:val="000000"/>
          <w:szCs w:val="24"/>
        </w:rPr>
        <w:t xml:space="preserve">LSDP, </w:t>
      </w:r>
      <w:r w:rsidRPr="009F1CCB">
        <w:rPr>
          <w:rFonts w:ascii="Arial" w:hAnsi="Arial" w:cs="Arial"/>
          <w:color w:val="000000"/>
          <w:szCs w:val="24"/>
        </w:rPr>
        <w:t>the</w:t>
      </w:r>
      <w:r w:rsidR="009F1CCB" w:rsidRPr="009F1CCB">
        <w:rPr>
          <w:rFonts w:ascii="Arial" w:hAnsi="Arial" w:cs="Arial"/>
          <w:color w:val="000000"/>
          <w:szCs w:val="24"/>
        </w:rPr>
        <w:t xml:space="preserve"> drug must satisfy all of the LSDP criteria for the funding of a drug and the patient conditions for initial and ongoing </w:t>
      </w:r>
      <w:r>
        <w:rPr>
          <w:rFonts w:ascii="Arial" w:hAnsi="Arial" w:cs="Arial"/>
          <w:color w:val="000000"/>
          <w:szCs w:val="24"/>
        </w:rPr>
        <w:t xml:space="preserve">eligibility </w:t>
      </w:r>
      <w:r w:rsidR="009F1CCB" w:rsidRPr="009F1CCB">
        <w:rPr>
          <w:rFonts w:ascii="Arial" w:hAnsi="Arial" w:cs="Arial"/>
          <w:color w:val="000000"/>
          <w:szCs w:val="24"/>
        </w:rPr>
        <w:t xml:space="preserve">(LSDP criteria and conditions). </w:t>
      </w:r>
    </w:p>
    <w:p w:rsidR="00DC20C6" w:rsidRDefault="00A32996" w:rsidP="00525AA3">
      <w:pPr>
        <w:jc w:val="both"/>
        <w:rPr>
          <w:rFonts w:ascii="Arial" w:hAnsi="Arial" w:cs="Arial"/>
          <w:color w:val="000000"/>
          <w:szCs w:val="24"/>
        </w:rPr>
      </w:pPr>
      <w:r>
        <w:rPr>
          <w:rFonts w:ascii="Arial" w:hAnsi="Arial" w:cs="Arial"/>
          <w:color w:val="000000"/>
          <w:szCs w:val="24"/>
        </w:rPr>
        <w:t>An important</w:t>
      </w:r>
      <w:r w:rsidR="009F1CCB" w:rsidRPr="009F1CCB">
        <w:rPr>
          <w:rFonts w:ascii="Arial" w:hAnsi="Arial" w:cs="Arial"/>
          <w:color w:val="000000"/>
          <w:szCs w:val="24"/>
        </w:rPr>
        <w:t xml:space="preserve"> component of the LSDP criteria </w:t>
      </w:r>
      <w:r w:rsidR="00DC20C6">
        <w:rPr>
          <w:rFonts w:ascii="Arial" w:hAnsi="Arial" w:cs="Arial"/>
          <w:color w:val="000000"/>
          <w:szCs w:val="24"/>
        </w:rPr>
        <w:t xml:space="preserve">is the requirement for </w:t>
      </w:r>
      <w:r w:rsidR="009F1CCB" w:rsidRPr="009F1CCB">
        <w:rPr>
          <w:rFonts w:ascii="Arial" w:hAnsi="Arial" w:cs="Arial"/>
          <w:color w:val="000000"/>
          <w:szCs w:val="24"/>
        </w:rPr>
        <w:t xml:space="preserve">the submission of evidence to </w:t>
      </w:r>
      <w:r w:rsidR="00B25C41">
        <w:rPr>
          <w:rFonts w:ascii="Arial" w:hAnsi="Arial" w:cs="Arial"/>
          <w:color w:val="000000"/>
          <w:szCs w:val="24"/>
        </w:rPr>
        <w:t xml:space="preserve">support a </w:t>
      </w:r>
      <w:r w:rsidR="00C550D2">
        <w:rPr>
          <w:rFonts w:ascii="Arial" w:hAnsi="Arial" w:cs="Arial"/>
          <w:color w:val="000000"/>
          <w:szCs w:val="24"/>
        </w:rPr>
        <w:t xml:space="preserve">conclusion </w:t>
      </w:r>
      <w:r w:rsidR="00C550D2" w:rsidRPr="009F1CCB">
        <w:rPr>
          <w:rFonts w:ascii="Arial" w:hAnsi="Arial" w:cs="Arial"/>
          <w:color w:val="000000"/>
          <w:szCs w:val="24"/>
        </w:rPr>
        <w:t>that</w:t>
      </w:r>
      <w:r w:rsidR="009F1CCB" w:rsidRPr="009F1CCB">
        <w:rPr>
          <w:rFonts w:ascii="Arial" w:hAnsi="Arial" w:cs="Arial"/>
          <w:color w:val="000000"/>
          <w:szCs w:val="24"/>
        </w:rPr>
        <w:t xml:space="preserve"> a patient’s lifespan will be substantially extended as a direct consequence of the use of the drug.  </w:t>
      </w:r>
      <w:r w:rsidR="00356809">
        <w:rPr>
          <w:rFonts w:ascii="Arial" w:hAnsi="Arial" w:cs="Arial"/>
          <w:color w:val="000000"/>
          <w:szCs w:val="24"/>
        </w:rPr>
        <w:t>In addition the Chief Medical Officer (CMO) advises the Minister for Health on drugs proposed to be included on the LSDP.</w:t>
      </w:r>
    </w:p>
    <w:p w:rsidR="00A67341" w:rsidRDefault="00CE51F8" w:rsidP="00525AA3">
      <w:pPr>
        <w:jc w:val="both"/>
        <w:rPr>
          <w:rFonts w:ascii="Arial" w:hAnsi="Arial" w:cs="Arial"/>
          <w:color w:val="000000"/>
          <w:szCs w:val="24"/>
        </w:rPr>
      </w:pPr>
      <w:r w:rsidRPr="009F1CCB">
        <w:rPr>
          <w:rFonts w:ascii="Arial" w:hAnsi="Arial" w:cs="Arial"/>
          <w:color w:val="000000"/>
          <w:szCs w:val="24"/>
        </w:rPr>
        <w:t xml:space="preserve">Information on LSDP criteria and conditions is available at </w:t>
      </w:r>
      <w:hyperlink r:id="rId13" w:history="1">
        <w:r w:rsidR="00C371D5" w:rsidRPr="00525AA3">
          <w:rPr>
            <w:rStyle w:val="Hyperlink"/>
            <w:rFonts w:ascii="Arial" w:eastAsiaTheme="majorEastAsia" w:hAnsi="Arial" w:cs="Arial"/>
            <w:bCs/>
            <w:szCs w:val="24"/>
          </w:rPr>
          <w:t>http://www.health.gov.au/internet/main/publishing.nsf/Content/lsdp-criteria</w:t>
        </w:r>
      </w:hyperlink>
    </w:p>
    <w:p w:rsidR="00C371D5" w:rsidRDefault="00C371D5" w:rsidP="00075FA3">
      <w:pPr>
        <w:jc w:val="both"/>
        <w:rPr>
          <w:highlight w:val="yellow"/>
        </w:rPr>
      </w:pPr>
    </w:p>
    <w:p w:rsidR="00946C7B" w:rsidRPr="00F81AA7" w:rsidRDefault="00946C7B" w:rsidP="00F81AA7">
      <w:pPr>
        <w:pStyle w:val="Heading2"/>
        <w:spacing w:line="360" w:lineRule="auto"/>
        <w:rPr>
          <w:rFonts w:ascii="Arial" w:hAnsi="Arial" w:cs="Arial"/>
          <w:i/>
          <w:color w:val="auto"/>
          <w:sz w:val="28"/>
          <w:szCs w:val="28"/>
        </w:rPr>
      </w:pPr>
      <w:r w:rsidRPr="00B968B2">
        <w:rPr>
          <w:rFonts w:ascii="Arial" w:hAnsi="Arial" w:cs="Arial"/>
          <w:i/>
          <w:color w:val="auto"/>
          <w:sz w:val="28"/>
          <w:szCs w:val="28"/>
        </w:rPr>
        <w:t>2014 administrative changes</w:t>
      </w:r>
      <w:r w:rsidRPr="00F81AA7">
        <w:rPr>
          <w:rFonts w:ascii="Arial" w:hAnsi="Arial" w:cs="Arial"/>
          <w:i/>
          <w:color w:val="auto"/>
          <w:sz w:val="28"/>
          <w:szCs w:val="28"/>
        </w:rPr>
        <w:t xml:space="preserve"> </w:t>
      </w:r>
    </w:p>
    <w:p w:rsidR="006D3B55" w:rsidRDefault="00946C7B" w:rsidP="008A4CEA">
      <w:pPr>
        <w:jc w:val="both"/>
        <w:rPr>
          <w:rFonts w:ascii="Arial" w:hAnsi="Arial" w:cs="Arial"/>
          <w:color w:val="000000"/>
          <w:szCs w:val="24"/>
        </w:rPr>
      </w:pPr>
      <w:r w:rsidRPr="00946C7B">
        <w:rPr>
          <w:rFonts w:ascii="Arial" w:hAnsi="Arial" w:cs="Arial"/>
          <w:color w:val="000000"/>
          <w:szCs w:val="24"/>
        </w:rPr>
        <w:t xml:space="preserve">Prior to 1 May 2014, five Disease Advisory Committees (DACs) </w:t>
      </w:r>
      <w:r>
        <w:rPr>
          <w:rFonts w:ascii="Arial" w:hAnsi="Arial" w:cs="Arial"/>
          <w:color w:val="000000"/>
          <w:szCs w:val="24"/>
        </w:rPr>
        <w:t xml:space="preserve">were responsible for assessing patient applications </w:t>
      </w:r>
      <w:r w:rsidRPr="00946C7B">
        <w:rPr>
          <w:rFonts w:ascii="Arial" w:hAnsi="Arial" w:cs="Arial"/>
          <w:color w:val="000000"/>
          <w:szCs w:val="24"/>
        </w:rPr>
        <w:t xml:space="preserve">and making clinical recommendations to the </w:t>
      </w:r>
      <w:r w:rsidR="008E74F4">
        <w:rPr>
          <w:rFonts w:ascii="Arial" w:hAnsi="Arial" w:cs="Arial"/>
          <w:color w:val="000000"/>
          <w:szCs w:val="24"/>
        </w:rPr>
        <w:t xml:space="preserve">Department of Health </w:t>
      </w:r>
      <w:r>
        <w:rPr>
          <w:rFonts w:ascii="Arial" w:hAnsi="Arial" w:cs="Arial"/>
          <w:color w:val="000000"/>
          <w:szCs w:val="24"/>
        </w:rPr>
        <w:t xml:space="preserve">delegate </w:t>
      </w:r>
      <w:r w:rsidRPr="00946C7B">
        <w:rPr>
          <w:rFonts w:ascii="Arial" w:hAnsi="Arial" w:cs="Arial"/>
          <w:color w:val="000000"/>
          <w:szCs w:val="24"/>
        </w:rPr>
        <w:t>regarding initial and cont</w:t>
      </w:r>
      <w:r w:rsidR="008E74F4">
        <w:rPr>
          <w:rFonts w:ascii="Arial" w:hAnsi="Arial" w:cs="Arial"/>
          <w:color w:val="000000"/>
          <w:szCs w:val="24"/>
        </w:rPr>
        <w:t xml:space="preserve">inued eligibility for individuals </w:t>
      </w:r>
      <w:r w:rsidRPr="00946C7B">
        <w:rPr>
          <w:rFonts w:ascii="Arial" w:hAnsi="Arial" w:cs="Arial"/>
          <w:color w:val="000000"/>
          <w:szCs w:val="24"/>
        </w:rPr>
        <w:t>t</w:t>
      </w:r>
      <w:r w:rsidR="008E74F4">
        <w:rPr>
          <w:rFonts w:ascii="Arial" w:hAnsi="Arial" w:cs="Arial"/>
          <w:color w:val="000000"/>
          <w:szCs w:val="24"/>
        </w:rPr>
        <w:t xml:space="preserve">o receive Government </w:t>
      </w:r>
      <w:r w:rsidRPr="00946C7B">
        <w:rPr>
          <w:rFonts w:ascii="Arial" w:hAnsi="Arial" w:cs="Arial"/>
          <w:color w:val="000000"/>
          <w:szCs w:val="24"/>
        </w:rPr>
        <w:t>subsidised treatment through the LSDP</w:t>
      </w:r>
      <w:r w:rsidR="00DC64D9">
        <w:rPr>
          <w:rFonts w:ascii="Arial" w:hAnsi="Arial" w:cs="Arial"/>
          <w:color w:val="000000"/>
          <w:szCs w:val="24"/>
        </w:rPr>
        <w:t>.</w:t>
      </w:r>
      <w:r w:rsidRPr="00946C7B">
        <w:rPr>
          <w:rFonts w:ascii="Arial" w:hAnsi="Arial" w:cs="Arial"/>
          <w:color w:val="000000"/>
          <w:szCs w:val="24"/>
        </w:rPr>
        <w:t>.</w:t>
      </w:r>
    </w:p>
    <w:p w:rsidR="00946C7B" w:rsidRPr="00946C7B" w:rsidRDefault="00946C7B" w:rsidP="008A4CEA">
      <w:pPr>
        <w:jc w:val="both"/>
        <w:rPr>
          <w:rFonts w:ascii="Arial" w:hAnsi="Arial" w:cs="Arial"/>
          <w:color w:val="000000"/>
          <w:szCs w:val="24"/>
        </w:rPr>
      </w:pPr>
      <w:r w:rsidRPr="00946C7B">
        <w:rPr>
          <w:rFonts w:ascii="Arial" w:hAnsi="Arial" w:cs="Arial"/>
          <w:color w:val="000000"/>
          <w:szCs w:val="24"/>
        </w:rPr>
        <w:t xml:space="preserve">The </w:t>
      </w:r>
      <w:r w:rsidR="008E74F4">
        <w:rPr>
          <w:rFonts w:ascii="Arial" w:hAnsi="Arial" w:cs="Arial"/>
          <w:color w:val="000000"/>
          <w:szCs w:val="24"/>
        </w:rPr>
        <w:t xml:space="preserve">five </w:t>
      </w:r>
      <w:r w:rsidRPr="00946C7B">
        <w:rPr>
          <w:rFonts w:ascii="Arial" w:hAnsi="Arial" w:cs="Arial"/>
          <w:color w:val="000000"/>
          <w:szCs w:val="24"/>
        </w:rPr>
        <w:t xml:space="preserve">DACs were the </w:t>
      </w:r>
      <w:proofErr w:type="spellStart"/>
      <w:r w:rsidRPr="00946C7B">
        <w:rPr>
          <w:rFonts w:ascii="Arial" w:hAnsi="Arial" w:cs="Arial"/>
          <w:color w:val="000000"/>
          <w:szCs w:val="24"/>
        </w:rPr>
        <w:t>Gaucher</w:t>
      </w:r>
      <w:proofErr w:type="spellEnd"/>
      <w:r w:rsidRPr="00946C7B">
        <w:rPr>
          <w:rFonts w:ascii="Arial" w:hAnsi="Arial" w:cs="Arial"/>
          <w:color w:val="000000"/>
          <w:szCs w:val="24"/>
        </w:rPr>
        <w:t xml:space="preserve"> Disease Advisory Committee, Mucopolysaccharidosis Disease Advisory Committee, Fabry Disease Advisory </w:t>
      </w:r>
      <w:proofErr w:type="gramStart"/>
      <w:r w:rsidRPr="00946C7B">
        <w:rPr>
          <w:rFonts w:ascii="Arial" w:hAnsi="Arial" w:cs="Arial"/>
          <w:color w:val="000000"/>
          <w:szCs w:val="24"/>
        </w:rPr>
        <w:t>Committee ,</w:t>
      </w:r>
      <w:proofErr w:type="gramEnd"/>
      <w:r w:rsidRPr="00946C7B">
        <w:rPr>
          <w:rFonts w:ascii="Arial" w:hAnsi="Arial" w:cs="Arial"/>
          <w:color w:val="000000"/>
          <w:szCs w:val="24"/>
        </w:rPr>
        <w:t xml:space="preserve"> Infantile-onset Pompe Disease Advisory Committee , Paroxysmal Nocturnal Haemoglobinuria Disease Advisory Committee.  </w:t>
      </w:r>
    </w:p>
    <w:p w:rsidR="00946C7B" w:rsidRPr="00946C7B" w:rsidRDefault="004237BE" w:rsidP="008A4CEA">
      <w:pPr>
        <w:jc w:val="both"/>
        <w:rPr>
          <w:rFonts w:ascii="Arial" w:hAnsi="Arial" w:cs="Arial"/>
          <w:color w:val="000000"/>
          <w:szCs w:val="24"/>
        </w:rPr>
      </w:pPr>
      <w:r>
        <w:rPr>
          <w:rFonts w:ascii="Arial" w:hAnsi="Arial" w:cs="Arial"/>
          <w:color w:val="000000"/>
          <w:szCs w:val="24"/>
        </w:rPr>
        <w:t>Each c</w:t>
      </w:r>
      <w:r w:rsidR="008E74F4">
        <w:rPr>
          <w:rFonts w:ascii="Arial" w:hAnsi="Arial" w:cs="Arial"/>
          <w:color w:val="000000"/>
          <w:szCs w:val="24"/>
        </w:rPr>
        <w:t>ommittee comprised a</w:t>
      </w:r>
      <w:r w:rsidR="00946C7B" w:rsidRPr="00946C7B">
        <w:rPr>
          <w:rFonts w:ascii="Arial" w:hAnsi="Arial" w:cs="Arial"/>
          <w:color w:val="000000"/>
          <w:szCs w:val="24"/>
        </w:rPr>
        <w:t xml:space="preserve"> Chair and four or five clinical experts in the relevant disease area.  </w:t>
      </w:r>
      <w:r w:rsidR="008E74F4">
        <w:rPr>
          <w:rFonts w:ascii="Arial" w:hAnsi="Arial" w:cs="Arial"/>
          <w:color w:val="000000"/>
          <w:szCs w:val="24"/>
        </w:rPr>
        <w:t xml:space="preserve">Some experts </w:t>
      </w:r>
      <w:r w:rsidR="00946C7B" w:rsidRPr="00946C7B">
        <w:rPr>
          <w:rFonts w:ascii="Arial" w:hAnsi="Arial" w:cs="Arial"/>
          <w:color w:val="000000"/>
          <w:szCs w:val="24"/>
        </w:rPr>
        <w:t>were m</w:t>
      </w:r>
      <w:r w:rsidR="008E74F4">
        <w:rPr>
          <w:rFonts w:ascii="Arial" w:hAnsi="Arial" w:cs="Arial"/>
          <w:color w:val="000000"/>
          <w:szCs w:val="24"/>
        </w:rPr>
        <w:t>embers of multiple committees.</w:t>
      </w:r>
      <w:r w:rsidR="008E74F4" w:rsidRPr="00946C7B">
        <w:rPr>
          <w:rFonts w:ascii="Arial" w:hAnsi="Arial" w:cs="Arial"/>
          <w:color w:val="000000"/>
          <w:szCs w:val="24"/>
        </w:rPr>
        <w:t xml:space="preserve"> </w:t>
      </w:r>
      <w:r w:rsidR="008E74F4">
        <w:rPr>
          <w:rFonts w:ascii="Arial" w:hAnsi="Arial" w:cs="Arial"/>
          <w:color w:val="000000"/>
          <w:szCs w:val="24"/>
        </w:rPr>
        <w:t>S</w:t>
      </w:r>
      <w:r w:rsidR="00946C7B" w:rsidRPr="00946C7B">
        <w:rPr>
          <w:rFonts w:ascii="Arial" w:hAnsi="Arial" w:cs="Arial"/>
          <w:color w:val="000000"/>
          <w:szCs w:val="24"/>
        </w:rPr>
        <w:t xml:space="preserve">ome members of </w:t>
      </w:r>
      <w:r w:rsidR="008E74F4">
        <w:rPr>
          <w:rFonts w:ascii="Arial" w:hAnsi="Arial" w:cs="Arial"/>
          <w:color w:val="000000"/>
          <w:szCs w:val="24"/>
        </w:rPr>
        <w:t xml:space="preserve">the </w:t>
      </w:r>
      <w:r w:rsidR="00946C7B" w:rsidRPr="00946C7B">
        <w:rPr>
          <w:rFonts w:ascii="Arial" w:hAnsi="Arial" w:cs="Arial"/>
          <w:color w:val="000000"/>
          <w:szCs w:val="24"/>
        </w:rPr>
        <w:t xml:space="preserve">DACs were also </w:t>
      </w:r>
      <w:r w:rsidR="008E74F4">
        <w:rPr>
          <w:rFonts w:ascii="Arial" w:hAnsi="Arial" w:cs="Arial"/>
          <w:color w:val="000000"/>
          <w:szCs w:val="24"/>
        </w:rPr>
        <w:t xml:space="preserve">clinically </w:t>
      </w:r>
      <w:r w:rsidR="00946C7B" w:rsidRPr="00946C7B">
        <w:rPr>
          <w:rFonts w:ascii="Arial" w:hAnsi="Arial" w:cs="Arial"/>
          <w:color w:val="000000"/>
          <w:szCs w:val="24"/>
        </w:rPr>
        <w:t>managing and caring for patients receiving treatment under the LSDP</w:t>
      </w:r>
      <w:r w:rsidR="008E74F4">
        <w:rPr>
          <w:rFonts w:ascii="Arial" w:hAnsi="Arial" w:cs="Arial"/>
          <w:color w:val="000000"/>
          <w:szCs w:val="24"/>
        </w:rPr>
        <w:t xml:space="preserve">. </w:t>
      </w:r>
      <w:r w:rsidR="0083333D">
        <w:rPr>
          <w:rFonts w:ascii="Arial" w:hAnsi="Arial" w:cs="Arial"/>
          <w:color w:val="000000"/>
          <w:szCs w:val="24"/>
        </w:rPr>
        <w:t>A few</w:t>
      </w:r>
      <w:r w:rsidR="008E74F4">
        <w:rPr>
          <w:rFonts w:ascii="Arial" w:hAnsi="Arial" w:cs="Arial"/>
          <w:color w:val="000000"/>
          <w:szCs w:val="24"/>
        </w:rPr>
        <w:t xml:space="preserve"> members declared </w:t>
      </w:r>
      <w:r w:rsidR="00946C7B" w:rsidRPr="00946C7B">
        <w:rPr>
          <w:rFonts w:ascii="Arial" w:hAnsi="Arial" w:cs="Arial"/>
          <w:color w:val="000000"/>
          <w:szCs w:val="24"/>
        </w:rPr>
        <w:t xml:space="preserve">advisory positions in drug companies. </w:t>
      </w:r>
    </w:p>
    <w:p w:rsidR="004237BE" w:rsidRDefault="00946C7B" w:rsidP="008A4CEA">
      <w:pPr>
        <w:jc w:val="both"/>
        <w:rPr>
          <w:rFonts w:ascii="Arial" w:hAnsi="Arial" w:cs="Arial"/>
          <w:color w:val="000000"/>
          <w:szCs w:val="24"/>
        </w:rPr>
      </w:pPr>
      <w:r w:rsidRPr="00946C7B">
        <w:rPr>
          <w:rFonts w:ascii="Arial" w:hAnsi="Arial" w:cs="Arial"/>
          <w:color w:val="000000"/>
          <w:szCs w:val="24"/>
        </w:rPr>
        <w:t>In March</w:t>
      </w:r>
      <w:r w:rsidR="004237BE">
        <w:rPr>
          <w:rFonts w:ascii="Arial" w:hAnsi="Arial" w:cs="Arial"/>
          <w:color w:val="000000"/>
          <w:szCs w:val="24"/>
        </w:rPr>
        <w:t xml:space="preserve"> 2014 </w:t>
      </w:r>
      <w:r w:rsidR="004237BE" w:rsidRPr="00946C7B">
        <w:rPr>
          <w:rFonts w:ascii="Arial" w:hAnsi="Arial" w:cs="Arial"/>
          <w:color w:val="000000"/>
          <w:szCs w:val="24"/>
        </w:rPr>
        <w:t>as part of the Government’s deregulation agenda</w:t>
      </w:r>
      <w:r w:rsidR="0083333D">
        <w:rPr>
          <w:rFonts w:ascii="Arial" w:hAnsi="Arial" w:cs="Arial"/>
          <w:color w:val="000000"/>
          <w:szCs w:val="24"/>
        </w:rPr>
        <w:t>,</w:t>
      </w:r>
      <w:r w:rsidR="004237BE" w:rsidRPr="00946C7B">
        <w:rPr>
          <w:rFonts w:ascii="Arial" w:hAnsi="Arial" w:cs="Arial"/>
          <w:color w:val="000000"/>
          <w:szCs w:val="24"/>
        </w:rPr>
        <w:t xml:space="preserve"> </w:t>
      </w:r>
      <w:r w:rsidR="008E74F4">
        <w:rPr>
          <w:rFonts w:ascii="Arial" w:hAnsi="Arial" w:cs="Arial"/>
          <w:color w:val="000000"/>
          <w:szCs w:val="24"/>
        </w:rPr>
        <w:t xml:space="preserve">the </w:t>
      </w:r>
      <w:r w:rsidR="008E74F4" w:rsidRPr="00946C7B">
        <w:rPr>
          <w:rFonts w:ascii="Arial" w:hAnsi="Arial" w:cs="Arial"/>
          <w:color w:val="000000"/>
          <w:szCs w:val="24"/>
        </w:rPr>
        <w:t>Minister</w:t>
      </w:r>
      <w:r w:rsidR="008E74F4">
        <w:rPr>
          <w:rFonts w:ascii="Arial" w:hAnsi="Arial" w:cs="Arial"/>
          <w:color w:val="000000"/>
          <w:szCs w:val="24"/>
        </w:rPr>
        <w:t xml:space="preserve"> for Health </w:t>
      </w:r>
      <w:r w:rsidR="004237BE">
        <w:rPr>
          <w:rFonts w:ascii="Arial" w:hAnsi="Arial" w:cs="Arial"/>
          <w:color w:val="000000"/>
          <w:szCs w:val="24"/>
        </w:rPr>
        <w:t>approved</w:t>
      </w:r>
      <w:r w:rsidR="008E74F4">
        <w:rPr>
          <w:rFonts w:ascii="Arial" w:hAnsi="Arial" w:cs="Arial"/>
          <w:color w:val="000000"/>
          <w:szCs w:val="24"/>
        </w:rPr>
        <w:t xml:space="preserve"> streamlining of the LSDP administrative </w:t>
      </w:r>
      <w:r w:rsidR="008E74F4" w:rsidRPr="00946C7B">
        <w:rPr>
          <w:rFonts w:ascii="Arial" w:hAnsi="Arial" w:cs="Arial"/>
          <w:color w:val="000000"/>
          <w:szCs w:val="24"/>
        </w:rPr>
        <w:t xml:space="preserve">processes </w:t>
      </w:r>
      <w:r w:rsidR="004237BE">
        <w:rPr>
          <w:rFonts w:ascii="Arial" w:hAnsi="Arial" w:cs="Arial"/>
          <w:color w:val="000000"/>
          <w:szCs w:val="24"/>
        </w:rPr>
        <w:t xml:space="preserve">at the same time </w:t>
      </w:r>
      <w:r w:rsidRPr="00946C7B">
        <w:rPr>
          <w:rFonts w:ascii="Arial" w:hAnsi="Arial" w:cs="Arial"/>
          <w:color w:val="000000"/>
          <w:szCs w:val="24"/>
        </w:rPr>
        <w:t xml:space="preserve">the post-market review of the </w:t>
      </w:r>
      <w:r w:rsidR="008E74F4">
        <w:rPr>
          <w:rFonts w:ascii="Arial" w:hAnsi="Arial" w:cs="Arial"/>
          <w:color w:val="000000"/>
          <w:szCs w:val="24"/>
        </w:rPr>
        <w:t>LSDP</w:t>
      </w:r>
      <w:r w:rsidR="004237BE">
        <w:rPr>
          <w:rFonts w:ascii="Arial" w:hAnsi="Arial" w:cs="Arial"/>
          <w:color w:val="000000"/>
          <w:szCs w:val="24"/>
        </w:rPr>
        <w:t xml:space="preserve"> was announced.  </w:t>
      </w:r>
    </w:p>
    <w:p w:rsidR="00946C7B" w:rsidRDefault="004237BE" w:rsidP="008A4CEA">
      <w:pPr>
        <w:jc w:val="both"/>
        <w:rPr>
          <w:rFonts w:ascii="Arial" w:hAnsi="Arial" w:cs="Arial"/>
          <w:color w:val="000000"/>
          <w:szCs w:val="24"/>
        </w:rPr>
      </w:pPr>
      <w:r>
        <w:rPr>
          <w:rFonts w:ascii="Arial" w:hAnsi="Arial" w:cs="Arial"/>
          <w:color w:val="000000"/>
          <w:szCs w:val="24"/>
        </w:rPr>
        <w:lastRenderedPageBreak/>
        <w:t xml:space="preserve">Streamlining </w:t>
      </w:r>
      <w:r w:rsidR="00946C7B" w:rsidRPr="00946C7B">
        <w:rPr>
          <w:rFonts w:ascii="Arial" w:hAnsi="Arial" w:cs="Arial"/>
          <w:color w:val="000000"/>
          <w:szCs w:val="24"/>
        </w:rPr>
        <w:t xml:space="preserve">reduced the administrative burden on all DAC members and allowed members to </w:t>
      </w:r>
      <w:r w:rsidR="0083333D">
        <w:rPr>
          <w:rFonts w:ascii="Arial" w:hAnsi="Arial" w:cs="Arial"/>
          <w:color w:val="000000"/>
          <w:szCs w:val="24"/>
        </w:rPr>
        <w:t xml:space="preserve">freely </w:t>
      </w:r>
      <w:r w:rsidR="00946C7B" w:rsidRPr="00946C7B">
        <w:rPr>
          <w:rFonts w:ascii="Arial" w:hAnsi="Arial" w:cs="Arial"/>
          <w:color w:val="000000"/>
          <w:szCs w:val="24"/>
        </w:rPr>
        <w:t xml:space="preserve">advocate </w:t>
      </w:r>
      <w:r w:rsidR="0083333D">
        <w:rPr>
          <w:rFonts w:ascii="Arial" w:hAnsi="Arial" w:cs="Arial"/>
          <w:color w:val="000000"/>
          <w:szCs w:val="24"/>
        </w:rPr>
        <w:t>on behalf of their</w:t>
      </w:r>
      <w:r w:rsidR="00946C7B" w:rsidRPr="00946C7B">
        <w:rPr>
          <w:rFonts w:ascii="Arial" w:hAnsi="Arial" w:cs="Arial"/>
          <w:color w:val="000000"/>
          <w:szCs w:val="24"/>
        </w:rPr>
        <w:t xml:space="preserve"> patients, </w:t>
      </w:r>
      <w:r>
        <w:rPr>
          <w:rFonts w:ascii="Arial" w:hAnsi="Arial" w:cs="Arial"/>
          <w:color w:val="000000"/>
          <w:szCs w:val="24"/>
        </w:rPr>
        <w:t xml:space="preserve">and to </w:t>
      </w:r>
      <w:r w:rsidR="00946C7B" w:rsidRPr="00946C7B">
        <w:rPr>
          <w:rFonts w:ascii="Arial" w:hAnsi="Arial" w:cs="Arial"/>
          <w:color w:val="000000"/>
          <w:szCs w:val="24"/>
        </w:rPr>
        <w:t xml:space="preserve">share </w:t>
      </w:r>
      <w:r>
        <w:rPr>
          <w:rFonts w:ascii="Arial" w:hAnsi="Arial" w:cs="Arial"/>
          <w:color w:val="000000"/>
          <w:szCs w:val="24"/>
        </w:rPr>
        <w:t xml:space="preserve">their expertise with </w:t>
      </w:r>
      <w:r w:rsidR="00946C7B" w:rsidRPr="00946C7B">
        <w:rPr>
          <w:rFonts w:ascii="Arial" w:hAnsi="Arial" w:cs="Arial"/>
          <w:color w:val="000000"/>
          <w:szCs w:val="24"/>
        </w:rPr>
        <w:t xml:space="preserve">colleagues </w:t>
      </w:r>
      <w:r>
        <w:rPr>
          <w:rFonts w:ascii="Arial" w:hAnsi="Arial" w:cs="Arial"/>
          <w:color w:val="000000"/>
          <w:szCs w:val="24"/>
        </w:rPr>
        <w:t xml:space="preserve">directly rather than </w:t>
      </w:r>
      <w:r w:rsidR="00946C7B" w:rsidRPr="00946C7B">
        <w:rPr>
          <w:rFonts w:ascii="Arial" w:hAnsi="Arial" w:cs="Arial"/>
          <w:color w:val="000000"/>
          <w:szCs w:val="24"/>
        </w:rPr>
        <w:t xml:space="preserve">through the </w:t>
      </w:r>
      <w:r>
        <w:rPr>
          <w:rFonts w:ascii="Arial" w:hAnsi="Arial" w:cs="Arial"/>
          <w:color w:val="000000"/>
          <w:szCs w:val="24"/>
        </w:rPr>
        <w:t xml:space="preserve">DAC. Discontinuing the DACs </w:t>
      </w:r>
      <w:r w:rsidR="00946C7B" w:rsidRPr="00946C7B">
        <w:rPr>
          <w:rFonts w:ascii="Arial" w:hAnsi="Arial" w:cs="Arial"/>
          <w:color w:val="000000"/>
          <w:szCs w:val="24"/>
        </w:rPr>
        <w:t>removed the</w:t>
      </w:r>
      <w:r>
        <w:rPr>
          <w:rFonts w:ascii="Arial" w:hAnsi="Arial" w:cs="Arial"/>
          <w:color w:val="000000"/>
          <w:szCs w:val="24"/>
        </w:rPr>
        <w:t xml:space="preserve"> real or perceived</w:t>
      </w:r>
      <w:r w:rsidR="00946C7B" w:rsidRPr="00946C7B">
        <w:rPr>
          <w:rFonts w:ascii="Arial" w:hAnsi="Arial" w:cs="Arial"/>
          <w:color w:val="000000"/>
          <w:szCs w:val="24"/>
        </w:rPr>
        <w:t xml:space="preserve"> risk </w:t>
      </w:r>
      <w:r>
        <w:rPr>
          <w:rFonts w:ascii="Arial" w:hAnsi="Arial" w:cs="Arial"/>
          <w:color w:val="000000"/>
          <w:szCs w:val="24"/>
        </w:rPr>
        <w:t xml:space="preserve">of </w:t>
      </w:r>
      <w:r w:rsidR="00946C7B" w:rsidRPr="00946C7B">
        <w:rPr>
          <w:rFonts w:ascii="Arial" w:hAnsi="Arial" w:cs="Arial"/>
          <w:color w:val="000000"/>
          <w:szCs w:val="24"/>
        </w:rPr>
        <w:t>conflicts of interest posed through committee membership</w:t>
      </w:r>
      <w:r>
        <w:rPr>
          <w:rFonts w:ascii="Arial" w:hAnsi="Arial" w:cs="Arial"/>
          <w:color w:val="000000"/>
          <w:szCs w:val="24"/>
        </w:rPr>
        <w:t>. The new arrangements</w:t>
      </w:r>
      <w:r w:rsidR="00946C7B" w:rsidRPr="00946C7B">
        <w:rPr>
          <w:rFonts w:ascii="Arial" w:hAnsi="Arial" w:cs="Arial"/>
          <w:color w:val="000000"/>
          <w:szCs w:val="24"/>
        </w:rPr>
        <w:t xml:space="preserve"> </w:t>
      </w:r>
      <w:r>
        <w:rPr>
          <w:rFonts w:ascii="Arial" w:hAnsi="Arial" w:cs="Arial"/>
          <w:color w:val="000000"/>
          <w:szCs w:val="24"/>
        </w:rPr>
        <w:t xml:space="preserve">enabled </w:t>
      </w:r>
      <w:r w:rsidR="008F455B">
        <w:rPr>
          <w:rFonts w:ascii="Arial" w:hAnsi="Arial" w:cs="Arial"/>
          <w:color w:val="000000"/>
          <w:szCs w:val="24"/>
        </w:rPr>
        <w:t>advice from</w:t>
      </w:r>
      <w:r w:rsidRPr="00946C7B">
        <w:rPr>
          <w:rFonts w:ascii="Arial" w:hAnsi="Arial" w:cs="Arial"/>
          <w:color w:val="000000"/>
          <w:szCs w:val="24"/>
        </w:rPr>
        <w:t xml:space="preserve"> medical specialists with clinical expertise in the relevant disease area </w:t>
      </w:r>
      <w:r w:rsidR="008F455B">
        <w:rPr>
          <w:rFonts w:ascii="Arial" w:hAnsi="Arial" w:cs="Arial"/>
          <w:color w:val="000000"/>
          <w:szCs w:val="24"/>
        </w:rPr>
        <w:t xml:space="preserve">to be retained </w:t>
      </w:r>
      <w:r w:rsidRPr="00946C7B">
        <w:rPr>
          <w:rFonts w:ascii="Arial" w:hAnsi="Arial" w:cs="Arial"/>
          <w:color w:val="000000"/>
          <w:szCs w:val="24"/>
        </w:rPr>
        <w:t>on an as needed basis</w:t>
      </w:r>
      <w:r>
        <w:rPr>
          <w:rFonts w:ascii="Arial" w:hAnsi="Arial" w:cs="Arial"/>
          <w:color w:val="000000"/>
          <w:szCs w:val="24"/>
        </w:rPr>
        <w:t xml:space="preserve"> </w:t>
      </w:r>
      <w:r w:rsidR="008F455B">
        <w:rPr>
          <w:rFonts w:ascii="Arial" w:hAnsi="Arial" w:cs="Arial"/>
          <w:color w:val="000000"/>
          <w:szCs w:val="24"/>
        </w:rPr>
        <w:t xml:space="preserve">and allowed </w:t>
      </w:r>
      <w:r w:rsidR="00946C7B" w:rsidRPr="00946C7B">
        <w:rPr>
          <w:rFonts w:ascii="Arial" w:hAnsi="Arial" w:cs="Arial"/>
          <w:color w:val="000000"/>
          <w:szCs w:val="24"/>
        </w:rPr>
        <w:t xml:space="preserve">applications </w:t>
      </w:r>
      <w:r w:rsidR="008F455B">
        <w:rPr>
          <w:rFonts w:ascii="Arial" w:hAnsi="Arial" w:cs="Arial"/>
          <w:color w:val="000000"/>
          <w:szCs w:val="24"/>
        </w:rPr>
        <w:t xml:space="preserve">for subsidies </w:t>
      </w:r>
      <w:r w:rsidR="00946C7B" w:rsidRPr="00946C7B">
        <w:rPr>
          <w:rFonts w:ascii="Arial" w:hAnsi="Arial" w:cs="Arial"/>
          <w:color w:val="000000"/>
          <w:szCs w:val="24"/>
        </w:rPr>
        <w:t xml:space="preserve">to </w:t>
      </w:r>
      <w:r>
        <w:rPr>
          <w:rFonts w:ascii="Arial" w:hAnsi="Arial" w:cs="Arial"/>
          <w:color w:val="000000"/>
          <w:szCs w:val="24"/>
        </w:rPr>
        <w:t>be assessed directly rather than through a committee</w:t>
      </w:r>
      <w:r w:rsidR="00946C7B" w:rsidRPr="00946C7B">
        <w:rPr>
          <w:rFonts w:ascii="Arial" w:hAnsi="Arial" w:cs="Arial"/>
          <w:color w:val="000000"/>
          <w:szCs w:val="24"/>
        </w:rPr>
        <w:t xml:space="preserve"> </w:t>
      </w:r>
      <w:r>
        <w:rPr>
          <w:rFonts w:ascii="Arial" w:hAnsi="Arial" w:cs="Arial"/>
          <w:color w:val="000000"/>
          <w:szCs w:val="24"/>
        </w:rPr>
        <w:t xml:space="preserve">process. </w:t>
      </w:r>
    </w:p>
    <w:p w:rsidR="008F455B" w:rsidRDefault="008F455B" w:rsidP="008F455B">
      <w:pPr>
        <w:jc w:val="both"/>
        <w:rPr>
          <w:rFonts w:ascii="Arial" w:hAnsi="Arial" w:cs="Arial"/>
          <w:b/>
          <w:i/>
          <w:color w:val="000000"/>
          <w:szCs w:val="24"/>
        </w:rPr>
      </w:pPr>
      <w:r w:rsidRPr="008F455B">
        <w:rPr>
          <w:rFonts w:ascii="Arial" w:hAnsi="Arial" w:cs="Arial"/>
          <w:color w:val="000000"/>
          <w:szCs w:val="24"/>
        </w:rPr>
        <w:t>Information on the ceasing of the DACs was posted on the LSDP website on Friday 21 March 2014</w:t>
      </w:r>
      <w:r>
        <w:rPr>
          <w:rFonts w:ascii="Arial" w:hAnsi="Arial" w:cs="Arial"/>
          <w:color w:val="000000"/>
          <w:szCs w:val="24"/>
        </w:rPr>
        <w:t>.</w:t>
      </w:r>
      <w:r w:rsidR="00077BE7">
        <w:rPr>
          <w:rFonts w:ascii="Arial" w:hAnsi="Arial" w:cs="Arial"/>
          <w:color w:val="000000"/>
          <w:szCs w:val="24"/>
        </w:rPr>
        <w:t xml:space="preserve"> </w:t>
      </w:r>
    </w:p>
    <w:p w:rsidR="004724BB" w:rsidRDefault="004724BB" w:rsidP="00F81AA7">
      <w:pPr>
        <w:pStyle w:val="Heading2"/>
        <w:rPr>
          <w:rFonts w:ascii="Arial" w:hAnsi="Arial" w:cs="Arial"/>
          <w:i/>
          <w:color w:val="auto"/>
          <w:sz w:val="24"/>
          <w:szCs w:val="24"/>
        </w:rPr>
      </w:pPr>
    </w:p>
    <w:p w:rsidR="008F455B" w:rsidRPr="00F81AA7" w:rsidRDefault="008F455B" w:rsidP="00F81AA7">
      <w:pPr>
        <w:pStyle w:val="Heading2"/>
        <w:rPr>
          <w:rStyle w:val="IntenseReference"/>
          <w:rFonts w:ascii="Arial" w:hAnsi="Arial" w:cs="Arial"/>
          <w:bCs/>
          <w:smallCaps w:val="0"/>
          <w:color w:val="auto"/>
          <w:spacing w:val="0"/>
          <w:sz w:val="24"/>
          <w:szCs w:val="24"/>
        </w:rPr>
      </w:pPr>
      <w:r w:rsidRPr="00F81AA7">
        <w:rPr>
          <w:rFonts w:ascii="Arial" w:hAnsi="Arial" w:cs="Arial"/>
          <w:i/>
          <w:color w:val="auto"/>
          <w:sz w:val="24"/>
          <w:szCs w:val="24"/>
        </w:rPr>
        <w:t>Process to supply LSDP drugs</w:t>
      </w:r>
    </w:p>
    <w:p w:rsidR="008F455B" w:rsidRPr="00F81AA7" w:rsidRDefault="008F455B" w:rsidP="00F81AA7">
      <w:pPr>
        <w:pStyle w:val="Heading3"/>
        <w:rPr>
          <w:rFonts w:ascii="Arial" w:hAnsi="Arial" w:cs="Arial"/>
          <w:b w:val="0"/>
          <w:i/>
          <w:color w:val="auto"/>
        </w:rPr>
      </w:pPr>
      <w:r w:rsidRPr="00F81AA7">
        <w:rPr>
          <w:rFonts w:ascii="Arial" w:hAnsi="Arial" w:cs="Arial"/>
          <w:b w:val="0"/>
          <w:i/>
          <w:color w:val="auto"/>
        </w:rPr>
        <w:t>Patient Application Process</w:t>
      </w:r>
    </w:p>
    <w:p w:rsidR="008F455B" w:rsidRPr="00043E2B" w:rsidRDefault="008F455B" w:rsidP="008F455B">
      <w:r w:rsidRPr="00066D54">
        <w:rPr>
          <w:noProof/>
          <w:lang w:eastAsia="en-AU"/>
        </w:rPr>
        <w:drawing>
          <wp:inline distT="0" distB="0" distL="0" distR="0" wp14:anchorId="0312B2AD" wp14:editId="7F5D4706">
            <wp:extent cx="5779698" cy="1319842"/>
            <wp:effectExtent l="0" t="0" r="12065" b="1397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8F455B" w:rsidRPr="00A67341" w:rsidRDefault="008F455B" w:rsidP="008F455B">
      <w:pPr>
        <w:rPr>
          <w:rFonts w:ascii="Arial" w:hAnsi="Arial" w:cs="Arial"/>
          <w:sz w:val="20"/>
        </w:rPr>
      </w:pPr>
      <w:proofErr w:type="spellStart"/>
      <w:proofErr w:type="gramStart"/>
      <w:r>
        <w:rPr>
          <w:vertAlign w:val="superscript"/>
        </w:rPr>
        <w:t>a</w:t>
      </w:r>
      <w:proofErr w:type="spellEnd"/>
      <w:proofErr w:type="gramEnd"/>
      <w:r>
        <w:rPr>
          <w:vertAlign w:val="superscript"/>
        </w:rPr>
        <w:t xml:space="preserve"> </w:t>
      </w:r>
      <w:r w:rsidRPr="00A67341">
        <w:rPr>
          <w:rFonts w:ascii="Arial" w:hAnsi="Arial" w:cs="Arial"/>
          <w:sz w:val="20"/>
        </w:rPr>
        <w:t>Application eligibility as per Guidelines</w:t>
      </w:r>
    </w:p>
    <w:p w:rsidR="008F455B" w:rsidRPr="00A67341" w:rsidRDefault="008F455B" w:rsidP="00F81AA7">
      <w:pPr>
        <w:rPr>
          <w:rFonts w:ascii="Arial" w:hAnsi="Arial" w:cs="Arial"/>
          <w:i/>
          <w:color w:val="000000"/>
          <w:sz w:val="20"/>
          <w:szCs w:val="24"/>
        </w:rPr>
      </w:pPr>
      <w:proofErr w:type="gramStart"/>
      <w:r w:rsidRPr="00A67341">
        <w:rPr>
          <w:rFonts w:ascii="Arial" w:hAnsi="Arial" w:cs="Arial"/>
          <w:sz w:val="20"/>
          <w:vertAlign w:val="superscript"/>
        </w:rPr>
        <w:t>b</w:t>
      </w:r>
      <w:proofErr w:type="gramEnd"/>
      <w:r w:rsidRPr="00A67341">
        <w:rPr>
          <w:rFonts w:ascii="Arial" w:hAnsi="Arial" w:cs="Arial"/>
          <w:sz w:val="20"/>
          <w:vertAlign w:val="superscript"/>
        </w:rPr>
        <w:t xml:space="preserve"> </w:t>
      </w:r>
      <w:r w:rsidRPr="00A67341">
        <w:rPr>
          <w:rFonts w:ascii="Arial" w:hAnsi="Arial" w:cs="Arial"/>
          <w:sz w:val="20"/>
        </w:rPr>
        <w:t xml:space="preserve">If </w:t>
      </w:r>
      <w:r w:rsidR="0083333D" w:rsidRPr="00A67341">
        <w:rPr>
          <w:rFonts w:ascii="Arial" w:hAnsi="Arial" w:cs="Arial"/>
          <w:sz w:val="20"/>
        </w:rPr>
        <w:t>the application is complete, notification of decision is provided within 30 days.</w:t>
      </w:r>
    </w:p>
    <w:p w:rsidR="008F455B" w:rsidRPr="00F81AA7" w:rsidRDefault="008F455B" w:rsidP="00F81AA7">
      <w:pPr>
        <w:pStyle w:val="Heading3"/>
        <w:rPr>
          <w:rFonts w:ascii="Arial" w:hAnsi="Arial" w:cs="Arial"/>
          <w:b w:val="0"/>
          <w:i/>
          <w:color w:val="auto"/>
        </w:rPr>
      </w:pPr>
      <w:r w:rsidRPr="00F81AA7">
        <w:rPr>
          <w:rFonts w:ascii="Arial" w:hAnsi="Arial" w:cs="Arial"/>
          <w:b w:val="0"/>
          <w:i/>
          <w:color w:val="auto"/>
        </w:rPr>
        <w:t>Ordering and Supply of Drugs</w:t>
      </w:r>
    </w:p>
    <w:p w:rsidR="008F455B" w:rsidRDefault="008F455B" w:rsidP="008F455B">
      <w:r>
        <w:rPr>
          <w:noProof/>
          <w:lang w:eastAsia="en-AU"/>
        </w:rPr>
        <w:drawing>
          <wp:inline distT="0" distB="0" distL="0" distR="0" wp14:anchorId="387AA985" wp14:editId="54C612C8">
            <wp:extent cx="5779698" cy="1630392"/>
            <wp:effectExtent l="19050" t="0" r="31115"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8F455B" w:rsidRPr="00A67341" w:rsidRDefault="008F455B" w:rsidP="008F455B">
      <w:pPr>
        <w:rPr>
          <w:sz w:val="20"/>
        </w:rPr>
      </w:pPr>
      <w:proofErr w:type="gramStart"/>
      <w:r w:rsidRPr="008A4CEA">
        <w:rPr>
          <w:vertAlign w:val="superscript"/>
        </w:rPr>
        <w:t>c</w:t>
      </w:r>
      <w:proofErr w:type="gramEnd"/>
      <w:r w:rsidRPr="008A4CEA">
        <w:t xml:space="preserve"> </w:t>
      </w:r>
      <w:r w:rsidRPr="00A67341">
        <w:rPr>
          <w:rFonts w:ascii="Arial" w:hAnsi="Arial" w:cs="Arial"/>
          <w:sz w:val="20"/>
        </w:rPr>
        <w:t>Includes information to the pharmacy, tracking documents and ensur</w:t>
      </w:r>
      <w:r w:rsidR="0083333D" w:rsidRPr="00A67341">
        <w:rPr>
          <w:rFonts w:ascii="Arial" w:hAnsi="Arial" w:cs="Arial"/>
          <w:sz w:val="20"/>
        </w:rPr>
        <w:t>es</w:t>
      </w:r>
      <w:r w:rsidRPr="00A67341">
        <w:rPr>
          <w:rFonts w:ascii="Arial" w:hAnsi="Arial" w:cs="Arial"/>
          <w:sz w:val="20"/>
        </w:rPr>
        <w:t xml:space="preserve"> the pharmacy is aware of its responsibility for stock once they take delivery</w:t>
      </w:r>
    </w:p>
    <w:p w:rsidR="006D3B55" w:rsidRDefault="008F455B" w:rsidP="00DC64D9">
      <w:proofErr w:type="gramStart"/>
      <w:r w:rsidRPr="00A67341">
        <w:rPr>
          <w:sz w:val="20"/>
          <w:vertAlign w:val="superscript"/>
        </w:rPr>
        <w:t>d</w:t>
      </w:r>
      <w:proofErr w:type="gramEnd"/>
      <w:r w:rsidRPr="00A67341">
        <w:rPr>
          <w:sz w:val="20"/>
          <w:vertAlign w:val="superscript"/>
        </w:rPr>
        <w:t xml:space="preserve"> </w:t>
      </w:r>
      <w:r w:rsidRPr="00A67341">
        <w:rPr>
          <w:rFonts w:ascii="Arial" w:hAnsi="Arial" w:cs="Arial"/>
          <w:sz w:val="20"/>
        </w:rPr>
        <w:t>Processing of invoices can take up to 5 working days to prepare. Drug orders can take up to 5 business days to prepare taking into consideration the drug dispensing audit.  Prior to paying the invoices, expenditure documents and tracking documents are updated.</w:t>
      </w:r>
      <w:r w:rsidR="00E040C9" w:rsidRPr="00A67341">
        <w:rPr>
          <w:rFonts w:ascii="Arial" w:hAnsi="Arial" w:cs="Arial"/>
          <w:sz w:val="20"/>
        </w:rPr>
        <w:t xml:space="preserve"> The Department co</w:t>
      </w:r>
      <w:r w:rsidR="0083333D" w:rsidRPr="00A67341">
        <w:rPr>
          <w:rFonts w:ascii="Arial" w:hAnsi="Arial" w:cs="Arial"/>
          <w:sz w:val="20"/>
        </w:rPr>
        <w:t>ordinates temporary and permanent relocation of drug, on a per patient basis</w:t>
      </w:r>
      <w:r w:rsidR="00E040C9" w:rsidRPr="00A67341">
        <w:rPr>
          <w:rFonts w:ascii="Arial" w:hAnsi="Arial" w:cs="Arial"/>
          <w:sz w:val="20"/>
        </w:rPr>
        <w:t>,</w:t>
      </w:r>
      <w:r w:rsidR="0083333D" w:rsidRPr="00A67341">
        <w:rPr>
          <w:rFonts w:ascii="Arial" w:hAnsi="Arial" w:cs="Arial"/>
          <w:sz w:val="20"/>
        </w:rPr>
        <w:t xml:space="preserve"> following doctor approval.</w:t>
      </w:r>
    </w:p>
    <w:p w:rsidR="00A67341" w:rsidRDefault="00CF3EFC" w:rsidP="008E39D2">
      <w:pPr>
        <w:pStyle w:val="Heading1"/>
        <w:spacing w:before="0" w:line="360" w:lineRule="auto"/>
        <w:rPr>
          <w:rFonts w:ascii="Arial" w:hAnsi="Arial" w:cs="Arial"/>
          <w:color w:val="auto"/>
          <w:sz w:val="40"/>
          <w:szCs w:val="40"/>
        </w:rPr>
      </w:pPr>
      <w:r>
        <w:rPr>
          <w:rFonts w:ascii="Arial" w:hAnsi="Arial" w:cs="Arial"/>
          <w:color w:val="auto"/>
          <w:sz w:val="40"/>
          <w:szCs w:val="40"/>
        </w:rPr>
        <w:lastRenderedPageBreak/>
        <w:t>Orphan Drugs and Rare Dis</w:t>
      </w:r>
      <w:r w:rsidR="00A67341">
        <w:rPr>
          <w:rFonts w:ascii="Arial" w:hAnsi="Arial" w:cs="Arial"/>
          <w:color w:val="auto"/>
          <w:sz w:val="40"/>
          <w:szCs w:val="40"/>
        </w:rPr>
        <w:t>e</w:t>
      </w:r>
      <w:r>
        <w:rPr>
          <w:rFonts w:ascii="Arial" w:hAnsi="Arial" w:cs="Arial"/>
          <w:color w:val="auto"/>
          <w:sz w:val="40"/>
          <w:szCs w:val="40"/>
        </w:rPr>
        <w:t>a</w:t>
      </w:r>
      <w:r w:rsidR="00A67341">
        <w:rPr>
          <w:rFonts w:ascii="Arial" w:hAnsi="Arial" w:cs="Arial"/>
          <w:color w:val="auto"/>
          <w:sz w:val="40"/>
          <w:szCs w:val="40"/>
        </w:rPr>
        <w:t>se</w:t>
      </w:r>
    </w:p>
    <w:p w:rsidR="00643656" w:rsidRPr="00525AA3" w:rsidRDefault="00651ED3" w:rsidP="00525AA3">
      <w:pPr>
        <w:jc w:val="both"/>
        <w:rPr>
          <w:rFonts w:ascii="Arial" w:hAnsi="Arial" w:cs="Arial"/>
          <w:color w:val="000000"/>
          <w:szCs w:val="24"/>
        </w:rPr>
      </w:pPr>
      <w:r w:rsidRPr="00525AA3">
        <w:rPr>
          <w:rFonts w:ascii="Arial" w:hAnsi="Arial" w:cs="Arial"/>
          <w:color w:val="000000"/>
          <w:szCs w:val="24"/>
        </w:rPr>
        <w:t>Australia’s</w:t>
      </w:r>
      <w:r w:rsidR="00A67341" w:rsidRPr="00525AA3">
        <w:rPr>
          <w:rFonts w:ascii="Arial" w:hAnsi="Arial" w:cs="Arial"/>
          <w:color w:val="000000"/>
          <w:szCs w:val="24"/>
        </w:rPr>
        <w:t xml:space="preserve"> orphan drugs programme is admini</w:t>
      </w:r>
      <w:r w:rsidR="00207D2C" w:rsidRPr="00525AA3">
        <w:rPr>
          <w:rFonts w:ascii="Arial" w:hAnsi="Arial" w:cs="Arial"/>
          <w:color w:val="000000"/>
          <w:szCs w:val="24"/>
        </w:rPr>
        <w:t xml:space="preserve">stered by the Therapeutic Goods </w:t>
      </w:r>
      <w:r w:rsidRPr="00525AA3">
        <w:rPr>
          <w:rFonts w:ascii="Arial" w:hAnsi="Arial" w:cs="Arial"/>
          <w:color w:val="000000"/>
          <w:szCs w:val="24"/>
        </w:rPr>
        <w:t xml:space="preserve">Administration. The programme </w:t>
      </w:r>
      <w:r w:rsidR="00A67341" w:rsidRPr="00525AA3">
        <w:rPr>
          <w:rFonts w:ascii="Arial" w:hAnsi="Arial" w:cs="Arial"/>
          <w:color w:val="000000"/>
          <w:szCs w:val="24"/>
        </w:rPr>
        <w:t xml:space="preserve">was established </w:t>
      </w:r>
      <w:r w:rsidRPr="00525AA3">
        <w:rPr>
          <w:rFonts w:ascii="Arial" w:hAnsi="Arial" w:cs="Arial"/>
          <w:color w:val="000000"/>
          <w:szCs w:val="24"/>
        </w:rPr>
        <w:t xml:space="preserve">to encourage drug </w:t>
      </w:r>
      <w:r w:rsidR="00A67341" w:rsidRPr="00525AA3">
        <w:rPr>
          <w:rFonts w:ascii="Arial" w:hAnsi="Arial" w:cs="Arial"/>
          <w:color w:val="000000"/>
          <w:szCs w:val="24"/>
        </w:rPr>
        <w:t xml:space="preserve">manufacturers to develop and market </w:t>
      </w:r>
      <w:r w:rsidR="00207D2C" w:rsidRPr="00525AA3">
        <w:rPr>
          <w:rFonts w:ascii="Arial" w:hAnsi="Arial" w:cs="Arial"/>
          <w:color w:val="000000"/>
          <w:szCs w:val="24"/>
        </w:rPr>
        <w:t>medicines affecting small populations.</w:t>
      </w:r>
      <w:r w:rsidRPr="00525AA3">
        <w:rPr>
          <w:rFonts w:ascii="Arial" w:hAnsi="Arial" w:cs="Arial"/>
          <w:color w:val="000000"/>
          <w:szCs w:val="24"/>
        </w:rPr>
        <w:t xml:space="preserve"> </w:t>
      </w:r>
      <w:r w:rsidR="00850E7A" w:rsidRPr="00525AA3">
        <w:rPr>
          <w:rFonts w:ascii="Arial" w:hAnsi="Arial" w:cs="Arial"/>
          <w:color w:val="000000"/>
          <w:szCs w:val="24"/>
        </w:rPr>
        <w:t xml:space="preserve">Regulation 45(12) of the </w:t>
      </w:r>
      <w:r w:rsidR="00850E7A" w:rsidRPr="00525AA3">
        <w:rPr>
          <w:rFonts w:ascii="Arial" w:hAnsi="Arial" w:cs="Arial"/>
          <w:i/>
          <w:color w:val="000000"/>
          <w:szCs w:val="24"/>
        </w:rPr>
        <w:t xml:space="preserve">Therapeutic Goods Regulation </w:t>
      </w:r>
      <w:r w:rsidR="00CF3EFC" w:rsidRPr="00525AA3">
        <w:rPr>
          <w:rFonts w:ascii="Arial" w:hAnsi="Arial" w:cs="Arial"/>
          <w:i/>
          <w:color w:val="000000"/>
          <w:szCs w:val="24"/>
        </w:rPr>
        <w:t>199</w:t>
      </w:r>
      <w:r w:rsidR="009928D1" w:rsidRPr="00525AA3">
        <w:rPr>
          <w:rFonts w:ascii="Arial" w:hAnsi="Arial" w:cs="Arial"/>
          <w:i/>
          <w:color w:val="000000"/>
          <w:szCs w:val="24"/>
        </w:rPr>
        <w:t>0</w:t>
      </w:r>
      <w:r w:rsidR="00CF3EFC" w:rsidRPr="00525AA3">
        <w:rPr>
          <w:rFonts w:ascii="Arial" w:hAnsi="Arial" w:cs="Arial"/>
          <w:color w:val="000000"/>
          <w:szCs w:val="24"/>
        </w:rPr>
        <w:t xml:space="preserve"> (the Regulation) </w:t>
      </w:r>
      <w:r w:rsidR="00850E7A" w:rsidRPr="00525AA3">
        <w:rPr>
          <w:rFonts w:ascii="Arial" w:hAnsi="Arial" w:cs="Arial"/>
          <w:color w:val="000000"/>
          <w:szCs w:val="24"/>
        </w:rPr>
        <w:t>provides a waiver of fees for applications seeking orphan drug designation. Orphan drug designation also results in a waiver of fees for drug applications submitted to the</w:t>
      </w:r>
      <w:r w:rsidR="00BC7AAD" w:rsidRPr="00525AA3">
        <w:rPr>
          <w:rFonts w:ascii="Arial" w:hAnsi="Arial" w:cs="Arial"/>
          <w:color w:val="000000"/>
          <w:szCs w:val="24"/>
        </w:rPr>
        <w:t xml:space="preserve"> PBAC</w:t>
      </w:r>
      <w:r w:rsidR="00850E7A" w:rsidRPr="00525AA3">
        <w:rPr>
          <w:rFonts w:ascii="Arial" w:hAnsi="Arial" w:cs="Arial"/>
          <w:color w:val="000000"/>
          <w:szCs w:val="24"/>
        </w:rPr>
        <w:t xml:space="preserve"> for consideration o</w:t>
      </w:r>
      <w:r w:rsidR="00BC7AAD" w:rsidRPr="00525AA3">
        <w:rPr>
          <w:rFonts w:ascii="Arial" w:hAnsi="Arial" w:cs="Arial"/>
          <w:color w:val="000000"/>
          <w:szCs w:val="24"/>
        </w:rPr>
        <w:t>f PBS</w:t>
      </w:r>
      <w:r w:rsidR="00850E7A" w:rsidRPr="00525AA3">
        <w:rPr>
          <w:rFonts w:ascii="Arial" w:hAnsi="Arial" w:cs="Arial"/>
          <w:color w:val="000000"/>
          <w:szCs w:val="24"/>
        </w:rPr>
        <w:t xml:space="preserve"> funding.</w:t>
      </w:r>
      <w:r w:rsidR="009D1DE1" w:rsidRPr="00525AA3">
        <w:rPr>
          <w:rFonts w:ascii="Arial" w:hAnsi="Arial" w:cs="Arial"/>
          <w:color w:val="000000"/>
          <w:szCs w:val="24"/>
        </w:rPr>
        <w:t xml:space="preserve"> Orphan drug designation by the TGA does not mean that the drug will be automatically considered for inclusion in the LSDP. </w:t>
      </w:r>
    </w:p>
    <w:p w:rsidR="00643656" w:rsidRDefault="00BC7AAD" w:rsidP="00643656">
      <w:pPr>
        <w:pStyle w:val="Heading1"/>
        <w:jc w:val="both"/>
        <w:rPr>
          <w:rFonts w:ascii="Arial" w:eastAsiaTheme="minorHAnsi" w:hAnsi="Arial" w:cs="Arial"/>
          <w:b w:val="0"/>
          <w:bCs w:val="0"/>
          <w:color w:val="000000"/>
          <w:sz w:val="24"/>
          <w:szCs w:val="24"/>
        </w:rPr>
      </w:pPr>
      <w:r w:rsidRPr="00643656">
        <w:rPr>
          <w:rFonts w:ascii="Arial" w:eastAsiaTheme="minorHAnsi" w:hAnsi="Arial" w:cs="Arial"/>
          <w:b w:val="0"/>
          <w:bCs w:val="0"/>
          <w:color w:val="000000"/>
          <w:sz w:val="24"/>
          <w:szCs w:val="24"/>
        </w:rPr>
        <w:t xml:space="preserve">Regulation 16 H </w:t>
      </w:r>
      <w:r w:rsidR="00207D2C" w:rsidRPr="00643656">
        <w:rPr>
          <w:rFonts w:ascii="Arial" w:eastAsiaTheme="minorHAnsi" w:hAnsi="Arial" w:cs="Arial"/>
          <w:b w:val="0"/>
          <w:bCs w:val="0"/>
          <w:color w:val="000000"/>
          <w:sz w:val="24"/>
          <w:szCs w:val="24"/>
        </w:rPr>
        <w:t xml:space="preserve">defines </w:t>
      </w:r>
      <w:r w:rsidR="009928D1">
        <w:rPr>
          <w:rFonts w:ascii="Arial" w:eastAsiaTheme="minorHAnsi" w:hAnsi="Arial" w:cs="Arial"/>
          <w:b w:val="0"/>
          <w:bCs w:val="0"/>
          <w:color w:val="000000"/>
          <w:sz w:val="24"/>
          <w:szCs w:val="24"/>
        </w:rPr>
        <w:t xml:space="preserve">an </w:t>
      </w:r>
      <w:r w:rsidR="00207D2C" w:rsidRPr="00643656">
        <w:rPr>
          <w:rFonts w:ascii="Arial" w:eastAsiaTheme="minorHAnsi" w:hAnsi="Arial" w:cs="Arial"/>
          <w:b w:val="0"/>
          <w:bCs w:val="0"/>
          <w:color w:val="000000"/>
          <w:sz w:val="24"/>
          <w:szCs w:val="24"/>
        </w:rPr>
        <w:t>orphan drug as</w:t>
      </w:r>
    </w:p>
    <w:p w:rsidR="00651ED3" w:rsidRPr="00643656" w:rsidRDefault="00651ED3" w:rsidP="00643656">
      <w:pPr>
        <w:pStyle w:val="Heading1"/>
        <w:spacing w:before="100" w:beforeAutospacing="1" w:line="240" w:lineRule="auto"/>
        <w:ind w:right="-187"/>
        <w:jc w:val="both"/>
        <w:rPr>
          <w:rFonts w:eastAsiaTheme="minorHAnsi"/>
        </w:rPr>
      </w:pPr>
      <w:r w:rsidRPr="00643656">
        <w:rPr>
          <w:rFonts w:ascii="Arial" w:eastAsiaTheme="minorHAnsi" w:hAnsi="Arial" w:cs="Arial"/>
          <w:b w:val="0"/>
          <w:bCs w:val="0"/>
          <w:color w:val="000000"/>
          <w:sz w:val="24"/>
          <w:szCs w:val="24"/>
        </w:rPr>
        <w:t xml:space="preserve">(1) </w:t>
      </w:r>
      <w:proofErr w:type="gramStart"/>
      <w:r w:rsidRPr="00643656">
        <w:rPr>
          <w:rFonts w:ascii="Arial" w:eastAsiaTheme="minorHAnsi" w:hAnsi="Arial" w:cs="Arial"/>
          <w:b w:val="0"/>
          <w:bCs w:val="0"/>
          <w:color w:val="000000"/>
          <w:sz w:val="24"/>
          <w:szCs w:val="24"/>
        </w:rPr>
        <w:t>a</w:t>
      </w:r>
      <w:proofErr w:type="gramEnd"/>
      <w:r w:rsidR="00207D2C" w:rsidRPr="00643656">
        <w:rPr>
          <w:rFonts w:ascii="Arial" w:eastAsiaTheme="minorHAnsi" w:hAnsi="Arial" w:cs="Arial"/>
          <w:b w:val="0"/>
          <w:bCs w:val="0"/>
          <w:color w:val="000000"/>
          <w:sz w:val="24"/>
          <w:szCs w:val="24"/>
        </w:rPr>
        <w:t xml:space="preserve"> medicine, vacci</w:t>
      </w:r>
      <w:r w:rsidRPr="00643656">
        <w:rPr>
          <w:rFonts w:ascii="Arial" w:eastAsiaTheme="minorHAnsi" w:hAnsi="Arial" w:cs="Arial"/>
          <w:b w:val="0"/>
          <w:bCs w:val="0"/>
          <w:color w:val="000000"/>
          <w:sz w:val="24"/>
          <w:szCs w:val="24"/>
        </w:rPr>
        <w:t xml:space="preserve">ne or </w:t>
      </w:r>
      <w:r w:rsidRPr="00643656">
        <w:rPr>
          <w:rFonts w:ascii="Arial" w:eastAsiaTheme="minorHAnsi" w:hAnsi="Arial" w:cs="Arial"/>
          <w:b w:val="0"/>
          <w:bCs w:val="0"/>
          <w:i/>
          <w:color w:val="000000"/>
          <w:sz w:val="24"/>
          <w:szCs w:val="24"/>
        </w:rPr>
        <w:t xml:space="preserve">in vivo </w:t>
      </w:r>
      <w:r w:rsidRPr="00643656">
        <w:rPr>
          <w:rFonts w:ascii="Arial" w:eastAsiaTheme="minorHAnsi" w:hAnsi="Arial" w:cs="Arial"/>
          <w:b w:val="0"/>
          <w:bCs w:val="0"/>
          <w:color w:val="000000"/>
          <w:sz w:val="24"/>
          <w:szCs w:val="24"/>
        </w:rPr>
        <w:t>diagnostic agent i</w:t>
      </w:r>
      <w:r w:rsidR="00207D2C" w:rsidRPr="00643656">
        <w:rPr>
          <w:rFonts w:ascii="Arial" w:eastAsiaTheme="minorHAnsi" w:hAnsi="Arial" w:cs="Arial"/>
          <w:b w:val="0"/>
          <w:bCs w:val="0"/>
          <w:color w:val="000000"/>
          <w:sz w:val="24"/>
          <w:szCs w:val="24"/>
        </w:rPr>
        <w:t>s an orphan drug if it complies with this regulation.</w:t>
      </w:r>
    </w:p>
    <w:p w:rsidR="00643656" w:rsidRPr="00643656" w:rsidRDefault="00643656" w:rsidP="00643656">
      <w:pPr>
        <w:autoSpaceDE w:val="0"/>
        <w:autoSpaceDN w:val="0"/>
        <w:adjustRightInd w:val="0"/>
        <w:spacing w:after="120" w:line="240" w:lineRule="auto"/>
        <w:jc w:val="both"/>
        <w:rPr>
          <w:rFonts w:ascii="Arial" w:hAnsi="Arial" w:cs="Arial"/>
          <w:color w:val="000000"/>
          <w:sz w:val="20"/>
          <w:szCs w:val="20"/>
        </w:rPr>
      </w:pPr>
    </w:p>
    <w:p w:rsidR="00207D2C" w:rsidRPr="00643656" w:rsidRDefault="00B62F61" w:rsidP="00643656">
      <w:pPr>
        <w:autoSpaceDE w:val="0"/>
        <w:autoSpaceDN w:val="0"/>
        <w:adjustRightInd w:val="0"/>
        <w:spacing w:after="120" w:line="240" w:lineRule="auto"/>
        <w:jc w:val="both"/>
        <w:rPr>
          <w:rFonts w:ascii="Arial" w:hAnsi="Arial" w:cs="Arial"/>
          <w:color w:val="000000"/>
          <w:szCs w:val="24"/>
        </w:rPr>
      </w:pPr>
      <w:r w:rsidRPr="00643656">
        <w:rPr>
          <w:rFonts w:ascii="Arial" w:hAnsi="Arial" w:cs="Arial"/>
          <w:color w:val="000000"/>
          <w:szCs w:val="24"/>
        </w:rPr>
        <w:t xml:space="preserve">(2) It: </w:t>
      </w:r>
      <w:r w:rsidR="00207D2C" w:rsidRPr="00643656">
        <w:rPr>
          <w:rFonts w:ascii="Arial" w:hAnsi="Arial" w:cs="Arial"/>
          <w:color w:val="000000"/>
          <w:szCs w:val="24"/>
        </w:rPr>
        <w:t>(a) must be intended to treat, prev</w:t>
      </w:r>
      <w:r w:rsidRPr="00643656">
        <w:rPr>
          <w:rFonts w:ascii="Arial" w:hAnsi="Arial" w:cs="Arial"/>
          <w:color w:val="000000"/>
          <w:szCs w:val="24"/>
        </w:rPr>
        <w:t xml:space="preserve">ent or diagnose a rare disease; </w:t>
      </w:r>
      <w:r w:rsidR="00207D2C" w:rsidRPr="00643656">
        <w:rPr>
          <w:rFonts w:ascii="Arial" w:hAnsi="Arial" w:cs="Arial"/>
          <w:color w:val="000000"/>
          <w:szCs w:val="24"/>
        </w:rPr>
        <w:t>or</w:t>
      </w:r>
    </w:p>
    <w:p w:rsidR="00207D2C" w:rsidRPr="00643656" w:rsidRDefault="00207D2C" w:rsidP="00643656">
      <w:pPr>
        <w:autoSpaceDE w:val="0"/>
        <w:autoSpaceDN w:val="0"/>
        <w:adjustRightInd w:val="0"/>
        <w:spacing w:after="120" w:line="240" w:lineRule="auto"/>
        <w:ind w:left="720"/>
        <w:jc w:val="both"/>
        <w:rPr>
          <w:rFonts w:ascii="Arial" w:hAnsi="Arial" w:cs="Arial"/>
          <w:color w:val="000000"/>
          <w:szCs w:val="24"/>
        </w:rPr>
      </w:pPr>
      <w:r w:rsidRPr="00643656">
        <w:rPr>
          <w:rFonts w:ascii="Arial" w:hAnsi="Arial" w:cs="Arial"/>
          <w:color w:val="000000"/>
          <w:szCs w:val="24"/>
        </w:rPr>
        <w:t xml:space="preserve">(b) </w:t>
      </w:r>
      <w:proofErr w:type="gramStart"/>
      <w:r w:rsidRPr="00643656">
        <w:rPr>
          <w:rFonts w:ascii="Arial" w:hAnsi="Arial" w:cs="Arial"/>
          <w:color w:val="000000"/>
          <w:szCs w:val="24"/>
        </w:rPr>
        <w:t>must</w:t>
      </w:r>
      <w:proofErr w:type="gramEnd"/>
      <w:r w:rsidRPr="00643656">
        <w:rPr>
          <w:rFonts w:ascii="Arial" w:hAnsi="Arial" w:cs="Arial"/>
          <w:color w:val="000000"/>
          <w:szCs w:val="24"/>
        </w:rPr>
        <w:t xml:space="preserve"> not be commercially viable to supply to treat, prevent or diagnose another disease or condition.</w:t>
      </w:r>
    </w:p>
    <w:p w:rsidR="00207D2C" w:rsidRPr="00643656" w:rsidRDefault="00207D2C" w:rsidP="00643656">
      <w:pPr>
        <w:autoSpaceDE w:val="0"/>
        <w:autoSpaceDN w:val="0"/>
        <w:adjustRightInd w:val="0"/>
        <w:spacing w:after="120" w:line="240" w:lineRule="auto"/>
        <w:jc w:val="both"/>
        <w:rPr>
          <w:rFonts w:ascii="Arial" w:hAnsi="Arial" w:cs="Arial"/>
          <w:color w:val="000000"/>
          <w:szCs w:val="24"/>
        </w:rPr>
      </w:pPr>
      <w:r w:rsidRPr="00643656">
        <w:rPr>
          <w:rFonts w:ascii="Arial" w:hAnsi="Arial" w:cs="Arial"/>
          <w:color w:val="000000"/>
          <w:szCs w:val="24"/>
        </w:rPr>
        <w:t>(3) It is not an orphan drug if any of the following persons or bodies has refused to approve it for use for the disease for a reason related to the medicine’s safety:</w:t>
      </w:r>
    </w:p>
    <w:p w:rsidR="00207D2C" w:rsidRPr="00643656" w:rsidRDefault="00207D2C" w:rsidP="00643656">
      <w:pPr>
        <w:autoSpaceDE w:val="0"/>
        <w:autoSpaceDN w:val="0"/>
        <w:adjustRightInd w:val="0"/>
        <w:spacing w:after="120" w:line="240" w:lineRule="auto"/>
        <w:ind w:firstLine="720"/>
        <w:jc w:val="both"/>
        <w:rPr>
          <w:rFonts w:ascii="Arial" w:hAnsi="Arial" w:cs="Arial"/>
          <w:color w:val="000000"/>
          <w:szCs w:val="24"/>
        </w:rPr>
      </w:pPr>
      <w:r w:rsidRPr="00643656">
        <w:rPr>
          <w:rFonts w:ascii="Arial" w:hAnsi="Arial" w:cs="Arial"/>
          <w:color w:val="000000"/>
          <w:szCs w:val="24"/>
        </w:rPr>
        <w:t xml:space="preserve">(a) </w:t>
      </w:r>
      <w:proofErr w:type="gramStart"/>
      <w:r w:rsidRPr="00643656">
        <w:rPr>
          <w:rFonts w:ascii="Arial" w:hAnsi="Arial" w:cs="Arial"/>
          <w:color w:val="000000"/>
          <w:szCs w:val="24"/>
        </w:rPr>
        <w:t>the</w:t>
      </w:r>
      <w:proofErr w:type="gramEnd"/>
      <w:r w:rsidRPr="00643656">
        <w:rPr>
          <w:rFonts w:ascii="Arial" w:hAnsi="Arial" w:cs="Arial"/>
          <w:color w:val="000000"/>
          <w:szCs w:val="24"/>
        </w:rPr>
        <w:t xml:space="preserve"> Secretary;</w:t>
      </w:r>
    </w:p>
    <w:p w:rsidR="006D3B55" w:rsidRDefault="00207D2C" w:rsidP="00C91206">
      <w:pPr>
        <w:autoSpaceDE w:val="0"/>
        <w:autoSpaceDN w:val="0"/>
        <w:adjustRightInd w:val="0"/>
        <w:spacing w:after="120" w:line="240" w:lineRule="auto"/>
        <w:ind w:firstLine="720"/>
        <w:jc w:val="both"/>
        <w:rPr>
          <w:rFonts w:ascii="Arial" w:hAnsi="Arial" w:cs="Arial"/>
          <w:color w:val="000000"/>
          <w:szCs w:val="24"/>
        </w:rPr>
      </w:pPr>
      <w:r w:rsidRPr="00643656">
        <w:rPr>
          <w:rFonts w:ascii="Arial" w:hAnsi="Arial" w:cs="Arial"/>
          <w:color w:val="000000"/>
          <w:szCs w:val="24"/>
        </w:rPr>
        <w:t>(b) the Food and Drug Administration of the United States of America;</w:t>
      </w:r>
    </w:p>
    <w:p w:rsidR="00207D2C" w:rsidRPr="00643656" w:rsidRDefault="00207D2C" w:rsidP="00643656">
      <w:pPr>
        <w:autoSpaceDE w:val="0"/>
        <w:autoSpaceDN w:val="0"/>
        <w:adjustRightInd w:val="0"/>
        <w:spacing w:after="120" w:line="240" w:lineRule="auto"/>
        <w:ind w:firstLine="720"/>
        <w:jc w:val="both"/>
        <w:rPr>
          <w:rFonts w:ascii="Arial" w:hAnsi="Arial" w:cs="Arial"/>
          <w:color w:val="000000"/>
          <w:szCs w:val="24"/>
        </w:rPr>
      </w:pPr>
      <w:r w:rsidRPr="00643656">
        <w:rPr>
          <w:rFonts w:ascii="Arial" w:hAnsi="Arial" w:cs="Arial"/>
          <w:color w:val="000000"/>
          <w:szCs w:val="24"/>
        </w:rPr>
        <w:t xml:space="preserve">(c) </w:t>
      </w:r>
      <w:proofErr w:type="gramStart"/>
      <w:r w:rsidRPr="00643656">
        <w:rPr>
          <w:rFonts w:ascii="Arial" w:hAnsi="Arial" w:cs="Arial"/>
          <w:color w:val="000000"/>
          <w:szCs w:val="24"/>
        </w:rPr>
        <w:t>the</w:t>
      </w:r>
      <w:proofErr w:type="gramEnd"/>
      <w:r w:rsidRPr="00643656">
        <w:rPr>
          <w:rFonts w:ascii="Arial" w:hAnsi="Arial" w:cs="Arial"/>
          <w:color w:val="000000"/>
          <w:szCs w:val="24"/>
        </w:rPr>
        <w:t xml:space="preserve"> Medicines Control Agency of the United Kingdom;</w:t>
      </w:r>
    </w:p>
    <w:p w:rsidR="00207D2C" w:rsidRPr="00643656" w:rsidRDefault="00207D2C" w:rsidP="00643656">
      <w:pPr>
        <w:autoSpaceDE w:val="0"/>
        <w:autoSpaceDN w:val="0"/>
        <w:adjustRightInd w:val="0"/>
        <w:spacing w:after="120" w:line="240" w:lineRule="auto"/>
        <w:ind w:firstLine="720"/>
        <w:jc w:val="both"/>
        <w:rPr>
          <w:rFonts w:ascii="Arial" w:hAnsi="Arial" w:cs="Arial"/>
          <w:color w:val="000000"/>
          <w:szCs w:val="24"/>
        </w:rPr>
      </w:pPr>
      <w:r w:rsidRPr="00643656">
        <w:rPr>
          <w:rFonts w:ascii="Arial" w:hAnsi="Arial" w:cs="Arial"/>
          <w:color w:val="000000"/>
          <w:szCs w:val="24"/>
        </w:rPr>
        <w:t xml:space="preserve">(d) </w:t>
      </w:r>
      <w:proofErr w:type="gramStart"/>
      <w:r w:rsidRPr="00643656">
        <w:rPr>
          <w:rFonts w:ascii="Arial" w:hAnsi="Arial" w:cs="Arial"/>
          <w:color w:val="000000"/>
          <w:szCs w:val="24"/>
        </w:rPr>
        <w:t>the</w:t>
      </w:r>
      <w:proofErr w:type="gramEnd"/>
      <w:r w:rsidRPr="00643656">
        <w:rPr>
          <w:rFonts w:ascii="Arial" w:hAnsi="Arial" w:cs="Arial"/>
          <w:color w:val="000000"/>
          <w:szCs w:val="24"/>
        </w:rPr>
        <w:t xml:space="preserve"> Bureau of Pharmaceutical Assessment of Canada;</w:t>
      </w:r>
    </w:p>
    <w:p w:rsidR="00207D2C" w:rsidRPr="00643656" w:rsidRDefault="00207D2C" w:rsidP="00643656">
      <w:pPr>
        <w:autoSpaceDE w:val="0"/>
        <w:autoSpaceDN w:val="0"/>
        <w:adjustRightInd w:val="0"/>
        <w:spacing w:after="120" w:line="240" w:lineRule="auto"/>
        <w:ind w:firstLine="720"/>
        <w:jc w:val="both"/>
        <w:rPr>
          <w:rFonts w:ascii="Arial" w:hAnsi="Arial" w:cs="Arial"/>
          <w:color w:val="000000"/>
          <w:szCs w:val="24"/>
        </w:rPr>
      </w:pPr>
      <w:r w:rsidRPr="00643656">
        <w:rPr>
          <w:rFonts w:ascii="Arial" w:hAnsi="Arial" w:cs="Arial"/>
          <w:color w:val="000000"/>
          <w:szCs w:val="24"/>
        </w:rPr>
        <w:t xml:space="preserve">(e) </w:t>
      </w:r>
      <w:proofErr w:type="gramStart"/>
      <w:r w:rsidRPr="00643656">
        <w:rPr>
          <w:rFonts w:ascii="Arial" w:hAnsi="Arial" w:cs="Arial"/>
          <w:color w:val="000000"/>
          <w:szCs w:val="24"/>
        </w:rPr>
        <w:t>the</w:t>
      </w:r>
      <w:proofErr w:type="gramEnd"/>
      <w:r w:rsidRPr="00643656">
        <w:rPr>
          <w:rFonts w:ascii="Arial" w:hAnsi="Arial" w:cs="Arial"/>
          <w:color w:val="000000"/>
          <w:szCs w:val="24"/>
        </w:rPr>
        <w:t xml:space="preserve"> Medical Products Agency of Sweden;</w:t>
      </w:r>
    </w:p>
    <w:p w:rsidR="00207D2C" w:rsidRPr="00643656" w:rsidRDefault="00207D2C" w:rsidP="00643656">
      <w:pPr>
        <w:autoSpaceDE w:val="0"/>
        <w:autoSpaceDN w:val="0"/>
        <w:adjustRightInd w:val="0"/>
        <w:spacing w:after="120" w:line="240" w:lineRule="auto"/>
        <w:ind w:firstLine="720"/>
        <w:jc w:val="both"/>
        <w:rPr>
          <w:rFonts w:ascii="Arial" w:hAnsi="Arial" w:cs="Arial"/>
          <w:color w:val="000000"/>
          <w:szCs w:val="24"/>
        </w:rPr>
      </w:pPr>
      <w:r w:rsidRPr="00643656">
        <w:rPr>
          <w:rFonts w:ascii="Arial" w:hAnsi="Arial" w:cs="Arial"/>
          <w:color w:val="000000"/>
          <w:szCs w:val="24"/>
        </w:rPr>
        <w:t xml:space="preserve">(f) </w:t>
      </w:r>
      <w:proofErr w:type="gramStart"/>
      <w:r w:rsidRPr="00643656">
        <w:rPr>
          <w:rFonts w:ascii="Arial" w:hAnsi="Arial" w:cs="Arial"/>
          <w:color w:val="000000"/>
          <w:szCs w:val="24"/>
        </w:rPr>
        <w:t>the</w:t>
      </w:r>
      <w:proofErr w:type="gramEnd"/>
      <w:r w:rsidRPr="00643656">
        <w:rPr>
          <w:rFonts w:ascii="Arial" w:hAnsi="Arial" w:cs="Arial"/>
          <w:color w:val="000000"/>
          <w:szCs w:val="24"/>
        </w:rPr>
        <w:t xml:space="preserve"> Medicines Evaluation Board of the Netherlands;</w:t>
      </w:r>
    </w:p>
    <w:p w:rsidR="006D3B55" w:rsidRPr="006D3B55" w:rsidRDefault="00207D2C" w:rsidP="006D3B55">
      <w:pPr>
        <w:autoSpaceDE w:val="0"/>
        <w:autoSpaceDN w:val="0"/>
        <w:adjustRightInd w:val="0"/>
        <w:spacing w:after="120" w:line="240" w:lineRule="auto"/>
        <w:ind w:firstLine="720"/>
        <w:jc w:val="both"/>
        <w:rPr>
          <w:rFonts w:ascii="Arial" w:hAnsi="Arial" w:cs="Arial"/>
          <w:color w:val="000000"/>
          <w:szCs w:val="24"/>
        </w:rPr>
      </w:pPr>
      <w:r w:rsidRPr="00643656">
        <w:rPr>
          <w:rFonts w:ascii="Arial" w:hAnsi="Arial" w:cs="Arial"/>
          <w:color w:val="000000"/>
          <w:szCs w:val="24"/>
        </w:rPr>
        <w:t xml:space="preserve">(g) </w:t>
      </w:r>
      <w:proofErr w:type="gramStart"/>
      <w:r w:rsidRPr="00643656">
        <w:rPr>
          <w:rFonts w:ascii="Arial" w:hAnsi="Arial" w:cs="Arial"/>
          <w:color w:val="000000"/>
          <w:szCs w:val="24"/>
        </w:rPr>
        <w:t>the</w:t>
      </w:r>
      <w:proofErr w:type="gramEnd"/>
      <w:r w:rsidRPr="00643656">
        <w:rPr>
          <w:rFonts w:ascii="Arial" w:hAnsi="Arial" w:cs="Arial"/>
          <w:color w:val="000000"/>
          <w:szCs w:val="24"/>
        </w:rPr>
        <w:t xml:space="preserve"> European Agency for the Evaluation of Medicinal Products.</w:t>
      </w:r>
    </w:p>
    <w:p w:rsidR="006D3B55" w:rsidRDefault="00207D2C" w:rsidP="006D3B55">
      <w:pPr>
        <w:autoSpaceDE w:val="0"/>
        <w:autoSpaceDN w:val="0"/>
        <w:adjustRightInd w:val="0"/>
        <w:spacing w:after="120"/>
        <w:jc w:val="both"/>
        <w:rPr>
          <w:rFonts w:ascii="Arial" w:hAnsi="Arial" w:cs="Arial"/>
          <w:color w:val="000000"/>
          <w:szCs w:val="24"/>
        </w:rPr>
      </w:pPr>
      <w:r w:rsidRPr="00643656">
        <w:rPr>
          <w:rFonts w:ascii="Arial" w:hAnsi="Arial" w:cs="Arial"/>
          <w:color w:val="000000"/>
          <w:szCs w:val="24"/>
        </w:rPr>
        <w:t>(4) It is not an orphan drug if it has been registered for use for the disease or condition before 1 January 1998.</w:t>
      </w:r>
    </w:p>
    <w:p w:rsidR="00207D2C" w:rsidRPr="00643656" w:rsidRDefault="00207D2C" w:rsidP="00DC64D9">
      <w:pPr>
        <w:autoSpaceDE w:val="0"/>
        <w:autoSpaceDN w:val="0"/>
        <w:adjustRightInd w:val="0"/>
        <w:spacing w:after="120"/>
        <w:jc w:val="both"/>
        <w:rPr>
          <w:rFonts w:ascii="Arial" w:hAnsi="Arial" w:cs="Arial"/>
          <w:color w:val="000000"/>
          <w:szCs w:val="24"/>
        </w:rPr>
      </w:pPr>
      <w:r w:rsidRPr="00643656">
        <w:rPr>
          <w:rFonts w:ascii="Arial" w:hAnsi="Arial" w:cs="Arial"/>
          <w:color w:val="000000"/>
          <w:szCs w:val="24"/>
        </w:rPr>
        <w:t>(5) However, it may be registered before 1 January 1998 for another use or indication.</w:t>
      </w:r>
    </w:p>
    <w:p w:rsidR="00207D2C" w:rsidRPr="007C0C21" w:rsidRDefault="00651ED3" w:rsidP="007C0C21">
      <w:pPr>
        <w:pStyle w:val="Heading3"/>
      </w:pPr>
      <w:r w:rsidRPr="007C0C21">
        <w:rPr>
          <w:i/>
          <w:color w:val="auto"/>
        </w:rPr>
        <w:t>C</w:t>
      </w:r>
      <w:r w:rsidRPr="007C0C21">
        <w:rPr>
          <w:rStyle w:val="Heading2Char"/>
          <w:rFonts w:ascii="Arial" w:hAnsi="Arial" w:cs="Arial"/>
          <w:b/>
          <w:i/>
          <w:color w:val="auto"/>
          <w:sz w:val="24"/>
          <w:szCs w:val="24"/>
          <w14:textOutline w14:w="9525" w14:cap="rnd" w14:cmpd="sng" w14:algn="ctr">
            <w14:noFill/>
            <w14:prstDash w14:val="solid"/>
            <w14:bevel/>
          </w14:textOutline>
        </w:rPr>
        <w:t>urrent definition of r</w:t>
      </w:r>
      <w:r w:rsidR="00207D2C" w:rsidRPr="007C0C21">
        <w:rPr>
          <w:rStyle w:val="Heading2Char"/>
          <w:rFonts w:ascii="Arial" w:hAnsi="Arial" w:cs="Arial"/>
          <w:b/>
          <w:i/>
          <w:color w:val="auto"/>
          <w:sz w:val="24"/>
          <w:szCs w:val="24"/>
          <w14:textOutline w14:w="9525" w14:cap="rnd" w14:cmpd="sng" w14:algn="ctr">
            <w14:noFill/>
            <w14:prstDash w14:val="solid"/>
            <w14:bevel/>
          </w14:textOutline>
        </w:rPr>
        <w:t>are disease</w:t>
      </w:r>
      <w:r w:rsidRPr="007C0C21">
        <w:rPr>
          <w:rStyle w:val="Heading2Char"/>
          <w:rFonts w:ascii="Arial" w:hAnsi="Arial" w:cs="Arial"/>
          <w:b/>
          <w:i/>
          <w:color w:val="auto"/>
          <w:sz w:val="24"/>
          <w:szCs w:val="24"/>
          <w14:textOutline w14:w="9525" w14:cap="rnd" w14:cmpd="sng" w14:algn="ctr">
            <w14:noFill/>
            <w14:prstDash w14:val="solid"/>
            <w14:bevel/>
          </w14:textOutline>
        </w:rPr>
        <w:t xml:space="preserve"> in the Therapeutic Goods Regulation 199</w:t>
      </w:r>
      <w:r w:rsidR="00DA535B" w:rsidRPr="007C0C21">
        <w:rPr>
          <w:rStyle w:val="Heading2Char"/>
          <w:rFonts w:ascii="Arial" w:hAnsi="Arial" w:cs="Arial"/>
          <w:b/>
          <w:i/>
          <w:color w:val="auto"/>
          <w:sz w:val="24"/>
          <w:szCs w:val="24"/>
          <w14:textOutline w14:w="9525" w14:cap="rnd" w14:cmpd="sng" w14:algn="ctr">
            <w14:noFill/>
            <w14:prstDash w14:val="solid"/>
            <w14:bevel/>
          </w14:textOutline>
        </w:rPr>
        <w:t>0</w:t>
      </w:r>
    </w:p>
    <w:p w:rsidR="00207D2C" w:rsidRPr="00643656" w:rsidRDefault="00651ED3" w:rsidP="00643656">
      <w:pPr>
        <w:autoSpaceDE w:val="0"/>
        <w:autoSpaceDN w:val="0"/>
        <w:adjustRightInd w:val="0"/>
        <w:spacing w:line="240" w:lineRule="auto"/>
        <w:jc w:val="both"/>
        <w:rPr>
          <w:rFonts w:ascii="Arial" w:hAnsi="Arial" w:cs="Arial"/>
          <w:color w:val="000000"/>
          <w:szCs w:val="24"/>
        </w:rPr>
      </w:pPr>
      <w:r w:rsidRPr="00643656">
        <w:rPr>
          <w:rFonts w:ascii="Arial" w:hAnsi="Arial" w:cs="Arial"/>
          <w:color w:val="000000"/>
          <w:szCs w:val="24"/>
        </w:rPr>
        <w:t>‘R</w:t>
      </w:r>
      <w:r w:rsidR="00207D2C" w:rsidRPr="00643656">
        <w:rPr>
          <w:rFonts w:ascii="Arial" w:hAnsi="Arial" w:cs="Arial"/>
          <w:color w:val="000000"/>
          <w:szCs w:val="24"/>
        </w:rPr>
        <w:t>are disease</w:t>
      </w:r>
      <w:r w:rsidRPr="00643656">
        <w:rPr>
          <w:rFonts w:ascii="Arial" w:hAnsi="Arial" w:cs="Arial"/>
          <w:color w:val="000000"/>
          <w:szCs w:val="24"/>
        </w:rPr>
        <w:t>’</w:t>
      </w:r>
      <w:r w:rsidR="00207D2C" w:rsidRPr="00643656">
        <w:rPr>
          <w:rFonts w:ascii="Arial" w:hAnsi="Arial" w:cs="Arial"/>
          <w:color w:val="000000"/>
          <w:szCs w:val="24"/>
        </w:rPr>
        <w:t xml:space="preserve"> is defined in Regulation 2 as </w:t>
      </w:r>
      <w:r w:rsidR="00B62F61" w:rsidRPr="00643656">
        <w:rPr>
          <w:rFonts w:ascii="Arial" w:hAnsi="Arial" w:cs="Arial"/>
          <w:color w:val="000000"/>
          <w:szCs w:val="24"/>
        </w:rPr>
        <w:t>“</w:t>
      </w:r>
      <w:r w:rsidR="00207D2C" w:rsidRPr="00643656">
        <w:rPr>
          <w:rFonts w:ascii="Arial" w:hAnsi="Arial" w:cs="Arial"/>
          <w:color w:val="000000"/>
          <w:szCs w:val="24"/>
        </w:rPr>
        <w:t>a disease, or condition, likely to affect not more than 2,000 individuals in Australia at any time.</w:t>
      </w:r>
      <w:r w:rsidR="00B62F61" w:rsidRPr="00643656">
        <w:rPr>
          <w:rFonts w:ascii="Arial" w:hAnsi="Arial" w:cs="Arial"/>
          <w:color w:val="000000"/>
          <w:szCs w:val="24"/>
        </w:rPr>
        <w:t xml:space="preserve"> </w:t>
      </w:r>
      <w:r w:rsidR="009928D1">
        <w:rPr>
          <w:rFonts w:ascii="Arial" w:hAnsi="Arial" w:cs="Arial"/>
          <w:color w:val="000000"/>
          <w:szCs w:val="24"/>
        </w:rPr>
        <w:t xml:space="preserve">Regulation 16H 2(a) specifies that the </w:t>
      </w:r>
      <w:r w:rsidR="00B62F61" w:rsidRPr="00643656">
        <w:rPr>
          <w:rFonts w:ascii="Arial" w:hAnsi="Arial" w:cs="Arial"/>
          <w:color w:val="000000"/>
          <w:szCs w:val="24"/>
        </w:rPr>
        <w:t>drug must be intended to ‘treat, prevent or diagnose a rare disease”.</w:t>
      </w:r>
    </w:p>
    <w:p w:rsidR="00525AA3" w:rsidRPr="00525AA3" w:rsidRDefault="00207D2C" w:rsidP="00DC64D9">
      <w:pPr>
        <w:autoSpaceDE w:val="0"/>
        <w:autoSpaceDN w:val="0"/>
        <w:adjustRightInd w:val="0"/>
        <w:spacing w:line="240" w:lineRule="auto"/>
        <w:jc w:val="both"/>
        <w:rPr>
          <w:rFonts w:ascii="Arial" w:eastAsiaTheme="majorEastAsia" w:hAnsi="Arial" w:cs="Arial"/>
          <w:b/>
          <w:bCs/>
          <w:i/>
          <w:szCs w:val="24"/>
        </w:rPr>
      </w:pPr>
      <w:r w:rsidRPr="00643656">
        <w:rPr>
          <w:rFonts w:ascii="Arial" w:hAnsi="Arial" w:cs="Arial"/>
          <w:color w:val="000000"/>
          <w:szCs w:val="24"/>
        </w:rPr>
        <w:t xml:space="preserve">Regulation 16 I(4) </w:t>
      </w:r>
      <w:r w:rsidR="00651ED3" w:rsidRPr="00643656">
        <w:rPr>
          <w:rFonts w:ascii="Arial" w:hAnsi="Arial" w:cs="Arial"/>
          <w:color w:val="000000"/>
          <w:szCs w:val="24"/>
        </w:rPr>
        <w:t xml:space="preserve">requires applications </w:t>
      </w:r>
      <w:r w:rsidR="009928D1">
        <w:rPr>
          <w:rFonts w:ascii="Arial" w:hAnsi="Arial" w:cs="Arial"/>
          <w:color w:val="000000"/>
          <w:szCs w:val="24"/>
        </w:rPr>
        <w:t>for</w:t>
      </w:r>
      <w:r w:rsidR="00651ED3" w:rsidRPr="00643656">
        <w:rPr>
          <w:rFonts w:ascii="Arial" w:hAnsi="Arial" w:cs="Arial"/>
          <w:color w:val="000000"/>
          <w:szCs w:val="24"/>
        </w:rPr>
        <w:t xml:space="preserve"> vaccines</w:t>
      </w:r>
      <w:r w:rsidR="009928D1">
        <w:rPr>
          <w:rFonts w:ascii="Arial" w:hAnsi="Arial" w:cs="Arial"/>
          <w:color w:val="000000"/>
          <w:szCs w:val="24"/>
        </w:rPr>
        <w:t xml:space="preserve"> or </w:t>
      </w:r>
      <w:r w:rsidR="009928D1" w:rsidRPr="00DA535B">
        <w:rPr>
          <w:rFonts w:ascii="Arial" w:hAnsi="Arial" w:cs="Arial"/>
          <w:i/>
          <w:color w:val="000000"/>
          <w:szCs w:val="24"/>
        </w:rPr>
        <w:t>in vivo</w:t>
      </w:r>
      <w:r w:rsidR="009928D1">
        <w:rPr>
          <w:rFonts w:ascii="Arial" w:hAnsi="Arial" w:cs="Arial"/>
          <w:color w:val="000000"/>
          <w:szCs w:val="24"/>
        </w:rPr>
        <w:t xml:space="preserve"> diagnostic agents</w:t>
      </w:r>
      <w:r w:rsidR="009928D1" w:rsidRPr="009928D1">
        <w:rPr>
          <w:rFonts w:ascii="Arial" w:hAnsi="Arial" w:cs="Arial"/>
          <w:color w:val="000000"/>
          <w:szCs w:val="24"/>
        </w:rPr>
        <w:t xml:space="preserve"> </w:t>
      </w:r>
      <w:r w:rsidR="00651ED3" w:rsidRPr="00643656">
        <w:rPr>
          <w:rFonts w:ascii="Arial" w:hAnsi="Arial" w:cs="Arial"/>
          <w:color w:val="000000"/>
          <w:szCs w:val="24"/>
        </w:rPr>
        <w:t xml:space="preserve"> requesting designation</w:t>
      </w:r>
      <w:r w:rsidRPr="00643656">
        <w:rPr>
          <w:rFonts w:ascii="Arial" w:hAnsi="Arial" w:cs="Arial"/>
          <w:color w:val="000000"/>
          <w:szCs w:val="24"/>
        </w:rPr>
        <w:t xml:space="preserve"> as an orphan drug, </w:t>
      </w:r>
      <w:r w:rsidR="00651ED3" w:rsidRPr="00643656">
        <w:rPr>
          <w:rFonts w:ascii="Arial" w:hAnsi="Arial" w:cs="Arial"/>
          <w:color w:val="000000"/>
          <w:szCs w:val="24"/>
        </w:rPr>
        <w:t xml:space="preserve">to state that “the vaccine or agent will be </w:t>
      </w:r>
      <w:r w:rsidR="00651ED3" w:rsidRPr="00643656">
        <w:rPr>
          <w:rFonts w:ascii="Arial" w:hAnsi="Arial" w:cs="Arial"/>
          <w:color w:val="000000"/>
          <w:szCs w:val="24"/>
        </w:rPr>
        <w:lastRenderedPageBreak/>
        <w:t>administered in Australia to not more than 2,000 people in each year after it is registered for use for the disease or condition.”</w:t>
      </w:r>
    </w:p>
    <w:p w:rsidR="00B62F61" w:rsidRPr="007C0C21" w:rsidRDefault="00B62F61" w:rsidP="007C0C21">
      <w:pPr>
        <w:pStyle w:val="Heading2"/>
        <w:rPr>
          <w:rFonts w:ascii="Arial" w:hAnsi="Arial" w:cs="Arial"/>
          <w:i/>
          <w:color w:val="auto"/>
          <w:sz w:val="24"/>
          <w:szCs w:val="24"/>
        </w:rPr>
      </w:pPr>
      <w:r w:rsidRPr="007C0C21">
        <w:rPr>
          <w:rFonts w:ascii="Arial" w:hAnsi="Arial" w:cs="Arial"/>
          <w:i/>
          <w:color w:val="auto"/>
          <w:sz w:val="24"/>
          <w:szCs w:val="24"/>
        </w:rPr>
        <w:t>Definition of rare disease in other countries</w:t>
      </w:r>
    </w:p>
    <w:p w:rsidR="00525AA3" w:rsidRDefault="00B62F61" w:rsidP="00643656">
      <w:pPr>
        <w:jc w:val="both"/>
        <w:rPr>
          <w:rFonts w:ascii="Arial" w:eastAsiaTheme="majorEastAsia" w:hAnsi="Arial" w:cs="Arial"/>
          <w:bCs/>
          <w:szCs w:val="24"/>
        </w:rPr>
      </w:pPr>
      <w:r w:rsidRPr="009D1DE1">
        <w:rPr>
          <w:rFonts w:ascii="Arial" w:eastAsiaTheme="majorEastAsia" w:hAnsi="Arial" w:cs="Arial"/>
          <w:bCs/>
          <w:szCs w:val="24"/>
        </w:rPr>
        <w:t>There is no consistent definition of rare disease</w:t>
      </w:r>
      <w:r w:rsidR="00075FA3" w:rsidRPr="009D1DE1">
        <w:rPr>
          <w:rFonts w:ascii="Arial" w:eastAsiaTheme="majorEastAsia" w:hAnsi="Arial" w:cs="Arial"/>
          <w:bCs/>
          <w:szCs w:val="24"/>
        </w:rPr>
        <w:t xml:space="preserve"> in comparable countries</w:t>
      </w:r>
      <w:r w:rsidR="00C87C89" w:rsidRPr="009D1DE1">
        <w:rPr>
          <w:rFonts w:ascii="Arial" w:eastAsiaTheme="majorEastAsia" w:hAnsi="Arial" w:cs="Arial"/>
          <w:bCs/>
          <w:szCs w:val="24"/>
        </w:rPr>
        <w:t>. In Australia rare disease is defined as a disease affecting less than 2,000 Australians or a prevalence of less than</w:t>
      </w:r>
      <w:r w:rsidR="009928D1">
        <w:rPr>
          <w:rFonts w:ascii="Arial" w:eastAsiaTheme="majorEastAsia" w:hAnsi="Arial" w:cs="Arial"/>
          <w:bCs/>
          <w:szCs w:val="24"/>
        </w:rPr>
        <w:t xml:space="preserve"> about</w:t>
      </w:r>
      <w:r w:rsidR="00C87C89" w:rsidRPr="009D1DE1">
        <w:rPr>
          <w:rFonts w:ascii="Arial" w:eastAsiaTheme="majorEastAsia" w:hAnsi="Arial" w:cs="Arial"/>
          <w:bCs/>
          <w:szCs w:val="24"/>
        </w:rPr>
        <w:t xml:space="preserve"> 1 in 10,000. </w:t>
      </w:r>
      <w:r w:rsidR="00265DCB">
        <w:rPr>
          <w:rFonts w:ascii="Arial" w:eastAsiaTheme="majorEastAsia" w:hAnsi="Arial" w:cs="Arial"/>
          <w:bCs/>
          <w:szCs w:val="24"/>
        </w:rPr>
        <w:t>Table 1 provides examples of the defin</w:t>
      </w:r>
      <w:r w:rsidR="00525AA3">
        <w:rPr>
          <w:rFonts w:ascii="Arial" w:eastAsiaTheme="majorEastAsia" w:hAnsi="Arial" w:cs="Arial"/>
          <w:bCs/>
          <w:szCs w:val="24"/>
        </w:rPr>
        <w:t>i</w:t>
      </w:r>
      <w:r w:rsidR="00265DCB">
        <w:rPr>
          <w:rFonts w:ascii="Arial" w:eastAsiaTheme="majorEastAsia" w:hAnsi="Arial" w:cs="Arial"/>
          <w:bCs/>
          <w:szCs w:val="24"/>
        </w:rPr>
        <w:t>tions.</w:t>
      </w:r>
    </w:p>
    <w:p w:rsidR="00DC64D9" w:rsidRDefault="00AC09E0" w:rsidP="00643656">
      <w:pPr>
        <w:jc w:val="both"/>
        <w:rPr>
          <w:rFonts w:ascii="Arial" w:eastAsiaTheme="majorEastAsia" w:hAnsi="Arial" w:cs="Arial"/>
          <w:bCs/>
          <w:szCs w:val="24"/>
        </w:rPr>
      </w:pPr>
      <w:r>
        <w:rPr>
          <w:rFonts w:ascii="Arial" w:eastAsiaTheme="majorEastAsia" w:hAnsi="Arial" w:cs="Arial"/>
          <w:bCs/>
          <w:szCs w:val="24"/>
        </w:rPr>
        <w:t>Table 1-</w:t>
      </w:r>
      <w:r w:rsidRPr="00AC09E0">
        <w:t xml:space="preserve"> </w:t>
      </w:r>
      <w:r w:rsidRPr="00DA535B">
        <w:rPr>
          <w:rFonts w:ascii="Arial" w:eastAsiaTheme="majorEastAsia" w:hAnsi="Arial" w:cs="Arial"/>
          <w:bCs/>
          <w:szCs w:val="24"/>
        </w:rPr>
        <w:t>Definition of rare and/or ultra-rare diseases</w:t>
      </w:r>
      <w:r>
        <w:rPr>
          <w:rFonts w:ascii="Arial" w:eastAsiaTheme="majorEastAsia" w:hAnsi="Arial" w:cs="Arial"/>
          <w:bCs/>
          <w:szCs w:val="24"/>
        </w:rPr>
        <w:t xml:space="preserve"> in certain countries</w:t>
      </w:r>
    </w:p>
    <w:tbl>
      <w:tblPr>
        <w:tblW w:w="9322" w:type="dxa"/>
        <w:tblCellMar>
          <w:left w:w="0" w:type="dxa"/>
          <w:right w:w="0" w:type="dxa"/>
        </w:tblCellMar>
        <w:tblLook w:val="04A0" w:firstRow="1" w:lastRow="0" w:firstColumn="1" w:lastColumn="0" w:noHBand="0" w:noVBand="1"/>
      </w:tblPr>
      <w:tblGrid>
        <w:gridCol w:w="4786"/>
        <w:gridCol w:w="4536"/>
      </w:tblGrid>
      <w:tr w:rsidR="004D30F6" w:rsidTr="007C57EA">
        <w:trPr>
          <w:tblHeader/>
        </w:trPr>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D30F6" w:rsidRDefault="004D30F6" w:rsidP="007C57EA">
            <w:pPr>
              <w:pStyle w:val="TableHeading"/>
            </w:pPr>
            <w:r>
              <w:t>Organisation / Region</w:t>
            </w:r>
          </w:p>
        </w:tc>
        <w:tc>
          <w:tcPr>
            <w:tcW w:w="453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D30F6" w:rsidRDefault="004D30F6" w:rsidP="007C57EA">
            <w:pPr>
              <w:pStyle w:val="TableHeading"/>
            </w:pPr>
            <w:r>
              <w:t>Definition of rare diseases</w:t>
            </w:r>
          </w:p>
        </w:tc>
      </w:tr>
      <w:tr w:rsidR="004D30F6" w:rsidTr="007C57EA">
        <w:tc>
          <w:tcPr>
            <w:tcW w:w="478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D30F6" w:rsidRDefault="004D30F6" w:rsidP="007C57EA">
            <w:pPr>
              <w:pStyle w:val="TableText"/>
              <w:rPr>
                <w:rStyle w:val="TableHeadingChar"/>
                <w:lang w:val="en-GB"/>
              </w:rPr>
            </w:pPr>
            <w:r>
              <w:rPr>
                <w:rStyle w:val="TableHeadingChar"/>
                <w:lang w:val="en-GB"/>
              </w:rPr>
              <w:t xml:space="preserve">Australia: </w:t>
            </w:r>
            <w:r>
              <w:rPr>
                <w:rStyle w:val="TableHeadingChar"/>
              </w:rPr>
              <w:t>Therapeutic Goods Administration (</w:t>
            </w:r>
            <w:hyperlink w:anchor="_ENREF_16" w:tooltip="Australian Government, 1990 #506" w:history="1">
              <w:r>
                <w:rPr>
                  <w:rStyle w:val="TableHeadingChar"/>
                </w:rPr>
                <w:t>Australian Government 1990</w:t>
              </w:r>
            </w:hyperlink>
            <w:r>
              <w:rPr>
                <w:rStyle w:val="TableHeadingChar"/>
              </w:rPr>
              <w:t>)</w:t>
            </w:r>
          </w:p>
        </w:tc>
        <w:tc>
          <w:tcPr>
            <w:tcW w:w="4536" w:type="dxa"/>
            <w:tcBorders>
              <w:top w:val="nil"/>
              <w:left w:val="nil"/>
              <w:bottom w:val="single" w:sz="8" w:space="0" w:color="000000"/>
              <w:right w:val="single" w:sz="8" w:space="0" w:color="000000"/>
            </w:tcBorders>
            <w:tcMar>
              <w:top w:w="0" w:type="dxa"/>
              <w:left w:w="108" w:type="dxa"/>
              <w:bottom w:w="0" w:type="dxa"/>
              <w:right w:w="108" w:type="dxa"/>
            </w:tcMar>
            <w:hideMark/>
          </w:tcPr>
          <w:p w:rsidR="004D30F6" w:rsidRDefault="004D30F6" w:rsidP="007C57EA">
            <w:pPr>
              <w:pStyle w:val="TableText"/>
              <w:rPr>
                <w:lang w:val="en-GB"/>
              </w:rPr>
            </w:pPr>
            <w:r>
              <w:rPr>
                <w:lang w:val="en-GB"/>
              </w:rPr>
              <w:t xml:space="preserve">Affects ≤2,000 Australians, </w:t>
            </w:r>
            <w:r>
              <w:rPr>
                <w:i/>
                <w:iCs/>
                <w:lang w:val="en-GB"/>
              </w:rPr>
              <w:t xml:space="preserve">i.e. </w:t>
            </w:r>
            <w:r>
              <w:rPr>
                <w:lang w:val="en-GB"/>
              </w:rPr>
              <w:t xml:space="preserve">prevalence of about &lt; 1 in 10,000 </w:t>
            </w:r>
          </w:p>
        </w:tc>
      </w:tr>
      <w:tr w:rsidR="004D30F6" w:rsidTr="007C57EA">
        <w:tc>
          <w:tcPr>
            <w:tcW w:w="478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D30F6" w:rsidRDefault="004D30F6" w:rsidP="007C57EA">
            <w:pPr>
              <w:pStyle w:val="TableText"/>
              <w:rPr>
                <w:lang w:val="en-GB"/>
              </w:rPr>
            </w:pPr>
            <w:r>
              <w:rPr>
                <w:rStyle w:val="TableHeadingChar"/>
                <w:lang w:val="en-GB"/>
              </w:rPr>
              <w:t>Ontario, Canada</w:t>
            </w:r>
            <w:r>
              <w:rPr>
                <w:lang w:val="en-GB"/>
              </w:rPr>
              <w:t xml:space="preserve"> (Ontario Public Drug Programs) (</w:t>
            </w:r>
            <w:hyperlink w:anchor="_ENREF_45" w:tooltip="Canadian Agency for Drugs and Technologies in Health, 2013 #150" w:history="1">
              <w:r>
                <w:rPr>
                  <w:rStyle w:val="Hyperlink"/>
                  <w:lang w:val="en-GB"/>
                </w:rPr>
                <w:t>Canadian Agency for Drugs and Technologies in Health 2013</w:t>
              </w:r>
            </w:hyperlink>
            <w:r>
              <w:rPr>
                <w:lang w:val="en-GB"/>
              </w:rPr>
              <w:t>)</w:t>
            </w:r>
          </w:p>
        </w:tc>
        <w:tc>
          <w:tcPr>
            <w:tcW w:w="4536" w:type="dxa"/>
            <w:tcBorders>
              <w:top w:val="nil"/>
              <w:left w:val="nil"/>
              <w:bottom w:val="single" w:sz="8" w:space="0" w:color="000000"/>
              <w:right w:val="single" w:sz="8" w:space="0" w:color="000000"/>
            </w:tcBorders>
            <w:tcMar>
              <w:top w:w="0" w:type="dxa"/>
              <w:left w:w="108" w:type="dxa"/>
              <w:bottom w:w="0" w:type="dxa"/>
              <w:right w:w="108" w:type="dxa"/>
            </w:tcMar>
            <w:hideMark/>
          </w:tcPr>
          <w:p w:rsidR="004D30F6" w:rsidRDefault="004D30F6" w:rsidP="007C57EA">
            <w:pPr>
              <w:pStyle w:val="TableText"/>
              <w:rPr>
                <w:lang w:val="en-GB"/>
              </w:rPr>
            </w:pPr>
            <w:r>
              <w:rPr>
                <w:lang w:val="en-GB"/>
              </w:rPr>
              <w:t>Incidence rate of &lt; 1:150,000 live births or new diagnoses per year</w:t>
            </w:r>
          </w:p>
        </w:tc>
      </w:tr>
      <w:tr w:rsidR="004D30F6" w:rsidTr="007C57EA">
        <w:tc>
          <w:tcPr>
            <w:tcW w:w="478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D30F6" w:rsidRDefault="004D30F6" w:rsidP="007C57EA">
            <w:pPr>
              <w:pStyle w:val="TableText"/>
              <w:rPr>
                <w:lang w:val="en-GB"/>
              </w:rPr>
            </w:pPr>
            <w:r>
              <w:rPr>
                <w:rStyle w:val="TableHeadingChar"/>
                <w:lang w:val="en-GB"/>
              </w:rPr>
              <w:t>Alberta, Canada:</w:t>
            </w:r>
            <w:r>
              <w:rPr>
                <w:lang w:val="en-GB"/>
              </w:rPr>
              <w:t xml:space="preserve"> Alberta Human Services (</w:t>
            </w:r>
            <w:hyperlink w:anchor="_ENREF_5" w:tooltip="Alberta Health and Wellness, 2008 #145" w:history="1">
              <w:r>
                <w:rPr>
                  <w:rStyle w:val="Hyperlink"/>
                  <w:lang w:val="en-GB"/>
                </w:rPr>
                <w:t>Alberta Health and Wellness 2008</w:t>
              </w:r>
            </w:hyperlink>
            <w:r>
              <w:rPr>
                <w:lang w:val="en-GB"/>
              </w:rPr>
              <w:t xml:space="preserve">; </w:t>
            </w:r>
            <w:hyperlink w:anchor="_ENREF_45" w:tooltip="Canadian Agency for Drugs and Technologies in Health, 2013 #150" w:history="1">
              <w:r>
                <w:rPr>
                  <w:rStyle w:val="Hyperlink"/>
                  <w:lang w:val="en-GB"/>
                </w:rPr>
                <w:t>Canadian Agency for Drugs and Technologies in Health 2013</w:t>
              </w:r>
            </w:hyperlink>
            <w:r>
              <w:rPr>
                <w:lang w:val="en-GB"/>
              </w:rPr>
              <w:t>)</w:t>
            </w:r>
          </w:p>
        </w:tc>
        <w:tc>
          <w:tcPr>
            <w:tcW w:w="4536" w:type="dxa"/>
            <w:tcBorders>
              <w:top w:val="nil"/>
              <w:left w:val="nil"/>
              <w:bottom w:val="single" w:sz="8" w:space="0" w:color="000000"/>
              <w:right w:val="single" w:sz="8" w:space="0" w:color="000000"/>
            </w:tcBorders>
            <w:tcMar>
              <w:top w:w="0" w:type="dxa"/>
              <w:left w:w="108" w:type="dxa"/>
              <w:bottom w:w="0" w:type="dxa"/>
              <w:right w:w="108" w:type="dxa"/>
            </w:tcMar>
            <w:hideMark/>
          </w:tcPr>
          <w:p w:rsidR="004D30F6" w:rsidRDefault="004D30F6" w:rsidP="007C57EA">
            <w:pPr>
              <w:pStyle w:val="TableText"/>
              <w:rPr>
                <w:lang w:val="en-GB"/>
              </w:rPr>
            </w:pPr>
            <w:r>
              <w:rPr>
                <w:lang w:val="en-GB"/>
              </w:rPr>
              <w:t xml:space="preserve">Genetic lysosomal storage disorders occurring &lt; 1 in 50,000 Canadians </w:t>
            </w:r>
          </w:p>
        </w:tc>
      </w:tr>
      <w:tr w:rsidR="004D30F6" w:rsidTr="007C57EA">
        <w:tc>
          <w:tcPr>
            <w:tcW w:w="478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D30F6" w:rsidRDefault="004D30F6" w:rsidP="007C57EA">
            <w:pPr>
              <w:pStyle w:val="TableText"/>
              <w:rPr>
                <w:lang w:val="en-GB"/>
              </w:rPr>
            </w:pPr>
            <w:r>
              <w:rPr>
                <w:rStyle w:val="TableHeadingChar"/>
                <w:lang w:val="en-GB"/>
              </w:rPr>
              <w:t>European Medicines Agency</w:t>
            </w:r>
            <w:r>
              <w:rPr>
                <w:lang w:val="en-GB"/>
              </w:rPr>
              <w:t xml:space="preserve"> (</w:t>
            </w:r>
            <w:hyperlink w:anchor="_ENREF_45" w:tooltip="Canadian Agency for Drugs and Technologies in Health, 2013 #150" w:history="1">
              <w:r>
                <w:rPr>
                  <w:rStyle w:val="Hyperlink"/>
                  <w:lang w:val="en-GB"/>
                </w:rPr>
                <w:t>Canadian Agency for Drugs and Technologies in Health 2013</w:t>
              </w:r>
            </w:hyperlink>
            <w:r>
              <w:rPr>
                <w:lang w:val="en-GB"/>
              </w:rPr>
              <w:t>)</w:t>
            </w:r>
          </w:p>
        </w:tc>
        <w:tc>
          <w:tcPr>
            <w:tcW w:w="4536" w:type="dxa"/>
            <w:tcBorders>
              <w:top w:val="nil"/>
              <w:left w:val="nil"/>
              <w:bottom w:val="single" w:sz="8" w:space="0" w:color="000000"/>
              <w:right w:val="single" w:sz="8" w:space="0" w:color="000000"/>
            </w:tcBorders>
            <w:tcMar>
              <w:top w:w="0" w:type="dxa"/>
              <w:left w:w="108" w:type="dxa"/>
              <w:bottom w:w="0" w:type="dxa"/>
              <w:right w:w="108" w:type="dxa"/>
            </w:tcMar>
            <w:hideMark/>
          </w:tcPr>
          <w:p w:rsidR="004D30F6" w:rsidRDefault="004D30F6" w:rsidP="007C57EA">
            <w:pPr>
              <w:pStyle w:val="TableText"/>
              <w:rPr>
                <w:lang w:val="en-GB"/>
              </w:rPr>
            </w:pPr>
            <w:r>
              <w:rPr>
                <w:lang w:val="en-GB"/>
              </w:rPr>
              <w:t>Prevalence of &lt; 5 in 10,000</w:t>
            </w:r>
          </w:p>
        </w:tc>
      </w:tr>
      <w:tr w:rsidR="004D30F6" w:rsidTr="007C57EA">
        <w:tc>
          <w:tcPr>
            <w:tcW w:w="478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D30F6" w:rsidRDefault="004D30F6" w:rsidP="007C57EA">
            <w:pPr>
              <w:pStyle w:val="TableText"/>
              <w:rPr>
                <w:lang w:val="en-GB"/>
              </w:rPr>
            </w:pPr>
            <w:r>
              <w:rPr>
                <w:rStyle w:val="TableHeadingChar"/>
                <w:lang w:val="en-GB"/>
              </w:rPr>
              <w:t>Sweden</w:t>
            </w:r>
            <w:r>
              <w:rPr>
                <w:lang w:val="en-GB"/>
              </w:rPr>
              <w:t>: Swedish National Health Service (</w:t>
            </w:r>
            <w:proofErr w:type="spellStart"/>
            <w:r>
              <w:fldChar w:fldCharType="begin"/>
            </w:r>
            <w:r>
              <w:instrText xml:space="preserve"> HYPERLINK \l "_ENREF_309" \o "Visschers, 2011 #217" </w:instrText>
            </w:r>
            <w:r>
              <w:fldChar w:fldCharType="separate"/>
            </w:r>
            <w:r>
              <w:rPr>
                <w:rStyle w:val="Hyperlink"/>
                <w:lang w:val="en-GB"/>
              </w:rPr>
              <w:t>Visschers</w:t>
            </w:r>
            <w:proofErr w:type="spellEnd"/>
            <w:r>
              <w:rPr>
                <w:rStyle w:val="Hyperlink"/>
                <w:lang w:val="en-GB"/>
              </w:rPr>
              <w:t xml:space="preserve">, van </w:t>
            </w:r>
            <w:proofErr w:type="spellStart"/>
            <w:r>
              <w:rPr>
                <w:rStyle w:val="Hyperlink"/>
                <w:lang w:val="en-GB"/>
              </w:rPr>
              <w:t>Gemert</w:t>
            </w:r>
            <w:proofErr w:type="spellEnd"/>
            <w:r>
              <w:rPr>
                <w:rStyle w:val="Hyperlink"/>
                <w:lang w:val="en-GB"/>
              </w:rPr>
              <w:t xml:space="preserve"> &amp; </w:t>
            </w:r>
            <w:proofErr w:type="spellStart"/>
            <w:r>
              <w:rPr>
                <w:rStyle w:val="Hyperlink"/>
                <w:lang w:val="en-GB"/>
              </w:rPr>
              <w:t>Olde</w:t>
            </w:r>
            <w:proofErr w:type="spellEnd"/>
            <w:r>
              <w:rPr>
                <w:rStyle w:val="Hyperlink"/>
                <w:lang w:val="en-GB"/>
              </w:rPr>
              <w:t xml:space="preserve"> </w:t>
            </w:r>
            <w:proofErr w:type="spellStart"/>
            <w:r>
              <w:rPr>
                <w:rStyle w:val="Hyperlink"/>
                <w:lang w:val="en-GB"/>
              </w:rPr>
              <w:t>Damink</w:t>
            </w:r>
            <w:proofErr w:type="spellEnd"/>
            <w:r>
              <w:rPr>
                <w:rStyle w:val="Hyperlink"/>
                <w:lang w:val="en-GB"/>
              </w:rPr>
              <w:t xml:space="preserve"> 2011</w:t>
            </w:r>
            <w:r>
              <w:rPr>
                <w:rStyle w:val="Hyperlink"/>
                <w:lang w:val="en-GB"/>
              </w:rPr>
              <w:fldChar w:fldCharType="end"/>
            </w:r>
            <w:r>
              <w:rPr>
                <w:lang w:val="en-GB"/>
              </w:rPr>
              <w:t>)</w:t>
            </w:r>
          </w:p>
        </w:tc>
        <w:tc>
          <w:tcPr>
            <w:tcW w:w="4536" w:type="dxa"/>
            <w:tcBorders>
              <w:top w:val="nil"/>
              <w:left w:val="nil"/>
              <w:bottom w:val="single" w:sz="8" w:space="0" w:color="000000"/>
              <w:right w:val="single" w:sz="8" w:space="0" w:color="000000"/>
            </w:tcBorders>
            <w:tcMar>
              <w:top w:w="0" w:type="dxa"/>
              <w:left w:w="108" w:type="dxa"/>
              <w:bottom w:w="0" w:type="dxa"/>
              <w:right w:w="108" w:type="dxa"/>
            </w:tcMar>
            <w:hideMark/>
          </w:tcPr>
          <w:p w:rsidR="004D30F6" w:rsidRDefault="004D30F6" w:rsidP="007C57EA">
            <w:pPr>
              <w:pStyle w:val="TableText"/>
              <w:rPr>
                <w:lang w:val="en-GB"/>
              </w:rPr>
            </w:pPr>
            <w:r>
              <w:rPr>
                <w:lang w:val="en-GB"/>
              </w:rPr>
              <w:t>Prevalence of &lt; 1 in 10,000</w:t>
            </w:r>
          </w:p>
        </w:tc>
      </w:tr>
      <w:tr w:rsidR="004D30F6" w:rsidTr="007C57EA">
        <w:tc>
          <w:tcPr>
            <w:tcW w:w="478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D30F6" w:rsidRDefault="004D30F6" w:rsidP="007C57EA">
            <w:pPr>
              <w:pStyle w:val="TableText"/>
              <w:rPr>
                <w:lang w:val="en-GB"/>
              </w:rPr>
            </w:pPr>
            <w:r>
              <w:rPr>
                <w:rStyle w:val="TableHeadingChar"/>
                <w:lang w:val="en-GB"/>
              </w:rPr>
              <w:t>United Kingdom:</w:t>
            </w:r>
            <w:r>
              <w:rPr>
                <w:lang w:val="en-GB"/>
              </w:rPr>
              <w:t xml:space="preserve"> National Institute for Clinical Excellence (</w:t>
            </w:r>
            <w:proofErr w:type="spellStart"/>
            <w:r>
              <w:fldChar w:fldCharType="begin"/>
            </w:r>
            <w:r>
              <w:instrText xml:space="preserve"> HYPERLINK \l "_ENREF_236" \o "Picavet, 2013 #198" </w:instrText>
            </w:r>
            <w:r>
              <w:fldChar w:fldCharType="separate"/>
            </w:r>
            <w:r>
              <w:rPr>
                <w:rStyle w:val="Hyperlink"/>
                <w:lang w:val="en-GB"/>
              </w:rPr>
              <w:t>Picavet</w:t>
            </w:r>
            <w:proofErr w:type="spellEnd"/>
            <w:r>
              <w:rPr>
                <w:rStyle w:val="Hyperlink"/>
                <w:lang w:val="en-GB"/>
              </w:rPr>
              <w:t xml:space="preserve">, </w:t>
            </w:r>
            <w:proofErr w:type="spellStart"/>
            <w:r>
              <w:rPr>
                <w:rStyle w:val="Hyperlink"/>
                <w:lang w:val="en-GB"/>
              </w:rPr>
              <w:t>Cassiman</w:t>
            </w:r>
            <w:proofErr w:type="spellEnd"/>
            <w:r>
              <w:rPr>
                <w:rStyle w:val="Hyperlink"/>
                <w:lang w:val="en-GB"/>
              </w:rPr>
              <w:t xml:space="preserve"> &amp; </w:t>
            </w:r>
            <w:proofErr w:type="spellStart"/>
            <w:r>
              <w:rPr>
                <w:rStyle w:val="Hyperlink"/>
                <w:lang w:val="en-GB"/>
              </w:rPr>
              <w:t>Simoens</w:t>
            </w:r>
            <w:proofErr w:type="spellEnd"/>
            <w:r>
              <w:rPr>
                <w:rStyle w:val="Hyperlink"/>
                <w:lang w:val="en-GB"/>
              </w:rPr>
              <w:t xml:space="preserve"> 2013</w:t>
            </w:r>
            <w:r>
              <w:rPr>
                <w:rStyle w:val="Hyperlink"/>
                <w:lang w:val="en-GB"/>
              </w:rPr>
              <w:fldChar w:fldCharType="end"/>
            </w:r>
            <w:r>
              <w:rPr>
                <w:lang w:val="en-GB"/>
              </w:rPr>
              <w:t>)</w:t>
            </w:r>
          </w:p>
        </w:tc>
        <w:tc>
          <w:tcPr>
            <w:tcW w:w="4536" w:type="dxa"/>
            <w:tcBorders>
              <w:top w:val="nil"/>
              <w:left w:val="nil"/>
              <w:bottom w:val="single" w:sz="8" w:space="0" w:color="000000"/>
              <w:right w:val="single" w:sz="8" w:space="0" w:color="000000"/>
            </w:tcBorders>
            <w:tcMar>
              <w:top w:w="0" w:type="dxa"/>
              <w:left w:w="108" w:type="dxa"/>
              <w:bottom w:w="0" w:type="dxa"/>
              <w:right w:w="108" w:type="dxa"/>
            </w:tcMar>
            <w:hideMark/>
          </w:tcPr>
          <w:p w:rsidR="004D30F6" w:rsidRDefault="004D30F6" w:rsidP="007C57EA">
            <w:pPr>
              <w:pStyle w:val="TableText"/>
              <w:rPr>
                <w:lang w:val="en-GB"/>
              </w:rPr>
            </w:pPr>
            <w:r>
              <w:rPr>
                <w:lang w:val="en-GB"/>
              </w:rPr>
              <w:t xml:space="preserve">Affects &lt; 1000 people in England and Wales, </w:t>
            </w:r>
            <w:r>
              <w:rPr>
                <w:i/>
                <w:iCs/>
                <w:lang w:val="en-GB"/>
              </w:rPr>
              <w:t xml:space="preserve">i.e. </w:t>
            </w:r>
            <w:r>
              <w:rPr>
                <w:lang w:val="en-GB"/>
              </w:rPr>
              <w:t>prevalence of &lt; 1 in 50,000</w:t>
            </w:r>
            <w:r>
              <w:rPr>
                <w:vertAlign w:val="superscript"/>
                <w:lang w:val="en-GB"/>
              </w:rPr>
              <w:t>a</w:t>
            </w:r>
          </w:p>
        </w:tc>
      </w:tr>
      <w:tr w:rsidR="004D30F6" w:rsidTr="007C57EA">
        <w:tc>
          <w:tcPr>
            <w:tcW w:w="478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D30F6" w:rsidRDefault="004D30F6" w:rsidP="007C57EA">
            <w:pPr>
              <w:pStyle w:val="TableText"/>
              <w:rPr>
                <w:lang w:val="en-GB"/>
              </w:rPr>
            </w:pPr>
            <w:r>
              <w:rPr>
                <w:rStyle w:val="TableHeadingChar"/>
                <w:lang w:val="en-GB"/>
              </w:rPr>
              <w:t>United States</w:t>
            </w:r>
            <w:r>
              <w:rPr>
                <w:lang w:val="en-GB"/>
              </w:rPr>
              <w:t>: Food and Drug Administration (</w:t>
            </w:r>
            <w:proofErr w:type="spellStart"/>
            <w:r>
              <w:fldChar w:fldCharType="begin"/>
            </w:r>
            <w:r>
              <w:instrText xml:space="preserve"> HYPERLINK \l "_ENREF_309" \o "Visschers, 2011 #217" </w:instrText>
            </w:r>
            <w:r>
              <w:fldChar w:fldCharType="separate"/>
            </w:r>
            <w:r>
              <w:rPr>
                <w:rStyle w:val="Hyperlink"/>
                <w:lang w:val="en-GB"/>
              </w:rPr>
              <w:t>Visschers</w:t>
            </w:r>
            <w:proofErr w:type="spellEnd"/>
            <w:r>
              <w:rPr>
                <w:rStyle w:val="Hyperlink"/>
                <w:lang w:val="en-GB"/>
              </w:rPr>
              <w:t xml:space="preserve">, van </w:t>
            </w:r>
            <w:proofErr w:type="spellStart"/>
            <w:r>
              <w:rPr>
                <w:rStyle w:val="Hyperlink"/>
                <w:lang w:val="en-GB"/>
              </w:rPr>
              <w:t>Gemert</w:t>
            </w:r>
            <w:proofErr w:type="spellEnd"/>
            <w:r>
              <w:rPr>
                <w:rStyle w:val="Hyperlink"/>
                <w:lang w:val="en-GB"/>
              </w:rPr>
              <w:t xml:space="preserve"> &amp; </w:t>
            </w:r>
            <w:proofErr w:type="spellStart"/>
            <w:r>
              <w:rPr>
                <w:rStyle w:val="Hyperlink"/>
                <w:lang w:val="en-GB"/>
              </w:rPr>
              <w:t>Olde</w:t>
            </w:r>
            <w:proofErr w:type="spellEnd"/>
            <w:r>
              <w:rPr>
                <w:rStyle w:val="Hyperlink"/>
                <w:lang w:val="en-GB"/>
              </w:rPr>
              <w:t xml:space="preserve"> </w:t>
            </w:r>
            <w:proofErr w:type="spellStart"/>
            <w:r>
              <w:rPr>
                <w:rStyle w:val="Hyperlink"/>
                <w:lang w:val="en-GB"/>
              </w:rPr>
              <w:t>Damink</w:t>
            </w:r>
            <w:proofErr w:type="spellEnd"/>
            <w:r>
              <w:rPr>
                <w:rStyle w:val="Hyperlink"/>
                <w:lang w:val="en-GB"/>
              </w:rPr>
              <w:t xml:space="preserve"> 2011</w:t>
            </w:r>
            <w:r>
              <w:rPr>
                <w:rStyle w:val="Hyperlink"/>
                <w:lang w:val="en-GB"/>
              </w:rPr>
              <w:fldChar w:fldCharType="end"/>
            </w:r>
            <w:r>
              <w:rPr>
                <w:lang w:val="en-GB"/>
              </w:rPr>
              <w:t>)</w:t>
            </w:r>
          </w:p>
        </w:tc>
        <w:tc>
          <w:tcPr>
            <w:tcW w:w="4536" w:type="dxa"/>
            <w:tcBorders>
              <w:top w:val="nil"/>
              <w:left w:val="nil"/>
              <w:bottom w:val="single" w:sz="8" w:space="0" w:color="000000"/>
              <w:right w:val="single" w:sz="8" w:space="0" w:color="000000"/>
            </w:tcBorders>
            <w:tcMar>
              <w:top w:w="0" w:type="dxa"/>
              <w:left w:w="108" w:type="dxa"/>
              <w:bottom w:w="0" w:type="dxa"/>
              <w:right w:w="108" w:type="dxa"/>
            </w:tcMar>
            <w:hideMark/>
          </w:tcPr>
          <w:p w:rsidR="004D30F6" w:rsidRDefault="004D30F6" w:rsidP="007C57EA">
            <w:pPr>
              <w:pStyle w:val="TableText"/>
              <w:rPr>
                <w:lang w:val="en-GB"/>
              </w:rPr>
            </w:pPr>
            <w:r>
              <w:rPr>
                <w:lang w:val="en-GB"/>
              </w:rPr>
              <w:t xml:space="preserve">Affects &lt; 200,000 Americans, </w:t>
            </w:r>
            <w:r>
              <w:rPr>
                <w:i/>
                <w:iCs/>
                <w:lang w:val="en-GB"/>
              </w:rPr>
              <w:t>i.e.</w:t>
            </w:r>
            <w:r>
              <w:rPr>
                <w:lang w:val="en-GB"/>
              </w:rPr>
              <w:t xml:space="preserve"> prevalence of &lt; 1 in 1,500</w:t>
            </w:r>
          </w:p>
        </w:tc>
      </w:tr>
      <w:tr w:rsidR="004D30F6" w:rsidTr="007C57EA">
        <w:tc>
          <w:tcPr>
            <w:tcW w:w="478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D30F6" w:rsidRDefault="004D30F6" w:rsidP="007C57EA">
            <w:pPr>
              <w:pStyle w:val="TableText"/>
              <w:rPr>
                <w:lang w:val="en-GB"/>
              </w:rPr>
            </w:pPr>
            <w:r>
              <w:rPr>
                <w:rStyle w:val="TableHeadingChar"/>
                <w:lang w:val="en-GB"/>
              </w:rPr>
              <w:t>Japan</w:t>
            </w:r>
            <w:r>
              <w:rPr>
                <w:lang w:val="en-GB"/>
              </w:rPr>
              <w:t>: Ministry of Health, Labour and Welfare (MHLW) (</w:t>
            </w:r>
            <w:hyperlink w:anchor="_ENREF_99" w:tooltip="Gao, 2013 #161" w:history="1">
              <w:r>
                <w:rPr>
                  <w:rStyle w:val="Hyperlink"/>
                  <w:lang w:val="en-GB"/>
                </w:rPr>
                <w:t>Gao, Song &amp; Tang 2013</w:t>
              </w:r>
            </w:hyperlink>
            <w:r>
              <w:rPr>
                <w:lang w:val="en-GB"/>
              </w:rPr>
              <w:t>)</w:t>
            </w:r>
          </w:p>
        </w:tc>
        <w:tc>
          <w:tcPr>
            <w:tcW w:w="4536" w:type="dxa"/>
            <w:tcBorders>
              <w:top w:val="nil"/>
              <w:left w:val="nil"/>
              <w:bottom w:val="single" w:sz="8" w:space="0" w:color="000000"/>
              <w:right w:val="single" w:sz="8" w:space="0" w:color="000000"/>
            </w:tcBorders>
            <w:tcMar>
              <w:top w:w="0" w:type="dxa"/>
              <w:left w:w="108" w:type="dxa"/>
              <w:bottom w:w="0" w:type="dxa"/>
              <w:right w:w="108" w:type="dxa"/>
            </w:tcMar>
            <w:hideMark/>
          </w:tcPr>
          <w:p w:rsidR="004D30F6" w:rsidRDefault="004D30F6" w:rsidP="007C57EA">
            <w:pPr>
              <w:pStyle w:val="TableText"/>
              <w:rPr>
                <w:lang w:val="en-GB"/>
              </w:rPr>
            </w:pPr>
            <w:r>
              <w:rPr>
                <w:lang w:val="en-GB"/>
              </w:rPr>
              <w:t xml:space="preserve">Affects &lt;50,000 people in Japan, </w:t>
            </w:r>
            <w:r>
              <w:rPr>
                <w:i/>
                <w:iCs/>
                <w:lang w:val="en-GB"/>
              </w:rPr>
              <w:t xml:space="preserve">i.e. </w:t>
            </w:r>
            <w:r>
              <w:rPr>
                <w:lang w:val="en-GB"/>
              </w:rPr>
              <w:t>prevalence of &lt; 4 in 10,000</w:t>
            </w:r>
          </w:p>
        </w:tc>
      </w:tr>
      <w:tr w:rsidR="004D30F6" w:rsidTr="007C57EA">
        <w:trPr>
          <w:trHeight w:val="1059"/>
        </w:trPr>
        <w:tc>
          <w:tcPr>
            <w:tcW w:w="478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D30F6" w:rsidRDefault="004D30F6" w:rsidP="007C57EA">
            <w:pPr>
              <w:pStyle w:val="TableText"/>
              <w:rPr>
                <w:lang w:val="en-GB"/>
              </w:rPr>
            </w:pPr>
            <w:r>
              <w:rPr>
                <w:rStyle w:val="TableHeadingChar"/>
                <w:lang w:val="en-GB"/>
              </w:rPr>
              <w:t>South Korea</w:t>
            </w:r>
            <w:r>
              <w:rPr>
                <w:lang w:val="en-GB"/>
              </w:rPr>
              <w:t>: Ministry of Food and Drug Safety (MFDS), formerly known as the Korean Food and Drug Administration *(KFDA) (</w:t>
            </w:r>
            <w:hyperlink w:anchor="_ENREF_99" w:tooltip="Gao, 2013 #161" w:history="1">
              <w:r>
                <w:rPr>
                  <w:rStyle w:val="Hyperlink"/>
                  <w:lang w:val="en-GB"/>
                </w:rPr>
                <w:t>Gao, Song &amp; Tang 2013</w:t>
              </w:r>
            </w:hyperlink>
            <w:r>
              <w:rPr>
                <w:lang w:val="en-GB"/>
              </w:rPr>
              <w:t>)</w:t>
            </w:r>
          </w:p>
        </w:tc>
        <w:tc>
          <w:tcPr>
            <w:tcW w:w="4536" w:type="dxa"/>
            <w:tcBorders>
              <w:top w:val="nil"/>
              <w:left w:val="nil"/>
              <w:bottom w:val="single" w:sz="8" w:space="0" w:color="000000"/>
              <w:right w:val="single" w:sz="8" w:space="0" w:color="000000"/>
            </w:tcBorders>
            <w:tcMar>
              <w:top w:w="0" w:type="dxa"/>
              <w:left w:w="108" w:type="dxa"/>
              <w:bottom w:w="0" w:type="dxa"/>
              <w:right w:w="108" w:type="dxa"/>
            </w:tcMar>
            <w:hideMark/>
          </w:tcPr>
          <w:p w:rsidR="004D30F6" w:rsidRDefault="004D30F6" w:rsidP="007C57EA">
            <w:pPr>
              <w:pStyle w:val="TableText"/>
              <w:rPr>
                <w:lang w:val="en-GB"/>
              </w:rPr>
            </w:pPr>
            <w:r>
              <w:rPr>
                <w:lang w:val="en-GB"/>
              </w:rPr>
              <w:t xml:space="preserve">Affects &lt;20,000 people in Korea, </w:t>
            </w:r>
            <w:r>
              <w:rPr>
                <w:i/>
                <w:iCs/>
                <w:lang w:val="en-GB"/>
              </w:rPr>
              <w:t xml:space="preserve">i.e. </w:t>
            </w:r>
            <w:r>
              <w:rPr>
                <w:lang w:val="en-GB"/>
              </w:rPr>
              <w:t>prevalence of &lt; 4 in 10,000</w:t>
            </w:r>
          </w:p>
        </w:tc>
      </w:tr>
      <w:tr w:rsidR="004D30F6" w:rsidTr="007C57EA">
        <w:tc>
          <w:tcPr>
            <w:tcW w:w="478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D30F6" w:rsidRDefault="004D30F6" w:rsidP="007C57EA">
            <w:pPr>
              <w:pStyle w:val="TableText"/>
              <w:rPr>
                <w:lang w:val="en-GB"/>
              </w:rPr>
            </w:pPr>
            <w:r>
              <w:rPr>
                <w:rStyle w:val="TableHeadingChar"/>
                <w:lang w:val="en-GB"/>
              </w:rPr>
              <w:t>China</w:t>
            </w:r>
            <w:r>
              <w:rPr>
                <w:lang w:val="en-GB"/>
              </w:rPr>
              <w:t xml:space="preserve"> (</w:t>
            </w:r>
            <w:hyperlink w:anchor="_ENREF_187" w:tooltip="Ma, 2011 #191" w:history="1">
              <w:r>
                <w:rPr>
                  <w:rStyle w:val="Hyperlink"/>
                  <w:lang w:val="en-GB"/>
                </w:rPr>
                <w:t>Ma et al. 2011</w:t>
              </w:r>
            </w:hyperlink>
            <w:r>
              <w:rPr>
                <w:lang w:val="en-GB"/>
              </w:rPr>
              <w:t xml:space="preserve">; </w:t>
            </w:r>
            <w:hyperlink w:anchor="_ENREF_272" w:tooltip="Song, 2012 #213" w:history="1">
              <w:r>
                <w:rPr>
                  <w:rStyle w:val="Hyperlink"/>
                  <w:lang w:val="en-GB"/>
                </w:rPr>
                <w:t>Song et al. 2012</w:t>
              </w:r>
            </w:hyperlink>
            <w:r>
              <w:rPr>
                <w:lang w:val="en-GB"/>
              </w:rPr>
              <w:t>)</w:t>
            </w:r>
          </w:p>
        </w:tc>
        <w:tc>
          <w:tcPr>
            <w:tcW w:w="4536" w:type="dxa"/>
            <w:tcBorders>
              <w:top w:val="nil"/>
              <w:left w:val="nil"/>
              <w:bottom w:val="single" w:sz="8" w:space="0" w:color="000000"/>
              <w:right w:val="single" w:sz="8" w:space="0" w:color="000000"/>
            </w:tcBorders>
            <w:tcMar>
              <w:top w:w="0" w:type="dxa"/>
              <w:left w:w="108" w:type="dxa"/>
              <w:bottom w:w="0" w:type="dxa"/>
              <w:right w:w="108" w:type="dxa"/>
            </w:tcMar>
            <w:hideMark/>
          </w:tcPr>
          <w:p w:rsidR="004D30F6" w:rsidRDefault="004D30F6" w:rsidP="007C57EA">
            <w:pPr>
              <w:pStyle w:val="TableText"/>
              <w:rPr>
                <w:sz w:val="20"/>
                <w:szCs w:val="20"/>
                <w:lang w:val="en-GB"/>
              </w:rPr>
            </w:pPr>
            <w:r>
              <w:rPr>
                <w:lang w:val="en-GB"/>
              </w:rPr>
              <w:t xml:space="preserve">Rare diseases not been clearly defined by legislation. </w:t>
            </w:r>
          </w:p>
          <w:p w:rsidR="004D30F6" w:rsidRDefault="004D30F6" w:rsidP="007C57EA">
            <w:pPr>
              <w:pStyle w:val="TableText"/>
              <w:rPr>
                <w:lang w:val="en-GB"/>
              </w:rPr>
            </w:pPr>
            <w:r>
              <w:rPr>
                <w:lang w:val="en-GB"/>
              </w:rPr>
              <w:t>Consensus on the definition of rare disease:  prevalent of &lt; 1 in 500,000 or neonatal incidence of &lt; 1 in 10,000</w:t>
            </w:r>
          </w:p>
        </w:tc>
      </w:tr>
    </w:tbl>
    <w:p w:rsidR="004D30F6" w:rsidRPr="00027DD4" w:rsidRDefault="004D30F6" w:rsidP="004D30F6">
      <w:pPr>
        <w:jc w:val="both"/>
        <w:rPr>
          <w:rFonts w:ascii="Arial" w:eastAsiaTheme="majorEastAsia" w:hAnsi="Arial" w:cs="Arial"/>
          <w:bCs/>
          <w:sz w:val="18"/>
          <w:szCs w:val="18"/>
        </w:rPr>
      </w:pPr>
      <w:r w:rsidRPr="00027DD4">
        <w:rPr>
          <w:rFonts w:ascii="Arial" w:eastAsiaTheme="majorEastAsia" w:hAnsi="Arial" w:cs="Arial"/>
          <w:bCs/>
          <w:sz w:val="18"/>
          <w:szCs w:val="18"/>
        </w:rPr>
        <w:t xml:space="preserve">(Source: Table 137, Life Saving Drugs Programme </w:t>
      </w:r>
      <w:proofErr w:type="gramStart"/>
      <w:r w:rsidRPr="00027DD4">
        <w:rPr>
          <w:rFonts w:ascii="Arial" w:eastAsiaTheme="majorEastAsia" w:hAnsi="Arial" w:cs="Arial"/>
          <w:bCs/>
          <w:sz w:val="18"/>
          <w:szCs w:val="18"/>
        </w:rPr>
        <w:t>Review :</w:t>
      </w:r>
      <w:proofErr w:type="gramEnd"/>
      <w:r w:rsidRPr="00027DD4">
        <w:rPr>
          <w:rFonts w:ascii="Arial" w:eastAsiaTheme="majorEastAsia" w:hAnsi="Arial" w:cs="Arial"/>
          <w:bCs/>
          <w:sz w:val="18"/>
          <w:szCs w:val="18"/>
        </w:rPr>
        <w:t xml:space="preserve"> Technical Assessment, April 2015, page 231)</w:t>
      </w:r>
    </w:p>
    <w:p w:rsidR="00AC09E0" w:rsidRPr="00AC09E0" w:rsidRDefault="00AC09E0" w:rsidP="00643656">
      <w:pPr>
        <w:jc w:val="both"/>
        <w:rPr>
          <w:rFonts w:ascii="Arial" w:eastAsiaTheme="majorEastAsia" w:hAnsi="Arial" w:cs="Arial"/>
          <w:bCs/>
          <w:szCs w:val="24"/>
        </w:rPr>
      </w:pPr>
    </w:p>
    <w:p w:rsidR="009F1CCB" w:rsidRPr="00F81AA7" w:rsidRDefault="00FE4806" w:rsidP="00643656">
      <w:pPr>
        <w:pStyle w:val="Heading1"/>
        <w:rPr>
          <w:rFonts w:ascii="Arial" w:hAnsi="Arial" w:cs="Arial"/>
          <w:color w:val="auto"/>
          <w:sz w:val="40"/>
          <w:szCs w:val="40"/>
        </w:rPr>
      </w:pPr>
      <w:r w:rsidRPr="00F81AA7">
        <w:rPr>
          <w:rFonts w:ascii="Arial" w:hAnsi="Arial" w:cs="Arial"/>
          <w:color w:val="auto"/>
          <w:sz w:val="40"/>
          <w:szCs w:val="40"/>
        </w:rPr>
        <w:lastRenderedPageBreak/>
        <w:t xml:space="preserve">Reference Group interim report </w:t>
      </w:r>
    </w:p>
    <w:p w:rsidR="0096074C" w:rsidRPr="00F81AA7" w:rsidRDefault="00F21288" w:rsidP="00F81AA7">
      <w:pPr>
        <w:pStyle w:val="Heading4"/>
        <w:spacing w:line="360" w:lineRule="auto"/>
        <w:rPr>
          <w:rFonts w:ascii="Arial" w:hAnsi="Arial" w:cs="Arial"/>
          <w:i w:val="0"/>
          <w:color w:val="auto"/>
        </w:rPr>
      </w:pPr>
      <w:r w:rsidRPr="00F81AA7">
        <w:rPr>
          <w:rFonts w:ascii="Arial" w:hAnsi="Arial" w:cs="Arial"/>
          <w:i w:val="0"/>
          <w:color w:val="auto"/>
        </w:rPr>
        <w:t>ToR</w:t>
      </w:r>
      <w:r w:rsidR="0096074C" w:rsidRPr="00F81AA7">
        <w:rPr>
          <w:rFonts w:ascii="Arial" w:hAnsi="Arial" w:cs="Arial"/>
          <w:i w:val="0"/>
          <w:color w:val="auto"/>
        </w:rPr>
        <w:t xml:space="preserve"> 1. Review the clinical effectiveness and safety of medicines currently subsidised through the LSDP.</w:t>
      </w:r>
    </w:p>
    <w:p w:rsidR="0096074C" w:rsidRPr="00A10598" w:rsidRDefault="0096074C" w:rsidP="00CB5520">
      <w:pPr>
        <w:pStyle w:val="ListParagraph"/>
        <w:widowControl w:val="0"/>
        <w:numPr>
          <w:ilvl w:val="1"/>
          <w:numId w:val="8"/>
        </w:numPr>
        <w:tabs>
          <w:tab w:val="left" w:pos="220"/>
          <w:tab w:val="left" w:pos="720"/>
        </w:tabs>
        <w:autoSpaceDE w:val="0"/>
        <w:autoSpaceDN w:val="0"/>
        <w:adjustRightInd w:val="0"/>
        <w:spacing w:after="0" w:line="360" w:lineRule="auto"/>
        <w:jc w:val="both"/>
        <w:rPr>
          <w:rFonts w:ascii="Arial" w:hAnsi="Arial" w:cs="Arial"/>
          <w:color w:val="1A1A1A"/>
        </w:rPr>
      </w:pPr>
      <w:r w:rsidRPr="00A10598">
        <w:rPr>
          <w:rFonts w:ascii="Arial" w:hAnsi="Arial" w:cs="Arial"/>
          <w:color w:val="1A1A1A"/>
        </w:rPr>
        <w:t>The reference group considered the report of the Evaluation Group to have comprehensively assessed the available published research on the currently listed medicines.</w:t>
      </w:r>
    </w:p>
    <w:p w:rsidR="0096074C" w:rsidRPr="00A10598" w:rsidRDefault="0096074C" w:rsidP="008A4CEA">
      <w:pPr>
        <w:pStyle w:val="ListParagraph"/>
        <w:widowControl w:val="0"/>
        <w:numPr>
          <w:ilvl w:val="1"/>
          <w:numId w:val="8"/>
        </w:numPr>
        <w:tabs>
          <w:tab w:val="left" w:pos="220"/>
          <w:tab w:val="left" w:pos="720"/>
        </w:tabs>
        <w:autoSpaceDE w:val="0"/>
        <w:autoSpaceDN w:val="0"/>
        <w:adjustRightInd w:val="0"/>
        <w:spacing w:after="0" w:line="360" w:lineRule="auto"/>
        <w:jc w:val="both"/>
        <w:rPr>
          <w:rFonts w:ascii="Arial" w:hAnsi="Arial" w:cs="Arial"/>
          <w:color w:val="1A1A1A"/>
        </w:rPr>
      </w:pPr>
      <w:r w:rsidRPr="00A10598">
        <w:rPr>
          <w:rFonts w:ascii="Arial" w:hAnsi="Arial" w:cs="Arial"/>
          <w:color w:val="1A1A1A"/>
        </w:rPr>
        <w:t xml:space="preserve">For each disease and medicine class the Reference Group considered whether there was more recent evidence </w:t>
      </w:r>
      <w:r w:rsidR="00C870FE">
        <w:rPr>
          <w:rFonts w:ascii="Arial" w:hAnsi="Arial" w:cs="Arial"/>
          <w:color w:val="1A1A1A"/>
        </w:rPr>
        <w:t xml:space="preserve">from that considered at the time of inclusion in the LSDP to be found in </w:t>
      </w:r>
      <w:r>
        <w:rPr>
          <w:rFonts w:ascii="Arial" w:hAnsi="Arial" w:cs="Arial"/>
          <w:color w:val="1A1A1A"/>
        </w:rPr>
        <w:t>the Evaluator</w:t>
      </w:r>
      <w:r w:rsidR="00C70960">
        <w:rPr>
          <w:rFonts w:ascii="Arial" w:hAnsi="Arial" w:cs="Arial"/>
          <w:color w:val="1A1A1A"/>
        </w:rPr>
        <w:t>’</w:t>
      </w:r>
      <w:r>
        <w:rPr>
          <w:rFonts w:ascii="Arial" w:hAnsi="Arial" w:cs="Arial"/>
          <w:color w:val="1A1A1A"/>
        </w:rPr>
        <w:t xml:space="preserve">s report </w:t>
      </w:r>
      <w:r w:rsidRPr="00A10598">
        <w:rPr>
          <w:rFonts w:ascii="Arial" w:hAnsi="Arial" w:cs="Arial"/>
          <w:color w:val="1A1A1A"/>
        </w:rPr>
        <w:t>that</w:t>
      </w:r>
      <w:r w:rsidR="00C870FE">
        <w:rPr>
          <w:rFonts w:ascii="Arial" w:hAnsi="Arial" w:cs="Arial"/>
          <w:color w:val="1A1A1A"/>
        </w:rPr>
        <w:t xml:space="preserve"> showed</w:t>
      </w:r>
      <w:r w:rsidRPr="00A10598">
        <w:rPr>
          <w:rFonts w:ascii="Arial" w:hAnsi="Arial" w:cs="Arial"/>
          <w:color w:val="1A1A1A"/>
        </w:rPr>
        <w:t>:</w:t>
      </w:r>
    </w:p>
    <w:p w:rsidR="0096074C" w:rsidRPr="00A10598" w:rsidRDefault="0096074C" w:rsidP="008A4CEA">
      <w:pPr>
        <w:pStyle w:val="ListParagraph"/>
        <w:widowControl w:val="0"/>
        <w:numPr>
          <w:ilvl w:val="2"/>
          <w:numId w:val="7"/>
        </w:numPr>
        <w:tabs>
          <w:tab w:val="left" w:pos="220"/>
          <w:tab w:val="left" w:pos="720"/>
        </w:tabs>
        <w:autoSpaceDE w:val="0"/>
        <w:autoSpaceDN w:val="0"/>
        <w:adjustRightInd w:val="0"/>
        <w:spacing w:after="0" w:line="360" w:lineRule="auto"/>
        <w:jc w:val="both"/>
        <w:rPr>
          <w:rFonts w:ascii="Arial" w:hAnsi="Arial" w:cs="Arial"/>
          <w:color w:val="1A1A1A"/>
        </w:rPr>
      </w:pPr>
      <w:r w:rsidRPr="00A10598">
        <w:rPr>
          <w:rFonts w:ascii="Arial" w:hAnsi="Arial" w:cs="Arial"/>
          <w:color w:val="1A1A1A"/>
        </w:rPr>
        <w:t xml:space="preserve">the medications were effective or ineffective, </w:t>
      </w:r>
    </w:p>
    <w:p w:rsidR="0096074C" w:rsidRPr="00A10598" w:rsidRDefault="0096074C" w:rsidP="008A4CEA">
      <w:pPr>
        <w:pStyle w:val="ListParagraph"/>
        <w:widowControl w:val="0"/>
        <w:numPr>
          <w:ilvl w:val="2"/>
          <w:numId w:val="7"/>
        </w:numPr>
        <w:tabs>
          <w:tab w:val="left" w:pos="220"/>
          <w:tab w:val="left" w:pos="720"/>
        </w:tabs>
        <w:autoSpaceDE w:val="0"/>
        <w:autoSpaceDN w:val="0"/>
        <w:adjustRightInd w:val="0"/>
        <w:spacing w:after="0" w:line="360" w:lineRule="auto"/>
        <w:jc w:val="both"/>
        <w:rPr>
          <w:rFonts w:ascii="Arial" w:hAnsi="Arial" w:cs="Arial"/>
          <w:color w:val="1A1A1A"/>
        </w:rPr>
      </w:pPr>
      <w:r w:rsidRPr="00A10598">
        <w:rPr>
          <w:rFonts w:ascii="Arial" w:hAnsi="Arial" w:cs="Arial"/>
          <w:color w:val="1A1A1A"/>
        </w:rPr>
        <w:t xml:space="preserve">the </w:t>
      </w:r>
      <w:r>
        <w:rPr>
          <w:rFonts w:ascii="Arial" w:hAnsi="Arial" w:cs="Arial"/>
          <w:color w:val="1A1A1A"/>
        </w:rPr>
        <w:t xml:space="preserve">clinical </w:t>
      </w:r>
      <w:r w:rsidRPr="00A10598">
        <w:rPr>
          <w:rFonts w:ascii="Arial" w:hAnsi="Arial" w:cs="Arial"/>
          <w:color w:val="1A1A1A"/>
        </w:rPr>
        <w:t>benefits were less th</w:t>
      </w:r>
      <w:r>
        <w:rPr>
          <w:rFonts w:ascii="Arial" w:hAnsi="Arial" w:cs="Arial"/>
          <w:color w:val="1A1A1A"/>
        </w:rPr>
        <w:t>a</w:t>
      </w:r>
      <w:r w:rsidRPr="00A10598">
        <w:rPr>
          <w:rFonts w:ascii="Arial" w:hAnsi="Arial" w:cs="Arial"/>
          <w:color w:val="1A1A1A"/>
        </w:rPr>
        <w:t xml:space="preserve">n </w:t>
      </w:r>
      <w:r>
        <w:rPr>
          <w:rFonts w:ascii="Arial" w:hAnsi="Arial" w:cs="Arial"/>
          <w:color w:val="1A1A1A"/>
        </w:rPr>
        <w:t xml:space="preserve">what was </w:t>
      </w:r>
      <w:r w:rsidRPr="00A10598">
        <w:rPr>
          <w:rFonts w:ascii="Arial" w:hAnsi="Arial" w:cs="Arial"/>
          <w:color w:val="1A1A1A"/>
        </w:rPr>
        <w:t>claimed when</w:t>
      </w:r>
      <w:r>
        <w:rPr>
          <w:rFonts w:ascii="Arial" w:hAnsi="Arial" w:cs="Arial"/>
          <w:color w:val="1A1A1A"/>
        </w:rPr>
        <w:t xml:space="preserve"> the drug was </w:t>
      </w:r>
      <w:r w:rsidRPr="00A10598">
        <w:rPr>
          <w:rFonts w:ascii="Arial" w:hAnsi="Arial" w:cs="Arial"/>
          <w:color w:val="1A1A1A"/>
        </w:rPr>
        <w:t>originally evaluated</w:t>
      </w:r>
      <w:r w:rsidR="00C870FE">
        <w:rPr>
          <w:rFonts w:ascii="Arial" w:hAnsi="Arial" w:cs="Arial"/>
          <w:color w:val="1A1A1A"/>
        </w:rPr>
        <w:t xml:space="preserve"> for inclusion on the LSDP</w:t>
      </w:r>
      <w:r w:rsidRPr="00A10598">
        <w:rPr>
          <w:rFonts w:ascii="Arial" w:hAnsi="Arial" w:cs="Arial"/>
          <w:color w:val="1A1A1A"/>
        </w:rPr>
        <w:t xml:space="preserve">, </w:t>
      </w:r>
    </w:p>
    <w:p w:rsidR="0096074C" w:rsidRPr="00A10598" w:rsidRDefault="0096074C" w:rsidP="008A4CEA">
      <w:pPr>
        <w:pStyle w:val="ListParagraph"/>
        <w:widowControl w:val="0"/>
        <w:numPr>
          <w:ilvl w:val="2"/>
          <w:numId w:val="7"/>
        </w:numPr>
        <w:tabs>
          <w:tab w:val="left" w:pos="220"/>
          <w:tab w:val="left" w:pos="720"/>
        </w:tabs>
        <w:autoSpaceDE w:val="0"/>
        <w:autoSpaceDN w:val="0"/>
        <w:adjustRightInd w:val="0"/>
        <w:spacing w:after="0" w:line="360" w:lineRule="auto"/>
        <w:jc w:val="both"/>
        <w:rPr>
          <w:rFonts w:ascii="Arial" w:hAnsi="Arial" w:cs="Arial"/>
          <w:color w:val="1A1A1A"/>
        </w:rPr>
      </w:pPr>
      <w:r w:rsidRPr="00A10598">
        <w:rPr>
          <w:rFonts w:ascii="Arial" w:hAnsi="Arial" w:cs="Arial"/>
          <w:color w:val="1A1A1A"/>
        </w:rPr>
        <w:t xml:space="preserve">the risks or side effects were </w:t>
      </w:r>
      <w:r w:rsidR="00C870FE">
        <w:rPr>
          <w:rFonts w:ascii="Arial" w:hAnsi="Arial" w:cs="Arial"/>
          <w:color w:val="1A1A1A"/>
        </w:rPr>
        <w:t>greater</w:t>
      </w:r>
      <w:r w:rsidRPr="00A10598">
        <w:rPr>
          <w:rFonts w:ascii="Arial" w:hAnsi="Arial" w:cs="Arial"/>
          <w:color w:val="1A1A1A"/>
        </w:rPr>
        <w:t xml:space="preserve"> th</w:t>
      </w:r>
      <w:r>
        <w:rPr>
          <w:rFonts w:ascii="Arial" w:hAnsi="Arial" w:cs="Arial"/>
          <w:color w:val="1A1A1A"/>
        </w:rPr>
        <w:t>a</w:t>
      </w:r>
      <w:r w:rsidRPr="00A10598">
        <w:rPr>
          <w:rFonts w:ascii="Arial" w:hAnsi="Arial" w:cs="Arial"/>
          <w:color w:val="1A1A1A"/>
        </w:rPr>
        <w:t xml:space="preserve">n </w:t>
      </w:r>
      <w:r>
        <w:rPr>
          <w:rFonts w:ascii="Arial" w:hAnsi="Arial" w:cs="Arial"/>
          <w:color w:val="1A1A1A"/>
        </w:rPr>
        <w:t xml:space="preserve">what was </w:t>
      </w:r>
      <w:r w:rsidRPr="00A10598">
        <w:rPr>
          <w:rFonts w:ascii="Arial" w:hAnsi="Arial" w:cs="Arial"/>
          <w:color w:val="1A1A1A"/>
        </w:rPr>
        <w:t xml:space="preserve">claimed when </w:t>
      </w:r>
      <w:r>
        <w:rPr>
          <w:rFonts w:ascii="Arial" w:hAnsi="Arial" w:cs="Arial"/>
          <w:color w:val="1A1A1A"/>
        </w:rPr>
        <w:t xml:space="preserve">the drug was </w:t>
      </w:r>
      <w:r w:rsidRPr="00A10598">
        <w:rPr>
          <w:rFonts w:ascii="Arial" w:hAnsi="Arial" w:cs="Arial"/>
          <w:color w:val="1A1A1A"/>
        </w:rPr>
        <w:t>originally evaluated,</w:t>
      </w:r>
    </w:p>
    <w:p w:rsidR="0096074C" w:rsidRPr="00A10598" w:rsidRDefault="0096074C" w:rsidP="008A4CEA">
      <w:pPr>
        <w:pStyle w:val="ListParagraph"/>
        <w:widowControl w:val="0"/>
        <w:numPr>
          <w:ilvl w:val="2"/>
          <w:numId w:val="7"/>
        </w:numPr>
        <w:tabs>
          <w:tab w:val="left" w:pos="220"/>
          <w:tab w:val="left" w:pos="720"/>
        </w:tabs>
        <w:autoSpaceDE w:val="0"/>
        <w:autoSpaceDN w:val="0"/>
        <w:adjustRightInd w:val="0"/>
        <w:spacing w:after="0" w:line="360" w:lineRule="auto"/>
        <w:jc w:val="both"/>
        <w:rPr>
          <w:rFonts w:ascii="Arial" w:hAnsi="Arial" w:cs="Arial"/>
          <w:color w:val="1A1A1A"/>
        </w:rPr>
      </w:pPr>
      <w:r w:rsidRPr="00A10598">
        <w:rPr>
          <w:rFonts w:ascii="Arial" w:hAnsi="Arial" w:cs="Arial"/>
          <w:color w:val="1A1A1A"/>
        </w:rPr>
        <w:t>there was therapeutic equivalence where there is more than one medication in</w:t>
      </w:r>
      <w:r>
        <w:rPr>
          <w:rFonts w:ascii="Arial" w:hAnsi="Arial" w:cs="Arial"/>
          <w:color w:val="1A1A1A"/>
        </w:rPr>
        <w:t xml:space="preserve"> the same</w:t>
      </w:r>
      <w:r w:rsidRPr="00A10598">
        <w:rPr>
          <w:rFonts w:ascii="Arial" w:hAnsi="Arial" w:cs="Arial"/>
          <w:color w:val="1A1A1A"/>
        </w:rPr>
        <w:t xml:space="preserve"> class, and,</w:t>
      </w:r>
    </w:p>
    <w:p w:rsidR="0096074C" w:rsidRPr="00A10598" w:rsidRDefault="0096074C" w:rsidP="008A4CEA">
      <w:pPr>
        <w:pStyle w:val="ListParagraph"/>
        <w:widowControl w:val="0"/>
        <w:numPr>
          <w:ilvl w:val="2"/>
          <w:numId w:val="7"/>
        </w:numPr>
        <w:tabs>
          <w:tab w:val="left" w:pos="220"/>
          <w:tab w:val="left" w:pos="720"/>
        </w:tabs>
        <w:autoSpaceDE w:val="0"/>
        <w:autoSpaceDN w:val="0"/>
        <w:adjustRightInd w:val="0"/>
        <w:spacing w:after="0" w:line="360" w:lineRule="auto"/>
        <w:jc w:val="both"/>
        <w:rPr>
          <w:rFonts w:ascii="Arial" w:hAnsi="Arial" w:cs="Arial"/>
          <w:color w:val="1A1A1A"/>
        </w:rPr>
      </w:pPr>
      <w:proofErr w:type="gramStart"/>
      <w:r w:rsidRPr="00A10598">
        <w:rPr>
          <w:rFonts w:ascii="Arial" w:hAnsi="Arial" w:cs="Arial"/>
          <w:color w:val="1A1A1A"/>
        </w:rPr>
        <w:t>there</w:t>
      </w:r>
      <w:proofErr w:type="gramEnd"/>
      <w:r w:rsidRPr="00A10598">
        <w:rPr>
          <w:rFonts w:ascii="Arial" w:hAnsi="Arial" w:cs="Arial"/>
          <w:color w:val="1A1A1A"/>
        </w:rPr>
        <w:t xml:space="preserve"> was additional evidence on whe</w:t>
      </w:r>
      <w:r>
        <w:rPr>
          <w:rFonts w:ascii="Arial" w:hAnsi="Arial" w:cs="Arial"/>
          <w:color w:val="1A1A1A"/>
        </w:rPr>
        <w:t>ther</w:t>
      </w:r>
      <w:r w:rsidRPr="00A10598">
        <w:rPr>
          <w:rFonts w:ascii="Arial" w:hAnsi="Arial" w:cs="Arial"/>
          <w:color w:val="1A1A1A"/>
        </w:rPr>
        <w:t xml:space="preserve"> individuals were or were not responding to treatment.</w:t>
      </w:r>
    </w:p>
    <w:p w:rsidR="0096074C" w:rsidRDefault="0096074C" w:rsidP="008A4CEA">
      <w:pPr>
        <w:pStyle w:val="ListParagraph"/>
        <w:widowControl w:val="0"/>
        <w:numPr>
          <w:ilvl w:val="1"/>
          <w:numId w:val="8"/>
        </w:numPr>
        <w:tabs>
          <w:tab w:val="left" w:pos="220"/>
          <w:tab w:val="left" w:pos="720"/>
        </w:tabs>
        <w:autoSpaceDE w:val="0"/>
        <w:autoSpaceDN w:val="0"/>
        <w:adjustRightInd w:val="0"/>
        <w:spacing w:after="0" w:line="360" w:lineRule="auto"/>
        <w:jc w:val="both"/>
        <w:rPr>
          <w:rFonts w:ascii="Arial" w:hAnsi="Arial" w:cs="Arial"/>
          <w:color w:val="1A1A1A"/>
        </w:rPr>
      </w:pPr>
      <w:r w:rsidRPr="00A10598">
        <w:rPr>
          <w:rFonts w:ascii="Arial" w:hAnsi="Arial" w:cs="Arial"/>
          <w:color w:val="1A1A1A"/>
        </w:rPr>
        <w:t>Overall, for all the medications</w:t>
      </w:r>
      <w:r>
        <w:rPr>
          <w:rFonts w:ascii="Arial" w:hAnsi="Arial" w:cs="Arial"/>
          <w:color w:val="1A1A1A"/>
        </w:rPr>
        <w:t xml:space="preserve"> included on the LSDP,</w:t>
      </w:r>
      <w:r w:rsidRPr="00A10598">
        <w:rPr>
          <w:rFonts w:ascii="Arial" w:hAnsi="Arial" w:cs="Arial"/>
          <w:color w:val="1A1A1A"/>
        </w:rPr>
        <w:t xml:space="preserve"> long term efficacy data other than on biochemical or other markers</w:t>
      </w:r>
      <w:r>
        <w:rPr>
          <w:rFonts w:ascii="Arial" w:hAnsi="Arial" w:cs="Arial"/>
          <w:color w:val="1A1A1A"/>
        </w:rPr>
        <w:t>,</w:t>
      </w:r>
      <w:r w:rsidRPr="00A10598">
        <w:rPr>
          <w:rFonts w:ascii="Arial" w:hAnsi="Arial" w:cs="Arial"/>
          <w:color w:val="1A1A1A"/>
        </w:rPr>
        <w:t xml:space="preserve"> has not increased substantially since the listing of the drugs. Equally, there is no new data from which to conclude that the original </w:t>
      </w:r>
      <w:r>
        <w:rPr>
          <w:rFonts w:ascii="Arial" w:hAnsi="Arial" w:cs="Arial"/>
          <w:color w:val="1A1A1A"/>
        </w:rPr>
        <w:t>recommendation to include the medication on the LSDP</w:t>
      </w:r>
      <w:r w:rsidRPr="00A10598">
        <w:rPr>
          <w:rFonts w:ascii="Arial" w:hAnsi="Arial" w:cs="Arial"/>
          <w:color w:val="1A1A1A"/>
        </w:rPr>
        <w:t xml:space="preserve"> was wrong i</w:t>
      </w:r>
      <w:r w:rsidR="00A27019">
        <w:rPr>
          <w:rFonts w:ascii="Arial" w:hAnsi="Arial" w:cs="Arial"/>
          <w:color w:val="1A1A1A"/>
        </w:rPr>
        <w:t>.</w:t>
      </w:r>
      <w:r w:rsidRPr="00A10598">
        <w:rPr>
          <w:rFonts w:ascii="Arial" w:hAnsi="Arial" w:cs="Arial"/>
          <w:color w:val="1A1A1A"/>
        </w:rPr>
        <w:t>e</w:t>
      </w:r>
      <w:r w:rsidR="00A27019">
        <w:rPr>
          <w:rFonts w:ascii="Arial" w:hAnsi="Arial" w:cs="Arial"/>
          <w:color w:val="1A1A1A"/>
        </w:rPr>
        <w:t>.</w:t>
      </w:r>
      <w:r w:rsidRPr="00A10598">
        <w:rPr>
          <w:rFonts w:ascii="Arial" w:hAnsi="Arial" w:cs="Arial"/>
          <w:color w:val="1A1A1A"/>
        </w:rPr>
        <w:t xml:space="preserve"> that the medicines are conclusively ineffective.</w:t>
      </w:r>
      <w:r>
        <w:rPr>
          <w:rFonts w:ascii="Arial" w:hAnsi="Arial" w:cs="Arial"/>
          <w:color w:val="1A1A1A"/>
        </w:rPr>
        <w:t xml:space="preserve"> </w:t>
      </w:r>
    </w:p>
    <w:p w:rsidR="0096074C" w:rsidRPr="006B2265" w:rsidRDefault="0096074C" w:rsidP="008A4CEA">
      <w:pPr>
        <w:pStyle w:val="ListParagraph"/>
        <w:widowControl w:val="0"/>
        <w:numPr>
          <w:ilvl w:val="1"/>
          <w:numId w:val="8"/>
        </w:numPr>
        <w:tabs>
          <w:tab w:val="left" w:pos="220"/>
          <w:tab w:val="left" w:pos="720"/>
        </w:tabs>
        <w:autoSpaceDE w:val="0"/>
        <w:autoSpaceDN w:val="0"/>
        <w:adjustRightInd w:val="0"/>
        <w:spacing w:after="0" w:line="360" w:lineRule="auto"/>
        <w:jc w:val="both"/>
        <w:rPr>
          <w:rFonts w:ascii="Arial" w:hAnsi="Arial" w:cs="Arial"/>
          <w:color w:val="1A1A1A"/>
        </w:rPr>
      </w:pPr>
      <w:r w:rsidRPr="005F696F">
        <w:rPr>
          <w:rFonts w:ascii="Arial" w:hAnsi="Arial" w:cs="Arial"/>
          <w:color w:val="1A1A1A"/>
        </w:rPr>
        <w:t xml:space="preserve">None of the </w:t>
      </w:r>
      <w:r>
        <w:rPr>
          <w:rFonts w:ascii="Arial" w:hAnsi="Arial" w:cs="Arial"/>
          <w:color w:val="1A1A1A"/>
        </w:rPr>
        <w:t>LSDP drugs have been shown to</w:t>
      </w:r>
      <w:r w:rsidRPr="005F696F">
        <w:rPr>
          <w:rFonts w:ascii="Arial" w:hAnsi="Arial" w:cs="Arial"/>
          <w:color w:val="1A1A1A"/>
        </w:rPr>
        <w:t xml:space="preserve"> </w:t>
      </w:r>
      <w:r>
        <w:rPr>
          <w:rFonts w:ascii="Arial" w:hAnsi="Arial" w:cs="Arial"/>
          <w:color w:val="1A1A1A"/>
        </w:rPr>
        <w:t>cure</w:t>
      </w:r>
      <w:r w:rsidRPr="005F696F">
        <w:rPr>
          <w:rFonts w:ascii="Arial" w:hAnsi="Arial" w:cs="Arial"/>
          <w:color w:val="1A1A1A"/>
        </w:rPr>
        <w:t xml:space="preserve"> the </w:t>
      </w:r>
      <w:r>
        <w:rPr>
          <w:rFonts w:ascii="Arial" w:hAnsi="Arial" w:cs="Arial"/>
          <w:color w:val="1A1A1A"/>
        </w:rPr>
        <w:t xml:space="preserve">disease. </w:t>
      </w:r>
      <w:r w:rsidR="00A27019">
        <w:rPr>
          <w:rFonts w:ascii="Arial" w:hAnsi="Arial" w:cs="Arial"/>
          <w:color w:val="1A1A1A"/>
        </w:rPr>
        <w:t xml:space="preserve">The evaluation showed that in each of the seven diseases </w:t>
      </w:r>
      <w:proofErr w:type="gramStart"/>
      <w:r w:rsidR="00A27019">
        <w:rPr>
          <w:rFonts w:ascii="Arial" w:hAnsi="Arial" w:cs="Arial"/>
          <w:color w:val="1A1A1A"/>
        </w:rPr>
        <w:t xml:space="preserve">studied </w:t>
      </w:r>
      <w:r>
        <w:rPr>
          <w:rFonts w:ascii="Arial" w:hAnsi="Arial" w:cs="Arial"/>
          <w:color w:val="1A1A1A"/>
        </w:rPr>
        <w:t xml:space="preserve"> all</w:t>
      </w:r>
      <w:proofErr w:type="gramEnd"/>
      <w:r>
        <w:rPr>
          <w:rFonts w:ascii="Arial" w:hAnsi="Arial" w:cs="Arial"/>
          <w:color w:val="1A1A1A"/>
        </w:rPr>
        <w:t xml:space="preserve"> the drugs </w:t>
      </w:r>
      <w:r w:rsidR="00A27019">
        <w:rPr>
          <w:rFonts w:ascii="Arial" w:hAnsi="Arial" w:cs="Arial"/>
          <w:color w:val="1A1A1A"/>
        </w:rPr>
        <w:t xml:space="preserve">slowed </w:t>
      </w:r>
      <w:r w:rsidRPr="005F696F">
        <w:rPr>
          <w:rFonts w:ascii="Arial" w:hAnsi="Arial" w:cs="Arial"/>
          <w:color w:val="1A1A1A"/>
        </w:rPr>
        <w:t xml:space="preserve">progression of the disease </w:t>
      </w:r>
      <w:r w:rsidR="00A27019">
        <w:rPr>
          <w:rFonts w:ascii="Arial" w:hAnsi="Arial" w:cs="Arial"/>
          <w:color w:val="1A1A1A"/>
        </w:rPr>
        <w:t xml:space="preserve">in some patients but did </w:t>
      </w:r>
      <w:r w:rsidRPr="005F696F">
        <w:rPr>
          <w:rFonts w:ascii="Arial" w:hAnsi="Arial" w:cs="Arial"/>
          <w:color w:val="1A1A1A"/>
        </w:rPr>
        <w:t>not reverse</w:t>
      </w:r>
      <w:r w:rsidR="00A27019">
        <w:rPr>
          <w:rFonts w:ascii="Arial" w:hAnsi="Arial" w:cs="Arial"/>
          <w:color w:val="1A1A1A"/>
        </w:rPr>
        <w:t xml:space="preserve"> progression</w:t>
      </w:r>
      <w:r w:rsidRPr="005F696F">
        <w:rPr>
          <w:rFonts w:ascii="Arial" w:hAnsi="Arial" w:cs="Arial"/>
          <w:color w:val="1A1A1A"/>
        </w:rPr>
        <w:t xml:space="preserve">. </w:t>
      </w:r>
      <w:r>
        <w:rPr>
          <w:rFonts w:ascii="Arial" w:hAnsi="Arial" w:cs="Arial"/>
          <w:color w:val="1A1A1A"/>
        </w:rPr>
        <w:t>Clinical e</w:t>
      </w:r>
      <w:r w:rsidRPr="00A10598">
        <w:rPr>
          <w:rFonts w:ascii="Arial" w:hAnsi="Arial" w:cs="Arial"/>
          <w:color w:val="1A1A1A"/>
        </w:rPr>
        <w:t xml:space="preserve">xperience with the medications has identified patients where there is a continued deterioration in the patient’s condition despite the continued administration of the relevant medication. </w:t>
      </w:r>
      <w:r>
        <w:rPr>
          <w:rFonts w:ascii="Arial" w:hAnsi="Arial" w:cs="Arial"/>
          <w:color w:val="1A1A1A"/>
        </w:rPr>
        <w:t>Under this circumstance i</w:t>
      </w:r>
      <w:r w:rsidRPr="00A10598">
        <w:rPr>
          <w:rFonts w:ascii="Arial" w:hAnsi="Arial" w:cs="Arial"/>
          <w:color w:val="1A1A1A"/>
        </w:rPr>
        <w:t xml:space="preserve">t </w:t>
      </w:r>
      <w:r>
        <w:rPr>
          <w:rFonts w:ascii="Arial" w:hAnsi="Arial" w:cs="Arial"/>
          <w:color w:val="1A1A1A"/>
        </w:rPr>
        <w:t xml:space="preserve">would appear that continuation of drug therapy </w:t>
      </w:r>
      <w:r w:rsidR="00A27019">
        <w:rPr>
          <w:rFonts w:ascii="Arial" w:hAnsi="Arial" w:cs="Arial"/>
          <w:color w:val="1A1A1A"/>
        </w:rPr>
        <w:t xml:space="preserve">where there is </w:t>
      </w:r>
      <w:r>
        <w:rPr>
          <w:rFonts w:ascii="Arial" w:hAnsi="Arial" w:cs="Arial"/>
          <w:color w:val="1A1A1A"/>
        </w:rPr>
        <w:t>no substantial</w:t>
      </w:r>
      <w:r w:rsidRPr="00A10598">
        <w:rPr>
          <w:rFonts w:ascii="Arial" w:hAnsi="Arial" w:cs="Arial"/>
          <w:color w:val="1A1A1A"/>
        </w:rPr>
        <w:t xml:space="preserve"> patient</w:t>
      </w:r>
      <w:r>
        <w:rPr>
          <w:rFonts w:ascii="Arial" w:hAnsi="Arial" w:cs="Arial"/>
          <w:color w:val="1A1A1A"/>
        </w:rPr>
        <w:t xml:space="preserve"> benefit is not good use of public monies. </w:t>
      </w:r>
      <w:r w:rsidRPr="00A10598">
        <w:rPr>
          <w:rFonts w:ascii="Arial" w:hAnsi="Arial" w:cs="Arial"/>
          <w:color w:val="1A1A1A"/>
        </w:rPr>
        <w:t>Treating physicians should be supported in decisions to cease treatment in such cases</w:t>
      </w:r>
      <w:r>
        <w:rPr>
          <w:rFonts w:ascii="Arial" w:hAnsi="Arial" w:cs="Arial"/>
          <w:color w:val="1A1A1A"/>
        </w:rPr>
        <w:t>, for example, by reference to clear expert endorsed stopping rules</w:t>
      </w:r>
      <w:r w:rsidRPr="00A10598">
        <w:rPr>
          <w:rFonts w:ascii="Arial" w:hAnsi="Arial" w:cs="Arial"/>
          <w:color w:val="1A1A1A"/>
        </w:rPr>
        <w:t>.</w:t>
      </w:r>
      <w:r w:rsidR="00A27019">
        <w:rPr>
          <w:rFonts w:ascii="Arial" w:hAnsi="Arial" w:cs="Arial"/>
          <w:color w:val="1A1A1A"/>
        </w:rPr>
        <w:t xml:space="preserve"> Patients and their carers </w:t>
      </w:r>
      <w:r w:rsidR="00A27019">
        <w:rPr>
          <w:rFonts w:ascii="Arial" w:hAnsi="Arial" w:cs="Arial"/>
          <w:color w:val="1A1A1A"/>
        </w:rPr>
        <w:lastRenderedPageBreak/>
        <w:t>should be supported through explicit communication of expected outcomes based on the evidence.</w:t>
      </w:r>
    </w:p>
    <w:p w:rsidR="004724BB" w:rsidRPr="0029286C" w:rsidRDefault="0096074C" w:rsidP="008A4CEA">
      <w:pPr>
        <w:pStyle w:val="ListParagraph"/>
        <w:widowControl w:val="0"/>
        <w:numPr>
          <w:ilvl w:val="1"/>
          <w:numId w:val="8"/>
        </w:numPr>
        <w:tabs>
          <w:tab w:val="left" w:pos="220"/>
          <w:tab w:val="left" w:pos="720"/>
        </w:tabs>
        <w:autoSpaceDE w:val="0"/>
        <w:autoSpaceDN w:val="0"/>
        <w:adjustRightInd w:val="0"/>
        <w:spacing w:after="0" w:line="360" w:lineRule="auto"/>
        <w:jc w:val="both"/>
        <w:rPr>
          <w:rFonts w:ascii="Arial" w:hAnsi="Arial" w:cs="Arial"/>
          <w:color w:val="1A1A1A"/>
        </w:rPr>
      </w:pPr>
      <w:r>
        <w:rPr>
          <w:rFonts w:ascii="Arial" w:hAnsi="Arial" w:cs="Arial"/>
          <w:color w:val="1A1A1A"/>
        </w:rPr>
        <w:t>Due to the rarity of these conditions t</w:t>
      </w:r>
      <w:r w:rsidRPr="005F696F">
        <w:rPr>
          <w:rFonts w:ascii="Arial" w:hAnsi="Arial" w:cs="Arial"/>
          <w:color w:val="1A1A1A"/>
        </w:rPr>
        <w:t>he health outcomes that define</w:t>
      </w:r>
      <w:r>
        <w:rPr>
          <w:rFonts w:ascii="Arial" w:hAnsi="Arial" w:cs="Arial"/>
          <w:color w:val="1A1A1A"/>
        </w:rPr>
        <w:t xml:space="preserve"> success or failure of treatment are poorly defined at the time initial subsidy was established.  These </w:t>
      </w:r>
      <w:r w:rsidR="00A27019">
        <w:rPr>
          <w:rFonts w:ascii="Arial" w:hAnsi="Arial" w:cs="Arial"/>
          <w:color w:val="1A1A1A"/>
        </w:rPr>
        <w:t xml:space="preserve">definitions </w:t>
      </w:r>
      <w:r w:rsidR="00D17778">
        <w:rPr>
          <w:rFonts w:ascii="Arial" w:hAnsi="Arial" w:cs="Arial"/>
          <w:color w:val="1A1A1A"/>
        </w:rPr>
        <w:t xml:space="preserve">have </w:t>
      </w:r>
      <w:r>
        <w:rPr>
          <w:rFonts w:ascii="Arial" w:hAnsi="Arial" w:cs="Arial"/>
          <w:color w:val="1A1A1A"/>
        </w:rPr>
        <w:t>not</w:t>
      </w:r>
      <w:r w:rsidR="00D17778">
        <w:rPr>
          <w:rFonts w:ascii="Arial" w:hAnsi="Arial" w:cs="Arial"/>
          <w:color w:val="1A1A1A"/>
        </w:rPr>
        <w:t xml:space="preserve"> been</w:t>
      </w:r>
      <w:r>
        <w:rPr>
          <w:rFonts w:ascii="Arial" w:hAnsi="Arial" w:cs="Arial"/>
          <w:color w:val="1A1A1A"/>
        </w:rPr>
        <w:t xml:space="preserve"> </w:t>
      </w:r>
      <w:r w:rsidR="00012A9C">
        <w:rPr>
          <w:rFonts w:ascii="Arial" w:hAnsi="Arial" w:cs="Arial"/>
          <w:color w:val="1A1A1A"/>
        </w:rPr>
        <w:t>made clearer</w:t>
      </w:r>
      <w:r w:rsidR="00C70960">
        <w:rPr>
          <w:rFonts w:ascii="Arial" w:hAnsi="Arial" w:cs="Arial"/>
          <w:color w:val="1A1A1A"/>
        </w:rPr>
        <w:t xml:space="preserve"> </w:t>
      </w:r>
      <w:r w:rsidR="00012A9C">
        <w:rPr>
          <w:rFonts w:ascii="Arial" w:hAnsi="Arial" w:cs="Arial"/>
          <w:color w:val="1A1A1A"/>
        </w:rPr>
        <w:t>through</w:t>
      </w:r>
      <w:r>
        <w:rPr>
          <w:rFonts w:ascii="Arial" w:hAnsi="Arial" w:cs="Arial"/>
          <w:color w:val="1A1A1A"/>
        </w:rPr>
        <w:t xml:space="preserve"> more experience gathered from treating more patients in real clinical practice.</w:t>
      </w:r>
      <w:r w:rsidRPr="006B2265">
        <w:t xml:space="preserve"> </w:t>
      </w:r>
      <w:r>
        <w:rPr>
          <w:rFonts w:ascii="Arial" w:hAnsi="Arial" w:cs="Arial"/>
          <w:color w:val="1A1A1A"/>
        </w:rPr>
        <w:t>The l</w:t>
      </w:r>
      <w:r w:rsidRPr="006B2265">
        <w:rPr>
          <w:rFonts w:ascii="Arial" w:hAnsi="Arial" w:cs="Arial"/>
          <w:color w:val="1A1A1A"/>
        </w:rPr>
        <w:t xml:space="preserve">ack of </w:t>
      </w:r>
      <w:r w:rsidR="00012A9C">
        <w:rPr>
          <w:rFonts w:ascii="Arial" w:hAnsi="Arial" w:cs="Arial"/>
          <w:color w:val="1A1A1A"/>
        </w:rPr>
        <w:t xml:space="preserve">clearly defined </w:t>
      </w:r>
      <w:r w:rsidRPr="006B2265">
        <w:rPr>
          <w:rFonts w:ascii="Arial" w:hAnsi="Arial" w:cs="Arial"/>
          <w:color w:val="1A1A1A"/>
        </w:rPr>
        <w:t xml:space="preserve">health outcomes has implications for </w:t>
      </w:r>
      <w:r>
        <w:rPr>
          <w:rFonts w:ascii="Arial" w:hAnsi="Arial" w:cs="Arial"/>
          <w:color w:val="1A1A1A"/>
        </w:rPr>
        <w:t xml:space="preserve">considering </w:t>
      </w:r>
      <w:r w:rsidRPr="006B2265">
        <w:rPr>
          <w:rFonts w:ascii="Arial" w:hAnsi="Arial" w:cs="Arial"/>
          <w:color w:val="1A1A1A"/>
        </w:rPr>
        <w:t>Managed Entry</w:t>
      </w:r>
      <w:r>
        <w:rPr>
          <w:rFonts w:ascii="Arial" w:hAnsi="Arial" w:cs="Arial"/>
          <w:color w:val="1A1A1A"/>
        </w:rPr>
        <w:t>*</w:t>
      </w:r>
      <w:r w:rsidRPr="006B2265">
        <w:rPr>
          <w:rFonts w:ascii="Arial" w:hAnsi="Arial" w:cs="Arial"/>
          <w:color w:val="1A1A1A"/>
        </w:rPr>
        <w:t xml:space="preserve"> types of arrangements to support the </w:t>
      </w:r>
      <w:r>
        <w:rPr>
          <w:rFonts w:ascii="Arial" w:hAnsi="Arial" w:cs="Arial"/>
          <w:color w:val="1A1A1A"/>
        </w:rPr>
        <w:t xml:space="preserve">future </w:t>
      </w:r>
      <w:r w:rsidRPr="006B2265">
        <w:rPr>
          <w:rFonts w:ascii="Arial" w:hAnsi="Arial" w:cs="Arial"/>
          <w:color w:val="1A1A1A"/>
        </w:rPr>
        <w:t xml:space="preserve">funding of </w:t>
      </w:r>
      <w:r>
        <w:rPr>
          <w:rFonts w:ascii="Arial" w:hAnsi="Arial" w:cs="Arial"/>
          <w:color w:val="1A1A1A"/>
        </w:rPr>
        <w:t xml:space="preserve">any such medicines. </w:t>
      </w:r>
      <w:r w:rsidRPr="006B2265">
        <w:rPr>
          <w:rFonts w:ascii="Arial" w:hAnsi="Arial" w:cs="Arial"/>
          <w:color w:val="1A1A1A"/>
        </w:rPr>
        <w:t>Quantifiable entry and continuation criteria must be established upfront</w:t>
      </w:r>
      <w:r>
        <w:t xml:space="preserve"> </w:t>
      </w:r>
      <w:r w:rsidRPr="00027DBD">
        <w:rPr>
          <w:rFonts w:ascii="Arial" w:hAnsi="Arial" w:cs="Arial"/>
          <w:color w:val="1A1A1A"/>
        </w:rPr>
        <w:t>for transparent and clear decision-making</w:t>
      </w:r>
      <w:r w:rsidR="004724BB">
        <w:rPr>
          <w:rFonts w:ascii="Arial" w:hAnsi="Arial" w:cs="Arial"/>
          <w:color w:val="1A1A1A"/>
        </w:rPr>
        <w:t>.</w:t>
      </w:r>
      <w:r>
        <w:t xml:space="preserve"> </w:t>
      </w:r>
    </w:p>
    <w:p w:rsidR="00260578" w:rsidRPr="00265DCB" w:rsidRDefault="0096074C" w:rsidP="00265DCB">
      <w:pPr>
        <w:pStyle w:val="ListParagraph"/>
        <w:widowControl w:val="0"/>
        <w:numPr>
          <w:ilvl w:val="1"/>
          <w:numId w:val="8"/>
        </w:numPr>
        <w:tabs>
          <w:tab w:val="left" w:pos="220"/>
          <w:tab w:val="left" w:pos="720"/>
        </w:tabs>
        <w:autoSpaceDE w:val="0"/>
        <w:autoSpaceDN w:val="0"/>
        <w:adjustRightInd w:val="0"/>
        <w:spacing w:after="0" w:line="360" w:lineRule="auto"/>
        <w:jc w:val="both"/>
        <w:rPr>
          <w:rFonts w:ascii="Arial" w:hAnsi="Arial" w:cs="Arial"/>
          <w:color w:val="1A1A1A"/>
        </w:rPr>
      </w:pPr>
      <w:r w:rsidRPr="004724BB">
        <w:rPr>
          <w:rFonts w:ascii="Arial" w:hAnsi="Arial" w:cs="Arial"/>
          <w:color w:val="1A1A1A"/>
        </w:rPr>
        <w:t>For several of the rare disease conditions more than one medication of the same class is now available. There is limited but increasing data on the relative effectiveness of the different medications</w:t>
      </w:r>
      <w:r w:rsidR="00D17778" w:rsidRPr="004724BB">
        <w:rPr>
          <w:rFonts w:ascii="Arial" w:hAnsi="Arial" w:cs="Arial"/>
          <w:color w:val="1A1A1A"/>
        </w:rPr>
        <w:t xml:space="preserve"> and rationale for differing dosage regimens</w:t>
      </w:r>
      <w:r w:rsidRPr="004724BB">
        <w:rPr>
          <w:rFonts w:ascii="Arial" w:hAnsi="Arial" w:cs="Arial"/>
          <w:color w:val="1A1A1A"/>
        </w:rPr>
        <w:t>. These are based on biomarkers i</w:t>
      </w:r>
      <w:r w:rsidR="00012A9C" w:rsidRPr="004724BB">
        <w:rPr>
          <w:rFonts w:ascii="Arial" w:hAnsi="Arial" w:cs="Arial"/>
          <w:color w:val="1A1A1A"/>
        </w:rPr>
        <w:t>.</w:t>
      </w:r>
      <w:r w:rsidRPr="004724BB">
        <w:rPr>
          <w:rFonts w:ascii="Arial" w:hAnsi="Arial" w:cs="Arial"/>
          <w:color w:val="1A1A1A"/>
        </w:rPr>
        <w:t>e</w:t>
      </w:r>
      <w:r w:rsidR="00012A9C" w:rsidRPr="004724BB">
        <w:rPr>
          <w:rFonts w:ascii="Arial" w:hAnsi="Arial" w:cs="Arial"/>
          <w:color w:val="1A1A1A"/>
        </w:rPr>
        <w:t>.</w:t>
      </w:r>
      <w:r w:rsidRPr="004724BB">
        <w:rPr>
          <w:rFonts w:ascii="Arial" w:hAnsi="Arial" w:cs="Arial"/>
          <w:color w:val="1A1A1A"/>
        </w:rPr>
        <w:t xml:space="preserve"> surrogate indicators only. If the available evidence does not show any relative effectiveness </w:t>
      </w:r>
      <w:r w:rsidR="004724BB" w:rsidRPr="004724BB">
        <w:rPr>
          <w:rFonts w:ascii="Arial" w:hAnsi="Arial" w:cs="Arial"/>
          <w:color w:val="1A1A1A"/>
        </w:rPr>
        <w:t xml:space="preserve">differences, then there are limited reasons as to why a less expensive medication within the same class should not be the treatment of choice and therefore preferred for any subsidy. </w:t>
      </w:r>
    </w:p>
    <w:p w:rsidR="00C70960" w:rsidRDefault="0096074C" w:rsidP="00265DCB">
      <w:pPr>
        <w:pStyle w:val="ListParagraph"/>
        <w:widowControl w:val="0"/>
        <w:numPr>
          <w:ilvl w:val="1"/>
          <w:numId w:val="8"/>
        </w:numPr>
        <w:tabs>
          <w:tab w:val="left" w:pos="220"/>
          <w:tab w:val="left" w:pos="720"/>
        </w:tabs>
        <w:autoSpaceDE w:val="0"/>
        <w:autoSpaceDN w:val="0"/>
        <w:adjustRightInd w:val="0"/>
        <w:spacing w:after="0" w:line="360" w:lineRule="auto"/>
        <w:jc w:val="both"/>
        <w:rPr>
          <w:rFonts w:ascii="Arial" w:hAnsi="Arial" w:cs="Arial"/>
          <w:color w:val="1A1A1A"/>
        </w:rPr>
      </w:pPr>
      <w:r w:rsidRPr="00C27B21">
        <w:rPr>
          <w:rFonts w:ascii="Arial" w:hAnsi="Arial" w:cs="Arial"/>
          <w:color w:val="1A1A1A"/>
        </w:rPr>
        <w:t xml:space="preserve">The Reference Group considered that there needs to be explicit and pre-agreed criteria for continued funding of drugs. These criteria specify the types of additional new </w:t>
      </w:r>
      <w:r w:rsidR="008937F2" w:rsidRPr="00C27B21">
        <w:rPr>
          <w:rFonts w:ascii="Arial" w:hAnsi="Arial" w:cs="Arial"/>
          <w:color w:val="1A1A1A"/>
        </w:rPr>
        <w:t>information that the sponsor will provide and the time frame for this to justify continued funding</w:t>
      </w:r>
      <w:r w:rsidR="00012A9C" w:rsidRPr="00C70960">
        <w:rPr>
          <w:rFonts w:ascii="Arial" w:hAnsi="Arial" w:cs="Arial"/>
          <w:color w:val="1A1A1A"/>
        </w:rPr>
        <w:t xml:space="preserve"> at</w:t>
      </w:r>
      <w:r w:rsidR="00012A9C">
        <w:t xml:space="preserve"> </w:t>
      </w:r>
      <w:r w:rsidR="00012A9C" w:rsidRPr="00012A9C">
        <w:rPr>
          <w:rFonts w:ascii="Arial" w:hAnsi="Arial" w:cs="Arial"/>
          <w:color w:val="1A1A1A"/>
        </w:rPr>
        <w:t xml:space="preserve">the time of </w:t>
      </w:r>
      <w:r w:rsidR="00012A9C">
        <w:rPr>
          <w:rFonts w:ascii="Arial" w:hAnsi="Arial" w:cs="Arial"/>
          <w:color w:val="1A1A1A"/>
        </w:rPr>
        <w:t>inclusion on any subsidy programme</w:t>
      </w:r>
      <w:r w:rsidR="008937F2" w:rsidRPr="00C27B21">
        <w:rPr>
          <w:rFonts w:ascii="Arial" w:hAnsi="Arial" w:cs="Arial"/>
          <w:color w:val="1A1A1A"/>
        </w:rPr>
        <w:t xml:space="preserve">. This additional information could </w:t>
      </w:r>
      <w:r w:rsidR="00012A9C">
        <w:rPr>
          <w:rFonts w:ascii="Arial" w:hAnsi="Arial" w:cs="Arial"/>
          <w:color w:val="1A1A1A"/>
        </w:rPr>
        <w:t>provide confirmatory</w:t>
      </w:r>
      <w:r w:rsidR="008937F2" w:rsidRPr="00C27B21">
        <w:rPr>
          <w:rFonts w:ascii="Arial" w:hAnsi="Arial" w:cs="Arial"/>
          <w:color w:val="1A1A1A"/>
        </w:rPr>
        <w:t xml:space="preserve"> evidence </w:t>
      </w:r>
    </w:p>
    <w:p w:rsidR="00CB5520" w:rsidRDefault="00CB5520" w:rsidP="00265DCB">
      <w:pPr>
        <w:pStyle w:val="ListParagraph"/>
        <w:widowControl w:val="0"/>
        <w:tabs>
          <w:tab w:val="left" w:pos="220"/>
          <w:tab w:val="left" w:pos="720"/>
        </w:tabs>
        <w:autoSpaceDE w:val="0"/>
        <w:autoSpaceDN w:val="0"/>
        <w:adjustRightInd w:val="0"/>
        <w:spacing w:after="0" w:line="360" w:lineRule="auto"/>
        <w:jc w:val="both"/>
        <w:rPr>
          <w:rFonts w:ascii="Arial" w:hAnsi="Arial" w:cs="Arial"/>
          <w:color w:val="1A1A1A"/>
        </w:rPr>
      </w:pPr>
      <w:proofErr w:type="gramStart"/>
      <w:r w:rsidRPr="00C27B21">
        <w:rPr>
          <w:rFonts w:ascii="Arial" w:hAnsi="Arial" w:cs="Arial"/>
          <w:color w:val="1A1A1A"/>
        </w:rPr>
        <w:t>of</w:t>
      </w:r>
      <w:proofErr w:type="gramEnd"/>
      <w:r w:rsidRPr="00C27B21">
        <w:rPr>
          <w:rFonts w:ascii="Arial" w:hAnsi="Arial" w:cs="Arial"/>
          <w:color w:val="1A1A1A"/>
        </w:rPr>
        <w:t xml:space="preserve"> the original benefits or provide supplementary evidence that the surrogate</w:t>
      </w:r>
    </w:p>
    <w:p w:rsidR="00265DCB" w:rsidRDefault="00CB5520" w:rsidP="00265DCB">
      <w:pPr>
        <w:pStyle w:val="ListParagraph"/>
        <w:widowControl w:val="0"/>
        <w:tabs>
          <w:tab w:val="left" w:pos="220"/>
          <w:tab w:val="left" w:pos="720"/>
        </w:tabs>
        <w:autoSpaceDE w:val="0"/>
        <w:autoSpaceDN w:val="0"/>
        <w:adjustRightInd w:val="0"/>
        <w:spacing w:after="0" w:line="360" w:lineRule="auto"/>
        <w:jc w:val="both"/>
        <w:rPr>
          <w:rFonts w:ascii="Arial" w:hAnsi="Arial" w:cs="Arial"/>
          <w:color w:val="1A1A1A"/>
        </w:rPr>
      </w:pPr>
      <w:proofErr w:type="gramStart"/>
      <w:r w:rsidRPr="00C27B21">
        <w:rPr>
          <w:rFonts w:ascii="Arial" w:hAnsi="Arial" w:cs="Arial"/>
          <w:color w:val="1A1A1A"/>
        </w:rPr>
        <w:t>or</w:t>
      </w:r>
      <w:proofErr w:type="gramEnd"/>
      <w:r w:rsidRPr="00C27B21">
        <w:rPr>
          <w:rFonts w:ascii="Arial" w:hAnsi="Arial" w:cs="Arial"/>
          <w:color w:val="1A1A1A"/>
        </w:rPr>
        <w:t xml:space="preserve"> biochemical markers used in original approval, convert to real health</w:t>
      </w:r>
      <w:r w:rsidR="00CF3EFC">
        <w:rPr>
          <w:rFonts w:ascii="Arial" w:hAnsi="Arial" w:cs="Arial"/>
          <w:color w:val="1A1A1A"/>
        </w:rPr>
        <w:t xml:space="preserve"> </w:t>
      </w:r>
      <w:r w:rsidR="00A5310B" w:rsidRPr="00CF3EFC">
        <w:rPr>
          <w:rFonts w:ascii="Arial" w:hAnsi="Arial" w:cs="Arial"/>
          <w:color w:val="1A1A1A"/>
        </w:rPr>
        <w:t>outcome improvements or maintenance of health. Where sponsors fail to</w:t>
      </w:r>
    </w:p>
    <w:p w:rsidR="004D30F6" w:rsidRPr="00C70960" w:rsidRDefault="00A5310B" w:rsidP="004D30F6">
      <w:pPr>
        <w:pStyle w:val="ListParagraph"/>
        <w:widowControl w:val="0"/>
        <w:tabs>
          <w:tab w:val="left" w:pos="220"/>
          <w:tab w:val="left" w:pos="720"/>
        </w:tabs>
        <w:autoSpaceDE w:val="0"/>
        <w:autoSpaceDN w:val="0"/>
        <w:adjustRightInd w:val="0"/>
        <w:spacing w:after="0" w:line="360" w:lineRule="auto"/>
        <w:jc w:val="both"/>
      </w:pPr>
      <w:proofErr w:type="gramStart"/>
      <w:r w:rsidRPr="00CF3EFC">
        <w:rPr>
          <w:rFonts w:ascii="Arial" w:hAnsi="Arial" w:cs="Arial"/>
          <w:color w:val="1A1A1A"/>
        </w:rPr>
        <w:t>provide</w:t>
      </w:r>
      <w:proofErr w:type="gramEnd"/>
      <w:r w:rsidRPr="00CF3EFC">
        <w:rPr>
          <w:rFonts w:ascii="Arial" w:hAnsi="Arial" w:cs="Arial"/>
          <w:color w:val="1A1A1A"/>
        </w:rPr>
        <w:t xml:space="preserve"> the agreed information, there should be an automatic and substantial</w:t>
      </w:r>
      <w:r w:rsidR="004D30F6" w:rsidRPr="004D30F6">
        <w:rPr>
          <w:rFonts w:ascii="Arial" w:hAnsi="Arial" w:cs="Arial"/>
          <w:color w:val="1A1A1A"/>
        </w:rPr>
        <w:t xml:space="preserve"> </w:t>
      </w:r>
      <w:r w:rsidR="004D30F6" w:rsidRPr="00CF3EFC">
        <w:rPr>
          <w:rFonts w:ascii="Arial" w:hAnsi="Arial" w:cs="Arial"/>
          <w:color w:val="1A1A1A"/>
        </w:rPr>
        <w:t xml:space="preserve">decrease in the price (e.g. of the order of a 50% reduction in the first instance and cessation of subsidy if evidence is not subsequently provided within 12 months). </w:t>
      </w:r>
    </w:p>
    <w:p w:rsidR="00265DCB" w:rsidRDefault="00265DCB" w:rsidP="00CF3EFC">
      <w:pPr>
        <w:pStyle w:val="ListParagraph"/>
        <w:widowControl w:val="0"/>
        <w:tabs>
          <w:tab w:val="left" w:pos="220"/>
          <w:tab w:val="left" w:pos="720"/>
        </w:tabs>
        <w:autoSpaceDE w:val="0"/>
        <w:autoSpaceDN w:val="0"/>
        <w:adjustRightInd w:val="0"/>
        <w:spacing w:after="0" w:line="360" w:lineRule="auto"/>
        <w:jc w:val="both"/>
        <w:rPr>
          <w:rFonts w:ascii="Arial" w:hAnsi="Arial" w:cs="Arial"/>
          <w:color w:val="1A1A1A"/>
        </w:rPr>
      </w:pPr>
    </w:p>
    <w:p w:rsidR="00A5310B" w:rsidRDefault="00A5310B" w:rsidP="00265DCB">
      <w:pPr>
        <w:pStyle w:val="Footer"/>
        <w:jc w:val="both"/>
        <w:rPr>
          <w:rFonts w:ascii="Calibri" w:hAnsi="Calibri"/>
          <w:sz w:val="20"/>
          <w:szCs w:val="20"/>
        </w:rPr>
      </w:pPr>
    </w:p>
    <w:p w:rsidR="00265DCB" w:rsidRPr="0076398B" w:rsidRDefault="00265DCB" w:rsidP="00265DCB">
      <w:pPr>
        <w:pStyle w:val="Footer"/>
        <w:jc w:val="both"/>
        <w:rPr>
          <w:rFonts w:ascii="Calibri" w:hAnsi="Calibri"/>
          <w:sz w:val="20"/>
          <w:szCs w:val="20"/>
        </w:rPr>
      </w:pPr>
      <w:r>
        <w:rPr>
          <w:rFonts w:ascii="Calibri" w:hAnsi="Calibri"/>
          <w:sz w:val="20"/>
          <w:szCs w:val="20"/>
        </w:rPr>
        <w:t>*</w:t>
      </w:r>
      <w:r w:rsidRPr="0076398B">
        <w:rPr>
          <w:rFonts w:ascii="Calibri" w:hAnsi="Calibri"/>
          <w:sz w:val="20"/>
          <w:szCs w:val="20"/>
        </w:rPr>
        <w:t xml:space="preserve">Managed entry schemes are </w:t>
      </w:r>
      <w:r w:rsidRPr="0076398B">
        <w:rPr>
          <w:rFonts w:ascii="Calibri" w:hAnsi="Calibri"/>
          <w:iCs/>
          <w:color w:val="222222"/>
          <w:sz w:val="20"/>
          <w:szCs w:val="20"/>
        </w:rPr>
        <w:t>mechanisms whereby the reimbursement authority may recommend a drug at a price justified by the existing evidence, pending submission of more conclusive evidence of cost-effectiveness to support listing of the drug at a higher price.</w:t>
      </w:r>
    </w:p>
    <w:p w:rsidR="00265DCB" w:rsidRPr="00265DCB" w:rsidRDefault="00265DCB" w:rsidP="00265DCB">
      <w:pPr>
        <w:widowControl w:val="0"/>
        <w:tabs>
          <w:tab w:val="left" w:pos="220"/>
          <w:tab w:val="left" w:pos="720"/>
        </w:tabs>
        <w:autoSpaceDE w:val="0"/>
        <w:autoSpaceDN w:val="0"/>
        <w:adjustRightInd w:val="0"/>
        <w:spacing w:after="0" w:line="360" w:lineRule="auto"/>
        <w:jc w:val="both"/>
        <w:rPr>
          <w:rFonts w:ascii="Arial" w:hAnsi="Arial" w:cs="Arial"/>
          <w:color w:val="1A1A1A"/>
        </w:rPr>
      </w:pPr>
    </w:p>
    <w:p w:rsidR="0096074C" w:rsidRPr="00A10598" w:rsidRDefault="0096074C" w:rsidP="008A4CEA">
      <w:pPr>
        <w:pStyle w:val="ListParagraph"/>
        <w:widowControl w:val="0"/>
        <w:numPr>
          <w:ilvl w:val="1"/>
          <w:numId w:val="8"/>
        </w:numPr>
        <w:tabs>
          <w:tab w:val="left" w:pos="220"/>
          <w:tab w:val="left" w:pos="720"/>
        </w:tabs>
        <w:autoSpaceDE w:val="0"/>
        <w:autoSpaceDN w:val="0"/>
        <w:adjustRightInd w:val="0"/>
        <w:spacing w:after="0" w:line="360" w:lineRule="auto"/>
        <w:jc w:val="both"/>
        <w:rPr>
          <w:rFonts w:ascii="Arial" w:hAnsi="Arial" w:cs="Arial"/>
          <w:color w:val="1A1A1A"/>
        </w:rPr>
      </w:pPr>
      <w:r w:rsidRPr="00A10598">
        <w:rPr>
          <w:rFonts w:ascii="Arial" w:hAnsi="Arial" w:cs="Arial"/>
          <w:color w:val="1A1A1A"/>
        </w:rPr>
        <w:t xml:space="preserve">For </w:t>
      </w:r>
      <w:r w:rsidRPr="00A10598">
        <w:rPr>
          <w:rFonts w:ascii="Arial" w:hAnsi="Arial" w:cs="Arial"/>
          <w:b/>
          <w:color w:val="1A1A1A"/>
        </w:rPr>
        <w:t xml:space="preserve">Type 1 </w:t>
      </w:r>
      <w:proofErr w:type="spellStart"/>
      <w:r w:rsidRPr="00A10598">
        <w:rPr>
          <w:rFonts w:ascii="Arial" w:hAnsi="Arial" w:cs="Arial"/>
          <w:b/>
          <w:color w:val="1A1A1A"/>
        </w:rPr>
        <w:t>Gaucher</w:t>
      </w:r>
      <w:proofErr w:type="spellEnd"/>
      <w:r w:rsidRPr="00A10598">
        <w:rPr>
          <w:rFonts w:ascii="Arial" w:hAnsi="Arial" w:cs="Arial"/>
          <w:b/>
          <w:color w:val="1A1A1A"/>
        </w:rPr>
        <w:t xml:space="preserve"> Disease</w:t>
      </w:r>
      <w:r w:rsidRPr="00A10598">
        <w:rPr>
          <w:rFonts w:ascii="Arial" w:hAnsi="Arial" w:cs="Arial"/>
          <w:color w:val="1A1A1A"/>
        </w:rPr>
        <w:t>, there was weak additional evidence of benefit</w:t>
      </w:r>
      <w:r>
        <w:rPr>
          <w:rFonts w:ascii="Arial" w:hAnsi="Arial" w:cs="Arial"/>
          <w:color w:val="1A1A1A"/>
        </w:rPr>
        <w:t xml:space="preserve"> (based on biomarker data only)</w:t>
      </w:r>
      <w:r w:rsidRPr="00A10598">
        <w:rPr>
          <w:rFonts w:ascii="Arial" w:hAnsi="Arial" w:cs="Arial"/>
          <w:color w:val="1A1A1A"/>
        </w:rPr>
        <w:t xml:space="preserve">. Available data </w:t>
      </w:r>
      <w:r>
        <w:rPr>
          <w:rFonts w:ascii="Arial" w:hAnsi="Arial" w:cs="Arial"/>
          <w:color w:val="1A1A1A"/>
        </w:rPr>
        <w:t xml:space="preserve">identified by the </w:t>
      </w:r>
      <w:r w:rsidR="00B6302E">
        <w:rPr>
          <w:rFonts w:ascii="Arial" w:hAnsi="Arial" w:cs="Arial"/>
          <w:color w:val="1A1A1A"/>
        </w:rPr>
        <w:t>E</w:t>
      </w:r>
      <w:r>
        <w:rPr>
          <w:rFonts w:ascii="Arial" w:hAnsi="Arial" w:cs="Arial"/>
          <w:color w:val="1A1A1A"/>
        </w:rPr>
        <w:t xml:space="preserve">valuation </w:t>
      </w:r>
      <w:r w:rsidR="00B6302E">
        <w:rPr>
          <w:rFonts w:ascii="Arial" w:hAnsi="Arial" w:cs="Arial"/>
          <w:color w:val="1A1A1A"/>
        </w:rPr>
        <w:t>G</w:t>
      </w:r>
      <w:r>
        <w:rPr>
          <w:rFonts w:ascii="Arial" w:hAnsi="Arial" w:cs="Arial"/>
          <w:color w:val="1A1A1A"/>
        </w:rPr>
        <w:t xml:space="preserve">roup in a systematic literature review </w:t>
      </w:r>
      <w:r w:rsidRPr="00A10598">
        <w:rPr>
          <w:rFonts w:ascii="Arial" w:hAnsi="Arial" w:cs="Arial"/>
          <w:color w:val="1A1A1A"/>
        </w:rPr>
        <w:t xml:space="preserve">indicates that </w:t>
      </w:r>
      <w:proofErr w:type="spellStart"/>
      <w:r w:rsidR="00B6302E">
        <w:rPr>
          <w:rFonts w:ascii="Arial" w:hAnsi="Arial" w:cs="Arial"/>
          <w:color w:val="1A1A1A"/>
        </w:rPr>
        <w:t>m</w:t>
      </w:r>
      <w:r w:rsidRPr="00A10598">
        <w:rPr>
          <w:rFonts w:ascii="Arial" w:hAnsi="Arial" w:cs="Arial"/>
          <w:color w:val="1A1A1A"/>
        </w:rPr>
        <w:t>iglustat</w:t>
      </w:r>
      <w:proofErr w:type="spellEnd"/>
      <w:r w:rsidRPr="00A10598">
        <w:rPr>
          <w:rFonts w:ascii="Arial" w:hAnsi="Arial" w:cs="Arial"/>
          <w:color w:val="1A1A1A"/>
        </w:rPr>
        <w:t xml:space="preserve"> is not as effective as </w:t>
      </w:r>
      <w:proofErr w:type="spellStart"/>
      <w:r w:rsidR="00B6302E">
        <w:rPr>
          <w:rFonts w:ascii="Arial" w:hAnsi="Arial" w:cs="Arial"/>
          <w:color w:val="1A1A1A"/>
        </w:rPr>
        <w:t>i</w:t>
      </w:r>
      <w:r w:rsidRPr="00A10598">
        <w:rPr>
          <w:rFonts w:ascii="Arial" w:hAnsi="Arial" w:cs="Arial"/>
          <w:color w:val="1A1A1A"/>
        </w:rPr>
        <w:t>miglucerase</w:t>
      </w:r>
      <w:proofErr w:type="spellEnd"/>
      <w:r w:rsidRPr="00A10598">
        <w:rPr>
          <w:rFonts w:ascii="Arial" w:hAnsi="Arial" w:cs="Arial"/>
          <w:color w:val="1A1A1A"/>
        </w:rPr>
        <w:t xml:space="preserve"> and </w:t>
      </w:r>
      <w:proofErr w:type="spellStart"/>
      <w:r w:rsidR="00B6302E">
        <w:rPr>
          <w:rFonts w:ascii="Arial" w:hAnsi="Arial" w:cs="Arial"/>
          <w:color w:val="1A1A1A"/>
        </w:rPr>
        <w:t>v</w:t>
      </w:r>
      <w:r w:rsidRPr="00A10598">
        <w:rPr>
          <w:rFonts w:ascii="Arial" w:hAnsi="Arial" w:cs="Arial"/>
          <w:color w:val="1A1A1A"/>
        </w:rPr>
        <w:t>elaglucerase</w:t>
      </w:r>
      <w:proofErr w:type="spellEnd"/>
      <w:r w:rsidRPr="00A10598">
        <w:rPr>
          <w:rFonts w:ascii="Arial" w:hAnsi="Arial" w:cs="Arial"/>
          <w:color w:val="1A1A1A"/>
        </w:rPr>
        <w:t>.</w:t>
      </w:r>
      <w:r>
        <w:rPr>
          <w:rFonts w:ascii="Arial" w:hAnsi="Arial" w:cs="Arial"/>
          <w:color w:val="1A1A1A"/>
        </w:rPr>
        <w:t xml:space="preserve"> </w:t>
      </w:r>
      <w:proofErr w:type="spellStart"/>
      <w:r>
        <w:rPr>
          <w:rFonts w:ascii="Arial" w:hAnsi="Arial" w:cs="Arial"/>
          <w:color w:val="1A1A1A"/>
        </w:rPr>
        <w:t>Miglustat</w:t>
      </w:r>
      <w:proofErr w:type="spellEnd"/>
      <w:r>
        <w:rPr>
          <w:rFonts w:ascii="Arial" w:hAnsi="Arial" w:cs="Arial"/>
          <w:color w:val="1A1A1A"/>
        </w:rPr>
        <w:t xml:space="preserve"> is associated with increased bone disease and adverse side effects (Trial OGT 918-004, </w:t>
      </w:r>
      <w:proofErr w:type="spellStart"/>
      <w:r>
        <w:rPr>
          <w:rFonts w:ascii="Arial" w:hAnsi="Arial" w:cs="Arial"/>
          <w:color w:val="1A1A1A"/>
        </w:rPr>
        <w:t>Elstein</w:t>
      </w:r>
      <w:proofErr w:type="spellEnd"/>
      <w:r>
        <w:rPr>
          <w:rFonts w:ascii="Arial" w:hAnsi="Arial" w:cs="Arial"/>
          <w:color w:val="1A1A1A"/>
        </w:rPr>
        <w:t>, D et al 2007, Evaluator’s report</w:t>
      </w:r>
      <w:r w:rsidR="004829E6">
        <w:rPr>
          <w:rFonts w:ascii="Arial" w:hAnsi="Arial" w:cs="Arial"/>
          <w:color w:val="1A1A1A"/>
        </w:rPr>
        <w:t>,</w:t>
      </w:r>
      <w:r>
        <w:rPr>
          <w:rFonts w:ascii="Arial" w:hAnsi="Arial" w:cs="Arial"/>
          <w:color w:val="1A1A1A"/>
        </w:rPr>
        <w:t xml:space="preserve"> p</w:t>
      </w:r>
      <w:r w:rsidR="007E6352">
        <w:rPr>
          <w:rFonts w:ascii="Arial" w:hAnsi="Arial" w:cs="Arial"/>
          <w:color w:val="1A1A1A"/>
        </w:rPr>
        <w:t>60</w:t>
      </w:r>
      <w:r>
        <w:rPr>
          <w:rFonts w:ascii="Arial" w:hAnsi="Arial" w:cs="Arial"/>
          <w:color w:val="1A1A1A"/>
        </w:rPr>
        <w:t xml:space="preserve">). </w:t>
      </w:r>
      <w:r w:rsidRPr="00A10598">
        <w:rPr>
          <w:rFonts w:ascii="Arial" w:hAnsi="Arial" w:cs="Arial"/>
          <w:color w:val="1A1A1A"/>
        </w:rPr>
        <w:t xml:space="preserve"> No Australian patients were listed</w:t>
      </w:r>
      <w:r>
        <w:rPr>
          <w:rFonts w:ascii="Arial" w:hAnsi="Arial" w:cs="Arial"/>
          <w:color w:val="1A1A1A"/>
        </w:rPr>
        <w:t xml:space="preserve"> currently</w:t>
      </w:r>
      <w:r w:rsidRPr="00A10598">
        <w:rPr>
          <w:rFonts w:ascii="Arial" w:hAnsi="Arial" w:cs="Arial"/>
          <w:color w:val="1A1A1A"/>
        </w:rPr>
        <w:t xml:space="preserve"> as receiving this medicati</w:t>
      </w:r>
      <w:r>
        <w:rPr>
          <w:rFonts w:ascii="Arial" w:hAnsi="Arial" w:cs="Arial"/>
          <w:color w:val="1A1A1A"/>
        </w:rPr>
        <w:t xml:space="preserve">on. </w:t>
      </w:r>
      <w:proofErr w:type="spellStart"/>
      <w:r>
        <w:rPr>
          <w:rFonts w:ascii="Arial" w:hAnsi="Arial" w:cs="Arial"/>
          <w:color w:val="1A1A1A"/>
        </w:rPr>
        <w:t>Imiglucerase</w:t>
      </w:r>
      <w:proofErr w:type="spellEnd"/>
      <w:r>
        <w:rPr>
          <w:rFonts w:ascii="Arial" w:hAnsi="Arial" w:cs="Arial"/>
          <w:color w:val="1A1A1A"/>
        </w:rPr>
        <w:t xml:space="preserve">, </w:t>
      </w:r>
      <w:proofErr w:type="spellStart"/>
      <w:r>
        <w:rPr>
          <w:rFonts w:ascii="Arial" w:hAnsi="Arial" w:cs="Arial"/>
          <w:color w:val="1A1A1A"/>
        </w:rPr>
        <w:t>velaglucerase</w:t>
      </w:r>
      <w:proofErr w:type="spellEnd"/>
      <w:r>
        <w:rPr>
          <w:rFonts w:ascii="Arial" w:hAnsi="Arial" w:cs="Arial"/>
          <w:color w:val="1A1A1A"/>
        </w:rPr>
        <w:t xml:space="preserve">, and (yet to be subsidised) </w:t>
      </w:r>
      <w:proofErr w:type="spellStart"/>
      <w:r>
        <w:rPr>
          <w:rFonts w:ascii="Arial" w:hAnsi="Arial" w:cs="Arial"/>
          <w:color w:val="1A1A1A"/>
        </w:rPr>
        <w:t>taliglucerase</w:t>
      </w:r>
      <w:proofErr w:type="spellEnd"/>
      <w:r>
        <w:rPr>
          <w:rFonts w:ascii="Arial" w:hAnsi="Arial" w:cs="Arial"/>
          <w:color w:val="1A1A1A"/>
        </w:rPr>
        <w:t xml:space="preserve"> </w:t>
      </w:r>
      <w:r w:rsidRPr="00A10598">
        <w:rPr>
          <w:rFonts w:ascii="Arial" w:hAnsi="Arial" w:cs="Arial"/>
          <w:color w:val="1A1A1A"/>
        </w:rPr>
        <w:t xml:space="preserve">appear to have similar effectiveness. </w:t>
      </w:r>
    </w:p>
    <w:p w:rsidR="0096074C" w:rsidRPr="00A10598" w:rsidRDefault="0096074C" w:rsidP="008A4CEA">
      <w:pPr>
        <w:pStyle w:val="ListParagraph"/>
        <w:widowControl w:val="0"/>
        <w:numPr>
          <w:ilvl w:val="1"/>
          <w:numId w:val="8"/>
        </w:numPr>
        <w:tabs>
          <w:tab w:val="left" w:pos="220"/>
          <w:tab w:val="left" w:pos="720"/>
        </w:tabs>
        <w:autoSpaceDE w:val="0"/>
        <w:autoSpaceDN w:val="0"/>
        <w:adjustRightInd w:val="0"/>
        <w:spacing w:after="0" w:line="360" w:lineRule="auto"/>
        <w:jc w:val="both"/>
        <w:rPr>
          <w:rFonts w:ascii="Arial" w:hAnsi="Arial" w:cs="Arial"/>
          <w:color w:val="1A1A1A"/>
        </w:rPr>
      </w:pPr>
      <w:r w:rsidRPr="00A10598">
        <w:rPr>
          <w:rFonts w:ascii="Arial" w:hAnsi="Arial" w:cs="Arial"/>
          <w:color w:val="1A1A1A"/>
        </w:rPr>
        <w:t xml:space="preserve"> For </w:t>
      </w:r>
      <w:r w:rsidRPr="00A10598">
        <w:rPr>
          <w:rFonts w:ascii="Arial" w:hAnsi="Arial" w:cs="Arial"/>
          <w:b/>
          <w:color w:val="1A1A1A"/>
        </w:rPr>
        <w:t xml:space="preserve">Type 1 </w:t>
      </w:r>
      <w:proofErr w:type="spellStart"/>
      <w:r w:rsidRPr="00A10598">
        <w:rPr>
          <w:rFonts w:ascii="Arial" w:hAnsi="Arial" w:cs="Arial"/>
          <w:b/>
          <w:color w:val="1A1A1A"/>
        </w:rPr>
        <w:t>Gaucher</w:t>
      </w:r>
      <w:proofErr w:type="spellEnd"/>
      <w:r w:rsidRPr="00A10598">
        <w:rPr>
          <w:rFonts w:ascii="Arial" w:hAnsi="Arial" w:cs="Arial"/>
          <w:b/>
          <w:color w:val="1A1A1A"/>
        </w:rPr>
        <w:t xml:space="preserve"> Disease</w:t>
      </w:r>
      <w:r w:rsidRPr="00A10598">
        <w:rPr>
          <w:rFonts w:ascii="Arial" w:hAnsi="Arial" w:cs="Arial"/>
          <w:color w:val="1A1A1A"/>
        </w:rPr>
        <w:t xml:space="preserve">, continued neurological deterioration </w:t>
      </w:r>
      <w:r>
        <w:rPr>
          <w:rFonts w:ascii="Arial" w:hAnsi="Arial" w:cs="Arial"/>
          <w:color w:val="1A1A1A"/>
        </w:rPr>
        <w:t xml:space="preserve">in the patient </w:t>
      </w:r>
      <w:r w:rsidRPr="00A10598">
        <w:rPr>
          <w:rFonts w:ascii="Arial" w:hAnsi="Arial" w:cs="Arial"/>
          <w:color w:val="1A1A1A"/>
        </w:rPr>
        <w:t>is an indication that therapy is highly unlikely to have long term benefits.</w:t>
      </w:r>
    </w:p>
    <w:p w:rsidR="0096074C" w:rsidRPr="00A10598" w:rsidRDefault="0096074C" w:rsidP="008A4CEA">
      <w:pPr>
        <w:pStyle w:val="ListParagraph"/>
        <w:widowControl w:val="0"/>
        <w:numPr>
          <w:ilvl w:val="1"/>
          <w:numId w:val="8"/>
        </w:numPr>
        <w:tabs>
          <w:tab w:val="left" w:pos="220"/>
          <w:tab w:val="left" w:pos="720"/>
        </w:tabs>
        <w:autoSpaceDE w:val="0"/>
        <w:autoSpaceDN w:val="0"/>
        <w:adjustRightInd w:val="0"/>
        <w:spacing w:after="0" w:line="360" w:lineRule="auto"/>
        <w:jc w:val="both"/>
        <w:rPr>
          <w:rFonts w:ascii="Arial" w:hAnsi="Arial" w:cs="Arial"/>
          <w:color w:val="1A1A1A"/>
        </w:rPr>
      </w:pPr>
      <w:r w:rsidRPr="00A10598">
        <w:rPr>
          <w:rFonts w:ascii="Arial" w:hAnsi="Arial" w:cs="Arial"/>
          <w:color w:val="1A1A1A"/>
        </w:rPr>
        <w:t xml:space="preserve">For </w:t>
      </w:r>
      <w:r w:rsidRPr="00A10598">
        <w:rPr>
          <w:rFonts w:ascii="Arial" w:hAnsi="Arial" w:cs="Arial"/>
          <w:b/>
          <w:color w:val="1A1A1A"/>
        </w:rPr>
        <w:t>Fabry Disease</w:t>
      </w:r>
      <w:r w:rsidRPr="00A10598">
        <w:rPr>
          <w:rFonts w:ascii="Arial" w:hAnsi="Arial" w:cs="Arial"/>
          <w:color w:val="1A1A1A"/>
        </w:rPr>
        <w:t xml:space="preserve">, no additional substantive evidence </w:t>
      </w:r>
      <w:r w:rsidR="00B6302E">
        <w:rPr>
          <w:rFonts w:ascii="Arial" w:hAnsi="Arial" w:cs="Arial"/>
          <w:color w:val="1A1A1A"/>
        </w:rPr>
        <w:t xml:space="preserve">beyond that considered in the original evaluation </w:t>
      </w:r>
      <w:r w:rsidRPr="00A10598">
        <w:rPr>
          <w:rFonts w:ascii="Arial" w:hAnsi="Arial" w:cs="Arial"/>
          <w:color w:val="1A1A1A"/>
        </w:rPr>
        <w:t xml:space="preserve">was found </w:t>
      </w:r>
      <w:r w:rsidR="00B6302E">
        <w:rPr>
          <w:rFonts w:ascii="Arial" w:hAnsi="Arial" w:cs="Arial"/>
          <w:color w:val="1A1A1A"/>
        </w:rPr>
        <w:t>for</w:t>
      </w:r>
      <w:r w:rsidRPr="00A10598">
        <w:rPr>
          <w:rFonts w:ascii="Arial" w:hAnsi="Arial" w:cs="Arial"/>
          <w:color w:val="1A1A1A"/>
        </w:rPr>
        <w:t xml:space="preserve"> eff</w:t>
      </w:r>
      <w:r>
        <w:rPr>
          <w:rFonts w:ascii="Arial" w:hAnsi="Arial" w:cs="Arial"/>
          <w:color w:val="1A1A1A"/>
        </w:rPr>
        <w:t xml:space="preserve">iciency </w:t>
      </w:r>
      <w:r w:rsidR="00B6302E">
        <w:rPr>
          <w:rFonts w:ascii="Arial" w:hAnsi="Arial" w:cs="Arial"/>
          <w:color w:val="1A1A1A"/>
        </w:rPr>
        <w:t>in</w:t>
      </w:r>
      <w:r>
        <w:rPr>
          <w:rFonts w:ascii="Arial" w:hAnsi="Arial" w:cs="Arial"/>
          <w:color w:val="1A1A1A"/>
        </w:rPr>
        <w:t xml:space="preserve"> the existing subsidised drugs.</w:t>
      </w:r>
      <w:r w:rsidRPr="00A10598">
        <w:rPr>
          <w:rFonts w:ascii="Arial" w:hAnsi="Arial" w:cs="Arial"/>
          <w:color w:val="1A1A1A"/>
        </w:rPr>
        <w:t xml:space="preserve"> The available evidence indicates that </w:t>
      </w:r>
      <w:proofErr w:type="spellStart"/>
      <w:r>
        <w:rPr>
          <w:rFonts w:ascii="Arial" w:hAnsi="Arial" w:cs="Arial"/>
          <w:color w:val="1A1A1A"/>
        </w:rPr>
        <w:t>a</w:t>
      </w:r>
      <w:r w:rsidRPr="00A10598">
        <w:rPr>
          <w:rFonts w:ascii="Arial" w:hAnsi="Arial" w:cs="Arial"/>
          <w:color w:val="1A1A1A"/>
        </w:rPr>
        <w:t>galsidase</w:t>
      </w:r>
      <w:proofErr w:type="spellEnd"/>
      <w:r w:rsidRPr="00A10598">
        <w:rPr>
          <w:rFonts w:ascii="Arial" w:hAnsi="Arial" w:cs="Arial"/>
          <w:color w:val="1A1A1A"/>
        </w:rPr>
        <w:t xml:space="preserve"> </w:t>
      </w:r>
      <w:proofErr w:type="spellStart"/>
      <w:r w:rsidRPr="00A10598">
        <w:rPr>
          <w:rFonts w:ascii="Arial" w:hAnsi="Arial" w:cs="Arial"/>
          <w:color w:val="1A1A1A"/>
        </w:rPr>
        <w:t>alfa</w:t>
      </w:r>
      <w:proofErr w:type="spellEnd"/>
      <w:r w:rsidRPr="00A10598">
        <w:rPr>
          <w:rFonts w:ascii="Arial" w:hAnsi="Arial" w:cs="Arial"/>
          <w:color w:val="1A1A1A"/>
        </w:rPr>
        <w:t xml:space="preserve"> and </w:t>
      </w:r>
      <w:proofErr w:type="spellStart"/>
      <w:r>
        <w:rPr>
          <w:rFonts w:ascii="Arial" w:hAnsi="Arial" w:cs="Arial"/>
          <w:color w:val="1A1A1A"/>
        </w:rPr>
        <w:t>agalsidase</w:t>
      </w:r>
      <w:proofErr w:type="spellEnd"/>
      <w:r>
        <w:rPr>
          <w:rFonts w:ascii="Arial" w:hAnsi="Arial" w:cs="Arial"/>
          <w:color w:val="1A1A1A"/>
        </w:rPr>
        <w:t xml:space="preserve"> </w:t>
      </w:r>
      <w:r w:rsidRPr="00A10598">
        <w:rPr>
          <w:rFonts w:ascii="Arial" w:hAnsi="Arial" w:cs="Arial"/>
          <w:color w:val="1A1A1A"/>
        </w:rPr>
        <w:t xml:space="preserve">beta </w:t>
      </w:r>
      <w:r>
        <w:rPr>
          <w:rFonts w:ascii="Arial" w:hAnsi="Arial" w:cs="Arial"/>
          <w:color w:val="1A1A1A"/>
        </w:rPr>
        <w:t xml:space="preserve">are </w:t>
      </w:r>
      <w:r w:rsidRPr="00A10598">
        <w:rPr>
          <w:rFonts w:ascii="Arial" w:hAnsi="Arial" w:cs="Arial"/>
          <w:color w:val="1A1A1A"/>
        </w:rPr>
        <w:t xml:space="preserve">similar </w:t>
      </w:r>
      <w:r>
        <w:rPr>
          <w:rFonts w:ascii="Arial" w:hAnsi="Arial" w:cs="Arial"/>
          <w:color w:val="1A1A1A"/>
        </w:rPr>
        <w:t xml:space="preserve">in </w:t>
      </w:r>
      <w:r w:rsidRPr="00A10598">
        <w:rPr>
          <w:rFonts w:ascii="Arial" w:hAnsi="Arial" w:cs="Arial"/>
          <w:color w:val="1A1A1A"/>
        </w:rPr>
        <w:t>effectiveness</w:t>
      </w:r>
      <w:r>
        <w:rPr>
          <w:rFonts w:ascii="Arial" w:hAnsi="Arial" w:cs="Arial"/>
          <w:color w:val="1A1A1A"/>
        </w:rPr>
        <w:t xml:space="preserve"> (</w:t>
      </w:r>
      <w:proofErr w:type="spellStart"/>
      <w:r>
        <w:rPr>
          <w:rFonts w:ascii="Arial" w:hAnsi="Arial" w:cs="Arial"/>
          <w:color w:val="1A1A1A"/>
        </w:rPr>
        <w:t>Vedder</w:t>
      </w:r>
      <w:proofErr w:type="spellEnd"/>
      <w:r>
        <w:rPr>
          <w:rFonts w:ascii="Arial" w:hAnsi="Arial" w:cs="Arial"/>
          <w:color w:val="1A1A1A"/>
        </w:rPr>
        <w:t xml:space="preserve"> et al 2007, see Evaluator’s report, p</w:t>
      </w:r>
      <w:r w:rsidR="007E6352">
        <w:rPr>
          <w:rFonts w:ascii="Arial" w:hAnsi="Arial" w:cs="Arial"/>
          <w:color w:val="1A1A1A"/>
        </w:rPr>
        <w:t>23</w:t>
      </w:r>
      <w:r>
        <w:rPr>
          <w:rFonts w:ascii="Arial" w:hAnsi="Arial" w:cs="Arial"/>
          <w:color w:val="1A1A1A"/>
        </w:rPr>
        <w:t xml:space="preserve"> and p</w:t>
      </w:r>
      <w:r w:rsidR="007E6352">
        <w:rPr>
          <w:rFonts w:ascii="Arial" w:hAnsi="Arial" w:cs="Arial"/>
          <w:color w:val="1A1A1A"/>
        </w:rPr>
        <w:t>94</w:t>
      </w:r>
      <w:r>
        <w:rPr>
          <w:rFonts w:ascii="Arial" w:hAnsi="Arial" w:cs="Arial"/>
          <w:color w:val="1A1A1A"/>
        </w:rPr>
        <w:t>).</w:t>
      </w:r>
      <w:r w:rsidRPr="00A10598">
        <w:rPr>
          <w:rFonts w:ascii="Arial" w:hAnsi="Arial" w:cs="Arial"/>
          <w:color w:val="1A1A1A"/>
        </w:rPr>
        <w:t xml:space="preserve"> </w:t>
      </w:r>
    </w:p>
    <w:p w:rsidR="0096074C" w:rsidRPr="00A10598" w:rsidRDefault="0096074C" w:rsidP="008A4CEA">
      <w:pPr>
        <w:pStyle w:val="ListParagraph"/>
        <w:widowControl w:val="0"/>
        <w:numPr>
          <w:ilvl w:val="1"/>
          <w:numId w:val="8"/>
        </w:numPr>
        <w:tabs>
          <w:tab w:val="left" w:pos="220"/>
          <w:tab w:val="left" w:pos="720"/>
        </w:tabs>
        <w:autoSpaceDE w:val="0"/>
        <w:autoSpaceDN w:val="0"/>
        <w:adjustRightInd w:val="0"/>
        <w:spacing w:after="0" w:line="360" w:lineRule="auto"/>
        <w:jc w:val="both"/>
        <w:rPr>
          <w:rFonts w:ascii="Arial" w:hAnsi="Arial" w:cs="Arial"/>
          <w:color w:val="1A1A1A"/>
        </w:rPr>
      </w:pPr>
      <w:r w:rsidRPr="00A10598">
        <w:rPr>
          <w:rFonts w:ascii="Arial" w:hAnsi="Arial" w:cs="Arial"/>
          <w:color w:val="1A1A1A"/>
        </w:rPr>
        <w:t xml:space="preserve">For </w:t>
      </w:r>
      <w:r w:rsidRPr="00A10598">
        <w:rPr>
          <w:rFonts w:ascii="Arial" w:hAnsi="Arial" w:cs="Arial"/>
          <w:b/>
          <w:color w:val="1A1A1A"/>
        </w:rPr>
        <w:t>Infantile Onset Pompe Disease</w:t>
      </w:r>
      <w:r w:rsidRPr="00A10598">
        <w:rPr>
          <w:rFonts w:ascii="Arial" w:hAnsi="Arial" w:cs="Arial"/>
          <w:color w:val="1A1A1A"/>
        </w:rPr>
        <w:t>, there is weak additional evidence of benefit</w:t>
      </w:r>
      <w:r>
        <w:rPr>
          <w:rFonts w:ascii="Arial" w:hAnsi="Arial" w:cs="Arial"/>
          <w:color w:val="1A1A1A"/>
        </w:rPr>
        <w:t xml:space="preserve"> (</w:t>
      </w:r>
      <w:proofErr w:type="spellStart"/>
      <w:r>
        <w:rPr>
          <w:rFonts w:ascii="Arial" w:hAnsi="Arial" w:cs="Arial"/>
          <w:color w:val="1A1A1A"/>
        </w:rPr>
        <w:t>Kishnani</w:t>
      </w:r>
      <w:proofErr w:type="spellEnd"/>
      <w:r>
        <w:rPr>
          <w:rFonts w:ascii="Arial" w:hAnsi="Arial" w:cs="Arial"/>
          <w:color w:val="1A1A1A"/>
        </w:rPr>
        <w:t xml:space="preserve"> et al, 2009; </w:t>
      </w:r>
      <w:proofErr w:type="spellStart"/>
      <w:r>
        <w:rPr>
          <w:rFonts w:ascii="Arial" w:hAnsi="Arial" w:cs="Arial"/>
          <w:color w:val="1A1A1A"/>
        </w:rPr>
        <w:t>Nicolino</w:t>
      </w:r>
      <w:proofErr w:type="spellEnd"/>
      <w:r>
        <w:rPr>
          <w:rFonts w:ascii="Arial" w:hAnsi="Arial" w:cs="Arial"/>
          <w:color w:val="1A1A1A"/>
        </w:rPr>
        <w:t xml:space="preserve"> et al 2009, </w:t>
      </w:r>
      <w:proofErr w:type="spellStart"/>
      <w:r>
        <w:rPr>
          <w:rFonts w:ascii="Arial" w:hAnsi="Arial" w:cs="Arial"/>
          <w:color w:val="1A1A1A"/>
        </w:rPr>
        <w:t>Chien</w:t>
      </w:r>
      <w:proofErr w:type="spellEnd"/>
      <w:r>
        <w:rPr>
          <w:rFonts w:ascii="Arial" w:hAnsi="Arial" w:cs="Arial"/>
          <w:color w:val="1A1A1A"/>
        </w:rPr>
        <w:t xml:space="preserve"> et al 2009, Evaluat</w:t>
      </w:r>
      <w:r w:rsidR="001C40B9">
        <w:rPr>
          <w:rFonts w:ascii="Arial" w:hAnsi="Arial" w:cs="Arial"/>
          <w:color w:val="1A1A1A"/>
        </w:rPr>
        <w:t>or’s</w:t>
      </w:r>
      <w:r w:rsidR="00B6302E">
        <w:rPr>
          <w:rFonts w:ascii="Arial" w:hAnsi="Arial" w:cs="Arial"/>
          <w:color w:val="1A1A1A"/>
        </w:rPr>
        <w:t xml:space="preserve"> </w:t>
      </w:r>
      <w:r>
        <w:rPr>
          <w:rFonts w:ascii="Arial" w:hAnsi="Arial" w:cs="Arial"/>
          <w:color w:val="1A1A1A"/>
        </w:rPr>
        <w:t>report</w:t>
      </w:r>
      <w:r w:rsidR="004829E6">
        <w:rPr>
          <w:rFonts w:ascii="Arial" w:hAnsi="Arial" w:cs="Arial"/>
          <w:color w:val="1A1A1A"/>
        </w:rPr>
        <w:t>,</w:t>
      </w:r>
      <w:r>
        <w:rPr>
          <w:rFonts w:ascii="Arial" w:hAnsi="Arial" w:cs="Arial"/>
          <w:color w:val="1A1A1A"/>
        </w:rPr>
        <w:t xml:space="preserve"> </w:t>
      </w:r>
      <w:proofErr w:type="gramStart"/>
      <w:r>
        <w:rPr>
          <w:rFonts w:ascii="Arial" w:hAnsi="Arial" w:cs="Arial"/>
          <w:color w:val="1A1A1A"/>
        </w:rPr>
        <w:t>p1</w:t>
      </w:r>
      <w:r w:rsidR="007E6352">
        <w:rPr>
          <w:rFonts w:ascii="Arial" w:hAnsi="Arial" w:cs="Arial"/>
          <w:color w:val="1A1A1A"/>
        </w:rPr>
        <w:t>14</w:t>
      </w:r>
      <w:proofErr w:type="gramEnd"/>
      <w:r>
        <w:rPr>
          <w:rFonts w:ascii="Arial" w:hAnsi="Arial" w:cs="Arial"/>
          <w:color w:val="1A1A1A"/>
        </w:rPr>
        <w:t>-1</w:t>
      </w:r>
      <w:r w:rsidR="007E6352">
        <w:rPr>
          <w:rFonts w:ascii="Arial" w:hAnsi="Arial" w:cs="Arial"/>
          <w:color w:val="1A1A1A"/>
        </w:rPr>
        <w:t>15</w:t>
      </w:r>
      <w:r>
        <w:rPr>
          <w:rFonts w:ascii="Arial" w:hAnsi="Arial" w:cs="Arial"/>
          <w:color w:val="1A1A1A"/>
        </w:rPr>
        <w:t>)</w:t>
      </w:r>
      <w:r w:rsidRPr="00A10598">
        <w:rPr>
          <w:rFonts w:ascii="Arial" w:hAnsi="Arial" w:cs="Arial"/>
          <w:color w:val="1A1A1A"/>
        </w:rPr>
        <w:t xml:space="preserve">. </w:t>
      </w:r>
      <w:r w:rsidR="00D17778">
        <w:rPr>
          <w:rFonts w:ascii="Arial" w:hAnsi="Arial" w:cs="Arial"/>
          <w:color w:val="1A1A1A"/>
        </w:rPr>
        <w:t xml:space="preserve">There is clear evidence of the need for documentation of Cross Reacting Material Status (CRIM status) as this is a predictor of indication for therapy, response to therapy and usually of the patient. There is evidence for the need for dose escalation and </w:t>
      </w:r>
      <w:proofErr w:type="spellStart"/>
      <w:r w:rsidR="00D17778">
        <w:rPr>
          <w:rFonts w:ascii="Arial" w:hAnsi="Arial" w:cs="Arial"/>
          <w:color w:val="1A1A1A"/>
        </w:rPr>
        <w:t>rduced</w:t>
      </w:r>
      <w:proofErr w:type="spellEnd"/>
      <w:r w:rsidR="00D17778">
        <w:rPr>
          <w:rFonts w:ascii="Arial" w:hAnsi="Arial" w:cs="Arial"/>
          <w:color w:val="1A1A1A"/>
        </w:rPr>
        <w:t xml:space="preserve"> efficacy over time.</w:t>
      </w:r>
    </w:p>
    <w:p w:rsidR="0096074C" w:rsidRPr="00A10598" w:rsidRDefault="0096074C" w:rsidP="008A4CEA">
      <w:pPr>
        <w:pStyle w:val="ListParagraph"/>
        <w:widowControl w:val="0"/>
        <w:numPr>
          <w:ilvl w:val="1"/>
          <w:numId w:val="8"/>
        </w:numPr>
        <w:tabs>
          <w:tab w:val="left" w:pos="220"/>
          <w:tab w:val="left" w:pos="720"/>
        </w:tabs>
        <w:autoSpaceDE w:val="0"/>
        <w:autoSpaceDN w:val="0"/>
        <w:adjustRightInd w:val="0"/>
        <w:spacing w:after="0" w:line="360" w:lineRule="auto"/>
        <w:jc w:val="both"/>
        <w:rPr>
          <w:rFonts w:ascii="Arial" w:hAnsi="Arial" w:cs="Arial"/>
          <w:color w:val="1A1A1A"/>
        </w:rPr>
      </w:pPr>
      <w:r w:rsidRPr="00A10598">
        <w:rPr>
          <w:rFonts w:ascii="Arial" w:hAnsi="Arial" w:cs="Arial"/>
          <w:color w:val="1A1A1A"/>
        </w:rPr>
        <w:t xml:space="preserve">For the </w:t>
      </w:r>
      <w:proofErr w:type="spellStart"/>
      <w:r w:rsidRPr="00A10598">
        <w:rPr>
          <w:rFonts w:ascii="Arial" w:hAnsi="Arial" w:cs="Arial"/>
          <w:b/>
          <w:color w:val="1A1A1A"/>
        </w:rPr>
        <w:t>Mucopolysaccharidos</w:t>
      </w:r>
      <w:r w:rsidR="00D17778">
        <w:rPr>
          <w:rFonts w:ascii="Arial" w:hAnsi="Arial" w:cs="Arial"/>
          <w:b/>
          <w:color w:val="1A1A1A"/>
        </w:rPr>
        <w:t>e</w:t>
      </w:r>
      <w:r w:rsidRPr="00A10598">
        <w:rPr>
          <w:rFonts w:ascii="Arial" w:hAnsi="Arial" w:cs="Arial"/>
          <w:b/>
          <w:color w:val="1A1A1A"/>
        </w:rPr>
        <w:t>s</w:t>
      </w:r>
      <w:proofErr w:type="spellEnd"/>
      <w:r w:rsidRPr="00A10598">
        <w:rPr>
          <w:rFonts w:ascii="Arial" w:hAnsi="Arial" w:cs="Arial"/>
          <w:color w:val="1A1A1A"/>
        </w:rPr>
        <w:t xml:space="preserve"> (MPS</w:t>
      </w:r>
      <w:r>
        <w:rPr>
          <w:rFonts w:ascii="Arial" w:hAnsi="Arial" w:cs="Arial"/>
          <w:color w:val="1A1A1A"/>
        </w:rPr>
        <w:t xml:space="preserve"> I, II and IV</w:t>
      </w:r>
      <w:r w:rsidRPr="00A10598">
        <w:rPr>
          <w:rFonts w:ascii="Arial" w:hAnsi="Arial" w:cs="Arial"/>
          <w:color w:val="1A1A1A"/>
        </w:rPr>
        <w:t xml:space="preserve">), there was no significant additional evidence of </w:t>
      </w:r>
      <w:r>
        <w:rPr>
          <w:rFonts w:ascii="Arial" w:hAnsi="Arial" w:cs="Arial"/>
          <w:color w:val="1A1A1A"/>
        </w:rPr>
        <w:t xml:space="preserve">efficacy for existing subsidised drugs’ </w:t>
      </w:r>
      <w:r w:rsidRPr="00A10598">
        <w:rPr>
          <w:rFonts w:ascii="Arial" w:hAnsi="Arial" w:cs="Arial"/>
          <w:color w:val="1A1A1A"/>
        </w:rPr>
        <w:t>effectiveness or ineffectiveness</w:t>
      </w:r>
      <w:r>
        <w:rPr>
          <w:rFonts w:ascii="Arial" w:hAnsi="Arial" w:cs="Arial"/>
          <w:color w:val="1A1A1A"/>
        </w:rPr>
        <w:t xml:space="preserve"> (Evaluat</w:t>
      </w:r>
      <w:r w:rsidR="001C40B9">
        <w:rPr>
          <w:rFonts w:ascii="Arial" w:hAnsi="Arial" w:cs="Arial"/>
          <w:color w:val="1A1A1A"/>
        </w:rPr>
        <w:t>or’s</w:t>
      </w:r>
      <w:r w:rsidR="00B6302E">
        <w:rPr>
          <w:rFonts w:ascii="Arial" w:hAnsi="Arial" w:cs="Arial"/>
          <w:color w:val="1A1A1A"/>
        </w:rPr>
        <w:t xml:space="preserve"> </w:t>
      </w:r>
      <w:r w:rsidR="001C40B9">
        <w:rPr>
          <w:rFonts w:ascii="Arial" w:hAnsi="Arial" w:cs="Arial"/>
          <w:color w:val="1A1A1A"/>
        </w:rPr>
        <w:t>report</w:t>
      </w:r>
      <w:proofErr w:type="gramStart"/>
      <w:r>
        <w:rPr>
          <w:rFonts w:ascii="Arial" w:hAnsi="Arial" w:cs="Arial"/>
          <w:color w:val="1A1A1A"/>
        </w:rPr>
        <w:t>,</w:t>
      </w:r>
      <w:r w:rsidR="001C40B9">
        <w:rPr>
          <w:rFonts w:ascii="Arial" w:hAnsi="Arial" w:cs="Arial"/>
          <w:color w:val="1A1A1A"/>
        </w:rPr>
        <w:t>,</w:t>
      </w:r>
      <w:proofErr w:type="gramEnd"/>
      <w:r w:rsidR="001C40B9">
        <w:rPr>
          <w:rFonts w:ascii="Arial" w:hAnsi="Arial" w:cs="Arial"/>
          <w:color w:val="1A1A1A"/>
        </w:rPr>
        <w:t xml:space="preserve"> p1</w:t>
      </w:r>
      <w:r w:rsidR="001E1441">
        <w:rPr>
          <w:rFonts w:ascii="Arial" w:hAnsi="Arial" w:cs="Arial"/>
          <w:color w:val="1A1A1A"/>
        </w:rPr>
        <w:t>50</w:t>
      </w:r>
      <w:r w:rsidR="001C40B9">
        <w:rPr>
          <w:rFonts w:ascii="Arial" w:hAnsi="Arial" w:cs="Arial"/>
          <w:color w:val="1A1A1A"/>
        </w:rPr>
        <w:t>-1</w:t>
      </w:r>
      <w:r w:rsidR="001E1441">
        <w:rPr>
          <w:rFonts w:ascii="Arial" w:hAnsi="Arial" w:cs="Arial"/>
          <w:color w:val="1A1A1A"/>
        </w:rPr>
        <w:t>51</w:t>
      </w:r>
      <w:r>
        <w:rPr>
          <w:rFonts w:ascii="Arial" w:hAnsi="Arial" w:cs="Arial"/>
          <w:color w:val="1A1A1A"/>
        </w:rPr>
        <w:t>)</w:t>
      </w:r>
      <w:r w:rsidRPr="00A10598">
        <w:rPr>
          <w:rFonts w:ascii="Arial" w:hAnsi="Arial" w:cs="Arial"/>
          <w:color w:val="1A1A1A"/>
        </w:rPr>
        <w:t xml:space="preserve">. </w:t>
      </w:r>
      <w:r>
        <w:rPr>
          <w:rFonts w:ascii="Arial" w:hAnsi="Arial" w:cs="Arial"/>
          <w:color w:val="1A1A1A"/>
        </w:rPr>
        <w:t>T</w:t>
      </w:r>
      <w:r w:rsidRPr="00A10598">
        <w:rPr>
          <w:rFonts w:ascii="Arial" w:hAnsi="Arial" w:cs="Arial"/>
          <w:color w:val="1A1A1A"/>
        </w:rPr>
        <w:t>here is only one available medication</w:t>
      </w:r>
      <w:r>
        <w:rPr>
          <w:rFonts w:ascii="Arial" w:hAnsi="Arial" w:cs="Arial"/>
          <w:color w:val="1A1A1A"/>
        </w:rPr>
        <w:t xml:space="preserve"> for each disease type</w:t>
      </w:r>
      <w:r w:rsidRPr="00A10598">
        <w:rPr>
          <w:rFonts w:ascii="Arial" w:hAnsi="Arial" w:cs="Arial"/>
          <w:color w:val="1A1A1A"/>
        </w:rPr>
        <w:t>. For MPS II clinical experience indicates that neurological deterioration is likely to be a marker of non-response to medication</w:t>
      </w:r>
      <w:r>
        <w:rPr>
          <w:rFonts w:ascii="Arial" w:hAnsi="Arial" w:cs="Arial"/>
          <w:color w:val="1A1A1A"/>
        </w:rPr>
        <w:t xml:space="preserve"> (Evaluat</w:t>
      </w:r>
      <w:r w:rsidR="001C40B9">
        <w:rPr>
          <w:rFonts w:ascii="Arial" w:hAnsi="Arial" w:cs="Arial"/>
          <w:color w:val="1A1A1A"/>
        </w:rPr>
        <w:t>or’s</w:t>
      </w:r>
      <w:r>
        <w:rPr>
          <w:rFonts w:ascii="Arial" w:hAnsi="Arial" w:cs="Arial"/>
          <w:color w:val="1A1A1A"/>
        </w:rPr>
        <w:t xml:space="preserve"> report, p1</w:t>
      </w:r>
      <w:r w:rsidR="001E1441">
        <w:rPr>
          <w:rFonts w:ascii="Arial" w:hAnsi="Arial" w:cs="Arial"/>
          <w:color w:val="1A1A1A"/>
        </w:rPr>
        <w:t>52</w:t>
      </w:r>
      <w:r w:rsidR="000014BA">
        <w:rPr>
          <w:rFonts w:ascii="Arial" w:hAnsi="Arial" w:cs="Arial"/>
          <w:color w:val="1A1A1A"/>
        </w:rPr>
        <w:t>, p1</w:t>
      </w:r>
      <w:r w:rsidR="001E1441">
        <w:rPr>
          <w:rFonts w:ascii="Arial" w:hAnsi="Arial" w:cs="Arial"/>
          <w:color w:val="1A1A1A"/>
        </w:rPr>
        <w:t>74</w:t>
      </w:r>
      <w:r>
        <w:rPr>
          <w:rFonts w:ascii="Arial" w:hAnsi="Arial" w:cs="Arial"/>
          <w:color w:val="1A1A1A"/>
        </w:rPr>
        <w:t>)</w:t>
      </w:r>
      <w:r w:rsidRPr="00A10598">
        <w:rPr>
          <w:rFonts w:ascii="Arial" w:hAnsi="Arial" w:cs="Arial"/>
          <w:color w:val="1A1A1A"/>
        </w:rPr>
        <w:t>.</w:t>
      </w:r>
      <w:r w:rsidR="00D17778">
        <w:rPr>
          <w:rFonts w:ascii="Arial" w:hAnsi="Arial" w:cs="Arial"/>
          <w:color w:val="1A1A1A"/>
        </w:rPr>
        <w:t xml:space="preserve"> Although there may be early but non-sustained response of airway obstruction and </w:t>
      </w:r>
      <w:proofErr w:type="spellStart"/>
      <w:r w:rsidR="00D17778">
        <w:rPr>
          <w:rFonts w:ascii="Arial" w:hAnsi="Arial" w:cs="Arial"/>
          <w:color w:val="1A1A1A"/>
        </w:rPr>
        <w:t>organomegaly</w:t>
      </w:r>
      <w:proofErr w:type="spellEnd"/>
      <w:r w:rsidR="00D17778">
        <w:rPr>
          <w:rFonts w:ascii="Arial" w:hAnsi="Arial" w:cs="Arial"/>
          <w:color w:val="1A1A1A"/>
        </w:rPr>
        <w:t xml:space="preserve"> to therapy.</w:t>
      </w:r>
    </w:p>
    <w:p w:rsidR="0096074C" w:rsidRPr="00A10598" w:rsidRDefault="0096074C" w:rsidP="008A4CEA">
      <w:pPr>
        <w:pStyle w:val="ListParagraph"/>
        <w:widowControl w:val="0"/>
        <w:numPr>
          <w:ilvl w:val="1"/>
          <w:numId w:val="8"/>
        </w:numPr>
        <w:tabs>
          <w:tab w:val="left" w:pos="220"/>
          <w:tab w:val="left" w:pos="720"/>
        </w:tabs>
        <w:autoSpaceDE w:val="0"/>
        <w:autoSpaceDN w:val="0"/>
        <w:adjustRightInd w:val="0"/>
        <w:spacing w:after="0" w:line="360" w:lineRule="auto"/>
        <w:jc w:val="both"/>
        <w:rPr>
          <w:rFonts w:ascii="Arial" w:hAnsi="Arial" w:cs="Arial"/>
          <w:color w:val="1A1A1A"/>
        </w:rPr>
      </w:pPr>
      <w:r w:rsidRPr="00A10598">
        <w:rPr>
          <w:rFonts w:ascii="Arial" w:hAnsi="Arial" w:cs="Arial"/>
          <w:color w:val="1A1A1A"/>
        </w:rPr>
        <w:t xml:space="preserve">For </w:t>
      </w:r>
      <w:r w:rsidRPr="00A10598">
        <w:rPr>
          <w:rFonts w:ascii="Arial" w:hAnsi="Arial" w:cs="Arial"/>
          <w:b/>
          <w:color w:val="1A1A1A"/>
        </w:rPr>
        <w:t>Paroxysmal Nocturnal Haemoglobinuria</w:t>
      </w:r>
      <w:r w:rsidRPr="00A10598">
        <w:rPr>
          <w:rFonts w:ascii="Arial" w:hAnsi="Arial" w:cs="Arial"/>
          <w:color w:val="1A1A1A"/>
        </w:rPr>
        <w:t xml:space="preserve"> (PN</w:t>
      </w:r>
      <w:r>
        <w:rPr>
          <w:rFonts w:ascii="Arial" w:hAnsi="Arial" w:cs="Arial"/>
          <w:color w:val="1A1A1A"/>
        </w:rPr>
        <w:t>H</w:t>
      </w:r>
      <w:r w:rsidRPr="00A10598">
        <w:rPr>
          <w:rFonts w:ascii="Arial" w:hAnsi="Arial" w:cs="Arial"/>
          <w:color w:val="1A1A1A"/>
        </w:rPr>
        <w:t>), there is additional weak evidence of effectiveness</w:t>
      </w:r>
      <w:r>
        <w:rPr>
          <w:rFonts w:ascii="Arial" w:hAnsi="Arial" w:cs="Arial"/>
          <w:color w:val="1A1A1A"/>
        </w:rPr>
        <w:t xml:space="preserve"> (Kelly et al 2007)</w:t>
      </w:r>
      <w:r w:rsidRPr="00A10598">
        <w:rPr>
          <w:rFonts w:ascii="Arial" w:hAnsi="Arial" w:cs="Arial"/>
          <w:color w:val="1A1A1A"/>
        </w:rPr>
        <w:t>. There is only one drug</w:t>
      </w:r>
      <w:r>
        <w:rPr>
          <w:rFonts w:ascii="Arial" w:hAnsi="Arial" w:cs="Arial"/>
          <w:color w:val="1A1A1A"/>
        </w:rPr>
        <w:t xml:space="preserve">, </w:t>
      </w:r>
      <w:proofErr w:type="spellStart"/>
      <w:r w:rsidR="00B6302E">
        <w:rPr>
          <w:rFonts w:ascii="Arial" w:hAnsi="Arial" w:cs="Arial"/>
          <w:color w:val="1A1A1A"/>
        </w:rPr>
        <w:t>e</w:t>
      </w:r>
      <w:r>
        <w:rPr>
          <w:rFonts w:ascii="Arial" w:hAnsi="Arial" w:cs="Arial"/>
          <w:color w:val="1A1A1A"/>
        </w:rPr>
        <w:t>culizumab</w:t>
      </w:r>
      <w:proofErr w:type="spellEnd"/>
      <w:r>
        <w:rPr>
          <w:rFonts w:ascii="Arial" w:hAnsi="Arial" w:cs="Arial"/>
          <w:color w:val="1A1A1A"/>
        </w:rPr>
        <w:t>, that is available and this is subsidi</w:t>
      </w:r>
      <w:r w:rsidR="00B6302E">
        <w:rPr>
          <w:rFonts w:ascii="Arial" w:hAnsi="Arial" w:cs="Arial"/>
          <w:color w:val="1A1A1A"/>
        </w:rPr>
        <w:t>s</w:t>
      </w:r>
      <w:r>
        <w:rPr>
          <w:rFonts w:ascii="Arial" w:hAnsi="Arial" w:cs="Arial"/>
          <w:color w:val="1A1A1A"/>
        </w:rPr>
        <w:t>ed through the LSDP</w:t>
      </w:r>
      <w:r w:rsidRPr="00A10598">
        <w:rPr>
          <w:rFonts w:ascii="Arial" w:hAnsi="Arial" w:cs="Arial"/>
          <w:color w:val="1A1A1A"/>
        </w:rPr>
        <w:t xml:space="preserve">. Clinical experience suggests that people with </w:t>
      </w:r>
      <w:r>
        <w:rPr>
          <w:rFonts w:ascii="Arial" w:hAnsi="Arial" w:cs="Arial"/>
          <w:color w:val="1A1A1A"/>
        </w:rPr>
        <w:t xml:space="preserve">PNH </w:t>
      </w:r>
      <w:r w:rsidRPr="00A10598">
        <w:rPr>
          <w:rFonts w:ascii="Arial" w:hAnsi="Arial" w:cs="Arial"/>
          <w:color w:val="1A1A1A"/>
        </w:rPr>
        <w:t xml:space="preserve">have varying levels of </w:t>
      </w:r>
      <w:r>
        <w:rPr>
          <w:rFonts w:ascii="Arial" w:hAnsi="Arial" w:cs="Arial"/>
          <w:color w:val="1A1A1A"/>
        </w:rPr>
        <w:t>response</w:t>
      </w:r>
      <w:r w:rsidRPr="00A10598">
        <w:rPr>
          <w:rFonts w:ascii="Arial" w:hAnsi="Arial" w:cs="Arial"/>
          <w:color w:val="1A1A1A"/>
        </w:rPr>
        <w:t xml:space="preserve"> </w:t>
      </w:r>
      <w:r>
        <w:rPr>
          <w:rFonts w:ascii="Arial" w:hAnsi="Arial" w:cs="Arial"/>
          <w:color w:val="1A1A1A"/>
        </w:rPr>
        <w:t xml:space="preserve">to </w:t>
      </w:r>
      <w:proofErr w:type="spellStart"/>
      <w:r w:rsidR="00B6302E">
        <w:rPr>
          <w:rFonts w:ascii="Arial" w:hAnsi="Arial" w:cs="Arial"/>
          <w:color w:val="1A1A1A"/>
        </w:rPr>
        <w:lastRenderedPageBreak/>
        <w:t>e</w:t>
      </w:r>
      <w:r>
        <w:rPr>
          <w:rFonts w:ascii="Arial" w:hAnsi="Arial" w:cs="Arial"/>
          <w:color w:val="1A1A1A"/>
        </w:rPr>
        <w:t>culizumab</w:t>
      </w:r>
      <w:proofErr w:type="spellEnd"/>
      <w:r>
        <w:rPr>
          <w:rFonts w:ascii="Arial" w:hAnsi="Arial" w:cs="Arial"/>
          <w:color w:val="1A1A1A"/>
        </w:rPr>
        <w:t xml:space="preserve"> </w:t>
      </w:r>
      <w:r w:rsidRPr="00A10598">
        <w:rPr>
          <w:rFonts w:ascii="Arial" w:hAnsi="Arial" w:cs="Arial"/>
          <w:color w:val="1A1A1A"/>
        </w:rPr>
        <w:t>and</w:t>
      </w:r>
      <w:r>
        <w:rPr>
          <w:rFonts w:ascii="Arial" w:hAnsi="Arial" w:cs="Arial"/>
          <w:color w:val="1A1A1A"/>
        </w:rPr>
        <w:t xml:space="preserve"> that</w:t>
      </w:r>
      <w:r w:rsidRPr="00A10598">
        <w:rPr>
          <w:rFonts w:ascii="Arial" w:hAnsi="Arial" w:cs="Arial"/>
          <w:color w:val="1A1A1A"/>
        </w:rPr>
        <w:t xml:space="preserve"> </w:t>
      </w:r>
      <w:r w:rsidR="00B6302E">
        <w:rPr>
          <w:rFonts w:ascii="Arial" w:hAnsi="Arial" w:cs="Arial"/>
          <w:color w:val="1A1A1A"/>
        </w:rPr>
        <w:t xml:space="preserve">all </w:t>
      </w:r>
      <w:r>
        <w:rPr>
          <w:rFonts w:ascii="Arial" w:hAnsi="Arial" w:cs="Arial"/>
          <w:color w:val="1A1A1A"/>
        </w:rPr>
        <w:t xml:space="preserve">patients may not </w:t>
      </w:r>
      <w:r w:rsidRPr="00A10598">
        <w:rPr>
          <w:rFonts w:ascii="Arial" w:hAnsi="Arial" w:cs="Arial"/>
          <w:color w:val="1A1A1A"/>
        </w:rPr>
        <w:t>need to be on continuous therapy</w:t>
      </w:r>
      <w:r>
        <w:rPr>
          <w:rFonts w:ascii="Arial" w:hAnsi="Arial" w:cs="Arial"/>
          <w:color w:val="1A1A1A"/>
        </w:rPr>
        <w:t xml:space="preserve">. The </w:t>
      </w:r>
      <w:r w:rsidR="00B6302E">
        <w:rPr>
          <w:rFonts w:ascii="Arial" w:hAnsi="Arial" w:cs="Arial"/>
          <w:color w:val="1A1A1A"/>
        </w:rPr>
        <w:t>R</w:t>
      </w:r>
      <w:r>
        <w:rPr>
          <w:rFonts w:ascii="Arial" w:hAnsi="Arial" w:cs="Arial"/>
          <w:color w:val="1A1A1A"/>
        </w:rPr>
        <w:t xml:space="preserve">eference </w:t>
      </w:r>
      <w:r w:rsidR="00B6302E">
        <w:rPr>
          <w:rFonts w:ascii="Arial" w:hAnsi="Arial" w:cs="Arial"/>
          <w:color w:val="1A1A1A"/>
        </w:rPr>
        <w:t>G</w:t>
      </w:r>
      <w:r>
        <w:rPr>
          <w:rFonts w:ascii="Arial" w:hAnsi="Arial" w:cs="Arial"/>
          <w:color w:val="1A1A1A"/>
        </w:rPr>
        <w:t>roup considered t</w:t>
      </w:r>
      <w:r w:rsidRPr="00A10598">
        <w:rPr>
          <w:rFonts w:ascii="Arial" w:hAnsi="Arial" w:cs="Arial"/>
          <w:color w:val="1A1A1A"/>
        </w:rPr>
        <w:t xml:space="preserve">here should be a formal assessment of the potential for </w:t>
      </w:r>
      <w:r>
        <w:rPr>
          <w:rFonts w:ascii="Arial" w:hAnsi="Arial" w:cs="Arial"/>
          <w:color w:val="1A1A1A"/>
        </w:rPr>
        <w:t xml:space="preserve">patients on </w:t>
      </w:r>
      <w:proofErr w:type="spellStart"/>
      <w:r w:rsidR="00B6302E">
        <w:rPr>
          <w:rFonts w:ascii="Arial" w:hAnsi="Arial" w:cs="Arial"/>
          <w:color w:val="1A1A1A"/>
        </w:rPr>
        <w:t>e</w:t>
      </w:r>
      <w:r>
        <w:rPr>
          <w:rFonts w:ascii="Arial" w:hAnsi="Arial" w:cs="Arial"/>
          <w:color w:val="1A1A1A"/>
        </w:rPr>
        <w:t>culizumab</w:t>
      </w:r>
      <w:proofErr w:type="spellEnd"/>
      <w:r>
        <w:rPr>
          <w:rFonts w:ascii="Arial" w:hAnsi="Arial" w:cs="Arial"/>
          <w:color w:val="1A1A1A"/>
        </w:rPr>
        <w:t xml:space="preserve"> for PNH to trial </w:t>
      </w:r>
      <w:r w:rsidRPr="00A10598">
        <w:rPr>
          <w:rFonts w:ascii="Arial" w:hAnsi="Arial" w:cs="Arial"/>
          <w:color w:val="1A1A1A"/>
        </w:rPr>
        <w:t xml:space="preserve">periods without the medication. </w:t>
      </w:r>
      <w:r>
        <w:rPr>
          <w:rFonts w:ascii="Arial" w:hAnsi="Arial" w:cs="Arial"/>
          <w:color w:val="1A1A1A"/>
        </w:rPr>
        <w:t xml:space="preserve">Unlike the other drugs on the LSDP </w:t>
      </w:r>
      <w:proofErr w:type="spellStart"/>
      <w:r w:rsidR="00B6302E">
        <w:rPr>
          <w:rFonts w:ascii="Arial" w:hAnsi="Arial" w:cs="Arial"/>
          <w:color w:val="1A1A1A"/>
        </w:rPr>
        <w:t>e</w:t>
      </w:r>
      <w:r>
        <w:rPr>
          <w:rFonts w:ascii="Arial" w:hAnsi="Arial" w:cs="Arial"/>
          <w:color w:val="1A1A1A"/>
        </w:rPr>
        <w:t>culizumab</w:t>
      </w:r>
      <w:proofErr w:type="spellEnd"/>
      <w:r>
        <w:rPr>
          <w:rFonts w:ascii="Arial" w:hAnsi="Arial" w:cs="Arial"/>
          <w:color w:val="1A1A1A"/>
        </w:rPr>
        <w:t xml:space="preserve"> is not exclusively used for PNH but is subsidised on the PBS for </w:t>
      </w:r>
      <w:r w:rsidR="00B6302E">
        <w:rPr>
          <w:rFonts w:ascii="Arial" w:hAnsi="Arial" w:cs="Arial"/>
          <w:color w:val="1A1A1A"/>
        </w:rPr>
        <w:t>atypical haemolytic uraemic syndrome</w:t>
      </w:r>
      <w:r>
        <w:rPr>
          <w:rFonts w:ascii="Arial" w:hAnsi="Arial" w:cs="Arial"/>
          <w:color w:val="1A1A1A"/>
        </w:rPr>
        <w:t xml:space="preserve">. As a consequence, the Reference Group considered it should be </w:t>
      </w:r>
      <w:r w:rsidR="00B6302E">
        <w:rPr>
          <w:rFonts w:ascii="Arial" w:hAnsi="Arial" w:cs="Arial"/>
          <w:color w:val="1A1A1A"/>
        </w:rPr>
        <w:t>reconsidered for listing on the PBS</w:t>
      </w:r>
      <w:r w:rsidR="00356809">
        <w:rPr>
          <w:rFonts w:ascii="Arial" w:hAnsi="Arial" w:cs="Arial"/>
          <w:color w:val="1A1A1A"/>
        </w:rPr>
        <w:t>, and potentially subsequently removed from the LSDP.</w:t>
      </w:r>
    </w:p>
    <w:p w:rsidR="0096074C" w:rsidRDefault="0096074C" w:rsidP="008A4CEA">
      <w:pPr>
        <w:widowControl w:val="0"/>
        <w:tabs>
          <w:tab w:val="left" w:pos="220"/>
          <w:tab w:val="left" w:pos="720"/>
        </w:tabs>
        <w:autoSpaceDE w:val="0"/>
        <w:autoSpaceDN w:val="0"/>
        <w:adjustRightInd w:val="0"/>
        <w:spacing w:line="360" w:lineRule="auto"/>
        <w:jc w:val="both"/>
        <w:rPr>
          <w:rFonts w:ascii="Arial" w:hAnsi="Arial" w:cs="Arial"/>
          <w:color w:val="1A1A1A"/>
        </w:rPr>
      </w:pPr>
    </w:p>
    <w:p w:rsidR="00F21288" w:rsidRPr="00F81AA7" w:rsidRDefault="00F21288" w:rsidP="00F81AA7">
      <w:pPr>
        <w:pStyle w:val="Heading4"/>
        <w:spacing w:line="360" w:lineRule="auto"/>
        <w:rPr>
          <w:rFonts w:ascii="Arial" w:hAnsi="Arial" w:cs="Arial"/>
          <w:i w:val="0"/>
          <w:color w:val="auto"/>
        </w:rPr>
      </w:pPr>
      <w:r w:rsidRPr="00F81AA7">
        <w:rPr>
          <w:rFonts w:ascii="Arial" w:hAnsi="Arial" w:cs="Arial"/>
          <w:i w:val="0"/>
          <w:color w:val="auto"/>
        </w:rPr>
        <w:t>I</w:t>
      </w:r>
      <w:r w:rsidR="00CB5520">
        <w:rPr>
          <w:rFonts w:ascii="Arial" w:hAnsi="Arial" w:cs="Arial"/>
          <w:i w:val="0"/>
          <w:color w:val="auto"/>
        </w:rPr>
        <w:t>ssue</w:t>
      </w:r>
      <w:r w:rsidRPr="00F81AA7">
        <w:rPr>
          <w:rFonts w:ascii="Arial" w:hAnsi="Arial" w:cs="Arial"/>
          <w:i w:val="0"/>
          <w:color w:val="auto"/>
        </w:rPr>
        <w:t xml:space="preserve"> 1:  </w:t>
      </w:r>
    </w:p>
    <w:p w:rsidR="00F21288" w:rsidRPr="00F21288" w:rsidRDefault="00F21288" w:rsidP="008A4CEA">
      <w:pPr>
        <w:jc w:val="both"/>
        <w:rPr>
          <w:rFonts w:ascii="Arial" w:hAnsi="Arial" w:cs="Arial"/>
          <w:i/>
          <w:color w:val="303030"/>
          <w:szCs w:val="24"/>
        </w:rPr>
      </w:pPr>
      <w:r w:rsidRPr="00F21288">
        <w:rPr>
          <w:rFonts w:ascii="Arial" w:hAnsi="Arial" w:cs="Arial"/>
          <w:i/>
          <w:color w:val="303030"/>
          <w:szCs w:val="24"/>
        </w:rPr>
        <w:t>The LSDP provides access to drugs</w:t>
      </w:r>
      <w:r w:rsidR="00B6302E">
        <w:rPr>
          <w:rFonts w:ascii="Arial" w:hAnsi="Arial" w:cs="Arial"/>
          <w:i/>
          <w:color w:val="303030"/>
          <w:szCs w:val="24"/>
        </w:rPr>
        <w:t xml:space="preserve"> but this is </w:t>
      </w:r>
      <w:r w:rsidRPr="00F21288">
        <w:rPr>
          <w:rFonts w:ascii="Arial" w:hAnsi="Arial" w:cs="Arial"/>
          <w:i/>
          <w:color w:val="303030"/>
          <w:szCs w:val="24"/>
        </w:rPr>
        <w:t>usually before there is clear evidence that the drug is effective in the medium and long term. Consequently, the manufacturer may be being paid for a drug that is subsequently shown to be ineffective or less effective than originally claimed.</w:t>
      </w:r>
      <w:r w:rsidR="00586ACD">
        <w:rPr>
          <w:rFonts w:ascii="Arial" w:hAnsi="Arial" w:cs="Arial"/>
          <w:i/>
          <w:color w:val="303030"/>
          <w:szCs w:val="24"/>
        </w:rPr>
        <w:t xml:space="preserve"> Theoretically the drug could be more effective than originally claimed.</w:t>
      </w:r>
    </w:p>
    <w:p w:rsidR="000B0E23" w:rsidRDefault="00F21288" w:rsidP="008A4CEA">
      <w:pPr>
        <w:pStyle w:val="ListParagraph"/>
        <w:numPr>
          <w:ilvl w:val="0"/>
          <w:numId w:val="20"/>
        </w:numPr>
        <w:jc w:val="both"/>
        <w:rPr>
          <w:rFonts w:ascii="Arial" w:hAnsi="Arial" w:cs="Arial"/>
          <w:color w:val="1A1A1A"/>
        </w:rPr>
      </w:pPr>
      <w:r w:rsidRPr="000B0E23">
        <w:rPr>
          <w:rFonts w:ascii="Arial" w:hAnsi="Arial" w:cs="Arial"/>
          <w:color w:val="1A1A1A"/>
        </w:rPr>
        <w:t>Should the Government</w:t>
      </w:r>
      <w:r w:rsidR="000B0E23" w:rsidRPr="000B0E23">
        <w:rPr>
          <w:rFonts w:ascii="Arial" w:hAnsi="Arial" w:cs="Arial"/>
          <w:color w:val="1A1A1A"/>
        </w:rPr>
        <w:t xml:space="preserve"> expect some further evidence to support a continued benefit for patients through mechanisms like managed entry schemes and </w:t>
      </w:r>
      <w:r w:rsidRPr="000B0E23">
        <w:rPr>
          <w:rFonts w:ascii="Arial" w:hAnsi="Arial" w:cs="Arial"/>
          <w:color w:val="1A1A1A"/>
        </w:rPr>
        <w:t>pay for performance mechanism</w:t>
      </w:r>
      <w:r w:rsidR="000B0E23" w:rsidRPr="000B0E23">
        <w:rPr>
          <w:rFonts w:ascii="Arial" w:hAnsi="Arial" w:cs="Arial"/>
          <w:color w:val="1A1A1A"/>
        </w:rPr>
        <w:t>s</w:t>
      </w:r>
      <w:r w:rsidR="000B0E23">
        <w:rPr>
          <w:rFonts w:ascii="Arial" w:hAnsi="Arial" w:cs="Arial"/>
          <w:color w:val="1A1A1A"/>
        </w:rPr>
        <w:t xml:space="preserve"> </w:t>
      </w:r>
      <w:r w:rsidR="000B0E23" w:rsidRPr="00F21288">
        <w:rPr>
          <w:rFonts w:ascii="Arial" w:hAnsi="Arial" w:cs="Arial"/>
          <w:color w:val="1A1A1A"/>
        </w:rPr>
        <w:t xml:space="preserve">when the relative effectiveness of a drug is not clear? </w:t>
      </w:r>
    </w:p>
    <w:p w:rsidR="000B0E23" w:rsidRPr="000B0E23" w:rsidRDefault="000B0E23" w:rsidP="008A4CEA">
      <w:pPr>
        <w:pStyle w:val="ListParagraph"/>
        <w:ind w:left="928"/>
        <w:jc w:val="both"/>
        <w:rPr>
          <w:rFonts w:ascii="Arial" w:hAnsi="Arial" w:cs="Arial"/>
          <w:color w:val="1A1A1A"/>
        </w:rPr>
      </w:pPr>
    </w:p>
    <w:p w:rsidR="000B0E23" w:rsidRPr="000B0E23" w:rsidRDefault="000B0E23" w:rsidP="008A4CEA">
      <w:pPr>
        <w:pStyle w:val="ListParagraph"/>
        <w:numPr>
          <w:ilvl w:val="0"/>
          <w:numId w:val="20"/>
        </w:numPr>
        <w:jc w:val="both"/>
        <w:rPr>
          <w:rFonts w:ascii="Arial" w:hAnsi="Arial" w:cs="Arial"/>
          <w:color w:val="1A1A1A"/>
        </w:rPr>
      </w:pPr>
      <w:r w:rsidRPr="000B0E23">
        <w:rPr>
          <w:rFonts w:ascii="Arial" w:hAnsi="Arial" w:cs="Arial"/>
          <w:color w:val="1A1A1A"/>
        </w:rPr>
        <w:t xml:space="preserve">Should the Government expect that sponsor companies share the uncertainty of the benefit through </w:t>
      </w:r>
      <w:r w:rsidR="00F21288" w:rsidRPr="000B0E23">
        <w:rPr>
          <w:rFonts w:ascii="Arial" w:hAnsi="Arial" w:cs="Arial"/>
          <w:color w:val="1A1A1A"/>
        </w:rPr>
        <w:t>risk share arrangements</w:t>
      </w:r>
      <w:r w:rsidRPr="000B0E23">
        <w:rPr>
          <w:rFonts w:ascii="Arial" w:hAnsi="Arial" w:cs="Arial"/>
          <w:color w:val="1A1A1A"/>
        </w:rPr>
        <w:t xml:space="preserve"> or similar mechanisms</w:t>
      </w:r>
      <w:r>
        <w:rPr>
          <w:rFonts w:ascii="Arial" w:hAnsi="Arial" w:cs="Arial"/>
          <w:color w:val="1A1A1A"/>
        </w:rPr>
        <w:t>?</w:t>
      </w:r>
    </w:p>
    <w:p w:rsidR="000B0E23" w:rsidRDefault="000B0E23" w:rsidP="008A4CEA">
      <w:pPr>
        <w:pStyle w:val="ListParagraph"/>
        <w:ind w:left="928"/>
        <w:jc w:val="both"/>
        <w:rPr>
          <w:rFonts w:ascii="Arial" w:hAnsi="Arial" w:cs="Arial"/>
          <w:color w:val="1A1A1A"/>
        </w:rPr>
      </w:pPr>
    </w:p>
    <w:p w:rsidR="00F21288" w:rsidRDefault="000B0E23" w:rsidP="008A4CEA">
      <w:pPr>
        <w:pStyle w:val="ListParagraph"/>
        <w:numPr>
          <w:ilvl w:val="0"/>
          <w:numId w:val="20"/>
        </w:numPr>
        <w:jc w:val="both"/>
        <w:rPr>
          <w:rFonts w:ascii="Arial" w:hAnsi="Arial" w:cs="Arial"/>
          <w:color w:val="1A1A1A"/>
        </w:rPr>
      </w:pPr>
      <w:r>
        <w:rPr>
          <w:rFonts w:ascii="Arial" w:hAnsi="Arial" w:cs="Arial"/>
          <w:color w:val="1A1A1A"/>
        </w:rPr>
        <w:t>What criteria should G</w:t>
      </w:r>
      <w:r w:rsidR="00F21288" w:rsidRPr="00F21288">
        <w:rPr>
          <w:rFonts w:ascii="Arial" w:hAnsi="Arial" w:cs="Arial"/>
          <w:color w:val="1A1A1A"/>
        </w:rPr>
        <w:t>overnment use in determining what is a reasonable cost to pay for such drugs?</w:t>
      </w:r>
    </w:p>
    <w:p w:rsidR="00F21288" w:rsidRPr="00F21288" w:rsidRDefault="00F21288" w:rsidP="008A4CEA">
      <w:pPr>
        <w:pStyle w:val="ListParagraph"/>
        <w:jc w:val="both"/>
        <w:rPr>
          <w:rFonts w:ascii="Arial" w:hAnsi="Arial" w:cs="Arial"/>
          <w:color w:val="1A1A1A"/>
        </w:rPr>
      </w:pPr>
    </w:p>
    <w:p w:rsidR="00F21288" w:rsidRPr="00F81AA7" w:rsidRDefault="00F21288" w:rsidP="00F81AA7">
      <w:pPr>
        <w:pStyle w:val="Heading4"/>
        <w:spacing w:line="360" w:lineRule="auto"/>
        <w:rPr>
          <w:rFonts w:ascii="Arial" w:hAnsi="Arial" w:cs="Arial"/>
          <w:i w:val="0"/>
          <w:color w:val="auto"/>
        </w:rPr>
      </w:pPr>
      <w:r w:rsidRPr="00F81AA7">
        <w:rPr>
          <w:rFonts w:ascii="Arial" w:hAnsi="Arial" w:cs="Arial"/>
          <w:i w:val="0"/>
          <w:color w:val="auto"/>
        </w:rPr>
        <w:t>I</w:t>
      </w:r>
      <w:r w:rsidR="009D00E8">
        <w:rPr>
          <w:rFonts w:ascii="Arial" w:hAnsi="Arial" w:cs="Arial"/>
          <w:i w:val="0"/>
          <w:color w:val="auto"/>
        </w:rPr>
        <w:t>ssue</w:t>
      </w:r>
      <w:r w:rsidRPr="00F81AA7">
        <w:rPr>
          <w:rFonts w:ascii="Arial" w:hAnsi="Arial" w:cs="Arial"/>
          <w:i w:val="0"/>
          <w:color w:val="auto"/>
        </w:rPr>
        <w:t xml:space="preserve"> 2: </w:t>
      </w:r>
    </w:p>
    <w:p w:rsidR="00BC7AAD" w:rsidRPr="00F21288" w:rsidRDefault="00BC7AAD" w:rsidP="00BC7AAD">
      <w:pPr>
        <w:jc w:val="both"/>
        <w:rPr>
          <w:rFonts w:ascii="Arial" w:hAnsi="Arial" w:cs="Arial"/>
          <w:i/>
          <w:color w:val="303030"/>
          <w:szCs w:val="24"/>
        </w:rPr>
      </w:pPr>
      <w:r>
        <w:rPr>
          <w:rFonts w:ascii="Arial" w:hAnsi="Arial" w:cs="Arial"/>
          <w:i/>
          <w:color w:val="303030"/>
          <w:szCs w:val="24"/>
        </w:rPr>
        <w:t>The Reference Group concluded that n</w:t>
      </w:r>
      <w:r w:rsidRPr="00F21288">
        <w:rPr>
          <w:rFonts w:ascii="Arial" w:hAnsi="Arial" w:cs="Arial"/>
          <w:i/>
          <w:color w:val="303030"/>
          <w:szCs w:val="24"/>
        </w:rPr>
        <w:t xml:space="preserve">one of the drugs </w:t>
      </w:r>
      <w:r>
        <w:rPr>
          <w:rFonts w:ascii="Arial" w:hAnsi="Arial" w:cs="Arial"/>
          <w:i/>
          <w:color w:val="303030"/>
          <w:szCs w:val="24"/>
        </w:rPr>
        <w:t xml:space="preserve">subsidised through the LSDP have been shown to </w:t>
      </w:r>
      <w:r w:rsidRPr="00F21288">
        <w:rPr>
          <w:rFonts w:ascii="Arial" w:hAnsi="Arial" w:cs="Arial"/>
          <w:i/>
          <w:color w:val="303030"/>
          <w:szCs w:val="24"/>
        </w:rPr>
        <w:t>cure the disease</w:t>
      </w:r>
      <w:r>
        <w:rPr>
          <w:rFonts w:ascii="Arial" w:hAnsi="Arial" w:cs="Arial"/>
          <w:i/>
          <w:color w:val="303030"/>
          <w:szCs w:val="24"/>
        </w:rPr>
        <w:t xml:space="preserve"> for which they are subsidised</w:t>
      </w:r>
      <w:r w:rsidRPr="00F21288">
        <w:rPr>
          <w:rFonts w:ascii="Arial" w:hAnsi="Arial" w:cs="Arial"/>
          <w:i/>
          <w:color w:val="303030"/>
          <w:szCs w:val="24"/>
        </w:rPr>
        <w:t>. With all of the drugs progression of the disease may be slowed, though not reversed. Experience with the medications has identified patients where there is a continued deterioration in the patient’s condition despite the continued administration of the relevant medication.</w:t>
      </w:r>
    </w:p>
    <w:p w:rsidR="00F21288" w:rsidRPr="00F81AA7" w:rsidRDefault="000B0E23" w:rsidP="00CB5520">
      <w:pPr>
        <w:jc w:val="both"/>
        <w:rPr>
          <w:rFonts w:ascii="Arial" w:hAnsi="Arial" w:cs="Arial"/>
          <w:i/>
          <w:color w:val="303030"/>
          <w:szCs w:val="24"/>
        </w:rPr>
      </w:pPr>
      <w:r w:rsidRPr="000B0E23">
        <w:rPr>
          <w:rFonts w:ascii="Arial" w:hAnsi="Arial" w:cs="Arial"/>
          <w:i/>
          <w:color w:val="303030"/>
          <w:szCs w:val="24"/>
        </w:rPr>
        <w:t>The review of evidence and published literature shows that s</w:t>
      </w:r>
      <w:r w:rsidR="00F21288" w:rsidRPr="00F21288">
        <w:rPr>
          <w:rFonts w:ascii="Arial" w:hAnsi="Arial" w:cs="Arial"/>
          <w:i/>
          <w:color w:val="303030"/>
          <w:szCs w:val="24"/>
        </w:rPr>
        <w:t>ome patients continue to deteriorate despite receiving continued relevant medication.</w:t>
      </w:r>
      <w:r w:rsidR="00F21288" w:rsidRPr="00F81AA7">
        <w:rPr>
          <w:rFonts w:ascii="Arial" w:hAnsi="Arial" w:cs="Arial"/>
          <w:i/>
          <w:color w:val="303030"/>
          <w:szCs w:val="24"/>
        </w:rPr>
        <w:t xml:space="preserve">  </w:t>
      </w:r>
    </w:p>
    <w:p w:rsidR="00F21288" w:rsidRPr="00AE7FD9" w:rsidRDefault="00F21288" w:rsidP="008A4CEA">
      <w:pPr>
        <w:pStyle w:val="ListParagraph"/>
        <w:numPr>
          <w:ilvl w:val="0"/>
          <w:numId w:val="20"/>
        </w:numPr>
        <w:jc w:val="both"/>
        <w:rPr>
          <w:rStyle w:val="CommentReference"/>
          <w:rFonts w:ascii="Arial" w:hAnsi="Arial" w:cs="Arial"/>
          <w:color w:val="1A1A1A"/>
          <w:sz w:val="24"/>
          <w:szCs w:val="22"/>
        </w:rPr>
      </w:pPr>
      <w:r w:rsidRPr="00F21288">
        <w:rPr>
          <w:rFonts w:ascii="Arial" w:hAnsi="Arial" w:cs="Arial"/>
          <w:color w:val="1A1A1A"/>
        </w:rPr>
        <w:lastRenderedPageBreak/>
        <w:t>Is it reason</w:t>
      </w:r>
      <w:r w:rsidR="00AE7FD9">
        <w:rPr>
          <w:rFonts w:ascii="Arial" w:hAnsi="Arial" w:cs="Arial"/>
          <w:color w:val="1A1A1A"/>
        </w:rPr>
        <w:t xml:space="preserve">able to continue therapy when </w:t>
      </w:r>
      <w:r w:rsidR="000B0E23">
        <w:rPr>
          <w:rFonts w:ascii="Arial" w:hAnsi="Arial" w:cs="Arial"/>
          <w:color w:val="1A1A1A"/>
        </w:rPr>
        <w:t xml:space="preserve">the </w:t>
      </w:r>
      <w:r w:rsidR="00AE7FD9">
        <w:rPr>
          <w:rFonts w:ascii="Arial" w:hAnsi="Arial" w:cs="Arial"/>
          <w:color w:val="1A1A1A"/>
        </w:rPr>
        <w:t>patient’s disease progressively deteriorates</w:t>
      </w:r>
      <w:r w:rsidR="00D17778">
        <w:rPr>
          <w:rFonts w:ascii="Arial" w:hAnsi="Arial" w:cs="Arial"/>
          <w:color w:val="1A1A1A"/>
        </w:rPr>
        <w:t xml:space="preserve"> as assessed by clinical parameters and clinical assessments</w:t>
      </w:r>
      <w:r w:rsidR="00AE7FD9">
        <w:rPr>
          <w:rFonts w:ascii="Arial" w:hAnsi="Arial" w:cs="Arial"/>
          <w:color w:val="1A1A1A"/>
        </w:rPr>
        <w:t>?</w:t>
      </w:r>
      <w:r w:rsidR="00AE7FD9">
        <w:rPr>
          <w:rStyle w:val="CommentReference"/>
          <w:rFonts w:asciiTheme="minorHAnsi" w:eastAsiaTheme="minorEastAsia" w:hAnsiTheme="minorHAnsi"/>
          <w:lang w:val="en-US"/>
        </w:rPr>
        <w:t xml:space="preserve"> </w:t>
      </w:r>
    </w:p>
    <w:p w:rsidR="00AE7FD9" w:rsidRPr="00F21288" w:rsidRDefault="00AE7FD9" w:rsidP="008A4CEA">
      <w:pPr>
        <w:pStyle w:val="ListParagraph"/>
        <w:ind w:left="928"/>
        <w:jc w:val="both"/>
        <w:rPr>
          <w:rFonts w:ascii="Arial" w:hAnsi="Arial" w:cs="Arial"/>
          <w:color w:val="1A1A1A"/>
        </w:rPr>
      </w:pPr>
    </w:p>
    <w:p w:rsidR="00AE7FD9" w:rsidRDefault="00F21288" w:rsidP="008A4CEA">
      <w:pPr>
        <w:pStyle w:val="ListParagraph"/>
        <w:numPr>
          <w:ilvl w:val="0"/>
          <w:numId w:val="21"/>
        </w:numPr>
        <w:jc w:val="both"/>
        <w:rPr>
          <w:rFonts w:ascii="Arial" w:hAnsi="Arial" w:cs="Arial"/>
          <w:color w:val="1A1A1A"/>
        </w:rPr>
      </w:pPr>
      <w:r w:rsidRPr="00AE7FD9">
        <w:rPr>
          <w:rFonts w:ascii="Arial" w:hAnsi="Arial" w:cs="Arial"/>
          <w:color w:val="1A1A1A"/>
        </w:rPr>
        <w:t xml:space="preserve">Who should decide </w:t>
      </w:r>
      <w:r w:rsidR="00AE7FD9" w:rsidRPr="00AE7FD9">
        <w:rPr>
          <w:rFonts w:ascii="Arial" w:hAnsi="Arial" w:cs="Arial"/>
          <w:color w:val="1A1A1A"/>
        </w:rPr>
        <w:t xml:space="preserve">to continue therapy if the disease and/or the disease symptoms are not stable or improving (i.e. </w:t>
      </w:r>
      <w:r w:rsidR="00AE7FD9">
        <w:rPr>
          <w:rFonts w:ascii="Arial" w:hAnsi="Arial" w:cs="Arial"/>
          <w:color w:val="1A1A1A"/>
        </w:rPr>
        <w:t>the disease is progressing</w:t>
      </w:r>
      <w:r w:rsidR="00AE7FD9" w:rsidRPr="00AE7FD9">
        <w:rPr>
          <w:rFonts w:ascii="Arial" w:hAnsi="Arial" w:cs="Arial"/>
          <w:color w:val="1A1A1A"/>
        </w:rPr>
        <w:t>)?</w:t>
      </w:r>
    </w:p>
    <w:p w:rsidR="00AE7FD9" w:rsidRPr="00AE7FD9" w:rsidRDefault="00AE7FD9" w:rsidP="008A4CEA">
      <w:pPr>
        <w:pStyle w:val="ListParagraph"/>
        <w:ind w:left="928"/>
        <w:jc w:val="both"/>
        <w:rPr>
          <w:rFonts w:ascii="Arial" w:hAnsi="Arial" w:cs="Arial"/>
          <w:color w:val="1A1A1A"/>
        </w:rPr>
      </w:pPr>
    </w:p>
    <w:p w:rsidR="00F21288" w:rsidRPr="000014BA" w:rsidRDefault="00AE7FD9" w:rsidP="008A4CEA">
      <w:pPr>
        <w:pStyle w:val="ListParagraph"/>
        <w:numPr>
          <w:ilvl w:val="0"/>
          <w:numId w:val="21"/>
        </w:numPr>
        <w:jc w:val="both"/>
        <w:rPr>
          <w:rFonts w:ascii="Arial" w:hAnsi="Arial" w:cs="Arial"/>
          <w:color w:val="1A1A1A"/>
        </w:rPr>
      </w:pPr>
      <w:r w:rsidRPr="00AE7FD9">
        <w:rPr>
          <w:rFonts w:ascii="Arial" w:hAnsi="Arial" w:cs="Arial"/>
          <w:color w:val="1A1A1A"/>
        </w:rPr>
        <w:t>Under what circumstances would a patient or clinician consider that the person has a benefit even when their disease is progressing</w:t>
      </w:r>
      <w:r>
        <w:rPr>
          <w:rFonts w:ascii="Arial" w:hAnsi="Arial" w:cs="Arial"/>
          <w:color w:val="1A1A1A"/>
        </w:rPr>
        <w:t>?</w:t>
      </w:r>
    </w:p>
    <w:p w:rsidR="00AE7FD9" w:rsidRDefault="00AE7FD9" w:rsidP="008A4CEA">
      <w:pPr>
        <w:jc w:val="both"/>
        <w:rPr>
          <w:rFonts w:ascii="Arial" w:hAnsi="Arial" w:cs="Arial"/>
          <w:b/>
          <w:color w:val="1A1A1A"/>
        </w:rPr>
      </w:pPr>
    </w:p>
    <w:p w:rsidR="00F21288" w:rsidRPr="00F81AA7" w:rsidRDefault="00F21288" w:rsidP="00F81AA7">
      <w:pPr>
        <w:pStyle w:val="Heading4"/>
        <w:spacing w:line="360" w:lineRule="auto"/>
        <w:rPr>
          <w:rFonts w:ascii="Arial" w:hAnsi="Arial" w:cs="Arial"/>
          <w:i w:val="0"/>
          <w:color w:val="auto"/>
        </w:rPr>
      </w:pPr>
      <w:r w:rsidRPr="00F81AA7">
        <w:rPr>
          <w:rFonts w:ascii="Arial" w:hAnsi="Arial" w:cs="Arial"/>
          <w:i w:val="0"/>
          <w:color w:val="auto"/>
        </w:rPr>
        <w:t>Issue 3:</w:t>
      </w:r>
    </w:p>
    <w:p w:rsidR="00F21288" w:rsidRPr="00F21288" w:rsidRDefault="00F21288" w:rsidP="00CB5520">
      <w:pPr>
        <w:jc w:val="both"/>
        <w:rPr>
          <w:rFonts w:ascii="Arial" w:hAnsi="Arial" w:cs="Arial"/>
          <w:i/>
          <w:color w:val="303030"/>
          <w:szCs w:val="24"/>
        </w:rPr>
      </w:pPr>
      <w:r w:rsidRPr="00F21288">
        <w:rPr>
          <w:rFonts w:ascii="Arial" w:hAnsi="Arial" w:cs="Arial"/>
          <w:i/>
          <w:color w:val="303030"/>
          <w:szCs w:val="24"/>
        </w:rPr>
        <w:t xml:space="preserve">Clinicians and patients </w:t>
      </w:r>
      <w:r w:rsidR="00AE7FD9">
        <w:rPr>
          <w:rFonts w:ascii="Arial" w:hAnsi="Arial" w:cs="Arial"/>
          <w:i/>
          <w:color w:val="303030"/>
          <w:szCs w:val="24"/>
        </w:rPr>
        <w:t xml:space="preserve">currently </w:t>
      </w:r>
      <w:r w:rsidRPr="00F21288">
        <w:rPr>
          <w:rFonts w:ascii="Arial" w:hAnsi="Arial" w:cs="Arial"/>
          <w:i/>
          <w:color w:val="303030"/>
          <w:szCs w:val="24"/>
        </w:rPr>
        <w:t>agree to certai</w:t>
      </w:r>
      <w:r w:rsidR="006415BB">
        <w:rPr>
          <w:rFonts w:ascii="Arial" w:hAnsi="Arial" w:cs="Arial"/>
          <w:i/>
          <w:color w:val="303030"/>
          <w:szCs w:val="24"/>
        </w:rPr>
        <w:t>n conditions including discontinuation</w:t>
      </w:r>
      <w:r w:rsidRPr="00F21288">
        <w:rPr>
          <w:rFonts w:ascii="Arial" w:hAnsi="Arial" w:cs="Arial"/>
          <w:i/>
          <w:color w:val="303030"/>
          <w:szCs w:val="24"/>
        </w:rPr>
        <w:t xml:space="preserve"> of the LSDP subsidy if the patient ceases to benefit from administration of the drug, prior to the approval of the funding. </w:t>
      </w:r>
    </w:p>
    <w:p w:rsidR="00F21288" w:rsidRPr="00F21288" w:rsidRDefault="00F21288" w:rsidP="008A4CEA">
      <w:pPr>
        <w:pStyle w:val="ListParagraph"/>
        <w:numPr>
          <w:ilvl w:val="0"/>
          <w:numId w:val="20"/>
        </w:numPr>
        <w:jc w:val="both"/>
        <w:rPr>
          <w:rFonts w:ascii="Arial" w:hAnsi="Arial" w:cs="Arial"/>
          <w:color w:val="1A1A1A"/>
        </w:rPr>
      </w:pPr>
      <w:r w:rsidRPr="00F21288">
        <w:rPr>
          <w:rFonts w:ascii="Arial" w:hAnsi="Arial" w:cs="Arial"/>
          <w:color w:val="1A1A1A"/>
        </w:rPr>
        <w:t>Should such decisions be binding on</w:t>
      </w:r>
      <w:r w:rsidR="00AE7FD9">
        <w:rPr>
          <w:rFonts w:ascii="Arial" w:hAnsi="Arial" w:cs="Arial"/>
          <w:color w:val="1A1A1A"/>
        </w:rPr>
        <w:t xml:space="preserve"> all decision makers i.e.</w:t>
      </w:r>
      <w:r w:rsidRPr="00F21288">
        <w:rPr>
          <w:rFonts w:ascii="Arial" w:hAnsi="Arial" w:cs="Arial"/>
          <w:color w:val="1A1A1A"/>
        </w:rPr>
        <w:t xml:space="preserve"> </w:t>
      </w:r>
      <w:r w:rsidR="00AE7FD9">
        <w:rPr>
          <w:rFonts w:ascii="Arial" w:hAnsi="Arial" w:cs="Arial"/>
          <w:color w:val="1A1A1A"/>
        </w:rPr>
        <w:t>the prescriber, the consumer and the Government</w:t>
      </w:r>
      <w:r w:rsidRPr="00F21288">
        <w:rPr>
          <w:rFonts w:ascii="Arial" w:hAnsi="Arial" w:cs="Arial"/>
          <w:color w:val="1A1A1A"/>
        </w:rPr>
        <w:t>?</w:t>
      </w:r>
      <w:r w:rsidR="006415BB">
        <w:rPr>
          <w:rFonts w:ascii="Arial" w:hAnsi="Arial" w:cs="Arial"/>
          <w:color w:val="1A1A1A"/>
        </w:rPr>
        <w:t xml:space="preserve"> If not, why not?</w:t>
      </w:r>
    </w:p>
    <w:p w:rsidR="00AE7FD9" w:rsidRDefault="00AE7FD9" w:rsidP="008A4CEA">
      <w:pPr>
        <w:widowControl w:val="0"/>
        <w:tabs>
          <w:tab w:val="left" w:pos="220"/>
          <w:tab w:val="left" w:pos="720"/>
        </w:tabs>
        <w:autoSpaceDE w:val="0"/>
        <w:autoSpaceDN w:val="0"/>
        <w:adjustRightInd w:val="0"/>
        <w:spacing w:line="360" w:lineRule="auto"/>
        <w:jc w:val="both"/>
        <w:rPr>
          <w:rFonts w:ascii="Arial" w:hAnsi="Arial" w:cs="Arial"/>
          <w:b/>
        </w:rPr>
      </w:pPr>
    </w:p>
    <w:p w:rsidR="0096074C" w:rsidRPr="00F81AA7" w:rsidRDefault="00F21288" w:rsidP="00F81AA7">
      <w:pPr>
        <w:pStyle w:val="Heading4"/>
        <w:spacing w:line="360" w:lineRule="auto"/>
        <w:rPr>
          <w:rFonts w:ascii="Arial" w:hAnsi="Arial" w:cs="Arial"/>
          <w:i w:val="0"/>
          <w:color w:val="auto"/>
        </w:rPr>
      </w:pPr>
      <w:r w:rsidRPr="00F81AA7">
        <w:rPr>
          <w:rFonts w:ascii="Arial" w:hAnsi="Arial" w:cs="Arial"/>
          <w:i w:val="0"/>
          <w:color w:val="auto"/>
        </w:rPr>
        <w:t xml:space="preserve">ToR </w:t>
      </w:r>
      <w:r w:rsidR="0096074C" w:rsidRPr="00F81AA7">
        <w:rPr>
          <w:rFonts w:ascii="Arial" w:hAnsi="Arial" w:cs="Arial"/>
          <w:i w:val="0"/>
          <w:color w:val="auto"/>
        </w:rPr>
        <w:t>2. Review emerging clinical treatments and diseases, including those that identify sub-groups by molecular target, which could potentially seek subsidisation through the LSDP in the future.</w:t>
      </w:r>
    </w:p>
    <w:p w:rsidR="0096074C" w:rsidRPr="00A10598" w:rsidRDefault="0096074C" w:rsidP="00CB5520">
      <w:pPr>
        <w:pStyle w:val="ListParagraph"/>
        <w:widowControl w:val="0"/>
        <w:numPr>
          <w:ilvl w:val="1"/>
          <w:numId w:val="9"/>
        </w:numPr>
        <w:tabs>
          <w:tab w:val="left" w:pos="220"/>
          <w:tab w:val="left" w:pos="720"/>
        </w:tabs>
        <w:autoSpaceDE w:val="0"/>
        <w:autoSpaceDN w:val="0"/>
        <w:adjustRightInd w:val="0"/>
        <w:spacing w:after="0" w:line="360" w:lineRule="auto"/>
        <w:jc w:val="both"/>
        <w:rPr>
          <w:rFonts w:ascii="Arial" w:hAnsi="Arial" w:cs="Arial"/>
          <w:color w:val="1A1A1A"/>
        </w:rPr>
      </w:pPr>
      <w:r w:rsidRPr="00A10598">
        <w:rPr>
          <w:rFonts w:ascii="Arial" w:hAnsi="Arial" w:cs="Arial"/>
          <w:color w:val="1A1A1A"/>
        </w:rPr>
        <w:t>There are in the order of 6</w:t>
      </w:r>
      <w:r w:rsidR="000014BA">
        <w:rPr>
          <w:rFonts w:ascii="Arial" w:hAnsi="Arial" w:cs="Arial"/>
          <w:color w:val="1A1A1A"/>
        </w:rPr>
        <w:t>,</w:t>
      </w:r>
      <w:r>
        <w:rPr>
          <w:rFonts w:ascii="Arial" w:hAnsi="Arial" w:cs="Arial"/>
          <w:color w:val="1A1A1A"/>
        </w:rPr>
        <w:t>000</w:t>
      </w:r>
      <w:r w:rsidRPr="00A10598">
        <w:rPr>
          <w:rFonts w:ascii="Arial" w:hAnsi="Arial" w:cs="Arial"/>
          <w:color w:val="1A1A1A"/>
        </w:rPr>
        <w:t>-7</w:t>
      </w:r>
      <w:r w:rsidR="000014BA">
        <w:rPr>
          <w:rFonts w:ascii="Arial" w:hAnsi="Arial" w:cs="Arial"/>
          <w:color w:val="1A1A1A"/>
        </w:rPr>
        <w:t>,</w:t>
      </w:r>
      <w:r w:rsidRPr="00A10598">
        <w:rPr>
          <w:rFonts w:ascii="Arial" w:hAnsi="Arial" w:cs="Arial"/>
          <w:color w:val="1A1A1A"/>
        </w:rPr>
        <w:t xml:space="preserve">000 single gene disorders, although not all are likely to be responsive to enzyme or similar replacement therapy, and many are very rare. However, </w:t>
      </w:r>
      <w:r>
        <w:rPr>
          <w:rFonts w:ascii="Arial" w:hAnsi="Arial" w:cs="Arial"/>
          <w:color w:val="1A1A1A"/>
        </w:rPr>
        <w:t>through advancement in research and technology</w:t>
      </w:r>
      <w:r w:rsidR="00DA5952">
        <w:rPr>
          <w:rFonts w:ascii="Arial" w:hAnsi="Arial" w:cs="Arial"/>
          <w:color w:val="1A1A1A"/>
        </w:rPr>
        <w:t>,</w:t>
      </w:r>
      <w:r>
        <w:rPr>
          <w:rFonts w:ascii="Arial" w:hAnsi="Arial" w:cs="Arial"/>
          <w:color w:val="1A1A1A"/>
        </w:rPr>
        <w:t xml:space="preserve"> </w:t>
      </w:r>
      <w:r w:rsidRPr="00A10598">
        <w:rPr>
          <w:rFonts w:ascii="Arial" w:hAnsi="Arial" w:cs="Arial"/>
          <w:color w:val="1A1A1A"/>
        </w:rPr>
        <w:t xml:space="preserve">there is likely to be an increase in the diversity of treatments available to treat diseases of largely genetic origin </w:t>
      </w:r>
      <w:r w:rsidR="00DA5952">
        <w:rPr>
          <w:rFonts w:ascii="Arial" w:hAnsi="Arial" w:cs="Arial"/>
          <w:color w:val="1A1A1A"/>
        </w:rPr>
        <w:t xml:space="preserve">or with a genetic component </w:t>
      </w:r>
      <w:r w:rsidRPr="00A10598">
        <w:rPr>
          <w:rFonts w:ascii="Arial" w:hAnsi="Arial" w:cs="Arial"/>
          <w:color w:val="1A1A1A"/>
        </w:rPr>
        <w:t xml:space="preserve">such as those currently funded under the LSDP. This will include new medications for currently listed diseases and </w:t>
      </w:r>
      <w:r>
        <w:rPr>
          <w:rFonts w:ascii="Arial" w:hAnsi="Arial" w:cs="Arial"/>
          <w:color w:val="1A1A1A"/>
        </w:rPr>
        <w:t xml:space="preserve">medicines </w:t>
      </w:r>
      <w:r w:rsidRPr="00A10598">
        <w:rPr>
          <w:rFonts w:ascii="Arial" w:hAnsi="Arial" w:cs="Arial"/>
          <w:color w:val="1A1A1A"/>
        </w:rPr>
        <w:t xml:space="preserve">for other rare genetic diseases, </w:t>
      </w:r>
      <w:r>
        <w:rPr>
          <w:rFonts w:ascii="Arial" w:hAnsi="Arial" w:cs="Arial"/>
          <w:color w:val="1A1A1A"/>
        </w:rPr>
        <w:t xml:space="preserve">such as </w:t>
      </w:r>
      <w:r w:rsidRPr="00A10598">
        <w:rPr>
          <w:rFonts w:ascii="Arial" w:hAnsi="Arial" w:cs="Arial"/>
          <w:color w:val="1A1A1A"/>
        </w:rPr>
        <w:t>stem cell therapies, and other approaches to</w:t>
      </w:r>
      <w:r w:rsidR="00363F11">
        <w:rPr>
          <w:rFonts w:ascii="Arial" w:hAnsi="Arial" w:cs="Arial"/>
          <w:color w:val="1A1A1A"/>
        </w:rPr>
        <w:t xml:space="preserve"> gene modification and</w:t>
      </w:r>
      <w:r w:rsidRPr="00A10598">
        <w:rPr>
          <w:rFonts w:ascii="Arial" w:hAnsi="Arial" w:cs="Arial"/>
          <w:color w:val="1A1A1A"/>
        </w:rPr>
        <w:t xml:space="preserve"> modifying the </w:t>
      </w:r>
      <w:r w:rsidR="00363F11">
        <w:rPr>
          <w:rFonts w:ascii="Arial" w:hAnsi="Arial" w:cs="Arial"/>
          <w:color w:val="1A1A1A"/>
        </w:rPr>
        <w:t xml:space="preserve">cellular or gene replication machinery (e.g. </w:t>
      </w:r>
      <w:proofErr w:type="gramStart"/>
      <w:r w:rsidR="00363F11">
        <w:rPr>
          <w:rFonts w:ascii="Arial" w:hAnsi="Arial" w:cs="Arial"/>
          <w:color w:val="1A1A1A"/>
        </w:rPr>
        <w:t>Stop</w:t>
      </w:r>
      <w:proofErr w:type="gramEnd"/>
      <w:r w:rsidR="00363F11">
        <w:rPr>
          <w:rFonts w:ascii="Arial" w:hAnsi="Arial" w:cs="Arial"/>
          <w:color w:val="1A1A1A"/>
        </w:rPr>
        <w:t xml:space="preserve"> codon over-ride in </w:t>
      </w:r>
      <w:proofErr w:type="spellStart"/>
      <w:r w:rsidR="00363F11">
        <w:rPr>
          <w:rFonts w:ascii="Arial" w:hAnsi="Arial" w:cs="Arial"/>
          <w:color w:val="1A1A1A"/>
        </w:rPr>
        <w:t>Duchenne</w:t>
      </w:r>
      <w:proofErr w:type="spellEnd"/>
      <w:r w:rsidR="00363F11">
        <w:rPr>
          <w:rFonts w:ascii="Arial" w:hAnsi="Arial" w:cs="Arial"/>
          <w:color w:val="1A1A1A"/>
        </w:rPr>
        <w:t xml:space="preserve"> Muscular Dystrophy)</w:t>
      </w:r>
      <w:r w:rsidRPr="00A10598">
        <w:rPr>
          <w:rFonts w:ascii="Arial" w:hAnsi="Arial" w:cs="Arial"/>
          <w:color w:val="1A1A1A"/>
        </w:rPr>
        <w:t>.</w:t>
      </w:r>
    </w:p>
    <w:p w:rsidR="0096074C" w:rsidRPr="00A10598" w:rsidRDefault="0096074C" w:rsidP="008A4CEA">
      <w:pPr>
        <w:pStyle w:val="ListParagraph"/>
        <w:widowControl w:val="0"/>
        <w:numPr>
          <w:ilvl w:val="1"/>
          <w:numId w:val="9"/>
        </w:numPr>
        <w:tabs>
          <w:tab w:val="left" w:pos="220"/>
          <w:tab w:val="left" w:pos="720"/>
        </w:tabs>
        <w:autoSpaceDE w:val="0"/>
        <w:autoSpaceDN w:val="0"/>
        <w:adjustRightInd w:val="0"/>
        <w:spacing w:after="0" w:line="360" w:lineRule="auto"/>
        <w:jc w:val="both"/>
        <w:rPr>
          <w:rFonts w:ascii="Arial" w:hAnsi="Arial" w:cs="Arial"/>
          <w:color w:val="1A1A1A"/>
        </w:rPr>
      </w:pPr>
      <w:r w:rsidRPr="00A10598">
        <w:rPr>
          <w:rFonts w:ascii="Arial" w:hAnsi="Arial" w:cs="Arial"/>
          <w:color w:val="1A1A1A"/>
        </w:rPr>
        <w:t xml:space="preserve">The types of medicines currently </w:t>
      </w:r>
      <w:r>
        <w:rPr>
          <w:rFonts w:ascii="Arial" w:hAnsi="Arial" w:cs="Arial"/>
          <w:color w:val="1A1A1A"/>
        </w:rPr>
        <w:t>funded through</w:t>
      </w:r>
      <w:r w:rsidRPr="00A10598">
        <w:rPr>
          <w:rFonts w:ascii="Arial" w:hAnsi="Arial" w:cs="Arial"/>
          <w:color w:val="1A1A1A"/>
        </w:rPr>
        <w:t xml:space="preserve"> the LSDP are qualitatively different b</w:t>
      </w:r>
      <w:r>
        <w:rPr>
          <w:rFonts w:ascii="Arial" w:hAnsi="Arial" w:cs="Arial"/>
          <w:color w:val="1A1A1A"/>
        </w:rPr>
        <w:t>ut overlap</w:t>
      </w:r>
      <w:r w:rsidRPr="00A10598">
        <w:rPr>
          <w:rFonts w:ascii="Arial" w:hAnsi="Arial" w:cs="Arial"/>
          <w:color w:val="1A1A1A"/>
        </w:rPr>
        <w:t xml:space="preserve"> with medicines that are targeted at specific genetic variations in common diseases, such as specific </w:t>
      </w:r>
      <w:r w:rsidRPr="00A10598">
        <w:rPr>
          <w:rFonts w:ascii="Arial" w:hAnsi="Arial" w:cs="Arial"/>
          <w:color w:val="1A1A1A"/>
        </w:rPr>
        <w:lastRenderedPageBreak/>
        <w:t>mutations in some breast cancers. These developments</w:t>
      </w:r>
      <w:r w:rsidR="00DA5952">
        <w:rPr>
          <w:rFonts w:ascii="Arial" w:hAnsi="Arial" w:cs="Arial"/>
          <w:color w:val="1A1A1A"/>
        </w:rPr>
        <w:t xml:space="preserve"> in </w:t>
      </w:r>
      <w:proofErr w:type="spellStart"/>
      <w:r w:rsidR="00DA5952">
        <w:rPr>
          <w:rFonts w:ascii="Arial" w:hAnsi="Arial" w:cs="Arial"/>
          <w:color w:val="1A1A1A"/>
        </w:rPr>
        <w:t>pharmacogenomic</w:t>
      </w:r>
      <w:proofErr w:type="spellEnd"/>
      <w:r w:rsidR="00DA5952">
        <w:rPr>
          <w:rFonts w:ascii="Arial" w:hAnsi="Arial" w:cs="Arial"/>
          <w:color w:val="1A1A1A"/>
        </w:rPr>
        <w:t xml:space="preserve"> research</w:t>
      </w:r>
      <w:r w:rsidRPr="00A10598">
        <w:rPr>
          <w:rFonts w:ascii="Arial" w:hAnsi="Arial" w:cs="Arial"/>
          <w:color w:val="1A1A1A"/>
        </w:rPr>
        <w:t xml:space="preserve">, referred to </w:t>
      </w:r>
      <w:r w:rsidR="00DA5952">
        <w:rPr>
          <w:rFonts w:ascii="Arial" w:hAnsi="Arial" w:cs="Arial"/>
          <w:color w:val="1A1A1A"/>
        </w:rPr>
        <w:t xml:space="preserve">as </w:t>
      </w:r>
      <w:r w:rsidRPr="00A10598">
        <w:rPr>
          <w:rFonts w:ascii="Arial" w:hAnsi="Arial" w:cs="Arial"/>
          <w:color w:val="1A1A1A"/>
        </w:rPr>
        <w:t>gene</w:t>
      </w:r>
      <w:r>
        <w:rPr>
          <w:rFonts w:ascii="Arial" w:hAnsi="Arial" w:cs="Arial"/>
          <w:color w:val="1A1A1A"/>
        </w:rPr>
        <w:t>t</w:t>
      </w:r>
      <w:r w:rsidRPr="00A10598">
        <w:rPr>
          <w:rFonts w:ascii="Arial" w:hAnsi="Arial" w:cs="Arial"/>
          <w:color w:val="1A1A1A"/>
        </w:rPr>
        <w:t xml:space="preserve">ically </w:t>
      </w:r>
      <w:proofErr w:type="gramStart"/>
      <w:r w:rsidRPr="00A10598">
        <w:rPr>
          <w:rFonts w:ascii="Arial" w:hAnsi="Arial" w:cs="Arial"/>
          <w:color w:val="1A1A1A"/>
        </w:rPr>
        <w:t>stratified</w:t>
      </w:r>
      <w:proofErr w:type="gramEnd"/>
      <w:r w:rsidRPr="00A10598">
        <w:rPr>
          <w:rFonts w:ascii="Arial" w:hAnsi="Arial" w:cs="Arial"/>
          <w:color w:val="1A1A1A"/>
        </w:rPr>
        <w:t xml:space="preserve"> or </w:t>
      </w:r>
      <w:r w:rsidR="00DA5952">
        <w:rPr>
          <w:rFonts w:ascii="Arial" w:hAnsi="Arial" w:cs="Arial"/>
          <w:color w:val="1A1A1A"/>
        </w:rPr>
        <w:t>‘</w:t>
      </w:r>
      <w:r w:rsidRPr="00A10598">
        <w:rPr>
          <w:rFonts w:ascii="Arial" w:hAnsi="Arial" w:cs="Arial"/>
          <w:color w:val="1A1A1A"/>
        </w:rPr>
        <w:t>personali</w:t>
      </w:r>
      <w:r w:rsidR="00DA5952">
        <w:rPr>
          <w:rFonts w:ascii="Arial" w:hAnsi="Arial" w:cs="Arial"/>
          <w:color w:val="1A1A1A"/>
        </w:rPr>
        <w:t>s</w:t>
      </w:r>
      <w:r w:rsidRPr="00A10598">
        <w:rPr>
          <w:rFonts w:ascii="Arial" w:hAnsi="Arial" w:cs="Arial"/>
          <w:color w:val="1A1A1A"/>
        </w:rPr>
        <w:t>ed medicine</w:t>
      </w:r>
      <w:r w:rsidR="00DA5952">
        <w:rPr>
          <w:rFonts w:ascii="Arial" w:hAnsi="Arial" w:cs="Arial"/>
          <w:color w:val="1A1A1A"/>
        </w:rPr>
        <w:t>’</w:t>
      </w:r>
      <w:r w:rsidRPr="00A10598">
        <w:rPr>
          <w:rFonts w:ascii="Arial" w:hAnsi="Arial" w:cs="Arial"/>
          <w:color w:val="1A1A1A"/>
        </w:rPr>
        <w:t>, can lead to situations where a relatively small group within the total population with a relatively common disease may be identified as being uniquely responsive to a particular medication. In general, however, these patients may also have recourse to other effective medications and therapies for the broader population with the disease unlike those with the diseases currently included in the LSDP. It is evident that there will be a large growth in tests and medications that enabled stratification</w:t>
      </w:r>
      <w:r w:rsidR="00DA5952">
        <w:rPr>
          <w:rFonts w:ascii="Arial" w:hAnsi="Arial" w:cs="Arial"/>
          <w:color w:val="1A1A1A"/>
        </w:rPr>
        <w:t xml:space="preserve"> of patients within a larger disease or condition</w:t>
      </w:r>
      <w:r w:rsidRPr="00A10598">
        <w:rPr>
          <w:rFonts w:ascii="Arial" w:hAnsi="Arial" w:cs="Arial"/>
          <w:color w:val="1A1A1A"/>
        </w:rPr>
        <w:t xml:space="preserve">. This </w:t>
      </w:r>
      <w:r>
        <w:rPr>
          <w:rFonts w:ascii="Arial" w:hAnsi="Arial" w:cs="Arial"/>
          <w:color w:val="1A1A1A"/>
        </w:rPr>
        <w:t>development may</w:t>
      </w:r>
      <w:r w:rsidRPr="00A10598">
        <w:rPr>
          <w:rFonts w:ascii="Arial" w:hAnsi="Arial" w:cs="Arial"/>
          <w:color w:val="1A1A1A"/>
        </w:rPr>
        <w:t xml:space="preserve"> require future modification to the </w:t>
      </w:r>
      <w:r>
        <w:rPr>
          <w:rFonts w:ascii="Arial" w:hAnsi="Arial" w:cs="Arial"/>
          <w:color w:val="1A1A1A"/>
        </w:rPr>
        <w:t xml:space="preserve">guidelines for submissions to the Pharmaceutical Benefits Advisory Committee (PBAC) and </w:t>
      </w:r>
      <w:r w:rsidRPr="00A10598">
        <w:rPr>
          <w:rFonts w:ascii="Arial" w:hAnsi="Arial" w:cs="Arial"/>
          <w:color w:val="1A1A1A"/>
        </w:rPr>
        <w:t>is not considered further in this report.</w:t>
      </w:r>
    </w:p>
    <w:p w:rsidR="0096074C" w:rsidRPr="00A10598" w:rsidRDefault="0096074C" w:rsidP="008A4CEA">
      <w:pPr>
        <w:pStyle w:val="ListParagraph"/>
        <w:widowControl w:val="0"/>
        <w:numPr>
          <w:ilvl w:val="1"/>
          <w:numId w:val="9"/>
        </w:numPr>
        <w:tabs>
          <w:tab w:val="left" w:pos="220"/>
          <w:tab w:val="left" w:pos="720"/>
        </w:tabs>
        <w:autoSpaceDE w:val="0"/>
        <w:autoSpaceDN w:val="0"/>
        <w:adjustRightInd w:val="0"/>
        <w:spacing w:after="0" w:line="360" w:lineRule="auto"/>
        <w:jc w:val="both"/>
        <w:rPr>
          <w:rFonts w:ascii="Arial" w:hAnsi="Arial" w:cs="Arial"/>
          <w:color w:val="1A1A1A"/>
        </w:rPr>
      </w:pPr>
      <w:r>
        <w:rPr>
          <w:rFonts w:ascii="Arial" w:hAnsi="Arial" w:cs="Arial"/>
          <w:color w:val="1A1A1A"/>
        </w:rPr>
        <w:t>It is likely that t</w:t>
      </w:r>
      <w:r w:rsidRPr="00A10598">
        <w:rPr>
          <w:rFonts w:ascii="Arial" w:hAnsi="Arial" w:cs="Arial"/>
          <w:color w:val="1A1A1A"/>
        </w:rPr>
        <w:t xml:space="preserve">reatments similar in nature to those currently listed on the LSDP will be available for a range of genetic diseases as rare as those currently listed but also for much more common genetic conditions such as Cystic Fibrosis and </w:t>
      </w:r>
      <w:proofErr w:type="spellStart"/>
      <w:r w:rsidRPr="00A10598">
        <w:rPr>
          <w:rFonts w:ascii="Arial" w:hAnsi="Arial" w:cs="Arial"/>
          <w:color w:val="1A1A1A"/>
        </w:rPr>
        <w:t>Duchenne</w:t>
      </w:r>
      <w:proofErr w:type="spellEnd"/>
      <w:r w:rsidRPr="00A10598">
        <w:rPr>
          <w:rFonts w:ascii="Arial" w:hAnsi="Arial" w:cs="Arial"/>
          <w:color w:val="1A1A1A"/>
        </w:rPr>
        <w:t xml:space="preserve"> Muscular Dystrophy.</w:t>
      </w:r>
    </w:p>
    <w:p w:rsidR="0096074C" w:rsidRDefault="0096074C" w:rsidP="008A4CEA">
      <w:pPr>
        <w:pStyle w:val="ListParagraph"/>
        <w:widowControl w:val="0"/>
        <w:numPr>
          <w:ilvl w:val="1"/>
          <w:numId w:val="9"/>
        </w:numPr>
        <w:tabs>
          <w:tab w:val="left" w:pos="220"/>
          <w:tab w:val="left" w:pos="720"/>
        </w:tabs>
        <w:autoSpaceDE w:val="0"/>
        <w:autoSpaceDN w:val="0"/>
        <w:adjustRightInd w:val="0"/>
        <w:spacing w:after="0" w:line="360" w:lineRule="auto"/>
        <w:jc w:val="both"/>
        <w:rPr>
          <w:rFonts w:ascii="Arial" w:hAnsi="Arial" w:cs="Arial"/>
          <w:color w:val="1A1A1A"/>
        </w:rPr>
      </w:pPr>
      <w:r w:rsidRPr="00A10598">
        <w:rPr>
          <w:rFonts w:ascii="Arial" w:hAnsi="Arial" w:cs="Arial"/>
          <w:color w:val="1A1A1A"/>
        </w:rPr>
        <w:t xml:space="preserve">The current </w:t>
      </w:r>
      <w:r w:rsidR="000E5466">
        <w:rPr>
          <w:rFonts w:ascii="Arial" w:hAnsi="Arial" w:cs="Arial"/>
          <w:color w:val="1A1A1A"/>
        </w:rPr>
        <w:t>name of the programme</w:t>
      </w:r>
      <w:r w:rsidRPr="00A10598">
        <w:rPr>
          <w:rFonts w:ascii="Arial" w:hAnsi="Arial" w:cs="Arial"/>
          <w:color w:val="1A1A1A"/>
        </w:rPr>
        <w:t xml:space="preserve"> ‘Life Saving Drugs Program</w:t>
      </w:r>
      <w:r w:rsidR="008937F2">
        <w:rPr>
          <w:rFonts w:ascii="Arial" w:hAnsi="Arial" w:cs="Arial"/>
          <w:color w:val="1A1A1A"/>
        </w:rPr>
        <w:t>me</w:t>
      </w:r>
      <w:r w:rsidRPr="00A10598">
        <w:rPr>
          <w:rFonts w:ascii="Arial" w:hAnsi="Arial" w:cs="Arial"/>
          <w:color w:val="1A1A1A"/>
        </w:rPr>
        <w:t xml:space="preserve">’ appears to be </w:t>
      </w:r>
      <w:r>
        <w:rPr>
          <w:rFonts w:ascii="Arial" w:hAnsi="Arial" w:cs="Arial"/>
          <w:color w:val="1A1A1A"/>
        </w:rPr>
        <w:t>poorly descriptive</w:t>
      </w:r>
      <w:r w:rsidRPr="00A10598">
        <w:rPr>
          <w:rFonts w:ascii="Arial" w:hAnsi="Arial" w:cs="Arial"/>
          <w:color w:val="1A1A1A"/>
        </w:rPr>
        <w:t>. Many drugs subsidi</w:t>
      </w:r>
      <w:r>
        <w:rPr>
          <w:rFonts w:ascii="Arial" w:hAnsi="Arial" w:cs="Arial"/>
          <w:color w:val="1A1A1A"/>
        </w:rPr>
        <w:t>s</w:t>
      </w:r>
      <w:r w:rsidRPr="00A10598">
        <w:rPr>
          <w:rFonts w:ascii="Arial" w:hAnsi="Arial" w:cs="Arial"/>
          <w:color w:val="1A1A1A"/>
        </w:rPr>
        <w:t xml:space="preserve">ed on the PBS </w:t>
      </w:r>
      <w:r w:rsidR="00104645">
        <w:rPr>
          <w:rFonts w:ascii="Arial" w:hAnsi="Arial" w:cs="Arial"/>
          <w:color w:val="1A1A1A"/>
        </w:rPr>
        <w:t>have evidence that they improve patients</w:t>
      </w:r>
      <w:r w:rsidR="00356809">
        <w:rPr>
          <w:rFonts w:ascii="Arial" w:hAnsi="Arial" w:cs="Arial"/>
          <w:color w:val="1A1A1A"/>
        </w:rPr>
        <w:t>’</w:t>
      </w:r>
      <w:r w:rsidR="00104645">
        <w:rPr>
          <w:rFonts w:ascii="Arial" w:hAnsi="Arial" w:cs="Arial"/>
          <w:color w:val="1A1A1A"/>
        </w:rPr>
        <w:t xml:space="preserve"> survival and their quality of life</w:t>
      </w:r>
      <w:r w:rsidR="00356809">
        <w:rPr>
          <w:rFonts w:ascii="Arial" w:hAnsi="Arial" w:cs="Arial"/>
          <w:color w:val="1A1A1A"/>
        </w:rPr>
        <w:t>,</w:t>
      </w:r>
      <w:r w:rsidR="00104645">
        <w:rPr>
          <w:rFonts w:ascii="Arial" w:hAnsi="Arial" w:cs="Arial"/>
          <w:color w:val="1A1A1A"/>
        </w:rPr>
        <w:t xml:space="preserve"> </w:t>
      </w:r>
      <w:r w:rsidR="00356809">
        <w:rPr>
          <w:rFonts w:ascii="Arial" w:hAnsi="Arial" w:cs="Arial"/>
          <w:color w:val="1A1A1A"/>
        </w:rPr>
        <w:t xml:space="preserve">and </w:t>
      </w:r>
      <w:r w:rsidR="00104645">
        <w:rPr>
          <w:rFonts w:ascii="Arial" w:hAnsi="Arial" w:cs="Arial"/>
          <w:color w:val="1A1A1A"/>
        </w:rPr>
        <w:t>could be considered to be</w:t>
      </w:r>
      <w:r w:rsidRPr="00A10598">
        <w:rPr>
          <w:rFonts w:ascii="Arial" w:hAnsi="Arial" w:cs="Arial"/>
          <w:color w:val="1A1A1A"/>
        </w:rPr>
        <w:t xml:space="preserve"> </w:t>
      </w:r>
      <w:r w:rsidR="00104645">
        <w:rPr>
          <w:rFonts w:ascii="Arial" w:hAnsi="Arial" w:cs="Arial"/>
          <w:color w:val="1A1A1A"/>
        </w:rPr>
        <w:t>‘</w:t>
      </w:r>
      <w:r w:rsidRPr="00A10598">
        <w:rPr>
          <w:rFonts w:ascii="Arial" w:hAnsi="Arial" w:cs="Arial"/>
          <w:color w:val="1A1A1A"/>
        </w:rPr>
        <w:t>life saving</w:t>
      </w:r>
      <w:r w:rsidR="00104645">
        <w:rPr>
          <w:rFonts w:ascii="Arial" w:hAnsi="Arial" w:cs="Arial"/>
          <w:color w:val="1A1A1A"/>
        </w:rPr>
        <w:t>’. B</w:t>
      </w:r>
      <w:r w:rsidRPr="00A10598">
        <w:rPr>
          <w:rFonts w:ascii="Arial" w:hAnsi="Arial" w:cs="Arial"/>
          <w:color w:val="1A1A1A"/>
        </w:rPr>
        <w:t xml:space="preserve">ased on the available evidence of </w:t>
      </w:r>
      <w:r>
        <w:rPr>
          <w:rFonts w:ascii="Arial" w:hAnsi="Arial" w:cs="Arial"/>
          <w:color w:val="1A1A1A"/>
        </w:rPr>
        <w:t xml:space="preserve">comparative </w:t>
      </w:r>
      <w:r w:rsidRPr="00A10598">
        <w:rPr>
          <w:rFonts w:ascii="Arial" w:hAnsi="Arial" w:cs="Arial"/>
          <w:color w:val="1A1A1A"/>
        </w:rPr>
        <w:t xml:space="preserve">effectiveness, the extent to which some LSDP listed drugs are life saving is </w:t>
      </w:r>
      <w:r>
        <w:rPr>
          <w:rFonts w:ascii="Arial" w:hAnsi="Arial" w:cs="Arial"/>
          <w:color w:val="1A1A1A"/>
        </w:rPr>
        <w:t xml:space="preserve">still </w:t>
      </w:r>
      <w:r w:rsidRPr="00A10598">
        <w:rPr>
          <w:rFonts w:ascii="Arial" w:hAnsi="Arial" w:cs="Arial"/>
          <w:color w:val="1A1A1A"/>
        </w:rPr>
        <w:t xml:space="preserve">questionable. </w:t>
      </w:r>
    </w:p>
    <w:p w:rsidR="0096074C" w:rsidRDefault="0096074C" w:rsidP="008A4CEA">
      <w:pPr>
        <w:pStyle w:val="ListParagraph"/>
        <w:widowControl w:val="0"/>
        <w:numPr>
          <w:ilvl w:val="1"/>
          <w:numId w:val="9"/>
        </w:numPr>
        <w:tabs>
          <w:tab w:val="left" w:pos="220"/>
          <w:tab w:val="left" w:pos="720"/>
        </w:tabs>
        <w:autoSpaceDE w:val="0"/>
        <w:autoSpaceDN w:val="0"/>
        <w:adjustRightInd w:val="0"/>
        <w:spacing w:after="0" w:line="360" w:lineRule="auto"/>
        <w:jc w:val="both"/>
        <w:rPr>
          <w:rFonts w:ascii="Arial" w:hAnsi="Arial" w:cs="Arial"/>
          <w:color w:val="1A1A1A"/>
        </w:rPr>
      </w:pPr>
      <w:r>
        <w:rPr>
          <w:rFonts w:ascii="Arial" w:hAnsi="Arial" w:cs="Arial"/>
          <w:color w:val="1A1A1A"/>
        </w:rPr>
        <w:t>From an ethical perspective there is little basis for distinguishing rare genetic diseases from other rare conditions. Indeed</w:t>
      </w:r>
      <w:r w:rsidR="00DA5952">
        <w:rPr>
          <w:rFonts w:ascii="Arial" w:hAnsi="Arial" w:cs="Arial"/>
          <w:color w:val="1A1A1A"/>
        </w:rPr>
        <w:t>,</w:t>
      </w:r>
      <w:r>
        <w:rPr>
          <w:rFonts w:ascii="Arial" w:hAnsi="Arial" w:cs="Arial"/>
          <w:color w:val="1A1A1A"/>
        </w:rPr>
        <w:t xml:space="preserve"> doing so may distort the overall reimbursement process, as companies may price drugs so that they are not cost-effective and </w:t>
      </w:r>
      <w:r w:rsidR="00356809">
        <w:rPr>
          <w:rFonts w:ascii="Arial" w:hAnsi="Arial" w:cs="Arial"/>
          <w:color w:val="1A1A1A"/>
        </w:rPr>
        <w:t xml:space="preserve">therefore </w:t>
      </w:r>
      <w:r>
        <w:rPr>
          <w:rFonts w:ascii="Arial" w:hAnsi="Arial" w:cs="Arial"/>
          <w:color w:val="1A1A1A"/>
        </w:rPr>
        <w:t xml:space="preserve">referred to a special </w:t>
      </w:r>
      <w:r w:rsidR="00356809">
        <w:rPr>
          <w:rFonts w:ascii="Arial" w:hAnsi="Arial" w:cs="Arial"/>
          <w:color w:val="1A1A1A"/>
        </w:rPr>
        <w:t xml:space="preserve">high </w:t>
      </w:r>
      <w:r>
        <w:rPr>
          <w:rFonts w:ascii="Arial" w:hAnsi="Arial" w:cs="Arial"/>
          <w:color w:val="1A1A1A"/>
        </w:rPr>
        <w:t xml:space="preserve">subsidy programme like the LSDP. </w:t>
      </w:r>
    </w:p>
    <w:p w:rsidR="0096074C" w:rsidRPr="00A10598" w:rsidRDefault="0096074C" w:rsidP="008A4CEA">
      <w:pPr>
        <w:pStyle w:val="ListParagraph"/>
        <w:widowControl w:val="0"/>
        <w:numPr>
          <w:ilvl w:val="1"/>
          <w:numId w:val="9"/>
        </w:numPr>
        <w:tabs>
          <w:tab w:val="left" w:pos="220"/>
          <w:tab w:val="left" w:pos="720"/>
        </w:tabs>
        <w:autoSpaceDE w:val="0"/>
        <w:autoSpaceDN w:val="0"/>
        <w:adjustRightInd w:val="0"/>
        <w:spacing w:after="0" w:line="360" w:lineRule="auto"/>
        <w:jc w:val="both"/>
        <w:rPr>
          <w:rFonts w:ascii="Arial" w:hAnsi="Arial" w:cs="Arial"/>
          <w:color w:val="1A1A1A"/>
        </w:rPr>
      </w:pPr>
      <w:r>
        <w:rPr>
          <w:rFonts w:ascii="Arial" w:hAnsi="Arial" w:cs="Arial"/>
          <w:color w:val="1A1A1A"/>
        </w:rPr>
        <w:t>The rationale for determining drug subsidy varies between</w:t>
      </w:r>
      <w:r w:rsidRPr="00A10598">
        <w:rPr>
          <w:rFonts w:ascii="Arial" w:hAnsi="Arial" w:cs="Arial"/>
          <w:color w:val="1A1A1A"/>
        </w:rPr>
        <w:t xml:space="preserve"> many countries</w:t>
      </w:r>
      <w:r w:rsidR="00DA5952">
        <w:rPr>
          <w:rFonts w:ascii="Arial" w:hAnsi="Arial" w:cs="Arial"/>
          <w:color w:val="1A1A1A"/>
        </w:rPr>
        <w:t xml:space="preserve"> with similar economies</w:t>
      </w:r>
      <w:r>
        <w:rPr>
          <w:rFonts w:ascii="Arial" w:hAnsi="Arial" w:cs="Arial"/>
          <w:color w:val="1A1A1A"/>
        </w:rPr>
        <w:t>. The rarity of conditions is one factor (see 3.1</w:t>
      </w:r>
      <w:r w:rsidR="00DA5952">
        <w:rPr>
          <w:rFonts w:ascii="Arial" w:hAnsi="Arial" w:cs="Arial"/>
          <w:color w:val="1A1A1A"/>
        </w:rPr>
        <w:t xml:space="preserve"> below</w:t>
      </w:r>
      <w:r>
        <w:rPr>
          <w:rFonts w:ascii="Arial" w:hAnsi="Arial" w:cs="Arial"/>
          <w:color w:val="1A1A1A"/>
        </w:rPr>
        <w:t>)</w:t>
      </w:r>
      <w:r w:rsidRPr="00A10598">
        <w:rPr>
          <w:rFonts w:ascii="Arial" w:hAnsi="Arial" w:cs="Arial"/>
          <w:color w:val="1A1A1A"/>
        </w:rPr>
        <w:t>. In some cases</w:t>
      </w:r>
      <w:r w:rsidR="00DA5952">
        <w:rPr>
          <w:rFonts w:ascii="Arial" w:hAnsi="Arial" w:cs="Arial"/>
          <w:color w:val="1A1A1A"/>
        </w:rPr>
        <w:t>,</w:t>
      </w:r>
      <w:r w:rsidRPr="00A10598">
        <w:rPr>
          <w:rFonts w:ascii="Arial" w:hAnsi="Arial" w:cs="Arial"/>
          <w:color w:val="1A1A1A"/>
        </w:rPr>
        <w:t xml:space="preserve"> such as the USA</w:t>
      </w:r>
      <w:r w:rsidR="00DA5952">
        <w:rPr>
          <w:rFonts w:ascii="Arial" w:hAnsi="Arial" w:cs="Arial"/>
          <w:color w:val="1A1A1A"/>
        </w:rPr>
        <w:t>,</w:t>
      </w:r>
      <w:r>
        <w:rPr>
          <w:rFonts w:ascii="Arial" w:hAnsi="Arial" w:cs="Arial"/>
          <w:color w:val="1A1A1A"/>
        </w:rPr>
        <w:t xml:space="preserve"> the medicines special access programme </w:t>
      </w:r>
      <w:r w:rsidRPr="00A10598">
        <w:rPr>
          <w:rFonts w:ascii="Arial" w:hAnsi="Arial" w:cs="Arial"/>
          <w:color w:val="1A1A1A"/>
        </w:rPr>
        <w:t xml:space="preserve">was </w:t>
      </w:r>
      <w:r>
        <w:rPr>
          <w:rFonts w:ascii="Arial" w:hAnsi="Arial" w:cs="Arial"/>
          <w:color w:val="1A1A1A"/>
        </w:rPr>
        <w:t xml:space="preserve">developed </w:t>
      </w:r>
      <w:r w:rsidRPr="00A10598">
        <w:rPr>
          <w:rFonts w:ascii="Arial" w:hAnsi="Arial" w:cs="Arial"/>
          <w:color w:val="1A1A1A"/>
        </w:rPr>
        <w:t>primarily to draw attention to diseases that conventional pharmaceutical development program</w:t>
      </w:r>
      <w:r>
        <w:rPr>
          <w:rFonts w:ascii="Arial" w:hAnsi="Arial" w:cs="Arial"/>
          <w:color w:val="1A1A1A"/>
        </w:rPr>
        <w:t>me</w:t>
      </w:r>
      <w:r w:rsidRPr="00A10598">
        <w:rPr>
          <w:rFonts w:ascii="Arial" w:hAnsi="Arial" w:cs="Arial"/>
          <w:color w:val="1A1A1A"/>
        </w:rPr>
        <w:t>s would ignore because of</w:t>
      </w:r>
      <w:r>
        <w:rPr>
          <w:rFonts w:ascii="Arial" w:hAnsi="Arial" w:cs="Arial"/>
          <w:color w:val="1A1A1A"/>
        </w:rPr>
        <w:t xml:space="preserve"> the perceived</w:t>
      </w:r>
      <w:r w:rsidRPr="00A10598">
        <w:rPr>
          <w:rFonts w:ascii="Arial" w:hAnsi="Arial" w:cs="Arial"/>
          <w:color w:val="1A1A1A"/>
        </w:rPr>
        <w:t xml:space="preserve"> lack of prof</w:t>
      </w:r>
      <w:r>
        <w:rPr>
          <w:rFonts w:ascii="Arial" w:hAnsi="Arial" w:cs="Arial"/>
          <w:color w:val="1A1A1A"/>
        </w:rPr>
        <w:t>itability</w:t>
      </w:r>
      <w:r w:rsidR="00DA5952">
        <w:rPr>
          <w:rFonts w:ascii="Arial" w:hAnsi="Arial" w:cs="Arial"/>
          <w:color w:val="1A1A1A"/>
        </w:rPr>
        <w:t>;</w:t>
      </w:r>
      <w:r>
        <w:rPr>
          <w:rFonts w:ascii="Arial" w:hAnsi="Arial" w:cs="Arial"/>
          <w:color w:val="1A1A1A"/>
        </w:rPr>
        <w:t xml:space="preserve"> </w:t>
      </w:r>
      <w:r>
        <w:rPr>
          <w:rFonts w:ascii="Arial" w:hAnsi="Arial" w:cs="Arial"/>
          <w:color w:val="1A1A1A"/>
        </w:rPr>
        <w:lastRenderedPageBreak/>
        <w:t xml:space="preserve">so called </w:t>
      </w:r>
      <w:r w:rsidR="00DA5952">
        <w:rPr>
          <w:rFonts w:ascii="Arial" w:hAnsi="Arial" w:cs="Arial"/>
          <w:color w:val="1A1A1A"/>
        </w:rPr>
        <w:t>‘</w:t>
      </w:r>
      <w:r>
        <w:rPr>
          <w:rFonts w:ascii="Arial" w:hAnsi="Arial" w:cs="Arial"/>
          <w:color w:val="1A1A1A"/>
        </w:rPr>
        <w:t>orphan</w:t>
      </w:r>
      <w:r w:rsidR="00DA5952">
        <w:rPr>
          <w:rFonts w:ascii="Arial" w:hAnsi="Arial" w:cs="Arial"/>
          <w:color w:val="1A1A1A"/>
        </w:rPr>
        <w:t>’</w:t>
      </w:r>
      <w:r>
        <w:rPr>
          <w:rFonts w:ascii="Arial" w:hAnsi="Arial" w:cs="Arial"/>
          <w:color w:val="1A1A1A"/>
        </w:rPr>
        <w:t xml:space="preserve"> diseases</w:t>
      </w:r>
      <w:r w:rsidRPr="00A10598">
        <w:rPr>
          <w:rFonts w:ascii="Arial" w:hAnsi="Arial" w:cs="Arial"/>
          <w:color w:val="1A1A1A"/>
        </w:rPr>
        <w:t>. In other c</w:t>
      </w:r>
      <w:r>
        <w:rPr>
          <w:rFonts w:ascii="Arial" w:hAnsi="Arial" w:cs="Arial"/>
          <w:color w:val="1A1A1A"/>
        </w:rPr>
        <w:t>ountries the medicines access programme was</w:t>
      </w:r>
      <w:r w:rsidRPr="00A10598">
        <w:rPr>
          <w:rFonts w:ascii="Arial" w:hAnsi="Arial" w:cs="Arial"/>
          <w:color w:val="1A1A1A"/>
        </w:rPr>
        <w:t xml:space="preserve"> a way of putting boundaries around high cost medications that would not meet </w:t>
      </w:r>
      <w:r>
        <w:rPr>
          <w:rFonts w:ascii="Arial" w:hAnsi="Arial" w:cs="Arial"/>
          <w:color w:val="1A1A1A"/>
        </w:rPr>
        <w:t xml:space="preserve">standard comparative </w:t>
      </w:r>
      <w:r w:rsidRPr="00A10598">
        <w:rPr>
          <w:rFonts w:ascii="Arial" w:hAnsi="Arial" w:cs="Arial"/>
          <w:color w:val="1A1A1A"/>
        </w:rPr>
        <w:t>effectiveness or cost-effectiveness criteria of existing funding program</w:t>
      </w:r>
      <w:r>
        <w:rPr>
          <w:rFonts w:ascii="Arial" w:hAnsi="Arial" w:cs="Arial"/>
          <w:color w:val="1A1A1A"/>
        </w:rPr>
        <w:t>me</w:t>
      </w:r>
      <w:r w:rsidRPr="00A10598">
        <w:rPr>
          <w:rFonts w:ascii="Arial" w:hAnsi="Arial" w:cs="Arial"/>
          <w:color w:val="1A1A1A"/>
        </w:rPr>
        <w:t>s.</w:t>
      </w:r>
    </w:p>
    <w:p w:rsidR="0096074C" w:rsidRPr="002F033A" w:rsidRDefault="0096074C" w:rsidP="008A4CEA">
      <w:pPr>
        <w:pStyle w:val="ListParagraph"/>
        <w:widowControl w:val="0"/>
        <w:numPr>
          <w:ilvl w:val="1"/>
          <w:numId w:val="9"/>
        </w:numPr>
        <w:tabs>
          <w:tab w:val="left" w:pos="220"/>
          <w:tab w:val="left" w:pos="720"/>
        </w:tabs>
        <w:autoSpaceDE w:val="0"/>
        <w:autoSpaceDN w:val="0"/>
        <w:adjustRightInd w:val="0"/>
        <w:spacing w:after="0" w:line="360" w:lineRule="auto"/>
        <w:jc w:val="both"/>
        <w:rPr>
          <w:rFonts w:ascii="Arial" w:hAnsi="Arial" w:cs="Arial"/>
          <w:color w:val="1A1A1A"/>
        </w:rPr>
      </w:pPr>
      <w:r w:rsidRPr="002F033A">
        <w:rPr>
          <w:rFonts w:ascii="Arial" w:hAnsi="Arial" w:cs="Arial"/>
          <w:color w:val="1A1A1A"/>
        </w:rPr>
        <w:t xml:space="preserve">There is confusion in policies between the concept of orphan drugs and drugs for rare diseases. The concept of orphan drugs referred to medicines for diseases where there was little business interest in developing or continuing production of medicines because they were unlikely to be </w:t>
      </w:r>
      <w:r>
        <w:rPr>
          <w:rFonts w:ascii="Arial" w:hAnsi="Arial" w:cs="Arial"/>
          <w:color w:val="1A1A1A"/>
        </w:rPr>
        <w:t>commercially attractive</w:t>
      </w:r>
      <w:r w:rsidRPr="002F033A">
        <w:rPr>
          <w:rFonts w:ascii="Arial" w:hAnsi="Arial" w:cs="Arial"/>
          <w:color w:val="1A1A1A"/>
        </w:rPr>
        <w:t xml:space="preserve">. Size of the potential market, that is the number of potential patients, was one factor in defining </w:t>
      </w:r>
      <w:r w:rsidR="000014BA">
        <w:rPr>
          <w:rFonts w:ascii="Arial" w:hAnsi="Arial" w:cs="Arial"/>
          <w:color w:val="1A1A1A"/>
        </w:rPr>
        <w:t>‘</w:t>
      </w:r>
      <w:r w:rsidR="00DA5952">
        <w:rPr>
          <w:rFonts w:ascii="Arial" w:hAnsi="Arial" w:cs="Arial"/>
          <w:color w:val="1A1A1A"/>
        </w:rPr>
        <w:t>orphan</w:t>
      </w:r>
      <w:r w:rsidR="000014BA">
        <w:rPr>
          <w:rFonts w:ascii="Arial" w:hAnsi="Arial" w:cs="Arial"/>
          <w:color w:val="1A1A1A"/>
        </w:rPr>
        <w:t>’</w:t>
      </w:r>
      <w:r w:rsidRPr="002F033A">
        <w:rPr>
          <w:rFonts w:ascii="Arial" w:hAnsi="Arial" w:cs="Arial"/>
          <w:color w:val="1A1A1A"/>
        </w:rPr>
        <w:t xml:space="preserve">. </w:t>
      </w:r>
    </w:p>
    <w:p w:rsidR="0096074C" w:rsidRDefault="0096074C" w:rsidP="008A4CEA">
      <w:pPr>
        <w:pStyle w:val="ListParagraph"/>
        <w:widowControl w:val="0"/>
        <w:numPr>
          <w:ilvl w:val="1"/>
          <w:numId w:val="9"/>
        </w:numPr>
        <w:tabs>
          <w:tab w:val="left" w:pos="220"/>
          <w:tab w:val="left" w:pos="720"/>
        </w:tabs>
        <w:autoSpaceDE w:val="0"/>
        <w:autoSpaceDN w:val="0"/>
        <w:adjustRightInd w:val="0"/>
        <w:spacing w:after="0" w:line="360" w:lineRule="auto"/>
        <w:jc w:val="both"/>
        <w:rPr>
          <w:rFonts w:ascii="Arial" w:hAnsi="Arial" w:cs="Arial"/>
          <w:color w:val="1A1A1A"/>
        </w:rPr>
      </w:pPr>
      <w:r>
        <w:rPr>
          <w:rFonts w:ascii="Arial" w:hAnsi="Arial" w:cs="Arial"/>
          <w:color w:val="1A1A1A"/>
        </w:rPr>
        <w:t xml:space="preserve">The </w:t>
      </w:r>
      <w:r w:rsidR="00DA5952">
        <w:rPr>
          <w:rFonts w:ascii="Arial" w:hAnsi="Arial" w:cs="Arial"/>
          <w:color w:val="1A1A1A"/>
        </w:rPr>
        <w:t>R</w:t>
      </w:r>
      <w:r>
        <w:rPr>
          <w:rFonts w:ascii="Arial" w:hAnsi="Arial" w:cs="Arial"/>
          <w:color w:val="1A1A1A"/>
        </w:rPr>
        <w:t xml:space="preserve">eference </w:t>
      </w:r>
      <w:r w:rsidR="00DA5952">
        <w:rPr>
          <w:rFonts w:ascii="Arial" w:hAnsi="Arial" w:cs="Arial"/>
          <w:color w:val="1A1A1A"/>
        </w:rPr>
        <w:t>G</w:t>
      </w:r>
      <w:r>
        <w:rPr>
          <w:rFonts w:ascii="Arial" w:hAnsi="Arial" w:cs="Arial"/>
          <w:color w:val="1A1A1A"/>
        </w:rPr>
        <w:t xml:space="preserve">roup noted that some countries would confer orphan drug status on drugs with more than one indication and is of the view that a drug can only be classified as an orphan drug </w:t>
      </w:r>
      <w:r w:rsidR="00F21288">
        <w:rPr>
          <w:rFonts w:ascii="Arial" w:hAnsi="Arial" w:cs="Arial"/>
          <w:color w:val="1A1A1A"/>
        </w:rPr>
        <w:t>once</w:t>
      </w:r>
      <w:r w:rsidR="00525911">
        <w:rPr>
          <w:rFonts w:ascii="Arial" w:hAnsi="Arial" w:cs="Arial"/>
          <w:color w:val="1A1A1A"/>
        </w:rPr>
        <w:t>:</w:t>
      </w:r>
      <w:r w:rsidR="00F21288">
        <w:rPr>
          <w:rFonts w:ascii="Arial" w:hAnsi="Arial" w:cs="Arial"/>
          <w:color w:val="1A1A1A"/>
        </w:rPr>
        <w:t xml:space="preserve"> that</w:t>
      </w:r>
      <w:r>
        <w:rPr>
          <w:rFonts w:ascii="Arial" w:hAnsi="Arial" w:cs="Arial"/>
          <w:color w:val="1A1A1A"/>
        </w:rPr>
        <w:t xml:space="preserve"> is the drug </w:t>
      </w:r>
      <w:r w:rsidR="00525911">
        <w:rPr>
          <w:rFonts w:ascii="Arial" w:hAnsi="Arial" w:cs="Arial"/>
          <w:color w:val="1A1A1A"/>
        </w:rPr>
        <w:t>associated with treatment of more than one disease or condition</w:t>
      </w:r>
      <w:r w:rsidR="0021651A">
        <w:rPr>
          <w:rFonts w:ascii="Arial" w:hAnsi="Arial" w:cs="Arial"/>
          <w:color w:val="1A1A1A"/>
        </w:rPr>
        <w:t xml:space="preserve"> should</w:t>
      </w:r>
      <w:r w:rsidR="00525911">
        <w:rPr>
          <w:rFonts w:ascii="Arial" w:hAnsi="Arial" w:cs="Arial"/>
          <w:color w:val="1A1A1A"/>
        </w:rPr>
        <w:t xml:space="preserve"> not qualify as orphan for a subsidy programme. This may be different to the view of regulatory agents who have different perspectives (see 2.1</w:t>
      </w:r>
      <w:r w:rsidR="00903CE4">
        <w:rPr>
          <w:rFonts w:ascii="Arial" w:hAnsi="Arial" w:cs="Arial"/>
          <w:color w:val="1A1A1A"/>
        </w:rPr>
        <w:t>1</w:t>
      </w:r>
      <w:r w:rsidR="00525911">
        <w:rPr>
          <w:rFonts w:ascii="Arial" w:hAnsi="Arial" w:cs="Arial"/>
          <w:color w:val="1A1A1A"/>
        </w:rPr>
        <w:t>).</w:t>
      </w:r>
    </w:p>
    <w:p w:rsidR="0096074C" w:rsidRDefault="0096074C" w:rsidP="008A4CEA">
      <w:pPr>
        <w:pStyle w:val="ListParagraph"/>
        <w:widowControl w:val="0"/>
        <w:numPr>
          <w:ilvl w:val="1"/>
          <w:numId w:val="9"/>
        </w:numPr>
        <w:tabs>
          <w:tab w:val="left" w:pos="220"/>
          <w:tab w:val="left" w:pos="720"/>
        </w:tabs>
        <w:autoSpaceDE w:val="0"/>
        <w:autoSpaceDN w:val="0"/>
        <w:adjustRightInd w:val="0"/>
        <w:spacing w:after="0" w:line="360" w:lineRule="auto"/>
        <w:jc w:val="both"/>
        <w:rPr>
          <w:rFonts w:ascii="Arial" w:hAnsi="Arial" w:cs="Arial"/>
          <w:color w:val="1A1A1A"/>
        </w:rPr>
      </w:pPr>
      <w:r>
        <w:rPr>
          <w:rFonts w:ascii="Arial" w:hAnsi="Arial" w:cs="Arial"/>
          <w:color w:val="1A1A1A"/>
        </w:rPr>
        <w:t>As noted at item 3.1, there is no one definition of rare disease. From an economic perspective, it is theoretically possible to conceptuali</w:t>
      </w:r>
      <w:r w:rsidR="00525911">
        <w:rPr>
          <w:rFonts w:ascii="Arial" w:hAnsi="Arial" w:cs="Arial"/>
          <w:color w:val="1A1A1A"/>
        </w:rPr>
        <w:t>s</w:t>
      </w:r>
      <w:r>
        <w:rPr>
          <w:rFonts w:ascii="Arial" w:hAnsi="Arial" w:cs="Arial"/>
          <w:color w:val="1A1A1A"/>
        </w:rPr>
        <w:t>e a disease frequency based on the cost recovery plus profit margin</w:t>
      </w:r>
      <w:r w:rsidR="00525911">
        <w:rPr>
          <w:rFonts w:ascii="Arial" w:hAnsi="Arial" w:cs="Arial"/>
          <w:color w:val="1A1A1A"/>
        </w:rPr>
        <w:t>:</w:t>
      </w:r>
      <w:r>
        <w:rPr>
          <w:rFonts w:ascii="Arial" w:hAnsi="Arial" w:cs="Arial"/>
          <w:color w:val="1A1A1A"/>
        </w:rPr>
        <w:t xml:space="preserve"> that is, how many patients treated for how long at a standard price of drug would it require </w:t>
      </w:r>
      <w:proofErr w:type="gramStart"/>
      <w:r>
        <w:rPr>
          <w:rFonts w:ascii="Arial" w:hAnsi="Arial" w:cs="Arial"/>
          <w:color w:val="1A1A1A"/>
        </w:rPr>
        <w:t>to cover</w:t>
      </w:r>
      <w:proofErr w:type="gramEnd"/>
      <w:r>
        <w:rPr>
          <w:rFonts w:ascii="Arial" w:hAnsi="Arial" w:cs="Arial"/>
          <w:color w:val="1A1A1A"/>
        </w:rPr>
        <w:t xml:space="preserve"> cost to the company for drug development and manufacturing. </w:t>
      </w:r>
    </w:p>
    <w:p w:rsidR="0021651A" w:rsidRDefault="0021651A" w:rsidP="008A4CEA">
      <w:pPr>
        <w:pStyle w:val="ListParagraph"/>
        <w:widowControl w:val="0"/>
        <w:numPr>
          <w:ilvl w:val="1"/>
          <w:numId w:val="9"/>
        </w:numPr>
        <w:tabs>
          <w:tab w:val="left" w:pos="220"/>
          <w:tab w:val="left" w:pos="720"/>
        </w:tabs>
        <w:autoSpaceDE w:val="0"/>
        <w:autoSpaceDN w:val="0"/>
        <w:adjustRightInd w:val="0"/>
        <w:spacing w:after="0" w:line="360" w:lineRule="auto"/>
        <w:jc w:val="both"/>
        <w:rPr>
          <w:rFonts w:ascii="Arial" w:hAnsi="Arial" w:cs="Arial"/>
          <w:color w:val="1A1A1A"/>
        </w:rPr>
      </w:pPr>
      <w:r>
        <w:rPr>
          <w:rFonts w:ascii="Arial" w:hAnsi="Arial" w:cs="Arial"/>
          <w:color w:val="1A1A1A"/>
        </w:rPr>
        <w:t xml:space="preserve">The Reference Group noted that in January 2015, the Therapeutic Goods Administration (TGA) published a discussion paper on the Orphan Drugs Programme which considers </w:t>
      </w:r>
      <w:r w:rsidR="00903CE4">
        <w:rPr>
          <w:rFonts w:ascii="Arial" w:hAnsi="Arial" w:cs="Arial"/>
          <w:color w:val="1A1A1A"/>
        </w:rPr>
        <w:t xml:space="preserve">limiting indications and </w:t>
      </w:r>
      <w:r>
        <w:rPr>
          <w:rFonts w:ascii="Arial" w:hAnsi="Arial" w:cs="Arial"/>
          <w:color w:val="1A1A1A"/>
        </w:rPr>
        <w:t>disease subsets</w:t>
      </w:r>
      <w:r w:rsidR="00903CE4">
        <w:rPr>
          <w:rFonts w:ascii="Arial" w:hAnsi="Arial" w:cs="Arial"/>
          <w:color w:val="1A1A1A"/>
        </w:rPr>
        <w:t xml:space="preserve"> as an option</w:t>
      </w:r>
      <w:r>
        <w:rPr>
          <w:rFonts w:ascii="Arial" w:hAnsi="Arial" w:cs="Arial"/>
          <w:color w:val="1A1A1A"/>
        </w:rPr>
        <w:t>.</w:t>
      </w:r>
    </w:p>
    <w:p w:rsidR="0096074C" w:rsidRPr="00104645" w:rsidRDefault="0096074C" w:rsidP="00DC64D9">
      <w:pPr>
        <w:pStyle w:val="ListParagraph"/>
        <w:widowControl w:val="0"/>
        <w:numPr>
          <w:ilvl w:val="1"/>
          <w:numId w:val="9"/>
        </w:numPr>
        <w:tabs>
          <w:tab w:val="left" w:pos="220"/>
          <w:tab w:val="left" w:pos="720"/>
        </w:tabs>
        <w:autoSpaceDE w:val="0"/>
        <w:autoSpaceDN w:val="0"/>
        <w:adjustRightInd w:val="0"/>
        <w:spacing w:after="0" w:line="360" w:lineRule="auto"/>
        <w:jc w:val="both"/>
        <w:rPr>
          <w:rFonts w:ascii="Arial" w:hAnsi="Arial" w:cs="Arial"/>
          <w:b/>
        </w:rPr>
      </w:pPr>
      <w:r w:rsidRPr="00104645">
        <w:rPr>
          <w:rFonts w:ascii="Arial" w:hAnsi="Arial" w:cs="Arial"/>
          <w:color w:val="1A1A1A"/>
        </w:rPr>
        <w:t>It is important to note that the criteria used by the TGA in approving a medicine for market are different to those used by t</w:t>
      </w:r>
      <w:r w:rsidRPr="00DC64D9">
        <w:rPr>
          <w:rFonts w:ascii="Arial" w:hAnsi="Arial" w:cs="Arial"/>
          <w:color w:val="1A1A1A"/>
        </w:rPr>
        <w:t xml:space="preserve">he PBAC in recommending the drug for subsidy. In essence, the TGA is required to determine </w:t>
      </w:r>
      <w:r w:rsidR="00AC09E0" w:rsidRPr="00DC64D9">
        <w:rPr>
          <w:rFonts w:ascii="Arial" w:hAnsi="Arial" w:cs="Arial"/>
          <w:color w:val="1A1A1A"/>
        </w:rPr>
        <w:t>whether the quality, safety and efficacy of the medicines for the purposes for which they are to be used have been satisfactorily established</w:t>
      </w:r>
      <w:r w:rsidR="00DA535B" w:rsidRPr="00DC64D9">
        <w:rPr>
          <w:rFonts w:ascii="Arial" w:hAnsi="Arial" w:cs="Arial"/>
          <w:color w:val="1A1A1A"/>
        </w:rPr>
        <w:t>,</w:t>
      </w:r>
      <w:r w:rsidR="00AC09E0" w:rsidRPr="00DC64D9">
        <w:rPr>
          <w:rFonts w:ascii="Arial" w:hAnsi="Arial" w:cs="Arial"/>
          <w:color w:val="1A1A1A"/>
        </w:rPr>
        <w:t xml:space="preserve"> </w:t>
      </w:r>
      <w:r w:rsidRPr="00DC64D9">
        <w:rPr>
          <w:rFonts w:ascii="Arial" w:hAnsi="Arial" w:cs="Arial"/>
          <w:color w:val="1A1A1A"/>
        </w:rPr>
        <w:t xml:space="preserve">whereas the PBAC needs to take into account the </w:t>
      </w:r>
      <w:r w:rsidR="00525911" w:rsidRPr="00DC64D9">
        <w:rPr>
          <w:rFonts w:ascii="Arial" w:hAnsi="Arial" w:cs="Arial"/>
          <w:color w:val="1A1A1A"/>
        </w:rPr>
        <w:t xml:space="preserve">comparative </w:t>
      </w:r>
      <w:r w:rsidRPr="00DC64D9">
        <w:rPr>
          <w:rFonts w:ascii="Arial" w:hAnsi="Arial" w:cs="Arial"/>
          <w:color w:val="1A1A1A"/>
        </w:rPr>
        <w:t xml:space="preserve">size of the effect and the cost-effectiveness of the drug. </w:t>
      </w:r>
    </w:p>
    <w:p w:rsidR="00F21288" w:rsidRPr="00F81AA7" w:rsidRDefault="00F21288" w:rsidP="00F81AA7">
      <w:pPr>
        <w:pStyle w:val="Heading4"/>
        <w:spacing w:line="360" w:lineRule="auto"/>
        <w:rPr>
          <w:rFonts w:ascii="Arial" w:hAnsi="Arial" w:cs="Arial"/>
          <w:i w:val="0"/>
          <w:color w:val="auto"/>
        </w:rPr>
      </w:pPr>
      <w:r w:rsidRPr="00F81AA7">
        <w:rPr>
          <w:rFonts w:ascii="Arial" w:hAnsi="Arial" w:cs="Arial"/>
          <w:i w:val="0"/>
          <w:color w:val="auto"/>
        </w:rPr>
        <w:lastRenderedPageBreak/>
        <w:t>I</w:t>
      </w:r>
      <w:r w:rsidR="009D00E8">
        <w:rPr>
          <w:rFonts w:ascii="Arial" w:hAnsi="Arial" w:cs="Arial"/>
          <w:i w:val="0"/>
          <w:color w:val="auto"/>
        </w:rPr>
        <w:t>ssue</w:t>
      </w:r>
      <w:r w:rsidRPr="00F81AA7">
        <w:rPr>
          <w:rFonts w:ascii="Arial" w:hAnsi="Arial" w:cs="Arial"/>
          <w:i w:val="0"/>
          <w:color w:val="auto"/>
        </w:rPr>
        <w:t xml:space="preserve"> 4:  </w:t>
      </w:r>
    </w:p>
    <w:p w:rsidR="00F21288" w:rsidRPr="00F21288" w:rsidRDefault="00F21288" w:rsidP="00CB5520">
      <w:pPr>
        <w:jc w:val="both"/>
        <w:rPr>
          <w:rFonts w:ascii="Arial" w:hAnsi="Arial" w:cs="Arial"/>
          <w:i/>
          <w:color w:val="303030"/>
          <w:szCs w:val="24"/>
        </w:rPr>
      </w:pPr>
      <w:r w:rsidRPr="00F21288">
        <w:rPr>
          <w:rFonts w:ascii="Arial" w:hAnsi="Arial" w:cs="Arial"/>
          <w:i/>
          <w:color w:val="303030"/>
          <w:szCs w:val="24"/>
        </w:rPr>
        <w:t xml:space="preserve">Many drugs subsidised on the Pharmaceutical Benefit Scheme (PBS) </w:t>
      </w:r>
      <w:r w:rsidR="00104645">
        <w:rPr>
          <w:rFonts w:ascii="Arial" w:hAnsi="Arial" w:cs="Arial"/>
          <w:i/>
          <w:color w:val="303030"/>
          <w:szCs w:val="24"/>
        </w:rPr>
        <w:t>could be considered to be</w:t>
      </w:r>
      <w:r w:rsidRPr="00F21288">
        <w:rPr>
          <w:rFonts w:ascii="Arial" w:hAnsi="Arial" w:cs="Arial"/>
          <w:i/>
          <w:color w:val="303030"/>
          <w:szCs w:val="24"/>
        </w:rPr>
        <w:t xml:space="preserve"> life-saving</w:t>
      </w:r>
      <w:r w:rsidR="00104645">
        <w:rPr>
          <w:rFonts w:ascii="Arial" w:hAnsi="Arial" w:cs="Arial"/>
          <w:i/>
          <w:color w:val="303030"/>
          <w:szCs w:val="24"/>
        </w:rPr>
        <w:t xml:space="preserve">. In </w:t>
      </w:r>
      <w:proofErr w:type="gramStart"/>
      <w:r w:rsidR="00104645">
        <w:rPr>
          <w:rFonts w:ascii="Arial" w:hAnsi="Arial" w:cs="Arial"/>
          <w:i/>
          <w:color w:val="303030"/>
          <w:szCs w:val="24"/>
        </w:rPr>
        <w:t xml:space="preserve">contrast </w:t>
      </w:r>
      <w:r w:rsidRPr="00F21288">
        <w:rPr>
          <w:rFonts w:ascii="Arial" w:hAnsi="Arial" w:cs="Arial"/>
          <w:i/>
          <w:color w:val="303030"/>
          <w:szCs w:val="24"/>
        </w:rPr>
        <w:t xml:space="preserve"> the</w:t>
      </w:r>
      <w:proofErr w:type="gramEnd"/>
      <w:r w:rsidRPr="00F21288">
        <w:rPr>
          <w:rFonts w:ascii="Arial" w:hAnsi="Arial" w:cs="Arial"/>
          <w:i/>
          <w:color w:val="303030"/>
          <w:szCs w:val="24"/>
        </w:rPr>
        <w:t xml:space="preserve"> extent to which some of the LSDP listed drugs are life-saving is questionable. Many new therapies are emerging on the market. These new drugs may treat the rarer subgroups of more common disease. </w:t>
      </w:r>
    </w:p>
    <w:p w:rsidR="00F21288" w:rsidRPr="00F21288" w:rsidRDefault="00F21288" w:rsidP="008A4CEA">
      <w:pPr>
        <w:jc w:val="both"/>
        <w:rPr>
          <w:rFonts w:ascii="Arial" w:hAnsi="Arial" w:cs="Arial"/>
          <w:i/>
          <w:color w:val="303030"/>
          <w:szCs w:val="24"/>
        </w:rPr>
      </w:pPr>
      <w:r w:rsidRPr="00F21288">
        <w:rPr>
          <w:rFonts w:ascii="Arial" w:hAnsi="Arial" w:cs="Arial"/>
          <w:i/>
          <w:color w:val="303030"/>
          <w:szCs w:val="24"/>
        </w:rPr>
        <w:t>Some of the new treatments emerging for genetically inherited diseases such as those currently treated on the LSDP will not be drugs in the conventional sense. Some may</w:t>
      </w:r>
      <w:r w:rsidR="00903CE4">
        <w:rPr>
          <w:rFonts w:ascii="Arial" w:hAnsi="Arial" w:cs="Arial"/>
          <w:i/>
          <w:color w:val="303030"/>
          <w:szCs w:val="24"/>
        </w:rPr>
        <w:t xml:space="preserve"> </w:t>
      </w:r>
      <w:r w:rsidRPr="00F21288">
        <w:rPr>
          <w:rFonts w:ascii="Arial" w:hAnsi="Arial" w:cs="Arial"/>
          <w:i/>
          <w:color w:val="303030"/>
          <w:szCs w:val="24"/>
        </w:rPr>
        <w:t>be tailored</w:t>
      </w:r>
      <w:r w:rsidR="006415BB">
        <w:rPr>
          <w:rFonts w:ascii="Arial" w:hAnsi="Arial" w:cs="Arial"/>
          <w:i/>
          <w:color w:val="303030"/>
          <w:szCs w:val="24"/>
        </w:rPr>
        <w:t xml:space="preserve"> to the specific genetic sub-types</w:t>
      </w:r>
      <w:r w:rsidRPr="00F21288">
        <w:rPr>
          <w:rFonts w:ascii="Arial" w:hAnsi="Arial" w:cs="Arial"/>
          <w:i/>
          <w:color w:val="303030"/>
          <w:szCs w:val="24"/>
        </w:rPr>
        <w:t xml:space="preserve"> of each</w:t>
      </w:r>
      <w:r w:rsidR="006415BB">
        <w:rPr>
          <w:rFonts w:ascii="Arial" w:hAnsi="Arial" w:cs="Arial"/>
          <w:i/>
          <w:color w:val="303030"/>
          <w:szCs w:val="24"/>
        </w:rPr>
        <w:t xml:space="preserve"> individual for a more common disease.</w:t>
      </w:r>
    </w:p>
    <w:p w:rsidR="00F21288" w:rsidRDefault="00F21288" w:rsidP="008A4CEA">
      <w:pPr>
        <w:pStyle w:val="ListParagraph"/>
        <w:numPr>
          <w:ilvl w:val="0"/>
          <w:numId w:val="22"/>
        </w:numPr>
        <w:jc w:val="both"/>
        <w:rPr>
          <w:rFonts w:ascii="Arial" w:hAnsi="Arial" w:cs="Arial"/>
          <w:color w:val="1A1A1A"/>
        </w:rPr>
      </w:pPr>
      <w:r w:rsidRPr="00F21288">
        <w:rPr>
          <w:rFonts w:ascii="Arial" w:hAnsi="Arial" w:cs="Arial"/>
          <w:color w:val="1A1A1A"/>
        </w:rPr>
        <w:t>Should the LSDP be extended to treatments that are specific to one or two individuals</w:t>
      </w:r>
      <w:r w:rsidR="001A022A">
        <w:rPr>
          <w:rFonts w:ascii="Arial" w:hAnsi="Arial" w:cs="Arial"/>
          <w:color w:val="1A1A1A"/>
        </w:rPr>
        <w:t xml:space="preserve"> and/or to small subsets of individuals with a unique rare mutation which responds to a specific therapy (i.e. truly individualised therapy)?</w:t>
      </w:r>
    </w:p>
    <w:p w:rsidR="00F21288" w:rsidRPr="00F21288" w:rsidRDefault="00F21288" w:rsidP="008A4CEA">
      <w:pPr>
        <w:pStyle w:val="ListParagraph"/>
        <w:ind w:left="786"/>
        <w:jc w:val="both"/>
        <w:rPr>
          <w:rFonts w:ascii="Arial" w:hAnsi="Arial" w:cs="Arial"/>
          <w:color w:val="1A1A1A"/>
        </w:rPr>
      </w:pPr>
    </w:p>
    <w:p w:rsidR="00F21288" w:rsidRDefault="00AE7FD9" w:rsidP="008A4CEA">
      <w:pPr>
        <w:pStyle w:val="ListParagraph"/>
        <w:numPr>
          <w:ilvl w:val="0"/>
          <w:numId w:val="22"/>
        </w:numPr>
        <w:jc w:val="both"/>
        <w:rPr>
          <w:rFonts w:ascii="Arial" w:hAnsi="Arial" w:cs="Arial"/>
          <w:color w:val="1A1A1A"/>
        </w:rPr>
      </w:pPr>
      <w:r>
        <w:rPr>
          <w:rFonts w:ascii="Arial" w:hAnsi="Arial" w:cs="Arial"/>
          <w:color w:val="1A1A1A"/>
        </w:rPr>
        <w:t xml:space="preserve">If so are the </w:t>
      </w:r>
      <w:r w:rsidR="00F21288" w:rsidRPr="00F21288">
        <w:rPr>
          <w:rFonts w:ascii="Arial" w:hAnsi="Arial" w:cs="Arial"/>
          <w:color w:val="1A1A1A"/>
        </w:rPr>
        <w:t>criteria of value and effectiveness</w:t>
      </w:r>
      <w:r>
        <w:rPr>
          <w:rFonts w:ascii="Arial" w:hAnsi="Arial" w:cs="Arial"/>
          <w:color w:val="1A1A1A"/>
        </w:rPr>
        <w:t xml:space="preserve"> currently used by the PBAC </w:t>
      </w:r>
      <w:r w:rsidR="00F21288" w:rsidRPr="00F21288">
        <w:rPr>
          <w:rFonts w:ascii="Arial" w:hAnsi="Arial" w:cs="Arial"/>
          <w:color w:val="1A1A1A"/>
        </w:rPr>
        <w:t>still relevant? If not what should be the criteria</w:t>
      </w:r>
      <w:r w:rsidR="001A022A">
        <w:rPr>
          <w:rFonts w:ascii="Arial" w:hAnsi="Arial" w:cs="Arial"/>
          <w:color w:val="1A1A1A"/>
        </w:rPr>
        <w:t xml:space="preserve"> for each of the groups referred to in the question above</w:t>
      </w:r>
      <w:r w:rsidR="00F21288" w:rsidRPr="00F21288">
        <w:rPr>
          <w:rFonts w:ascii="Arial" w:hAnsi="Arial" w:cs="Arial"/>
          <w:color w:val="1A1A1A"/>
        </w:rPr>
        <w:t>?</w:t>
      </w:r>
    </w:p>
    <w:p w:rsidR="00F21288" w:rsidRPr="00F21288" w:rsidRDefault="00F21288" w:rsidP="008A4CEA">
      <w:pPr>
        <w:pStyle w:val="ListParagraph"/>
        <w:ind w:left="786"/>
        <w:jc w:val="both"/>
        <w:rPr>
          <w:rFonts w:ascii="Arial" w:hAnsi="Arial" w:cs="Arial"/>
          <w:color w:val="1A1A1A"/>
        </w:rPr>
      </w:pPr>
    </w:p>
    <w:p w:rsidR="00F21288" w:rsidRPr="00940D45" w:rsidRDefault="0021651A" w:rsidP="008A4CEA">
      <w:pPr>
        <w:pStyle w:val="ListParagraph"/>
        <w:numPr>
          <w:ilvl w:val="0"/>
          <w:numId w:val="22"/>
        </w:numPr>
        <w:jc w:val="both"/>
      </w:pPr>
      <w:r>
        <w:rPr>
          <w:rFonts w:ascii="Arial" w:hAnsi="Arial" w:cs="Arial"/>
          <w:color w:val="1A1A1A"/>
        </w:rPr>
        <w:t>Should</w:t>
      </w:r>
      <w:r w:rsidR="00F21288" w:rsidRPr="00F21288">
        <w:rPr>
          <w:rFonts w:ascii="Arial" w:hAnsi="Arial" w:cs="Arial"/>
          <w:color w:val="1A1A1A"/>
        </w:rPr>
        <w:t xml:space="preserve"> there </w:t>
      </w:r>
      <w:r>
        <w:rPr>
          <w:rFonts w:ascii="Arial" w:hAnsi="Arial" w:cs="Arial"/>
          <w:color w:val="1A1A1A"/>
        </w:rPr>
        <w:t xml:space="preserve">be </w:t>
      </w:r>
      <w:r w:rsidR="00F21288" w:rsidRPr="00F21288">
        <w:rPr>
          <w:rFonts w:ascii="Arial" w:hAnsi="Arial" w:cs="Arial"/>
          <w:color w:val="1A1A1A"/>
        </w:rPr>
        <w:t>a distinction between the types of diseases with treatments on the LSDP f</w:t>
      </w:r>
      <w:r>
        <w:rPr>
          <w:rFonts w:ascii="Arial" w:hAnsi="Arial" w:cs="Arial"/>
          <w:color w:val="1A1A1A"/>
        </w:rPr>
        <w:t>or</w:t>
      </w:r>
      <w:r w:rsidR="00F21288" w:rsidRPr="00F21288">
        <w:rPr>
          <w:rFonts w:ascii="Arial" w:hAnsi="Arial" w:cs="Arial"/>
          <w:color w:val="1A1A1A"/>
        </w:rPr>
        <w:t xml:space="preserve"> </w:t>
      </w:r>
      <w:r w:rsidR="006415BB">
        <w:rPr>
          <w:rFonts w:ascii="Arial" w:hAnsi="Arial" w:cs="Arial"/>
          <w:color w:val="1A1A1A"/>
        </w:rPr>
        <w:t>rarer sub-types of more common</w:t>
      </w:r>
      <w:r w:rsidR="00F21288" w:rsidRPr="00F21288">
        <w:rPr>
          <w:rFonts w:ascii="Arial" w:hAnsi="Arial" w:cs="Arial"/>
          <w:color w:val="1A1A1A"/>
        </w:rPr>
        <w:t xml:space="preserve"> diseases</w:t>
      </w:r>
      <w:r>
        <w:rPr>
          <w:rFonts w:ascii="Arial" w:hAnsi="Arial" w:cs="Arial"/>
          <w:color w:val="1A1A1A"/>
        </w:rPr>
        <w:t xml:space="preserve"> and rare </w:t>
      </w:r>
      <w:r w:rsidR="001A022A">
        <w:rPr>
          <w:rFonts w:ascii="Arial" w:hAnsi="Arial" w:cs="Arial"/>
          <w:color w:val="1A1A1A"/>
        </w:rPr>
        <w:t>disease</w:t>
      </w:r>
      <w:r w:rsidR="00F21288" w:rsidRPr="00F21288">
        <w:rPr>
          <w:rFonts w:ascii="Arial" w:hAnsi="Arial" w:cs="Arial"/>
          <w:color w:val="1A1A1A"/>
        </w:rPr>
        <w:t>?</w:t>
      </w:r>
    </w:p>
    <w:p w:rsidR="00AE7FD9" w:rsidRPr="00A5310B" w:rsidRDefault="00AE7FD9" w:rsidP="008A4CEA">
      <w:pPr>
        <w:widowControl w:val="0"/>
        <w:tabs>
          <w:tab w:val="left" w:pos="220"/>
          <w:tab w:val="left" w:pos="720"/>
        </w:tabs>
        <w:autoSpaceDE w:val="0"/>
        <w:autoSpaceDN w:val="0"/>
        <w:adjustRightInd w:val="0"/>
        <w:spacing w:line="360" w:lineRule="auto"/>
        <w:jc w:val="both"/>
        <w:rPr>
          <w:rFonts w:ascii="Arial" w:hAnsi="Arial" w:cs="Arial"/>
          <w:b/>
          <w:sz w:val="20"/>
          <w:szCs w:val="20"/>
        </w:rPr>
      </w:pPr>
    </w:p>
    <w:p w:rsidR="0096074C" w:rsidRPr="00F81AA7" w:rsidRDefault="006415BB" w:rsidP="00F81AA7">
      <w:pPr>
        <w:pStyle w:val="Heading4"/>
        <w:spacing w:line="360" w:lineRule="auto"/>
        <w:rPr>
          <w:rFonts w:ascii="Arial" w:hAnsi="Arial" w:cs="Arial"/>
          <w:i w:val="0"/>
          <w:color w:val="auto"/>
        </w:rPr>
      </w:pPr>
      <w:r w:rsidRPr="00F81AA7">
        <w:rPr>
          <w:rFonts w:ascii="Arial" w:hAnsi="Arial" w:cs="Arial"/>
          <w:i w:val="0"/>
          <w:color w:val="auto"/>
        </w:rPr>
        <w:t xml:space="preserve">ToR </w:t>
      </w:r>
      <w:r w:rsidR="0096074C" w:rsidRPr="00F81AA7">
        <w:rPr>
          <w:rFonts w:ascii="Arial" w:hAnsi="Arial" w:cs="Arial"/>
          <w:i w:val="0"/>
          <w:color w:val="auto"/>
        </w:rPr>
        <w:t>3. Conduct an international comparison of subsidisation of drugs for rare diseases and the definitions for a rare/ultra-rare disease.</w:t>
      </w:r>
    </w:p>
    <w:p w:rsidR="0096074C" w:rsidRPr="008937F2" w:rsidRDefault="0096074C" w:rsidP="00F81AA7">
      <w:pPr>
        <w:pStyle w:val="ListParagraph"/>
        <w:numPr>
          <w:ilvl w:val="1"/>
          <w:numId w:val="10"/>
        </w:numPr>
        <w:spacing w:after="0" w:line="360" w:lineRule="auto"/>
        <w:jc w:val="both"/>
        <w:rPr>
          <w:rFonts w:ascii="Arial" w:hAnsi="Arial" w:cs="Arial"/>
        </w:rPr>
      </w:pPr>
      <w:r w:rsidRPr="005D44F9">
        <w:rPr>
          <w:rFonts w:ascii="Arial" w:hAnsi="Arial" w:cs="Arial"/>
        </w:rPr>
        <w:t xml:space="preserve">Criteria for </w:t>
      </w:r>
      <w:r>
        <w:rPr>
          <w:rFonts w:ascii="Arial" w:hAnsi="Arial" w:cs="Arial"/>
        </w:rPr>
        <w:t>medicine</w:t>
      </w:r>
      <w:r w:rsidRPr="005D44F9">
        <w:rPr>
          <w:rFonts w:ascii="Arial" w:hAnsi="Arial" w:cs="Arial"/>
        </w:rPr>
        <w:t xml:space="preserve"> special access program</w:t>
      </w:r>
      <w:r>
        <w:rPr>
          <w:rFonts w:ascii="Arial" w:hAnsi="Arial" w:cs="Arial"/>
        </w:rPr>
        <w:t>me</w:t>
      </w:r>
      <w:r w:rsidRPr="005D44F9">
        <w:rPr>
          <w:rFonts w:ascii="Arial" w:hAnsi="Arial" w:cs="Arial"/>
        </w:rPr>
        <w:t>s vary between countries and while most include rarity as one criterion, this criterion threshold ranges from 1 in 1500 (USA) to 1 in 500,000 (China). As noted above different rationale</w:t>
      </w:r>
      <w:r>
        <w:rPr>
          <w:rFonts w:ascii="Arial" w:hAnsi="Arial" w:cs="Arial"/>
        </w:rPr>
        <w:t>s</w:t>
      </w:r>
      <w:r w:rsidRPr="005D44F9">
        <w:rPr>
          <w:rFonts w:ascii="Arial" w:hAnsi="Arial" w:cs="Arial"/>
        </w:rPr>
        <w:t xml:space="preserve"> (discussed in</w:t>
      </w:r>
      <w:r>
        <w:rPr>
          <w:rFonts w:ascii="Arial" w:hAnsi="Arial" w:cs="Arial"/>
        </w:rPr>
        <w:t xml:space="preserve"> the Evaluator’s report, </w:t>
      </w:r>
      <w:r w:rsidR="00FC3D4D">
        <w:rPr>
          <w:rFonts w:ascii="Arial" w:hAnsi="Arial" w:cs="Arial"/>
        </w:rPr>
        <w:t>Chapter 6</w:t>
      </w:r>
      <w:r w:rsidRPr="008937F2">
        <w:rPr>
          <w:rFonts w:ascii="Arial" w:hAnsi="Arial" w:cs="Arial"/>
        </w:rPr>
        <w:t xml:space="preserve">) underlie these different thresholds. </w:t>
      </w:r>
    </w:p>
    <w:p w:rsidR="0096074C" w:rsidRDefault="0096074C" w:rsidP="008A4CEA">
      <w:pPr>
        <w:pStyle w:val="ListParagraph"/>
        <w:widowControl w:val="0"/>
        <w:numPr>
          <w:ilvl w:val="1"/>
          <w:numId w:val="10"/>
        </w:numPr>
        <w:tabs>
          <w:tab w:val="left" w:pos="220"/>
          <w:tab w:val="left" w:pos="720"/>
        </w:tabs>
        <w:autoSpaceDE w:val="0"/>
        <w:autoSpaceDN w:val="0"/>
        <w:adjustRightInd w:val="0"/>
        <w:spacing w:after="0" w:line="360" w:lineRule="auto"/>
        <w:jc w:val="both"/>
        <w:rPr>
          <w:rFonts w:ascii="Arial" w:hAnsi="Arial" w:cs="Arial"/>
          <w:color w:val="1A1A1A"/>
        </w:rPr>
      </w:pPr>
      <w:r>
        <w:rPr>
          <w:rFonts w:ascii="Arial" w:hAnsi="Arial" w:cs="Arial"/>
          <w:color w:val="1A1A1A"/>
        </w:rPr>
        <w:t xml:space="preserve">Even in Australia, there are different definitions of orphan drugs and rare diseases. </w:t>
      </w:r>
      <w:r w:rsidRPr="00027DBD">
        <w:rPr>
          <w:rFonts w:ascii="Arial" w:hAnsi="Arial" w:cs="Arial"/>
          <w:color w:val="303030"/>
        </w:rPr>
        <w:t>Regulation 2 of the T</w:t>
      </w:r>
      <w:r w:rsidRPr="00027DBD">
        <w:rPr>
          <w:rFonts w:ascii="Arial" w:hAnsi="Arial" w:cs="Arial"/>
          <w:i/>
          <w:color w:val="303030"/>
        </w:rPr>
        <w:t>herapeutic Goods Regulations 1990</w:t>
      </w:r>
      <w:r w:rsidRPr="00027DBD">
        <w:rPr>
          <w:rFonts w:ascii="Arial" w:hAnsi="Arial" w:cs="Arial"/>
          <w:color w:val="303030"/>
        </w:rPr>
        <w:t xml:space="preserve"> defines rare disease as a disease, or condition, likely to affect not more than 2,000 individuals in Australia at any time, representing an incidence at the time of </w:t>
      </w:r>
      <w:r w:rsidR="00DA535B">
        <w:rPr>
          <w:rFonts w:ascii="Arial" w:hAnsi="Arial" w:cs="Arial"/>
          <w:color w:val="303030"/>
        </w:rPr>
        <w:t xml:space="preserve">about </w:t>
      </w:r>
      <w:r w:rsidRPr="00027DBD">
        <w:rPr>
          <w:rFonts w:ascii="Arial" w:hAnsi="Arial" w:cs="Arial"/>
          <w:color w:val="303030"/>
        </w:rPr>
        <w:t>1 in 10,000.</w:t>
      </w:r>
      <w:r>
        <w:rPr>
          <w:rFonts w:ascii="Arial" w:hAnsi="Arial" w:cs="Arial"/>
          <w:color w:val="303030"/>
        </w:rPr>
        <w:t xml:space="preserve"> This is much more frequent than any of the diseases currently treated through the LSDP.</w:t>
      </w:r>
    </w:p>
    <w:p w:rsidR="0096074C" w:rsidRPr="005D44F9" w:rsidRDefault="0096074C" w:rsidP="008A4CEA">
      <w:pPr>
        <w:pStyle w:val="ListParagraph"/>
        <w:numPr>
          <w:ilvl w:val="1"/>
          <w:numId w:val="10"/>
        </w:numPr>
        <w:spacing w:after="0" w:line="360" w:lineRule="auto"/>
        <w:jc w:val="both"/>
        <w:rPr>
          <w:rFonts w:ascii="Arial" w:hAnsi="Arial" w:cs="Arial"/>
        </w:rPr>
      </w:pPr>
      <w:r>
        <w:rPr>
          <w:rFonts w:ascii="Arial" w:hAnsi="Arial" w:cs="Arial"/>
        </w:rPr>
        <w:lastRenderedPageBreak/>
        <w:t>The Reference Group considered that a reasonable definition of rarity would be a frequency in the general Australian population of 1 in 100</w:t>
      </w:r>
      <w:r w:rsidR="00E51740">
        <w:rPr>
          <w:rFonts w:ascii="Arial" w:hAnsi="Arial" w:cs="Arial"/>
        </w:rPr>
        <w:t>,</w:t>
      </w:r>
      <w:r>
        <w:rPr>
          <w:rFonts w:ascii="Arial" w:hAnsi="Arial" w:cs="Arial"/>
        </w:rPr>
        <w:t xml:space="preserve">000. This is within the range currently used </w:t>
      </w:r>
      <w:r w:rsidR="00E51740">
        <w:rPr>
          <w:rFonts w:ascii="Arial" w:hAnsi="Arial" w:cs="Arial"/>
        </w:rPr>
        <w:t xml:space="preserve">in </w:t>
      </w:r>
      <w:r>
        <w:rPr>
          <w:rFonts w:ascii="Arial" w:hAnsi="Arial" w:cs="Arial"/>
        </w:rPr>
        <w:t>national and international</w:t>
      </w:r>
      <w:r w:rsidR="00E51740">
        <w:rPr>
          <w:rFonts w:ascii="Arial" w:hAnsi="Arial" w:cs="Arial"/>
        </w:rPr>
        <w:t xml:space="preserve"> subsidy schemes</w:t>
      </w:r>
      <w:r>
        <w:rPr>
          <w:rFonts w:ascii="Arial" w:hAnsi="Arial" w:cs="Arial"/>
        </w:rPr>
        <w:t xml:space="preserve">. </w:t>
      </w:r>
    </w:p>
    <w:p w:rsidR="0096074C" w:rsidRPr="005D44F9" w:rsidRDefault="0096074C" w:rsidP="008A4CEA">
      <w:pPr>
        <w:pStyle w:val="ListParagraph"/>
        <w:numPr>
          <w:ilvl w:val="1"/>
          <w:numId w:val="10"/>
        </w:numPr>
        <w:spacing w:after="0" w:line="360" w:lineRule="auto"/>
        <w:jc w:val="both"/>
        <w:rPr>
          <w:rFonts w:ascii="Arial" w:hAnsi="Arial" w:cs="Arial"/>
        </w:rPr>
      </w:pPr>
      <w:r w:rsidRPr="005D44F9">
        <w:rPr>
          <w:rFonts w:ascii="Arial" w:hAnsi="Arial" w:cs="Arial"/>
        </w:rPr>
        <w:t>The subsidy models</w:t>
      </w:r>
      <w:r>
        <w:rPr>
          <w:rFonts w:ascii="Arial" w:hAnsi="Arial" w:cs="Arial"/>
        </w:rPr>
        <w:t xml:space="preserve"> used in other countries</w:t>
      </w:r>
      <w:r w:rsidRPr="005D44F9">
        <w:rPr>
          <w:rFonts w:ascii="Arial" w:hAnsi="Arial" w:cs="Arial"/>
        </w:rPr>
        <w:t xml:space="preserve"> also vary in approach</w:t>
      </w:r>
      <w:r>
        <w:rPr>
          <w:rFonts w:ascii="Arial" w:hAnsi="Arial" w:cs="Arial"/>
        </w:rPr>
        <w:t>.</w:t>
      </w:r>
      <w:r w:rsidRPr="005D44F9">
        <w:rPr>
          <w:rFonts w:ascii="Arial" w:hAnsi="Arial" w:cs="Arial"/>
        </w:rPr>
        <w:t xml:space="preserve"> </w:t>
      </w:r>
      <w:r>
        <w:rPr>
          <w:rFonts w:ascii="Arial" w:hAnsi="Arial" w:cs="Arial"/>
        </w:rPr>
        <w:t>M</w:t>
      </w:r>
      <w:r w:rsidRPr="005D44F9">
        <w:rPr>
          <w:rFonts w:ascii="Arial" w:hAnsi="Arial" w:cs="Arial"/>
        </w:rPr>
        <w:t xml:space="preserve">ost include one or more of the following attributes: </w:t>
      </w:r>
    </w:p>
    <w:p w:rsidR="0096074C" w:rsidRPr="00A10598" w:rsidRDefault="0096074C" w:rsidP="008A4CEA">
      <w:pPr>
        <w:pStyle w:val="ListParagraph"/>
        <w:numPr>
          <w:ilvl w:val="0"/>
          <w:numId w:val="11"/>
        </w:numPr>
        <w:spacing w:after="0" w:line="360" w:lineRule="auto"/>
        <w:jc w:val="both"/>
        <w:rPr>
          <w:rFonts w:ascii="Arial" w:hAnsi="Arial" w:cs="Arial"/>
        </w:rPr>
      </w:pPr>
      <w:r w:rsidRPr="00A10598">
        <w:rPr>
          <w:rFonts w:ascii="Arial" w:hAnsi="Arial" w:cs="Arial"/>
        </w:rPr>
        <w:t xml:space="preserve">approaches designed to fast track new medications, </w:t>
      </w:r>
    </w:p>
    <w:p w:rsidR="0096074C" w:rsidRDefault="0096074C" w:rsidP="008A4CEA">
      <w:pPr>
        <w:pStyle w:val="ListParagraph"/>
        <w:numPr>
          <w:ilvl w:val="0"/>
          <w:numId w:val="11"/>
        </w:numPr>
        <w:spacing w:after="0" w:line="360" w:lineRule="auto"/>
        <w:jc w:val="both"/>
        <w:rPr>
          <w:rFonts w:ascii="Arial" w:hAnsi="Arial" w:cs="Arial"/>
        </w:rPr>
      </w:pPr>
      <w:r w:rsidRPr="00A10598">
        <w:rPr>
          <w:rFonts w:ascii="Arial" w:hAnsi="Arial" w:cs="Arial"/>
        </w:rPr>
        <w:t>managed entry schemes where continued funding depends on further evidence of effectiveness (</w:t>
      </w:r>
      <w:r>
        <w:rPr>
          <w:rFonts w:ascii="Arial" w:hAnsi="Arial" w:cs="Arial"/>
        </w:rPr>
        <w:t xml:space="preserve">and </w:t>
      </w:r>
      <w:r w:rsidRPr="00A10598">
        <w:rPr>
          <w:rFonts w:ascii="Arial" w:hAnsi="Arial" w:cs="Arial"/>
        </w:rPr>
        <w:t>or cost-effectiveness),</w:t>
      </w:r>
    </w:p>
    <w:p w:rsidR="0096074C" w:rsidRDefault="0096074C" w:rsidP="008A4CEA">
      <w:pPr>
        <w:pStyle w:val="ListParagraph"/>
        <w:numPr>
          <w:ilvl w:val="0"/>
          <w:numId w:val="11"/>
        </w:numPr>
        <w:spacing w:after="0" w:line="360" w:lineRule="auto"/>
        <w:jc w:val="both"/>
        <w:rPr>
          <w:rFonts w:ascii="Arial" w:hAnsi="Arial" w:cs="Arial"/>
        </w:rPr>
      </w:pPr>
      <w:r>
        <w:rPr>
          <w:rFonts w:ascii="Arial" w:hAnsi="Arial" w:cs="Arial"/>
        </w:rPr>
        <w:t>performance based risk sharing agreements,</w:t>
      </w:r>
    </w:p>
    <w:p w:rsidR="0096074C" w:rsidRPr="00A10598" w:rsidRDefault="0096074C" w:rsidP="008A4CEA">
      <w:pPr>
        <w:pStyle w:val="ListParagraph"/>
        <w:numPr>
          <w:ilvl w:val="0"/>
          <w:numId w:val="11"/>
        </w:numPr>
        <w:spacing w:after="0" w:line="360" w:lineRule="auto"/>
        <w:jc w:val="both"/>
        <w:rPr>
          <w:rFonts w:ascii="Arial" w:hAnsi="Arial" w:cs="Arial"/>
        </w:rPr>
      </w:pPr>
      <w:r>
        <w:rPr>
          <w:rFonts w:ascii="Arial" w:hAnsi="Arial" w:cs="Arial"/>
        </w:rPr>
        <w:t xml:space="preserve">financial-based risk sharing arrangements, </w:t>
      </w:r>
    </w:p>
    <w:p w:rsidR="0096074C" w:rsidRPr="00A10598" w:rsidRDefault="0096074C" w:rsidP="008A4CEA">
      <w:pPr>
        <w:pStyle w:val="ListParagraph"/>
        <w:numPr>
          <w:ilvl w:val="0"/>
          <w:numId w:val="11"/>
        </w:numPr>
        <w:spacing w:after="0" w:line="360" w:lineRule="auto"/>
        <w:jc w:val="both"/>
        <w:rPr>
          <w:rFonts w:ascii="Arial" w:hAnsi="Arial" w:cs="Arial"/>
        </w:rPr>
      </w:pPr>
      <w:r w:rsidRPr="00A10598">
        <w:rPr>
          <w:rFonts w:ascii="Arial" w:hAnsi="Arial" w:cs="Arial"/>
        </w:rPr>
        <w:t xml:space="preserve">higher cost thresholds, </w:t>
      </w:r>
    </w:p>
    <w:p w:rsidR="0096074C" w:rsidRPr="00A10598" w:rsidRDefault="0096074C" w:rsidP="008A4CEA">
      <w:pPr>
        <w:pStyle w:val="ListParagraph"/>
        <w:numPr>
          <w:ilvl w:val="0"/>
          <w:numId w:val="11"/>
        </w:numPr>
        <w:spacing w:after="0" w:line="360" w:lineRule="auto"/>
        <w:jc w:val="both"/>
        <w:rPr>
          <w:rFonts w:ascii="Arial" w:hAnsi="Arial" w:cs="Arial"/>
        </w:rPr>
      </w:pPr>
      <w:r w:rsidRPr="00A10598">
        <w:rPr>
          <w:rFonts w:ascii="Arial" w:hAnsi="Arial" w:cs="Arial"/>
        </w:rPr>
        <w:t>explicit statement of lower levels of evidence of effectiveness, and,</w:t>
      </w:r>
    </w:p>
    <w:p w:rsidR="0096074C" w:rsidRPr="00DB7B8B" w:rsidRDefault="0096074C" w:rsidP="008A4CEA">
      <w:pPr>
        <w:pStyle w:val="ListParagraph"/>
        <w:numPr>
          <w:ilvl w:val="0"/>
          <w:numId w:val="11"/>
        </w:numPr>
        <w:spacing w:after="0" w:line="360" w:lineRule="auto"/>
        <w:jc w:val="both"/>
        <w:rPr>
          <w:rFonts w:ascii="Arial" w:hAnsi="Arial" w:cs="Arial"/>
        </w:rPr>
      </w:pPr>
      <w:proofErr w:type="gramStart"/>
      <w:r w:rsidRPr="00A10598">
        <w:rPr>
          <w:rFonts w:ascii="Arial" w:hAnsi="Arial" w:cs="Arial"/>
        </w:rPr>
        <w:t>limited</w:t>
      </w:r>
      <w:proofErr w:type="gramEnd"/>
      <w:r w:rsidRPr="00A10598">
        <w:rPr>
          <w:rFonts w:ascii="Arial" w:hAnsi="Arial" w:cs="Arial"/>
        </w:rPr>
        <w:t xml:space="preserve"> time period listings.</w:t>
      </w:r>
    </w:p>
    <w:p w:rsidR="0096074C" w:rsidRDefault="00E51740" w:rsidP="008A4CEA">
      <w:pPr>
        <w:pStyle w:val="ListParagraph"/>
        <w:numPr>
          <w:ilvl w:val="1"/>
          <w:numId w:val="10"/>
        </w:numPr>
        <w:spacing w:after="0" w:line="360" w:lineRule="auto"/>
        <w:jc w:val="both"/>
        <w:rPr>
          <w:rFonts w:ascii="Arial" w:hAnsi="Arial" w:cs="Arial"/>
        </w:rPr>
      </w:pPr>
      <w:r>
        <w:rPr>
          <w:rFonts w:ascii="Arial" w:hAnsi="Arial" w:cs="Arial"/>
        </w:rPr>
        <w:t xml:space="preserve">The Reference Group </w:t>
      </w:r>
      <w:r w:rsidR="0096074C" w:rsidRPr="005D44F9">
        <w:rPr>
          <w:rFonts w:ascii="Arial" w:hAnsi="Arial" w:cs="Arial"/>
        </w:rPr>
        <w:t>not</w:t>
      </w:r>
      <w:r>
        <w:rPr>
          <w:rFonts w:ascii="Arial" w:hAnsi="Arial" w:cs="Arial"/>
        </w:rPr>
        <w:t>ed</w:t>
      </w:r>
      <w:r w:rsidR="0096074C" w:rsidRPr="005D44F9">
        <w:rPr>
          <w:rFonts w:ascii="Arial" w:hAnsi="Arial" w:cs="Arial"/>
        </w:rPr>
        <w:t xml:space="preserve"> that</w:t>
      </w:r>
      <w:r w:rsidR="0096074C">
        <w:rPr>
          <w:rFonts w:ascii="Arial" w:hAnsi="Arial" w:cs="Arial"/>
        </w:rPr>
        <w:t xml:space="preserve"> </w:t>
      </w:r>
      <w:r w:rsidR="0096074C" w:rsidRPr="005D44F9">
        <w:rPr>
          <w:rFonts w:ascii="Arial" w:hAnsi="Arial" w:cs="Arial"/>
        </w:rPr>
        <w:t xml:space="preserve">Belgium, the Netherlands and Germany reportedly required no </w:t>
      </w:r>
      <w:proofErr w:type="spellStart"/>
      <w:r w:rsidR="0096074C" w:rsidRPr="005D44F9">
        <w:rPr>
          <w:rFonts w:ascii="Arial" w:hAnsi="Arial" w:cs="Arial"/>
        </w:rPr>
        <w:t>pharmacoeconomic</w:t>
      </w:r>
      <w:proofErr w:type="spellEnd"/>
      <w:r w:rsidR="0096074C" w:rsidRPr="005D44F9">
        <w:rPr>
          <w:rFonts w:ascii="Arial" w:hAnsi="Arial" w:cs="Arial"/>
        </w:rPr>
        <w:t xml:space="preserve"> evaluation, although this does not preclude risk-sharing arrangements</w:t>
      </w:r>
      <w:r w:rsidR="0096074C">
        <w:rPr>
          <w:rFonts w:ascii="Arial" w:hAnsi="Arial" w:cs="Arial"/>
        </w:rPr>
        <w:t xml:space="preserve"> (</w:t>
      </w:r>
      <w:r w:rsidR="0096074C" w:rsidRPr="00C52D07">
        <w:rPr>
          <w:rFonts w:ascii="Arial" w:hAnsi="Arial" w:cs="Arial"/>
        </w:rPr>
        <w:t xml:space="preserve">Denis et al. 2011; </w:t>
      </w:r>
      <w:proofErr w:type="spellStart"/>
      <w:r w:rsidR="0096074C" w:rsidRPr="00C52D07">
        <w:rPr>
          <w:rFonts w:ascii="Arial" w:hAnsi="Arial" w:cs="Arial"/>
        </w:rPr>
        <w:t>Garau</w:t>
      </w:r>
      <w:proofErr w:type="spellEnd"/>
      <w:r w:rsidR="0096074C" w:rsidRPr="00C52D07">
        <w:rPr>
          <w:rFonts w:ascii="Arial" w:hAnsi="Arial" w:cs="Arial"/>
        </w:rPr>
        <w:t xml:space="preserve"> &amp; </w:t>
      </w:r>
      <w:proofErr w:type="spellStart"/>
      <w:r w:rsidR="0096074C" w:rsidRPr="00C52D07">
        <w:rPr>
          <w:rFonts w:ascii="Arial" w:hAnsi="Arial" w:cs="Arial"/>
        </w:rPr>
        <w:t>Mestre-Ferrandiz</w:t>
      </w:r>
      <w:proofErr w:type="spellEnd"/>
      <w:r w:rsidR="0096074C" w:rsidRPr="00C52D07">
        <w:rPr>
          <w:rFonts w:ascii="Arial" w:hAnsi="Arial" w:cs="Arial"/>
        </w:rPr>
        <w:t xml:space="preserve"> 2009; </w:t>
      </w:r>
      <w:proofErr w:type="spellStart"/>
      <w:r w:rsidR="0096074C" w:rsidRPr="00C52D07">
        <w:rPr>
          <w:rFonts w:ascii="Arial" w:hAnsi="Arial" w:cs="Arial"/>
        </w:rPr>
        <w:t>Vegter</w:t>
      </w:r>
      <w:proofErr w:type="spellEnd"/>
      <w:r w:rsidR="0096074C" w:rsidRPr="00C52D07">
        <w:rPr>
          <w:rFonts w:ascii="Arial" w:hAnsi="Arial" w:cs="Arial"/>
        </w:rPr>
        <w:t xml:space="preserve"> et al. 2010).</w:t>
      </w:r>
      <w:r w:rsidR="0096074C">
        <w:rPr>
          <w:rFonts w:ascii="Arial" w:hAnsi="Arial" w:cs="Arial"/>
        </w:rPr>
        <w:t xml:space="preserve">  </w:t>
      </w:r>
      <w:r w:rsidR="0096074C" w:rsidRPr="00C055D5">
        <w:rPr>
          <w:rFonts w:ascii="Arial" w:hAnsi="Arial" w:cs="Arial"/>
        </w:rPr>
        <w:t>The Netherlands allows dispensation from submitting cost effectiveness evidence when limited data is available</w:t>
      </w:r>
      <w:r w:rsidR="0096074C">
        <w:rPr>
          <w:rFonts w:ascii="Arial" w:hAnsi="Arial" w:cs="Arial"/>
        </w:rPr>
        <w:t xml:space="preserve"> but requires the manufacturer to submit a budget impact analysis.</w:t>
      </w:r>
      <w:r w:rsidR="0096074C" w:rsidRPr="00DB7B8B">
        <w:rPr>
          <w:rFonts w:ascii="Arial" w:hAnsi="Arial" w:cs="Arial"/>
        </w:rPr>
        <w:t xml:space="preserve"> </w:t>
      </w:r>
      <w:r w:rsidR="0096074C">
        <w:rPr>
          <w:rFonts w:ascii="Arial" w:hAnsi="Arial" w:cs="Arial"/>
        </w:rPr>
        <w:t>Hospital administered e</w:t>
      </w:r>
      <w:r w:rsidR="0096074C" w:rsidRPr="008437A5">
        <w:rPr>
          <w:rFonts w:ascii="Arial" w:hAnsi="Arial" w:cs="Arial"/>
        </w:rPr>
        <w:t xml:space="preserve">xpensive drugs may be listed with the condition of collecting further evidence and </w:t>
      </w:r>
      <w:r w:rsidR="0096074C">
        <w:rPr>
          <w:rFonts w:ascii="Arial" w:hAnsi="Arial" w:cs="Arial"/>
        </w:rPr>
        <w:t>having a re -</w:t>
      </w:r>
      <w:r w:rsidR="0096074C" w:rsidRPr="008437A5">
        <w:rPr>
          <w:rFonts w:ascii="Arial" w:hAnsi="Arial" w:cs="Arial"/>
        </w:rPr>
        <w:t xml:space="preserve">appraisal </w:t>
      </w:r>
      <w:r w:rsidR="0096074C">
        <w:rPr>
          <w:rFonts w:ascii="Arial" w:hAnsi="Arial" w:cs="Arial"/>
        </w:rPr>
        <w:t xml:space="preserve">by </w:t>
      </w:r>
      <w:r w:rsidR="0096074C" w:rsidRPr="00DB7B8B">
        <w:rPr>
          <w:rFonts w:ascii="Arial" w:hAnsi="Arial" w:cs="Arial"/>
        </w:rPr>
        <w:t xml:space="preserve">Dutch Health Care Reimbursement Board (College </w:t>
      </w:r>
      <w:proofErr w:type="spellStart"/>
      <w:r w:rsidR="0096074C" w:rsidRPr="00DB7B8B">
        <w:rPr>
          <w:rFonts w:ascii="Arial" w:hAnsi="Arial" w:cs="Arial"/>
        </w:rPr>
        <w:t>voor</w:t>
      </w:r>
      <w:proofErr w:type="spellEnd"/>
      <w:r w:rsidR="0096074C" w:rsidRPr="00DB7B8B">
        <w:rPr>
          <w:rFonts w:ascii="Arial" w:hAnsi="Arial" w:cs="Arial"/>
        </w:rPr>
        <w:t xml:space="preserve"> </w:t>
      </w:r>
      <w:proofErr w:type="spellStart"/>
      <w:r w:rsidR="0096074C" w:rsidRPr="00DB7B8B">
        <w:rPr>
          <w:rFonts w:ascii="Arial" w:hAnsi="Arial" w:cs="Arial"/>
        </w:rPr>
        <w:t>zorgverzekeringen</w:t>
      </w:r>
      <w:proofErr w:type="spellEnd"/>
      <w:r w:rsidR="0096074C" w:rsidRPr="00DB7B8B">
        <w:rPr>
          <w:rFonts w:ascii="Arial" w:hAnsi="Arial" w:cs="Arial"/>
        </w:rPr>
        <w:t xml:space="preserve"> - CVZ)</w:t>
      </w:r>
      <w:r w:rsidR="0096074C">
        <w:rPr>
          <w:rFonts w:ascii="Arial" w:hAnsi="Arial" w:cs="Arial"/>
        </w:rPr>
        <w:t xml:space="preserve"> </w:t>
      </w:r>
      <w:r w:rsidR="0096074C" w:rsidRPr="00DB7B8B">
        <w:rPr>
          <w:rFonts w:ascii="Arial" w:hAnsi="Arial" w:cs="Arial"/>
        </w:rPr>
        <w:t>within three years.</w:t>
      </w:r>
    </w:p>
    <w:p w:rsidR="004D30F6" w:rsidRDefault="0096074C" w:rsidP="008A4CEA">
      <w:pPr>
        <w:pStyle w:val="ListParagraph"/>
        <w:numPr>
          <w:ilvl w:val="1"/>
          <w:numId w:val="10"/>
        </w:numPr>
        <w:spacing w:after="0" w:line="360" w:lineRule="auto"/>
        <w:jc w:val="both"/>
        <w:rPr>
          <w:rFonts w:ascii="Arial" w:hAnsi="Arial" w:cs="Arial"/>
        </w:rPr>
      </w:pPr>
      <w:proofErr w:type="spellStart"/>
      <w:r>
        <w:rPr>
          <w:rFonts w:ascii="Arial" w:hAnsi="Arial" w:cs="Arial"/>
        </w:rPr>
        <w:t>Garau</w:t>
      </w:r>
      <w:proofErr w:type="spellEnd"/>
      <w:r>
        <w:rPr>
          <w:rFonts w:ascii="Arial" w:hAnsi="Arial" w:cs="Arial"/>
        </w:rPr>
        <w:t xml:space="preserve"> et al (2009) reviewed a number </w:t>
      </w:r>
      <w:r w:rsidR="009B1860">
        <w:rPr>
          <w:rFonts w:ascii="Arial" w:hAnsi="Arial" w:cs="Arial"/>
        </w:rPr>
        <w:t>of schemes</w:t>
      </w:r>
      <w:r>
        <w:rPr>
          <w:rFonts w:ascii="Arial" w:hAnsi="Arial" w:cs="Arial"/>
        </w:rPr>
        <w:t xml:space="preserve"> to evaluate orphan drugs for reimbursement purposes. This review found t</w:t>
      </w:r>
      <w:r w:rsidRPr="005D44F9">
        <w:rPr>
          <w:rFonts w:ascii="Arial" w:hAnsi="Arial" w:cs="Arial"/>
        </w:rPr>
        <w:t xml:space="preserve">here is no evidence that one scheme produces substantially different </w:t>
      </w:r>
      <w:r>
        <w:rPr>
          <w:rFonts w:ascii="Arial" w:hAnsi="Arial" w:cs="Arial"/>
        </w:rPr>
        <w:t xml:space="preserve">access </w:t>
      </w:r>
      <w:r w:rsidRPr="005D44F9">
        <w:rPr>
          <w:rFonts w:ascii="Arial" w:hAnsi="Arial" w:cs="Arial"/>
        </w:rPr>
        <w:t>outcomes th</w:t>
      </w:r>
      <w:r>
        <w:rPr>
          <w:rFonts w:ascii="Arial" w:hAnsi="Arial" w:cs="Arial"/>
        </w:rPr>
        <w:t>a</w:t>
      </w:r>
      <w:r w:rsidRPr="005D44F9">
        <w:rPr>
          <w:rFonts w:ascii="Arial" w:hAnsi="Arial" w:cs="Arial"/>
        </w:rPr>
        <w:t>n others</w:t>
      </w:r>
      <w:r w:rsidR="00E51740">
        <w:rPr>
          <w:rFonts w:ascii="Arial" w:hAnsi="Arial" w:cs="Arial"/>
        </w:rPr>
        <w:t>. Predictably</w:t>
      </w:r>
      <w:r w:rsidRPr="005D44F9">
        <w:rPr>
          <w:rFonts w:ascii="Arial" w:hAnsi="Arial" w:cs="Arial"/>
        </w:rPr>
        <w:t xml:space="preserve"> if </w:t>
      </w:r>
      <w:r w:rsidR="00E51740">
        <w:rPr>
          <w:rFonts w:ascii="Arial" w:hAnsi="Arial" w:cs="Arial"/>
        </w:rPr>
        <w:t>the scheme has</w:t>
      </w:r>
      <w:r w:rsidRPr="005D44F9">
        <w:rPr>
          <w:rFonts w:ascii="Arial" w:hAnsi="Arial" w:cs="Arial"/>
        </w:rPr>
        <w:t xml:space="preserve"> no requirement for </w:t>
      </w:r>
      <w:proofErr w:type="spellStart"/>
      <w:r w:rsidRPr="005D44F9">
        <w:rPr>
          <w:rFonts w:ascii="Arial" w:hAnsi="Arial" w:cs="Arial"/>
        </w:rPr>
        <w:t>pharmacoeconomic</w:t>
      </w:r>
      <w:proofErr w:type="spellEnd"/>
      <w:r w:rsidRPr="005D44F9">
        <w:rPr>
          <w:rFonts w:ascii="Arial" w:hAnsi="Arial" w:cs="Arial"/>
        </w:rPr>
        <w:t xml:space="preserve"> evaluations or </w:t>
      </w:r>
      <w:r>
        <w:rPr>
          <w:rFonts w:ascii="Arial" w:hAnsi="Arial" w:cs="Arial"/>
        </w:rPr>
        <w:t>ha</w:t>
      </w:r>
      <w:r w:rsidR="00E51740">
        <w:rPr>
          <w:rFonts w:ascii="Arial" w:hAnsi="Arial" w:cs="Arial"/>
        </w:rPr>
        <w:t>s</w:t>
      </w:r>
      <w:r>
        <w:rPr>
          <w:rFonts w:ascii="Arial" w:hAnsi="Arial" w:cs="Arial"/>
        </w:rPr>
        <w:t xml:space="preserve"> </w:t>
      </w:r>
      <w:r w:rsidRPr="005D44F9">
        <w:rPr>
          <w:rFonts w:ascii="Arial" w:hAnsi="Arial" w:cs="Arial"/>
        </w:rPr>
        <w:t xml:space="preserve">lower evidence requirements, then more </w:t>
      </w:r>
      <w:r>
        <w:rPr>
          <w:rFonts w:ascii="Arial" w:hAnsi="Arial" w:cs="Arial"/>
        </w:rPr>
        <w:t>drugs</w:t>
      </w:r>
      <w:r w:rsidRPr="005D44F9">
        <w:rPr>
          <w:rFonts w:ascii="Arial" w:hAnsi="Arial" w:cs="Arial"/>
        </w:rPr>
        <w:t xml:space="preserve"> will </w:t>
      </w:r>
      <w:r w:rsidR="00E51740">
        <w:rPr>
          <w:rFonts w:ascii="Arial" w:hAnsi="Arial" w:cs="Arial"/>
        </w:rPr>
        <w:t>be subsidised</w:t>
      </w:r>
      <w:r w:rsidRPr="005D44F9">
        <w:rPr>
          <w:rFonts w:ascii="Arial" w:hAnsi="Arial" w:cs="Arial"/>
        </w:rPr>
        <w:t>.</w:t>
      </w:r>
      <w:r>
        <w:rPr>
          <w:rFonts w:ascii="Arial" w:hAnsi="Arial" w:cs="Arial"/>
        </w:rPr>
        <w:t xml:space="preserve">  Information about the price of these medicines</w:t>
      </w:r>
      <w:r w:rsidR="00E51740">
        <w:rPr>
          <w:rFonts w:ascii="Arial" w:hAnsi="Arial" w:cs="Arial"/>
        </w:rPr>
        <w:t xml:space="preserve"> available through</w:t>
      </w:r>
      <w:r>
        <w:rPr>
          <w:rFonts w:ascii="Arial" w:hAnsi="Arial" w:cs="Arial"/>
        </w:rPr>
        <w:t xml:space="preserve"> international</w:t>
      </w:r>
      <w:r w:rsidR="00E51740">
        <w:rPr>
          <w:rFonts w:ascii="Arial" w:hAnsi="Arial" w:cs="Arial"/>
        </w:rPr>
        <w:t xml:space="preserve"> schemes</w:t>
      </w:r>
      <w:r>
        <w:rPr>
          <w:rFonts w:ascii="Arial" w:hAnsi="Arial" w:cs="Arial"/>
        </w:rPr>
        <w:t xml:space="preserve"> cannot be verified from published information.</w:t>
      </w:r>
      <w:r w:rsidR="00E51740">
        <w:rPr>
          <w:rFonts w:ascii="Arial" w:hAnsi="Arial" w:cs="Arial"/>
        </w:rPr>
        <w:t xml:space="preserve"> Anecdotally the prices are reported to be lower than those published. </w:t>
      </w:r>
      <w:r>
        <w:rPr>
          <w:rFonts w:ascii="Arial" w:hAnsi="Arial" w:cs="Arial"/>
        </w:rPr>
        <w:t xml:space="preserve"> </w:t>
      </w:r>
    </w:p>
    <w:p w:rsidR="004D30F6" w:rsidRPr="008937F2" w:rsidRDefault="0096074C" w:rsidP="009248AE">
      <w:pPr>
        <w:pStyle w:val="Footer"/>
        <w:jc w:val="both"/>
        <w:rPr>
          <w:rFonts w:ascii="Calibri" w:hAnsi="Calibri"/>
          <w:sz w:val="20"/>
          <w:szCs w:val="20"/>
        </w:rPr>
      </w:pPr>
      <w:r w:rsidRPr="005D44F9">
        <w:rPr>
          <w:rFonts w:ascii="Arial" w:hAnsi="Arial" w:cs="Arial"/>
        </w:rPr>
        <w:t xml:space="preserve"> </w:t>
      </w:r>
      <w:r w:rsidR="004D30F6" w:rsidRPr="008937F2">
        <w:rPr>
          <w:rFonts w:ascii="Calibri" w:hAnsi="Calibri"/>
          <w:sz w:val="20"/>
          <w:szCs w:val="20"/>
        </w:rPr>
        <w:t xml:space="preserve">*Multi-criteria decision analysis </w:t>
      </w:r>
      <w:r w:rsidR="004D30F6">
        <w:rPr>
          <w:rFonts w:ascii="Calibri" w:hAnsi="Calibri"/>
          <w:sz w:val="20"/>
          <w:szCs w:val="20"/>
        </w:rPr>
        <w:t>aims to support</w:t>
      </w:r>
      <w:r w:rsidR="004D30F6" w:rsidRPr="008937F2">
        <w:rPr>
          <w:rFonts w:ascii="Calibri" w:hAnsi="Calibri"/>
          <w:sz w:val="20"/>
          <w:szCs w:val="20"/>
        </w:rPr>
        <w:t xml:space="preserve"> decision makers faced with evaluating alternatives,</w:t>
      </w:r>
      <w:r w:rsidR="004D30F6">
        <w:rPr>
          <w:rFonts w:ascii="Calibri" w:hAnsi="Calibri"/>
          <w:sz w:val="20"/>
          <w:szCs w:val="20"/>
        </w:rPr>
        <w:t xml:space="preserve"> and takes into account</w:t>
      </w:r>
      <w:r w:rsidR="004D30F6" w:rsidRPr="008937F2">
        <w:rPr>
          <w:rFonts w:ascii="Calibri" w:hAnsi="Calibri"/>
          <w:sz w:val="20"/>
          <w:szCs w:val="20"/>
        </w:rPr>
        <w:t xml:space="preserve"> multiple, and often conflictive, criteria.</w:t>
      </w:r>
      <w:r w:rsidR="004D30F6">
        <w:rPr>
          <w:rFonts w:ascii="Calibri" w:hAnsi="Calibri"/>
          <w:sz w:val="20"/>
          <w:szCs w:val="20"/>
        </w:rPr>
        <w:t xml:space="preserve"> Criteria may include </w:t>
      </w:r>
      <w:r w:rsidR="004D30F6" w:rsidRPr="00846801">
        <w:rPr>
          <w:rFonts w:ascii="Calibri" w:hAnsi="Calibri"/>
          <w:sz w:val="20"/>
          <w:szCs w:val="20"/>
        </w:rPr>
        <w:t>the effectiveness and safety of the drug, the economic impact, and other considerations, such as severity of the disease, the equity / ethical and social implications of the drug, current health policy goals etc</w:t>
      </w:r>
      <w:r w:rsidR="004D30F6">
        <w:rPr>
          <w:rFonts w:ascii="Calibri" w:hAnsi="Calibri"/>
          <w:sz w:val="20"/>
          <w:szCs w:val="20"/>
        </w:rPr>
        <w:t>.</w:t>
      </w:r>
    </w:p>
    <w:p w:rsidR="0096074C" w:rsidRPr="005D44F9" w:rsidRDefault="0096074C" w:rsidP="004D30F6">
      <w:pPr>
        <w:pStyle w:val="ListParagraph"/>
        <w:spacing w:after="0" w:line="360" w:lineRule="auto"/>
        <w:jc w:val="both"/>
        <w:rPr>
          <w:rFonts w:ascii="Arial" w:hAnsi="Arial" w:cs="Arial"/>
        </w:rPr>
      </w:pPr>
    </w:p>
    <w:p w:rsidR="00265DCB" w:rsidRPr="004D30F6" w:rsidRDefault="0096074C" w:rsidP="004D30F6">
      <w:pPr>
        <w:pStyle w:val="ListParagraph"/>
        <w:numPr>
          <w:ilvl w:val="1"/>
          <w:numId w:val="10"/>
        </w:numPr>
        <w:spacing w:after="0" w:line="360" w:lineRule="auto"/>
        <w:jc w:val="both"/>
        <w:rPr>
          <w:rFonts w:ascii="Arial" w:hAnsi="Arial" w:cs="Arial"/>
        </w:rPr>
      </w:pPr>
      <w:r w:rsidRPr="005D44F9">
        <w:rPr>
          <w:rFonts w:ascii="Arial" w:hAnsi="Arial" w:cs="Arial"/>
        </w:rPr>
        <w:t>In the Evaluation Group re</w:t>
      </w:r>
      <w:r w:rsidR="00E51740">
        <w:rPr>
          <w:rFonts w:ascii="Arial" w:hAnsi="Arial" w:cs="Arial"/>
        </w:rPr>
        <w:t>port</w:t>
      </w:r>
      <w:r w:rsidRPr="005D44F9">
        <w:rPr>
          <w:rFonts w:ascii="Arial" w:hAnsi="Arial" w:cs="Arial"/>
        </w:rPr>
        <w:t xml:space="preserve"> and in many of the comments </w:t>
      </w:r>
      <w:r>
        <w:rPr>
          <w:rFonts w:ascii="Arial" w:hAnsi="Arial" w:cs="Arial"/>
        </w:rPr>
        <w:t xml:space="preserve">received </w:t>
      </w:r>
      <w:r w:rsidRPr="005D44F9">
        <w:rPr>
          <w:rFonts w:ascii="Arial" w:hAnsi="Arial" w:cs="Arial"/>
        </w:rPr>
        <w:t xml:space="preserve">from consumer and industry groups, there is considerable discussion of the </w:t>
      </w:r>
      <w:r w:rsidRPr="006049D7">
        <w:rPr>
          <w:rFonts w:ascii="Arial" w:hAnsi="Arial" w:cs="Arial"/>
        </w:rPr>
        <w:t>National Institute for Health and Care Excellence</w:t>
      </w:r>
      <w:r>
        <w:rPr>
          <w:rFonts w:ascii="Arial" w:hAnsi="Arial" w:cs="Arial"/>
        </w:rPr>
        <w:t xml:space="preserve"> (</w:t>
      </w:r>
      <w:r w:rsidRPr="005D44F9">
        <w:rPr>
          <w:rFonts w:ascii="Arial" w:hAnsi="Arial" w:cs="Arial"/>
        </w:rPr>
        <w:t>NICE</w:t>
      </w:r>
      <w:r>
        <w:rPr>
          <w:rFonts w:ascii="Arial" w:hAnsi="Arial" w:cs="Arial"/>
        </w:rPr>
        <w:t>)</w:t>
      </w:r>
      <w:r w:rsidRPr="005D44F9">
        <w:rPr>
          <w:rFonts w:ascii="Arial" w:hAnsi="Arial" w:cs="Arial"/>
        </w:rPr>
        <w:t xml:space="preserve"> approach using Multi-criteria Decision Analysis</w:t>
      </w:r>
      <w:r w:rsidR="008937F2">
        <w:rPr>
          <w:rFonts w:ascii="Arial" w:hAnsi="Arial" w:cs="Arial"/>
        </w:rPr>
        <w:t>*</w:t>
      </w:r>
      <w:r w:rsidRPr="005D44F9">
        <w:rPr>
          <w:rFonts w:ascii="Arial" w:hAnsi="Arial" w:cs="Arial"/>
        </w:rPr>
        <w:t xml:space="preserve"> and the </w:t>
      </w:r>
      <w:r>
        <w:rPr>
          <w:rFonts w:ascii="Arial" w:hAnsi="Arial" w:cs="Arial"/>
        </w:rPr>
        <w:t xml:space="preserve">formal </w:t>
      </w:r>
      <w:r w:rsidRPr="005D44F9">
        <w:rPr>
          <w:rFonts w:ascii="Arial" w:hAnsi="Arial" w:cs="Arial"/>
        </w:rPr>
        <w:t xml:space="preserve">adoption of broader societal </w:t>
      </w:r>
    </w:p>
    <w:p w:rsidR="00260578" w:rsidRDefault="0096074C" w:rsidP="00265DCB">
      <w:pPr>
        <w:pStyle w:val="ListParagraph"/>
        <w:spacing w:after="0" w:line="360" w:lineRule="auto"/>
        <w:jc w:val="both"/>
      </w:pPr>
      <w:proofErr w:type="gramStart"/>
      <w:r w:rsidRPr="005D44F9">
        <w:rPr>
          <w:rFonts w:ascii="Arial" w:hAnsi="Arial" w:cs="Arial"/>
        </w:rPr>
        <w:t>perspectives</w:t>
      </w:r>
      <w:proofErr w:type="gramEnd"/>
      <w:r w:rsidRPr="005D44F9">
        <w:rPr>
          <w:rFonts w:ascii="Arial" w:hAnsi="Arial" w:cs="Arial"/>
        </w:rPr>
        <w:t xml:space="preserve"> in the decision framework.  </w:t>
      </w:r>
      <w:r>
        <w:rPr>
          <w:rFonts w:ascii="Arial" w:hAnsi="Arial" w:cs="Arial"/>
        </w:rPr>
        <w:t>The Reference Group could see merit in the principles of the approach although it noted the practicalities of this prescriptive approach in decision making. While there were good</w:t>
      </w:r>
      <w:r w:rsidR="00C56971">
        <w:rPr>
          <w:rFonts w:ascii="Arial" w:hAnsi="Arial" w:cs="Arial"/>
        </w:rPr>
        <w:t xml:space="preserve"> </w:t>
      </w:r>
      <w:r w:rsidRPr="00C56971">
        <w:rPr>
          <w:rFonts w:ascii="Arial" w:hAnsi="Arial" w:cs="Arial"/>
        </w:rPr>
        <w:t xml:space="preserve">arguments for moving away from a focus on the life extending benefits, the </w:t>
      </w:r>
      <w:r w:rsidR="00E51740" w:rsidRPr="00C56971">
        <w:rPr>
          <w:rFonts w:ascii="Arial" w:hAnsi="Arial" w:cs="Arial"/>
        </w:rPr>
        <w:t>R</w:t>
      </w:r>
      <w:r w:rsidR="00014387" w:rsidRPr="00C56971">
        <w:rPr>
          <w:rFonts w:ascii="Arial" w:hAnsi="Arial" w:cs="Arial"/>
        </w:rPr>
        <w:t xml:space="preserve">eference </w:t>
      </w:r>
      <w:r w:rsidR="00E51740" w:rsidRPr="00C56971">
        <w:rPr>
          <w:rFonts w:ascii="Arial" w:hAnsi="Arial" w:cs="Arial"/>
        </w:rPr>
        <w:t>G</w:t>
      </w:r>
      <w:r w:rsidR="00014387" w:rsidRPr="00C56971">
        <w:rPr>
          <w:rFonts w:ascii="Arial" w:hAnsi="Arial" w:cs="Arial"/>
        </w:rPr>
        <w:t xml:space="preserve">roup is concerned that </w:t>
      </w:r>
      <w:r w:rsidRPr="00C56971">
        <w:rPr>
          <w:rFonts w:ascii="Arial" w:hAnsi="Arial" w:cs="Arial"/>
        </w:rPr>
        <w:t>there are significant challenges in measuring broader benefits in a systematic and reproducible way.</w:t>
      </w:r>
    </w:p>
    <w:p w:rsidR="004724BB" w:rsidRPr="00163BF5" w:rsidRDefault="004724BB" w:rsidP="004724BB">
      <w:pPr>
        <w:pStyle w:val="ListParagraph"/>
        <w:numPr>
          <w:ilvl w:val="1"/>
          <w:numId w:val="10"/>
        </w:numPr>
        <w:spacing w:after="0" w:line="360" w:lineRule="auto"/>
        <w:jc w:val="both"/>
        <w:rPr>
          <w:rFonts w:ascii="Arial" w:hAnsi="Arial" w:cs="Arial"/>
          <w:b/>
          <w:color w:val="1A1A1A"/>
        </w:rPr>
      </w:pPr>
      <w:r>
        <w:rPr>
          <w:rFonts w:ascii="Arial" w:hAnsi="Arial" w:cs="Arial"/>
        </w:rPr>
        <w:t xml:space="preserve">Other than </w:t>
      </w:r>
      <w:proofErr w:type="spellStart"/>
      <w:r>
        <w:rPr>
          <w:rFonts w:ascii="Arial" w:hAnsi="Arial" w:cs="Arial"/>
        </w:rPr>
        <w:t>eculizumab</w:t>
      </w:r>
      <w:proofErr w:type="spellEnd"/>
      <w:r>
        <w:rPr>
          <w:rFonts w:ascii="Arial" w:hAnsi="Arial" w:cs="Arial"/>
        </w:rPr>
        <w:t xml:space="preserve"> for PNH, all other drugs subsidised on the LSDP are disease specific. The Reference Group considered that such exclusivity should be a criterion for consideration if the LSDP continues as a programme.   </w:t>
      </w:r>
    </w:p>
    <w:p w:rsidR="00260578" w:rsidRPr="00260578" w:rsidRDefault="00260578" w:rsidP="00260578"/>
    <w:p w:rsidR="00260578" w:rsidRPr="00F81AA7" w:rsidRDefault="00260578" w:rsidP="00260578">
      <w:pPr>
        <w:pStyle w:val="Heading4"/>
        <w:spacing w:line="360" w:lineRule="auto"/>
        <w:rPr>
          <w:rFonts w:ascii="Arial" w:hAnsi="Arial" w:cs="Arial"/>
          <w:i w:val="0"/>
          <w:color w:val="auto"/>
        </w:rPr>
      </w:pPr>
      <w:r w:rsidRPr="00F81AA7">
        <w:rPr>
          <w:rFonts w:ascii="Arial" w:hAnsi="Arial" w:cs="Arial"/>
          <w:i w:val="0"/>
          <w:color w:val="auto"/>
        </w:rPr>
        <w:t>I</w:t>
      </w:r>
      <w:r>
        <w:rPr>
          <w:rFonts w:ascii="Arial" w:hAnsi="Arial" w:cs="Arial"/>
          <w:i w:val="0"/>
          <w:color w:val="auto"/>
        </w:rPr>
        <w:t>ssue</w:t>
      </w:r>
      <w:r w:rsidRPr="00F81AA7">
        <w:rPr>
          <w:rFonts w:ascii="Arial" w:hAnsi="Arial" w:cs="Arial"/>
          <w:i w:val="0"/>
          <w:color w:val="auto"/>
        </w:rPr>
        <w:t xml:space="preserve"> 5:  </w:t>
      </w:r>
    </w:p>
    <w:p w:rsidR="00260578" w:rsidRPr="006415BB" w:rsidRDefault="00260578" w:rsidP="00260578">
      <w:pPr>
        <w:jc w:val="both"/>
        <w:rPr>
          <w:rFonts w:ascii="Arial" w:hAnsi="Arial" w:cs="Arial"/>
          <w:i/>
          <w:color w:val="303030"/>
          <w:szCs w:val="24"/>
        </w:rPr>
      </w:pPr>
      <w:r w:rsidRPr="006415BB">
        <w:rPr>
          <w:rFonts w:ascii="Arial" w:hAnsi="Arial" w:cs="Arial"/>
          <w:i/>
          <w:color w:val="303030"/>
          <w:szCs w:val="24"/>
        </w:rPr>
        <w:t xml:space="preserve">There are a number of definitions for rare diseases. This ranges from 1 in 1500 to 1 in 500,000. Regulation 2 of the Therapeutic Goods Regulations </w:t>
      </w:r>
      <w:r>
        <w:rPr>
          <w:rFonts w:ascii="Arial" w:hAnsi="Arial" w:cs="Arial"/>
          <w:i/>
          <w:color w:val="303030"/>
          <w:szCs w:val="24"/>
        </w:rPr>
        <w:t>(</w:t>
      </w:r>
      <w:r w:rsidRPr="006415BB">
        <w:rPr>
          <w:rFonts w:ascii="Arial" w:hAnsi="Arial" w:cs="Arial"/>
          <w:i/>
          <w:color w:val="303030"/>
          <w:szCs w:val="24"/>
        </w:rPr>
        <w:t>1990</w:t>
      </w:r>
      <w:r>
        <w:rPr>
          <w:rFonts w:ascii="Arial" w:hAnsi="Arial" w:cs="Arial"/>
          <w:i/>
          <w:color w:val="303030"/>
          <w:szCs w:val="24"/>
        </w:rPr>
        <w:t>)</w:t>
      </w:r>
      <w:r w:rsidRPr="006415BB">
        <w:rPr>
          <w:rFonts w:ascii="Arial" w:hAnsi="Arial" w:cs="Arial"/>
          <w:i/>
          <w:color w:val="303030"/>
          <w:szCs w:val="24"/>
        </w:rPr>
        <w:t xml:space="preserve"> defines rare disease as a disease, or condition, likely to affect not more than 2,000 individuals in Australia at any time, representing an incidence at the time of 1 in 10,000.</w:t>
      </w:r>
    </w:p>
    <w:p w:rsidR="00260578" w:rsidRDefault="00260578" w:rsidP="00260578">
      <w:pPr>
        <w:jc w:val="both"/>
        <w:rPr>
          <w:rFonts w:ascii="Arial" w:hAnsi="Arial" w:cs="Arial"/>
          <w:i/>
          <w:color w:val="303030"/>
          <w:szCs w:val="24"/>
        </w:rPr>
      </w:pPr>
      <w:r w:rsidRPr="006415BB">
        <w:rPr>
          <w:rFonts w:ascii="Arial" w:hAnsi="Arial" w:cs="Arial"/>
          <w:i/>
          <w:color w:val="303030"/>
          <w:szCs w:val="24"/>
        </w:rPr>
        <w:t>The definition of rare disease varies between countries and agencies. There are also other factors that may be relevant such as the impact of the disease and the availability of existing treatments.</w:t>
      </w:r>
    </w:p>
    <w:p w:rsidR="00260578" w:rsidRDefault="00260578" w:rsidP="00260578">
      <w:pPr>
        <w:pStyle w:val="ListParagraph"/>
        <w:jc w:val="both"/>
        <w:rPr>
          <w:rFonts w:ascii="Arial" w:hAnsi="Arial" w:cs="Arial"/>
          <w:color w:val="1A1A1A"/>
        </w:rPr>
      </w:pPr>
    </w:p>
    <w:p w:rsidR="00265DCB" w:rsidRDefault="00260578" w:rsidP="00265DCB">
      <w:pPr>
        <w:pStyle w:val="ListParagraph"/>
        <w:numPr>
          <w:ilvl w:val="0"/>
          <w:numId w:val="23"/>
        </w:numPr>
        <w:jc w:val="both"/>
        <w:rPr>
          <w:rFonts w:ascii="Arial" w:hAnsi="Arial" w:cs="Arial"/>
          <w:color w:val="1A1A1A"/>
        </w:rPr>
      </w:pPr>
      <w:r w:rsidRPr="006415BB">
        <w:rPr>
          <w:rFonts w:ascii="Arial" w:hAnsi="Arial" w:cs="Arial"/>
          <w:color w:val="1A1A1A"/>
        </w:rPr>
        <w:t xml:space="preserve">Should there be an explicit definition of what constitutes a rare disease for purposes of public funding and, if so, what should that be? </w:t>
      </w:r>
    </w:p>
    <w:p w:rsidR="006415BB" w:rsidRPr="00265DCB" w:rsidRDefault="006415BB" w:rsidP="00265DCB">
      <w:pPr>
        <w:pStyle w:val="ListParagraph"/>
        <w:jc w:val="both"/>
        <w:rPr>
          <w:rFonts w:ascii="Arial" w:hAnsi="Arial" w:cs="Arial"/>
          <w:color w:val="1A1A1A"/>
        </w:rPr>
      </w:pPr>
    </w:p>
    <w:p w:rsidR="00260578" w:rsidRDefault="006415BB" w:rsidP="00F81AA7">
      <w:pPr>
        <w:pStyle w:val="ListParagraph"/>
        <w:numPr>
          <w:ilvl w:val="0"/>
          <w:numId w:val="23"/>
        </w:numPr>
        <w:jc w:val="both"/>
        <w:rPr>
          <w:rFonts w:ascii="Arial" w:hAnsi="Arial" w:cs="Arial"/>
          <w:color w:val="1A1A1A"/>
        </w:rPr>
      </w:pPr>
      <w:r w:rsidRPr="006415BB">
        <w:rPr>
          <w:rFonts w:ascii="Arial" w:hAnsi="Arial" w:cs="Arial"/>
          <w:color w:val="1A1A1A"/>
        </w:rPr>
        <w:t xml:space="preserve">What other criteria </w:t>
      </w:r>
      <w:r w:rsidR="00AE7FD9">
        <w:rPr>
          <w:rFonts w:ascii="Arial" w:hAnsi="Arial" w:cs="Arial"/>
          <w:color w:val="1A1A1A"/>
        </w:rPr>
        <w:t xml:space="preserve">other than effectiveness </w:t>
      </w:r>
      <w:r w:rsidRPr="006415BB">
        <w:rPr>
          <w:rFonts w:ascii="Arial" w:hAnsi="Arial" w:cs="Arial"/>
          <w:color w:val="1A1A1A"/>
        </w:rPr>
        <w:t>should be taken into account in deciding the merits of public subsidy for a new drug</w:t>
      </w:r>
      <w:r>
        <w:rPr>
          <w:rFonts w:ascii="Arial" w:hAnsi="Arial" w:cs="Arial"/>
          <w:color w:val="1A1A1A"/>
        </w:rPr>
        <w:t xml:space="preserve"> under this category</w:t>
      </w:r>
      <w:r w:rsidRPr="006415BB">
        <w:rPr>
          <w:rFonts w:ascii="Arial" w:hAnsi="Arial" w:cs="Arial"/>
          <w:color w:val="1A1A1A"/>
        </w:rPr>
        <w:t>?</w:t>
      </w:r>
    </w:p>
    <w:p w:rsidR="00F81AA7" w:rsidRPr="00260578" w:rsidRDefault="00F81AA7" w:rsidP="00260578">
      <w:pPr>
        <w:pStyle w:val="ListParagraph"/>
        <w:jc w:val="both"/>
      </w:pPr>
    </w:p>
    <w:p w:rsidR="00F81AA7" w:rsidRPr="00AE7FD9" w:rsidRDefault="00F81AA7" w:rsidP="00F81AA7">
      <w:pPr>
        <w:pStyle w:val="ListParagraph"/>
        <w:numPr>
          <w:ilvl w:val="0"/>
          <w:numId w:val="23"/>
        </w:numPr>
        <w:jc w:val="both"/>
        <w:rPr>
          <w:rFonts w:ascii="Arial" w:hAnsi="Arial" w:cs="Arial"/>
          <w:color w:val="1A1A1A"/>
        </w:rPr>
      </w:pPr>
      <w:r w:rsidRPr="006415BB">
        <w:rPr>
          <w:rFonts w:ascii="Arial" w:hAnsi="Arial" w:cs="Arial"/>
          <w:color w:val="1A1A1A"/>
        </w:rPr>
        <w:t>What mechanism should be used to measure those criteria in a valid and reproducible way that could be applied generally</w:t>
      </w:r>
      <w:r>
        <w:rPr>
          <w:rFonts w:ascii="Arial" w:hAnsi="Arial" w:cs="Arial"/>
          <w:color w:val="1A1A1A"/>
        </w:rPr>
        <w:t xml:space="preserve"> to other drugs seeking subsidy for rare diseases</w:t>
      </w:r>
      <w:r w:rsidRPr="006415BB">
        <w:rPr>
          <w:rFonts w:ascii="Arial" w:hAnsi="Arial" w:cs="Arial"/>
          <w:color w:val="1A1A1A"/>
        </w:rPr>
        <w:t xml:space="preserve">? </w:t>
      </w:r>
    </w:p>
    <w:p w:rsidR="00C56971" w:rsidRDefault="00C56971" w:rsidP="008A4CEA">
      <w:pPr>
        <w:widowControl w:val="0"/>
        <w:tabs>
          <w:tab w:val="left" w:pos="220"/>
          <w:tab w:val="left" w:pos="720"/>
        </w:tabs>
        <w:autoSpaceDE w:val="0"/>
        <w:autoSpaceDN w:val="0"/>
        <w:adjustRightInd w:val="0"/>
        <w:spacing w:line="360" w:lineRule="auto"/>
        <w:jc w:val="both"/>
        <w:rPr>
          <w:rFonts w:ascii="Arial" w:hAnsi="Arial" w:cs="Arial"/>
          <w:b/>
        </w:rPr>
      </w:pPr>
    </w:p>
    <w:p w:rsidR="0096074C" w:rsidRPr="00F81AA7" w:rsidRDefault="006415BB" w:rsidP="00F81AA7">
      <w:pPr>
        <w:pStyle w:val="Heading4"/>
        <w:spacing w:line="360" w:lineRule="auto"/>
        <w:rPr>
          <w:rFonts w:ascii="Arial" w:hAnsi="Arial" w:cs="Arial"/>
          <w:i w:val="0"/>
          <w:color w:val="auto"/>
        </w:rPr>
      </w:pPr>
      <w:r w:rsidRPr="00F81AA7">
        <w:rPr>
          <w:rFonts w:ascii="Arial" w:hAnsi="Arial" w:cs="Arial"/>
          <w:i w:val="0"/>
          <w:color w:val="auto"/>
        </w:rPr>
        <w:lastRenderedPageBreak/>
        <w:t>ToR</w:t>
      </w:r>
      <w:r w:rsidR="0096074C" w:rsidRPr="00F81AA7">
        <w:rPr>
          <w:rFonts w:ascii="Arial" w:hAnsi="Arial" w:cs="Arial"/>
          <w:i w:val="0"/>
          <w:color w:val="auto"/>
        </w:rPr>
        <w:t xml:space="preserve"> 4. Compare the subsidisation and equity principles of the Pharmaceutical Benefits Scheme and the LSDP.</w:t>
      </w:r>
    </w:p>
    <w:p w:rsidR="0096074C" w:rsidRPr="00274DA8" w:rsidRDefault="0096074C" w:rsidP="00F81AA7">
      <w:pPr>
        <w:pStyle w:val="ListParagraph"/>
        <w:widowControl w:val="0"/>
        <w:numPr>
          <w:ilvl w:val="1"/>
          <w:numId w:val="12"/>
        </w:numPr>
        <w:tabs>
          <w:tab w:val="left" w:pos="220"/>
          <w:tab w:val="left" w:pos="720"/>
        </w:tabs>
        <w:autoSpaceDE w:val="0"/>
        <w:autoSpaceDN w:val="0"/>
        <w:adjustRightInd w:val="0"/>
        <w:spacing w:after="0" w:line="360" w:lineRule="auto"/>
        <w:jc w:val="both"/>
        <w:rPr>
          <w:rFonts w:ascii="Arial" w:hAnsi="Arial" w:cs="Arial"/>
          <w:color w:val="1A1A1A"/>
        </w:rPr>
      </w:pPr>
      <w:r w:rsidRPr="007D1575">
        <w:rPr>
          <w:rFonts w:ascii="Arial" w:hAnsi="Arial" w:cs="Arial"/>
          <w:color w:val="1A1A1A"/>
        </w:rPr>
        <w:t xml:space="preserve">The PBAC is required by legislation </w:t>
      </w:r>
      <w:r w:rsidR="009B7437">
        <w:rPr>
          <w:rFonts w:ascii="Arial" w:hAnsi="Arial" w:cs="Arial"/>
          <w:color w:val="1A1A1A"/>
        </w:rPr>
        <w:t>(</w:t>
      </w:r>
      <w:r w:rsidR="009B7437" w:rsidRPr="0021651A">
        <w:rPr>
          <w:rFonts w:ascii="Arial" w:hAnsi="Arial" w:cs="Arial"/>
          <w:i/>
          <w:color w:val="1A1A1A"/>
        </w:rPr>
        <w:t>National Health Act</w:t>
      </w:r>
      <w:r w:rsidR="009B7437">
        <w:rPr>
          <w:rFonts w:ascii="Arial" w:hAnsi="Arial" w:cs="Arial"/>
          <w:i/>
          <w:color w:val="1A1A1A"/>
        </w:rPr>
        <w:t>, NHA</w:t>
      </w:r>
      <w:r w:rsidR="009B7437">
        <w:rPr>
          <w:rFonts w:ascii="Arial" w:hAnsi="Arial" w:cs="Arial"/>
          <w:color w:val="1A1A1A"/>
        </w:rPr>
        <w:t xml:space="preserve"> </w:t>
      </w:r>
      <w:r w:rsidR="009B7437" w:rsidRPr="0021651A">
        <w:rPr>
          <w:rFonts w:ascii="Arial" w:hAnsi="Arial" w:cs="Arial"/>
          <w:i/>
          <w:color w:val="1A1A1A"/>
        </w:rPr>
        <w:t>(1953)</w:t>
      </w:r>
      <w:r w:rsidR="009B1860">
        <w:rPr>
          <w:rFonts w:ascii="Arial" w:hAnsi="Arial" w:cs="Arial"/>
          <w:color w:val="1A1A1A"/>
        </w:rPr>
        <w:t xml:space="preserve"> </w:t>
      </w:r>
      <w:r w:rsidRPr="007D1575">
        <w:rPr>
          <w:rFonts w:ascii="Arial" w:hAnsi="Arial" w:cs="Arial"/>
          <w:color w:val="1A1A1A"/>
        </w:rPr>
        <w:t xml:space="preserve">to consider the </w:t>
      </w:r>
      <w:r>
        <w:rPr>
          <w:rFonts w:ascii="Arial" w:hAnsi="Arial" w:cs="Arial"/>
          <w:color w:val="1A1A1A"/>
        </w:rPr>
        <w:t xml:space="preserve">comparative effectiveness and </w:t>
      </w:r>
      <w:r w:rsidRPr="007D1575">
        <w:rPr>
          <w:rFonts w:ascii="Arial" w:hAnsi="Arial" w:cs="Arial"/>
          <w:color w:val="1A1A1A"/>
        </w:rPr>
        <w:t>cost</w:t>
      </w:r>
      <w:r>
        <w:rPr>
          <w:rFonts w:ascii="Arial" w:hAnsi="Arial" w:cs="Arial"/>
          <w:color w:val="1A1A1A"/>
        </w:rPr>
        <w:t xml:space="preserve"> </w:t>
      </w:r>
      <w:r w:rsidRPr="00274DA8">
        <w:rPr>
          <w:rFonts w:ascii="Arial" w:hAnsi="Arial" w:cs="Arial"/>
          <w:color w:val="1A1A1A"/>
        </w:rPr>
        <w:t>of any new medication in making recommendations for listing on the PBS.</w:t>
      </w:r>
    </w:p>
    <w:p w:rsidR="0096074C" w:rsidRPr="007D1575" w:rsidRDefault="0096074C" w:rsidP="008A4CEA">
      <w:pPr>
        <w:pStyle w:val="ListParagraph"/>
        <w:widowControl w:val="0"/>
        <w:numPr>
          <w:ilvl w:val="1"/>
          <w:numId w:val="12"/>
        </w:numPr>
        <w:tabs>
          <w:tab w:val="left" w:pos="220"/>
          <w:tab w:val="left" w:pos="720"/>
        </w:tabs>
        <w:autoSpaceDE w:val="0"/>
        <w:autoSpaceDN w:val="0"/>
        <w:adjustRightInd w:val="0"/>
        <w:spacing w:after="0" w:line="360" w:lineRule="auto"/>
        <w:jc w:val="both"/>
        <w:rPr>
          <w:rFonts w:ascii="Arial" w:hAnsi="Arial" w:cs="Arial"/>
          <w:color w:val="1A1A1A"/>
        </w:rPr>
      </w:pPr>
      <w:r>
        <w:rPr>
          <w:rFonts w:ascii="Arial" w:hAnsi="Arial" w:cs="Arial"/>
          <w:color w:val="1A1A1A"/>
        </w:rPr>
        <w:t>The PBAC assesses ‘value-for-money’ of proposed medicines using incremental cost-effectiveness ratios expressed as cost per QALY</w:t>
      </w:r>
      <w:r w:rsidR="009B7437">
        <w:rPr>
          <w:rFonts w:ascii="Arial" w:hAnsi="Arial" w:cs="Arial"/>
          <w:color w:val="1A1A1A"/>
        </w:rPr>
        <w:t xml:space="preserve"> (quality adjusted life year)</w:t>
      </w:r>
      <w:r>
        <w:rPr>
          <w:rFonts w:ascii="Arial" w:hAnsi="Arial" w:cs="Arial"/>
          <w:color w:val="1A1A1A"/>
        </w:rPr>
        <w:t xml:space="preserve">. </w:t>
      </w:r>
    </w:p>
    <w:p w:rsidR="00104645" w:rsidRDefault="0096074C" w:rsidP="00104645">
      <w:pPr>
        <w:pStyle w:val="ListParagraph"/>
        <w:widowControl w:val="0"/>
        <w:numPr>
          <w:ilvl w:val="1"/>
          <w:numId w:val="12"/>
        </w:numPr>
        <w:tabs>
          <w:tab w:val="left" w:pos="220"/>
          <w:tab w:val="left" w:pos="720"/>
        </w:tabs>
        <w:autoSpaceDE w:val="0"/>
        <w:autoSpaceDN w:val="0"/>
        <w:adjustRightInd w:val="0"/>
        <w:spacing w:after="0" w:line="360" w:lineRule="auto"/>
        <w:jc w:val="both"/>
        <w:rPr>
          <w:rFonts w:ascii="Arial" w:hAnsi="Arial" w:cs="Arial"/>
          <w:color w:val="1A1A1A"/>
        </w:rPr>
      </w:pPr>
      <w:r w:rsidRPr="00104645">
        <w:rPr>
          <w:rFonts w:ascii="Arial" w:hAnsi="Arial" w:cs="Arial"/>
          <w:color w:val="1A1A1A"/>
        </w:rPr>
        <w:t xml:space="preserve">The </w:t>
      </w:r>
      <w:r w:rsidRPr="00104645">
        <w:rPr>
          <w:rFonts w:ascii="Arial" w:hAnsi="Arial" w:cs="Arial"/>
          <w:i/>
          <w:color w:val="1A1A1A"/>
        </w:rPr>
        <w:t>NHA (1953)</w:t>
      </w:r>
      <w:r w:rsidRPr="00104645">
        <w:rPr>
          <w:rFonts w:ascii="Arial" w:hAnsi="Arial" w:cs="Arial"/>
          <w:color w:val="1A1A1A"/>
        </w:rPr>
        <w:t xml:space="preserve"> and the guidelines for submissions to the PBAC do not specify a</w:t>
      </w:r>
      <w:r w:rsidR="00104645" w:rsidRPr="00104645">
        <w:rPr>
          <w:rFonts w:ascii="Arial" w:hAnsi="Arial" w:cs="Arial"/>
          <w:color w:val="1A1A1A"/>
        </w:rPr>
        <w:t xml:space="preserve"> fixed</w:t>
      </w:r>
      <w:r w:rsidRPr="00104645">
        <w:rPr>
          <w:rFonts w:ascii="Arial" w:hAnsi="Arial" w:cs="Arial"/>
          <w:color w:val="1A1A1A"/>
        </w:rPr>
        <w:t xml:space="preserve"> cost-effectiveness threshold. </w:t>
      </w:r>
    </w:p>
    <w:p w:rsidR="0096074C" w:rsidRPr="00104645" w:rsidRDefault="00104645" w:rsidP="00104645">
      <w:pPr>
        <w:pStyle w:val="ListParagraph"/>
        <w:widowControl w:val="0"/>
        <w:numPr>
          <w:ilvl w:val="1"/>
          <w:numId w:val="12"/>
        </w:numPr>
        <w:tabs>
          <w:tab w:val="left" w:pos="220"/>
          <w:tab w:val="left" w:pos="720"/>
        </w:tabs>
        <w:autoSpaceDE w:val="0"/>
        <w:autoSpaceDN w:val="0"/>
        <w:adjustRightInd w:val="0"/>
        <w:spacing w:after="0" w:line="360" w:lineRule="auto"/>
        <w:jc w:val="both"/>
        <w:rPr>
          <w:rFonts w:ascii="Arial" w:hAnsi="Arial" w:cs="Arial"/>
          <w:color w:val="1A1A1A"/>
        </w:rPr>
      </w:pPr>
      <w:r>
        <w:rPr>
          <w:rFonts w:ascii="Arial" w:hAnsi="Arial" w:cs="Arial"/>
          <w:color w:val="1A1A1A"/>
        </w:rPr>
        <w:t xml:space="preserve">In addition to comparative </w:t>
      </w:r>
      <w:r w:rsidR="00DC64D9">
        <w:rPr>
          <w:rFonts w:ascii="Arial" w:hAnsi="Arial" w:cs="Arial"/>
          <w:color w:val="1A1A1A"/>
        </w:rPr>
        <w:t>effectiveness</w:t>
      </w:r>
      <w:r>
        <w:rPr>
          <w:rFonts w:ascii="Arial" w:hAnsi="Arial" w:cs="Arial"/>
          <w:color w:val="1A1A1A"/>
        </w:rPr>
        <w:t xml:space="preserve"> and cost, t</w:t>
      </w:r>
      <w:r w:rsidR="009B7437" w:rsidRPr="00104645">
        <w:rPr>
          <w:rFonts w:ascii="Arial" w:hAnsi="Arial" w:cs="Arial"/>
          <w:color w:val="1A1A1A"/>
        </w:rPr>
        <w:t>he PBAC also take into account other factors such as the availability of other effective therapies, severity of the medical condition, equity, unmet need and special need situations such as children and indigenous population</w:t>
      </w:r>
      <w:r w:rsidR="0096074C" w:rsidRPr="00104645">
        <w:rPr>
          <w:rFonts w:ascii="Arial" w:hAnsi="Arial" w:cs="Arial"/>
          <w:color w:val="1A1A1A"/>
        </w:rPr>
        <w:t xml:space="preserve"> </w:t>
      </w:r>
    </w:p>
    <w:p w:rsidR="0096074C" w:rsidRDefault="0096074C" w:rsidP="008A4CEA">
      <w:pPr>
        <w:pStyle w:val="ListParagraph"/>
        <w:widowControl w:val="0"/>
        <w:numPr>
          <w:ilvl w:val="1"/>
          <w:numId w:val="12"/>
        </w:numPr>
        <w:tabs>
          <w:tab w:val="left" w:pos="220"/>
          <w:tab w:val="left" w:pos="720"/>
        </w:tabs>
        <w:autoSpaceDE w:val="0"/>
        <w:autoSpaceDN w:val="0"/>
        <w:adjustRightInd w:val="0"/>
        <w:spacing w:after="0" w:line="360" w:lineRule="auto"/>
        <w:jc w:val="both"/>
        <w:rPr>
          <w:rFonts w:ascii="Arial" w:hAnsi="Arial" w:cs="Arial"/>
          <w:color w:val="1A1A1A"/>
        </w:rPr>
      </w:pPr>
      <w:r w:rsidRPr="007D1575">
        <w:rPr>
          <w:rFonts w:ascii="Arial" w:hAnsi="Arial" w:cs="Arial"/>
          <w:color w:val="1A1A1A"/>
        </w:rPr>
        <w:t>The PBAC also considers recom</w:t>
      </w:r>
      <w:r>
        <w:rPr>
          <w:rFonts w:ascii="Arial" w:hAnsi="Arial" w:cs="Arial"/>
          <w:color w:val="1A1A1A"/>
        </w:rPr>
        <w:t>mending medications under the ‘</w:t>
      </w:r>
      <w:r w:rsidR="009B7437">
        <w:rPr>
          <w:rFonts w:ascii="Arial" w:hAnsi="Arial" w:cs="Arial"/>
          <w:color w:val="1A1A1A"/>
        </w:rPr>
        <w:t>r</w:t>
      </w:r>
      <w:r>
        <w:rPr>
          <w:rFonts w:ascii="Arial" w:hAnsi="Arial" w:cs="Arial"/>
          <w:color w:val="1A1A1A"/>
        </w:rPr>
        <w:t xml:space="preserve">ule of </w:t>
      </w:r>
      <w:r w:rsidR="009B7437">
        <w:rPr>
          <w:rFonts w:ascii="Arial" w:hAnsi="Arial" w:cs="Arial"/>
          <w:color w:val="1A1A1A"/>
        </w:rPr>
        <w:t>r</w:t>
      </w:r>
      <w:r w:rsidRPr="007D1575">
        <w:rPr>
          <w:rFonts w:ascii="Arial" w:hAnsi="Arial" w:cs="Arial"/>
          <w:color w:val="1A1A1A"/>
        </w:rPr>
        <w:t>escue’</w:t>
      </w:r>
      <w:r w:rsidR="009B7437">
        <w:rPr>
          <w:rFonts w:ascii="Arial" w:hAnsi="Arial" w:cs="Arial"/>
          <w:color w:val="1A1A1A"/>
        </w:rPr>
        <w:t>;</w:t>
      </w:r>
      <w:r w:rsidRPr="007D1575">
        <w:rPr>
          <w:rFonts w:ascii="Arial" w:hAnsi="Arial" w:cs="Arial"/>
          <w:color w:val="1A1A1A"/>
        </w:rPr>
        <w:t xml:space="preserve"> that is agents of last resort. </w:t>
      </w:r>
      <w:r>
        <w:rPr>
          <w:rFonts w:ascii="Arial" w:hAnsi="Arial" w:cs="Arial"/>
          <w:color w:val="1A1A1A"/>
        </w:rPr>
        <w:t xml:space="preserve">The </w:t>
      </w:r>
      <w:r w:rsidR="009B7437">
        <w:rPr>
          <w:rFonts w:ascii="Arial" w:hAnsi="Arial" w:cs="Arial"/>
          <w:color w:val="1A1A1A"/>
        </w:rPr>
        <w:t>‘</w:t>
      </w:r>
      <w:r>
        <w:rPr>
          <w:rFonts w:ascii="Arial" w:hAnsi="Arial" w:cs="Arial"/>
          <w:color w:val="1A1A1A"/>
        </w:rPr>
        <w:t>rule of rescue</w:t>
      </w:r>
      <w:r w:rsidR="009B7437">
        <w:rPr>
          <w:rFonts w:ascii="Arial" w:hAnsi="Arial" w:cs="Arial"/>
          <w:color w:val="1A1A1A"/>
        </w:rPr>
        <w:t>’</w:t>
      </w:r>
      <w:r>
        <w:rPr>
          <w:rFonts w:ascii="Arial" w:hAnsi="Arial" w:cs="Arial"/>
          <w:color w:val="1A1A1A"/>
        </w:rPr>
        <w:t xml:space="preserve"> criteria are as follows:</w:t>
      </w:r>
    </w:p>
    <w:p w:rsidR="0096074C" w:rsidRPr="002E7ACE" w:rsidRDefault="0096074C" w:rsidP="008A4CEA">
      <w:pPr>
        <w:pStyle w:val="ListParagraph"/>
        <w:widowControl w:val="0"/>
        <w:numPr>
          <w:ilvl w:val="2"/>
          <w:numId w:val="7"/>
        </w:numPr>
        <w:tabs>
          <w:tab w:val="left" w:pos="220"/>
          <w:tab w:val="left" w:pos="720"/>
        </w:tabs>
        <w:autoSpaceDE w:val="0"/>
        <w:autoSpaceDN w:val="0"/>
        <w:adjustRightInd w:val="0"/>
        <w:spacing w:after="0" w:line="360" w:lineRule="auto"/>
        <w:jc w:val="both"/>
        <w:rPr>
          <w:rFonts w:ascii="Arial" w:hAnsi="Arial" w:cs="Arial"/>
          <w:color w:val="1A1A1A"/>
        </w:rPr>
      </w:pPr>
      <w:r w:rsidRPr="002E7ACE">
        <w:rPr>
          <w:rFonts w:ascii="Arial" w:hAnsi="Arial" w:cs="Arial"/>
          <w:color w:val="1A1A1A"/>
        </w:rPr>
        <w:t>No alternative exists in Australia to treat patients with the specific circumstances of the medical condition meeting the criteria of the restriction. This means that there are no non</w:t>
      </w:r>
      <w:r>
        <w:rPr>
          <w:rFonts w:ascii="Arial" w:hAnsi="Arial" w:cs="Arial"/>
          <w:color w:val="1A1A1A"/>
        </w:rPr>
        <w:t>-</w:t>
      </w:r>
      <w:r w:rsidRPr="002E7ACE">
        <w:rPr>
          <w:rFonts w:ascii="Arial" w:hAnsi="Arial" w:cs="Arial"/>
          <w:color w:val="1A1A1A"/>
        </w:rPr>
        <w:t>pharmacological or pharmacological interventions for these patients</w:t>
      </w:r>
      <w:r w:rsidR="009B7437">
        <w:rPr>
          <w:rFonts w:ascii="Arial" w:hAnsi="Arial" w:cs="Arial"/>
          <w:color w:val="1A1A1A"/>
        </w:rPr>
        <w:t>;</w:t>
      </w:r>
      <w:r w:rsidRPr="002E7ACE">
        <w:rPr>
          <w:rFonts w:ascii="Arial" w:hAnsi="Arial" w:cs="Arial"/>
          <w:color w:val="1A1A1A"/>
        </w:rPr>
        <w:t xml:space="preserve"> </w:t>
      </w:r>
    </w:p>
    <w:p w:rsidR="0096074C" w:rsidRPr="002E7ACE" w:rsidRDefault="0096074C" w:rsidP="008A4CEA">
      <w:pPr>
        <w:pStyle w:val="ListParagraph"/>
        <w:widowControl w:val="0"/>
        <w:numPr>
          <w:ilvl w:val="2"/>
          <w:numId w:val="7"/>
        </w:numPr>
        <w:tabs>
          <w:tab w:val="left" w:pos="220"/>
          <w:tab w:val="left" w:pos="720"/>
        </w:tabs>
        <w:autoSpaceDE w:val="0"/>
        <w:autoSpaceDN w:val="0"/>
        <w:adjustRightInd w:val="0"/>
        <w:spacing w:after="0" w:line="360" w:lineRule="auto"/>
        <w:jc w:val="both"/>
        <w:rPr>
          <w:rFonts w:ascii="Arial" w:hAnsi="Arial" w:cs="Arial"/>
          <w:color w:val="1A1A1A"/>
        </w:rPr>
      </w:pPr>
      <w:r w:rsidRPr="002E7ACE">
        <w:rPr>
          <w:rFonts w:ascii="Arial" w:hAnsi="Arial" w:cs="Arial"/>
          <w:color w:val="1A1A1A"/>
        </w:rPr>
        <w:t>The medical condition defined by the requested restriction is severe, progressive and expected to lead to premature death. The more severe the condition, or the younger the age at which a person with the condition might die, or the closer a person with the condition is to death, the more influential the rule of rescue might be in the consideration by PBAC</w:t>
      </w:r>
      <w:r w:rsidR="009B7437">
        <w:rPr>
          <w:rFonts w:ascii="Arial" w:hAnsi="Arial" w:cs="Arial"/>
          <w:color w:val="1A1A1A"/>
        </w:rPr>
        <w:t>;</w:t>
      </w:r>
      <w:r w:rsidRPr="002E7ACE">
        <w:rPr>
          <w:rFonts w:ascii="Arial" w:hAnsi="Arial" w:cs="Arial"/>
          <w:color w:val="1A1A1A"/>
        </w:rPr>
        <w:t xml:space="preserve"> </w:t>
      </w:r>
    </w:p>
    <w:p w:rsidR="0096074C" w:rsidRPr="002E7ACE" w:rsidRDefault="0096074C" w:rsidP="008A4CEA">
      <w:pPr>
        <w:pStyle w:val="ListParagraph"/>
        <w:widowControl w:val="0"/>
        <w:numPr>
          <w:ilvl w:val="2"/>
          <w:numId w:val="7"/>
        </w:numPr>
        <w:tabs>
          <w:tab w:val="left" w:pos="220"/>
          <w:tab w:val="left" w:pos="720"/>
        </w:tabs>
        <w:autoSpaceDE w:val="0"/>
        <w:autoSpaceDN w:val="0"/>
        <w:adjustRightInd w:val="0"/>
        <w:spacing w:after="0" w:line="360" w:lineRule="auto"/>
        <w:jc w:val="both"/>
        <w:rPr>
          <w:rFonts w:ascii="Arial" w:hAnsi="Arial" w:cs="Arial"/>
          <w:color w:val="1A1A1A"/>
        </w:rPr>
      </w:pPr>
      <w:r w:rsidRPr="002E7ACE">
        <w:rPr>
          <w:rFonts w:ascii="Arial" w:hAnsi="Arial" w:cs="Arial"/>
          <w:color w:val="1A1A1A"/>
        </w:rPr>
        <w:t>The medical condition defined by the requested restriction applies to only a very small number of patients. Again, the fewer the patients, the more influential the rule of rescue might be in the consideration by PBAC. However, PBAC is also mindful that the PBS is a community-based scheme and cannot cater for individual circumstances</w:t>
      </w:r>
      <w:r w:rsidR="009B7437">
        <w:rPr>
          <w:rFonts w:ascii="Arial" w:hAnsi="Arial" w:cs="Arial"/>
          <w:color w:val="1A1A1A"/>
        </w:rPr>
        <w:t>; and</w:t>
      </w:r>
      <w:r w:rsidRPr="002E7ACE">
        <w:rPr>
          <w:rFonts w:ascii="Arial" w:hAnsi="Arial" w:cs="Arial"/>
          <w:color w:val="1A1A1A"/>
        </w:rPr>
        <w:t xml:space="preserve"> </w:t>
      </w:r>
    </w:p>
    <w:p w:rsidR="0096074C" w:rsidRPr="004829E6" w:rsidRDefault="0096074C" w:rsidP="008A4CEA">
      <w:pPr>
        <w:pStyle w:val="ListParagraph"/>
        <w:widowControl w:val="0"/>
        <w:numPr>
          <w:ilvl w:val="2"/>
          <w:numId w:val="7"/>
        </w:numPr>
        <w:tabs>
          <w:tab w:val="left" w:pos="220"/>
          <w:tab w:val="left" w:pos="720"/>
        </w:tabs>
        <w:autoSpaceDE w:val="0"/>
        <w:autoSpaceDN w:val="0"/>
        <w:adjustRightInd w:val="0"/>
        <w:spacing w:after="0" w:line="360" w:lineRule="auto"/>
        <w:jc w:val="both"/>
        <w:rPr>
          <w:rFonts w:ascii="Arial" w:hAnsi="Arial" w:cs="Arial"/>
          <w:color w:val="1A1A1A"/>
        </w:rPr>
      </w:pPr>
      <w:r w:rsidRPr="004829E6">
        <w:rPr>
          <w:rFonts w:ascii="Arial" w:hAnsi="Arial" w:cs="Arial"/>
          <w:color w:val="1A1A1A"/>
        </w:rPr>
        <w:t xml:space="preserve">The proposed medicine provides a worthwhile clinical improvement sufficient to qualify as a rescue from the medical condition. The greater the rescue, the more influential the rule of rescue might be in the consideration </w:t>
      </w:r>
      <w:r w:rsidRPr="004829E6">
        <w:rPr>
          <w:rFonts w:ascii="Arial" w:hAnsi="Arial" w:cs="Arial"/>
          <w:color w:val="1A1A1A"/>
        </w:rPr>
        <w:lastRenderedPageBreak/>
        <w:t xml:space="preserve">by PBAC. </w:t>
      </w:r>
    </w:p>
    <w:p w:rsidR="0096074C" w:rsidRDefault="009B7437" w:rsidP="008A4CEA">
      <w:pPr>
        <w:pStyle w:val="ListParagraph"/>
        <w:widowControl w:val="0"/>
        <w:numPr>
          <w:ilvl w:val="1"/>
          <w:numId w:val="12"/>
        </w:numPr>
        <w:tabs>
          <w:tab w:val="left" w:pos="220"/>
          <w:tab w:val="left" w:pos="720"/>
        </w:tabs>
        <w:autoSpaceDE w:val="0"/>
        <w:autoSpaceDN w:val="0"/>
        <w:adjustRightInd w:val="0"/>
        <w:spacing w:after="0" w:line="360" w:lineRule="auto"/>
        <w:jc w:val="both"/>
        <w:rPr>
          <w:rFonts w:ascii="Arial" w:hAnsi="Arial" w:cs="Arial"/>
          <w:color w:val="1A1A1A"/>
        </w:rPr>
      </w:pPr>
      <w:r>
        <w:rPr>
          <w:rFonts w:ascii="Arial" w:hAnsi="Arial" w:cs="Arial"/>
          <w:color w:val="1A1A1A"/>
        </w:rPr>
        <w:t>Many of t</w:t>
      </w:r>
      <w:r w:rsidR="0096074C" w:rsidRPr="002E7ACE">
        <w:rPr>
          <w:rFonts w:ascii="Arial" w:hAnsi="Arial" w:cs="Arial"/>
          <w:color w:val="1A1A1A"/>
        </w:rPr>
        <w:t>h</w:t>
      </w:r>
      <w:r w:rsidR="0096074C">
        <w:rPr>
          <w:rFonts w:ascii="Arial" w:hAnsi="Arial" w:cs="Arial"/>
          <w:color w:val="1A1A1A"/>
        </w:rPr>
        <w:t xml:space="preserve">e criteria for </w:t>
      </w:r>
      <w:r>
        <w:rPr>
          <w:rFonts w:ascii="Arial" w:hAnsi="Arial" w:cs="Arial"/>
          <w:color w:val="1A1A1A"/>
        </w:rPr>
        <w:t>‘</w:t>
      </w:r>
      <w:r w:rsidR="0096074C">
        <w:rPr>
          <w:rFonts w:ascii="Arial" w:hAnsi="Arial" w:cs="Arial"/>
          <w:color w:val="1A1A1A"/>
        </w:rPr>
        <w:t>rule of rescue</w:t>
      </w:r>
      <w:r>
        <w:rPr>
          <w:rFonts w:ascii="Arial" w:hAnsi="Arial" w:cs="Arial"/>
          <w:color w:val="1A1A1A"/>
        </w:rPr>
        <w:t>’</w:t>
      </w:r>
      <w:r w:rsidR="0096074C">
        <w:rPr>
          <w:rFonts w:ascii="Arial" w:hAnsi="Arial" w:cs="Arial"/>
          <w:color w:val="1A1A1A"/>
        </w:rPr>
        <w:t xml:space="preserve"> </w:t>
      </w:r>
      <w:r>
        <w:rPr>
          <w:rFonts w:ascii="Arial" w:hAnsi="Arial" w:cs="Arial"/>
          <w:color w:val="1A1A1A"/>
        </w:rPr>
        <w:t>are met by drugs subsidised through the</w:t>
      </w:r>
      <w:r w:rsidR="0096074C" w:rsidRPr="002E7ACE">
        <w:rPr>
          <w:rFonts w:ascii="Arial" w:hAnsi="Arial" w:cs="Arial"/>
          <w:color w:val="1A1A1A"/>
        </w:rPr>
        <w:t xml:space="preserve"> LSDP where there are no other therapeutic options. However in applying this rule the PBAC will still examine the cost-effectiveness and financial impacts.</w:t>
      </w:r>
      <w:r w:rsidR="0096074C">
        <w:rPr>
          <w:rFonts w:ascii="Arial" w:hAnsi="Arial" w:cs="Arial"/>
          <w:color w:val="1A1A1A"/>
        </w:rPr>
        <w:t xml:space="preserve"> The Reference Group considered that it is a reasonable option for government to consider having only one set of criteria covering both the LSDP and the </w:t>
      </w:r>
      <w:r>
        <w:rPr>
          <w:rFonts w:ascii="Arial" w:hAnsi="Arial" w:cs="Arial"/>
          <w:color w:val="1A1A1A"/>
        </w:rPr>
        <w:t>‘r</w:t>
      </w:r>
      <w:r w:rsidR="0096074C">
        <w:rPr>
          <w:rFonts w:ascii="Arial" w:hAnsi="Arial" w:cs="Arial"/>
          <w:color w:val="1A1A1A"/>
        </w:rPr>
        <w:t xml:space="preserve">ule of </w:t>
      </w:r>
      <w:r>
        <w:rPr>
          <w:rFonts w:ascii="Arial" w:hAnsi="Arial" w:cs="Arial"/>
          <w:color w:val="1A1A1A"/>
        </w:rPr>
        <w:t>r</w:t>
      </w:r>
      <w:r w:rsidR="0096074C">
        <w:rPr>
          <w:rFonts w:ascii="Arial" w:hAnsi="Arial" w:cs="Arial"/>
          <w:color w:val="1A1A1A"/>
        </w:rPr>
        <w:t>escue</w:t>
      </w:r>
      <w:r>
        <w:rPr>
          <w:rFonts w:ascii="Arial" w:hAnsi="Arial" w:cs="Arial"/>
          <w:color w:val="1A1A1A"/>
        </w:rPr>
        <w:t>’</w:t>
      </w:r>
      <w:r w:rsidR="0096074C">
        <w:rPr>
          <w:rFonts w:ascii="Arial" w:hAnsi="Arial" w:cs="Arial"/>
          <w:color w:val="1A1A1A"/>
        </w:rPr>
        <w:t xml:space="preserve">. </w:t>
      </w:r>
    </w:p>
    <w:p w:rsidR="0096074C" w:rsidRDefault="0096074C" w:rsidP="008A4CEA">
      <w:pPr>
        <w:pStyle w:val="ListParagraph"/>
        <w:widowControl w:val="0"/>
        <w:numPr>
          <w:ilvl w:val="1"/>
          <w:numId w:val="12"/>
        </w:numPr>
        <w:tabs>
          <w:tab w:val="left" w:pos="220"/>
          <w:tab w:val="left" w:pos="720"/>
        </w:tabs>
        <w:autoSpaceDE w:val="0"/>
        <w:autoSpaceDN w:val="0"/>
        <w:adjustRightInd w:val="0"/>
        <w:spacing w:after="0" w:line="360" w:lineRule="auto"/>
        <w:jc w:val="both"/>
        <w:rPr>
          <w:rFonts w:ascii="Arial" w:hAnsi="Arial" w:cs="Arial"/>
          <w:color w:val="1A1A1A"/>
        </w:rPr>
      </w:pPr>
      <w:r w:rsidRPr="00B32FF8">
        <w:rPr>
          <w:rFonts w:ascii="Arial" w:hAnsi="Arial" w:cs="Arial"/>
          <w:color w:val="1A1A1A"/>
        </w:rPr>
        <w:t>The PBAC may also make recommendations about special arrangements for the introduction of new medications where there is uncertainty about the likely use of the medication.</w:t>
      </w:r>
      <w:r>
        <w:rPr>
          <w:rFonts w:ascii="Arial" w:hAnsi="Arial" w:cs="Arial"/>
          <w:color w:val="1A1A1A"/>
        </w:rPr>
        <w:t xml:space="preserve"> Th</w:t>
      </w:r>
      <w:r w:rsidR="009B7437">
        <w:rPr>
          <w:rFonts w:ascii="Arial" w:hAnsi="Arial" w:cs="Arial"/>
          <w:color w:val="1A1A1A"/>
        </w:rPr>
        <w:t>e PBAC</w:t>
      </w:r>
      <w:r>
        <w:rPr>
          <w:rFonts w:ascii="Arial" w:hAnsi="Arial" w:cs="Arial"/>
          <w:color w:val="1A1A1A"/>
        </w:rPr>
        <w:t xml:space="preserve"> may require specific monitoring and reporting arrangements on the use of the medications. While not specifically the decision of the PBAC, risk sharing arrangements (such as capping the total costs of a specific medicine at a level based on the estimated use in the PBAC application) are also in place in Australia.  </w:t>
      </w:r>
    </w:p>
    <w:p w:rsidR="0096074C" w:rsidRPr="001C646D" w:rsidRDefault="009B7437" w:rsidP="00DC64D9">
      <w:pPr>
        <w:pStyle w:val="ListParagraph"/>
        <w:widowControl w:val="0"/>
        <w:numPr>
          <w:ilvl w:val="1"/>
          <w:numId w:val="12"/>
        </w:numPr>
        <w:tabs>
          <w:tab w:val="left" w:pos="220"/>
          <w:tab w:val="left" w:pos="720"/>
        </w:tabs>
        <w:autoSpaceDE w:val="0"/>
        <w:autoSpaceDN w:val="0"/>
        <w:adjustRightInd w:val="0"/>
        <w:spacing w:after="0" w:line="360" w:lineRule="auto"/>
        <w:jc w:val="both"/>
        <w:rPr>
          <w:rFonts w:ascii="Arial" w:hAnsi="Arial" w:cs="Arial"/>
          <w:b/>
        </w:rPr>
      </w:pPr>
      <w:r w:rsidRPr="001C646D">
        <w:rPr>
          <w:rFonts w:ascii="Arial" w:hAnsi="Arial" w:cs="Arial"/>
          <w:color w:val="1A1A1A"/>
        </w:rPr>
        <w:t>The Reference Group considered that t</w:t>
      </w:r>
      <w:r w:rsidR="0096074C" w:rsidRPr="001C646D">
        <w:rPr>
          <w:rFonts w:ascii="Arial" w:hAnsi="Arial" w:cs="Arial"/>
          <w:color w:val="1A1A1A"/>
        </w:rPr>
        <w:t>he Highly Specialised Drugs</w:t>
      </w:r>
      <w:r w:rsidRPr="001C646D">
        <w:rPr>
          <w:rFonts w:ascii="Arial" w:hAnsi="Arial" w:cs="Arial"/>
          <w:color w:val="1A1A1A"/>
        </w:rPr>
        <w:t xml:space="preserve"> (HSD)</w:t>
      </w:r>
      <w:r w:rsidR="0096074C" w:rsidRPr="001C646D">
        <w:rPr>
          <w:rFonts w:ascii="Arial" w:hAnsi="Arial" w:cs="Arial"/>
          <w:color w:val="1A1A1A"/>
        </w:rPr>
        <w:t xml:space="preserve"> program</w:t>
      </w:r>
      <w:r w:rsidR="00014387" w:rsidRPr="00DC64D9">
        <w:rPr>
          <w:rFonts w:ascii="Arial" w:hAnsi="Arial" w:cs="Arial"/>
          <w:color w:val="1A1A1A"/>
        </w:rPr>
        <w:t>me</w:t>
      </w:r>
      <w:r w:rsidR="0096074C" w:rsidRPr="00DC64D9">
        <w:rPr>
          <w:rFonts w:ascii="Arial" w:hAnsi="Arial" w:cs="Arial"/>
          <w:color w:val="1A1A1A"/>
        </w:rPr>
        <w:t xml:space="preserve"> </w:t>
      </w:r>
      <w:r w:rsidRPr="00DC64D9">
        <w:rPr>
          <w:rFonts w:ascii="Arial" w:hAnsi="Arial" w:cs="Arial"/>
          <w:color w:val="1A1A1A"/>
        </w:rPr>
        <w:t xml:space="preserve">(a PBS section 100 programme) </w:t>
      </w:r>
      <w:r w:rsidR="0096074C" w:rsidRPr="00DC64D9">
        <w:rPr>
          <w:rFonts w:ascii="Arial" w:hAnsi="Arial" w:cs="Arial"/>
          <w:color w:val="1A1A1A"/>
        </w:rPr>
        <w:t>offers another model worth considering</w:t>
      </w:r>
      <w:r w:rsidRPr="00DC64D9">
        <w:rPr>
          <w:rFonts w:ascii="Arial" w:hAnsi="Arial" w:cs="Arial"/>
          <w:color w:val="1A1A1A"/>
        </w:rPr>
        <w:t xml:space="preserve"> for any future subsidisation of drugs currently considered for the LSDP</w:t>
      </w:r>
      <w:r w:rsidR="0096074C" w:rsidRPr="00DC64D9">
        <w:rPr>
          <w:rFonts w:ascii="Arial" w:hAnsi="Arial" w:cs="Arial"/>
          <w:color w:val="1A1A1A"/>
        </w:rPr>
        <w:t>. Th</w:t>
      </w:r>
      <w:r w:rsidRPr="00DC64D9">
        <w:rPr>
          <w:rFonts w:ascii="Arial" w:hAnsi="Arial" w:cs="Arial"/>
          <w:color w:val="1A1A1A"/>
        </w:rPr>
        <w:t>e</w:t>
      </w:r>
      <w:r w:rsidR="0096074C" w:rsidRPr="00DC64D9">
        <w:rPr>
          <w:rFonts w:ascii="Arial" w:hAnsi="Arial" w:cs="Arial"/>
          <w:color w:val="1A1A1A"/>
        </w:rPr>
        <w:t xml:space="preserve"> </w:t>
      </w:r>
      <w:r w:rsidRPr="00DC64D9">
        <w:rPr>
          <w:rFonts w:ascii="Arial" w:hAnsi="Arial" w:cs="Arial"/>
          <w:color w:val="1A1A1A"/>
        </w:rPr>
        <w:t xml:space="preserve">s100 HSD </w:t>
      </w:r>
      <w:r w:rsidR="0096074C" w:rsidRPr="00DC64D9">
        <w:rPr>
          <w:rFonts w:ascii="Arial" w:hAnsi="Arial" w:cs="Arial"/>
          <w:color w:val="1A1A1A"/>
        </w:rPr>
        <w:t>program</w:t>
      </w:r>
      <w:r w:rsidR="00014387" w:rsidRPr="00DC64D9">
        <w:rPr>
          <w:rFonts w:ascii="Arial" w:hAnsi="Arial" w:cs="Arial"/>
          <w:color w:val="1A1A1A"/>
        </w:rPr>
        <w:t>me</w:t>
      </w:r>
      <w:r w:rsidR="0096074C" w:rsidRPr="00DC64D9">
        <w:rPr>
          <w:rFonts w:ascii="Arial" w:hAnsi="Arial" w:cs="Arial"/>
          <w:color w:val="1A1A1A"/>
        </w:rPr>
        <w:t xml:space="preserve"> is for medicines for the treatment of chronic conditions which, because of their clinical use or other special features, are restricted to supply through public and private hospitals with access to appropriate specialist facilities. To prescribe these drugs as pharmaceutical benefit items, medical practitioners are required to be affiliated with these specialist hospital units.  Benefits are available for the listed clinical indications only. There is no facility for individual patient approval for indications outside those listed. The nature of conditions on the LSDP and their treatment requirements means that most </w:t>
      </w:r>
      <w:r w:rsidR="001C646D">
        <w:rPr>
          <w:rFonts w:ascii="Arial" w:hAnsi="Arial" w:cs="Arial"/>
          <w:color w:val="1A1A1A"/>
        </w:rPr>
        <w:t xml:space="preserve">would mirror current PBS s100 </w:t>
      </w:r>
      <w:r w:rsidR="00DC64D9">
        <w:rPr>
          <w:rFonts w:ascii="Arial" w:hAnsi="Arial" w:cs="Arial"/>
          <w:color w:val="1A1A1A"/>
        </w:rPr>
        <w:t>HSD</w:t>
      </w:r>
      <w:r w:rsidR="001C646D">
        <w:rPr>
          <w:rFonts w:ascii="Arial" w:hAnsi="Arial" w:cs="Arial"/>
          <w:color w:val="1A1A1A"/>
        </w:rPr>
        <w:t xml:space="preserve"> arrangements. </w:t>
      </w:r>
    </w:p>
    <w:p w:rsidR="006415BB" w:rsidRPr="00F81AA7" w:rsidRDefault="006415BB" w:rsidP="00F81AA7">
      <w:pPr>
        <w:pStyle w:val="Heading4"/>
        <w:spacing w:line="360" w:lineRule="auto"/>
        <w:rPr>
          <w:rFonts w:ascii="Arial" w:hAnsi="Arial" w:cs="Arial"/>
          <w:i w:val="0"/>
          <w:color w:val="auto"/>
        </w:rPr>
      </w:pPr>
      <w:r w:rsidRPr="00F81AA7">
        <w:rPr>
          <w:rFonts w:ascii="Arial" w:hAnsi="Arial" w:cs="Arial"/>
          <w:i w:val="0"/>
          <w:color w:val="auto"/>
        </w:rPr>
        <w:t>I</w:t>
      </w:r>
      <w:r w:rsidR="009D00E8">
        <w:rPr>
          <w:rFonts w:ascii="Arial" w:hAnsi="Arial" w:cs="Arial"/>
          <w:i w:val="0"/>
          <w:color w:val="auto"/>
        </w:rPr>
        <w:t>ssue</w:t>
      </w:r>
      <w:r w:rsidRPr="00F81AA7">
        <w:rPr>
          <w:rFonts w:ascii="Arial" w:hAnsi="Arial" w:cs="Arial"/>
          <w:i w:val="0"/>
          <w:color w:val="auto"/>
        </w:rPr>
        <w:t xml:space="preserve"> 6:  </w:t>
      </w:r>
    </w:p>
    <w:p w:rsidR="00CC2C3C" w:rsidRPr="00F81AA7" w:rsidRDefault="006415BB" w:rsidP="00F81AA7">
      <w:pPr>
        <w:contextualSpacing/>
        <w:jc w:val="both"/>
        <w:rPr>
          <w:rFonts w:ascii="Arial" w:hAnsi="Arial" w:cs="Arial"/>
          <w:i/>
          <w:color w:val="303030"/>
          <w:szCs w:val="24"/>
        </w:rPr>
      </w:pPr>
      <w:r w:rsidRPr="006415BB">
        <w:rPr>
          <w:rFonts w:ascii="Arial" w:hAnsi="Arial" w:cs="Arial"/>
          <w:i/>
          <w:color w:val="303030"/>
          <w:szCs w:val="24"/>
        </w:rPr>
        <w:t xml:space="preserve">The PBAC is required by law to consider the cost-effectiveness of any new medication. The PBAC also take into account other factors such as the </w:t>
      </w:r>
      <w:r w:rsidR="00CC2C3C">
        <w:rPr>
          <w:rFonts w:ascii="Arial" w:hAnsi="Arial" w:cs="Arial"/>
          <w:i/>
          <w:color w:val="303030"/>
          <w:szCs w:val="24"/>
        </w:rPr>
        <w:t xml:space="preserve">affordability if not subsidised, </w:t>
      </w:r>
      <w:r w:rsidRPr="006415BB">
        <w:rPr>
          <w:rFonts w:ascii="Arial" w:hAnsi="Arial" w:cs="Arial"/>
          <w:i/>
          <w:color w:val="303030"/>
          <w:szCs w:val="24"/>
        </w:rPr>
        <w:t xml:space="preserve">availability of other </w:t>
      </w:r>
      <w:r w:rsidR="00CC2C3C">
        <w:rPr>
          <w:rFonts w:ascii="Arial" w:hAnsi="Arial" w:cs="Arial"/>
          <w:i/>
          <w:color w:val="303030"/>
          <w:szCs w:val="24"/>
        </w:rPr>
        <w:t xml:space="preserve">effective </w:t>
      </w:r>
      <w:r w:rsidRPr="006415BB">
        <w:rPr>
          <w:rFonts w:ascii="Arial" w:hAnsi="Arial" w:cs="Arial"/>
          <w:i/>
          <w:color w:val="303030"/>
          <w:szCs w:val="24"/>
        </w:rPr>
        <w:t xml:space="preserve">therapies, </w:t>
      </w:r>
      <w:r w:rsidR="00CC2C3C">
        <w:rPr>
          <w:rFonts w:ascii="Arial" w:hAnsi="Arial" w:cs="Arial"/>
          <w:i/>
          <w:color w:val="303030"/>
          <w:szCs w:val="24"/>
        </w:rPr>
        <w:t xml:space="preserve">severity of the medical condition, equity, </w:t>
      </w:r>
      <w:r w:rsidRPr="006415BB">
        <w:rPr>
          <w:rFonts w:ascii="Arial" w:hAnsi="Arial" w:cs="Arial"/>
          <w:i/>
          <w:color w:val="303030"/>
          <w:szCs w:val="24"/>
        </w:rPr>
        <w:t xml:space="preserve">unmet need and special need situations such as children and </w:t>
      </w:r>
      <w:r w:rsidRPr="006415BB">
        <w:rPr>
          <w:rFonts w:ascii="Arial" w:hAnsi="Arial" w:cs="Arial"/>
          <w:i/>
          <w:color w:val="303030"/>
          <w:szCs w:val="24"/>
        </w:rPr>
        <w:lastRenderedPageBreak/>
        <w:t>indigenous population. Rule of rescue is applied when the drug is presented as an agent of last resort.</w:t>
      </w:r>
      <w:r w:rsidR="00CC2C3C">
        <w:rPr>
          <w:rFonts w:ascii="Arial" w:hAnsi="Arial" w:cs="Arial"/>
          <w:i/>
          <w:color w:val="303030"/>
          <w:szCs w:val="24"/>
        </w:rPr>
        <w:t xml:space="preserve"> ‘Rule of rescue’ </w:t>
      </w:r>
      <w:r w:rsidR="00CC2C3C" w:rsidRPr="00CC2C3C">
        <w:rPr>
          <w:rFonts w:ascii="Arial" w:hAnsi="Arial" w:cs="Arial"/>
          <w:i/>
          <w:color w:val="303030"/>
          <w:szCs w:val="24"/>
        </w:rPr>
        <w:t xml:space="preserve">has four main considerations; </w:t>
      </w:r>
      <w:r w:rsidR="00CC2C3C">
        <w:rPr>
          <w:rFonts w:ascii="Arial" w:hAnsi="Arial" w:cs="Arial"/>
          <w:i/>
          <w:color w:val="303030"/>
          <w:szCs w:val="24"/>
        </w:rPr>
        <w:t>(</w:t>
      </w:r>
      <w:proofErr w:type="spellStart"/>
      <w:r w:rsidR="00CC2C3C">
        <w:rPr>
          <w:rFonts w:ascii="Arial" w:hAnsi="Arial" w:cs="Arial"/>
          <w:i/>
          <w:color w:val="303030"/>
          <w:szCs w:val="24"/>
        </w:rPr>
        <w:t>i</w:t>
      </w:r>
      <w:proofErr w:type="spellEnd"/>
      <w:r w:rsidR="00CC2C3C">
        <w:rPr>
          <w:rFonts w:ascii="Arial" w:hAnsi="Arial" w:cs="Arial"/>
          <w:i/>
          <w:color w:val="303030"/>
          <w:szCs w:val="24"/>
        </w:rPr>
        <w:t xml:space="preserve">) </w:t>
      </w:r>
      <w:r w:rsidR="00CC2C3C" w:rsidRPr="00CC2C3C">
        <w:rPr>
          <w:rFonts w:ascii="Arial" w:hAnsi="Arial" w:cs="Arial"/>
          <w:i/>
          <w:color w:val="303030"/>
          <w:szCs w:val="24"/>
        </w:rPr>
        <w:t xml:space="preserve">no alternative treatment is available in Australia, </w:t>
      </w:r>
      <w:r w:rsidR="00CC2C3C">
        <w:rPr>
          <w:rFonts w:ascii="Arial" w:hAnsi="Arial" w:cs="Arial"/>
          <w:i/>
          <w:color w:val="303030"/>
          <w:szCs w:val="24"/>
        </w:rPr>
        <w:t xml:space="preserve">(ii) </w:t>
      </w:r>
      <w:r w:rsidR="00CC2C3C" w:rsidRPr="00CC2C3C">
        <w:rPr>
          <w:rFonts w:ascii="Arial" w:hAnsi="Arial" w:cs="Arial"/>
          <w:i/>
          <w:color w:val="303030"/>
          <w:szCs w:val="24"/>
        </w:rPr>
        <w:t xml:space="preserve">the condition is severe, progressive and expected to lead to premature death, </w:t>
      </w:r>
      <w:r w:rsidR="00CC2C3C">
        <w:rPr>
          <w:rFonts w:ascii="Arial" w:hAnsi="Arial" w:cs="Arial"/>
          <w:i/>
          <w:color w:val="303030"/>
          <w:szCs w:val="24"/>
        </w:rPr>
        <w:t xml:space="preserve">(iii) </w:t>
      </w:r>
      <w:r w:rsidR="00CC2C3C" w:rsidRPr="00CC2C3C">
        <w:rPr>
          <w:rFonts w:ascii="Arial" w:hAnsi="Arial" w:cs="Arial"/>
          <w:i/>
          <w:color w:val="303030"/>
          <w:szCs w:val="24"/>
        </w:rPr>
        <w:t xml:space="preserve">there are a small number of patients who would be treated, and </w:t>
      </w:r>
      <w:r w:rsidR="00CC2C3C">
        <w:rPr>
          <w:rFonts w:ascii="Arial" w:hAnsi="Arial" w:cs="Arial"/>
          <w:i/>
          <w:color w:val="303030"/>
          <w:szCs w:val="24"/>
        </w:rPr>
        <w:t xml:space="preserve">(iv) </w:t>
      </w:r>
      <w:r w:rsidR="00CC2C3C" w:rsidRPr="00CC2C3C">
        <w:rPr>
          <w:rFonts w:ascii="Arial" w:hAnsi="Arial" w:cs="Arial"/>
          <w:i/>
          <w:color w:val="303030"/>
          <w:szCs w:val="24"/>
        </w:rPr>
        <w:t>a worthwhile clinical improvement is achieved.</w:t>
      </w:r>
      <w:r w:rsidR="00CC2C3C" w:rsidRPr="00F81AA7">
        <w:rPr>
          <w:rFonts w:ascii="Arial" w:hAnsi="Arial" w:cs="Arial"/>
          <w:i/>
          <w:color w:val="303030"/>
          <w:szCs w:val="24"/>
        </w:rPr>
        <w:t xml:space="preserve"> </w:t>
      </w:r>
    </w:p>
    <w:p w:rsidR="004724BB" w:rsidRDefault="004724BB" w:rsidP="008A4CEA">
      <w:pPr>
        <w:contextualSpacing/>
        <w:jc w:val="both"/>
        <w:rPr>
          <w:rFonts w:ascii="Arial" w:hAnsi="Arial" w:cs="Arial"/>
          <w:i/>
          <w:color w:val="303030"/>
          <w:szCs w:val="24"/>
        </w:rPr>
      </w:pPr>
    </w:p>
    <w:p w:rsidR="006415BB" w:rsidRPr="00F81AA7" w:rsidRDefault="00CC2C3C" w:rsidP="008A4CEA">
      <w:pPr>
        <w:contextualSpacing/>
        <w:jc w:val="both"/>
        <w:rPr>
          <w:rFonts w:ascii="Arial" w:hAnsi="Arial" w:cs="Arial"/>
          <w:i/>
          <w:color w:val="303030"/>
          <w:szCs w:val="24"/>
        </w:rPr>
      </w:pPr>
      <w:r>
        <w:rPr>
          <w:rFonts w:ascii="Arial" w:hAnsi="Arial" w:cs="Arial"/>
          <w:i/>
          <w:color w:val="303030"/>
          <w:szCs w:val="24"/>
        </w:rPr>
        <w:t xml:space="preserve">For further information on the Rule of Rescue refer to </w:t>
      </w:r>
      <w:hyperlink r:id="rId24" w:history="1">
        <w:r w:rsidRPr="00F81AA7">
          <w:rPr>
            <w:rFonts w:ascii="Arial" w:hAnsi="Arial" w:cs="Arial"/>
            <w:color w:val="303030"/>
          </w:rPr>
          <w:t>http://www.pbac.pbs.gov.au/section-f/f3-other-relevant-factors.html</w:t>
        </w:r>
      </w:hyperlink>
    </w:p>
    <w:p w:rsidR="00CC2C3C" w:rsidRPr="00CC2C3C" w:rsidRDefault="00CC2C3C" w:rsidP="008A4CEA">
      <w:pPr>
        <w:contextualSpacing/>
        <w:jc w:val="both"/>
        <w:rPr>
          <w:rFonts w:ascii="Arial" w:hAnsi="Arial" w:cs="Arial"/>
          <w:i/>
          <w:color w:val="303030"/>
          <w:szCs w:val="24"/>
        </w:rPr>
      </w:pPr>
    </w:p>
    <w:p w:rsidR="00CC2C3C" w:rsidRDefault="006415BB" w:rsidP="008A4CEA">
      <w:pPr>
        <w:contextualSpacing/>
        <w:jc w:val="both"/>
        <w:rPr>
          <w:rFonts w:ascii="Arial" w:hAnsi="Arial" w:cs="Arial"/>
          <w:i/>
          <w:color w:val="303030"/>
          <w:szCs w:val="24"/>
        </w:rPr>
      </w:pPr>
      <w:r w:rsidRPr="006415BB">
        <w:rPr>
          <w:rFonts w:ascii="Arial" w:hAnsi="Arial" w:cs="Arial"/>
          <w:i/>
          <w:color w:val="303030"/>
          <w:szCs w:val="24"/>
        </w:rPr>
        <w:t>There currently exist a number of separate program</w:t>
      </w:r>
      <w:r>
        <w:rPr>
          <w:rFonts w:ascii="Arial" w:hAnsi="Arial" w:cs="Arial"/>
          <w:i/>
          <w:color w:val="303030"/>
          <w:szCs w:val="24"/>
        </w:rPr>
        <w:t>me</w:t>
      </w:r>
      <w:r w:rsidRPr="006415BB">
        <w:rPr>
          <w:rFonts w:ascii="Arial" w:hAnsi="Arial" w:cs="Arial"/>
          <w:i/>
          <w:color w:val="303030"/>
          <w:szCs w:val="24"/>
        </w:rPr>
        <w:t xml:space="preserve">s that fund high cost and specific therapy drugs including the LSDP, and drugs approved by the PBAC under the Rule of Rescue and Section 100 Highly Specialised Drugs. </w:t>
      </w:r>
    </w:p>
    <w:p w:rsidR="006415BB" w:rsidRDefault="00CC2C3C" w:rsidP="008A4CEA">
      <w:pPr>
        <w:pStyle w:val="ListParagraph"/>
        <w:numPr>
          <w:ilvl w:val="0"/>
          <w:numId w:val="22"/>
        </w:numPr>
        <w:jc w:val="both"/>
        <w:rPr>
          <w:rFonts w:ascii="Arial" w:hAnsi="Arial" w:cs="Arial"/>
          <w:color w:val="1A1A1A"/>
        </w:rPr>
      </w:pPr>
      <w:r>
        <w:rPr>
          <w:rFonts w:ascii="Arial" w:hAnsi="Arial" w:cs="Arial"/>
          <w:color w:val="1A1A1A"/>
        </w:rPr>
        <w:t>S</w:t>
      </w:r>
      <w:r w:rsidR="006415BB" w:rsidRPr="006415BB">
        <w:rPr>
          <w:rFonts w:ascii="Arial" w:hAnsi="Arial" w:cs="Arial"/>
          <w:color w:val="1A1A1A"/>
        </w:rPr>
        <w:t>hould the LSDP be continued as a separate programme?</w:t>
      </w:r>
      <w:r>
        <w:rPr>
          <w:rFonts w:ascii="Arial" w:hAnsi="Arial" w:cs="Arial"/>
          <w:color w:val="1A1A1A"/>
        </w:rPr>
        <w:t xml:space="preserve"> If so, why?</w:t>
      </w:r>
    </w:p>
    <w:p w:rsidR="00CC2C3C" w:rsidRPr="00CC2C3C" w:rsidRDefault="00CC2C3C" w:rsidP="008A4CEA">
      <w:pPr>
        <w:pStyle w:val="ListParagraph"/>
        <w:ind w:left="786"/>
        <w:jc w:val="both"/>
        <w:rPr>
          <w:rFonts w:ascii="Arial" w:hAnsi="Arial" w:cs="Arial"/>
          <w:color w:val="1A1A1A"/>
        </w:rPr>
      </w:pPr>
    </w:p>
    <w:p w:rsidR="00CC2C3C" w:rsidRPr="00CC2C3C" w:rsidRDefault="00CC2C3C" w:rsidP="008A4CEA">
      <w:pPr>
        <w:pStyle w:val="ListParagraph"/>
        <w:numPr>
          <w:ilvl w:val="0"/>
          <w:numId w:val="22"/>
        </w:numPr>
        <w:spacing w:line="240" w:lineRule="auto"/>
        <w:jc w:val="both"/>
        <w:rPr>
          <w:rFonts w:ascii="Arial" w:hAnsi="Arial" w:cs="Arial"/>
          <w:color w:val="1A1A1A"/>
        </w:rPr>
      </w:pPr>
      <w:r w:rsidRPr="00CC2C3C">
        <w:rPr>
          <w:rFonts w:ascii="Arial" w:hAnsi="Arial" w:cs="Arial"/>
          <w:color w:val="1A1A1A"/>
        </w:rPr>
        <w:t>Should there be one overarching subsidisation program</w:t>
      </w:r>
      <w:r>
        <w:rPr>
          <w:rFonts w:ascii="Arial" w:hAnsi="Arial" w:cs="Arial"/>
          <w:color w:val="1A1A1A"/>
        </w:rPr>
        <w:t>me</w:t>
      </w:r>
      <w:r w:rsidRPr="00CC2C3C">
        <w:rPr>
          <w:rFonts w:ascii="Arial" w:hAnsi="Arial" w:cs="Arial"/>
          <w:color w:val="1A1A1A"/>
        </w:rPr>
        <w:t xml:space="preserve"> that applies to all high cost and/or specialised drugs (including those on the LSDP and t</w:t>
      </w:r>
      <w:r w:rsidR="00014387">
        <w:rPr>
          <w:rFonts w:ascii="Arial" w:hAnsi="Arial" w:cs="Arial"/>
          <w:color w:val="1A1A1A"/>
        </w:rPr>
        <w:t xml:space="preserve">hose available through the PBS </w:t>
      </w:r>
      <w:r w:rsidR="00443137">
        <w:rPr>
          <w:rFonts w:ascii="Arial" w:hAnsi="Arial" w:cs="Arial"/>
          <w:color w:val="1A1A1A"/>
        </w:rPr>
        <w:t>s</w:t>
      </w:r>
      <w:r>
        <w:rPr>
          <w:rFonts w:ascii="Arial" w:hAnsi="Arial" w:cs="Arial"/>
          <w:color w:val="1A1A1A"/>
        </w:rPr>
        <w:t xml:space="preserve">ection </w:t>
      </w:r>
      <w:r w:rsidRPr="00CC2C3C">
        <w:rPr>
          <w:rFonts w:ascii="Arial" w:hAnsi="Arial" w:cs="Arial"/>
          <w:color w:val="1A1A1A"/>
        </w:rPr>
        <w:t>100 Highly Specialised Drugs)</w:t>
      </w:r>
      <w:r>
        <w:rPr>
          <w:rFonts w:ascii="Arial" w:hAnsi="Arial" w:cs="Arial"/>
          <w:color w:val="1A1A1A"/>
        </w:rPr>
        <w:t>?</w:t>
      </w:r>
    </w:p>
    <w:p w:rsidR="00CC2C3C" w:rsidRPr="00CC2C3C" w:rsidRDefault="00CC2C3C" w:rsidP="008A4CEA">
      <w:pPr>
        <w:pStyle w:val="ListParagraph"/>
        <w:spacing w:line="240" w:lineRule="auto"/>
        <w:ind w:left="786"/>
        <w:jc w:val="both"/>
        <w:rPr>
          <w:rFonts w:ascii="Arial" w:hAnsi="Arial" w:cs="Arial"/>
          <w:color w:val="1A1A1A"/>
        </w:rPr>
      </w:pPr>
    </w:p>
    <w:p w:rsidR="00CC2C3C" w:rsidRDefault="00CC2C3C" w:rsidP="008A4CEA">
      <w:pPr>
        <w:pStyle w:val="ListParagraph"/>
        <w:numPr>
          <w:ilvl w:val="0"/>
          <w:numId w:val="22"/>
        </w:numPr>
        <w:spacing w:line="240" w:lineRule="auto"/>
        <w:ind w:left="788"/>
        <w:jc w:val="both"/>
        <w:rPr>
          <w:rFonts w:ascii="Arial" w:hAnsi="Arial" w:cs="Arial"/>
          <w:color w:val="1A1A1A"/>
        </w:rPr>
      </w:pPr>
      <w:r w:rsidRPr="00CC2C3C">
        <w:rPr>
          <w:rFonts w:ascii="Arial" w:hAnsi="Arial" w:cs="Arial"/>
          <w:color w:val="1A1A1A"/>
        </w:rPr>
        <w:t>What criteria would be applied to such a program</w:t>
      </w:r>
      <w:r>
        <w:rPr>
          <w:rFonts w:ascii="Arial" w:hAnsi="Arial" w:cs="Arial"/>
          <w:color w:val="1A1A1A"/>
        </w:rPr>
        <w:t>me</w:t>
      </w:r>
      <w:r w:rsidRPr="00CC2C3C">
        <w:rPr>
          <w:rFonts w:ascii="Arial" w:hAnsi="Arial" w:cs="Arial"/>
          <w:color w:val="1A1A1A"/>
        </w:rPr>
        <w:t xml:space="preserve"> that would distinguish them from other drugs subsidised on the PBS</w:t>
      </w:r>
      <w:r>
        <w:rPr>
          <w:rFonts w:ascii="Arial" w:hAnsi="Arial" w:cs="Arial"/>
          <w:color w:val="1A1A1A"/>
        </w:rPr>
        <w:t>,</w:t>
      </w:r>
      <w:r w:rsidRPr="00CC2C3C">
        <w:rPr>
          <w:rFonts w:ascii="Arial" w:hAnsi="Arial" w:cs="Arial"/>
          <w:color w:val="1A1A1A"/>
        </w:rPr>
        <w:t xml:space="preserve"> for relatively common conditions?</w:t>
      </w:r>
    </w:p>
    <w:p w:rsidR="00CC2C3C" w:rsidRPr="00CC2C3C" w:rsidRDefault="00CC2C3C" w:rsidP="008A4CEA">
      <w:pPr>
        <w:pStyle w:val="ListParagraph"/>
        <w:ind w:left="788"/>
        <w:jc w:val="both"/>
        <w:rPr>
          <w:rFonts w:ascii="Arial" w:hAnsi="Arial" w:cs="Arial"/>
          <w:color w:val="1A1A1A"/>
        </w:rPr>
      </w:pPr>
    </w:p>
    <w:p w:rsidR="00E040C9" w:rsidRDefault="00CC2C3C" w:rsidP="008A4CEA">
      <w:pPr>
        <w:pStyle w:val="ListParagraph"/>
        <w:numPr>
          <w:ilvl w:val="0"/>
          <w:numId w:val="22"/>
        </w:numPr>
        <w:ind w:left="788"/>
        <w:jc w:val="both"/>
        <w:rPr>
          <w:rFonts w:ascii="Arial" w:hAnsi="Arial" w:cs="Arial"/>
          <w:color w:val="1A1A1A"/>
        </w:rPr>
      </w:pPr>
      <w:r w:rsidRPr="00CC2C3C">
        <w:rPr>
          <w:rFonts w:ascii="Arial" w:hAnsi="Arial" w:cs="Arial"/>
          <w:color w:val="1A1A1A"/>
        </w:rPr>
        <w:t>Should a program</w:t>
      </w:r>
      <w:r>
        <w:rPr>
          <w:rFonts w:ascii="Arial" w:hAnsi="Arial" w:cs="Arial"/>
          <w:color w:val="1A1A1A"/>
        </w:rPr>
        <w:t>me</w:t>
      </w:r>
      <w:r w:rsidRPr="00CC2C3C">
        <w:rPr>
          <w:rFonts w:ascii="Arial" w:hAnsi="Arial" w:cs="Arial"/>
          <w:color w:val="1A1A1A"/>
        </w:rPr>
        <w:t xml:space="preserve"> that subsidises high cost and/or specialised drugs have one set of decision rules that apply to all drugs meeting those criteria</w:t>
      </w:r>
      <w:r w:rsidR="00E040C9">
        <w:rPr>
          <w:rFonts w:ascii="Arial" w:hAnsi="Arial" w:cs="Arial"/>
          <w:color w:val="1A1A1A"/>
        </w:rPr>
        <w:t>?</w:t>
      </w:r>
    </w:p>
    <w:p w:rsidR="00E040C9" w:rsidRPr="00C56971" w:rsidRDefault="00E040C9" w:rsidP="00C56971">
      <w:pPr>
        <w:pStyle w:val="ListParagraph"/>
        <w:rPr>
          <w:rFonts w:ascii="Arial" w:hAnsi="Arial" w:cs="Arial"/>
          <w:color w:val="1A1A1A"/>
        </w:rPr>
      </w:pPr>
    </w:p>
    <w:p w:rsidR="00CC2C3C" w:rsidRPr="00CC2C3C" w:rsidRDefault="00E040C9" w:rsidP="008A4CEA">
      <w:pPr>
        <w:pStyle w:val="ListParagraph"/>
        <w:numPr>
          <w:ilvl w:val="0"/>
          <w:numId w:val="22"/>
        </w:numPr>
        <w:ind w:left="788"/>
        <w:jc w:val="both"/>
        <w:rPr>
          <w:rFonts w:ascii="Arial" w:hAnsi="Arial" w:cs="Arial"/>
          <w:color w:val="1A1A1A"/>
        </w:rPr>
      </w:pPr>
      <w:r>
        <w:rPr>
          <w:rFonts w:ascii="Arial" w:hAnsi="Arial" w:cs="Arial"/>
          <w:color w:val="1A1A1A"/>
        </w:rPr>
        <w:t>Should there be one set of criteria to cover both high cost and/or specialised drugs</w:t>
      </w:r>
      <w:r w:rsidR="00CC2C3C" w:rsidRPr="00CC2C3C">
        <w:rPr>
          <w:rFonts w:ascii="Arial" w:hAnsi="Arial" w:cs="Arial"/>
          <w:color w:val="1A1A1A"/>
        </w:rPr>
        <w:t>?</w:t>
      </w:r>
    </w:p>
    <w:p w:rsidR="00260578" w:rsidRDefault="00260578" w:rsidP="00F81AA7">
      <w:pPr>
        <w:pStyle w:val="Heading4"/>
        <w:spacing w:line="360" w:lineRule="auto"/>
        <w:rPr>
          <w:rFonts w:ascii="Arial" w:hAnsi="Arial" w:cs="Arial"/>
          <w:i w:val="0"/>
          <w:color w:val="auto"/>
        </w:rPr>
      </w:pPr>
    </w:p>
    <w:p w:rsidR="00260578" w:rsidRPr="00260578" w:rsidRDefault="006415BB" w:rsidP="00260578">
      <w:pPr>
        <w:pStyle w:val="Heading4"/>
        <w:spacing w:line="360" w:lineRule="auto"/>
      </w:pPr>
      <w:r w:rsidRPr="00F81AA7">
        <w:rPr>
          <w:rFonts w:ascii="Arial" w:hAnsi="Arial" w:cs="Arial"/>
          <w:i w:val="0"/>
          <w:color w:val="auto"/>
        </w:rPr>
        <w:t>ToR</w:t>
      </w:r>
      <w:r w:rsidR="0096074C" w:rsidRPr="00F81AA7">
        <w:rPr>
          <w:rFonts w:ascii="Arial" w:hAnsi="Arial" w:cs="Arial"/>
          <w:i w:val="0"/>
          <w:color w:val="auto"/>
        </w:rPr>
        <w:t xml:space="preserve"> 5. Assess the value for money of the medicines subsidised on the LSDP by evaluating the benefit of each drug’s treatment outcomes, including in terms of quality of life achieved through the programme, and their cost.</w:t>
      </w:r>
    </w:p>
    <w:p w:rsidR="0096074C" w:rsidRPr="00FB32CB" w:rsidRDefault="0096074C" w:rsidP="00F81AA7">
      <w:pPr>
        <w:pStyle w:val="ListParagraph"/>
        <w:widowControl w:val="0"/>
        <w:numPr>
          <w:ilvl w:val="1"/>
          <w:numId w:val="14"/>
        </w:numPr>
        <w:tabs>
          <w:tab w:val="left" w:pos="220"/>
          <w:tab w:val="left" w:pos="720"/>
        </w:tabs>
        <w:autoSpaceDE w:val="0"/>
        <w:autoSpaceDN w:val="0"/>
        <w:adjustRightInd w:val="0"/>
        <w:spacing w:after="0" w:line="360" w:lineRule="auto"/>
        <w:jc w:val="both"/>
        <w:rPr>
          <w:rFonts w:ascii="Arial" w:hAnsi="Arial" w:cs="Arial"/>
          <w:color w:val="1A1A1A"/>
        </w:rPr>
      </w:pPr>
      <w:r w:rsidRPr="00FB32CB">
        <w:rPr>
          <w:rFonts w:ascii="Arial" w:hAnsi="Arial" w:cs="Arial"/>
          <w:color w:val="1A1A1A"/>
        </w:rPr>
        <w:t>As summarized under TOR 1, there is inadequate evidence to address the value for money of medicines subsidi</w:t>
      </w:r>
      <w:r>
        <w:rPr>
          <w:rFonts w:ascii="Arial" w:hAnsi="Arial" w:cs="Arial"/>
          <w:color w:val="1A1A1A"/>
        </w:rPr>
        <w:t>s</w:t>
      </w:r>
      <w:r w:rsidRPr="00FB32CB">
        <w:rPr>
          <w:rFonts w:ascii="Arial" w:hAnsi="Arial" w:cs="Arial"/>
          <w:color w:val="1A1A1A"/>
        </w:rPr>
        <w:t xml:space="preserve">ed under the LSDP. Evidence of effectiveness for each </w:t>
      </w:r>
      <w:r>
        <w:rPr>
          <w:rFonts w:ascii="Arial" w:hAnsi="Arial" w:cs="Arial"/>
          <w:color w:val="1A1A1A"/>
        </w:rPr>
        <w:t>medication</w:t>
      </w:r>
      <w:r w:rsidRPr="00FB32CB">
        <w:rPr>
          <w:rFonts w:ascii="Arial" w:hAnsi="Arial" w:cs="Arial"/>
          <w:color w:val="1A1A1A"/>
        </w:rPr>
        <w:t xml:space="preserve"> is limited and </w:t>
      </w:r>
      <w:r>
        <w:rPr>
          <w:rFonts w:ascii="Arial" w:hAnsi="Arial" w:cs="Arial"/>
          <w:color w:val="1A1A1A"/>
        </w:rPr>
        <w:t xml:space="preserve">is </w:t>
      </w:r>
      <w:r w:rsidRPr="00FB32CB">
        <w:rPr>
          <w:rFonts w:ascii="Arial" w:hAnsi="Arial" w:cs="Arial"/>
          <w:color w:val="1A1A1A"/>
        </w:rPr>
        <w:t>still based largely on changes</w:t>
      </w:r>
      <w:r>
        <w:rPr>
          <w:rFonts w:ascii="Arial" w:hAnsi="Arial" w:cs="Arial"/>
          <w:color w:val="1A1A1A"/>
        </w:rPr>
        <w:t xml:space="preserve"> in surrogate outcomes</w:t>
      </w:r>
      <w:r w:rsidRPr="00FB32CB">
        <w:rPr>
          <w:rFonts w:ascii="Arial" w:hAnsi="Arial" w:cs="Arial"/>
          <w:color w:val="1A1A1A"/>
        </w:rPr>
        <w:t xml:space="preserve"> </w:t>
      </w:r>
      <w:r>
        <w:rPr>
          <w:rFonts w:ascii="Arial" w:hAnsi="Arial" w:cs="Arial"/>
          <w:color w:val="1A1A1A"/>
        </w:rPr>
        <w:t>(</w:t>
      </w:r>
      <w:r w:rsidRPr="00FB32CB">
        <w:rPr>
          <w:rFonts w:ascii="Arial" w:hAnsi="Arial" w:cs="Arial"/>
          <w:color w:val="1A1A1A"/>
        </w:rPr>
        <w:t>biomarkers associated with disease outcomes</w:t>
      </w:r>
      <w:r>
        <w:rPr>
          <w:rFonts w:ascii="Arial" w:hAnsi="Arial" w:cs="Arial"/>
          <w:color w:val="1A1A1A"/>
        </w:rPr>
        <w:t>)</w:t>
      </w:r>
      <w:r w:rsidRPr="00FB32CB">
        <w:rPr>
          <w:rFonts w:ascii="Arial" w:hAnsi="Arial" w:cs="Arial"/>
          <w:color w:val="1A1A1A"/>
        </w:rPr>
        <w:t>, rather than measured health benefits</w:t>
      </w:r>
      <w:r>
        <w:rPr>
          <w:rFonts w:ascii="Arial" w:hAnsi="Arial" w:cs="Arial"/>
          <w:color w:val="1A1A1A"/>
        </w:rPr>
        <w:t xml:space="preserve"> (actual health outcomes)</w:t>
      </w:r>
      <w:r w:rsidRPr="00FB32CB">
        <w:rPr>
          <w:rFonts w:ascii="Arial" w:hAnsi="Arial" w:cs="Arial"/>
          <w:color w:val="1A1A1A"/>
        </w:rPr>
        <w:t xml:space="preserve">. </w:t>
      </w:r>
    </w:p>
    <w:p w:rsidR="0096074C" w:rsidRPr="00FB32CB" w:rsidRDefault="0096074C" w:rsidP="008A4CEA">
      <w:pPr>
        <w:pStyle w:val="ListParagraph"/>
        <w:widowControl w:val="0"/>
        <w:numPr>
          <w:ilvl w:val="1"/>
          <w:numId w:val="14"/>
        </w:numPr>
        <w:tabs>
          <w:tab w:val="left" w:pos="220"/>
          <w:tab w:val="left" w:pos="720"/>
        </w:tabs>
        <w:autoSpaceDE w:val="0"/>
        <w:autoSpaceDN w:val="0"/>
        <w:adjustRightInd w:val="0"/>
        <w:spacing w:after="0" w:line="360" w:lineRule="auto"/>
        <w:jc w:val="both"/>
        <w:rPr>
          <w:rFonts w:ascii="Arial" w:hAnsi="Arial" w:cs="Arial"/>
          <w:color w:val="1A1A1A"/>
        </w:rPr>
      </w:pPr>
      <w:r w:rsidRPr="00FB32CB">
        <w:rPr>
          <w:rFonts w:ascii="Arial" w:hAnsi="Arial" w:cs="Arial"/>
          <w:color w:val="1A1A1A"/>
        </w:rPr>
        <w:t xml:space="preserve">Information on the relative costs of the listed drugs to the Australian </w:t>
      </w:r>
      <w:r w:rsidR="001113B1">
        <w:rPr>
          <w:rFonts w:ascii="Arial" w:hAnsi="Arial" w:cs="Arial"/>
          <w:color w:val="1A1A1A"/>
        </w:rPr>
        <w:t>G</w:t>
      </w:r>
      <w:r w:rsidRPr="00FB32CB">
        <w:rPr>
          <w:rFonts w:ascii="Arial" w:hAnsi="Arial" w:cs="Arial"/>
          <w:color w:val="1A1A1A"/>
        </w:rPr>
        <w:t xml:space="preserve">overnment compared to other countries is very limited. The review has identified a number of reports or ongoing inquiries from other countries </w:t>
      </w:r>
      <w:r w:rsidRPr="00FB32CB">
        <w:rPr>
          <w:rFonts w:ascii="Arial" w:hAnsi="Arial" w:cs="Arial"/>
          <w:color w:val="1A1A1A"/>
        </w:rPr>
        <w:lastRenderedPageBreak/>
        <w:t>including Canada, Scotland and Wales that suggest similar concerns about managing the growing cost of medicine to treat these diseases</w:t>
      </w:r>
      <w:r>
        <w:rPr>
          <w:rFonts w:ascii="Arial" w:hAnsi="Arial" w:cs="Arial"/>
          <w:color w:val="1A1A1A"/>
        </w:rPr>
        <w:t xml:space="preserve"> and the poorly defined health benefits</w:t>
      </w:r>
      <w:r w:rsidRPr="00FB32CB">
        <w:rPr>
          <w:rFonts w:ascii="Arial" w:hAnsi="Arial" w:cs="Arial"/>
          <w:color w:val="1A1A1A"/>
        </w:rPr>
        <w:t xml:space="preserve">. </w:t>
      </w:r>
    </w:p>
    <w:p w:rsidR="0096074C" w:rsidRPr="00FB32CB" w:rsidRDefault="0096074C" w:rsidP="008A4CEA">
      <w:pPr>
        <w:pStyle w:val="ListParagraph"/>
        <w:widowControl w:val="0"/>
        <w:numPr>
          <w:ilvl w:val="1"/>
          <w:numId w:val="14"/>
        </w:numPr>
        <w:tabs>
          <w:tab w:val="left" w:pos="220"/>
          <w:tab w:val="left" w:pos="720"/>
        </w:tabs>
        <w:autoSpaceDE w:val="0"/>
        <w:autoSpaceDN w:val="0"/>
        <w:adjustRightInd w:val="0"/>
        <w:spacing w:after="0" w:line="360" w:lineRule="auto"/>
        <w:jc w:val="both"/>
        <w:rPr>
          <w:rFonts w:ascii="Arial" w:hAnsi="Arial" w:cs="Arial"/>
          <w:color w:val="1A1A1A"/>
        </w:rPr>
      </w:pPr>
      <w:r w:rsidRPr="00FB32CB">
        <w:rPr>
          <w:rFonts w:ascii="Arial" w:hAnsi="Arial" w:cs="Arial"/>
          <w:color w:val="1A1A1A"/>
        </w:rPr>
        <w:t xml:space="preserve">There are </w:t>
      </w:r>
      <w:r>
        <w:rPr>
          <w:rFonts w:ascii="Arial" w:hAnsi="Arial" w:cs="Arial"/>
          <w:color w:val="1A1A1A"/>
        </w:rPr>
        <w:t>four</w:t>
      </w:r>
      <w:r w:rsidRPr="00FB32CB">
        <w:rPr>
          <w:rFonts w:ascii="Arial" w:hAnsi="Arial" w:cs="Arial"/>
          <w:color w:val="1A1A1A"/>
        </w:rPr>
        <w:t xml:space="preserve"> areas where specific clinical research could assist in managing future costs</w:t>
      </w:r>
      <w:r>
        <w:rPr>
          <w:rFonts w:ascii="Arial" w:hAnsi="Arial" w:cs="Arial"/>
          <w:color w:val="1A1A1A"/>
        </w:rPr>
        <w:t xml:space="preserve"> and add information about health benefits</w:t>
      </w:r>
      <w:r w:rsidRPr="00FB32CB">
        <w:rPr>
          <w:rFonts w:ascii="Arial" w:hAnsi="Arial" w:cs="Arial"/>
          <w:color w:val="1A1A1A"/>
        </w:rPr>
        <w:t>, namely the evidence of dosing by body weight,</w:t>
      </w:r>
      <w:r>
        <w:rPr>
          <w:rFonts w:ascii="Arial" w:hAnsi="Arial" w:cs="Arial"/>
          <w:color w:val="1A1A1A"/>
        </w:rPr>
        <w:t xml:space="preserve"> evidence about the frequency of administration of treatment, </w:t>
      </w:r>
      <w:r w:rsidRPr="00FB32CB">
        <w:rPr>
          <w:rFonts w:ascii="Arial" w:hAnsi="Arial" w:cs="Arial"/>
          <w:color w:val="1A1A1A"/>
        </w:rPr>
        <w:t>the therapeutic equivalence where more than one</w:t>
      </w:r>
      <w:r>
        <w:rPr>
          <w:rFonts w:ascii="Arial" w:hAnsi="Arial" w:cs="Arial"/>
          <w:color w:val="1A1A1A"/>
        </w:rPr>
        <w:t xml:space="preserve"> medicine</w:t>
      </w:r>
      <w:r w:rsidRPr="00FB32CB">
        <w:rPr>
          <w:rFonts w:ascii="Arial" w:hAnsi="Arial" w:cs="Arial"/>
          <w:color w:val="1A1A1A"/>
        </w:rPr>
        <w:t xml:space="preserve"> in the same class is available, and, clarification of when patients are not responding to treatment.</w:t>
      </w:r>
    </w:p>
    <w:p w:rsidR="007E68DE" w:rsidRPr="00CC2C3C" w:rsidRDefault="007E68DE" w:rsidP="008A4CEA">
      <w:pPr>
        <w:widowControl w:val="0"/>
        <w:tabs>
          <w:tab w:val="left" w:pos="220"/>
          <w:tab w:val="left" w:pos="720"/>
        </w:tabs>
        <w:autoSpaceDE w:val="0"/>
        <w:autoSpaceDN w:val="0"/>
        <w:adjustRightInd w:val="0"/>
        <w:spacing w:line="360" w:lineRule="auto"/>
        <w:jc w:val="both"/>
        <w:rPr>
          <w:rFonts w:ascii="Arial" w:hAnsi="Arial" w:cs="Arial"/>
          <w:color w:val="1A1A1A"/>
        </w:rPr>
      </w:pPr>
    </w:p>
    <w:p w:rsidR="006415BB" w:rsidRPr="00F81AA7" w:rsidRDefault="006415BB" w:rsidP="00F81AA7">
      <w:pPr>
        <w:pStyle w:val="Heading4"/>
        <w:spacing w:line="360" w:lineRule="auto"/>
        <w:rPr>
          <w:rFonts w:ascii="Arial" w:hAnsi="Arial" w:cs="Arial"/>
          <w:i w:val="0"/>
          <w:color w:val="auto"/>
        </w:rPr>
      </w:pPr>
      <w:r w:rsidRPr="00F81AA7">
        <w:rPr>
          <w:rFonts w:ascii="Arial" w:hAnsi="Arial" w:cs="Arial"/>
          <w:i w:val="0"/>
          <w:color w:val="auto"/>
        </w:rPr>
        <w:t>I</w:t>
      </w:r>
      <w:r w:rsidR="009D00E8">
        <w:rPr>
          <w:rFonts w:ascii="Arial" w:hAnsi="Arial" w:cs="Arial"/>
          <w:i w:val="0"/>
          <w:color w:val="auto"/>
        </w:rPr>
        <w:t>ssue</w:t>
      </w:r>
      <w:r w:rsidRPr="00F81AA7">
        <w:rPr>
          <w:rFonts w:ascii="Arial" w:hAnsi="Arial" w:cs="Arial"/>
          <w:i w:val="0"/>
          <w:color w:val="auto"/>
        </w:rPr>
        <w:t xml:space="preserve"> 7:  </w:t>
      </w:r>
    </w:p>
    <w:p w:rsidR="006415BB" w:rsidRPr="006415BB" w:rsidRDefault="006415BB" w:rsidP="00F81AA7">
      <w:pPr>
        <w:spacing w:after="120" w:line="240" w:lineRule="auto"/>
        <w:jc w:val="both"/>
        <w:outlineLvl w:val="1"/>
        <w:rPr>
          <w:rFonts w:ascii="Arial" w:hAnsi="Arial" w:cs="Arial"/>
          <w:i/>
          <w:color w:val="303030"/>
          <w:szCs w:val="24"/>
        </w:rPr>
      </w:pPr>
      <w:r w:rsidRPr="006415BB">
        <w:rPr>
          <w:rFonts w:ascii="Arial" w:hAnsi="Arial" w:cs="Arial"/>
          <w:i/>
          <w:color w:val="303030"/>
          <w:szCs w:val="24"/>
        </w:rPr>
        <w:t>There is inadequate evidence to address the value for money of medicines subsidised under the LSDP.</w:t>
      </w:r>
    </w:p>
    <w:p w:rsidR="006415BB" w:rsidRPr="006415BB" w:rsidRDefault="00CC2C3C" w:rsidP="00F81AA7">
      <w:pPr>
        <w:spacing w:after="120" w:line="240" w:lineRule="auto"/>
        <w:jc w:val="both"/>
        <w:outlineLvl w:val="1"/>
        <w:rPr>
          <w:rFonts w:ascii="Arial" w:hAnsi="Arial" w:cs="Arial"/>
          <w:i/>
          <w:color w:val="303030"/>
          <w:szCs w:val="24"/>
        </w:rPr>
      </w:pPr>
      <w:r>
        <w:rPr>
          <w:rFonts w:ascii="Arial" w:hAnsi="Arial" w:cs="Arial"/>
          <w:i/>
          <w:color w:val="303030"/>
          <w:szCs w:val="24"/>
        </w:rPr>
        <w:t>Clinicians c</w:t>
      </w:r>
      <w:r w:rsidR="006415BB" w:rsidRPr="006415BB">
        <w:rPr>
          <w:rFonts w:ascii="Arial" w:hAnsi="Arial" w:cs="Arial"/>
          <w:i/>
          <w:color w:val="303030"/>
          <w:szCs w:val="24"/>
        </w:rPr>
        <w:t xml:space="preserve">ould be </w:t>
      </w:r>
      <w:r>
        <w:rPr>
          <w:rFonts w:ascii="Arial" w:hAnsi="Arial" w:cs="Arial"/>
          <w:i/>
          <w:color w:val="303030"/>
          <w:szCs w:val="24"/>
        </w:rPr>
        <w:t>encouraged to fill this</w:t>
      </w:r>
      <w:r w:rsidR="006415BB" w:rsidRPr="006415BB">
        <w:rPr>
          <w:rFonts w:ascii="Arial" w:hAnsi="Arial" w:cs="Arial"/>
          <w:i/>
          <w:color w:val="303030"/>
          <w:szCs w:val="24"/>
        </w:rPr>
        <w:t xml:space="preserve"> gap by conducting research and providing evidence of dosing by body weight, where there is more than one medical agent in the same medicinal class, provide information of therapeutic equivalence, frequency of administration of treatment and provide information and clarification of when patients are not responding to treatment.</w:t>
      </w:r>
    </w:p>
    <w:p w:rsidR="006415BB" w:rsidRDefault="006415BB" w:rsidP="008A4CEA">
      <w:pPr>
        <w:pStyle w:val="ListParagraph"/>
        <w:numPr>
          <w:ilvl w:val="0"/>
          <w:numId w:val="24"/>
        </w:numPr>
        <w:spacing w:after="120" w:line="240" w:lineRule="auto"/>
        <w:jc w:val="both"/>
        <w:outlineLvl w:val="1"/>
        <w:rPr>
          <w:rFonts w:ascii="Arial" w:hAnsi="Arial" w:cs="Arial"/>
          <w:color w:val="1A1A1A"/>
        </w:rPr>
      </w:pPr>
      <w:r w:rsidRPr="006415BB">
        <w:rPr>
          <w:rFonts w:ascii="Arial" w:hAnsi="Arial" w:cs="Arial"/>
          <w:color w:val="1A1A1A"/>
        </w:rPr>
        <w:t>What incentives are required to encourage clinicians and</w:t>
      </w:r>
      <w:r w:rsidR="00CC2C3C">
        <w:rPr>
          <w:rFonts w:ascii="Arial" w:hAnsi="Arial" w:cs="Arial"/>
          <w:color w:val="1A1A1A"/>
        </w:rPr>
        <w:t>/or</w:t>
      </w:r>
      <w:r w:rsidRPr="006415BB">
        <w:rPr>
          <w:rFonts w:ascii="Arial" w:hAnsi="Arial" w:cs="Arial"/>
          <w:color w:val="1A1A1A"/>
        </w:rPr>
        <w:t xml:space="preserve"> companies to undertake this type of research?</w:t>
      </w:r>
    </w:p>
    <w:p w:rsidR="006415BB" w:rsidRPr="006415BB" w:rsidRDefault="006415BB" w:rsidP="008A4CEA">
      <w:pPr>
        <w:pStyle w:val="ListParagraph"/>
        <w:spacing w:after="120" w:line="240" w:lineRule="auto"/>
        <w:jc w:val="both"/>
        <w:outlineLvl w:val="1"/>
        <w:rPr>
          <w:rFonts w:ascii="Arial" w:hAnsi="Arial" w:cs="Arial"/>
          <w:color w:val="1A1A1A"/>
        </w:rPr>
      </w:pPr>
    </w:p>
    <w:p w:rsidR="006415BB" w:rsidRPr="006415BB" w:rsidRDefault="006415BB" w:rsidP="008A4CEA">
      <w:pPr>
        <w:pStyle w:val="ListParagraph"/>
        <w:numPr>
          <w:ilvl w:val="0"/>
          <w:numId w:val="24"/>
        </w:numPr>
        <w:spacing w:after="120" w:line="240" w:lineRule="auto"/>
        <w:jc w:val="both"/>
        <w:outlineLvl w:val="1"/>
        <w:rPr>
          <w:rFonts w:ascii="Arial" w:hAnsi="Arial" w:cs="Arial"/>
          <w:color w:val="1A1A1A"/>
        </w:rPr>
      </w:pPr>
      <w:r w:rsidRPr="006415BB">
        <w:rPr>
          <w:rFonts w:ascii="Arial" w:hAnsi="Arial" w:cs="Arial"/>
          <w:color w:val="1A1A1A"/>
        </w:rPr>
        <w:t>To what extent should</w:t>
      </w:r>
      <w:r>
        <w:rPr>
          <w:rFonts w:ascii="Arial" w:hAnsi="Arial" w:cs="Arial"/>
          <w:color w:val="1A1A1A"/>
        </w:rPr>
        <w:t>,</w:t>
      </w:r>
      <w:r w:rsidR="00FF3125">
        <w:rPr>
          <w:rFonts w:ascii="Arial" w:hAnsi="Arial" w:cs="Arial"/>
          <w:color w:val="1A1A1A"/>
        </w:rPr>
        <w:t xml:space="preserve"> continuance of public money for the purposes of subsidy, be linked to </w:t>
      </w:r>
      <w:r w:rsidRPr="006415BB">
        <w:rPr>
          <w:rFonts w:ascii="Arial" w:hAnsi="Arial" w:cs="Arial"/>
          <w:color w:val="1A1A1A"/>
        </w:rPr>
        <w:t xml:space="preserve">companies </w:t>
      </w:r>
      <w:r w:rsidR="00FF3125">
        <w:rPr>
          <w:rFonts w:ascii="Arial" w:hAnsi="Arial" w:cs="Arial"/>
          <w:color w:val="1A1A1A"/>
        </w:rPr>
        <w:t xml:space="preserve">and/or clinicians </w:t>
      </w:r>
      <w:r w:rsidRPr="006415BB">
        <w:rPr>
          <w:rFonts w:ascii="Arial" w:hAnsi="Arial" w:cs="Arial"/>
          <w:color w:val="1A1A1A"/>
        </w:rPr>
        <w:t>undertaking such research?</w:t>
      </w:r>
    </w:p>
    <w:p w:rsidR="006415BB" w:rsidRPr="00A10598" w:rsidRDefault="006415BB" w:rsidP="008A4CEA">
      <w:pPr>
        <w:widowControl w:val="0"/>
        <w:tabs>
          <w:tab w:val="left" w:pos="220"/>
          <w:tab w:val="left" w:pos="720"/>
        </w:tabs>
        <w:autoSpaceDE w:val="0"/>
        <w:autoSpaceDN w:val="0"/>
        <w:adjustRightInd w:val="0"/>
        <w:spacing w:line="360" w:lineRule="auto"/>
        <w:jc w:val="both"/>
        <w:rPr>
          <w:rFonts w:ascii="Arial" w:hAnsi="Arial" w:cs="Arial"/>
          <w:color w:val="1A1A1A"/>
        </w:rPr>
      </w:pPr>
    </w:p>
    <w:p w:rsidR="0096074C" w:rsidRPr="00F81AA7" w:rsidRDefault="006415BB" w:rsidP="00F81AA7">
      <w:pPr>
        <w:pStyle w:val="Heading4"/>
        <w:spacing w:line="360" w:lineRule="auto"/>
        <w:rPr>
          <w:rFonts w:ascii="Arial" w:hAnsi="Arial" w:cs="Arial"/>
          <w:i w:val="0"/>
          <w:color w:val="auto"/>
        </w:rPr>
      </w:pPr>
      <w:r w:rsidRPr="00F81AA7">
        <w:rPr>
          <w:rFonts w:ascii="Arial" w:hAnsi="Arial" w:cs="Arial"/>
          <w:i w:val="0"/>
          <w:color w:val="auto"/>
        </w:rPr>
        <w:t>ToR</w:t>
      </w:r>
      <w:r w:rsidR="0096074C" w:rsidRPr="00F81AA7">
        <w:rPr>
          <w:rFonts w:ascii="Arial" w:hAnsi="Arial" w:cs="Arial"/>
          <w:i w:val="0"/>
          <w:color w:val="auto"/>
        </w:rPr>
        <w:t xml:space="preserve"> 6. Review the administration of the LSDP, including the Guidelines with which the programme is administered for each condition, and assess alternative administration systems.</w:t>
      </w:r>
    </w:p>
    <w:p w:rsidR="0096074C" w:rsidRDefault="0096074C" w:rsidP="00F81AA7">
      <w:pPr>
        <w:pStyle w:val="ListParagraph"/>
        <w:widowControl w:val="0"/>
        <w:numPr>
          <w:ilvl w:val="1"/>
          <w:numId w:val="13"/>
        </w:numPr>
        <w:tabs>
          <w:tab w:val="left" w:pos="220"/>
          <w:tab w:val="left" w:pos="720"/>
        </w:tabs>
        <w:autoSpaceDE w:val="0"/>
        <w:autoSpaceDN w:val="0"/>
        <w:adjustRightInd w:val="0"/>
        <w:spacing w:after="0" w:line="360" w:lineRule="auto"/>
        <w:jc w:val="both"/>
        <w:rPr>
          <w:rFonts w:ascii="Arial" w:hAnsi="Arial" w:cs="Arial"/>
        </w:rPr>
      </w:pPr>
      <w:r w:rsidRPr="00572BF3">
        <w:rPr>
          <w:rFonts w:ascii="Arial" w:hAnsi="Arial" w:cs="Arial"/>
        </w:rPr>
        <w:t>The current administrative arrangements for access to the medicines approved on the LSDP across the country still relies heavily on the direct involvement of Canberra</w:t>
      </w:r>
      <w:r w:rsidR="001113B1">
        <w:rPr>
          <w:rFonts w:ascii="Arial" w:hAnsi="Arial" w:cs="Arial"/>
        </w:rPr>
        <w:t>-</w:t>
      </w:r>
      <w:r w:rsidRPr="00572BF3">
        <w:rPr>
          <w:rFonts w:ascii="Arial" w:hAnsi="Arial" w:cs="Arial"/>
        </w:rPr>
        <w:t>based Commonwealth public servants who otherwise have no involvement in patient care. This does not seem consistent with good clinical care management and, given that the majority of these patients are seen in public sector services,</w:t>
      </w:r>
      <w:r w:rsidR="001113B1">
        <w:rPr>
          <w:rFonts w:ascii="Arial" w:hAnsi="Arial" w:cs="Arial"/>
        </w:rPr>
        <w:t xml:space="preserve"> is</w:t>
      </w:r>
      <w:r w:rsidRPr="00572BF3">
        <w:rPr>
          <w:rFonts w:ascii="Arial" w:hAnsi="Arial" w:cs="Arial"/>
        </w:rPr>
        <w:t xml:space="preserve"> inconsistent with the division of responsibilities between the Commonwealth and the States and Territories for health service delivery.</w:t>
      </w:r>
    </w:p>
    <w:p w:rsidR="0096074C" w:rsidRDefault="0096074C" w:rsidP="008A4CEA">
      <w:pPr>
        <w:pStyle w:val="ListParagraph"/>
        <w:widowControl w:val="0"/>
        <w:numPr>
          <w:ilvl w:val="1"/>
          <w:numId w:val="13"/>
        </w:numPr>
        <w:tabs>
          <w:tab w:val="left" w:pos="220"/>
          <w:tab w:val="left" w:pos="720"/>
        </w:tabs>
        <w:autoSpaceDE w:val="0"/>
        <w:autoSpaceDN w:val="0"/>
        <w:adjustRightInd w:val="0"/>
        <w:spacing w:after="0" w:line="360" w:lineRule="auto"/>
        <w:jc w:val="both"/>
        <w:rPr>
          <w:rFonts w:ascii="Arial" w:hAnsi="Arial" w:cs="Arial"/>
        </w:rPr>
      </w:pPr>
      <w:r>
        <w:rPr>
          <w:rFonts w:ascii="Arial" w:hAnsi="Arial" w:cs="Arial"/>
        </w:rPr>
        <w:t xml:space="preserve">As indicated in the summary of the public submissions there is support for the </w:t>
      </w:r>
      <w:r>
        <w:rPr>
          <w:rFonts w:ascii="Arial" w:hAnsi="Arial" w:cs="Arial"/>
        </w:rPr>
        <w:lastRenderedPageBreak/>
        <w:t>re-establishment of the Disease Advisory Committees. These committees were convened on a national basis, and, while disease specific, membership substantially overlapped. Given the potential for a growing number of diseases and treatments seeking public funding, th</w:t>
      </w:r>
      <w:r w:rsidR="001113B1">
        <w:rPr>
          <w:rFonts w:ascii="Arial" w:hAnsi="Arial" w:cs="Arial"/>
        </w:rPr>
        <w:t>e Reference Group did not consider th</w:t>
      </w:r>
      <w:r>
        <w:rPr>
          <w:rFonts w:ascii="Arial" w:hAnsi="Arial" w:cs="Arial"/>
        </w:rPr>
        <w:t xml:space="preserve">is approach </w:t>
      </w:r>
      <w:r w:rsidR="001113B1">
        <w:rPr>
          <w:rFonts w:ascii="Arial" w:hAnsi="Arial" w:cs="Arial"/>
        </w:rPr>
        <w:t>would be</w:t>
      </w:r>
      <w:r>
        <w:rPr>
          <w:rFonts w:ascii="Arial" w:hAnsi="Arial" w:cs="Arial"/>
        </w:rPr>
        <w:t xml:space="preserve"> sustainable.</w:t>
      </w:r>
    </w:p>
    <w:p w:rsidR="0096074C" w:rsidRDefault="0096074C" w:rsidP="008A4CEA">
      <w:pPr>
        <w:pStyle w:val="ListParagraph"/>
        <w:widowControl w:val="0"/>
        <w:numPr>
          <w:ilvl w:val="1"/>
          <w:numId w:val="13"/>
        </w:numPr>
        <w:tabs>
          <w:tab w:val="left" w:pos="220"/>
          <w:tab w:val="left" w:pos="720"/>
        </w:tabs>
        <w:autoSpaceDE w:val="0"/>
        <w:autoSpaceDN w:val="0"/>
        <w:adjustRightInd w:val="0"/>
        <w:spacing w:after="0" w:line="360" w:lineRule="auto"/>
        <w:jc w:val="both"/>
        <w:rPr>
          <w:rFonts w:ascii="Arial" w:hAnsi="Arial" w:cs="Arial"/>
        </w:rPr>
      </w:pPr>
      <w:r>
        <w:rPr>
          <w:rFonts w:ascii="Arial" w:hAnsi="Arial" w:cs="Arial"/>
        </w:rPr>
        <w:t>The Reference Group believes there was merit in the establishment of a small number of centres of clinical expertise in rare diseases, incorporating state-based clinical advisory committees, with the larger states networking with smaller states or territories. Such an approach could also form the basis for more effective disease registries, where different centres might take responsibility for one or more different diseases.</w:t>
      </w:r>
    </w:p>
    <w:p w:rsidR="0096074C" w:rsidRDefault="0096074C" w:rsidP="008A4CEA">
      <w:pPr>
        <w:pStyle w:val="ListParagraph"/>
        <w:widowControl w:val="0"/>
        <w:numPr>
          <w:ilvl w:val="1"/>
          <w:numId w:val="13"/>
        </w:numPr>
        <w:tabs>
          <w:tab w:val="left" w:pos="220"/>
          <w:tab w:val="left" w:pos="720"/>
        </w:tabs>
        <w:autoSpaceDE w:val="0"/>
        <w:autoSpaceDN w:val="0"/>
        <w:adjustRightInd w:val="0"/>
        <w:spacing w:after="0" w:line="360" w:lineRule="auto"/>
        <w:jc w:val="both"/>
        <w:rPr>
          <w:rFonts w:ascii="Arial" w:hAnsi="Arial" w:cs="Arial"/>
        </w:rPr>
      </w:pPr>
      <w:r>
        <w:rPr>
          <w:rFonts w:ascii="Arial" w:hAnsi="Arial" w:cs="Arial"/>
        </w:rPr>
        <w:t>Patient groups and sponsors supported establishing designated centres of treatment/e</w:t>
      </w:r>
      <w:r w:rsidR="009A4202">
        <w:rPr>
          <w:rFonts w:ascii="Arial" w:hAnsi="Arial" w:cs="Arial"/>
        </w:rPr>
        <w:t>x</w:t>
      </w:r>
      <w:r w:rsidR="001113B1">
        <w:rPr>
          <w:rFonts w:ascii="Arial" w:hAnsi="Arial" w:cs="Arial"/>
        </w:rPr>
        <w:t>pe</w:t>
      </w:r>
      <w:r w:rsidR="009A4202">
        <w:rPr>
          <w:rFonts w:ascii="Arial" w:hAnsi="Arial" w:cs="Arial"/>
        </w:rPr>
        <w:t>rtise</w:t>
      </w:r>
      <w:r>
        <w:rPr>
          <w:rFonts w:ascii="Arial" w:hAnsi="Arial" w:cs="Arial"/>
        </w:rPr>
        <w:t>. Reduced travel times, parking costs, potential choice of doctor and more effective data collection were among the cited benefits of the centres.</w:t>
      </w:r>
    </w:p>
    <w:p w:rsidR="00FF3125" w:rsidRDefault="0096074C" w:rsidP="00260578">
      <w:pPr>
        <w:pStyle w:val="ListParagraph"/>
        <w:widowControl w:val="0"/>
        <w:numPr>
          <w:ilvl w:val="1"/>
          <w:numId w:val="13"/>
        </w:numPr>
        <w:tabs>
          <w:tab w:val="left" w:pos="220"/>
          <w:tab w:val="left" w:pos="720"/>
        </w:tabs>
        <w:autoSpaceDE w:val="0"/>
        <w:autoSpaceDN w:val="0"/>
        <w:adjustRightInd w:val="0"/>
        <w:spacing w:after="0" w:line="360" w:lineRule="auto"/>
        <w:jc w:val="both"/>
      </w:pPr>
      <w:r w:rsidRPr="00A97B41">
        <w:rPr>
          <w:rFonts w:ascii="Arial" w:hAnsi="Arial" w:cs="Arial"/>
        </w:rPr>
        <w:t xml:space="preserve">The Reference Group noted the potential for involvement of designated pharmacies as a point of distribution and the convenience that this may offer patients. However, further clarification would be required on the implications of this on capacity to deliver medicines efficiently. </w:t>
      </w:r>
    </w:p>
    <w:p w:rsidR="006415BB" w:rsidRPr="00F81AA7" w:rsidRDefault="00B73BDA" w:rsidP="00F81AA7">
      <w:pPr>
        <w:pStyle w:val="Heading4"/>
        <w:spacing w:line="360" w:lineRule="auto"/>
        <w:rPr>
          <w:rFonts w:ascii="Arial" w:hAnsi="Arial" w:cs="Arial"/>
          <w:i w:val="0"/>
          <w:color w:val="auto"/>
        </w:rPr>
      </w:pPr>
      <w:r w:rsidRPr="00F81AA7">
        <w:rPr>
          <w:rFonts w:ascii="Arial" w:hAnsi="Arial" w:cs="Arial"/>
          <w:i w:val="0"/>
          <w:color w:val="auto"/>
        </w:rPr>
        <w:t>I</w:t>
      </w:r>
      <w:r w:rsidR="009D00E8">
        <w:rPr>
          <w:rFonts w:ascii="Arial" w:hAnsi="Arial" w:cs="Arial"/>
          <w:i w:val="0"/>
          <w:color w:val="auto"/>
        </w:rPr>
        <w:t>ssue</w:t>
      </w:r>
      <w:r w:rsidRPr="00F81AA7">
        <w:rPr>
          <w:rFonts w:ascii="Arial" w:hAnsi="Arial" w:cs="Arial"/>
          <w:i w:val="0"/>
          <w:color w:val="auto"/>
        </w:rPr>
        <w:t xml:space="preserve"> 8</w:t>
      </w:r>
      <w:r w:rsidR="006415BB" w:rsidRPr="00F81AA7">
        <w:rPr>
          <w:rFonts w:ascii="Arial" w:hAnsi="Arial" w:cs="Arial"/>
          <w:i w:val="0"/>
          <w:color w:val="auto"/>
        </w:rPr>
        <w:t xml:space="preserve">:  </w:t>
      </w:r>
    </w:p>
    <w:p w:rsidR="00FF3125" w:rsidRPr="00F81AA7" w:rsidRDefault="006415BB" w:rsidP="00F81AA7">
      <w:pPr>
        <w:spacing w:after="120" w:line="240" w:lineRule="auto"/>
        <w:jc w:val="both"/>
        <w:outlineLvl w:val="1"/>
        <w:rPr>
          <w:rFonts w:ascii="Arial" w:hAnsi="Arial" w:cs="Arial"/>
          <w:i/>
          <w:color w:val="303030"/>
          <w:szCs w:val="24"/>
        </w:rPr>
      </w:pPr>
      <w:r w:rsidRPr="00F81AA7">
        <w:rPr>
          <w:rFonts w:ascii="Arial" w:hAnsi="Arial" w:cs="Arial"/>
          <w:i/>
          <w:color w:val="303030"/>
          <w:szCs w:val="24"/>
        </w:rPr>
        <w:t xml:space="preserve">The access and administration of drugs subsidised under the LSDP is managed by the Commonwealth Government but point of patient care is usually in public hospitals in the states and territories. </w:t>
      </w:r>
    </w:p>
    <w:p w:rsidR="006415BB" w:rsidRPr="00F81AA7" w:rsidRDefault="00FF3125" w:rsidP="00F81AA7">
      <w:pPr>
        <w:spacing w:after="120" w:line="240" w:lineRule="auto"/>
        <w:jc w:val="both"/>
        <w:outlineLvl w:val="1"/>
        <w:rPr>
          <w:rFonts w:ascii="Arial" w:hAnsi="Arial" w:cs="Arial"/>
          <w:i/>
          <w:color w:val="303030"/>
          <w:szCs w:val="24"/>
        </w:rPr>
      </w:pPr>
      <w:r w:rsidRPr="00F81AA7">
        <w:rPr>
          <w:rFonts w:ascii="Arial" w:hAnsi="Arial" w:cs="Arial"/>
          <w:i/>
          <w:color w:val="303030"/>
          <w:szCs w:val="24"/>
        </w:rPr>
        <w:t>Access to drugs for patients should be efficient and support good health care.</w:t>
      </w:r>
    </w:p>
    <w:p w:rsidR="00B73BDA" w:rsidRPr="00B73BDA" w:rsidRDefault="00B73BDA" w:rsidP="008A4CEA">
      <w:pPr>
        <w:pStyle w:val="ListParagraph"/>
        <w:spacing w:after="120" w:line="240" w:lineRule="auto"/>
        <w:jc w:val="both"/>
        <w:outlineLvl w:val="1"/>
        <w:rPr>
          <w:rFonts w:ascii="Arial" w:hAnsi="Arial" w:cs="Arial"/>
          <w:color w:val="1A1A1A"/>
        </w:rPr>
      </w:pPr>
    </w:p>
    <w:p w:rsidR="00B73BDA" w:rsidRDefault="006415BB" w:rsidP="008A4CEA">
      <w:pPr>
        <w:pStyle w:val="ListParagraph"/>
        <w:numPr>
          <w:ilvl w:val="0"/>
          <w:numId w:val="24"/>
        </w:numPr>
        <w:spacing w:after="120" w:line="240" w:lineRule="auto"/>
        <w:jc w:val="both"/>
        <w:outlineLvl w:val="1"/>
        <w:rPr>
          <w:rFonts w:ascii="Arial" w:hAnsi="Arial" w:cs="Arial"/>
          <w:color w:val="1A1A1A"/>
        </w:rPr>
      </w:pPr>
      <w:r w:rsidRPr="00B73BDA">
        <w:rPr>
          <w:rFonts w:ascii="Arial" w:hAnsi="Arial" w:cs="Arial"/>
          <w:color w:val="1A1A1A"/>
        </w:rPr>
        <w:t xml:space="preserve">Would </w:t>
      </w:r>
      <w:r w:rsidR="00FF3125">
        <w:rPr>
          <w:rFonts w:ascii="Arial" w:hAnsi="Arial" w:cs="Arial"/>
          <w:color w:val="1A1A1A"/>
        </w:rPr>
        <w:t>establishing a small number of S</w:t>
      </w:r>
      <w:r w:rsidRPr="00B73BDA">
        <w:rPr>
          <w:rFonts w:ascii="Arial" w:hAnsi="Arial" w:cs="Arial"/>
          <w:color w:val="1A1A1A"/>
        </w:rPr>
        <w:t xml:space="preserve">tate based Centres of for Rare Disease </w:t>
      </w:r>
      <w:r w:rsidR="00C31C88" w:rsidRPr="00C31C88">
        <w:rPr>
          <w:rFonts w:ascii="Arial" w:hAnsi="Arial" w:cs="Arial"/>
        </w:rPr>
        <w:t>Expertise be</w:t>
      </w:r>
      <w:r w:rsidRPr="00C31C88">
        <w:rPr>
          <w:rFonts w:ascii="Arial" w:hAnsi="Arial" w:cs="Arial"/>
        </w:rPr>
        <w:t xml:space="preserve"> </w:t>
      </w:r>
      <w:r w:rsidRPr="00B73BDA">
        <w:rPr>
          <w:rFonts w:ascii="Arial" w:hAnsi="Arial" w:cs="Arial"/>
          <w:color w:val="1A1A1A"/>
        </w:rPr>
        <w:t>more effective in</w:t>
      </w:r>
      <w:r w:rsidR="00FF3125">
        <w:rPr>
          <w:rFonts w:ascii="Arial" w:hAnsi="Arial" w:cs="Arial"/>
          <w:color w:val="1A1A1A"/>
        </w:rPr>
        <w:t xml:space="preserve"> delivering the best overall care? What are the benefits for patients, their carers’ and clinical services? </w:t>
      </w:r>
    </w:p>
    <w:p w:rsidR="00FF3125" w:rsidRDefault="00FF3125" w:rsidP="008A4CEA">
      <w:pPr>
        <w:pStyle w:val="ListParagraph"/>
        <w:spacing w:after="120" w:line="240" w:lineRule="auto"/>
        <w:jc w:val="both"/>
        <w:outlineLvl w:val="1"/>
        <w:rPr>
          <w:rFonts w:ascii="Arial" w:hAnsi="Arial" w:cs="Arial"/>
          <w:color w:val="1A1A1A"/>
        </w:rPr>
      </w:pPr>
    </w:p>
    <w:p w:rsidR="006415BB" w:rsidRDefault="006415BB" w:rsidP="008A4CEA">
      <w:pPr>
        <w:pStyle w:val="ListParagraph"/>
        <w:numPr>
          <w:ilvl w:val="0"/>
          <w:numId w:val="24"/>
        </w:numPr>
        <w:spacing w:after="120" w:line="240" w:lineRule="auto"/>
        <w:jc w:val="both"/>
        <w:outlineLvl w:val="1"/>
        <w:rPr>
          <w:rFonts w:ascii="Arial" w:hAnsi="Arial" w:cs="Arial"/>
          <w:color w:val="1A1A1A"/>
        </w:rPr>
      </w:pPr>
      <w:r w:rsidRPr="00B73BDA">
        <w:rPr>
          <w:rFonts w:ascii="Arial" w:hAnsi="Arial" w:cs="Arial"/>
          <w:color w:val="1A1A1A"/>
        </w:rPr>
        <w:t>Would patients</w:t>
      </w:r>
      <w:r w:rsidR="00FF3125">
        <w:rPr>
          <w:rFonts w:ascii="Arial" w:hAnsi="Arial" w:cs="Arial"/>
          <w:color w:val="1A1A1A"/>
        </w:rPr>
        <w:t xml:space="preserve"> and their carers</w:t>
      </w:r>
      <w:r w:rsidRPr="00B73BDA">
        <w:rPr>
          <w:rFonts w:ascii="Arial" w:hAnsi="Arial" w:cs="Arial"/>
          <w:color w:val="1A1A1A"/>
        </w:rPr>
        <w:t xml:space="preserve"> be disadvantaged</w:t>
      </w:r>
      <w:r w:rsidR="00FF3125">
        <w:rPr>
          <w:rFonts w:ascii="Arial" w:hAnsi="Arial" w:cs="Arial"/>
          <w:color w:val="1A1A1A"/>
        </w:rPr>
        <w:t xml:space="preserve"> by this arrangement? How could</w:t>
      </w:r>
      <w:r w:rsidRPr="00B73BDA">
        <w:rPr>
          <w:rFonts w:ascii="Arial" w:hAnsi="Arial" w:cs="Arial"/>
          <w:color w:val="1A1A1A"/>
        </w:rPr>
        <w:t xml:space="preserve"> this be overcome? </w:t>
      </w:r>
    </w:p>
    <w:p w:rsidR="00B73BDA" w:rsidRDefault="00B73BDA" w:rsidP="008A4CEA">
      <w:pPr>
        <w:pStyle w:val="ListParagraph"/>
        <w:spacing w:after="120" w:line="240" w:lineRule="auto"/>
        <w:jc w:val="both"/>
        <w:outlineLvl w:val="1"/>
        <w:rPr>
          <w:rFonts w:ascii="Arial" w:hAnsi="Arial" w:cs="Arial"/>
          <w:color w:val="1A1A1A"/>
        </w:rPr>
      </w:pPr>
    </w:p>
    <w:p w:rsidR="00B73BDA" w:rsidRDefault="00B73BDA" w:rsidP="008A4CEA">
      <w:pPr>
        <w:pStyle w:val="ListParagraph"/>
        <w:numPr>
          <w:ilvl w:val="0"/>
          <w:numId w:val="24"/>
        </w:numPr>
        <w:spacing w:after="120" w:line="240" w:lineRule="auto"/>
        <w:jc w:val="both"/>
        <w:outlineLvl w:val="1"/>
        <w:rPr>
          <w:rFonts w:ascii="Arial" w:hAnsi="Arial" w:cs="Arial"/>
          <w:color w:val="1A1A1A"/>
        </w:rPr>
      </w:pPr>
      <w:r w:rsidRPr="00B73BDA">
        <w:rPr>
          <w:rFonts w:ascii="Arial" w:hAnsi="Arial" w:cs="Arial"/>
          <w:color w:val="1A1A1A"/>
        </w:rPr>
        <w:t xml:space="preserve">Is there a better way to improve clinical management of these patients, other than these state based centres? </w:t>
      </w:r>
    </w:p>
    <w:p w:rsidR="00B73BDA" w:rsidRPr="00B73BDA" w:rsidRDefault="00B73BDA" w:rsidP="008A4CEA">
      <w:pPr>
        <w:widowControl w:val="0"/>
        <w:tabs>
          <w:tab w:val="left" w:pos="220"/>
          <w:tab w:val="left" w:pos="720"/>
        </w:tabs>
        <w:autoSpaceDE w:val="0"/>
        <w:autoSpaceDN w:val="0"/>
        <w:adjustRightInd w:val="0"/>
        <w:spacing w:after="0" w:line="360" w:lineRule="auto"/>
        <w:jc w:val="both"/>
        <w:rPr>
          <w:rFonts w:ascii="Arial" w:hAnsi="Arial" w:cs="Arial"/>
        </w:rPr>
      </w:pPr>
    </w:p>
    <w:p w:rsidR="00B73BDA" w:rsidRPr="00F81AA7" w:rsidRDefault="00B73BDA" w:rsidP="00F81AA7">
      <w:pPr>
        <w:pStyle w:val="Heading4"/>
        <w:spacing w:line="360" w:lineRule="auto"/>
        <w:rPr>
          <w:rFonts w:ascii="Arial" w:hAnsi="Arial" w:cs="Arial"/>
          <w:i w:val="0"/>
          <w:color w:val="auto"/>
        </w:rPr>
      </w:pPr>
      <w:r w:rsidRPr="00F81AA7">
        <w:rPr>
          <w:rFonts w:ascii="Arial" w:hAnsi="Arial" w:cs="Arial"/>
          <w:i w:val="0"/>
          <w:color w:val="auto"/>
        </w:rPr>
        <w:lastRenderedPageBreak/>
        <w:t>Issue 9:</w:t>
      </w:r>
      <w:r w:rsidR="006415BB" w:rsidRPr="00F81AA7">
        <w:rPr>
          <w:rFonts w:ascii="Arial" w:hAnsi="Arial" w:cs="Arial"/>
          <w:i w:val="0"/>
          <w:color w:val="auto"/>
        </w:rPr>
        <w:t xml:space="preserve"> </w:t>
      </w:r>
    </w:p>
    <w:p w:rsidR="006415BB" w:rsidRPr="00B73BDA" w:rsidRDefault="006415BB" w:rsidP="00F81AA7">
      <w:pPr>
        <w:spacing w:after="120" w:line="240" w:lineRule="auto"/>
        <w:jc w:val="both"/>
        <w:outlineLvl w:val="1"/>
        <w:rPr>
          <w:rFonts w:ascii="Arial" w:hAnsi="Arial" w:cs="Arial"/>
          <w:i/>
          <w:color w:val="303030"/>
          <w:szCs w:val="24"/>
        </w:rPr>
      </w:pPr>
      <w:r w:rsidRPr="00B73BDA">
        <w:rPr>
          <w:rFonts w:ascii="Arial" w:hAnsi="Arial" w:cs="Arial"/>
          <w:i/>
          <w:color w:val="303030"/>
          <w:szCs w:val="24"/>
        </w:rPr>
        <w:t xml:space="preserve">The PBS is a well-established framework that delivers appropriate drug subsidies to Australians. It has been in operation for over 60 years and has evolved from supplying drugs in the British Pharmacopeia to pensioners in 1948 to subsidising over 5100 drugs in 2014. </w:t>
      </w:r>
    </w:p>
    <w:p w:rsidR="006415BB" w:rsidRPr="00B73BDA" w:rsidRDefault="006415BB" w:rsidP="008A4CEA">
      <w:pPr>
        <w:spacing w:after="120" w:line="240" w:lineRule="auto"/>
        <w:jc w:val="both"/>
        <w:outlineLvl w:val="1"/>
        <w:rPr>
          <w:rFonts w:ascii="Arial" w:hAnsi="Arial" w:cs="Arial"/>
          <w:i/>
          <w:color w:val="303030"/>
          <w:szCs w:val="24"/>
        </w:rPr>
      </w:pPr>
      <w:r w:rsidRPr="00B73BDA">
        <w:rPr>
          <w:rFonts w:ascii="Arial" w:hAnsi="Arial" w:cs="Arial"/>
          <w:i/>
          <w:color w:val="303030"/>
          <w:szCs w:val="24"/>
        </w:rPr>
        <w:t xml:space="preserve">Under PBS the Commonwealth subsidises many high cost drugs which can only be supplied from hospitals to outpatients. These arrangements are known as Highly Specialised Drugs Programme or Section 100 drugs, after the relevant part of the National Health Act 1953. Section 100 allows alternative arrangements to be established where these are considered more appropriate. Other current Section 100 programmes include Efficient Funding of Chemotherapy and the Growth Hormone Programme. </w:t>
      </w:r>
    </w:p>
    <w:p w:rsidR="006415BB" w:rsidRDefault="00FF3125" w:rsidP="008A4CEA">
      <w:pPr>
        <w:spacing w:after="120" w:line="240" w:lineRule="auto"/>
        <w:jc w:val="both"/>
        <w:outlineLvl w:val="1"/>
        <w:rPr>
          <w:rFonts w:ascii="Arial" w:hAnsi="Arial" w:cs="Arial"/>
          <w:i/>
          <w:color w:val="303030"/>
          <w:szCs w:val="24"/>
        </w:rPr>
      </w:pPr>
      <w:bookmarkStart w:id="1" w:name="_Toc412728853"/>
      <w:r>
        <w:rPr>
          <w:rFonts w:ascii="Arial" w:hAnsi="Arial" w:cs="Arial"/>
          <w:i/>
          <w:color w:val="303030"/>
          <w:szCs w:val="24"/>
        </w:rPr>
        <w:t>One proposal</w:t>
      </w:r>
      <w:r w:rsidR="006415BB" w:rsidRPr="00B73BDA">
        <w:rPr>
          <w:rFonts w:ascii="Arial" w:hAnsi="Arial" w:cs="Arial"/>
          <w:i/>
          <w:color w:val="303030"/>
          <w:szCs w:val="24"/>
        </w:rPr>
        <w:t xml:space="preserve"> </w:t>
      </w:r>
      <w:r>
        <w:rPr>
          <w:rFonts w:ascii="Arial" w:hAnsi="Arial" w:cs="Arial"/>
          <w:i/>
          <w:color w:val="303030"/>
          <w:szCs w:val="24"/>
        </w:rPr>
        <w:t xml:space="preserve">under consideration is </w:t>
      </w:r>
      <w:r w:rsidR="006415BB" w:rsidRPr="00B73BDA">
        <w:rPr>
          <w:rFonts w:ascii="Arial" w:hAnsi="Arial" w:cs="Arial"/>
          <w:i/>
          <w:color w:val="303030"/>
          <w:szCs w:val="24"/>
        </w:rPr>
        <w:t>that instead of having a separate programm</w:t>
      </w:r>
      <w:r w:rsidR="00014387">
        <w:rPr>
          <w:rFonts w:ascii="Arial" w:hAnsi="Arial" w:cs="Arial"/>
          <w:i/>
          <w:color w:val="303030"/>
          <w:szCs w:val="24"/>
        </w:rPr>
        <w:t>e for rare diseases, a special S</w:t>
      </w:r>
      <w:r w:rsidR="006415BB" w:rsidRPr="00B73BDA">
        <w:rPr>
          <w:rFonts w:ascii="Arial" w:hAnsi="Arial" w:cs="Arial"/>
          <w:i/>
          <w:color w:val="303030"/>
          <w:szCs w:val="24"/>
        </w:rPr>
        <w:t>ection 100 arrangement could be establish that takes into account the rarity of the patients’ condition. A set of criteria would need to be established for each rare disease and the administrati</w:t>
      </w:r>
      <w:r w:rsidR="00E040C9">
        <w:rPr>
          <w:rFonts w:ascii="Arial" w:hAnsi="Arial" w:cs="Arial"/>
          <w:i/>
          <w:color w:val="303030"/>
          <w:szCs w:val="24"/>
        </w:rPr>
        <w:t>on of</w:t>
      </w:r>
      <w:r w:rsidR="006415BB" w:rsidRPr="00B73BDA">
        <w:rPr>
          <w:rFonts w:ascii="Arial" w:hAnsi="Arial" w:cs="Arial"/>
          <w:i/>
          <w:color w:val="303030"/>
          <w:szCs w:val="24"/>
        </w:rPr>
        <w:t xml:space="preserve"> the programme will be modelled on existing programmes like the Growth Hormone programme.</w:t>
      </w:r>
      <w:bookmarkEnd w:id="1"/>
    </w:p>
    <w:p w:rsidR="00A5310B" w:rsidRPr="00B73BDA" w:rsidRDefault="00A5310B" w:rsidP="008A4CEA">
      <w:pPr>
        <w:spacing w:after="120" w:line="240" w:lineRule="auto"/>
        <w:jc w:val="both"/>
        <w:outlineLvl w:val="1"/>
        <w:rPr>
          <w:rFonts w:ascii="Arial" w:hAnsi="Arial" w:cs="Arial"/>
          <w:i/>
          <w:color w:val="303030"/>
          <w:szCs w:val="24"/>
        </w:rPr>
      </w:pPr>
    </w:p>
    <w:p w:rsidR="006415BB" w:rsidRDefault="006415BB" w:rsidP="008A4CEA">
      <w:pPr>
        <w:pStyle w:val="ListParagraph"/>
        <w:numPr>
          <w:ilvl w:val="0"/>
          <w:numId w:val="24"/>
        </w:numPr>
        <w:spacing w:after="120" w:line="240" w:lineRule="auto"/>
        <w:jc w:val="both"/>
        <w:outlineLvl w:val="1"/>
        <w:rPr>
          <w:rFonts w:ascii="Arial" w:hAnsi="Arial" w:cs="Arial"/>
          <w:color w:val="1A1A1A"/>
        </w:rPr>
      </w:pPr>
      <w:bookmarkStart w:id="2" w:name="_Toc412728854"/>
      <w:r w:rsidRPr="00B73BDA">
        <w:rPr>
          <w:rFonts w:ascii="Arial" w:hAnsi="Arial" w:cs="Arial"/>
          <w:color w:val="1A1A1A"/>
        </w:rPr>
        <w:t>What are the advantages of establishing a Section 100 special arrangement for rare conditions as o</w:t>
      </w:r>
      <w:r w:rsidR="00B73BDA">
        <w:rPr>
          <w:rFonts w:ascii="Arial" w:hAnsi="Arial" w:cs="Arial"/>
          <w:color w:val="1A1A1A"/>
        </w:rPr>
        <w:t>ppose to having a separate LSDP</w:t>
      </w:r>
      <w:r w:rsidRPr="00B73BDA">
        <w:rPr>
          <w:rFonts w:ascii="Arial" w:hAnsi="Arial" w:cs="Arial"/>
          <w:color w:val="1A1A1A"/>
        </w:rPr>
        <w:t>? What are the disadvantages?</w:t>
      </w:r>
      <w:bookmarkEnd w:id="2"/>
    </w:p>
    <w:p w:rsidR="00B73BDA" w:rsidRPr="00B73BDA" w:rsidRDefault="00B73BDA" w:rsidP="008A4CEA">
      <w:pPr>
        <w:pStyle w:val="ListParagraph"/>
        <w:spacing w:after="120" w:line="240" w:lineRule="auto"/>
        <w:jc w:val="both"/>
        <w:outlineLvl w:val="1"/>
        <w:rPr>
          <w:rFonts w:ascii="Arial" w:hAnsi="Arial" w:cs="Arial"/>
          <w:color w:val="1A1A1A"/>
        </w:rPr>
      </w:pPr>
    </w:p>
    <w:p w:rsidR="006415BB" w:rsidRPr="00525940" w:rsidRDefault="006415BB" w:rsidP="008A4CEA">
      <w:pPr>
        <w:pStyle w:val="ListParagraph"/>
        <w:numPr>
          <w:ilvl w:val="0"/>
          <w:numId w:val="24"/>
        </w:numPr>
        <w:spacing w:after="120" w:line="240" w:lineRule="auto"/>
        <w:jc w:val="both"/>
        <w:outlineLvl w:val="1"/>
        <w:rPr>
          <w:rFonts w:cs="Times New Roman"/>
          <w:color w:val="303030"/>
          <w:szCs w:val="24"/>
        </w:rPr>
      </w:pPr>
      <w:r w:rsidRPr="00B73BDA">
        <w:rPr>
          <w:rFonts w:ascii="Arial" w:hAnsi="Arial" w:cs="Arial"/>
          <w:color w:val="1A1A1A"/>
        </w:rPr>
        <w:t>Are there other approaches</w:t>
      </w:r>
      <w:r w:rsidR="00FF3125">
        <w:rPr>
          <w:rFonts w:ascii="Arial" w:hAnsi="Arial" w:cs="Arial"/>
          <w:color w:val="1A1A1A"/>
        </w:rPr>
        <w:t xml:space="preserve"> to access and drug delivery than via a special PBS programme</w:t>
      </w:r>
      <w:r w:rsidRPr="00B73BDA">
        <w:rPr>
          <w:rFonts w:ascii="Arial" w:hAnsi="Arial" w:cs="Arial"/>
          <w:color w:val="1A1A1A"/>
        </w:rPr>
        <w:t xml:space="preserve"> that should be considered</w:t>
      </w:r>
      <w:r w:rsidR="00E040C9">
        <w:rPr>
          <w:rFonts w:cs="Times New Roman"/>
          <w:color w:val="303030"/>
          <w:szCs w:val="24"/>
        </w:rPr>
        <w:t>?</w:t>
      </w:r>
    </w:p>
    <w:p w:rsidR="00FF3125" w:rsidRPr="00C56971" w:rsidRDefault="00FF3125" w:rsidP="00C56971">
      <w:pPr>
        <w:jc w:val="both"/>
        <w:rPr>
          <w:rFonts w:ascii="Arial" w:hAnsi="Arial" w:cs="Arial"/>
          <w:color w:val="1A1A1A"/>
        </w:rPr>
      </w:pPr>
    </w:p>
    <w:p w:rsidR="0096074C" w:rsidRPr="00F81AA7" w:rsidRDefault="00B73BDA" w:rsidP="00F81AA7">
      <w:pPr>
        <w:pStyle w:val="Heading4"/>
        <w:spacing w:line="360" w:lineRule="auto"/>
        <w:rPr>
          <w:rFonts w:ascii="Arial" w:hAnsi="Arial" w:cs="Arial"/>
          <w:i w:val="0"/>
          <w:color w:val="auto"/>
        </w:rPr>
      </w:pPr>
      <w:r w:rsidRPr="00F81AA7">
        <w:rPr>
          <w:rFonts w:ascii="Arial" w:hAnsi="Arial" w:cs="Arial"/>
          <w:i w:val="0"/>
          <w:color w:val="auto"/>
        </w:rPr>
        <w:t xml:space="preserve">ToR </w:t>
      </w:r>
      <w:r w:rsidR="0096074C" w:rsidRPr="00F81AA7">
        <w:rPr>
          <w:rFonts w:ascii="Arial" w:hAnsi="Arial" w:cs="Arial"/>
          <w:i w:val="0"/>
          <w:color w:val="auto"/>
        </w:rPr>
        <w:t>7.  Establish a framework for data collection on rare diseases in Australia and assess how this could function internationally.</w:t>
      </w:r>
    </w:p>
    <w:p w:rsidR="0096074C" w:rsidRPr="00F90474" w:rsidRDefault="0096074C" w:rsidP="00F81AA7">
      <w:pPr>
        <w:pStyle w:val="ListParagraph"/>
        <w:numPr>
          <w:ilvl w:val="1"/>
          <w:numId w:val="15"/>
        </w:numPr>
        <w:spacing w:after="0" w:line="360" w:lineRule="auto"/>
        <w:jc w:val="both"/>
        <w:rPr>
          <w:rFonts w:ascii="Arial" w:hAnsi="Arial" w:cs="Arial"/>
          <w:color w:val="1A1A1A"/>
        </w:rPr>
      </w:pPr>
      <w:r w:rsidRPr="00F90474">
        <w:rPr>
          <w:rFonts w:ascii="Arial" w:hAnsi="Arial" w:cs="Arial"/>
          <w:color w:val="1A1A1A"/>
        </w:rPr>
        <w:t>As indicated under several of the ToR</w:t>
      </w:r>
      <w:r w:rsidR="00BC7AAD">
        <w:rPr>
          <w:rFonts w:ascii="Arial" w:hAnsi="Arial" w:cs="Arial"/>
          <w:color w:val="1A1A1A"/>
        </w:rPr>
        <w:t>,</w:t>
      </w:r>
      <w:r w:rsidRPr="00F90474">
        <w:rPr>
          <w:rFonts w:ascii="Arial" w:hAnsi="Arial" w:cs="Arial"/>
          <w:color w:val="1A1A1A"/>
        </w:rPr>
        <w:t xml:space="preserve"> there is a need for better data on clinical management and clinical outcomes of people treated under the LSDP. There is likely to be longer-term public benefits in a more systematic collection of data. </w:t>
      </w:r>
    </w:p>
    <w:p w:rsidR="0096074C" w:rsidRDefault="0096074C" w:rsidP="008A4CEA">
      <w:pPr>
        <w:pStyle w:val="ListParagraph"/>
        <w:numPr>
          <w:ilvl w:val="1"/>
          <w:numId w:val="15"/>
        </w:numPr>
        <w:spacing w:after="0" w:line="360" w:lineRule="auto"/>
        <w:jc w:val="both"/>
        <w:rPr>
          <w:rFonts w:ascii="Arial" w:hAnsi="Arial" w:cs="Arial"/>
          <w:color w:val="1A1A1A"/>
        </w:rPr>
      </w:pPr>
      <w:r w:rsidRPr="00F90474">
        <w:rPr>
          <w:rFonts w:ascii="Arial" w:hAnsi="Arial" w:cs="Arial"/>
          <w:color w:val="1A1A1A"/>
        </w:rPr>
        <w:t>However, as well described in the Evaluation Group report</w:t>
      </w:r>
      <w:r w:rsidR="00D9130E">
        <w:rPr>
          <w:rFonts w:ascii="Arial" w:hAnsi="Arial" w:cs="Arial"/>
          <w:color w:val="1A1A1A"/>
        </w:rPr>
        <w:t xml:space="preserve"> (Chapter </w:t>
      </w:r>
      <w:r w:rsidR="003E0206">
        <w:rPr>
          <w:rFonts w:ascii="Arial" w:hAnsi="Arial" w:cs="Arial"/>
          <w:color w:val="1A1A1A"/>
        </w:rPr>
        <w:t>8</w:t>
      </w:r>
      <w:r w:rsidR="00D9130E">
        <w:rPr>
          <w:rFonts w:ascii="Arial" w:hAnsi="Arial" w:cs="Arial"/>
          <w:color w:val="1A1A1A"/>
        </w:rPr>
        <w:t>)</w:t>
      </w:r>
      <w:r w:rsidRPr="00F90474">
        <w:rPr>
          <w:rFonts w:ascii="Arial" w:hAnsi="Arial" w:cs="Arial"/>
          <w:color w:val="1A1A1A"/>
        </w:rPr>
        <w:t xml:space="preserve">, there are a number of challenges to doing this effectively as well as the cost. </w:t>
      </w:r>
    </w:p>
    <w:p w:rsidR="0096074C" w:rsidRPr="00195021" w:rsidRDefault="001113B1" w:rsidP="00195021">
      <w:pPr>
        <w:pStyle w:val="ListParagraph"/>
        <w:numPr>
          <w:ilvl w:val="1"/>
          <w:numId w:val="15"/>
        </w:numPr>
        <w:spacing w:after="0" w:line="360" w:lineRule="auto"/>
        <w:jc w:val="both"/>
        <w:rPr>
          <w:rFonts w:ascii="Arial" w:hAnsi="Arial" w:cs="Arial"/>
          <w:color w:val="1A1A1A"/>
        </w:rPr>
      </w:pPr>
      <w:r>
        <w:rPr>
          <w:rFonts w:ascii="Arial" w:hAnsi="Arial" w:cs="Arial"/>
          <w:color w:val="1A1A1A"/>
        </w:rPr>
        <w:t>The Reference Group considered that w</w:t>
      </w:r>
      <w:r w:rsidR="0096074C" w:rsidRPr="00F90474">
        <w:rPr>
          <w:rFonts w:ascii="Arial" w:hAnsi="Arial" w:cs="Arial"/>
          <w:color w:val="1A1A1A"/>
        </w:rPr>
        <w:t xml:space="preserve">hile the increased interest </w:t>
      </w:r>
      <w:r>
        <w:rPr>
          <w:rFonts w:ascii="Arial" w:hAnsi="Arial" w:cs="Arial"/>
          <w:color w:val="1A1A1A"/>
        </w:rPr>
        <w:t xml:space="preserve">of different companies </w:t>
      </w:r>
      <w:r w:rsidR="0096074C" w:rsidRPr="00F90474">
        <w:rPr>
          <w:rFonts w:ascii="Arial" w:hAnsi="Arial" w:cs="Arial"/>
          <w:color w:val="1A1A1A"/>
        </w:rPr>
        <w:t xml:space="preserve">in the field </w:t>
      </w:r>
      <w:r>
        <w:rPr>
          <w:rFonts w:ascii="Arial" w:hAnsi="Arial" w:cs="Arial"/>
          <w:color w:val="1A1A1A"/>
        </w:rPr>
        <w:t xml:space="preserve">of establishing registries and collecting data </w:t>
      </w:r>
      <w:r w:rsidR="0096074C" w:rsidRPr="00F90474">
        <w:rPr>
          <w:rFonts w:ascii="Arial" w:hAnsi="Arial" w:cs="Arial"/>
          <w:color w:val="1A1A1A"/>
        </w:rPr>
        <w:t xml:space="preserve">is laudable, disease registries based </w:t>
      </w:r>
      <w:r>
        <w:rPr>
          <w:rFonts w:ascii="Arial" w:hAnsi="Arial" w:cs="Arial"/>
          <w:color w:val="1A1A1A"/>
        </w:rPr>
        <w:t>within</w:t>
      </w:r>
      <w:r w:rsidR="0096074C" w:rsidRPr="00F90474">
        <w:rPr>
          <w:rFonts w:ascii="Arial" w:hAnsi="Arial" w:cs="Arial"/>
          <w:color w:val="1A1A1A"/>
        </w:rPr>
        <w:t xml:space="preserve"> individual companies will not produce the types of </w:t>
      </w:r>
      <w:r w:rsidR="0096074C">
        <w:rPr>
          <w:rFonts w:ascii="Arial" w:hAnsi="Arial" w:cs="Arial"/>
          <w:color w:val="1A1A1A"/>
        </w:rPr>
        <w:t>comprehensive data required to assess the long term value for money of these medicines</w:t>
      </w:r>
      <w:r w:rsidR="0096074C" w:rsidRPr="00F90474">
        <w:rPr>
          <w:rFonts w:ascii="Arial" w:hAnsi="Arial" w:cs="Arial"/>
          <w:color w:val="1A1A1A"/>
        </w:rPr>
        <w:t xml:space="preserve">. </w:t>
      </w:r>
    </w:p>
    <w:p w:rsidR="00B73BDA" w:rsidRPr="00F81AA7" w:rsidRDefault="00B73BDA" w:rsidP="00F81AA7">
      <w:pPr>
        <w:pStyle w:val="Heading4"/>
        <w:spacing w:line="360" w:lineRule="auto"/>
        <w:rPr>
          <w:rFonts w:ascii="Arial" w:hAnsi="Arial" w:cs="Arial"/>
          <w:i w:val="0"/>
          <w:color w:val="auto"/>
        </w:rPr>
      </w:pPr>
      <w:r w:rsidRPr="00F81AA7">
        <w:rPr>
          <w:rFonts w:ascii="Arial" w:hAnsi="Arial" w:cs="Arial"/>
          <w:i w:val="0"/>
          <w:color w:val="auto"/>
        </w:rPr>
        <w:lastRenderedPageBreak/>
        <w:t xml:space="preserve">Issue 10: </w:t>
      </w:r>
    </w:p>
    <w:p w:rsidR="00FF3125" w:rsidRDefault="00B73BDA" w:rsidP="00F81AA7">
      <w:pPr>
        <w:spacing w:after="120" w:line="240" w:lineRule="auto"/>
        <w:jc w:val="both"/>
        <w:outlineLvl w:val="1"/>
        <w:rPr>
          <w:rFonts w:ascii="Arial" w:hAnsi="Arial" w:cs="Arial"/>
          <w:i/>
          <w:color w:val="303030"/>
          <w:szCs w:val="24"/>
        </w:rPr>
      </w:pPr>
      <w:r w:rsidRPr="00B73BDA">
        <w:rPr>
          <w:rFonts w:ascii="Arial" w:hAnsi="Arial" w:cs="Arial"/>
          <w:i/>
          <w:color w:val="303030"/>
          <w:szCs w:val="24"/>
        </w:rPr>
        <w:t>There is universal acknowledgement of the need for systematic collection of data and better data management</w:t>
      </w:r>
      <w:r w:rsidR="00FF3125">
        <w:rPr>
          <w:rFonts w:ascii="Arial" w:hAnsi="Arial" w:cs="Arial"/>
          <w:i/>
          <w:color w:val="303030"/>
          <w:szCs w:val="24"/>
        </w:rPr>
        <w:t xml:space="preserve"> in order to inform questions such as efficiency and ongoing benefit of subsidisation to patients and the Government</w:t>
      </w:r>
      <w:r w:rsidRPr="00B73BDA">
        <w:rPr>
          <w:rFonts w:ascii="Arial" w:hAnsi="Arial" w:cs="Arial"/>
          <w:i/>
          <w:color w:val="303030"/>
          <w:szCs w:val="24"/>
        </w:rPr>
        <w:t xml:space="preserve">. Many companies host their own patient registries. Additionally there are initiatives at the international level for rare disease data collection but these do not produce suitable information required to evaluate the drugs for the purposes of subsidy. </w:t>
      </w:r>
    </w:p>
    <w:p w:rsidR="00B73BDA" w:rsidRPr="00B73BDA" w:rsidRDefault="00B73BDA" w:rsidP="008A4CEA">
      <w:pPr>
        <w:spacing w:after="120" w:line="240" w:lineRule="auto"/>
        <w:jc w:val="both"/>
        <w:outlineLvl w:val="1"/>
        <w:rPr>
          <w:rFonts w:ascii="Arial" w:hAnsi="Arial" w:cs="Arial"/>
          <w:i/>
          <w:color w:val="303030"/>
          <w:szCs w:val="24"/>
        </w:rPr>
      </w:pPr>
      <w:r w:rsidRPr="00B73BDA">
        <w:rPr>
          <w:rFonts w:ascii="Arial" w:hAnsi="Arial" w:cs="Arial"/>
          <w:i/>
          <w:color w:val="303030"/>
          <w:szCs w:val="24"/>
        </w:rPr>
        <w:t xml:space="preserve">Establishing or adapting a data registry and maintaining the registry is expensive and consideration should be given to improving the data collected and ensuring that the data collected is </w:t>
      </w:r>
      <w:r w:rsidR="007F7843">
        <w:rPr>
          <w:rFonts w:ascii="Arial" w:hAnsi="Arial" w:cs="Arial"/>
          <w:i/>
          <w:color w:val="303030"/>
          <w:szCs w:val="24"/>
        </w:rPr>
        <w:t>‘</w:t>
      </w:r>
      <w:r w:rsidRPr="00B73BDA">
        <w:rPr>
          <w:rFonts w:ascii="Arial" w:hAnsi="Arial" w:cs="Arial"/>
          <w:i/>
          <w:color w:val="303030"/>
          <w:szCs w:val="24"/>
        </w:rPr>
        <w:t>fit for purpose</w:t>
      </w:r>
      <w:r w:rsidR="007F7843">
        <w:rPr>
          <w:rFonts w:ascii="Arial" w:hAnsi="Arial" w:cs="Arial"/>
          <w:i/>
          <w:color w:val="303030"/>
          <w:szCs w:val="24"/>
        </w:rPr>
        <w:t>’</w:t>
      </w:r>
      <w:r w:rsidRPr="00B73BDA">
        <w:rPr>
          <w:rFonts w:ascii="Arial" w:hAnsi="Arial" w:cs="Arial"/>
          <w:i/>
          <w:color w:val="303030"/>
          <w:szCs w:val="24"/>
        </w:rPr>
        <w:t>.</w:t>
      </w:r>
    </w:p>
    <w:p w:rsidR="00B73BDA" w:rsidRDefault="00B73BDA" w:rsidP="008A6F20">
      <w:pPr>
        <w:pStyle w:val="ListParagraph"/>
        <w:numPr>
          <w:ilvl w:val="0"/>
          <w:numId w:val="24"/>
        </w:numPr>
        <w:spacing w:after="120" w:line="240" w:lineRule="auto"/>
        <w:jc w:val="both"/>
        <w:outlineLvl w:val="1"/>
        <w:rPr>
          <w:rFonts w:ascii="Arial" w:hAnsi="Arial" w:cs="Arial"/>
          <w:color w:val="1A1A1A"/>
        </w:rPr>
      </w:pPr>
      <w:r w:rsidRPr="00B73BDA">
        <w:rPr>
          <w:rFonts w:ascii="Arial" w:hAnsi="Arial" w:cs="Arial"/>
          <w:color w:val="1A1A1A"/>
        </w:rPr>
        <w:t>Should the cost of maintaining a data registry be distributed across all the stakeholders</w:t>
      </w:r>
      <w:r w:rsidR="007F7843">
        <w:rPr>
          <w:rFonts w:ascii="Arial" w:hAnsi="Arial" w:cs="Arial"/>
          <w:color w:val="1A1A1A"/>
        </w:rPr>
        <w:t xml:space="preserve"> (Government, drug companies and patients)</w:t>
      </w:r>
      <w:r w:rsidRPr="00B73BDA">
        <w:rPr>
          <w:rFonts w:ascii="Arial" w:hAnsi="Arial" w:cs="Arial"/>
          <w:color w:val="1A1A1A"/>
        </w:rPr>
        <w:t xml:space="preserve">? How might this be done?  </w:t>
      </w:r>
    </w:p>
    <w:p w:rsidR="00B73BDA" w:rsidRPr="00B73BDA" w:rsidRDefault="00B73BDA" w:rsidP="008A6F20">
      <w:pPr>
        <w:pStyle w:val="ListParagraph"/>
        <w:spacing w:after="120" w:line="240" w:lineRule="auto"/>
        <w:jc w:val="both"/>
        <w:outlineLvl w:val="1"/>
        <w:rPr>
          <w:rFonts w:ascii="Arial" w:hAnsi="Arial" w:cs="Arial"/>
          <w:color w:val="1A1A1A"/>
        </w:rPr>
      </w:pPr>
    </w:p>
    <w:p w:rsidR="007F7843" w:rsidRPr="007F7843" w:rsidRDefault="007F7843" w:rsidP="008A6F20">
      <w:pPr>
        <w:pStyle w:val="ListParagraph"/>
        <w:numPr>
          <w:ilvl w:val="0"/>
          <w:numId w:val="24"/>
        </w:numPr>
        <w:spacing w:after="120" w:line="240" w:lineRule="auto"/>
        <w:jc w:val="both"/>
        <w:outlineLvl w:val="1"/>
        <w:rPr>
          <w:rFonts w:ascii="Arial" w:hAnsi="Arial" w:cs="Arial"/>
          <w:color w:val="1A1A1A"/>
        </w:rPr>
      </w:pPr>
      <w:r w:rsidRPr="007F7843">
        <w:rPr>
          <w:rFonts w:ascii="Arial" w:hAnsi="Arial" w:cs="Arial"/>
          <w:color w:val="1A1A1A"/>
        </w:rPr>
        <w:t xml:space="preserve">Drug companies’ often </w:t>
      </w:r>
      <w:r w:rsidR="00B73BDA" w:rsidRPr="007F7843">
        <w:rPr>
          <w:rFonts w:ascii="Arial" w:hAnsi="Arial" w:cs="Arial"/>
          <w:color w:val="1A1A1A"/>
        </w:rPr>
        <w:t>maintain the</w:t>
      </w:r>
      <w:r w:rsidRPr="007F7843">
        <w:rPr>
          <w:rFonts w:ascii="Arial" w:hAnsi="Arial" w:cs="Arial"/>
          <w:color w:val="1A1A1A"/>
        </w:rPr>
        <w:t>ir</w:t>
      </w:r>
      <w:r w:rsidR="00B73BDA" w:rsidRPr="007F7843">
        <w:rPr>
          <w:rFonts w:ascii="Arial" w:hAnsi="Arial" w:cs="Arial"/>
          <w:color w:val="1A1A1A"/>
        </w:rPr>
        <w:t xml:space="preserve"> rare disease registries in order to provide </w:t>
      </w:r>
      <w:r w:rsidRPr="007F7843">
        <w:rPr>
          <w:rFonts w:ascii="Arial" w:hAnsi="Arial" w:cs="Arial"/>
          <w:color w:val="1A1A1A"/>
        </w:rPr>
        <w:t xml:space="preserve">regulatory agencies with additional </w:t>
      </w:r>
      <w:r w:rsidR="00B73BDA" w:rsidRPr="007F7843">
        <w:rPr>
          <w:rFonts w:ascii="Arial" w:hAnsi="Arial" w:cs="Arial"/>
          <w:color w:val="1A1A1A"/>
        </w:rPr>
        <w:t>clinical data</w:t>
      </w:r>
      <w:r w:rsidRPr="007F7843">
        <w:rPr>
          <w:rFonts w:ascii="Arial" w:hAnsi="Arial" w:cs="Arial"/>
          <w:color w:val="1A1A1A"/>
        </w:rPr>
        <w:t>, generally on</w:t>
      </w:r>
      <w:r w:rsidR="00B73BDA" w:rsidRPr="007F7843">
        <w:rPr>
          <w:rFonts w:ascii="Arial" w:hAnsi="Arial" w:cs="Arial"/>
          <w:color w:val="1A1A1A"/>
        </w:rPr>
        <w:t xml:space="preserve"> safety </w:t>
      </w:r>
    </w:p>
    <w:p w:rsidR="007F7843" w:rsidRDefault="005B5EE3" w:rsidP="008A6F20">
      <w:pPr>
        <w:pStyle w:val="ListParagraph"/>
        <w:spacing w:after="120" w:line="240" w:lineRule="auto"/>
        <w:jc w:val="both"/>
        <w:outlineLvl w:val="1"/>
        <w:rPr>
          <w:rFonts w:ascii="Arial" w:hAnsi="Arial" w:cs="Arial"/>
          <w:color w:val="1A1A1A"/>
        </w:rPr>
      </w:pPr>
      <w:proofErr w:type="gramStart"/>
      <w:r>
        <w:rPr>
          <w:rFonts w:ascii="Arial" w:hAnsi="Arial" w:cs="Arial"/>
          <w:color w:val="1A1A1A"/>
        </w:rPr>
        <w:t>(</w:t>
      </w:r>
      <w:proofErr w:type="spellStart"/>
      <w:r w:rsidR="007F7843">
        <w:rPr>
          <w:rFonts w:ascii="Arial" w:hAnsi="Arial" w:cs="Arial"/>
          <w:color w:val="1A1A1A"/>
        </w:rPr>
        <w:t>p</w:t>
      </w:r>
      <w:r w:rsidR="007F7843" w:rsidRPr="007F7843">
        <w:rPr>
          <w:rFonts w:ascii="Arial" w:hAnsi="Arial" w:cs="Arial"/>
          <w:color w:val="1A1A1A"/>
        </w:rPr>
        <w:t>harmaco</w:t>
      </w:r>
      <w:proofErr w:type="spellEnd"/>
      <w:r w:rsidR="007F7843">
        <w:rPr>
          <w:rFonts w:ascii="Arial" w:hAnsi="Arial" w:cs="Arial"/>
          <w:color w:val="1A1A1A"/>
        </w:rPr>
        <w:t>-</w:t>
      </w:r>
      <w:r w:rsidR="007F7843" w:rsidRPr="007F7843">
        <w:rPr>
          <w:rFonts w:ascii="Arial" w:hAnsi="Arial" w:cs="Arial"/>
          <w:color w:val="1A1A1A"/>
        </w:rPr>
        <w:t>vigilance)</w:t>
      </w:r>
      <w:r>
        <w:rPr>
          <w:rFonts w:ascii="Arial" w:hAnsi="Arial" w:cs="Arial"/>
          <w:color w:val="1A1A1A"/>
        </w:rPr>
        <w:t>,</w:t>
      </w:r>
      <w:r w:rsidR="007F7843" w:rsidRPr="007F7843">
        <w:rPr>
          <w:rFonts w:ascii="Arial" w:hAnsi="Arial" w:cs="Arial"/>
          <w:color w:val="1A1A1A"/>
        </w:rPr>
        <w:t xml:space="preserve"> and sometime</w:t>
      </w:r>
      <w:r w:rsidR="007F7843">
        <w:rPr>
          <w:rFonts w:ascii="Arial" w:hAnsi="Arial" w:cs="Arial"/>
          <w:color w:val="1A1A1A"/>
        </w:rPr>
        <w:t>s</w:t>
      </w:r>
      <w:r w:rsidR="007F7843" w:rsidRPr="007F7843">
        <w:rPr>
          <w:rFonts w:ascii="Arial" w:hAnsi="Arial" w:cs="Arial"/>
          <w:color w:val="1A1A1A"/>
        </w:rPr>
        <w:t xml:space="preserve"> effectiveness of the drug in the ‘real world’ setting.</w:t>
      </w:r>
      <w:proofErr w:type="gramEnd"/>
      <w:r w:rsidR="007F7843" w:rsidRPr="007F7843">
        <w:rPr>
          <w:rFonts w:ascii="Arial" w:hAnsi="Arial" w:cs="Arial"/>
          <w:color w:val="1A1A1A"/>
        </w:rPr>
        <w:t xml:space="preserve"> This data is not always adequate or ‘fit for purpose’ to answer questions raised about longer term patient benefits. Should the company’s marketing these drugs be responsible for collection and maintenance of data that is ‘fit for purpose’?</w:t>
      </w:r>
    </w:p>
    <w:p w:rsidR="007F7843" w:rsidRPr="007F7843" w:rsidRDefault="007F7843" w:rsidP="008A6F20">
      <w:pPr>
        <w:pStyle w:val="ListParagraph"/>
        <w:spacing w:after="120" w:line="240" w:lineRule="auto"/>
        <w:jc w:val="both"/>
        <w:outlineLvl w:val="1"/>
        <w:rPr>
          <w:rFonts w:ascii="Arial" w:hAnsi="Arial" w:cs="Arial"/>
          <w:color w:val="1A1A1A"/>
        </w:rPr>
      </w:pPr>
    </w:p>
    <w:p w:rsidR="007F7843" w:rsidRPr="007F7843" w:rsidRDefault="007F7843" w:rsidP="008A6F20">
      <w:pPr>
        <w:pStyle w:val="ListParagraph"/>
        <w:numPr>
          <w:ilvl w:val="0"/>
          <w:numId w:val="24"/>
        </w:numPr>
        <w:spacing w:after="120" w:line="240" w:lineRule="auto"/>
        <w:jc w:val="both"/>
        <w:outlineLvl w:val="1"/>
        <w:rPr>
          <w:rFonts w:ascii="Arial" w:hAnsi="Arial" w:cs="Arial"/>
          <w:color w:val="1A1A1A"/>
        </w:rPr>
      </w:pPr>
      <w:r w:rsidRPr="007F7843">
        <w:rPr>
          <w:rFonts w:ascii="Arial" w:hAnsi="Arial" w:cs="Arial"/>
          <w:color w:val="1A1A1A"/>
        </w:rPr>
        <w:t xml:space="preserve">If not the company who markets the drug, then what other effective and cost-efficient approaches are there for establishing and maintaining data registries? </w:t>
      </w:r>
    </w:p>
    <w:p w:rsidR="004724BB" w:rsidRPr="00F90474" w:rsidRDefault="004724BB" w:rsidP="008A4CEA">
      <w:pPr>
        <w:spacing w:line="360" w:lineRule="auto"/>
        <w:jc w:val="both"/>
        <w:rPr>
          <w:rFonts w:ascii="Arial" w:hAnsi="Arial" w:cs="Arial"/>
          <w:color w:val="1A1A1A"/>
        </w:rPr>
      </w:pPr>
    </w:p>
    <w:p w:rsidR="0096074C" w:rsidRPr="00F81AA7" w:rsidRDefault="0096074C" w:rsidP="00F81AA7">
      <w:pPr>
        <w:pStyle w:val="Heading4"/>
        <w:spacing w:line="360" w:lineRule="auto"/>
        <w:rPr>
          <w:rFonts w:ascii="Arial" w:hAnsi="Arial" w:cs="Arial"/>
          <w:i w:val="0"/>
          <w:color w:val="auto"/>
        </w:rPr>
      </w:pPr>
      <w:r w:rsidRPr="00F81AA7">
        <w:rPr>
          <w:rFonts w:ascii="Arial" w:hAnsi="Arial" w:cs="Arial"/>
          <w:i w:val="0"/>
          <w:color w:val="auto"/>
        </w:rPr>
        <w:t xml:space="preserve">8. General Issues </w:t>
      </w:r>
    </w:p>
    <w:p w:rsidR="0096074C" w:rsidRPr="000B2B56" w:rsidRDefault="0096074C" w:rsidP="00F81AA7">
      <w:pPr>
        <w:pStyle w:val="ListParagraph"/>
        <w:widowControl w:val="0"/>
        <w:numPr>
          <w:ilvl w:val="1"/>
          <w:numId w:val="16"/>
        </w:numPr>
        <w:tabs>
          <w:tab w:val="left" w:pos="220"/>
          <w:tab w:val="left" w:pos="720"/>
        </w:tabs>
        <w:autoSpaceDE w:val="0"/>
        <w:autoSpaceDN w:val="0"/>
        <w:adjustRightInd w:val="0"/>
        <w:spacing w:after="0" w:line="360" w:lineRule="auto"/>
        <w:jc w:val="both"/>
        <w:rPr>
          <w:rFonts w:ascii="Arial" w:hAnsi="Arial" w:cs="Arial"/>
        </w:rPr>
      </w:pPr>
      <w:r w:rsidRPr="000B2B56">
        <w:rPr>
          <w:rFonts w:ascii="Arial" w:hAnsi="Arial" w:cs="Arial"/>
        </w:rPr>
        <w:t>There remains a need for a funding mechanism for medications for rare conditions that are unlikely to meet the usual cost-effectiveness criteria applied within the Pharmaceutical Benefits Scheme</w:t>
      </w:r>
      <w:r>
        <w:rPr>
          <w:rFonts w:ascii="Arial" w:hAnsi="Arial" w:cs="Arial"/>
        </w:rPr>
        <w:t xml:space="preserve"> due to the higher than average asking prices of these drugs</w:t>
      </w:r>
      <w:r w:rsidRPr="000B2B56">
        <w:rPr>
          <w:rFonts w:ascii="Arial" w:hAnsi="Arial" w:cs="Arial"/>
        </w:rPr>
        <w:t>.</w:t>
      </w:r>
    </w:p>
    <w:p w:rsidR="0096074C" w:rsidRPr="000B2B56" w:rsidRDefault="0096074C" w:rsidP="008A4CEA">
      <w:pPr>
        <w:pStyle w:val="ListParagraph"/>
        <w:widowControl w:val="0"/>
        <w:numPr>
          <w:ilvl w:val="1"/>
          <w:numId w:val="16"/>
        </w:numPr>
        <w:tabs>
          <w:tab w:val="left" w:pos="220"/>
          <w:tab w:val="left" w:pos="720"/>
        </w:tabs>
        <w:autoSpaceDE w:val="0"/>
        <w:autoSpaceDN w:val="0"/>
        <w:adjustRightInd w:val="0"/>
        <w:spacing w:after="0" w:line="360" w:lineRule="auto"/>
        <w:jc w:val="both"/>
        <w:rPr>
          <w:rFonts w:ascii="Arial" w:hAnsi="Arial" w:cs="Arial"/>
        </w:rPr>
      </w:pPr>
      <w:r w:rsidRPr="000B2B56">
        <w:rPr>
          <w:rFonts w:ascii="Arial" w:hAnsi="Arial" w:cs="Arial"/>
        </w:rPr>
        <w:t>Criteria for access to this funding mechanism need to remain tight and should include the rarity of the condition</w:t>
      </w:r>
      <w:r>
        <w:rPr>
          <w:rFonts w:ascii="Arial" w:hAnsi="Arial" w:cs="Arial"/>
        </w:rPr>
        <w:t xml:space="preserve">. However, genetically defined sub-sets of larger disease groups or conditions who overall are not rare </w:t>
      </w:r>
      <w:r w:rsidR="001113B1">
        <w:rPr>
          <w:rFonts w:ascii="Arial" w:hAnsi="Arial" w:cs="Arial"/>
        </w:rPr>
        <w:t>are currently</w:t>
      </w:r>
      <w:r>
        <w:rPr>
          <w:rFonts w:ascii="Arial" w:hAnsi="Arial" w:cs="Arial"/>
        </w:rPr>
        <w:t xml:space="preserve"> excluded from this funding source.</w:t>
      </w:r>
    </w:p>
    <w:p w:rsidR="0096074C" w:rsidRDefault="0096074C" w:rsidP="008A4CEA">
      <w:pPr>
        <w:pStyle w:val="ListParagraph"/>
        <w:widowControl w:val="0"/>
        <w:numPr>
          <w:ilvl w:val="1"/>
          <w:numId w:val="16"/>
        </w:numPr>
        <w:tabs>
          <w:tab w:val="left" w:pos="220"/>
          <w:tab w:val="left" w:pos="720"/>
        </w:tabs>
        <w:autoSpaceDE w:val="0"/>
        <w:autoSpaceDN w:val="0"/>
        <w:adjustRightInd w:val="0"/>
        <w:spacing w:after="0" w:line="360" w:lineRule="auto"/>
        <w:jc w:val="both"/>
        <w:rPr>
          <w:rFonts w:ascii="Arial" w:hAnsi="Arial" w:cs="Arial"/>
        </w:rPr>
      </w:pPr>
      <w:r w:rsidRPr="00A10598">
        <w:rPr>
          <w:rFonts w:ascii="Arial" w:hAnsi="Arial" w:cs="Arial"/>
        </w:rPr>
        <w:t xml:space="preserve">Providing the criteria are specified there appears to be no major practical reason </w:t>
      </w:r>
      <w:r>
        <w:rPr>
          <w:rFonts w:ascii="Arial" w:hAnsi="Arial" w:cs="Arial"/>
        </w:rPr>
        <w:t xml:space="preserve">as to </w:t>
      </w:r>
      <w:r w:rsidRPr="00A10598">
        <w:rPr>
          <w:rFonts w:ascii="Arial" w:hAnsi="Arial" w:cs="Arial"/>
        </w:rPr>
        <w:t xml:space="preserve">why such a funding mechanism needs to be separate to the usual </w:t>
      </w:r>
      <w:r>
        <w:rPr>
          <w:rFonts w:ascii="Arial" w:hAnsi="Arial" w:cs="Arial"/>
        </w:rPr>
        <w:t xml:space="preserve">assessment </w:t>
      </w:r>
      <w:r w:rsidRPr="00A10598">
        <w:rPr>
          <w:rFonts w:ascii="Arial" w:hAnsi="Arial" w:cs="Arial"/>
        </w:rPr>
        <w:t>processes of the P</w:t>
      </w:r>
      <w:r>
        <w:rPr>
          <w:rFonts w:ascii="Arial" w:hAnsi="Arial" w:cs="Arial"/>
        </w:rPr>
        <w:t>BAC</w:t>
      </w:r>
      <w:r w:rsidRPr="00A10598">
        <w:rPr>
          <w:rFonts w:ascii="Arial" w:hAnsi="Arial" w:cs="Arial"/>
        </w:rPr>
        <w:t>. A parallel can be drawn with the process for decisions on the subsidi</w:t>
      </w:r>
      <w:r w:rsidR="001113B1">
        <w:rPr>
          <w:rFonts w:ascii="Arial" w:hAnsi="Arial" w:cs="Arial"/>
        </w:rPr>
        <w:t>s</w:t>
      </w:r>
      <w:r w:rsidRPr="00A10598">
        <w:rPr>
          <w:rFonts w:ascii="Arial" w:hAnsi="Arial" w:cs="Arial"/>
        </w:rPr>
        <w:t>ation of vaccines</w:t>
      </w:r>
      <w:r>
        <w:rPr>
          <w:rFonts w:ascii="Arial" w:hAnsi="Arial" w:cs="Arial"/>
        </w:rPr>
        <w:t xml:space="preserve"> </w:t>
      </w:r>
      <w:r w:rsidR="001113B1">
        <w:rPr>
          <w:rFonts w:ascii="Arial" w:hAnsi="Arial" w:cs="Arial"/>
        </w:rPr>
        <w:t xml:space="preserve">on the National Immunisation Schedule </w:t>
      </w:r>
      <w:r>
        <w:rPr>
          <w:rFonts w:ascii="Arial" w:hAnsi="Arial" w:cs="Arial"/>
        </w:rPr>
        <w:t xml:space="preserve">or </w:t>
      </w:r>
      <w:r w:rsidR="001113B1">
        <w:rPr>
          <w:rFonts w:ascii="Arial" w:hAnsi="Arial" w:cs="Arial"/>
        </w:rPr>
        <w:t>listing on the PBS s</w:t>
      </w:r>
      <w:r>
        <w:rPr>
          <w:rFonts w:ascii="Arial" w:hAnsi="Arial" w:cs="Arial"/>
        </w:rPr>
        <w:t xml:space="preserve">ection 100 </w:t>
      </w:r>
      <w:r w:rsidR="001113B1">
        <w:rPr>
          <w:rFonts w:ascii="Arial" w:hAnsi="Arial" w:cs="Arial"/>
        </w:rPr>
        <w:t>programmes</w:t>
      </w:r>
      <w:r w:rsidRPr="00A10598">
        <w:rPr>
          <w:rFonts w:ascii="Arial" w:hAnsi="Arial" w:cs="Arial"/>
        </w:rPr>
        <w:t>.</w:t>
      </w:r>
    </w:p>
    <w:p w:rsidR="0096074C" w:rsidRDefault="0096074C" w:rsidP="008A4CEA">
      <w:pPr>
        <w:pStyle w:val="ListParagraph"/>
        <w:widowControl w:val="0"/>
        <w:numPr>
          <w:ilvl w:val="1"/>
          <w:numId w:val="16"/>
        </w:numPr>
        <w:tabs>
          <w:tab w:val="left" w:pos="220"/>
          <w:tab w:val="left" w:pos="720"/>
        </w:tabs>
        <w:autoSpaceDE w:val="0"/>
        <w:autoSpaceDN w:val="0"/>
        <w:adjustRightInd w:val="0"/>
        <w:spacing w:after="0" w:line="360" w:lineRule="auto"/>
        <w:jc w:val="both"/>
        <w:rPr>
          <w:rFonts w:ascii="Arial" w:hAnsi="Arial" w:cs="Arial"/>
        </w:rPr>
      </w:pPr>
      <w:r>
        <w:rPr>
          <w:rFonts w:ascii="Arial" w:hAnsi="Arial" w:cs="Arial"/>
        </w:rPr>
        <w:lastRenderedPageBreak/>
        <w:t xml:space="preserve">While there is merit in the Multi-Criteria decision analysis, the </w:t>
      </w:r>
      <w:r w:rsidR="00EB459B">
        <w:rPr>
          <w:rFonts w:ascii="Arial" w:hAnsi="Arial" w:cs="Arial"/>
        </w:rPr>
        <w:t xml:space="preserve">Reference Group considered that the </w:t>
      </w:r>
      <w:r>
        <w:rPr>
          <w:rFonts w:ascii="Arial" w:hAnsi="Arial" w:cs="Arial"/>
        </w:rPr>
        <w:t>adoption of such an approach should not be exclusively for medicines such as those listed on the LSDP as this would create further inequities in the way medicines for different conditions are considered.</w:t>
      </w:r>
    </w:p>
    <w:p w:rsidR="0096074C" w:rsidRPr="00027DBD" w:rsidRDefault="0096074C" w:rsidP="008A4CEA">
      <w:pPr>
        <w:pStyle w:val="ListParagraph"/>
        <w:widowControl w:val="0"/>
        <w:numPr>
          <w:ilvl w:val="1"/>
          <w:numId w:val="16"/>
        </w:numPr>
        <w:tabs>
          <w:tab w:val="left" w:pos="220"/>
          <w:tab w:val="left" w:pos="720"/>
        </w:tabs>
        <w:autoSpaceDE w:val="0"/>
        <w:autoSpaceDN w:val="0"/>
        <w:adjustRightInd w:val="0"/>
        <w:spacing w:after="0" w:line="360" w:lineRule="auto"/>
        <w:jc w:val="both"/>
        <w:rPr>
          <w:rFonts w:ascii="Arial" w:hAnsi="Arial" w:cs="Arial"/>
          <w:b/>
        </w:rPr>
      </w:pPr>
      <w:r w:rsidRPr="00A10598">
        <w:rPr>
          <w:rFonts w:ascii="Arial" w:hAnsi="Arial" w:cs="Arial"/>
        </w:rPr>
        <w:t xml:space="preserve">Given the costs of the medications, the inevitable increase in the numbers on these medications and the lack of clarity about many aspects of the clinical management, there is a substantial public interest in </w:t>
      </w:r>
      <w:r>
        <w:rPr>
          <w:rFonts w:ascii="Arial" w:hAnsi="Arial" w:cs="Arial"/>
        </w:rPr>
        <w:t xml:space="preserve">a </w:t>
      </w:r>
      <w:r w:rsidRPr="00A10598">
        <w:rPr>
          <w:rFonts w:ascii="Arial" w:hAnsi="Arial" w:cs="Arial"/>
        </w:rPr>
        <w:t>more comprehensive, coordinated and ongoing collection of data on clinical outcomes</w:t>
      </w:r>
      <w:r>
        <w:rPr>
          <w:rFonts w:ascii="Arial" w:hAnsi="Arial" w:cs="Arial"/>
        </w:rPr>
        <w:t>,</w:t>
      </w:r>
      <w:r w:rsidRPr="00A10598">
        <w:rPr>
          <w:rFonts w:ascii="Arial" w:hAnsi="Arial" w:cs="Arial"/>
        </w:rPr>
        <w:t xml:space="preserve"> and targeted research on dosing regimens and therapeutic equivalence.</w:t>
      </w:r>
    </w:p>
    <w:p w:rsidR="0096074C" w:rsidRPr="00027DBD" w:rsidRDefault="0096074C" w:rsidP="008A4CEA">
      <w:pPr>
        <w:pStyle w:val="ListParagraph"/>
        <w:widowControl w:val="0"/>
        <w:numPr>
          <w:ilvl w:val="1"/>
          <w:numId w:val="16"/>
        </w:numPr>
        <w:tabs>
          <w:tab w:val="left" w:pos="220"/>
          <w:tab w:val="left" w:pos="720"/>
        </w:tabs>
        <w:autoSpaceDE w:val="0"/>
        <w:autoSpaceDN w:val="0"/>
        <w:adjustRightInd w:val="0"/>
        <w:spacing w:after="0" w:line="360" w:lineRule="auto"/>
        <w:jc w:val="both"/>
        <w:rPr>
          <w:rFonts w:ascii="Arial" w:hAnsi="Arial" w:cs="Arial"/>
          <w:b/>
        </w:rPr>
      </w:pPr>
      <w:r>
        <w:rPr>
          <w:rFonts w:ascii="Arial" w:hAnsi="Arial" w:cs="Arial"/>
        </w:rPr>
        <w:t xml:space="preserve">Pricing which includes a review price based on demonstration of effectiveness and reimbursement where effectiveness </w:t>
      </w:r>
      <w:r w:rsidR="00D9130E">
        <w:rPr>
          <w:rFonts w:ascii="Arial" w:hAnsi="Arial" w:cs="Arial"/>
        </w:rPr>
        <w:t xml:space="preserve">is </w:t>
      </w:r>
      <w:r>
        <w:rPr>
          <w:rFonts w:ascii="Arial" w:hAnsi="Arial" w:cs="Arial"/>
        </w:rPr>
        <w:t>not demonstrated should be considered.</w:t>
      </w:r>
    </w:p>
    <w:p w:rsidR="00BC7AAD" w:rsidRDefault="0096074C" w:rsidP="00163BF5">
      <w:pPr>
        <w:pStyle w:val="ListParagraph"/>
        <w:widowControl w:val="0"/>
        <w:numPr>
          <w:ilvl w:val="1"/>
          <w:numId w:val="16"/>
        </w:numPr>
        <w:tabs>
          <w:tab w:val="left" w:pos="220"/>
          <w:tab w:val="left" w:pos="720"/>
        </w:tabs>
        <w:autoSpaceDE w:val="0"/>
        <w:autoSpaceDN w:val="0"/>
        <w:adjustRightInd w:val="0"/>
        <w:spacing w:after="0" w:line="360" w:lineRule="auto"/>
        <w:jc w:val="both"/>
        <w:rPr>
          <w:rFonts w:ascii="Arial" w:hAnsi="Arial" w:cs="Arial"/>
        </w:rPr>
      </w:pPr>
      <w:r>
        <w:rPr>
          <w:rFonts w:ascii="Arial" w:hAnsi="Arial" w:cs="Arial"/>
        </w:rPr>
        <w:t xml:space="preserve">The reference group sees the value of </w:t>
      </w:r>
      <w:r w:rsidR="00BD3E66">
        <w:rPr>
          <w:rFonts w:ascii="Arial" w:hAnsi="Arial" w:cs="Arial"/>
        </w:rPr>
        <w:t xml:space="preserve">broader community consultation, for example </w:t>
      </w:r>
      <w:r>
        <w:rPr>
          <w:rFonts w:ascii="Arial" w:hAnsi="Arial" w:cs="Arial"/>
        </w:rPr>
        <w:t xml:space="preserve">establishing a </w:t>
      </w:r>
      <w:r w:rsidR="00EB459B">
        <w:rPr>
          <w:rFonts w:ascii="Arial" w:hAnsi="Arial" w:cs="Arial"/>
        </w:rPr>
        <w:t xml:space="preserve">UK </w:t>
      </w:r>
      <w:r>
        <w:rPr>
          <w:rFonts w:ascii="Arial" w:hAnsi="Arial" w:cs="Arial"/>
        </w:rPr>
        <w:t>NICE</w:t>
      </w:r>
      <w:r w:rsidR="00EB459B">
        <w:rPr>
          <w:rFonts w:ascii="Arial" w:hAnsi="Arial" w:cs="Arial"/>
        </w:rPr>
        <w:t>-</w:t>
      </w:r>
      <w:r>
        <w:rPr>
          <w:rFonts w:ascii="Arial" w:hAnsi="Arial" w:cs="Arial"/>
        </w:rPr>
        <w:t>style community panel to consider the broader issues</w:t>
      </w:r>
      <w:r w:rsidR="00EB459B">
        <w:rPr>
          <w:rFonts w:ascii="Arial" w:hAnsi="Arial" w:cs="Arial"/>
        </w:rPr>
        <w:t xml:space="preserve"> of criteria that could be considered in decision-making, </w:t>
      </w:r>
      <w:r w:rsidR="009C78FE">
        <w:rPr>
          <w:rFonts w:ascii="Arial" w:hAnsi="Arial" w:cs="Arial"/>
        </w:rPr>
        <w:t xml:space="preserve">such as </w:t>
      </w:r>
      <w:r w:rsidR="00EB459B">
        <w:rPr>
          <w:rFonts w:ascii="Arial" w:hAnsi="Arial" w:cs="Arial"/>
        </w:rPr>
        <w:t>access</w:t>
      </w:r>
      <w:r w:rsidR="009C78FE">
        <w:rPr>
          <w:rFonts w:ascii="Arial" w:hAnsi="Arial" w:cs="Arial"/>
        </w:rPr>
        <w:t>,</w:t>
      </w:r>
      <w:r w:rsidR="00EB459B">
        <w:rPr>
          <w:rFonts w:ascii="Arial" w:hAnsi="Arial" w:cs="Arial"/>
        </w:rPr>
        <w:t xml:space="preserve"> equity and affordability for all Australians with rare conditions</w:t>
      </w:r>
      <w:r w:rsidR="009C78FE">
        <w:rPr>
          <w:rFonts w:ascii="Arial" w:hAnsi="Arial" w:cs="Arial"/>
        </w:rPr>
        <w:t xml:space="preserve">. The committee recognised that implementation </w:t>
      </w:r>
      <w:r w:rsidR="00D17778">
        <w:rPr>
          <w:rFonts w:ascii="Arial" w:hAnsi="Arial" w:cs="Arial"/>
        </w:rPr>
        <w:t xml:space="preserve">of a community panel </w:t>
      </w:r>
      <w:r w:rsidR="009C78FE">
        <w:rPr>
          <w:rFonts w:ascii="Arial" w:hAnsi="Arial" w:cs="Arial"/>
        </w:rPr>
        <w:t xml:space="preserve">could be complex and resource intensive. The likelihood of extending the time taken to consider eligibility of the drug for subsidy must </w:t>
      </w:r>
      <w:r w:rsidR="00D17778">
        <w:rPr>
          <w:rFonts w:ascii="Arial" w:hAnsi="Arial" w:cs="Arial"/>
        </w:rPr>
        <w:t xml:space="preserve">also </w:t>
      </w:r>
      <w:r w:rsidR="009C78FE">
        <w:rPr>
          <w:rFonts w:ascii="Arial" w:hAnsi="Arial" w:cs="Arial"/>
        </w:rPr>
        <w:t>be considered.</w:t>
      </w:r>
    </w:p>
    <w:p w:rsidR="00BC7AAD" w:rsidRDefault="00BC7AAD" w:rsidP="00BC7AAD">
      <w:r>
        <w:br w:type="page"/>
      </w:r>
    </w:p>
    <w:p w:rsidR="0096074C" w:rsidRPr="007C0C21" w:rsidRDefault="00BD3E66" w:rsidP="007C0C21">
      <w:pPr>
        <w:pStyle w:val="Heading1"/>
        <w:rPr>
          <w:rFonts w:ascii="Arial" w:hAnsi="Arial" w:cs="Arial"/>
          <w:color w:val="auto"/>
          <w:sz w:val="40"/>
          <w:szCs w:val="40"/>
        </w:rPr>
      </w:pPr>
      <w:r>
        <w:rPr>
          <w:rFonts w:ascii="Arial" w:hAnsi="Arial" w:cs="Arial"/>
          <w:color w:val="auto"/>
          <w:sz w:val="40"/>
          <w:szCs w:val="40"/>
        </w:rPr>
        <w:lastRenderedPageBreak/>
        <w:t>Possible o</w:t>
      </w:r>
      <w:r w:rsidR="00BC7AAD" w:rsidRPr="007C0C21">
        <w:rPr>
          <w:rFonts w:ascii="Arial" w:hAnsi="Arial" w:cs="Arial"/>
          <w:color w:val="auto"/>
          <w:sz w:val="40"/>
          <w:szCs w:val="40"/>
        </w:rPr>
        <w:t>ptions</w:t>
      </w:r>
      <w:r>
        <w:rPr>
          <w:rFonts w:ascii="Arial" w:hAnsi="Arial" w:cs="Arial"/>
          <w:color w:val="auto"/>
          <w:sz w:val="40"/>
          <w:szCs w:val="40"/>
        </w:rPr>
        <w:t xml:space="preserve"> for consideration</w:t>
      </w:r>
    </w:p>
    <w:tbl>
      <w:tblPr>
        <w:tblStyle w:val="TableGrid"/>
        <w:tblW w:w="10031" w:type="dxa"/>
        <w:tblLook w:val="04A0" w:firstRow="1" w:lastRow="0" w:firstColumn="1" w:lastColumn="0" w:noHBand="0" w:noVBand="1"/>
      </w:tblPr>
      <w:tblGrid>
        <w:gridCol w:w="3085"/>
        <w:gridCol w:w="6946"/>
      </w:tblGrid>
      <w:tr w:rsidR="00E52F10" w:rsidTr="00E52F10">
        <w:tc>
          <w:tcPr>
            <w:tcW w:w="10031" w:type="dxa"/>
            <w:gridSpan w:val="2"/>
            <w:tcBorders>
              <w:bottom w:val="single" w:sz="4" w:space="0" w:color="auto"/>
            </w:tcBorders>
            <w:shd w:val="clear" w:color="auto" w:fill="F2F2F2" w:themeFill="background1" w:themeFillShade="F2"/>
          </w:tcPr>
          <w:p w:rsidR="00E52F10" w:rsidRPr="00AC24A2" w:rsidRDefault="00E52F10" w:rsidP="00FC3D4D">
            <w:pPr>
              <w:rPr>
                <w:rFonts w:eastAsia="Times New Roman" w:cs="Arial"/>
                <w:b/>
                <w:bCs/>
                <w:color w:val="000000"/>
                <w:sz w:val="28"/>
                <w:szCs w:val="28"/>
                <w:lang w:eastAsia="en-AU"/>
              </w:rPr>
            </w:pPr>
            <w:r w:rsidRPr="00AC24A2">
              <w:rPr>
                <w:rFonts w:eastAsia="Times New Roman" w:cs="Arial"/>
                <w:b/>
                <w:bCs/>
                <w:color w:val="000000"/>
                <w:sz w:val="28"/>
                <w:szCs w:val="28"/>
                <w:lang w:eastAsia="en-AU"/>
              </w:rPr>
              <w:t>Option 1: LSDP continues in its current form</w:t>
            </w:r>
          </w:p>
        </w:tc>
      </w:tr>
      <w:tr w:rsidR="00E52F10" w:rsidTr="00FC3D4D">
        <w:tc>
          <w:tcPr>
            <w:tcW w:w="3085" w:type="dxa"/>
          </w:tcPr>
          <w:p w:rsidR="00E52F10" w:rsidRPr="00BB5532" w:rsidRDefault="00E52F10" w:rsidP="00FC3D4D">
            <w:pPr>
              <w:rPr>
                <w:b/>
              </w:rPr>
            </w:pPr>
            <w:r w:rsidRPr="00BB5532">
              <w:rPr>
                <w:b/>
              </w:rPr>
              <w:t>Action</w:t>
            </w:r>
          </w:p>
        </w:tc>
        <w:tc>
          <w:tcPr>
            <w:tcW w:w="6946" w:type="dxa"/>
            <w:tcBorders>
              <w:top w:val="nil"/>
            </w:tcBorders>
          </w:tcPr>
          <w:p w:rsidR="00E52F10" w:rsidRPr="00BB5532" w:rsidRDefault="00303214" w:rsidP="00FC3D4D">
            <w:pPr>
              <w:rPr>
                <w:sz w:val="22"/>
                <w:szCs w:val="22"/>
              </w:rPr>
            </w:pPr>
            <w:r w:rsidRPr="00BB5532">
              <w:rPr>
                <w:rFonts w:eastAsiaTheme="minorHAnsi" w:cs="Arial"/>
                <w:sz w:val="22"/>
              </w:rPr>
              <w:t>·</w:t>
            </w:r>
            <w:r w:rsidR="00E52F10" w:rsidRPr="00BB5532">
              <w:rPr>
                <w:rFonts w:cs="Arial"/>
                <w:sz w:val="22"/>
                <w:szCs w:val="22"/>
              </w:rPr>
              <w:t>No action required</w:t>
            </w:r>
          </w:p>
        </w:tc>
      </w:tr>
      <w:tr w:rsidR="00E52F10" w:rsidTr="00FC3D4D">
        <w:tc>
          <w:tcPr>
            <w:tcW w:w="3085" w:type="dxa"/>
          </w:tcPr>
          <w:p w:rsidR="00E52F10" w:rsidRPr="00BB5532" w:rsidRDefault="00BD3E66" w:rsidP="00FC3D4D">
            <w:r>
              <w:rPr>
                <w:rFonts w:eastAsia="Times New Roman" w:cs="Arial"/>
                <w:b/>
                <w:bCs/>
                <w:color w:val="000000"/>
                <w:lang w:eastAsia="en-AU"/>
              </w:rPr>
              <w:t>R</w:t>
            </w:r>
            <w:r w:rsidR="00E52F10" w:rsidRPr="00E2391C">
              <w:rPr>
                <w:rFonts w:eastAsia="Times New Roman" w:cs="Arial"/>
                <w:b/>
                <w:bCs/>
                <w:color w:val="000000"/>
                <w:lang w:eastAsia="en-AU"/>
              </w:rPr>
              <w:t>isks</w:t>
            </w:r>
          </w:p>
        </w:tc>
        <w:tc>
          <w:tcPr>
            <w:tcW w:w="6946" w:type="dxa"/>
            <w:vAlign w:val="bottom"/>
          </w:tcPr>
          <w:p w:rsidR="00E52F10" w:rsidRPr="00BB5532" w:rsidRDefault="00E52F10" w:rsidP="00FC3D4D">
            <w:pPr>
              <w:jc w:val="both"/>
              <w:rPr>
                <w:rFonts w:eastAsia="Times New Roman" w:cs="Arial"/>
                <w:bCs/>
                <w:color w:val="000000"/>
                <w:sz w:val="22"/>
                <w:szCs w:val="22"/>
                <w:lang w:eastAsia="en-AU"/>
              </w:rPr>
            </w:pPr>
            <w:r w:rsidRPr="00BB5532">
              <w:rPr>
                <w:rFonts w:eastAsia="Times New Roman" w:cs="Times New Roman"/>
                <w:color w:val="000000"/>
                <w:sz w:val="22"/>
                <w:szCs w:val="22"/>
                <w:lang w:eastAsia="en-AU"/>
              </w:rPr>
              <w:t>·</w:t>
            </w:r>
            <w:r w:rsidRPr="00BB5532">
              <w:rPr>
                <w:rFonts w:eastAsia="Times New Roman" w:cs="Arial"/>
                <w:bCs/>
                <w:color w:val="000000"/>
                <w:sz w:val="22"/>
                <w:szCs w:val="22"/>
                <w:lang w:eastAsia="en-AU"/>
              </w:rPr>
              <w:t>Administrative burden remains with the Commonwealth</w:t>
            </w:r>
          </w:p>
          <w:p w:rsidR="00E52F10" w:rsidRPr="00BB5532" w:rsidRDefault="00E52F10" w:rsidP="00FC3D4D">
            <w:pPr>
              <w:jc w:val="both"/>
              <w:rPr>
                <w:rFonts w:eastAsia="Times New Roman" w:cs="Arial"/>
                <w:bCs/>
                <w:color w:val="000000"/>
                <w:sz w:val="22"/>
                <w:szCs w:val="22"/>
                <w:lang w:eastAsia="en-AU"/>
              </w:rPr>
            </w:pPr>
            <w:r w:rsidRPr="00BB5532">
              <w:rPr>
                <w:rFonts w:eastAsia="Times New Roman" w:cs="Times New Roman"/>
                <w:color w:val="000000"/>
                <w:sz w:val="22"/>
                <w:szCs w:val="22"/>
                <w:lang w:eastAsia="en-AU"/>
              </w:rPr>
              <w:t>·</w:t>
            </w:r>
            <w:r w:rsidR="00BD3E66">
              <w:rPr>
                <w:rFonts w:eastAsia="Times New Roman" w:cs="Arial"/>
                <w:bCs/>
                <w:color w:val="000000"/>
                <w:sz w:val="22"/>
                <w:szCs w:val="22"/>
                <w:lang w:eastAsia="en-AU"/>
              </w:rPr>
              <w:t>Sustainability of s</w:t>
            </w:r>
            <w:r w:rsidRPr="00BB5532">
              <w:rPr>
                <w:rFonts w:eastAsia="Times New Roman" w:cs="Arial"/>
                <w:bCs/>
                <w:color w:val="000000"/>
                <w:sz w:val="22"/>
                <w:szCs w:val="22"/>
                <w:lang w:eastAsia="en-AU"/>
              </w:rPr>
              <w:t>ystem</w:t>
            </w:r>
            <w:r w:rsidR="004E5727">
              <w:rPr>
                <w:rFonts w:eastAsia="Times New Roman" w:cs="Arial"/>
                <w:bCs/>
                <w:color w:val="000000"/>
                <w:sz w:val="22"/>
                <w:szCs w:val="22"/>
                <w:lang w:eastAsia="en-AU"/>
              </w:rPr>
              <w:t>,</w:t>
            </w:r>
            <w:r w:rsidRPr="00BB5532">
              <w:rPr>
                <w:rFonts w:eastAsia="Times New Roman" w:cs="Arial"/>
                <w:bCs/>
                <w:color w:val="000000"/>
                <w:sz w:val="22"/>
                <w:szCs w:val="22"/>
                <w:lang w:eastAsia="en-AU"/>
              </w:rPr>
              <w:t xml:space="preserve"> </w:t>
            </w:r>
            <w:r w:rsidR="00BD3E66">
              <w:rPr>
                <w:rFonts w:eastAsia="Times New Roman" w:cs="Arial"/>
                <w:bCs/>
                <w:color w:val="000000"/>
                <w:sz w:val="22"/>
                <w:szCs w:val="22"/>
                <w:lang w:eastAsia="en-AU"/>
              </w:rPr>
              <w:t xml:space="preserve">in coping </w:t>
            </w:r>
            <w:r w:rsidRPr="00BB5532">
              <w:rPr>
                <w:rFonts w:eastAsia="Times New Roman" w:cs="Arial"/>
                <w:bCs/>
                <w:color w:val="000000"/>
                <w:sz w:val="22"/>
                <w:szCs w:val="22"/>
                <w:lang w:eastAsia="en-AU"/>
              </w:rPr>
              <w:t xml:space="preserve">with increased demand to list </w:t>
            </w:r>
            <w:r w:rsidR="00BD3E66">
              <w:rPr>
                <w:rFonts w:eastAsia="Times New Roman" w:cs="Arial"/>
                <w:bCs/>
                <w:color w:val="000000"/>
                <w:sz w:val="22"/>
                <w:szCs w:val="22"/>
                <w:lang w:eastAsia="en-AU"/>
              </w:rPr>
              <w:t xml:space="preserve">new </w:t>
            </w:r>
            <w:r w:rsidRPr="00BB5532">
              <w:rPr>
                <w:rFonts w:eastAsia="Times New Roman" w:cs="Arial"/>
                <w:bCs/>
                <w:color w:val="000000"/>
                <w:sz w:val="22"/>
                <w:szCs w:val="22"/>
                <w:lang w:eastAsia="en-AU"/>
              </w:rPr>
              <w:t>medicines</w:t>
            </w:r>
            <w:r w:rsidR="00BD3E66">
              <w:rPr>
                <w:rFonts w:eastAsia="Times New Roman" w:cs="Arial"/>
                <w:bCs/>
                <w:color w:val="000000"/>
                <w:sz w:val="22"/>
                <w:szCs w:val="22"/>
                <w:lang w:eastAsia="en-AU"/>
              </w:rPr>
              <w:t xml:space="preserve"> identified as part of the horizon scanning </w:t>
            </w:r>
          </w:p>
          <w:p w:rsidR="00E52F10" w:rsidRPr="00BB5532" w:rsidRDefault="00E52F10" w:rsidP="00FC3D4D">
            <w:pPr>
              <w:jc w:val="both"/>
              <w:rPr>
                <w:rFonts w:eastAsia="Times New Roman" w:cs="Times New Roman"/>
                <w:color w:val="000000"/>
                <w:sz w:val="22"/>
                <w:szCs w:val="22"/>
                <w:lang w:eastAsia="en-AU"/>
              </w:rPr>
            </w:pPr>
            <w:r w:rsidRPr="00BB5532">
              <w:rPr>
                <w:rFonts w:eastAsia="Times New Roman" w:cs="Times New Roman"/>
                <w:color w:val="000000"/>
                <w:sz w:val="22"/>
                <w:szCs w:val="22"/>
                <w:lang w:eastAsia="en-AU"/>
              </w:rPr>
              <w:t>·</w:t>
            </w:r>
            <w:r w:rsidRPr="00BB5532">
              <w:rPr>
                <w:rFonts w:eastAsia="Times New Roman" w:cs="Arial"/>
                <w:bCs/>
                <w:color w:val="000000"/>
                <w:sz w:val="22"/>
                <w:szCs w:val="22"/>
                <w:lang w:eastAsia="en-AU"/>
              </w:rPr>
              <w:t>Cost could be unsustainable</w:t>
            </w:r>
          </w:p>
        </w:tc>
      </w:tr>
      <w:tr w:rsidR="00E52F10" w:rsidTr="00FC3D4D">
        <w:tc>
          <w:tcPr>
            <w:tcW w:w="3085" w:type="dxa"/>
          </w:tcPr>
          <w:p w:rsidR="00E52F10" w:rsidRPr="00BB5532" w:rsidRDefault="00BD3E66" w:rsidP="00FC3D4D">
            <w:r>
              <w:rPr>
                <w:rFonts w:eastAsia="Times New Roman" w:cs="Arial"/>
                <w:b/>
                <w:bCs/>
                <w:color w:val="000000"/>
                <w:lang w:eastAsia="en-AU"/>
              </w:rPr>
              <w:t>B</w:t>
            </w:r>
            <w:r w:rsidR="00E52F10" w:rsidRPr="00E2391C">
              <w:rPr>
                <w:rFonts w:eastAsia="Times New Roman" w:cs="Arial"/>
                <w:b/>
                <w:bCs/>
                <w:color w:val="000000"/>
                <w:lang w:eastAsia="en-AU"/>
              </w:rPr>
              <w:t>enefits</w:t>
            </w:r>
          </w:p>
        </w:tc>
        <w:tc>
          <w:tcPr>
            <w:tcW w:w="6946" w:type="dxa"/>
            <w:vAlign w:val="bottom"/>
          </w:tcPr>
          <w:p w:rsidR="00E52F10" w:rsidRDefault="00E52F10" w:rsidP="00FC3D4D">
            <w:pPr>
              <w:jc w:val="both"/>
              <w:rPr>
                <w:rFonts w:eastAsia="Times New Roman" w:cs="Arial"/>
                <w:color w:val="000000"/>
                <w:sz w:val="22"/>
                <w:szCs w:val="22"/>
                <w:lang w:eastAsia="en-AU"/>
              </w:rPr>
            </w:pPr>
            <w:r w:rsidRPr="00BB5532">
              <w:rPr>
                <w:rFonts w:eastAsia="Times New Roman" w:cs="Arial"/>
                <w:color w:val="000000"/>
                <w:sz w:val="22"/>
                <w:szCs w:val="22"/>
                <w:lang w:eastAsia="en-AU"/>
              </w:rPr>
              <w:t>·Process and other pathways familiar to clinicians, patients and drug sponsors</w:t>
            </w:r>
          </w:p>
          <w:p w:rsidR="00BD3E66" w:rsidRPr="00BB5532" w:rsidRDefault="00BD3E66" w:rsidP="00FC3D4D">
            <w:pPr>
              <w:jc w:val="both"/>
              <w:rPr>
                <w:rFonts w:eastAsia="Times New Roman" w:cs="Arial"/>
                <w:color w:val="000000"/>
                <w:sz w:val="22"/>
                <w:szCs w:val="22"/>
                <w:lang w:eastAsia="en-AU"/>
              </w:rPr>
            </w:pPr>
            <w:r w:rsidRPr="00BB5532">
              <w:rPr>
                <w:rFonts w:eastAsia="Times New Roman" w:cs="Times New Roman"/>
                <w:color w:val="000000"/>
                <w:sz w:val="22"/>
                <w:szCs w:val="22"/>
                <w:lang w:eastAsia="en-AU"/>
              </w:rPr>
              <w:t>·</w:t>
            </w:r>
            <w:r w:rsidRPr="00BB5532">
              <w:rPr>
                <w:rFonts w:eastAsia="Times New Roman" w:cs="Arial"/>
                <w:color w:val="000000"/>
                <w:sz w:val="22"/>
                <w:szCs w:val="22"/>
                <w:lang w:eastAsia="en-AU"/>
              </w:rPr>
              <w:t>Access remains unchanged</w:t>
            </w:r>
            <w:r>
              <w:rPr>
                <w:rFonts w:eastAsia="Times New Roman" w:cs="Arial"/>
                <w:color w:val="000000"/>
                <w:sz w:val="22"/>
                <w:szCs w:val="22"/>
                <w:lang w:eastAsia="en-AU"/>
              </w:rPr>
              <w:t xml:space="preserve"> for current diseases and current patients</w:t>
            </w:r>
          </w:p>
        </w:tc>
      </w:tr>
      <w:tr w:rsidR="00E52F10" w:rsidTr="00E52F10">
        <w:tc>
          <w:tcPr>
            <w:tcW w:w="10031" w:type="dxa"/>
            <w:gridSpan w:val="2"/>
            <w:shd w:val="clear" w:color="auto" w:fill="F2F2F2" w:themeFill="background1" w:themeFillShade="F2"/>
          </w:tcPr>
          <w:p w:rsidR="00E52F10" w:rsidRPr="006E4F79" w:rsidRDefault="00E52F10" w:rsidP="00FC3D4D">
            <w:pPr>
              <w:rPr>
                <w:rFonts w:cs="Arial"/>
                <w:b/>
              </w:rPr>
            </w:pPr>
            <w:r w:rsidRPr="00AC24A2">
              <w:rPr>
                <w:rFonts w:eastAsia="Times New Roman" w:cs="Arial"/>
                <w:b/>
                <w:bCs/>
                <w:color w:val="000000"/>
                <w:sz w:val="28"/>
                <w:szCs w:val="28"/>
                <w:lang w:eastAsia="en-AU"/>
              </w:rPr>
              <w:t xml:space="preserve">Option 2: LSDP ceases and becomes a S100 </w:t>
            </w:r>
            <w:proofErr w:type="spellStart"/>
            <w:r w:rsidRPr="00AC24A2">
              <w:rPr>
                <w:rFonts w:eastAsia="Times New Roman" w:cs="Arial"/>
                <w:b/>
                <w:bCs/>
                <w:color w:val="000000"/>
                <w:sz w:val="28"/>
                <w:szCs w:val="28"/>
                <w:lang w:eastAsia="en-AU"/>
              </w:rPr>
              <w:t>programme</w:t>
            </w:r>
            <w:proofErr w:type="spellEnd"/>
            <w:r w:rsidRPr="00AC24A2">
              <w:rPr>
                <w:rFonts w:eastAsia="Times New Roman" w:cs="Arial"/>
                <w:b/>
                <w:bCs/>
                <w:color w:val="000000"/>
                <w:sz w:val="28"/>
                <w:szCs w:val="28"/>
                <w:lang w:eastAsia="en-AU"/>
              </w:rPr>
              <w:t xml:space="preserve"> for rare disease</w:t>
            </w:r>
            <w:r w:rsidR="00DC64D9">
              <w:rPr>
                <w:rFonts w:eastAsia="Times New Roman" w:cs="Arial"/>
                <w:b/>
                <w:bCs/>
                <w:color w:val="000000"/>
                <w:sz w:val="28"/>
                <w:szCs w:val="28"/>
                <w:lang w:eastAsia="en-AU"/>
              </w:rPr>
              <w:t>s</w:t>
            </w:r>
          </w:p>
        </w:tc>
      </w:tr>
      <w:tr w:rsidR="00E52F10" w:rsidTr="00FC3D4D">
        <w:tc>
          <w:tcPr>
            <w:tcW w:w="3085" w:type="dxa"/>
          </w:tcPr>
          <w:p w:rsidR="00E52F10" w:rsidRPr="00BB5532" w:rsidRDefault="00E52F10" w:rsidP="00FC3D4D">
            <w:r w:rsidRPr="00BB5532">
              <w:rPr>
                <w:b/>
              </w:rPr>
              <w:t>Action</w:t>
            </w:r>
          </w:p>
        </w:tc>
        <w:tc>
          <w:tcPr>
            <w:tcW w:w="6946" w:type="dxa"/>
          </w:tcPr>
          <w:p w:rsidR="00E52F10" w:rsidRPr="004D30F6" w:rsidRDefault="00E52F10" w:rsidP="004D30F6">
            <w:pPr>
              <w:jc w:val="both"/>
              <w:rPr>
                <w:rFonts w:eastAsia="Times New Roman" w:cs="Arial"/>
                <w:bCs/>
                <w:color w:val="000000"/>
                <w:sz w:val="22"/>
                <w:szCs w:val="22"/>
                <w:lang w:eastAsia="en-AU"/>
              </w:rPr>
            </w:pPr>
            <w:r w:rsidRPr="00BB5532">
              <w:rPr>
                <w:rFonts w:eastAsiaTheme="minorHAnsi" w:cs="Arial"/>
                <w:sz w:val="22"/>
                <w:szCs w:val="22"/>
              </w:rPr>
              <w:t>·</w:t>
            </w:r>
            <w:r w:rsidRPr="004D30F6">
              <w:rPr>
                <w:rFonts w:eastAsia="Times New Roman" w:cs="Arial"/>
                <w:bCs/>
                <w:color w:val="000000"/>
                <w:sz w:val="22"/>
                <w:szCs w:val="22"/>
                <w:lang w:eastAsia="en-AU"/>
              </w:rPr>
              <w:t xml:space="preserve">Drug may be listed through managed entry scheme with data  collected through a registry </w:t>
            </w:r>
          </w:p>
          <w:p w:rsidR="00E52F10" w:rsidRPr="004D30F6" w:rsidRDefault="00E52F10" w:rsidP="004D30F6">
            <w:pPr>
              <w:jc w:val="both"/>
              <w:rPr>
                <w:rFonts w:eastAsia="Times New Roman" w:cs="Arial"/>
                <w:bCs/>
                <w:color w:val="000000"/>
                <w:sz w:val="22"/>
                <w:szCs w:val="22"/>
                <w:lang w:eastAsia="en-AU"/>
              </w:rPr>
            </w:pPr>
            <w:r w:rsidRPr="004D30F6">
              <w:rPr>
                <w:rFonts w:eastAsia="Times New Roman" w:cs="Arial"/>
                <w:bCs/>
                <w:color w:val="000000"/>
                <w:sz w:val="22"/>
                <w:szCs w:val="22"/>
                <w:lang w:eastAsia="en-AU"/>
              </w:rPr>
              <w:t>·An annual report generated and provided to the PBAC</w:t>
            </w:r>
          </w:p>
          <w:p w:rsidR="00E52F10" w:rsidRPr="004D30F6" w:rsidRDefault="00E52F10" w:rsidP="004D30F6">
            <w:pPr>
              <w:jc w:val="both"/>
              <w:rPr>
                <w:rFonts w:eastAsia="Times New Roman" w:cs="Arial"/>
                <w:bCs/>
                <w:color w:val="000000"/>
                <w:sz w:val="22"/>
                <w:szCs w:val="22"/>
                <w:lang w:eastAsia="en-AU"/>
              </w:rPr>
            </w:pPr>
            <w:r w:rsidRPr="004D30F6">
              <w:rPr>
                <w:rFonts w:eastAsia="Times New Roman" w:cs="Arial"/>
                <w:bCs/>
                <w:color w:val="000000"/>
                <w:sz w:val="22"/>
                <w:szCs w:val="22"/>
                <w:lang w:eastAsia="en-AU"/>
              </w:rPr>
              <w:t xml:space="preserve">·Opportunities to engage in risk sharing arrangements prior to listing and for maintaining subsidy </w:t>
            </w:r>
          </w:p>
          <w:p w:rsidR="00303214" w:rsidRPr="004D30F6" w:rsidRDefault="00303214" w:rsidP="004D30F6">
            <w:pPr>
              <w:jc w:val="both"/>
              <w:rPr>
                <w:rFonts w:eastAsia="Times New Roman" w:cs="Arial"/>
                <w:bCs/>
                <w:color w:val="000000"/>
                <w:sz w:val="22"/>
                <w:szCs w:val="22"/>
                <w:lang w:eastAsia="en-AU"/>
              </w:rPr>
            </w:pPr>
            <w:r w:rsidRPr="004D30F6">
              <w:rPr>
                <w:rFonts w:eastAsia="Times New Roman" w:cs="Arial"/>
                <w:bCs/>
                <w:color w:val="000000"/>
                <w:sz w:val="22"/>
                <w:szCs w:val="22"/>
                <w:lang w:eastAsia="en-AU"/>
              </w:rPr>
              <w:t>·Potential for online and fully automated applications and approvals through DHS in the future</w:t>
            </w:r>
          </w:p>
          <w:p w:rsidR="00303214" w:rsidRPr="004D30F6" w:rsidRDefault="00303214" w:rsidP="004D30F6">
            <w:pPr>
              <w:jc w:val="both"/>
              <w:rPr>
                <w:rFonts w:eastAsia="Times New Roman" w:cs="Arial"/>
                <w:bCs/>
                <w:color w:val="000000"/>
                <w:sz w:val="22"/>
                <w:szCs w:val="22"/>
                <w:lang w:eastAsia="en-AU"/>
              </w:rPr>
            </w:pPr>
            <w:r w:rsidRPr="004D30F6">
              <w:rPr>
                <w:rFonts w:eastAsia="Times New Roman" w:cs="Arial"/>
                <w:bCs/>
                <w:color w:val="000000"/>
                <w:sz w:val="22"/>
                <w:szCs w:val="22"/>
                <w:lang w:eastAsia="en-AU"/>
              </w:rPr>
              <w:t xml:space="preserve">·As an option PBS restriction could specify treatment at or in collaboration with/without accredited </w:t>
            </w:r>
            <w:proofErr w:type="spellStart"/>
            <w:r w:rsidRPr="004D30F6">
              <w:rPr>
                <w:rFonts w:eastAsia="Times New Roman" w:cs="Arial"/>
                <w:bCs/>
                <w:color w:val="000000"/>
                <w:sz w:val="22"/>
                <w:szCs w:val="22"/>
                <w:lang w:eastAsia="en-AU"/>
              </w:rPr>
              <w:t>Centres</w:t>
            </w:r>
            <w:proofErr w:type="spellEnd"/>
            <w:r w:rsidRPr="004D30F6">
              <w:rPr>
                <w:rFonts w:eastAsia="Times New Roman" w:cs="Arial"/>
                <w:bCs/>
                <w:color w:val="000000"/>
                <w:sz w:val="22"/>
                <w:szCs w:val="22"/>
                <w:lang w:eastAsia="en-AU"/>
              </w:rPr>
              <w:t xml:space="preserve"> of Expertise</w:t>
            </w:r>
          </w:p>
          <w:p w:rsidR="00303214" w:rsidRPr="004D30F6" w:rsidRDefault="00303214" w:rsidP="004D30F6">
            <w:pPr>
              <w:jc w:val="both"/>
              <w:rPr>
                <w:rFonts w:eastAsia="Times New Roman" w:cs="Arial"/>
                <w:bCs/>
                <w:color w:val="000000"/>
                <w:sz w:val="22"/>
                <w:szCs w:val="22"/>
                <w:lang w:eastAsia="en-AU"/>
              </w:rPr>
            </w:pPr>
            <w:r w:rsidRPr="004D30F6">
              <w:rPr>
                <w:rFonts w:eastAsia="Times New Roman" w:cs="Arial"/>
                <w:bCs/>
                <w:color w:val="000000"/>
                <w:sz w:val="22"/>
                <w:szCs w:val="22"/>
                <w:lang w:eastAsia="en-AU"/>
              </w:rPr>
              <w:t xml:space="preserve">·Entity to approve accredited </w:t>
            </w:r>
            <w:proofErr w:type="spellStart"/>
            <w:r w:rsidRPr="004D30F6">
              <w:rPr>
                <w:rFonts w:eastAsia="Times New Roman" w:cs="Arial"/>
                <w:bCs/>
                <w:color w:val="000000"/>
                <w:sz w:val="22"/>
                <w:szCs w:val="22"/>
                <w:lang w:eastAsia="en-AU"/>
              </w:rPr>
              <w:t>centres</w:t>
            </w:r>
            <w:proofErr w:type="spellEnd"/>
            <w:r w:rsidRPr="004D30F6">
              <w:rPr>
                <w:rFonts w:eastAsia="Times New Roman" w:cs="Arial"/>
                <w:bCs/>
                <w:color w:val="000000"/>
                <w:sz w:val="22"/>
                <w:szCs w:val="22"/>
                <w:lang w:eastAsia="en-AU"/>
              </w:rPr>
              <w:t xml:space="preserve"> or prescribers</w:t>
            </w:r>
            <w:r w:rsidR="007D7390" w:rsidRPr="004D30F6">
              <w:rPr>
                <w:rFonts w:eastAsia="Times New Roman" w:cs="Arial"/>
                <w:bCs/>
                <w:color w:val="000000"/>
                <w:sz w:val="22"/>
                <w:szCs w:val="22"/>
                <w:lang w:eastAsia="en-AU"/>
              </w:rPr>
              <w:t xml:space="preserve"> will need</w:t>
            </w:r>
            <w:r w:rsidRPr="004D30F6">
              <w:rPr>
                <w:rFonts w:eastAsia="Times New Roman" w:cs="Arial"/>
                <w:bCs/>
                <w:color w:val="000000"/>
                <w:sz w:val="22"/>
                <w:szCs w:val="22"/>
                <w:lang w:eastAsia="en-AU"/>
              </w:rPr>
              <w:t xml:space="preserve"> to be determined</w:t>
            </w:r>
          </w:p>
          <w:p w:rsidR="007D7390" w:rsidRPr="004D30F6" w:rsidRDefault="007D7390" w:rsidP="004D30F6">
            <w:pPr>
              <w:jc w:val="both"/>
              <w:rPr>
                <w:rFonts w:eastAsia="Times New Roman" w:cs="Arial"/>
                <w:bCs/>
                <w:color w:val="000000"/>
                <w:sz w:val="22"/>
                <w:szCs w:val="22"/>
                <w:lang w:eastAsia="en-AU"/>
              </w:rPr>
            </w:pPr>
            <w:r w:rsidRPr="004D30F6">
              <w:rPr>
                <w:rFonts w:eastAsia="Times New Roman" w:cs="Arial"/>
                <w:bCs/>
                <w:color w:val="000000"/>
                <w:sz w:val="22"/>
                <w:szCs w:val="22"/>
                <w:lang w:eastAsia="en-AU"/>
              </w:rPr>
              <w:t>·Option to incorporate current PBS rule of rescue and current LSDP criteria into one set of new decision rules</w:t>
            </w:r>
          </w:p>
          <w:p w:rsidR="00303214" w:rsidRPr="00BB5532" w:rsidRDefault="007D7390" w:rsidP="004D30F6">
            <w:pPr>
              <w:jc w:val="both"/>
              <w:rPr>
                <w:rFonts w:eastAsiaTheme="minorHAnsi" w:cs="Arial"/>
                <w:sz w:val="22"/>
                <w:szCs w:val="22"/>
              </w:rPr>
            </w:pPr>
            <w:r w:rsidRPr="004D30F6">
              <w:rPr>
                <w:rFonts w:eastAsia="Times New Roman" w:cs="Arial"/>
                <w:bCs/>
                <w:color w:val="000000"/>
                <w:sz w:val="22"/>
                <w:szCs w:val="22"/>
                <w:lang w:eastAsia="en-AU"/>
              </w:rPr>
              <w:t>·Requires legislative and administrative change.</w:t>
            </w:r>
          </w:p>
        </w:tc>
      </w:tr>
      <w:tr w:rsidR="00E52F10" w:rsidTr="00FC3D4D">
        <w:tc>
          <w:tcPr>
            <w:tcW w:w="3085" w:type="dxa"/>
          </w:tcPr>
          <w:p w:rsidR="00E52F10" w:rsidRPr="00BB5532" w:rsidRDefault="00303214" w:rsidP="00FC3D4D">
            <w:r>
              <w:rPr>
                <w:rFonts w:eastAsia="Times New Roman" w:cs="Arial"/>
                <w:b/>
                <w:bCs/>
                <w:color w:val="000000"/>
                <w:lang w:eastAsia="en-AU"/>
              </w:rPr>
              <w:t>R</w:t>
            </w:r>
            <w:r w:rsidR="00E52F10" w:rsidRPr="00E2391C">
              <w:rPr>
                <w:rFonts w:eastAsia="Times New Roman" w:cs="Arial"/>
                <w:b/>
                <w:bCs/>
                <w:color w:val="000000"/>
                <w:lang w:eastAsia="en-AU"/>
              </w:rPr>
              <w:t>isks</w:t>
            </w:r>
          </w:p>
        </w:tc>
        <w:tc>
          <w:tcPr>
            <w:tcW w:w="6946" w:type="dxa"/>
          </w:tcPr>
          <w:p w:rsidR="00303214" w:rsidRPr="004D30F6" w:rsidRDefault="00E52F10" w:rsidP="004D30F6">
            <w:pPr>
              <w:jc w:val="both"/>
              <w:rPr>
                <w:rFonts w:eastAsia="Times New Roman" w:cs="Arial"/>
                <w:bCs/>
                <w:color w:val="000000"/>
                <w:sz w:val="22"/>
                <w:szCs w:val="22"/>
                <w:lang w:eastAsia="en-AU"/>
              </w:rPr>
            </w:pPr>
            <w:r w:rsidRPr="004D30F6">
              <w:rPr>
                <w:rFonts w:eastAsia="Times New Roman" w:cs="Arial"/>
                <w:bCs/>
                <w:color w:val="000000"/>
                <w:sz w:val="22"/>
                <w:szCs w:val="22"/>
                <w:lang w:eastAsia="en-AU"/>
              </w:rPr>
              <w:t>·</w:t>
            </w:r>
            <w:r w:rsidR="00303214" w:rsidRPr="004D30F6">
              <w:rPr>
                <w:rFonts w:eastAsia="Times New Roman" w:cs="Arial"/>
                <w:bCs/>
                <w:color w:val="000000"/>
                <w:sz w:val="22"/>
                <w:szCs w:val="22"/>
                <w:lang w:eastAsia="en-AU"/>
              </w:rPr>
              <w:t xml:space="preserve">If to be fully automated, would require objective set of guidelines and criteria </w:t>
            </w:r>
          </w:p>
          <w:p w:rsidR="007D7390" w:rsidRPr="004D30F6" w:rsidRDefault="00303214" w:rsidP="004D30F6">
            <w:pPr>
              <w:jc w:val="both"/>
              <w:rPr>
                <w:rFonts w:eastAsia="Times New Roman" w:cs="Arial"/>
                <w:bCs/>
                <w:color w:val="000000"/>
                <w:sz w:val="22"/>
                <w:szCs w:val="22"/>
                <w:lang w:eastAsia="en-AU"/>
              </w:rPr>
            </w:pPr>
            <w:r w:rsidRPr="004D30F6">
              <w:rPr>
                <w:rFonts w:eastAsia="Times New Roman" w:cs="Arial"/>
                <w:bCs/>
                <w:color w:val="000000"/>
                <w:sz w:val="22"/>
                <w:szCs w:val="22"/>
                <w:lang w:eastAsia="en-AU"/>
              </w:rPr>
              <w:t>·Require IT systems to be built or modified by Department of Human Services</w:t>
            </w:r>
          </w:p>
          <w:p w:rsidR="00303214" w:rsidRPr="004D30F6" w:rsidRDefault="004D30F6" w:rsidP="004D30F6">
            <w:pPr>
              <w:jc w:val="both"/>
              <w:rPr>
                <w:rFonts w:eastAsia="Times New Roman" w:cs="Arial"/>
                <w:bCs/>
                <w:color w:val="000000"/>
                <w:sz w:val="22"/>
                <w:szCs w:val="22"/>
                <w:lang w:eastAsia="en-AU"/>
              </w:rPr>
            </w:pPr>
            <w:r w:rsidRPr="004D30F6">
              <w:rPr>
                <w:rFonts w:eastAsia="Times New Roman" w:cs="Arial"/>
                <w:bCs/>
                <w:color w:val="000000"/>
                <w:sz w:val="22"/>
                <w:szCs w:val="22"/>
                <w:lang w:eastAsia="en-AU"/>
              </w:rPr>
              <w:t>·</w:t>
            </w:r>
            <w:r w:rsidR="00303214" w:rsidRPr="004D30F6">
              <w:rPr>
                <w:rFonts w:eastAsia="Times New Roman" w:cs="Arial"/>
                <w:bCs/>
                <w:color w:val="000000"/>
                <w:sz w:val="22"/>
                <w:szCs w:val="22"/>
                <w:lang w:eastAsia="en-AU"/>
              </w:rPr>
              <w:t xml:space="preserve">If the operation of the PBS restriction require the establishment of </w:t>
            </w:r>
            <w:proofErr w:type="spellStart"/>
            <w:r w:rsidR="00303214" w:rsidRPr="004D30F6">
              <w:rPr>
                <w:rFonts w:eastAsia="Times New Roman" w:cs="Arial"/>
                <w:bCs/>
                <w:color w:val="000000"/>
                <w:sz w:val="22"/>
                <w:szCs w:val="22"/>
                <w:lang w:eastAsia="en-AU"/>
              </w:rPr>
              <w:t>Ce</w:t>
            </w:r>
            <w:r w:rsidR="00DC64D9" w:rsidRPr="004D30F6">
              <w:rPr>
                <w:rFonts w:eastAsia="Times New Roman" w:cs="Arial"/>
                <w:bCs/>
                <w:color w:val="000000"/>
                <w:sz w:val="22"/>
                <w:szCs w:val="22"/>
                <w:lang w:eastAsia="en-AU"/>
              </w:rPr>
              <w:t>ntres</w:t>
            </w:r>
            <w:proofErr w:type="spellEnd"/>
            <w:r w:rsidR="00DC64D9" w:rsidRPr="004D30F6">
              <w:rPr>
                <w:rFonts w:eastAsia="Times New Roman" w:cs="Arial"/>
                <w:bCs/>
                <w:color w:val="000000"/>
                <w:sz w:val="22"/>
                <w:szCs w:val="22"/>
                <w:lang w:eastAsia="en-AU"/>
              </w:rPr>
              <w:t xml:space="preserve"> of Expertise the</w:t>
            </w:r>
            <w:r w:rsidR="00303214" w:rsidRPr="004D30F6">
              <w:rPr>
                <w:rFonts w:eastAsia="Times New Roman" w:cs="Arial"/>
                <w:bCs/>
                <w:color w:val="000000"/>
                <w:sz w:val="22"/>
                <w:szCs w:val="22"/>
                <w:lang w:eastAsia="en-AU"/>
              </w:rPr>
              <w:t xml:space="preserve"> issues are:</w:t>
            </w:r>
          </w:p>
          <w:p w:rsidR="00E52F10" w:rsidRPr="004D30F6" w:rsidRDefault="00303214" w:rsidP="004D30F6">
            <w:pPr>
              <w:jc w:val="both"/>
              <w:rPr>
                <w:rFonts w:eastAsia="Times New Roman" w:cs="Arial"/>
                <w:bCs/>
                <w:color w:val="000000"/>
                <w:sz w:val="22"/>
                <w:szCs w:val="22"/>
                <w:lang w:eastAsia="en-AU"/>
              </w:rPr>
            </w:pPr>
            <w:r w:rsidRPr="004D30F6">
              <w:rPr>
                <w:rFonts w:eastAsia="Times New Roman" w:cs="Arial"/>
                <w:bCs/>
                <w:color w:val="000000"/>
                <w:sz w:val="22"/>
                <w:szCs w:val="22"/>
                <w:lang w:eastAsia="en-AU"/>
              </w:rPr>
              <w:t>·</w:t>
            </w:r>
            <w:r w:rsidR="00E52F10" w:rsidRPr="004D30F6">
              <w:rPr>
                <w:rFonts w:eastAsia="Times New Roman" w:cs="Arial"/>
                <w:bCs/>
                <w:color w:val="000000"/>
                <w:sz w:val="22"/>
                <w:szCs w:val="22"/>
                <w:lang w:eastAsia="en-AU"/>
              </w:rPr>
              <w:t xml:space="preserve">Time and resources required to establish  </w:t>
            </w:r>
            <w:proofErr w:type="spellStart"/>
            <w:r w:rsidR="00E52F10" w:rsidRPr="004D30F6">
              <w:rPr>
                <w:rFonts w:eastAsia="Times New Roman" w:cs="Arial"/>
                <w:bCs/>
                <w:color w:val="000000"/>
                <w:sz w:val="22"/>
                <w:szCs w:val="22"/>
                <w:lang w:eastAsia="en-AU"/>
              </w:rPr>
              <w:t>Centres</w:t>
            </w:r>
            <w:proofErr w:type="spellEnd"/>
            <w:r w:rsidR="00E52F10" w:rsidRPr="004D30F6">
              <w:rPr>
                <w:rFonts w:eastAsia="Times New Roman" w:cs="Arial"/>
                <w:bCs/>
                <w:color w:val="000000"/>
                <w:sz w:val="22"/>
                <w:szCs w:val="22"/>
                <w:lang w:eastAsia="en-AU"/>
              </w:rPr>
              <w:t xml:space="preserve"> of Expertise</w:t>
            </w:r>
          </w:p>
          <w:p w:rsidR="00E52F10" w:rsidRPr="004D30F6" w:rsidRDefault="00E52F10" w:rsidP="004D30F6">
            <w:pPr>
              <w:jc w:val="both"/>
              <w:rPr>
                <w:rFonts w:eastAsia="Times New Roman" w:cs="Arial"/>
                <w:bCs/>
                <w:color w:val="000000"/>
                <w:sz w:val="22"/>
                <w:szCs w:val="22"/>
                <w:lang w:eastAsia="en-AU"/>
              </w:rPr>
            </w:pPr>
            <w:r w:rsidRPr="004D30F6">
              <w:rPr>
                <w:rFonts w:eastAsia="Times New Roman" w:cs="Arial"/>
                <w:bCs/>
                <w:color w:val="000000"/>
                <w:sz w:val="22"/>
                <w:szCs w:val="22"/>
                <w:lang w:eastAsia="en-AU"/>
              </w:rPr>
              <w:t>·Requires states and territories agree</w:t>
            </w:r>
            <w:r w:rsidR="00303214" w:rsidRPr="004D30F6">
              <w:rPr>
                <w:rFonts w:eastAsia="Times New Roman" w:cs="Arial"/>
                <w:bCs/>
                <w:color w:val="000000"/>
                <w:sz w:val="22"/>
                <w:szCs w:val="22"/>
                <w:lang w:eastAsia="en-AU"/>
              </w:rPr>
              <w:t>ment</w:t>
            </w:r>
            <w:r w:rsidRPr="004D30F6">
              <w:rPr>
                <w:rFonts w:eastAsia="Times New Roman" w:cs="Arial"/>
                <w:bCs/>
                <w:color w:val="000000"/>
                <w:sz w:val="22"/>
                <w:szCs w:val="22"/>
                <w:lang w:eastAsia="en-AU"/>
              </w:rPr>
              <w:t xml:space="preserve"> and to determine </w:t>
            </w:r>
            <w:proofErr w:type="spellStart"/>
            <w:r w:rsidRPr="004D30F6">
              <w:rPr>
                <w:rFonts w:eastAsia="Times New Roman" w:cs="Arial"/>
                <w:bCs/>
                <w:color w:val="000000"/>
                <w:sz w:val="22"/>
                <w:szCs w:val="22"/>
                <w:lang w:eastAsia="en-AU"/>
              </w:rPr>
              <w:t>Centres</w:t>
            </w:r>
            <w:proofErr w:type="spellEnd"/>
            <w:r w:rsidRPr="004D30F6">
              <w:rPr>
                <w:rFonts w:eastAsia="Times New Roman" w:cs="Arial"/>
                <w:bCs/>
                <w:color w:val="000000"/>
                <w:sz w:val="22"/>
                <w:szCs w:val="22"/>
                <w:lang w:eastAsia="en-AU"/>
              </w:rPr>
              <w:t xml:space="preserve"> of </w:t>
            </w:r>
            <w:r w:rsidR="00303214" w:rsidRPr="004D30F6">
              <w:rPr>
                <w:rFonts w:eastAsia="Times New Roman" w:cs="Arial"/>
                <w:bCs/>
                <w:color w:val="000000"/>
                <w:sz w:val="22"/>
                <w:szCs w:val="22"/>
                <w:lang w:eastAsia="en-AU"/>
              </w:rPr>
              <w:t>d</w:t>
            </w:r>
            <w:r w:rsidRPr="004D30F6">
              <w:rPr>
                <w:rFonts w:eastAsia="Times New Roman" w:cs="Arial"/>
                <w:bCs/>
                <w:color w:val="000000"/>
                <w:sz w:val="22"/>
                <w:szCs w:val="22"/>
                <w:lang w:eastAsia="en-AU"/>
              </w:rPr>
              <w:t>isease Expertise</w:t>
            </w:r>
          </w:p>
          <w:p w:rsidR="00E52F10" w:rsidRPr="004D30F6" w:rsidRDefault="00E52F10" w:rsidP="004D30F6">
            <w:pPr>
              <w:jc w:val="both"/>
              <w:rPr>
                <w:rFonts w:eastAsia="Times New Roman" w:cs="Arial"/>
                <w:bCs/>
                <w:color w:val="000000"/>
                <w:sz w:val="22"/>
                <w:szCs w:val="22"/>
                <w:lang w:eastAsia="en-AU"/>
              </w:rPr>
            </w:pPr>
            <w:r w:rsidRPr="004D30F6">
              <w:rPr>
                <w:rFonts w:eastAsia="Times New Roman" w:cs="Arial"/>
                <w:bCs/>
                <w:color w:val="000000"/>
                <w:sz w:val="22"/>
                <w:szCs w:val="22"/>
                <w:lang w:eastAsia="en-AU"/>
              </w:rPr>
              <w:t xml:space="preserve">·Requires states and territories to take responsibility in providing services in area of disease expertise to regional areas or </w:t>
            </w:r>
            <w:r w:rsidR="00DC64D9" w:rsidRPr="004D30F6">
              <w:rPr>
                <w:rFonts w:eastAsia="Times New Roman" w:cs="Arial"/>
                <w:bCs/>
                <w:color w:val="000000"/>
                <w:sz w:val="22"/>
                <w:szCs w:val="22"/>
                <w:lang w:eastAsia="en-AU"/>
              </w:rPr>
              <w:t xml:space="preserve">some </w:t>
            </w:r>
            <w:r w:rsidRPr="004D30F6">
              <w:rPr>
                <w:rFonts w:eastAsia="Times New Roman" w:cs="Arial"/>
                <w:bCs/>
                <w:color w:val="000000"/>
                <w:sz w:val="22"/>
                <w:szCs w:val="22"/>
                <w:lang w:eastAsia="en-AU"/>
              </w:rPr>
              <w:t>smaller states</w:t>
            </w:r>
            <w:r w:rsidR="00303214" w:rsidRPr="004D30F6">
              <w:rPr>
                <w:rFonts w:eastAsia="Times New Roman" w:cs="Arial"/>
                <w:bCs/>
                <w:color w:val="000000"/>
                <w:sz w:val="22"/>
                <w:szCs w:val="22"/>
                <w:lang w:eastAsia="en-AU"/>
              </w:rPr>
              <w:t xml:space="preserve"> and territories</w:t>
            </w:r>
          </w:p>
          <w:p w:rsidR="00E52F10" w:rsidRPr="004D30F6" w:rsidRDefault="00E52F10" w:rsidP="004D30F6">
            <w:pPr>
              <w:jc w:val="both"/>
              <w:rPr>
                <w:rFonts w:eastAsia="Times New Roman" w:cs="Arial"/>
                <w:bCs/>
                <w:color w:val="000000"/>
                <w:sz w:val="22"/>
                <w:szCs w:val="22"/>
                <w:lang w:eastAsia="en-AU"/>
              </w:rPr>
            </w:pPr>
            <w:r w:rsidRPr="004D30F6">
              <w:rPr>
                <w:rFonts w:eastAsia="Times New Roman" w:cs="Arial"/>
                <w:bCs/>
                <w:color w:val="000000"/>
                <w:sz w:val="22"/>
                <w:szCs w:val="22"/>
                <w:lang w:eastAsia="en-AU"/>
              </w:rPr>
              <w:t xml:space="preserve">·Approved prescriber and accredited </w:t>
            </w:r>
            <w:proofErr w:type="spellStart"/>
            <w:r w:rsidRPr="004D30F6">
              <w:rPr>
                <w:rFonts w:eastAsia="Times New Roman" w:cs="Arial"/>
                <w:bCs/>
                <w:color w:val="000000"/>
                <w:sz w:val="22"/>
                <w:szCs w:val="22"/>
                <w:lang w:eastAsia="en-AU"/>
              </w:rPr>
              <w:t>centres</w:t>
            </w:r>
            <w:proofErr w:type="spellEnd"/>
            <w:r w:rsidRPr="004D30F6">
              <w:rPr>
                <w:rFonts w:eastAsia="Times New Roman" w:cs="Arial"/>
                <w:bCs/>
                <w:color w:val="000000"/>
                <w:sz w:val="22"/>
                <w:szCs w:val="22"/>
                <w:lang w:eastAsia="en-AU"/>
              </w:rPr>
              <w:t xml:space="preserve"> would need to be identified</w:t>
            </w:r>
          </w:p>
          <w:p w:rsidR="007D7390" w:rsidRPr="004D30F6" w:rsidRDefault="00E52F10" w:rsidP="004D30F6">
            <w:pPr>
              <w:jc w:val="both"/>
              <w:rPr>
                <w:rFonts w:eastAsia="Times New Roman" w:cs="Arial"/>
                <w:bCs/>
                <w:color w:val="000000"/>
                <w:sz w:val="22"/>
                <w:szCs w:val="22"/>
                <w:lang w:eastAsia="en-AU"/>
              </w:rPr>
            </w:pPr>
            <w:r w:rsidRPr="004D30F6">
              <w:rPr>
                <w:rFonts w:eastAsia="Times New Roman" w:cs="Arial"/>
                <w:bCs/>
                <w:color w:val="000000"/>
                <w:sz w:val="22"/>
                <w:szCs w:val="22"/>
                <w:lang w:eastAsia="en-AU"/>
              </w:rPr>
              <w:t>·</w:t>
            </w:r>
            <w:r w:rsidR="00DC64D9" w:rsidRPr="004D30F6">
              <w:rPr>
                <w:rFonts w:eastAsia="Times New Roman" w:cs="Arial"/>
                <w:bCs/>
                <w:color w:val="000000"/>
                <w:sz w:val="22"/>
                <w:szCs w:val="22"/>
                <w:lang w:eastAsia="en-AU"/>
              </w:rPr>
              <w:t>Would r</w:t>
            </w:r>
            <w:r w:rsidRPr="004D30F6">
              <w:rPr>
                <w:rFonts w:eastAsia="Times New Roman" w:cs="Arial"/>
                <w:bCs/>
                <w:color w:val="000000"/>
                <w:sz w:val="22"/>
                <w:szCs w:val="22"/>
                <w:lang w:eastAsia="en-AU"/>
              </w:rPr>
              <w:t>equire changes</w:t>
            </w:r>
            <w:r w:rsidR="00303214" w:rsidRPr="004D30F6">
              <w:rPr>
                <w:rFonts w:eastAsia="Times New Roman" w:cs="Arial"/>
                <w:bCs/>
                <w:color w:val="000000"/>
                <w:sz w:val="22"/>
                <w:szCs w:val="22"/>
                <w:lang w:eastAsia="en-AU"/>
              </w:rPr>
              <w:t xml:space="preserve"> to legislation</w:t>
            </w:r>
          </w:p>
          <w:p w:rsidR="007D7390" w:rsidRPr="004D30F6" w:rsidRDefault="007D7390" w:rsidP="004D30F6">
            <w:pPr>
              <w:jc w:val="both"/>
              <w:rPr>
                <w:rFonts w:eastAsia="Times New Roman" w:cs="Arial"/>
                <w:bCs/>
                <w:color w:val="000000"/>
                <w:sz w:val="22"/>
                <w:szCs w:val="22"/>
                <w:lang w:eastAsia="en-AU"/>
              </w:rPr>
            </w:pPr>
            <w:r w:rsidRPr="004D30F6">
              <w:rPr>
                <w:rFonts w:eastAsia="Times New Roman" w:cs="Arial"/>
                <w:bCs/>
                <w:color w:val="000000"/>
                <w:sz w:val="22"/>
                <w:szCs w:val="22"/>
                <w:lang w:eastAsia="en-AU"/>
              </w:rPr>
              <w:t>· If current PBS rule of rescue and LSDP criteria is combined</w:t>
            </w:r>
            <w:r w:rsidR="00DC64D9" w:rsidRPr="004D30F6">
              <w:rPr>
                <w:rFonts w:eastAsia="Times New Roman" w:cs="Arial"/>
                <w:bCs/>
                <w:color w:val="000000"/>
                <w:sz w:val="22"/>
                <w:szCs w:val="22"/>
                <w:lang w:eastAsia="en-AU"/>
              </w:rPr>
              <w:t xml:space="preserve"> the following issues arise</w:t>
            </w:r>
            <w:r w:rsidRPr="004D30F6">
              <w:rPr>
                <w:rFonts w:eastAsia="Times New Roman" w:cs="Arial"/>
                <w:bCs/>
                <w:color w:val="000000"/>
                <w:sz w:val="22"/>
                <w:szCs w:val="22"/>
                <w:lang w:eastAsia="en-AU"/>
              </w:rPr>
              <w:t>:</w:t>
            </w:r>
          </w:p>
          <w:p w:rsidR="007D7390" w:rsidRPr="004D30F6" w:rsidRDefault="007D7390" w:rsidP="004D30F6">
            <w:pPr>
              <w:jc w:val="both"/>
              <w:rPr>
                <w:rFonts w:eastAsia="Times New Roman" w:cs="Arial"/>
                <w:bCs/>
                <w:color w:val="000000"/>
                <w:sz w:val="22"/>
                <w:szCs w:val="22"/>
                <w:lang w:eastAsia="en-AU"/>
              </w:rPr>
            </w:pPr>
            <w:r w:rsidRPr="004D30F6">
              <w:rPr>
                <w:rFonts w:eastAsia="Times New Roman" w:cs="Arial"/>
                <w:bCs/>
                <w:color w:val="000000"/>
                <w:sz w:val="22"/>
                <w:szCs w:val="22"/>
                <w:lang w:eastAsia="en-AU"/>
              </w:rPr>
              <w:t xml:space="preserve"> ·May be seen to disadvantage future LSDP recipients</w:t>
            </w:r>
          </w:p>
          <w:p w:rsidR="007D7390" w:rsidRPr="004D30F6" w:rsidRDefault="007D7390" w:rsidP="004D30F6">
            <w:pPr>
              <w:jc w:val="both"/>
              <w:rPr>
                <w:rFonts w:eastAsia="Times New Roman" w:cs="Arial"/>
                <w:bCs/>
                <w:color w:val="000000"/>
                <w:sz w:val="22"/>
                <w:szCs w:val="22"/>
                <w:lang w:eastAsia="en-AU"/>
              </w:rPr>
            </w:pPr>
            <w:r w:rsidRPr="004D30F6">
              <w:rPr>
                <w:rFonts w:eastAsia="Times New Roman" w:cs="Arial"/>
                <w:bCs/>
                <w:color w:val="000000"/>
                <w:sz w:val="22"/>
                <w:szCs w:val="22"/>
                <w:lang w:eastAsia="en-AU"/>
              </w:rPr>
              <w:t>·Decision making could be seen as more administratively complex</w:t>
            </w:r>
          </w:p>
          <w:p w:rsidR="00E52F10" w:rsidRPr="00BB5532" w:rsidRDefault="007D7390" w:rsidP="004D30F6">
            <w:pPr>
              <w:jc w:val="both"/>
              <w:rPr>
                <w:rFonts w:cs="Arial"/>
              </w:rPr>
            </w:pPr>
            <w:r w:rsidRPr="004D30F6">
              <w:rPr>
                <w:rFonts w:eastAsia="Times New Roman" w:cs="Arial"/>
                <w:bCs/>
                <w:color w:val="000000"/>
                <w:sz w:val="22"/>
                <w:szCs w:val="22"/>
                <w:lang w:eastAsia="en-AU"/>
              </w:rPr>
              <w:t xml:space="preserve">·Costs and resources </w:t>
            </w:r>
            <w:r w:rsidR="00DC64D9" w:rsidRPr="004D30F6">
              <w:rPr>
                <w:rFonts w:eastAsia="Times New Roman" w:cs="Arial"/>
                <w:bCs/>
                <w:color w:val="000000"/>
                <w:sz w:val="22"/>
                <w:szCs w:val="22"/>
                <w:lang w:eastAsia="en-AU"/>
              </w:rPr>
              <w:t xml:space="preserve">required </w:t>
            </w:r>
            <w:r w:rsidRPr="004D30F6">
              <w:rPr>
                <w:rFonts w:eastAsia="Times New Roman" w:cs="Arial"/>
                <w:bCs/>
                <w:color w:val="000000"/>
                <w:sz w:val="22"/>
                <w:szCs w:val="22"/>
                <w:lang w:eastAsia="en-AU"/>
              </w:rPr>
              <w:t>to make changes to the current system</w:t>
            </w:r>
          </w:p>
        </w:tc>
      </w:tr>
      <w:tr w:rsidR="00E52F10" w:rsidTr="00FC3D4D">
        <w:tc>
          <w:tcPr>
            <w:tcW w:w="3085" w:type="dxa"/>
          </w:tcPr>
          <w:p w:rsidR="00E52F10" w:rsidRPr="00BB5532" w:rsidRDefault="00303214" w:rsidP="00FC3D4D">
            <w:r>
              <w:rPr>
                <w:rFonts w:eastAsia="Times New Roman" w:cs="Arial"/>
                <w:b/>
                <w:bCs/>
                <w:color w:val="000000"/>
                <w:lang w:eastAsia="en-AU"/>
              </w:rPr>
              <w:t>B</w:t>
            </w:r>
            <w:r w:rsidR="00E52F10" w:rsidRPr="00E2391C">
              <w:rPr>
                <w:rFonts w:eastAsia="Times New Roman" w:cs="Arial"/>
                <w:b/>
                <w:bCs/>
                <w:color w:val="000000"/>
                <w:lang w:eastAsia="en-AU"/>
              </w:rPr>
              <w:t>enefits</w:t>
            </w:r>
          </w:p>
        </w:tc>
        <w:tc>
          <w:tcPr>
            <w:tcW w:w="6946" w:type="dxa"/>
          </w:tcPr>
          <w:p w:rsidR="00303214" w:rsidRPr="004D30F6" w:rsidRDefault="00E52F10" w:rsidP="004D30F6">
            <w:pPr>
              <w:jc w:val="both"/>
              <w:rPr>
                <w:rFonts w:eastAsia="Times New Roman" w:cs="Arial"/>
                <w:bCs/>
                <w:color w:val="000000"/>
                <w:sz w:val="22"/>
                <w:szCs w:val="22"/>
                <w:lang w:eastAsia="en-AU"/>
              </w:rPr>
            </w:pPr>
            <w:r w:rsidRPr="004D30F6">
              <w:rPr>
                <w:rFonts w:eastAsia="Times New Roman" w:cs="Arial"/>
                <w:bCs/>
                <w:color w:val="000000"/>
                <w:sz w:val="22"/>
                <w:szCs w:val="22"/>
                <w:lang w:eastAsia="en-AU"/>
              </w:rPr>
              <w:t xml:space="preserve">· </w:t>
            </w:r>
            <w:r w:rsidR="00303214" w:rsidRPr="004D30F6">
              <w:rPr>
                <w:rFonts w:eastAsia="Times New Roman" w:cs="Arial"/>
                <w:bCs/>
                <w:color w:val="000000"/>
                <w:sz w:val="22"/>
                <w:szCs w:val="22"/>
                <w:lang w:eastAsia="en-AU"/>
              </w:rPr>
              <w:t>Well established and long functioning mechanism</w:t>
            </w:r>
          </w:p>
          <w:p w:rsidR="00E52F10" w:rsidRPr="004D30F6" w:rsidRDefault="00303214" w:rsidP="004D30F6">
            <w:pPr>
              <w:jc w:val="both"/>
              <w:rPr>
                <w:rFonts w:eastAsia="Times New Roman" w:cs="Arial"/>
                <w:bCs/>
                <w:color w:val="000000"/>
                <w:sz w:val="22"/>
                <w:szCs w:val="22"/>
                <w:lang w:eastAsia="en-AU"/>
              </w:rPr>
            </w:pPr>
            <w:r w:rsidRPr="004D30F6">
              <w:rPr>
                <w:rFonts w:eastAsia="Times New Roman" w:cs="Arial"/>
                <w:bCs/>
                <w:color w:val="000000"/>
                <w:sz w:val="22"/>
                <w:szCs w:val="22"/>
                <w:lang w:eastAsia="en-AU"/>
              </w:rPr>
              <w:t>·</w:t>
            </w:r>
            <w:r w:rsidR="00E52F10" w:rsidRPr="004D30F6">
              <w:rPr>
                <w:rFonts w:eastAsia="Times New Roman" w:cs="Arial"/>
                <w:bCs/>
                <w:color w:val="000000"/>
                <w:sz w:val="22"/>
                <w:szCs w:val="22"/>
                <w:lang w:eastAsia="en-AU"/>
              </w:rPr>
              <w:t xml:space="preserve">S100 special arrangement </w:t>
            </w:r>
            <w:proofErr w:type="spellStart"/>
            <w:r w:rsidR="00E52F10" w:rsidRPr="004D30F6">
              <w:rPr>
                <w:rFonts w:eastAsia="Times New Roman" w:cs="Arial"/>
                <w:bCs/>
                <w:color w:val="000000"/>
                <w:sz w:val="22"/>
                <w:szCs w:val="22"/>
                <w:lang w:eastAsia="en-AU"/>
              </w:rPr>
              <w:t>programmes</w:t>
            </w:r>
            <w:proofErr w:type="spellEnd"/>
            <w:r w:rsidR="00E52F10" w:rsidRPr="004D30F6">
              <w:rPr>
                <w:rFonts w:eastAsia="Times New Roman" w:cs="Arial"/>
                <w:bCs/>
                <w:color w:val="000000"/>
                <w:sz w:val="22"/>
                <w:szCs w:val="22"/>
                <w:lang w:eastAsia="en-AU"/>
              </w:rPr>
              <w:t xml:space="preserve"> are already in operation and are familiar to stakeholders</w:t>
            </w:r>
          </w:p>
          <w:p w:rsidR="00303214" w:rsidRPr="004D30F6" w:rsidRDefault="00303214" w:rsidP="004D30F6">
            <w:pPr>
              <w:jc w:val="both"/>
              <w:rPr>
                <w:rFonts w:eastAsia="Times New Roman" w:cs="Arial"/>
                <w:bCs/>
                <w:color w:val="000000"/>
                <w:sz w:val="22"/>
                <w:szCs w:val="22"/>
                <w:lang w:eastAsia="en-AU"/>
              </w:rPr>
            </w:pPr>
            <w:r w:rsidRPr="004D30F6">
              <w:rPr>
                <w:rFonts w:eastAsia="Times New Roman" w:cs="Arial"/>
                <w:bCs/>
                <w:color w:val="000000"/>
                <w:sz w:val="22"/>
                <w:szCs w:val="22"/>
                <w:lang w:eastAsia="en-AU"/>
              </w:rPr>
              <w:t>·General oversight by the PBAC retained</w:t>
            </w:r>
          </w:p>
          <w:p w:rsidR="00E52F10" w:rsidRPr="004D30F6" w:rsidRDefault="00E52F10" w:rsidP="004D30F6">
            <w:pPr>
              <w:jc w:val="both"/>
              <w:rPr>
                <w:rFonts w:eastAsia="Times New Roman" w:cs="Arial"/>
                <w:bCs/>
                <w:color w:val="000000"/>
                <w:sz w:val="22"/>
                <w:szCs w:val="22"/>
                <w:lang w:eastAsia="en-AU"/>
              </w:rPr>
            </w:pPr>
            <w:r w:rsidRPr="004D30F6">
              <w:rPr>
                <w:rFonts w:eastAsia="Times New Roman" w:cs="Arial"/>
                <w:bCs/>
                <w:color w:val="000000"/>
                <w:sz w:val="22"/>
                <w:szCs w:val="22"/>
                <w:lang w:eastAsia="en-AU"/>
              </w:rPr>
              <w:t>·</w:t>
            </w:r>
            <w:proofErr w:type="spellStart"/>
            <w:r w:rsidRPr="004D30F6">
              <w:rPr>
                <w:rFonts w:eastAsia="Times New Roman" w:cs="Arial"/>
                <w:bCs/>
                <w:color w:val="000000"/>
                <w:sz w:val="22"/>
                <w:szCs w:val="22"/>
                <w:lang w:eastAsia="en-AU"/>
              </w:rPr>
              <w:t>Specialised</w:t>
            </w:r>
            <w:proofErr w:type="spellEnd"/>
            <w:r w:rsidRPr="004D30F6">
              <w:rPr>
                <w:rFonts w:eastAsia="Times New Roman" w:cs="Arial"/>
                <w:bCs/>
                <w:color w:val="000000"/>
                <w:sz w:val="22"/>
                <w:szCs w:val="22"/>
                <w:lang w:eastAsia="en-AU"/>
              </w:rPr>
              <w:t xml:space="preserve"> </w:t>
            </w:r>
            <w:proofErr w:type="spellStart"/>
            <w:r w:rsidRPr="004D30F6">
              <w:rPr>
                <w:rFonts w:eastAsia="Times New Roman" w:cs="Arial"/>
                <w:bCs/>
                <w:color w:val="000000"/>
                <w:sz w:val="22"/>
                <w:szCs w:val="22"/>
                <w:lang w:eastAsia="en-AU"/>
              </w:rPr>
              <w:t>centres</w:t>
            </w:r>
            <w:proofErr w:type="spellEnd"/>
            <w:r w:rsidRPr="004D30F6">
              <w:rPr>
                <w:rFonts w:eastAsia="Times New Roman" w:cs="Arial"/>
                <w:bCs/>
                <w:color w:val="000000"/>
                <w:sz w:val="22"/>
                <w:szCs w:val="22"/>
                <w:lang w:eastAsia="en-AU"/>
              </w:rPr>
              <w:t xml:space="preserve"> already exist eg. Fabry disease</w:t>
            </w:r>
          </w:p>
          <w:p w:rsidR="00E52F10" w:rsidRPr="004D30F6" w:rsidRDefault="00E52F10" w:rsidP="004D30F6">
            <w:pPr>
              <w:jc w:val="both"/>
              <w:rPr>
                <w:rFonts w:eastAsia="Times New Roman" w:cs="Arial"/>
                <w:bCs/>
                <w:color w:val="000000"/>
                <w:sz w:val="22"/>
                <w:szCs w:val="22"/>
                <w:lang w:eastAsia="en-AU"/>
              </w:rPr>
            </w:pPr>
            <w:r w:rsidRPr="004D30F6">
              <w:rPr>
                <w:rFonts w:eastAsia="Times New Roman" w:cs="Arial"/>
                <w:bCs/>
                <w:color w:val="000000"/>
                <w:sz w:val="22"/>
                <w:szCs w:val="22"/>
                <w:lang w:eastAsia="en-AU"/>
              </w:rPr>
              <w:t xml:space="preserve">·If more than one Centre of Expertise established in the larger cities, </w:t>
            </w:r>
            <w:r w:rsidRPr="004D30F6">
              <w:rPr>
                <w:rFonts w:eastAsia="Times New Roman" w:cs="Arial"/>
                <w:bCs/>
                <w:color w:val="000000"/>
                <w:sz w:val="22"/>
                <w:szCs w:val="22"/>
                <w:lang w:eastAsia="en-AU"/>
              </w:rPr>
              <w:lastRenderedPageBreak/>
              <w:t xml:space="preserve">reduces travel time and costs </w:t>
            </w:r>
          </w:p>
          <w:p w:rsidR="00E52F10" w:rsidRPr="004D30F6" w:rsidRDefault="00E52F10" w:rsidP="004D30F6">
            <w:pPr>
              <w:jc w:val="both"/>
              <w:rPr>
                <w:rFonts w:eastAsia="Times New Roman" w:cs="Arial"/>
                <w:bCs/>
                <w:color w:val="000000"/>
                <w:sz w:val="22"/>
                <w:szCs w:val="22"/>
                <w:lang w:eastAsia="en-AU"/>
              </w:rPr>
            </w:pPr>
            <w:r w:rsidRPr="004D30F6">
              <w:rPr>
                <w:rFonts w:eastAsia="Times New Roman" w:cs="Arial"/>
                <w:bCs/>
                <w:color w:val="000000"/>
                <w:sz w:val="22"/>
                <w:szCs w:val="22"/>
                <w:lang w:eastAsia="en-AU"/>
              </w:rPr>
              <w:t>·Better clinical management for patients</w:t>
            </w:r>
          </w:p>
          <w:p w:rsidR="00E52F10" w:rsidRPr="004D30F6" w:rsidRDefault="00E52F10" w:rsidP="004D30F6">
            <w:pPr>
              <w:jc w:val="both"/>
              <w:rPr>
                <w:rFonts w:eastAsia="Times New Roman" w:cs="Arial"/>
                <w:bCs/>
                <w:color w:val="000000"/>
                <w:sz w:val="22"/>
                <w:szCs w:val="22"/>
                <w:lang w:eastAsia="en-AU"/>
              </w:rPr>
            </w:pPr>
            <w:r w:rsidRPr="004D30F6">
              <w:rPr>
                <w:rFonts w:eastAsia="Times New Roman" w:cs="Arial"/>
                <w:bCs/>
                <w:color w:val="000000"/>
                <w:sz w:val="22"/>
                <w:szCs w:val="22"/>
                <w:lang w:eastAsia="en-AU"/>
              </w:rPr>
              <w:t>Improved data collection and building of expertise</w:t>
            </w:r>
          </w:p>
          <w:p w:rsidR="00E52F10" w:rsidRPr="004D30F6" w:rsidRDefault="00E52F10" w:rsidP="004D30F6">
            <w:pPr>
              <w:jc w:val="both"/>
              <w:rPr>
                <w:rFonts w:eastAsia="Times New Roman" w:cs="Arial"/>
                <w:bCs/>
                <w:color w:val="000000"/>
                <w:sz w:val="22"/>
                <w:szCs w:val="22"/>
                <w:lang w:eastAsia="en-AU"/>
              </w:rPr>
            </w:pPr>
            <w:r w:rsidRPr="004D30F6">
              <w:rPr>
                <w:rFonts w:eastAsia="Times New Roman" w:cs="Arial"/>
                <w:bCs/>
                <w:color w:val="000000"/>
                <w:sz w:val="22"/>
                <w:szCs w:val="22"/>
                <w:lang w:eastAsia="en-AU"/>
              </w:rPr>
              <w:t>·Allows standardization of assessments/</w:t>
            </w:r>
            <w:proofErr w:type="spellStart"/>
            <w:r w:rsidRPr="004D30F6">
              <w:rPr>
                <w:rFonts w:eastAsia="Times New Roman" w:cs="Arial"/>
                <w:bCs/>
                <w:color w:val="000000"/>
                <w:sz w:val="22"/>
                <w:szCs w:val="22"/>
                <w:lang w:eastAsia="en-AU"/>
              </w:rPr>
              <w:t>testings</w:t>
            </w:r>
            <w:proofErr w:type="spellEnd"/>
            <w:r w:rsidRPr="004D30F6">
              <w:rPr>
                <w:rFonts w:eastAsia="Times New Roman" w:cs="Arial"/>
                <w:bCs/>
                <w:color w:val="000000"/>
                <w:sz w:val="22"/>
                <w:szCs w:val="22"/>
                <w:lang w:eastAsia="en-AU"/>
              </w:rPr>
              <w:t xml:space="preserve"> in each state/territory</w:t>
            </w:r>
          </w:p>
          <w:p w:rsidR="00E52F10" w:rsidRPr="004D30F6" w:rsidRDefault="00E52F10" w:rsidP="004D30F6">
            <w:pPr>
              <w:jc w:val="both"/>
              <w:rPr>
                <w:rFonts w:eastAsia="Times New Roman" w:cs="Arial"/>
                <w:bCs/>
                <w:color w:val="000000"/>
                <w:sz w:val="22"/>
                <w:szCs w:val="22"/>
                <w:lang w:eastAsia="en-AU"/>
              </w:rPr>
            </w:pPr>
            <w:r w:rsidRPr="004D30F6">
              <w:rPr>
                <w:rFonts w:eastAsia="Times New Roman" w:cs="Arial"/>
                <w:bCs/>
                <w:color w:val="000000"/>
                <w:sz w:val="22"/>
                <w:szCs w:val="22"/>
                <w:lang w:eastAsia="en-AU"/>
              </w:rPr>
              <w:t>·States and territories have more ownership and able to ascertain and address need at point of care more quickly</w:t>
            </w:r>
          </w:p>
          <w:p w:rsidR="00E52F10" w:rsidRPr="004D30F6" w:rsidRDefault="00E52F10" w:rsidP="004D30F6">
            <w:pPr>
              <w:jc w:val="both"/>
              <w:rPr>
                <w:rFonts w:eastAsia="Times New Roman" w:cs="Arial"/>
                <w:bCs/>
                <w:color w:val="000000"/>
                <w:sz w:val="22"/>
                <w:szCs w:val="22"/>
                <w:lang w:eastAsia="en-AU"/>
              </w:rPr>
            </w:pPr>
            <w:r w:rsidRPr="004D30F6">
              <w:rPr>
                <w:rFonts w:eastAsia="Times New Roman" w:cs="Arial"/>
                <w:bCs/>
                <w:color w:val="000000"/>
                <w:sz w:val="22"/>
                <w:szCs w:val="22"/>
                <w:lang w:eastAsia="en-AU"/>
              </w:rPr>
              <w:t xml:space="preserve">·A fully automated system allows streamlining of process and will reduce/remove ongoing  administrative burden </w:t>
            </w:r>
          </w:p>
          <w:p w:rsidR="007D7390" w:rsidRPr="004D30F6" w:rsidRDefault="00E52F10" w:rsidP="004D30F6">
            <w:pPr>
              <w:jc w:val="both"/>
              <w:rPr>
                <w:rFonts w:eastAsia="Times New Roman" w:cs="Arial"/>
                <w:bCs/>
                <w:color w:val="000000"/>
                <w:sz w:val="22"/>
                <w:szCs w:val="22"/>
                <w:lang w:eastAsia="en-AU"/>
              </w:rPr>
            </w:pPr>
            <w:r w:rsidRPr="004D30F6">
              <w:rPr>
                <w:rFonts w:eastAsia="Times New Roman" w:cs="Arial"/>
                <w:bCs/>
                <w:color w:val="000000"/>
                <w:sz w:val="22"/>
                <w:szCs w:val="22"/>
                <w:lang w:eastAsia="en-AU"/>
              </w:rPr>
              <w:t>·Potential to improve cost-sharing arrangements</w:t>
            </w:r>
          </w:p>
          <w:p w:rsidR="006E4F79" w:rsidRPr="00BB5532" w:rsidRDefault="007D7390" w:rsidP="004D30F6">
            <w:pPr>
              <w:jc w:val="both"/>
              <w:rPr>
                <w:rFonts w:cs="Arial"/>
              </w:rPr>
            </w:pPr>
            <w:r w:rsidRPr="004D30F6">
              <w:rPr>
                <w:rFonts w:eastAsia="Times New Roman" w:cs="Arial"/>
                <w:bCs/>
                <w:color w:val="000000"/>
                <w:sz w:val="22"/>
                <w:szCs w:val="22"/>
                <w:lang w:eastAsia="en-AU"/>
              </w:rPr>
              <w:t>·If current rule of rescue and LSDP criteria is combined; the common rules and decision making process for high cost pharmaceutical would increase transparency and improve clarity to stakeholders.</w:t>
            </w:r>
          </w:p>
        </w:tc>
      </w:tr>
      <w:tr w:rsidR="00E52F10" w:rsidTr="00E52F10">
        <w:tc>
          <w:tcPr>
            <w:tcW w:w="10031" w:type="dxa"/>
            <w:gridSpan w:val="2"/>
            <w:shd w:val="clear" w:color="auto" w:fill="F2F2F2" w:themeFill="background1" w:themeFillShade="F2"/>
          </w:tcPr>
          <w:p w:rsidR="00E52F10" w:rsidRPr="006E4F79" w:rsidRDefault="00E52F10" w:rsidP="00FC3D4D">
            <w:pPr>
              <w:rPr>
                <w:rFonts w:cs="Arial"/>
                <w:b/>
              </w:rPr>
            </w:pPr>
            <w:r w:rsidRPr="00AC24A2">
              <w:rPr>
                <w:rFonts w:eastAsia="Times New Roman" w:cs="Arial"/>
                <w:b/>
                <w:bCs/>
                <w:color w:val="000000"/>
                <w:sz w:val="28"/>
                <w:szCs w:val="28"/>
                <w:lang w:eastAsia="en-AU"/>
              </w:rPr>
              <w:lastRenderedPageBreak/>
              <w:t>Option 3: LSDP ceases and is subsumed into state public health system</w:t>
            </w:r>
          </w:p>
        </w:tc>
      </w:tr>
      <w:tr w:rsidR="00E52F10" w:rsidTr="00FC3D4D">
        <w:tc>
          <w:tcPr>
            <w:tcW w:w="3085" w:type="dxa"/>
          </w:tcPr>
          <w:p w:rsidR="00E52F10" w:rsidRPr="00BB5532" w:rsidRDefault="00E52F10" w:rsidP="00FC3D4D">
            <w:r w:rsidRPr="00BB5532">
              <w:rPr>
                <w:b/>
              </w:rPr>
              <w:t>Action</w:t>
            </w:r>
          </w:p>
        </w:tc>
        <w:tc>
          <w:tcPr>
            <w:tcW w:w="6946" w:type="dxa"/>
          </w:tcPr>
          <w:p w:rsidR="00356809" w:rsidRDefault="00E52F10" w:rsidP="004D30F6">
            <w:pPr>
              <w:jc w:val="both"/>
              <w:rPr>
                <w:rFonts w:eastAsia="Times New Roman" w:cs="Arial"/>
                <w:bCs/>
                <w:color w:val="000000"/>
                <w:sz w:val="22"/>
                <w:szCs w:val="22"/>
                <w:lang w:eastAsia="en-AU"/>
              </w:rPr>
            </w:pPr>
            <w:r w:rsidRPr="004D30F6">
              <w:rPr>
                <w:rFonts w:eastAsia="Times New Roman" w:cs="Arial"/>
                <w:bCs/>
                <w:color w:val="000000"/>
                <w:sz w:val="22"/>
                <w:szCs w:val="22"/>
                <w:lang w:eastAsia="en-AU"/>
              </w:rPr>
              <w:t>·</w:t>
            </w:r>
            <w:r w:rsidR="00356809">
              <w:rPr>
                <w:rFonts w:eastAsia="Times New Roman" w:cs="Arial"/>
                <w:bCs/>
                <w:color w:val="000000"/>
                <w:sz w:val="22"/>
                <w:szCs w:val="22"/>
                <w:lang w:eastAsia="en-AU"/>
              </w:rPr>
              <w:t>Transfer of funding to the States</w:t>
            </w:r>
          </w:p>
          <w:p w:rsidR="00E52F10" w:rsidRPr="004D30F6" w:rsidRDefault="00356809" w:rsidP="004D30F6">
            <w:pPr>
              <w:jc w:val="both"/>
              <w:rPr>
                <w:rFonts w:eastAsia="Times New Roman" w:cs="Arial"/>
                <w:bCs/>
                <w:color w:val="000000"/>
                <w:sz w:val="22"/>
                <w:szCs w:val="22"/>
                <w:lang w:eastAsia="en-AU"/>
              </w:rPr>
            </w:pPr>
            <w:r w:rsidRPr="004D30F6">
              <w:rPr>
                <w:rFonts w:eastAsia="Times New Roman" w:cs="Arial"/>
                <w:bCs/>
                <w:color w:val="000000"/>
                <w:sz w:val="22"/>
                <w:szCs w:val="22"/>
                <w:lang w:eastAsia="en-AU"/>
              </w:rPr>
              <w:t>·</w:t>
            </w:r>
            <w:r w:rsidR="00E52F10" w:rsidRPr="004D30F6">
              <w:rPr>
                <w:rFonts w:eastAsia="Times New Roman" w:cs="Arial"/>
                <w:bCs/>
                <w:color w:val="000000"/>
                <w:sz w:val="22"/>
                <w:szCs w:val="22"/>
                <w:lang w:eastAsia="en-AU"/>
              </w:rPr>
              <w:t xml:space="preserve">Decentralized administration </w:t>
            </w:r>
          </w:p>
          <w:p w:rsidR="00E52F10" w:rsidRPr="004D30F6" w:rsidRDefault="00E52F10" w:rsidP="004D30F6">
            <w:pPr>
              <w:jc w:val="both"/>
              <w:rPr>
                <w:rFonts w:eastAsia="Times New Roman" w:cs="Arial"/>
                <w:bCs/>
                <w:color w:val="000000"/>
                <w:sz w:val="22"/>
                <w:szCs w:val="22"/>
                <w:lang w:eastAsia="en-AU"/>
              </w:rPr>
            </w:pPr>
            <w:r w:rsidRPr="004D30F6">
              <w:rPr>
                <w:rFonts w:eastAsia="Times New Roman" w:cs="Arial"/>
                <w:bCs/>
                <w:color w:val="000000"/>
                <w:sz w:val="22"/>
                <w:szCs w:val="22"/>
                <w:lang w:eastAsia="en-AU"/>
              </w:rPr>
              <w:t>·Reduction in administrative cost to the Commonwealth</w:t>
            </w:r>
          </w:p>
          <w:p w:rsidR="00E52F10" w:rsidRPr="004D30F6" w:rsidRDefault="00E52F10" w:rsidP="004D30F6">
            <w:pPr>
              <w:jc w:val="both"/>
              <w:rPr>
                <w:rFonts w:eastAsia="Times New Roman" w:cs="Arial"/>
                <w:bCs/>
                <w:color w:val="000000"/>
                <w:sz w:val="22"/>
                <w:szCs w:val="22"/>
                <w:lang w:eastAsia="en-AU"/>
              </w:rPr>
            </w:pPr>
            <w:r w:rsidRPr="004D30F6">
              <w:rPr>
                <w:rFonts w:eastAsia="Times New Roman" w:cs="Arial"/>
                <w:bCs/>
                <w:color w:val="000000"/>
                <w:sz w:val="22"/>
                <w:szCs w:val="22"/>
                <w:lang w:eastAsia="en-AU"/>
              </w:rPr>
              <w:t>·Potential for better clinical management of patients</w:t>
            </w:r>
          </w:p>
          <w:p w:rsidR="00E52F10" w:rsidRPr="004D30F6" w:rsidRDefault="00E52F10" w:rsidP="004D30F6">
            <w:pPr>
              <w:jc w:val="both"/>
              <w:rPr>
                <w:rFonts w:eastAsia="Times New Roman" w:cs="Arial"/>
                <w:bCs/>
                <w:color w:val="000000"/>
                <w:sz w:val="22"/>
                <w:szCs w:val="22"/>
                <w:lang w:eastAsia="en-AU"/>
              </w:rPr>
            </w:pPr>
            <w:r w:rsidRPr="004D30F6">
              <w:rPr>
                <w:rFonts w:eastAsia="Times New Roman" w:cs="Arial"/>
                <w:bCs/>
                <w:color w:val="000000"/>
                <w:sz w:val="22"/>
                <w:szCs w:val="22"/>
                <w:lang w:eastAsia="en-AU"/>
              </w:rPr>
              <w:t>·States and territories able to tailor subsidy according to needs</w:t>
            </w:r>
          </w:p>
          <w:p w:rsidR="00E52F10" w:rsidRPr="00BB5532" w:rsidRDefault="00E52F10" w:rsidP="004D30F6">
            <w:pPr>
              <w:jc w:val="both"/>
              <w:rPr>
                <w:rFonts w:eastAsiaTheme="minorHAnsi" w:cs="Arial"/>
                <w:sz w:val="22"/>
                <w:szCs w:val="22"/>
              </w:rPr>
            </w:pPr>
            <w:r w:rsidRPr="004D30F6">
              <w:rPr>
                <w:rFonts w:eastAsia="Times New Roman" w:cs="Arial"/>
                <w:bCs/>
                <w:color w:val="000000"/>
                <w:sz w:val="22"/>
                <w:szCs w:val="22"/>
                <w:lang w:eastAsia="en-AU"/>
              </w:rPr>
              <w:t>·Require</w:t>
            </w:r>
            <w:r w:rsidR="00356809">
              <w:rPr>
                <w:rFonts w:eastAsia="Times New Roman" w:cs="Arial"/>
                <w:bCs/>
                <w:color w:val="000000"/>
                <w:sz w:val="22"/>
                <w:szCs w:val="22"/>
                <w:lang w:eastAsia="en-AU"/>
              </w:rPr>
              <w:t>s</w:t>
            </w:r>
            <w:r w:rsidRPr="004D30F6">
              <w:rPr>
                <w:rFonts w:eastAsia="Times New Roman" w:cs="Arial"/>
                <w:bCs/>
                <w:color w:val="000000"/>
                <w:sz w:val="22"/>
                <w:szCs w:val="22"/>
                <w:lang w:eastAsia="en-AU"/>
              </w:rPr>
              <w:t xml:space="preserve"> AHMAC </w:t>
            </w:r>
            <w:r w:rsidR="00303214" w:rsidRPr="004D30F6">
              <w:rPr>
                <w:rFonts w:eastAsia="Times New Roman" w:cs="Arial"/>
                <w:bCs/>
                <w:color w:val="000000"/>
                <w:sz w:val="22"/>
                <w:szCs w:val="22"/>
                <w:lang w:eastAsia="en-AU"/>
              </w:rPr>
              <w:t>discussion</w:t>
            </w:r>
            <w:r w:rsidR="00356809">
              <w:rPr>
                <w:rFonts w:eastAsia="Times New Roman" w:cs="Arial"/>
                <w:bCs/>
                <w:color w:val="000000"/>
                <w:sz w:val="22"/>
                <w:szCs w:val="22"/>
                <w:lang w:eastAsia="en-AU"/>
              </w:rPr>
              <w:t xml:space="preserve"> in light of the Federation White Paper</w:t>
            </w:r>
          </w:p>
        </w:tc>
      </w:tr>
      <w:tr w:rsidR="00E52F10" w:rsidTr="00FC3D4D">
        <w:tc>
          <w:tcPr>
            <w:tcW w:w="3085" w:type="dxa"/>
          </w:tcPr>
          <w:p w:rsidR="00E52F10" w:rsidRPr="00BB5532" w:rsidRDefault="00303214" w:rsidP="00FC3D4D">
            <w:r>
              <w:rPr>
                <w:rFonts w:eastAsia="Times New Roman" w:cs="Arial"/>
                <w:b/>
                <w:bCs/>
                <w:color w:val="000000"/>
                <w:lang w:eastAsia="en-AU"/>
              </w:rPr>
              <w:t>R</w:t>
            </w:r>
            <w:r w:rsidR="00E52F10" w:rsidRPr="00E2391C">
              <w:rPr>
                <w:rFonts w:eastAsia="Times New Roman" w:cs="Arial"/>
                <w:b/>
                <w:bCs/>
                <w:color w:val="000000"/>
                <w:lang w:eastAsia="en-AU"/>
              </w:rPr>
              <w:t>isks</w:t>
            </w:r>
          </w:p>
        </w:tc>
        <w:tc>
          <w:tcPr>
            <w:tcW w:w="6946" w:type="dxa"/>
          </w:tcPr>
          <w:p w:rsidR="00E52F10" w:rsidRPr="004D30F6" w:rsidRDefault="00E52F10" w:rsidP="004D30F6">
            <w:pPr>
              <w:jc w:val="both"/>
              <w:rPr>
                <w:rFonts w:eastAsia="Times New Roman" w:cs="Arial"/>
                <w:bCs/>
                <w:color w:val="000000"/>
                <w:sz w:val="22"/>
                <w:szCs w:val="22"/>
                <w:lang w:eastAsia="en-AU"/>
              </w:rPr>
            </w:pPr>
            <w:r w:rsidRPr="004D30F6">
              <w:rPr>
                <w:rFonts w:eastAsia="Times New Roman" w:cs="Arial"/>
                <w:bCs/>
                <w:color w:val="000000"/>
                <w:sz w:val="22"/>
                <w:szCs w:val="22"/>
                <w:lang w:eastAsia="en-AU"/>
              </w:rPr>
              <w:t>·Agreement from states and territories required</w:t>
            </w:r>
          </w:p>
          <w:p w:rsidR="00E52F10" w:rsidRPr="004D30F6" w:rsidRDefault="00E52F10" w:rsidP="004D30F6">
            <w:pPr>
              <w:jc w:val="both"/>
              <w:rPr>
                <w:rFonts w:eastAsia="Times New Roman" w:cs="Arial"/>
                <w:bCs/>
                <w:color w:val="000000"/>
                <w:sz w:val="22"/>
                <w:szCs w:val="22"/>
                <w:lang w:eastAsia="en-AU"/>
              </w:rPr>
            </w:pPr>
            <w:r w:rsidRPr="004D30F6">
              <w:rPr>
                <w:rFonts w:eastAsia="Times New Roman" w:cs="Arial"/>
                <w:bCs/>
                <w:color w:val="000000"/>
                <w:sz w:val="22"/>
                <w:szCs w:val="22"/>
                <w:lang w:eastAsia="en-AU"/>
              </w:rPr>
              <w:t xml:space="preserve">·Clear criteria or agreement for balanced distribution of subsidies across the states/territories and across all diseases </w:t>
            </w:r>
          </w:p>
          <w:p w:rsidR="00E52F10" w:rsidRPr="004D30F6" w:rsidRDefault="00E52F10" w:rsidP="004D30F6">
            <w:pPr>
              <w:jc w:val="both"/>
              <w:rPr>
                <w:rFonts w:eastAsia="Times New Roman" w:cs="Arial"/>
                <w:bCs/>
                <w:color w:val="000000"/>
                <w:sz w:val="22"/>
                <w:szCs w:val="22"/>
                <w:lang w:eastAsia="en-AU"/>
              </w:rPr>
            </w:pPr>
            <w:r w:rsidRPr="004D30F6">
              <w:rPr>
                <w:rFonts w:eastAsia="Times New Roman" w:cs="Arial"/>
                <w:bCs/>
                <w:color w:val="000000"/>
                <w:sz w:val="22"/>
                <w:szCs w:val="22"/>
                <w:lang w:eastAsia="en-AU"/>
              </w:rPr>
              <w:t>·Upfront costs and resources to establish system</w:t>
            </w:r>
          </w:p>
          <w:p w:rsidR="00E52F10" w:rsidRPr="004D30F6" w:rsidRDefault="00E52F10" w:rsidP="004D30F6">
            <w:pPr>
              <w:jc w:val="both"/>
              <w:rPr>
                <w:rFonts w:eastAsia="Times New Roman" w:cs="Arial"/>
                <w:bCs/>
                <w:color w:val="000000"/>
                <w:sz w:val="22"/>
                <w:szCs w:val="22"/>
                <w:lang w:eastAsia="en-AU"/>
              </w:rPr>
            </w:pPr>
            <w:r w:rsidRPr="004D30F6">
              <w:rPr>
                <w:rFonts w:eastAsia="Times New Roman" w:cs="Arial"/>
                <w:bCs/>
                <w:color w:val="000000"/>
                <w:sz w:val="22"/>
                <w:szCs w:val="22"/>
                <w:lang w:eastAsia="en-AU"/>
              </w:rPr>
              <w:t>·Regulation changes required</w:t>
            </w:r>
          </w:p>
        </w:tc>
      </w:tr>
      <w:tr w:rsidR="00E52F10" w:rsidTr="00FC3D4D">
        <w:tc>
          <w:tcPr>
            <w:tcW w:w="3085" w:type="dxa"/>
          </w:tcPr>
          <w:p w:rsidR="00E52F10" w:rsidRPr="00BB5532" w:rsidRDefault="00303214" w:rsidP="00FC3D4D">
            <w:r>
              <w:rPr>
                <w:rFonts w:eastAsia="Times New Roman" w:cs="Arial"/>
                <w:b/>
                <w:bCs/>
                <w:color w:val="000000"/>
                <w:lang w:eastAsia="en-AU"/>
              </w:rPr>
              <w:t>B</w:t>
            </w:r>
            <w:r w:rsidR="00E52F10" w:rsidRPr="00E2391C">
              <w:rPr>
                <w:rFonts w:eastAsia="Times New Roman" w:cs="Arial"/>
                <w:b/>
                <w:bCs/>
                <w:color w:val="000000"/>
                <w:lang w:eastAsia="en-AU"/>
              </w:rPr>
              <w:t>enefits</w:t>
            </w:r>
          </w:p>
        </w:tc>
        <w:tc>
          <w:tcPr>
            <w:tcW w:w="6946" w:type="dxa"/>
          </w:tcPr>
          <w:p w:rsidR="00E52F10" w:rsidRPr="004D30F6" w:rsidRDefault="00E52F10" w:rsidP="004D30F6">
            <w:pPr>
              <w:jc w:val="both"/>
              <w:rPr>
                <w:rFonts w:eastAsia="Times New Roman" w:cs="Arial"/>
                <w:bCs/>
                <w:color w:val="000000"/>
                <w:sz w:val="22"/>
                <w:szCs w:val="22"/>
                <w:lang w:eastAsia="en-AU"/>
              </w:rPr>
            </w:pPr>
            <w:r w:rsidRPr="004D30F6">
              <w:rPr>
                <w:rFonts w:eastAsia="Times New Roman" w:cs="Arial"/>
                <w:bCs/>
                <w:color w:val="000000"/>
                <w:sz w:val="22"/>
                <w:szCs w:val="22"/>
                <w:lang w:eastAsia="en-AU"/>
              </w:rPr>
              <w:t>·PBAC retains responsibility to assess clinical and cost effectiveness, providing confidence in the health technology assessments and reduced regulation changes</w:t>
            </w:r>
          </w:p>
          <w:p w:rsidR="007D7390" w:rsidRPr="004D30F6" w:rsidRDefault="00E52F10" w:rsidP="004D30F6">
            <w:pPr>
              <w:jc w:val="both"/>
              <w:rPr>
                <w:rFonts w:eastAsia="Times New Roman" w:cs="Arial"/>
                <w:bCs/>
                <w:color w:val="000000"/>
                <w:sz w:val="22"/>
                <w:szCs w:val="22"/>
                <w:lang w:eastAsia="en-AU"/>
              </w:rPr>
            </w:pPr>
            <w:r w:rsidRPr="004D30F6">
              <w:rPr>
                <w:rFonts w:eastAsia="Times New Roman" w:cs="Arial"/>
                <w:bCs/>
                <w:color w:val="000000"/>
                <w:sz w:val="22"/>
                <w:szCs w:val="22"/>
                <w:lang w:eastAsia="en-AU"/>
              </w:rPr>
              <w:t xml:space="preserve">·If the Commonwealth </w:t>
            </w:r>
            <w:r w:rsidR="007D7390" w:rsidRPr="004D30F6">
              <w:rPr>
                <w:rFonts w:eastAsia="Times New Roman" w:cs="Arial"/>
                <w:bCs/>
                <w:color w:val="000000"/>
                <w:sz w:val="22"/>
                <w:szCs w:val="22"/>
                <w:lang w:eastAsia="en-AU"/>
              </w:rPr>
              <w:t>re</w:t>
            </w:r>
            <w:r w:rsidRPr="004D30F6">
              <w:rPr>
                <w:rFonts w:eastAsia="Times New Roman" w:cs="Arial"/>
                <w:bCs/>
                <w:color w:val="000000"/>
                <w:sz w:val="22"/>
                <w:szCs w:val="22"/>
                <w:lang w:eastAsia="en-AU"/>
              </w:rPr>
              <w:t xml:space="preserve">tains responsibility for </w:t>
            </w:r>
            <w:r w:rsidR="007D7390" w:rsidRPr="004D30F6">
              <w:rPr>
                <w:rFonts w:eastAsia="Times New Roman" w:cs="Arial"/>
                <w:bCs/>
                <w:color w:val="000000"/>
                <w:sz w:val="22"/>
                <w:szCs w:val="22"/>
                <w:lang w:eastAsia="en-AU"/>
              </w:rPr>
              <w:t xml:space="preserve">setting </w:t>
            </w:r>
            <w:r w:rsidRPr="004D30F6">
              <w:rPr>
                <w:rFonts w:eastAsia="Times New Roman" w:cs="Arial"/>
                <w:bCs/>
                <w:color w:val="000000"/>
                <w:sz w:val="22"/>
                <w:szCs w:val="22"/>
                <w:lang w:eastAsia="en-AU"/>
              </w:rPr>
              <w:t>price</w:t>
            </w:r>
            <w:r w:rsidR="007D7390" w:rsidRPr="004D30F6">
              <w:rPr>
                <w:rFonts w:eastAsia="Times New Roman" w:cs="Arial"/>
                <w:bCs/>
                <w:color w:val="000000"/>
                <w:sz w:val="22"/>
                <w:szCs w:val="22"/>
                <w:lang w:eastAsia="en-AU"/>
              </w:rPr>
              <w:t xml:space="preserve"> subsidy,</w:t>
            </w:r>
            <w:r w:rsidR="004D30F6">
              <w:rPr>
                <w:rFonts w:eastAsia="Times New Roman" w:cs="Arial"/>
                <w:bCs/>
                <w:color w:val="000000"/>
                <w:sz w:val="22"/>
                <w:szCs w:val="22"/>
                <w:lang w:eastAsia="en-AU"/>
              </w:rPr>
              <w:t xml:space="preserve"> </w:t>
            </w:r>
            <w:r w:rsidR="007D7390" w:rsidRPr="004D30F6">
              <w:rPr>
                <w:rFonts w:eastAsia="Times New Roman" w:cs="Arial"/>
                <w:bCs/>
                <w:color w:val="000000"/>
                <w:sz w:val="22"/>
                <w:szCs w:val="22"/>
                <w:lang w:eastAsia="en-AU"/>
              </w:rPr>
              <w:t>states and territories undertake further purchasing actions to achieve lower prices</w:t>
            </w:r>
          </w:p>
          <w:p w:rsidR="00E52F10" w:rsidRPr="004D30F6" w:rsidRDefault="007D7390" w:rsidP="004D30F6">
            <w:pPr>
              <w:jc w:val="both"/>
              <w:rPr>
                <w:rFonts w:eastAsia="Times New Roman" w:cs="Arial"/>
                <w:bCs/>
                <w:color w:val="000000"/>
                <w:sz w:val="22"/>
                <w:szCs w:val="22"/>
                <w:lang w:eastAsia="en-AU"/>
              </w:rPr>
            </w:pPr>
            <w:r w:rsidRPr="004D30F6">
              <w:rPr>
                <w:rFonts w:eastAsia="Times New Roman" w:cs="Arial"/>
                <w:bCs/>
                <w:color w:val="000000"/>
                <w:sz w:val="22"/>
                <w:szCs w:val="22"/>
                <w:lang w:eastAsia="en-AU"/>
              </w:rPr>
              <w:t>·S</w:t>
            </w:r>
            <w:r w:rsidR="00E52F10" w:rsidRPr="004D30F6">
              <w:rPr>
                <w:rFonts w:eastAsia="Times New Roman" w:cs="Arial"/>
                <w:bCs/>
                <w:color w:val="000000"/>
                <w:sz w:val="22"/>
                <w:szCs w:val="22"/>
                <w:lang w:eastAsia="en-AU"/>
              </w:rPr>
              <w:t>tates and territories have more ownership and able to ascertain and address need at point of care more quickly</w:t>
            </w:r>
          </w:p>
          <w:p w:rsidR="007D7390" w:rsidRPr="004D30F6" w:rsidRDefault="007D7390" w:rsidP="004D30F6">
            <w:pPr>
              <w:jc w:val="both"/>
              <w:rPr>
                <w:rFonts w:eastAsia="Times New Roman" w:cs="Arial"/>
                <w:bCs/>
                <w:color w:val="000000"/>
                <w:sz w:val="22"/>
                <w:szCs w:val="22"/>
                <w:lang w:eastAsia="en-AU"/>
              </w:rPr>
            </w:pPr>
            <w:r w:rsidRPr="004D30F6">
              <w:rPr>
                <w:rFonts w:eastAsia="Times New Roman" w:cs="Arial"/>
                <w:bCs/>
                <w:color w:val="000000"/>
                <w:sz w:val="22"/>
                <w:szCs w:val="22"/>
                <w:lang w:eastAsia="en-AU"/>
              </w:rPr>
              <w:t>·Administrative cost savings to Commonwealth</w:t>
            </w:r>
          </w:p>
        </w:tc>
      </w:tr>
      <w:tr w:rsidR="00E52F10" w:rsidTr="00E52F10">
        <w:trPr>
          <w:trHeight w:val="383"/>
        </w:trPr>
        <w:tc>
          <w:tcPr>
            <w:tcW w:w="10031" w:type="dxa"/>
            <w:gridSpan w:val="2"/>
            <w:shd w:val="clear" w:color="auto" w:fill="F2F2F2" w:themeFill="background1" w:themeFillShade="F2"/>
          </w:tcPr>
          <w:p w:rsidR="00E52F10" w:rsidRPr="00BB5532" w:rsidRDefault="00E52F10" w:rsidP="00AC24A2">
            <w:pPr>
              <w:rPr>
                <w:rFonts w:cs="Arial"/>
                <w:b/>
              </w:rPr>
            </w:pPr>
            <w:r w:rsidRPr="00AC24A2">
              <w:rPr>
                <w:rFonts w:eastAsia="Times New Roman" w:cs="Arial"/>
                <w:b/>
                <w:bCs/>
                <w:color w:val="000000"/>
                <w:sz w:val="28"/>
                <w:szCs w:val="28"/>
                <w:lang w:eastAsia="en-AU"/>
              </w:rPr>
              <w:t xml:space="preserve">Option 4: Other Cap on total </w:t>
            </w:r>
            <w:proofErr w:type="spellStart"/>
            <w:r w:rsidRPr="00AC24A2">
              <w:rPr>
                <w:rFonts w:eastAsia="Times New Roman" w:cs="Arial"/>
                <w:b/>
                <w:bCs/>
                <w:color w:val="000000"/>
                <w:sz w:val="28"/>
                <w:szCs w:val="28"/>
                <w:lang w:eastAsia="en-AU"/>
              </w:rPr>
              <w:t>programme</w:t>
            </w:r>
            <w:proofErr w:type="spellEnd"/>
            <w:r w:rsidRPr="00AC24A2">
              <w:rPr>
                <w:rFonts w:eastAsia="Times New Roman" w:cs="Arial"/>
                <w:b/>
                <w:bCs/>
                <w:color w:val="000000"/>
                <w:sz w:val="28"/>
                <w:szCs w:val="28"/>
                <w:lang w:eastAsia="en-AU"/>
              </w:rPr>
              <w:t xml:space="preserve"> cost</w:t>
            </w:r>
          </w:p>
        </w:tc>
      </w:tr>
      <w:tr w:rsidR="00E52F10" w:rsidTr="00FC3D4D">
        <w:tc>
          <w:tcPr>
            <w:tcW w:w="3085" w:type="dxa"/>
          </w:tcPr>
          <w:p w:rsidR="00E52F10" w:rsidRPr="00BB5532" w:rsidRDefault="00E52F10" w:rsidP="00FC3D4D">
            <w:r w:rsidRPr="00BB5532">
              <w:rPr>
                <w:b/>
              </w:rPr>
              <w:t>Action</w:t>
            </w:r>
          </w:p>
        </w:tc>
        <w:tc>
          <w:tcPr>
            <w:tcW w:w="6946" w:type="dxa"/>
          </w:tcPr>
          <w:p w:rsidR="00E52F10" w:rsidRPr="004D30F6" w:rsidRDefault="00E52F10" w:rsidP="004D30F6">
            <w:pPr>
              <w:jc w:val="both"/>
              <w:rPr>
                <w:rFonts w:eastAsia="Times New Roman" w:cs="Arial"/>
                <w:bCs/>
                <w:color w:val="000000"/>
                <w:sz w:val="22"/>
                <w:szCs w:val="22"/>
                <w:lang w:eastAsia="en-AU"/>
              </w:rPr>
            </w:pPr>
            <w:r w:rsidRPr="004D30F6">
              <w:rPr>
                <w:rFonts w:eastAsia="Times New Roman" w:cs="Arial"/>
                <w:bCs/>
                <w:color w:val="000000"/>
                <w:sz w:val="22"/>
                <w:szCs w:val="22"/>
                <w:lang w:eastAsia="en-AU"/>
              </w:rPr>
              <w:t xml:space="preserve">·Government would allocate in advance a budget based on the present appropriation process applied to the LSDP </w:t>
            </w:r>
          </w:p>
          <w:p w:rsidR="00E52F10" w:rsidRPr="004D30F6" w:rsidRDefault="00E52F10" w:rsidP="004D30F6">
            <w:pPr>
              <w:jc w:val="both"/>
              <w:rPr>
                <w:rFonts w:eastAsia="Times New Roman" w:cs="Arial"/>
                <w:bCs/>
                <w:color w:val="000000"/>
                <w:sz w:val="22"/>
                <w:szCs w:val="22"/>
                <w:lang w:eastAsia="en-AU"/>
              </w:rPr>
            </w:pPr>
            <w:r w:rsidRPr="004D30F6">
              <w:rPr>
                <w:rFonts w:eastAsia="Times New Roman" w:cs="Arial"/>
                <w:bCs/>
                <w:color w:val="000000"/>
                <w:sz w:val="22"/>
                <w:szCs w:val="22"/>
                <w:lang w:eastAsia="en-AU"/>
              </w:rPr>
              <w:t>·Existing and new patients would be managed within that budget</w:t>
            </w:r>
          </w:p>
          <w:p w:rsidR="00E52F10" w:rsidRPr="004D30F6" w:rsidRDefault="00E52F10" w:rsidP="004D30F6">
            <w:pPr>
              <w:jc w:val="both"/>
              <w:rPr>
                <w:rFonts w:eastAsia="Times New Roman" w:cs="Arial"/>
                <w:bCs/>
                <w:color w:val="000000"/>
                <w:sz w:val="22"/>
                <w:szCs w:val="22"/>
                <w:lang w:eastAsia="en-AU"/>
              </w:rPr>
            </w:pPr>
            <w:r w:rsidRPr="004D30F6">
              <w:rPr>
                <w:rFonts w:eastAsia="Times New Roman" w:cs="Arial"/>
                <w:bCs/>
                <w:color w:val="000000"/>
                <w:sz w:val="22"/>
                <w:szCs w:val="22"/>
                <w:lang w:eastAsia="en-AU"/>
              </w:rPr>
              <w:t>·Clear criteria for allocation required.</w:t>
            </w:r>
          </w:p>
        </w:tc>
      </w:tr>
      <w:tr w:rsidR="00E52F10" w:rsidTr="00FC3D4D">
        <w:tc>
          <w:tcPr>
            <w:tcW w:w="3085" w:type="dxa"/>
          </w:tcPr>
          <w:p w:rsidR="00E52F10" w:rsidRPr="00BB5532" w:rsidRDefault="00303214" w:rsidP="00FC3D4D">
            <w:r>
              <w:rPr>
                <w:rFonts w:eastAsia="Times New Roman" w:cs="Arial"/>
                <w:b/>
                <w:bCs/>
                <w:color w:val="000000"/>
                <w:lang w:eastAsia="en-AU"/>
              </w:rPr>
              <w:t>R</w:t>
            </w:r>
            <w:r w:rsidR="00E52F10" w:rsidRPr="00E2391C">
              <w:rPr>
                <w:rFonts w:eastAsia="Times New Roman" w:cs="Arial"/>
                <w:b/>
                <w:bCs/>
                <w:color w:val="000000"/>
                <w:lang w:eastAsia="en-AU"/>
              </w:rPr>
              <w:t>isks</w:t>
            </w:r>
          </w:p>
        </w:tc>
        <w:tc>
          <w:tcPr>
            <w:tcW w:w="6946" w:type="dxa"/>
          </w:tcPr>
          <w:p w:rsidR="00E52F10" w:rsidRPr="004D30F6" w:rsidRDefault="00E52F10" w:rsidP="004D30F6">
            <w:pPr>
              <w:jc w:val="both"/>
              <w:rPr>
                <w:rFonts w:eastAsia="Times New Roman" w:cs="Arial"/>
                <w:bCs/>
                <w:color w:val="000000"/>
                <w:sz w:val="22"/>
                <w:szCs w:val="22"/>
                <w:lang w:eastAsia="en-AU"/>
              </w:rPr>
            </w:pPr>
            <w:r w:rsidRPr="004D30F6">
              <w:rPr>
                <w:rFonts w:eastAsia="Times New Roman" w:cs="Arial"/>
                <w:bCs/>
                <w:color w:val="000000"/>
                <w:sz w:val="22"/>
                <w:szCs w:val="22"/>
                <w:lang w:eastAsia="en-AU"/>
              </w:rPr>
              <w:t>·May be seen to disadvantage new drugs/patients</w:t>
            </w:r>
          </w:p>
          <w:p w:rsidR="00E52F10" w:rsidRPr="004D30F6" w:rsidRDefault="00E52F10" w:rsidP="004D30F6">
            <w:pPr>
              <w:jc w:val="both"/>
              <w:rPr>
                <w:rFonts w:eastAsia="Times New Roman" w:cs="Arial"/>
                <w:bCs/>
                <w:color w:val="000000"/>
                <w:sz w:val="22"/>
                <w:szCs w:val="22"/>
                <w:lang w:eastAsia="en-AU"/>
              </w:rPr>
            </w:pPr>
            <w:r w:rsidRPr="004D30F6">
              <w:rPr>
                <w:rFonts w:eastAsia="Times New Roman" w:cs="Arial"/>
                <w:bCs/>
                <w:color w:val="000000"/>
                <w:sz w:val="22"/>
                <w:szCs w:val="22"/>
                <w:lang w:eastAsia="en-AU"/>
              </w:rPr>
              <w:t xml:space="preserve">·Assumes there is capacity for significant efficiencies which could be difficult within a small </w:t>
            </w:r>
            <w:proofErr w:type="spellStart"/>
            <w:r w:rsidRPr="004D30F6">
              <w:rPr>
                <w:rFonts w:eastAsia="Times New Roman" w:cs="Arial"/>
                <w:bCs/>
                <w:color w:val="000000"/>
                <w:sz w:val="22"/>
                <w:szCs w:val="22"/>
                <w:lang w:eastAsia="en-AU"/>
              </w:rPr>
              <w:t>programme</w:t>
            </w:r>
            <w:proofErr w:type="spellEnd"/>
          </w:p>
          <w:p w:rsidR="00E52F10" w:rsidRPr="004D30F6" w:rsidRDefault="00E52F10" w:rsidP="004D30F6">
            <w:pPr>
              <w:jc w:val="both"/>
              <w:rPr>
                <w:rFonts w:eastAsia="Times New Roman" w:cs="Arial"/>
                <w:bCs/>
                <w:color w:val="000000"/>
                <w:sz w:val="22"/>
                <w:szCs w:val="22"/>
                <w:lang w:eastAsia="en-AU"/>
              </w:rPr>
            </w:pPr>
            <w:r w:rsidRPr="004D30F6">
              <w:rPr>
                <w:rFonts w:eastAsia="Times New Roman" w:cs="Arial"/>
                <w:bCs/>
                <w:color w:val="000000"/>
                <w:sz w:val="22"/>
                <w:szCs w:val="22"/>
                <w:lang w:eastAsia="en-AU"/>
              </w:rPr>
              <w:t>·Allocation of budget for each disease category may be difficult and if not clear may be perceived as not being transparent</w:t>
            </w:r>
          </w:p>
          <w:p w:rsidR="00E52F10" w:rsidRPr="004D30F6" w:rsidRDefault="00E52F10" w:rsidP="004D30F6">
            <w:pPr>
              <w:jc w:val="both"/>
              <w:rPr>
                <w:rFonts w:eastAsia="Times New Roman" w:cs="Arial"/>
                <w:bCs/>
                <w:color w:val="000000"/>
                <w:sz w:val="22"/>
                <w:szCs w:val="22"/>
                <w:lang w:eastAsia="en-AU"/>
              </w:rPr>
            </w:pPr>
            <w:r w:rsidRPr="004D30F6">
              <w:rPr>
                <w:rFonts w:eastAsia="Times New Roman" w:cs="Arial"/>
                <w:bCs/>
                <w:color w:val="000000"/>
                <w:sz w:val="22"/>
                <w:szCs w:val="22"/>
                <w:lang w:eastAsia="en-AU"/>
              </w:rPr>
              <w:t>·If the option is for an annual cap, this has potential to increase administrative burden for the Government and stakeholders as they prepare to bid for an allocation</w:t>
            </w:r>
          </w:p>
        </w:tc>
      </w:tr>
      <w:tr w:rsidR="00E52F10" w:rsidTr="00FC3D4D">
        <w:tc>
          <w:tcPr>
            <w:tcW w:w="3085" w:type="dxa"/>
          </w:tcPr>
          <w:p w:rsidR="00E52F10" w:rsidRPr="00BB5532" w:rsidRDefault="00303214" w:rsidP="00FC3D4D">
            <w:r>
              <w:rPr>
                <w:rFonts w:eastAsia="Times New Roman" w:cs="Arial"/>
                <w:b/>
                <w:bCs/>
                <w:color w:val="000000"/>
                <w:lang w:eastAsia="en-AU"/>
              </w:rPr>
              <w:t>B</w:t>
            </w:r>
            <w:r w:rsidR="00E52F10" w:rsidRPr="00E2391C">
              <w:rPr>
                <w:rFonts w:eastAsia="Times New Roman" w:cs="Arial"/>
                <w:b/>
                <w:bCs/>
                <w:color w:val="000000"/>
                <w:lang w:eastAsia="en-AU"/>
              </w:rPr>
              <w:t>enefits</w:t>
            </w:r>
          </w:p>
        </w:tc>
        <w:tc>
          <w:tcPr>
            <w:tcW w:w="6946" w:type="dxa"/>
          </w:tcPr>
          <w:p w:rsidR="00E52F10" w:rsidRPr="004D30F6" w:rsidRDefault="00E52F10" w:rsidP="004D30F6">
            <w:pPr>
              <w:jc w:val="both"/>
              <w:rPr>
                <w:rFonts w:eastAsia="Times New Roman" w:cs="Arial"/>
                <w:bCs/>
                <w:color w:val="000000"/>
                <w:sz w:val="22"/>
                <w:szCs w:val="22"/>
                <w:lang w:eastAsia="en-AU"/>
              </w:rPr>
            </w:pPr>
            <w:r w:rsidRPr="004D30F6">
              <w:rPr>
                <w:rFonts w:eastAsia="Times New Roman" w:cs="Arial"/>
                <w:bCs/>
                <w:color w:val="000000"/>
                <w:sz w:val="22"/>
                <w:szCs w:val="22"/>
                <w:lang w:eastAsia="en-AU"/>
              </w:rPr>
              <w:t>·Known cost to government</w:t>
            </w:r>
          </w:p>
          <w:p w:rsidR="00E52F10" w:rsidRPr="004D30F6" w:rsidRDefault="00E52F10" w:rsidP="004D30F6">
            <w:pPr>
              <w:jc w:val="both"/>
              <w:rPr>
                <w:rFonts w:eastAsia="Times New Roman" w:cs="Arial"/>
                <w:bCs/>
                <w:color w:val="000000"/>
                <w:sz w:val="22"/>
                <w:szCs w:val="22"/>
                <w:lang w:eastAsia="en-AU"/>
              </w:rPr>
            </w:pPr>
            <w:r w:rsidRPr="004D30F6">
              <w:rPr>
                <w:rFonts w:eastAsia="Times New Roman" w:cs="Arial"/>
                <w:bCs/>
                <w:color w:val="000000"/>
                <w:sz w:val="22"/>
                <w:szCs w:val="22"/>
                <w:lang w:eastAsia="en-AU"/>
              </w:rPr>
              <w:t>·Promotes more rigorous assessment</w:t>
            </w:r>
          </w:p>
          <w:p w:rsidR="00E52F10" w:rsidRPr="004D30F6" w:rsidRDefault="00E52F10" w:rsidP="004D30F6">
            <w:pPr>
              <w:jc w:val="both"/>
              <w:rPr>
                <w:rFonts w:eastAsia="Times New Roman" w:cs="Arial"/>
                <w:bCs/>
                <w:color w:val="000000"/>
                <w:sz w:val="22"/>
                <w:szCs w:val="22"/>
                <w:lang w:eastAsia="en-AU"/>
              </w:rPr>
            </w:pPr>
            <w:r w:rsidRPr="004D30F6">
              <w:rPr>
                <w:rFonts w:eastAsia="Times New Roman" w:cs="Arial"/>
                <w:bCs/>
                <w:color w:val="000000"/>
                <w:sz w:val="22"/>
                <w:szCs w:val="22"/>
                <w:lang w:eastAsia="en-AU"/>
              </w:rPr>
              <w:t xml:space="preserve">·Provide clarity to stakeholders if the criteria for allocation  are clear and accepted by stakeholders </w:t>
            </w:r>
          </w:p>
        </w:tc>
      </w:tr>
    </w:tbl>
    <w:p w:rsidR="00E52F10" w:rsidRDefault="00E52F10" w:rsidP="00E52F10">
      <w:pPr>
        <w:spacing w:after="0" w:line="240" w:lineRule="auto"/>
      </w:pPr>
    </w:p>
    <w:p w:rsidR="008A6F20" w:rsidRDefault="008A6F20" w:rsidP="00DC6BC0">
      <w:pPr>
        <w:spacing w:line="240" w:lineRule="auto"/>
        <w:rPr>
          <w:rFonts w:ascii="Arial" w:eastAsiaTheme="majorEastAsia" w:hAnsi="Arial" w:cs="Arial"/>
          <w:b/>
          <w:bCs/>
          <w:sz w:val="40"/>
          <w:szCs w:val="40"/>
        </w:rPr>
      </w:pPr>
      <w:r w:rsidRPr="008A6F20">
        <w:rPr>
          <w:rFonts w:ascii="Arial" w:eastAsiaTheme="majorEastAsia" w:hAnsi="Arial" w:cs="Arial"/>
          <w:b/>
          <w:bCs/>
          <w:sz w:val="40"/>
          <w:szCs w:val="40"/>
        </w:rPr>
        <w:t>References</w:t>
      </w:r>
    </w:p>
    <w:p w:rsidR="00DC6BC0" w:rsidRPr="00E52F10" w:rsidRDefault="00DC6BC0" w:rsidP="00516E62">
      <w:pPr>
        <w:rPr>
          <w:rFonts w:asciiTheme="minorHAnsi" w:eastAsia="Times New Roman" w:hAnsiTheme="minorHAnsi" w:cs="Times New Roman"/>
          <w:noProof/>
          <w:sz w:val="20"/>
          <w:szCs w:val="20"/>
          <w:lang w:val="en-US"/>
        </w:rPr>
      </w:pPr>
      <w:r w:rsidRPr="00E52F10">
        <w:rPr>
          <w:rFonts w:asciiTheme="minorHAnsi" w:eastAsia="Times New Roman" w:hAnsiTheme="minorHAnsi" w:cs="Times New Roman"/>
          <w:noProof/>
          <w:sz w:val="20"/>
          <w:szCs w:val="20"/>
          <w:lang w:val="en-US"/>
        </w:rPr>
        <w:t>(Cited in the Life Saving Drugs Programme Review : Technical Assessment, April 2015)</w:t>
      </w:r>
    </w:p>
    <w:p w:rsidR="00D87FEF" w:rsidRPr="00184B6F" w:rsidRDefault="00D87FEF" w:rsidP="00D87FEF">
      <w:pPr>
        <w:pStyle w:val="EndNoteBibliography"/>
        <w:spacing w:after="0"/>
        <w:rPr>
          <w:rFonts w:asciiTheme="minorHAnsi" w:hAnsiTheme="minorHAnsi"/>
        </w:rPr>
      </w:pPr>
      <w:bookmarkStart w:id="3" w:name="_ENREF_5"/>
      <w:bookmarkStart w:id="4" w:name="_ENREF_45"/>
      <w:r w:rsidRPr="00184B6F">
        <w:rPr>
          <w:rFonts w:asciiTheme="minorHAnsi" w:hAnsiTheme="minorHAnsi"/>
        </w:rPr>
        <w:t>Alberta Health and Wellness 2008, 'Alberta Rare Diseases Drug Program: Fact Sheet', p. 1, viewed 3 July 2014, &lt;</w:t>
      </w:r>
      <w:hyperlink r:id="rId25" w:history="1">
        <w:r w:rsidRPr="00184B6F">
          <w:rPr>
            <w:rStyle w:val="Hyperlink"/>
            <w:rFonts w:asciiTheme="minorHAnsi" w:hAnsiTheme="minorHAnsi"/>
          </w:rPr>
          <w:t>http://www.health.alberta.ca/documents/Pharma-Strategy-2008-rare-disease.pdf&gt;</w:t>
        </w:r>
      </w:hyperlink>
      <w:r w:rsidRPr="00184B6F">
        <w:rPr>
          <w:rFonts w:asciiTheme="minorHAnsi" w:hAnsiTheme="minorHAnsi"/>
        </w:rPr>
        <w:t>.</w:t>
      </w:r>
    </w:p>
    <w:bookmarkEnd w:id="3"/>
    <w:p w:rsidR="00D87FEF" w:rsidRDefault="00D87FEF" w:rsidP="00D87FEF">
      <w:pPr>
        <w:pStyle w:val="EndNoteBibliography"/>
        <w:spacing w:after="0"/>
        <w:jc w:val="left"/>
        <w:rPr>
          <w:rFonts w:asciiTheme="minorHAnsi" w:hAnsiTheme="minorHAnsi"/>
        </w:rPr>
      </w:pPr>
    </w:p>
    <w:p w:rsidR="00D87FEF" w:rsidRDefault="00D87FEF" w:rsidP="00D87FEF">
      <w:pPr>
        <w:pStyle w:val="EndNoteBibliography"/>
        <w:spacing w:after="0"/>
        <w:jc w:val="left"/>
        <w:rPr>
          <w:rFonts w:asciiTheme="minorHAnsi" w:hAnsiTheme="minorHAnsi"/>
        </w:rPr>
      </w:pPr>
      <w:r w:rsidRPr="00184B6F">
        <w:rPr>
          <w:rFonts w:asciiTheme="minorHAnsi" w:hAnsiTheme="minorHAnsi"/>
        </w:rPr>
        <w:t>Canadian Agency for Drugs and Technologies in Health 2013, 'Drugs for rare diseases: evolving trends in regulatory and health technology assessment perspectives', pp. 1-40, viewed 3 July 2014, &lt;</w:t>
      </w:r>
      <w:hyperlink r:id="rId26" w:history="1">
        <w:r w:rsidRPr="00184B6F">
          <w:rPr>
            <w:rStyle w:val="Hyperlink"/>
            <w:rFonts w:asciiTheme="minorHAnsi" w:hAnsiTheme="minorHAnsi"/>
          </w:rPr>
          <w:t>http://www.cadth.ca/products/environmental-scanning/environmental-scans/environmental-scan-42&gt;</w:t>
        </w:r>
      </w:hyperlink>
      <w:r w:rsidRPr="00184B6F">
        <w:rPr>
          <w:rFonts w:asciiTheme="minorHAnsi" w:hAnsiTheme="minorHAnsi"/>
        </w:rPr>
        <w:t>.</w:t>
      </w:r>
    </w:p>
    <w:p w:rsidR="00D87FEF" w:rsidRDefault="00D87FEF" w:rsidP="00D87FEF">
      <w:pPr>
        <w:pStyle w:val="EndNoteBibliography"/>
        <w:spacing w:after="0"/>
        <w:jc w:val="left"/>
        <w:rPr>
          <w:rFonts w:asciiTheme="minorHAnsi" w:hAnsiTheme="minorHAnsi"/>
        </w:rPr>
      </w:pPr>
    </w:p>
    <w:p w:rsidR="00A90E56" w:rsidRPr="00184B6F" w:rsidRDefault="00A90E56" w:rsidP="00A90E56">
      <w:pPr>
        <w:pStyle w:val="EndNoteBibliography"/>
        <w:spacing w:after="0"/>
        <w:rPr>
          <w:rFonts w:asciiTheme="minorHAnsi" w:hAnsiTheme="minorHAnsi"/>
        </w:rPr>
      </w:pPr>
      <w:bookmarkStart w:id="5" w:name="_ENREF_52"/>
      <w:r w:rsidRPr="00184B6F">
        <w:rPr>
          <w:rFonts w:asciiTheme="minorHAnsi" w:hAnsiTheme="minorHAnsi"/>
        </w:rPr>
        <w:t xml:space="preserve">Chien, YH, Lee, NC, Thurberg, BL, Chiang, SC, Zhang, XK, Keutzer, J, Huang, AC, Wu, MH, Huang, PH, Tsai, FJ, Chen, YT &amp; Hwu, WL 2009, 'Pompe disease in infants: improving the prognosis by newborn screening and early treatment', </w:t>
      </w:r>
      <w:r w:rsidRPr="00184B6F">
        <w:rPr>
          <w:rFonts w:asciiTheme="minorHAnsi" w:hAnsiTheme="minorHAnsi"/>
          <w:i/>
        </w:rPr>
        <w:t>Pediatrics</w:t>
      </w:r>
      <w:r w:rsidRPr="00184B6F">
        <w:rPr>
          <w:rFonts w:asciiTheme="minorHAnsi" w:hAnsiTheme="minorHAnsi"/>
        </w:rPr>
        <w:t>, vol. 124, no. 6, Dec, pp. e1116-1125.</w:t>
      </w:r>
    </w:p>
    <w:bookmarkEnd w:id="5"/>
    <w:p w:rsidR="00A90E56" w:rsidRDefault="00A90E56" w:rsidP="00D87FEF">
      <w:pPr>
        <w:pStyle w:val="EndNoteBibliography"/>
        <w:spacing w:after="0"/>
        <w:jc w:val="left"/>
        <w:rPr>
          <w:rFonts w:asciiTheme="minorHAnsi" w:hAnsiTheme="minorHAnsi"/>
        </w:rPr>
      </w:pPr>
    </w:p>
    <w:p w:rsidR="00A90E56" w:rsidRPr="00184B6F" w:rsidRDefault="00A90E56" w:rsidP="00A90E56">
      <w:pPr>
        <w:pStyle w:val="EndNoteBibliography"/>
        <w:spacing w:after="0"/>
        <w:rPr>
          <w:rFonts w:asciiTheme="minorHAnsi" w:hAnsiTheme="minorHAnsi"/>
        </w:rPr>
      </w:pPr>
      <w:bookmarkStart w:id="6" w:name="_ENREF_85"/>
      <w:r w:rsidRPr="00184B6F">
        <w:rPr>
          <w:rFonts w:asciiTheme="minorHAnsi" w:hAnsiTheme="minorHAnsi"/>
        </w:rPr>
        <w:t xml:space="preserve">Elstein, D, Dweck, A, Attias, D, Hadas-Halpern, I, Zevin, S, Altarescu, G, Aerts, JF, van, W &amp; Zimran, A 2007, 'Oral maintenance clinical trial with miglustat for type I Gaucher disease: switch from or combination with intravenous enzyme replacement', </w:t>
      </w:r>
      <w:r w:rsidRPr="00184B6F">
        <w:rPr>
          <w:rFonts w:asciiTheme="minorHAnsi" w:hAnsiTheme="minorHAnsi"/>
          <w:i/>
        </w:rPr>
        <w:t>Blood</w:t>
      </w:r>
      <w:r w:rsidRPr="00184B6F">
        <w:rPr>
          <w:rFonts w:asciiTheme="minorHAnsi" w:hAnsiTheme="minorHAnsi"/>
        </w:rPr>
        <w:t>, vol. 110, pp. 2296-2301.</w:t>
      </w:r>
    </w:p>
    <w:bookmarkEnd w:id="6"/>
    <w:p w:rsidR="00A90E56" w:rsidRDefault="00A90E56" w:rsidP="00D87FEF">
      <w:pPr>
        <w:pStyle w:val="EndNoteBibliography"/>
        <w:spacing w:after="0"/>
        <w:jc w:val="left"/>
        <w:rPr>
          <w:rFonts w:asciiTheme="minorHAnsi" w:hAnsiTheme="minorHAnsi"/>
        </w:rPr>
      </w:pPr>
    </w:p>
    <w:p w:rsidR="00D87FEF" w:rsidRPr="00184B6F" w:rsidRDefault="00D87FEF" w:rsidP="00D87FEF">
      <w:pPr>
        <w:pStyle w:val="EndNoteBibliography"/>
        <w:spacing w:after="0"/>
        <w:rPr>
          <w:rFonts w:asciiTheme="minorHAnsi" w:hAnsiTheme="minorHAnsi"/>
        </w:rPr>
      </w:pPr>
      <w:bookmarkStart w:id="7" w:name="_ENREF_99"/>
      <w:r w:rsidRPr="00184B6F">
        <w:rPr>
          <w:rFonts w:asciiTheme="minorHAnsi" w:hAnsiTheme="minorHAnsi"/>
        </w:rPr>
        <w:t xml:space="preserve">Gao, JJ, Song, PP &amp; Tang, W 2013, 'Rare disease patients in China anticipate the sunlight of legislation', </w:t>
      </w:r>
      <w:r w:rsidRPr="00184B6F">
        <w:rPr>
          <w:rFonts w:asciiTheme="minorHAnsi" w:hAnsiTheme="minorHAnsi"/>
          <w:i/>
        </w:rPr>
        <w:t>Drug Discov Ther</w:t>
      </w:r>
      <w:r w:rsidRPr="00184B6F">
        <w:rPr>
          <w:rFonts w:asciiTheme="minorHAnsi" w:hAnsiTheme="minorHAnsi"/>
        </w:rPr>
        <w:t>, vol. 7, no. 3, Jun, pp. 126-128.</w:t>
      </w:r>
    </w:p>
    <w:bookmarkEnd w:id="7"/>
    <w:p w:rsidR="00D87FEF" w:rsidRDefault="00D87FEF" w:rsidP="00D87FEF">
      <w:pPr>
        <w:pStyle w:val="EndNoteBibliography"/>
        <w:spacing w:after="0"/>
        <w:jc w:val="left"/>
        <w:rPr>
          <w:rFonts w:asciiTheme="minorHAnsi" w:hAnsiTheme="minorHAnsi"/>
        </w:rPr>
      </w:pPr>
    </w:p>
    <w:p w:rsidR="00A90E56" w:rsidRDefault="00A90E56" w:rsidP="00E52F10">
      <w:r w:rsidRPr="00A90E56">
        <w:rPr>
          <w:rFonts w:asciiTheme="minorHAnsi" w:eastAsia="Times New Roman" w:hAnsiTheme="minorHAnsi" w:cs="Times New Roman"/>
          <w:noProof/>
          <w:szCs w:val="24"/>
          <w:lang w:val="en-US"/>
        </w:rPr>
        <w:t>Kishnani, PS, DiRocco, M, Kaplan, P, Mehta, A, Pastores, GM, Smith, SE, Puga, AC, Lemay, RM &amp; Weinreb, NJ 2009, 'A randomized trial comparing the efficacy and safety of imiglucerase (Cerezyme) infusions every 4 weeks versus every 2 weeks in the maintenance therapy of adult patients with Gaucher disease type 1', Mol Genet Metab, vol. 96, pp. 164-170.</w:t>
      </w:r>
    </w:p>
    <w:p w:rsidR="00A90E56" w:rsidRPr="00184B6F" w:rsidRDefault="00A90E56" w:rsidP="00A90E56">
      <w:pPr>
        <w:pStyle w:val="EndNoteBibliography"/>
        <w:spacing w:after="0"/>
        <w:rPr>
          <w:rFonts w:asciiTheme="minorHAnsi" w:hAnsiTheme="minorHAnsi"/>
        </w:rPr>
      </w:pPr>
      <w:bookmarkStart w:id="8" w:name="_ENREF_187"/>
      <w:r w:rsidRPr="00184B6F">
        <w:rPr>
          <w:rFonts w:asciiTheme="minorHAnsi" w:hAnsiTheme="minorHAnsi"/>
        </w:rPr>
        <w:t xml:space="preserve">Ma, D, Li, D, Zhang, X &amp; He, L 2011, 'Opportunities and challenges of rare diseases treatments in China', </w:t>
      </w:r>
      <w:r w:rsidRPr="00184B6F">
        <w:rPr>
          <w:rFonts w:asciiTheme="minorHAnsi" w:hAnsiTheme="minorHAnsi"/>
          <w:i/>
        </w:rPr>
        <w:t>Chin J Evid Based Pediatr</w:t>
      </w:r>
      <w:r w:rsidRPr="00184B6F">
        <w:rPr>
          <w:rFonts w:asciiTheme="minorHAnsi" w:hAnsiTheme="minorHAnsi"/>
        </w:rPr>
        <w:t>, vol. 6, no. 2, pp. 81-82.</w:t>
      </w:r>
    </w:p>
    <w:bookmarkEnd w:id="8"/>
    <w:p w:rsidR="00A90E56" w:rsidRDefault="00A90E56" w:rsidP="00D87FEF">
      <w:pPr>
        <w:pStyle w:val="EndNoteBibliography"/>
        <w:spacing w:after="0"/>
        <w:jc w:val="left"/>
        <w:rPr>
          <w:rFonts w:asciiTheme="minorHAnsi" w:hAnsiTheme="minorHAnsi"/>
        </w:rPr>
      </w:pPr>
    </w:p>
    <w:p w:rsidR="00A90E56" w:rsidRPr="00184B6F" w:rsidRDefault="00A90E56" w:rsidP="00A90E56">
      <w:pPr>
        <w:pStyle w:val="EndNoteBibliography"/>
        <w:spacing w:after="0"/>
        <w:rPr>
          <w:rFonts w:asciiTheme="minorHAnsi" w:hAnsiTheme="minorHAnsi"/>
        </w:rPr>
      </w:pPr>
      <w:bookmarkStart w:id="9" w:name="_ENREF_219"/>
      <w:r w:rsidRPr="00184B6F">
        <w:rPr>
          <w:rFonts w:asciiTheme="minorHAnsi" w:hAnsiTheme="minorHAnsi"/>
        </w:rPr>
        <w:t xml:space="preserve">Nicolino, M, Byrne, B, Wraith, JE, Leslie, N, Mandel, H, Freyer, DR, Arnold, GL, Pivnick, EK, Ottinger, CJ, Robinson, PH, Loo, JC, Smitka, M, Jardine, P, Tat•, L, Chabrol, B, McCandless, S, Kimura, S, Mehta, L, Bali, D, Skrinar, A, Morgan, C, Rangachari, L, Corzo, D &amp; Kishnani, PS 2009, 'Clinical outcomes after long-term treatment with alglucosidase alfa in infants and children with advanced Pompe disease', </w:t>
      </w:r>
      <w:r w:rsidRPr="00184B6F">
        <w:rPr>
          <w:rFonts w:asciiTheme="minorHAnsi" w:hAnsiTheme="minorHAnsi"/>
          <w:i/>
        </w:rPr>
        <w:t>Genet Med.</w:t>
      </w:r>
      <w:r w:rsidRPr="00184B6F">
        <w:rPr>
          <w:rFonts w:asciiTheme="minorHAnsi" w:hAnsiTheme="minorHAnsi"/>
        </w:rPr>
        <w:t>, vol. 11, no. 3, Mar, pp. 210-219. [Genetics in medicine : official journal of the American College of Medical Genetics].</w:t>
      </w:r>
    </w:p>
    <w:bookmarkEnd w:id="9"/>
    <w:p w:rsidR="00A90E56" w:rsidRDefault="00A90E56" w:rsidP="00D87FEF">
      <w:pPr>
        <w:pStyle w:val="EndNoteBibliography"/>
        <w:spacing w:after="0"/>
        <w:jc w:val="left"/>
        <w:rPr>
          <w:rFonts w:asciiTheme="minorHAnsi" w:hAnsiTheme="minorHAnsi"/>
        </w:rPr>
      </w:pPr>
    </w:p>
    <w:p w:rsidR="00D87FEF" w:rsidRPr="00184B6F" w:rsidRDefault="00D87FEF" w:rsidP="00D87FEF">
      <w:pPr>
        <w:pStyle w:val="EndNoteBibliography"/>
        <w:spacing w:after="0"/>
        <w:rPr>
          <w:rFonts w:asciiTheme="minorHAnsi" w:hAnsiTheme="minorHAnsi"/>
        </w:rPr>
      </w:pPr>
      <w:bookmarkStart w:id="10" w:name="_ENREF_236"/>
      <w:r w:rsidRPr="00184B6F">
        <w:rPr>
          <w:rFonts w:asciiTheme="minorHAnsi" w:hAnsiTheme="minorHAnsi"/>
        </w:rPr>
        <w:t xml:space="preserve">Picavet, E, Cassiman, D &amp; Simoens, S 2013, 'Do ultra-orphan medicinal products warrant ultra-high prices? A review', </w:t>
      </w:r>
      <w:r w:rsidRPr="00184B6F">
        <w:rPr>
          <w:rFonts w:asciiTheme="minorHAnsi" w:hAnsiTheme="minorHAnsi"/>
          <w:i/>
        </w:rPr>
        <w:t>Orphan Drugs: Research and Reviews</w:t>
      </w:r>
      <w:r w:rsidRPr="00184B6F">
        <w:rPr>
          <w:rFonts w:asciiTheme="minorHAnsi" w:hAnsiTheme="minorHAnsi"/>
        </w:rPr>
        <w:t>, vol. 3, pp. 23-31.</w:t>
      </w:r>
    </w:p>
    <w:bookmarkEnd w:id="10"/>
    <w:p w:rsidR="00D87FEF" w:rsidRDefault="00D87FEF" w:rsidP="00D87FEF">
      <w:pPr>
        <w:pStyle w:val="EndNoteBibliography"/>
        <w:spacing w:after="0"/>
        <w:jc w:val="left"/>
        <w:rPr>
          <w:rFonts w:asciiTheme="minorHAnsi" w:hAnsiTheme="minorHAnsi"/>
        </w:rPr>
      </w:pPr>
    </w:p>
    <w:p w:rsidR="00A90E56" w:rsidRPr="00184B6F" w:rsidRDefault="00A90E56" w:rsidP="00A90E56">
      <w:pPr>
        <w:pStyle w:val="EndNoteBibliography"/>
        <w:spacing w:after="0"/>
        <w:rPr>
          <w:rFonts w:asciiTheme="minorHAnsi" w:hAnsiTheme="minorHAnsi"/>
        </w:rPr>
      </w:pPr>
      <w:bookmarkStart w:id="11" w:name="_ENREF_272"/>
      <w:bookmarkStart w:id="12" w:name="_ENREF_309"/>
      <w:r w:rsidRPr="00184B6F">
        <w:rPr>
          <w:rFonts w:asciiTheme="minorHAnsi" w:hAnsiTheme="minorHAnsi"/>
        </w:rPr>
        <w:lastRenderedPageBreak/>
        <w:t xml:space="preserve">Song, P, Gao, J, Inagaki, Y, Kokudo, N &amp; Tang, W 2012, 'Intractable and rare diseases research in Asia', </w:t>
      </w:r>
      <w:r w:rsidRPr="00184B6F">
        <w:rPr>
          <w:rFonts w:asciiTheme="minorHAnsi" w:hAnsiTheme="minorHAnsi"/>
          <w:i/>
        </w:rPr>
        <w:t>Biosci Trends</w:t>
      </w:r>
      <w:r w:rsidRPr="00184B6F">
        <w:rPr>
          <w:rFonts w:asciiTheme="minorHAnsi" w:hAnsiTheme="minorHAnsi"/>
        </w:rPr>
        <w:t>, vol. 6, no. 2, Apr, pp. 48-51.</w:t>
      </w:r>
    </w:p>
    <w:bookmarkEnd w:id="11"/>
    <w:p w:rsidR="00A90E56" w:rsidRDefault="00A90E56" w:rsidP="00D87FEF">
      <w:pPr>
        <w:pStyle w:val="EndNoteBibliography"/>
        <w:spacing w:after="0"/>
        <w:rPr>
          <w:rFonts w:asciiTheme="minorHAnsi" w:hAnsiTheme="minorHAnsi"/>
        </w:rPr>
      </w:pPr>
    </w:p>
    <w:p w:rsidR="00A90E56" w:rsidRPr="00184B6F" w:rsidRDefault="00A90E56" w:rsidP="00A90E56">
      <w:pPr>
        <w:pStyle w:val="EndNoteBibliography"/>
        <w:spacing w:after="0"/>
        <w:rPr>
          <w:rFonts w:asciiTheme="minorHAnsi" w:hAnsiTheme="minorHAnsi"/>
        </w:rPr>
      </w:pPr>
      <w:bookmarkStart w:id="13" w:name="_ENREF_306"/>
      <w:r w:rsidRPr="00184B6F">
        <w:rPr>
          <w:rFonts w:asciiTheme="minorHAnsi" w:hAnsiTheme="minorHAnsi"/>
        </w:rPr>
        <w:t xml:space="preserve">Vedder, AC, Linthorst, GE, Houge, G, Groener, JEM, Ormel, EE, Bouma, BJ, Aerts, JMFG, Hirth, A &amp; Hollak, CEM 2007, 'Treatment of fabry disease: Outcome of a comparative trial with agalsidase alfa or beta at a dose of 0.2 mg/kg', </w:t>
      </w:r>
      <w:r w:rsidRPr="00184B6F">
        <w:rPr>
          <w:rFonts w:asciiTheme="minorHAnsi" w:hAnsiTheme="minorHAnsi"/>
          <w:i/>
        </w:rPr>
        <w:t>PLoS ONE</w:t>
      </w:r>
      <w:r w:rsidRPr="00184B6F">
        <w:rPr>
          <w:rFonts w:asciiTheme="minorHAnsi" w:hAnsiTheme="minorHAnsi"/>
        </w:rPr>
        <w:t>, vol. 2, no. 7.</w:t>
      </w:r>
    </w:p>
    <w:bookmarkEnd w:id="13"/>
    <w:p w:rsidR="00A90E56" w:rsidRDefault="00A90E56" w:rsidP="00D87FEF">
      <w:pPr>
        <w:pStyle w:val="EndNoteBibliography"/>
        <w:spacing w:after="0"/>
        <w:rPr>
          <w:rFonts w:asciiTheme="minorHAnsi" w:hAnsiTheme="minorHAnsi"/>
        </w:rPr>
      </w:pPr>
    </w:p>
    <w:p w:rsidR="00D87FEF" w:rsidRPr="00184B6F" w:rsidRDefault="00D87FEF" w:rsidP="00D87FEF">
      <w:pPr>
        <w:pStyle w:val="EndNoteBibliography"/>
        <w:spacing w:after="0"/>
        <w:rPr>
          <w:rFonts w:asciiTheme="minorHAnsi" w:hAnsiTheme="minorHAnsi"/>
        </w:rPr>
      </w:pPr>
      <w:r w:rsidRPr="00184B6F">
        <w:rPr>
          <w:rFonts w:asciiTheme="minorHAnsi" w:hAnsiTheme="minorHAnsi"/>
        </w:rPr>
        <w:t xml:space="preserve">Visschers, RGJ, van Gemert, WG &amp; Olde Damink, SWM 2011, 'Orphan diseases neglected: The faith of intestinal failure', </w:t>
      </w:r>
      <w:r w:rsidRPr="00184B6F">
        <w:rPr>
          <w:rFonts w:asciiTheme="minorHAnsi" w:hAnsiTheme="minorHAnsi"/>
          <w:i/>
        </w:rPr>
        <w:t>e-SPEN</w:t>
      </w:r>
      <w:r w:rsidRPr="00184B6F">
        <w:rPr>
          <w:rFonts w:asciiTheme="minorHAnsi" w:hAnsiTheme="minorHAnsi"/>
        </w:rPr>
        <w:t>, vol. 6, no. 5, pp. e232-e234.</w:t>
      </w:r>
    </w:p>
    <w:bookmarkEnd w:id="12"/>
    <w:p w:rsidR="00D87FEF" w:rsidRPr="00184B6F" w:rsidRDefault="00D87FEF" w:rsidP="00D87FEF">
      <w:pPr>
        <w:pStyle w:val="EndNoteBibliography"/>
        <w:spacing w:after="0"/>
        <w:jc w:val="left"/>
        <w:rPr>
          <w:rFonts w:asciiTheme="minorHAnsi" w:hAnsiTheme="minorHAnsi"/>
        </w:rPr>
      </w:pPr>
    </w:p>
    <w:bookmarkEnd w:id="4"/>
    <w:p w:rsidR="00D87FEF" w:rsidRPr="008A6F20" w:rsidRDefault="00D87FEF" w:rsidP="00516E62">
      <w:pPr>
        <w:rPr>
          <w:rFonts w:ascii="Arial" w:eastAsiaTheme="majorEastAsia" w:hAnsi="Arial" w:cs="Arial"/>
          <w:b/>
          <w:bCs/>
          <w:sz w:val="40"/>
          <w:szCs w:val="40"/>
        </w:rPr>
      </w:pPr>
    </w:p>
    <w:sectPr w:rsidR="00D87FEF" w:rsidRPr="008A6F20" w:rsidSect="004E7CB0">
      <w:footerReference w:type="default" r:id="rId2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7EA" w:rsidRDefault="007C57EA" w:rsidP="007E68DE">
      <w:pPr>
        <w:spacing w:after="0" w:line="240" w:lineRule="auto"/>
      </w:pPr>
      <w:r>
        <w:separator/>
      </w:r>
    </w:p>
  </w:endnote>
  <w:endnote w:type="continuationSeparator" w:id="0">
    <w:p w:rsidR="007C57EA" w:rsidRDefault="007C57EA" w:rsidP="007E6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11701"/>
      <w:docPartObj>
        <w:docPartGallery w:val="Page Numbers (Bottom of Page)"/>
        <w:docPartUnique/>
      </w:docPartObj>
    </w:sdtPr>
    <w:sdtEndPr>
      <w:rPr>
        <w:noProof/>
      </w:rPr>
    </w:sdtEndPr>
    <w:sdtContent>
      <w:p w:rsidR="007C57EA" w:rsidRDefault="007C57EA">
        <w:pPr>
          <w:pStyle w:val="Footer"/>
          <w:jc w:val="right"/>
        </w:pPr>
        <w:r>
          <w:fldChar w:fldCharType="begin"/>
        </w:r>
        <w:r>
          <w:instrText xml:space="preserve"> PAGE   \* MERGEFORMAT </w:instrText>
        </w:r>
        <w:r>
          <w:fldChar w:fldCharType="separate"/>
        </w:r>
        <w:r w:rsidR="009248AE">
          <w:rPr>
            <w:noProof/>
          </w:rPr>
          <w:t>32</w:t>
        </w:r>
        <w:r>
          <w:rPr>
            <w:noProof/>
          </w:rPr>
          <w:fldChar w:fldCharType="end"/>
        </w:r>
      </w:p>
    </w:sdtContent>
  </w:sdt>
  <w:p w:rsidR="007C57EA" w:rsidRDefault="007C57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7EA" w:rsidRDefault="007C57EA" w:rsidP="007E68DE">
      <w:pPr>
        <w:spacing w:after="0" w:line="240" w:lineRule="auto"/>
      </w:pPr>
      <w:r>
        <w:separator/>
      </w:r>
    </w:p>
  </w:footnote>
  <w:footnote w:type="continuationSeparator" w:id="0">
    <w:p w:rsidR="007C57EA" w:rsidRDefault="007C57EA" w:rsidP="007E68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CB2"/>
    <w:multiLevelType w:val="hybridMultilevel"/>
    <w:tmpl w:val="B024CC48"/>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1B05952"/>
    <w:multiLevelType w:val="hybridMultilevel"/>
    <w:tmpl w:val="DB9228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F76AC5"/>
    <w:multiLevelType w:val="hybridMultilevel"/>
    <w:tmpl w:val="90080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2FE7A5F"/>
    <w:multiLevelType w:val="hybridMultilevel"/>
    <w:tmpl w:val="8C3686C0"/>
    <w:lvl w:ilvl="0" w:tplc="0C090001">
      <w:start w:val="1"/>
      <w:numFmt w:val="bullet"/>
      <w:lvlText w:val=""/>
      <w:lvlJc w:val="left"/>
      <w:pPr>
        <w:ind w:left="798" w:hanging="360"/>
      </w:pPr>
      <w:rPr>
        <w:rFonts w:ascii="Symbol" w:hAnsi="Symbol" w:hint="default"/>
      </w:rPr>
    </w:lvl>
    <w:lvl w:ilvl="1" w:tplc="0C090003" w:tentative="1">
      <w:start w:val="1"/>
      <w:numFmt w:val="bullet"/>
      <w:lvlText w:val="o"/>
      <w:lvlJc w:val="left"/>
      <w:pPr>
        <w:ind w:left="1518" w:hanging="360"/>
      </w:pPr>
      <w:rPr>
        <w:rFonts w:ascii="Courier New" w:hAnsi="Courier New" w:cs="Courier New" w:hint="default"/>
      </w:rPr>
    </w:lvl>
    <w:lvl w:ilvl="2" w:tplc="0C090005" w:tentative="1">
      <w:start w:val="1"/>
      <w:numFmt w:val="bullet"/>
      <w:lvlText w:val=""/>
      <w:lvlJc w:val="left"/>
      <w:pPr>
        <w:ind w:left="2238" w:hanging="360"/>
      </w:pPr>
      <w:rPr>
        <w:rFonts w:ascii="Wingdings" w:hAnsi="Wingdings" w:hint="default"/>
      </w:rPr>
    </w:lvl>
    <w:lvl w:ilvl="3" w:tplc="0C090001" w:tentative="1">
      <w:start w:val="1"/>
      <w:numFmt w:val="bullet"/>
      <w:lvlText w:val=""/>
      <w:lvlJc w:val="left"/>
      <w:pPr>
        <w:ind w:left="2958" w:hanging="360"/>
      </w:pPr>
      <w:rPr>
        <w:rFonts w:ascii="Symbol" w:hAnsi="Symbol" w:hint="default"/>
      </w:rPr>
    </w:lvl>
    <w:lvl w:ilvl="4" w:tplc="0C090003" w:tentative="1">
      <w:start w:val="1"/>
      <w:numFmt w:val="bullet"/>
      <w:lvlText w:val="o"/>
      <w:lvlJc w:val="left"/>
      <w:pPr>
        <w:ind w:left="3678" w:hanging="360"/>
      </w:pPr>
      <w:rPr>
        <w:rFonts w:ascii="Courier New" w:hAnsi="Courier New" w:cs="Courier New" w:hint="default"/>
      </w:rPr>
    </w:lvl>
    <w:lvl w:ilvl="5" w:tplc="0C090005" w:tentative="1">
      <w:start w:val="1"/>
      <w:numFmt w:val="bullet"/>
      <w:lvlText w:val=""/>
      <w:lvlJc w:val="left"/>
      <w:pPr>
        <w:ind w:left="4398" w:hanging="360"/>
      </w:pPr>
      <w:rPr>
        <w:rFonts w:ascii="Wingdings" w:hAnsi="Wingdings" w:hint="default"/>
      </w:rPr>
    </w:lvl>
    <w:lvl w:ilvl="6" w:tplc="0C090001" w:tentative="1">
      <w:start w:val="1"/>
      <w:numFmt w:val="bullet"/>
      <w:lvlText w:val=""/>
      <w:lvlJc w:val="left"/>
      <w:pPr>
        <w:ind w:left="5118" w:hanging="360"/>
      </w:pPr>
      <w:rPr>
        <w:rFonts w:ascii="Symbol" w:hAnsi="Symbol" w:hint="default"/>
      </w:rPr>
    </w:lvl>
    <w:lvl w:ilvl="7" w:tplc="0C090003" w:tentative="1">
      <w:start w:val="1"/>
      <w:numFmt w:val="bullet"/>
      <w:lvlText w:val="o"/>
      <w:lvlJc w:val="left"/>
      <w:pPr>
        <w:ind w:left="5838" w:hanging="360"/>
      </w:pPr>
      <w:rPr>
        <w:rFonts w:ascii="Courier New" w:hAnsi="Courier New" w:cs="Courier New" w:hint="default"/>
      </w:rPr>
    </w:lvl>
    <w:lvl w:ilvl="8" w:tplc="0C090005" w:tentative="1">
      <w:start w:val="1"/>
      <w:numFmt w:val="bullet"/>
      <w:lvlText w:val=""/>
      <w:lvlJc w:val="left"/>
      <w:pPr>
        <w:ind w:left="6558" w:hanging="360"/>
      </w:pPr>
      <w:rPr>
        <w:rFonts w:ascii="Wingdings" w:hAnsi="Wingdings" w:hint="default"/>
      </w:rPr>
    </w:lvl>
  </w:abstractNum>
  <w:abstractNum w:abstractNumId="4">
    <w:nsid w:val="08026806"/>
    <w:multiLevelType w:val="hybridMultilevel"/>
    <w:tmpl w:val="F2148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9CB6BAF"/>
    <w:multiLevelType w:val="hybridMultilevel"/>
    <w:tmpl w:val="6CA67A1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2586" w:hanging="360"/>
      </w:pPr>
      <w:rPr>
        <w:rFonts w:ascii="Courier New" w:hAnsi="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6">
    <w:nsid w:val="0AB2040B"/>
    <w:multiLevelType w:val="multilevel"/>
    <w:tmpl w:val="E25EC5EA"/>
    <w:lvl w:ilvl="0">
      <w:start w:val="8"/>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C1072D0"/>
    <w:multiLevelType w:val="hybridMultilevel"/>
    <w:tmpl w:val="BA18A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B91DDC"/>
    <w:multiLevelType w:val="hybridMultilevel"/>
    <w:tmpl w:val="6A54A44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
    <w:nsid w:val="16560FCF"/>
    <w:multiLevelType w:val="hybridMultilevel"/>
    <w:tmpl w:val="DD628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A74B0D"/>
    <w:multiLevelType w:val="hybridMultilevel"/>
    <w:tmpl w:val="E354B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07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9C56275"/>
    <w:multiLevelType w:val="hybridMultilevel"/>
    <w:tmpl w:val="F744B13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1F251306"/>
    <w:multiLevelType w:val="multilevel"/>
    <w:tmpl w:val="000AD34A"/>
    <w:lvl w:ilvl="0">
      <w:start w:val="7"/>
      <w:numFmt w:val="decimal"/>
      <w:lvlText w:val="%1."/>
      <w:lvlJc w:val="left"/>
      <w:pPr>
        <w:ind w:left="400" w:hanging="40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1F8D2206"/>
    <w:multiLevelType w:val="multilevel"/>
    <w:tmpl w:val="0F0CC106"/>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27E64DF"/>
    <w:multiLevelType w:val="hybridMultilevel"/>
    <w:tmpl w:val="26222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6C47352"/>
    <w:multiLevelType w:val="hybridMultilevel"/>
    <w:tmpl w:val="C39E176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nsid w:val="27EB1D76"/>
    <w:multiLevelType w:val="multilevel"/>
    <w:tmpl w:val="E9F051D4"/>
    <w:lvl w:ilvl="0">
      <w:start w:val="2"/>
      <w:numFmt w:val="decimal"/>
      <w:lvlText w:val="%1."/>
      <w:lvlJc w:val="left"/>
      <w:pPr>
        <w:ind w:left="400" w:hanging="400"/>
      </w:pPr>
      <w:rPr>
        <w:rFonts w:hint="default"/>
      </w:rPr>
    </w:lvl>
    <w:lvl w:ilvl="1">
      <w:start w:val="1"/>
      <w:numFmt w:val="decimal"/>
      <w:lvlText w:val="%1.%2."/>
      <w:lvlJc w:val="left"/>
      <w:pPr>
        <w:ind w:left="143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94863D0"/>
    <w:multiLevelType w:val="hybridMultilevel"/>
    <w:tmpl w:val="D4AAF5E4"/>
    <w:lvl w:ilvl="0" w:tplc="0C090001">
      <w:start w:val="1"/>
      <w:numFmt w:val="bullet"/>
      <w:lvlText w:val=""/>
      <w:lvlJc w:val="left"/>
      <w:pPr>
        <w:ind w:left="1120" w:hanging="360"/>
      </w:pPr>
      <w:rPr>
        <w:rFonts w:ascii="Symbol" w:hAnsi="Symbol" w:hint="default"/>
      </w:rPr>
    </w:lvl>
    <w:lvl w:ilvl="1" w:tplc="0C090003" w:tentative="1">
      <w:start w:val="1"/>
      <w:numFmt w:val="bullet"/>
      <w:lvlText w:val="o"/>
      <w:lvlJc w:val="left"/>
      <w:pPr>
        <w:ind w:left="1840" w:hanging="360"/>
      </w:pPr>
      <w:rPr>
        <w:rFonts w:ascii="Courier New" w:hAnsi="Courier New" w:cs="Courier New" w:hint="default"/>
      </w:rPr>
    </w:lvl>
    <w:lvl w:ilvl="2" w:tplc="0C090005" w:tentative="1">
      <w:start w:val="1"/>
      <w:numFmt w:val="bullet"/>
      <w:lvlText w:val=""/>
      <w:lvlJc w:val="left"/>
      <w:pPr>
        <w:ind w:left="2560" w:hanging="360"/>
      </w:pPr>
      <w:rPr>
        <w:rFonts w:ascii="Wingdings" w:hAnsi="Wingdings" w:hint="default"/>
      </w:rPr>
    </w:lvl>
    <w:lvl w:ilvl="3" w:tplc="0C090001" w:tentative="1">
      <w:start w:val="1"/>
      <w:numFmt w:val="bullet"/>
      <w:lvlText w:val=""/>
      <w:lvlJc w:val="left"/>
      <w:pPr>
        <w:ind w:left="3280" w:hanging="360"/>
      </w:pPr>
      <w:rPr>
        <w:rFonts w:ascii="Symbol" w:hAnsi="Symbol" w:hint="default"/>
      </w:rPr>
    </w:lvl>
    <w:lvl w:ilvl="4" w:tplc="0C090003" w:tentative="1">
      <w:start w:val="1"/>
      <w:numFmt w:val="bullet"/>
      <w:lvlText w:val="o"/>
      <w:lvlJc w:val="left"/>
      <w:pPr>
        <w:ind w:left="4000" w:hanging="360"/>
      </w:pPr>
      <w:rPr>
        <w:rFonts w:ascii="Courier New" w:hAnsi="Courier New" w:cs="Courier New" w:hint="default"/>
      </w:rPr>
    </w:lvl>
    <w:lvl w:ilvl="5" w:tplc="0C090005" w:tentative="1">
      <w:start w:val="1"/>
      <w:numFmt w:val="bullet"/>
      <w:lvlText w:val=""/>
      <w:lvlJc w:val="left"/>
      <w:pPr>
        <w:ind w:left="4720" w:hanging="360"/>
      </w:pPr>
      <w:rPr>
        <w:rFonts w:ascii="Wingdings" w:hAnsi="Wingdings" w:hint="default"/>
      </w:rPr>
    </w:lvl>
    <w:lvl w:ilvl="6" w:tplc="0C090001" w:tentative="1">
      <w:start w:val="1"/>
      <w:numFmt w:val="bullet"/>
      <w:lvlText w:val=""/>
      <w:lvlJc w:val="left"/>
      <w:pPr>
        <w:ind w:left="5440" w:hanging="360"/>
      </w:pPr>
      <w:rPr>
        <w:rFonts w:ascii="Symbol" w:hAnsi="Symbol" w:hint="default"/>
      </w:rPr>
    </w:lvl>
    <w:lvl w:ilvl="7" w:tplc="0C090003" w:tentative="1">
      <w:start w:val="1"/>
      <w:numFmt w:val="bullet"/>
      <w:lvlText w:val="o"/>
      <w:lvlJc w:val="left"/>
      <w:pPr>
        <w:ind w:left="6160" w:hanging="360"/>
      </w:pPr>
      <w:rPr>
        <w:rFonts w:ascii="Courier New" w:hAnsi="Courier New" w:cs="Courier New" w:hint="default"/>
      </w:rPr>
    </w:lvl>
    <w:lvl w:ilvl="8" w:tplc="0C090005" w:tentative="1">
      <w:start w:val="1"/>
      <w:numFmt w:val="bullet"/>
      <w:lvlText w:val=""/>
      <w:lvlJc w:val="left"/>
      <w:pPr>
        <w:ind w:left="6880" w:hanging="360"/>
      </w:pPr>
      <w:rPr>
        <w:rFonts w:ascii="Wingdings" w:hAnsi="Wingdings" w:hint="default"/>
      </w:rPr>
    </w:lvl>
  </w:abstractNum>
  <w:abstractNum w:abstractNumId="18">
    <w:nsid w:val="2AFF3028"/>
    <w:multiLevelType w:val="hybridMultilevel"/>
    <w:tmpl w:val="5BB468DA"/>
    <w:lvl w:ilvl="0" w:tplc="B5703E3E">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34A6BEE"/>
    <w:multiLevelType w:val="hybridMultilevel"/>
    <w:tmpl w:val="B04AA0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25BA9A0A">
      <w:numFmt w:val="bullet"/>
      <w:lvlText w:val="-"/>
      <w:lvlJc w:val="left"/>
      <w:pPr>
        <w:ind w:left="1800" w:hanging="360"/>
      </w:pPr>
      <w:rPr>
        <w:rFonts w:ascii="Times New Roman" w:eastAsiaTheme="minorHAnsi" w:hAnsi="Times New Roman" w:cs="Times New Roman"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342776D9"/>
    <w:multiLevelType w:val="hybridMultilevel"/>
    <w:tmpl w:val="6A7CA288"/>
    <w:lvl w:ilvl="0" w:tplc="04090005">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1">
    <w:nsid w:val="36F811E8"/>
    <w:multiLevelType w:val="hybridMultilevel"/>
    <w:tmpl w:val="30B02B88"/>
    <w:lvl w:ilvl="0" w:tplc="AEEC38E6">
      <w:start w:val="1"/>
      <w:numFmt w:val="bullet"/>
      <w:lvlText w:val=""/>
      <w:lvlJc w:val="left"/>
      <w:pPr>
        <w:ind w:left="1440" w:hanging="360"/>
      </w:pPr>
      <w:rPr>
        <w:rFonts w:ascii="Symbol" w:hAnsi="Symbol" w:hint="default"/>
        <w:sz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3DC44AF5"/>
    <w:multiLevelType w:val="hybridMultilevel"/>
    <w:tmpl w:val="BB02B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8440E9"/>
    <w:multiLevelType w:val="hybridMultilevel"/>
    <w:tmpl w:val="D4E87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BC21E57"/>
    <w:multiLevelType w:val="multilevel"/>
    <w:tmpl w:val="0F0CC106"/>
    <w:lvl w:ilvl="0">
      <w:start w:val="6"/>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0DA0EB5"/>
    <w:multiLevelType w:val="multilevel"/>
    <w:tmpl w:val="0F0CC106"/>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4E23121"/>
    <w:multiLevelType w:val="multilevel"/>
    <w:tmpl w:val="2C6A5F80"/>
    <w:lvl w:ilvl="0">
      <w:start w:val="4"/>
      <w:numFmt w:val="decimal"/>
      <w:lvlText w:val="%1."/>
      <w:lvlJc w:val="left"/>
      <w:pPr>
        <w:ind w:left="400" w:hanging="400"/>
      </w:pPr>
      <w:rPr>
        <w:rFonts w:hint="default"/>
      </w:rPr>
    </w:lvl>
    <w:lvl w:ilvl="1">
      <w:start w:val="1"/>
      <w:numFmt w:val="decimal"/>
      <w:lvlText w:val="%1.%2."/>
      <w:lvlJc w:val="left"/>
      <w:pPr>
        <w:ind w:left="143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EA7728B"/>
    <w:multiLevelType w:val="hybridMultilevel"/>
    <w:tmpl w:val="19CAA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1F52CD8"/>
    <w:multiLevelType w:val="multilevel"/>
    <w:tmpl w:val="B34047E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6E312A30"/>
    <w:multiLevelType w:val="hybridMultilevel"/>
    <w:tmpl w:val="470AB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1FB0C08"/>
    <w:multiLevelType w:val="hybridMultilevel"/>
    <w:tmpl w:val="8CB81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5B0003"/>
    <w:multiLevelType w:val="hybridMultilevel"/>
    <w:tmpl w:val="5B1CA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7B70C19"/>
    <w:multiLevelType w:val="hybridMultilevel"/>
    <w:tmpl w:val="24648058"/>
    <w:lvl w:ilvl="0" w:tplc="60FACB1A">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nsid w:val="78076669"/>
    <w:multiLevelType w:val="hybridMultilevel"/>
    <w:tmpl w:val="295CF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D3000B4"/>
    <w:multiLevelType w:val="multilevel"/>
    <w:tmpl w:val="BA4690BA"/>
    <w:lvl w:ilvl="0">
      <w:start w:val="3"/>
      <w:numFmt w:val="decimal"/>
      <w:lvlText w:val="%1."/>
      <w:lvlJc w:val="left"/>
      <w:pPr>
        <w:ind w:left="400" w:hanging="400"/>
      </w:pPr>
      <w:rPr>
        <w:rFonts w:hint="default"/>
      </w:rPr>
    </w:lvl>
    <w:lvl w:ilvl="1">
      <w:start w:val="1"/>
      <w:numFmt w:val="decimal"/>
      <w:lvlText w:val="%1.%2."/>
      <w:lvlJc w:val="left"/>
      <w:pPr>
        <w:ind w:left="720" w:hanging="720"/>
      </w:pPr>
      <w:rPr>
        <w:rFonts w:ascii="Arial" w:hAnsi="Arial" w:cs="Aria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23"/>
  </w:num>
  <w:num w:numId="4">
    <w:abstractNumId w:val="28"/>
  </w:num>
  <w:num w:numId="5">
    <w:abstractNumId w:val="33"/>
  </w:num>
  <w:num w:numId="6">
    <w:abstractNumId w:val="19"/>
  </w:num>
  <w:num w:numId="7">
    <w:abstractNumId w:val="10"/>
  </w:num>
  <w:num w:numId="8">
    <w:abstractNumId w:val="13"/>
  </w:num>
  <w:num w:numId="9">
    <w:abstractNumId w:val="16"/>
  </w:num>
  <w:num w:numId="10">
    <w:abstractNumId w:val="34"/>
  </w:num>
  <w:num w:numId="11">
    <w:abstractNumId w:val="20"/>
  </w:num>
  <w:num w:numId="12">
    <w:abstractNumId w:val="26"/>
  </w:num>
  <w:num w:numId="13">
    <w:abstractNumId w:val="24"/>
  </w:num>
  <w:num w:numId="14">
    <w:abstractNumId w:val="25"/>
  </w:num>
  <w:num w:numId="15">
    <w:abstractNumId w:val="12"/>
  </w:num>
  <w:num w:numId="16">
    <w:abstractNumId w:val="6"/>
  </w:num>
  <w:num w:numId="17">
    <w:abstractNumId w:val="17"/>
  </w:num>
  <w:num w:numId="18">
    <w:abstractNumId w:val="3"/>
  </w:num>
  <w:num w:numId="19">
    <w:abstractNumId w:val="1"/>
  </w:num>
  <w:num w:numId="20">
    <w:abstractNumId w:val="0"/>
  </w:num>
  <w:num w:numId="21">
    <w:abstractNumId w:val="15"/>
  </w:num>
  <w:num w:numId="22">
    <w:abstractNumId w:val="5"/>
  </w:num>
  <w:num w:numId="23">
    <w:abstractNumId w:val="30"/>
  </w:num>
  <w:num w:numId="24">
    <w:abstractNumId w:val="22"/>
  </w:num>
  <w:num w:numId="25">
    <w:abstractNumId w:val="7"/>
  </w:num>
  <w:num w:numId="26">
    <w:abstractNumId w:val="11"/>
  </w:num>
  <w:num w:numId="27">
    <w:abstractNumId w:val="9"/>
  </w:num>
  <w:num w:numId="28">
    <w:abstractNumId w:val="27"/>
  </w:num>
  <w:num w:numId="29">
    <w:abstractNumId w:val="21"/>
  </w:num>
  <w:num w:numId="30">
    <w:abstractNumId w:val="14"/>
  </w:num>
  <w:num w:numId="31">
    <w:abstractNumId w:val="31"/>
  </w:num>
  <w:num w:numId="32">
    <w:abstractNumId w:val="4"/>
  </w:num>
  <w:num w:numId="33">
    <w:abstractNumId w:val="2"/>
  </w:num>
  <w:num w:numId="34">
    <w:abstractNumId w:val="29"/>
  </w:num>
  <w:num w:numId="35">
    <w:abstractNumId w:val="8"/>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E62"/>
    <w:rsid w:val="000014BA"/>
    <w:rsid w:val="00004167"/>
    <w:rsid w:val="00012A9C"/>
    <w:rsid w:val="00014387"/>
    <w:rsid w:val="0003246A"/>
    <w:rsid w:val="00054077"/>
    <w:rsid w:val="00075FA3"/>
    <w:rsid w:val="00077BE7"/>
    <w:rsid w:val="00087AA0"/>
    <w:rsid w:val="000A293D"/>
    <w:rsid w:val="000B0E23"/>
    <w:rsid w:val="000E5466"/>
    <w:rsid w:val="00104645"/>
    <w:rsid w:val="001113B1"/>
    <w:rsid w:val="00163BF5"/>
    <w:rsid w:val="001679C6"/>
    <w:rsid w:val="00195021"/>
    <w:rsid w:val="001A022A"/>
    <w:rsid w:val="001C0781"/>
    <w:rsid w:val="001C17C1"/>
    <w:rsid w:val="001C40B9"/>
    <w:rsid w:val="001C646D"/>
    <w:rsid w:val="001D67DB"/>
    <w:rsid w:val="001E1441"/>
    <w:rsid w:val="001E5B1C"/>
    <w:rsid w:val="001F376D"/>
    <w:rsid w:val="00207D2C"/>
    <w:rsid w:val="0021651A"/>
    <w:rsid w:val="00252D20"/>
    <w:rsid w:val="00260578"/>
    <w:rsid w:val="00260DDA"/>
    <w:rsid w:val="00265DCB"/>
    <w:rsid w:val="00303214"/>
    <w:rsid w:val="00356809"/>
    <w:rsid w:val="00363F11"/>
    <w:rsid w:val="003E0206"/>
    <w:rsid w:val="004007F2"/>
    <w:rsid w:val="004237BE"/>
    <w:rsid w:val="004318FA"/>
    <w:rsid w:val="00443137"/>
    <w:rsid w:val="00463D7E"/>
    <w:rsid w:val="0046543C"/>
    <w:rsid w:val="00466E9A"/>
    <w:rsid w:val="004724BB"/>
    <w:rsid w:val="004829E6"/>
    <w:rsid w:val="004A29E2"/>
    <w:rsid w:val="004D30F6"/>
    <w:rsid w:val="004E5727"/>
    <w:rsid w:val="004E7CB0"/>
    <w:rsid w:val="0050296E"/>
    <w:rsid w:val="00516E62"/>
    <w:rsid w:val="00525911"/>
    <w:rsid w:val="00525AA3"/>
    <w:rsid w:val="00586ACD"/>
    <w:rsid w:val="005A4EB2"/>
    <w:rsid w:val="005B5EE3"/>
    <w:rsid w:val="005C0711"/>
    <w:rsid w:val="006415BB"/>
    <w:rsid w:val="00643656"/>
    <w:rsid w:val="006462AE"/>
    <w:rsid w:val="00651ED3"/>
    <w:rsid w:val="006C49BB"/>
    <w:rsid w:val="006D3B55"/>
    <w:rsid w:val="006E4F79"/>
    <w:rsid w:val="00746E4E"/>
    <w:rsid w:val="007A09ED"/>
    <w:rsid w:val="007C0BAB"/>
    <w:rsid w:val="007C0C21"/>
    <w:rsid w:val="007C57EA"/>
    <w:rsid w:val="007D7390"/>
    <w:rsid w:val="007E6352"/>
    <w:rsid w:val="007E68DE"/>
    <w:rsid w:val="007F4E20"/>
    <w:rsid w:val="007F7508"/>
    <w:rsid w:val="007F7843"/>
    <w:rsid w:val="00812EBD"/>
    <w:rsid w:val="008170FC"/>
    <w:rsid w:val="0083333D"/>
    <w:rsid w:val="00846801"/>
    <w:rsid w:val="00850E7A"/>
    <w:rsid w:val="00881CB4"/>
    <w:rsid w:val="008937F2"/>
    <w:rsid w:val="008A4CEA"/>
    <w:rsid w:val="008A6F20"/>
    <w:rsid w:val="008C7618"/>
    <w:rsid w:val="008E25E7"/>
    <w:rsid w:val="008E39D2"/>
    <w:rsid w:val="008E74F4"/>
    <w:rsid w:val="008F455B"/>
    <w:rsid w:val="008F797B"/>
    <w:rsid w:val="00903CE4"/>
    <w:rsid w:val="009248AE"/>
    <w:rsid w:val="00940D45"/>
    <w:rsid w:val="00946C7B"/>
    <w:rsid w:val="0096074C"/>
    <w:rsid w:val="009928D1"/>
    <w:rsid w:val="009A4202"/>
    <w:rsid w:val="009B1860"/>
    <w:rsid w:val="009B678F"/>
    <w:rsid w:val="009B7437"/>
    <w:rsid w:val="009C24D0"/>
    <w:rsid w:val="009C78FE"/>
    <w:rsid w:val="009D00E8"/>
    <w:rsid w:val="009D1DE1"/>
    <w:rsid w:val="009E78D8"/>
    <w:rsid w:val="009F1CCB"/>
    <w:rsid w:val="00A07614"/>
    <w:rsid w:val="00A27019"/>
    <w:rsid w:val="00A32996"/>
    <w:rsid w:val="00A5310B"/>
    <w:rsid w:val="00A67341"/>
    <w:rsid w:val="00A90E56"/>
    <w:rsid w:val="00AA391E"/>
    <w:rsid w:val="00AC09E0"/>
    <w:rsid w:val="00AC24A2"/>
    <w:rsid w:val="00AE7FD9"/>
    <w:rsid w:val="00B02550"/>
    <w:rsid w:val="00B12F80"/>
    <w:rsid w:val="00B14D6D"/>
    <w:rsid w:val="00B25C41"/>
    <w:rsid w:val="00B3754A"/>
    <w:rsid w:val="00B6087E"/>
    <w:rsid w:val="00B62F61"/>
    <w:rsid w:val="00B6302E"/>
    <w:rsid w:val="00B73BDA"/>
    <w:rsid w:val="00B75B23"/>
    <w:rsid w:val="00B968B2"/>
    <w:rsid w:val="00BA537F"/>
    <w:rsid w:val="00BB5E82"/>
    <w:rsid w:val="00BC7AAD"/>
    <w:rsid w:val="00BD3E66"/>
    <w:rsid w:val="00BF3415"/>
    <w:rsid w:val="00C27B21"/>
    <w:rsid w:val="00C31C88"/>
    <w:rsid w:val="00C371D5"/>
    <w:rsid w:val="00C534D3"/>
    <w:rsid w:val="00C550D2"/>
    <w:rsid w:val="00C56971"/>
    <w:rsid w:val="00C70960"/>
    <w:rsid w:val="00C716F2"/>
    <w:rsid w:val="00C818A8"/>
    <w:rsid w:val="00C870FE"/>
    <w:rsid w:val="00C87C89"/>
    <w:rsid w:val="00C91206"/>
    <w:rsid w:val="00CA5DBB"/>
    <w:rsid w:val="00CB4195"/>
    <w:rsid w:val="00CB5520"/>
    <w:rsid w:val="00CC2C3C"/>
    <w:rsid w:val="00CD3730"/>
    <w:rsid w:val="00CE2916"/>
    <w:rsid w:val="00CE51F8"/>
    <w:rsid w:val="00CF3EFC"/>
    <w:rsid w:val="00D17778"/>
    <w:rsid w:val="00D87FEF"/>
    <w:rsid w:val="00D9130E"/>
    <w:rsid w:val="00DA535B"/>
    <w:rsid w:val="00DA5952"/>
    <w:rsid w:val="00DC20C6"/>
    <w:rsid w:val="00DC64D9"/>
    <w:rsid w:val="00DC6BC0"/>
    <w:rsid w:val="00DE1A19"/>
    <w:rsid w:val="00E040C9"/>
    <w:rsid w:val="00E2391C"/>
    <w:rsid w:val="00E51740"/>
    <w:rsid w:val="00E52F10"/>
    <w:rsid w:val="00EA6D80"/>
    <w:rsid w:val="00EB459B"/>
    <w:rsid w:val="00EB69AA"/>
    <w:rsid w:val="00F21288"/>
    <w:rsid w:val="00F63B35"/>
    <w:rsid w:val="00F65631"/>
    <w:rsid w:val="00F81AA7"/>
    <w:rsid w:val="00FA351C"/>
    <w:rsid w:val="00FA7071"/>
    <w:rsid w:val="00FB1C8A"/>
    <w:rsid w:val="00FC3D4D"/>
    <w:rsid w:val="00FC5581"/>
    <w:rsid w:val="00FD3A59"/>
    <w:rsid w:val="00FE4806"/>
    <w:rsid w:val="00FE6280"/>
    <w:rsid w:val="00FF31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34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D00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D00E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D00E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6E62"/>
    <w:pPr>
      <w:autoSpaceDE w:val="0"/>
      <w:autoSpaceDN w:val="0"/>
      <w:adjustRightInd w:val="0"/>
      <w:spacing w:after="0" w:line="240" w:lineRule="auto"/>
    </w:pPr>
    <w:rPr>
      <w:rFonts w:ascii="Arial" w:hAnsi="Arial" w:cs="Arial"/>
      <w:color w:val="000000"/>
      <w:szCs w:val="24"/>
    </w:rPr>
  </w:style>
  <w:style w:type="paragraph" w:styleId="BodyText">
    <w:name w:val="Body Text"/>
    <w:basedOn w:val="Normal"/>
    <w:link w:val="BodyTextChar"/>
    <w:rsid w:val="00FC5581"/>
    <w:pPr>
      <w:widowControl w:val="0"/>
      <w:spacing w:after="0" w:line="240" w:lineRule="auto"/>
      <w:jc w:val="center"/>
    </w:pPr>
    <w:rPr>
      <w:rFonts w:eastAsia="Times New Roman" w:cs="Times New Roman"/>
      <w:b/>
      <w:snapToGrid w:val="0"/>
      <w:szCs w:val="20"/>
    </w:rPr>
  </w:style>
  <w:style w:type="character" w:customStyle="1" w:styleId="BodyTextChar">
    <w:name w:val="Body Text Char"/>
    <w:basedOn w:val="DefaultParagraphFont"/>
    <w:link w:val="BodyText"/>
    <w:rsid w:val="00FC5581"/>
    <w:rPr>
      <w:rFonts w:eastAsia="Times New Roman" w:cs="Times New Roman"/>
      <w:b/>
      <w:snapToGrid w:val="0"/>
      <w:szCs w:val="20"/>
    </w:rPr>
  </w:style>
  <w:style w:type="character" w:styleId="IntenseReference">
    <w:name w:val="Intense Reference"/>
    <w:basedOn w:val="DefaultParagraphFont"/>
    <w:uiPriority w:val="32"/>
    <w:qFormat/>
    <w:rsid w:val="009F1CCB"/>
    <w:rPr>
      <w:b/>
      <w:bCs/>
      <w:i/>
      <w:smallCaps/>
      <w:color w:val="C0504D" w:themeColor="accent2"/>
      <w:spacing w:val="5"/>
      <w:u w:val="none"/>
    </w:rPr>
  </w:style>
  <w:style w:type="paragraph" w:styleId="ListParagraph">
    <w:name w:val="List Paragraph"/>
    <w:basedOn w:val="Normal"/>
    <w:uiPriority w:val="34"/>
    <w:qFormat/>
    <w:rsid w:val="00DC20C6"/>
    <w:pPr>
      <w:ind w:left="720"/>
      <w:contextualSpacing/>
    </w:pPr>
  </w:style>
  <w:style w:type="character" w:styleId="Hyperlink">
    <w:name w:val="Hyperlink"/>
    <w:basedOn w:val="DefaultParagraphFont"/>
    <w:uiPriority w:val="99"/>
    <w:unhideWhenUsed/>
    <w:rsid w:val="008F455B"/>
    <w:rPr>
      <w:color w:val="0000FF" w:themeColor="hyperlink"/>
      <w:u w:val="single"/>
    </w:rPr>
  </w:style>
  <w:style w:type="paragraph" w:styleId="BalloonText">
    <w:name w:val="Balloon Text"/>
    <w:basedOn w:val="Normal"/>
    <w:link w:val="BalloonTextChar"/>
    <w:uiPriority w:val="99"/>
    <w:semiHidden/>
    <w:unhideWhenUsed/>
    <w:rsid w:val="008F45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55B"/>
    <w:rPr>
      <w:rFonts w:ascii="Tahoma" w:hAnsi="Tahoma" w:cs="Tahoma"/>
      <w:sz w:val="16"/>
      <w:szCs w:val="16"/>
    </w:rPr>
  </w:style>
  <w:style w:type="paragraph" w:styleId="Footer">
    <w:name w:val="footer"/>
    <w:basedOn w:val="Normal"/>
    <w:link w:val="FooterChar"/>
    <w:uiPriority w:val="99"/>
    <w:unhideWhenUsed/>
    <w:rsid w:val="0096074C"/>
    <w:pPr>
      <w:tabs>
        <w:tab w:val="center" w:pos="4320"/>
        <w:tab w:val="right" w:pos="8640"/>
      </w:tabs>
      <w:spacing w:after="0" w:line="240" w:lineRule="auto"/>
    </w:pPr>
    <w:rPr>
      <w:rFonts w:asciiTheme="minorHAnsi" w:eastAsiaTheme="minorEastAsia" w:hAnsiTheme="minorHAnsi"/>
      <w:szCs w:val="24"/>
      <w:lang w:val="en-US"/>
    </w:rPr>
  </w:style>
  <w:style w:type="character" w:customStyle="1" w:styleId="FooterChar">
    <w:name w:val="Footer Char"/>
    <w:basedOn w:val="DefaultParagraphFont"/>
    <w:link w:val="Footer"/>
    <w:uiPriority w:val="99"/>
    <w:rsid w:val="0096074C"/>
    <w:rPr>
      <w:rFonts w:asciiTheme="minorHAnsi" w:eastAsiaTheme="minorEastAsia" w:hAnsiTheme="minorHAnsi"/>
      <w:szCs w:val="24"/>
      <w:lang w:val="en-US"/>
    </w:rPr>
  </w:style>
  <w:style w:type="character" w:styleId="CommentReference">
    <w:name w:val="annotation reference"/>
    <w:basedOn w:val="DefaultParagraphFont"/>
    <w:uiPriority w:val="99"/>
    <w:semiHidden/>
    <w:unhideWhenUsed/>
    <w:rsid w:val="0096074C"/>
    <w:rPr>
      <w:sz w:val="16"/>
      <w:szCs w:val="16"/>
    </w:rPr>
  </w:style>
  <w:style w:type="paragraph" w:styleId="CommentText">
    <w:name w:val="annotation text"/>
    <w:basedOn w:val="Normal"/>
    <w:link w:val="CommentTextChar"/>
    <w:uiPriority w:val="99"/>
    <w:semiHidden/>
    <w:unhideWhenUsed/>
    <w:rsid w:val="0096074C"/>
    <w:pPr>
      <w:spacing w:after="0" w:line="240" w:lineRule="auto"/>
    </w:pPr>
    <w:rPr>
      <w:rFonts w:asciiTheme="minorHAnsi" w:eastAsiaTheme="minorEastAsia" w:hAnsiTheme="minorHAnsi"/>
      <w:sz w:val="20"/>
      <w:szCs w:val="20"/>
      <w:lang w:val="en-US"/>
    </w:rPr>
  </w:style>
  <w:style w:type="character" w:customStyle="1" w:styleId="CommentTextChar">
    <w:name w:val="Comment Text Char"/>
    <w:basedOn w:val="DefaultParagraphFont"/>
    <w:link w:val="CommentText"/>
    <w:uiPriority w:val="99"/>
    <w:semiHidden/>
    <w:rsid w:val="0096074C"/>
    <w:rPr>
      <w:rFonts w:asciiTheme="minorHAnsi" w:eastAsiaTheme="minorEastAsia" w:hAnsiTheme="minorHAnsi"/>
      <w:sz w:val="20"/>
      <w:szCs w:val="20"/>
      <w:lang w:val="en-US"/>
    </w:rPr>
  </w:style>
  <w:style w:type="table" w:styleId="TableGrid">
    <w:name w:val="Table Grid"/>
    <w:basedOn w:val="TableNormal"/>
    <w:uiPriority w:val="59"/>
    <w:rsid w:val="0096074C"/>
    <w:pPr>
      <w:spacing w:after="0" w:line="240" w:lineRule="auto"/>
    </w:pPr>
    <w:rPr>
      <w:rFonts w:asciiTheme="minorHAnsi" w:eastAsiaTheme="minorEastAsia" w:hAnsiTheme="minorHAnsi"/>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68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68DE"/>
  </w:style>
  <w:style w:type="paragraph" w:styleId="CommentSubject">
    <w:name w:val="annotation subject"/>
    <w:basedOn w:val="CommentText"/>
    <w:next w:val="CommentText"/>
    <w:link w:val="CommentSubjectChar"/>
    <w:uiPriority w:val="99"/>
    <w:semiHidden/>
    <w:unhideWhenUsed/>
    <w:rsid w:val="000B0E23"/>
    <w:pPr>
      <w:spacing w:after="200"/>
    </w:pPr>
    <w:rPr>
      <w:rFonts w:ascii="Times New Roman" w:eastAsiaTheme="minorHAnsi" w:hAnsi="Times New Roman"/>
      <w:b/>
      <w:bCs/>
      <w:lang w:val="en-AU"/>
    </w:rPr>
  </w:style>
  <w:style w:type="character" w:customStyle="1" w:styleId="CommentSubjectChar">
    <w:name w:val="Comment Subject Char"/>
    <w:basedOn w:val="CommentTextChar"/>
    <w:link w:val="CommentSubject"/>
    <w:uiPriority w:val="99"/>
    <w:semiHidden/>
    <w:rsid w:val="000B0E23"/>
    <w:rPr>
      <w:rFonts w:asciiTheme="minorHAnsi" w:eastAsiaTheme="minorEastAsia" w:hAnsiTheme="minorHAnsi"/>
      <w:b/>
      <w:bCs/>
      <w:sz w:val="20"/>
      <w:szCs w:val="20"/>
      <w:lang w:val="en-US"/>
    </w:rPr>
  </w:style>
  <w:style w:type="paragraph" w:customStyle="1" w:styleId="LegalCopy">
    <w:name w:val="Legal Copy"/>
    <w:basedOn w:val="Footer"/>
    <w:rsid w:val="00466E9A"/>
    <w:pPr>
      <w:tabs>
        <w:tab w:val="clear" w:pos="4320"/>
        <w:tab w:val="clear" w:pos="8640"/>
        <w:tab w:val="center" w:pos="4513"/>
        <w:tab w:val="right" w:pos="9026"/>
      </w:tabs>
      <w:spacing w:after="180"/>
    </w:pPr>
    <w:rPr>
      <w:rFonts w:ascii="Cambria" w:eastAsia="Cambria" w:hAnsi="Cambria" w:cs="Times New Roman"/>
      <w:sz w:val="17"/>
      <w:szCs w:val="20"/>
      <w:lang w:val="en-AU"/>
    </w:rPr>
  </w:style>
  <w:style w:type="paragraph" w:customStyle="1" w:styleId="LegalSubheading">
    <w:name w:val="Legal Subheading"/>
    <w:basedOn w:val="Footer"/>
    <w:rsid w:val="00466E9A"/>
    <w:pPr>
      <w:tabs>
        <w:tab w:val="clear" w:pos="4320"/>
        <w:tab w:val="clear" w:pos="8640"/>
        <w:tab w:val="center" w:pos="4513"/>
        <w:tab w:val="right" w:pos="9026"/>
      </w:tabs>
    </w:pPr>
    <w:rPr>
      <w:rFonts w:ascii="Cambria" w:eastAsia="Cambria" w:hAnsi="Cambria" w:cs="Times New Roman"/>
      <w:b/>
      <w:sz w:val="17"/>
      <w:szCs w:val="20"/>
      <w:lang w:val="en-AU"/>
    </w:rPr>
  </w:style>
  <w:style w:type="paragraph" w:styleId="TOC2">
    <w:name w:val="toc 2"/>
    <w:basedOn w:val="Normal"/>
    <w:next w:val="Normal"/>
    <w:autoRedefine/>
    <w:uiPriority w:val="39"/>
    <w:unhideWhenUsed/>
    <w:qFormat/>
    <w:rsid w:val="00CB4195"/>
    <w:pPr>
      <w:tabs>
        <w:tab w:val="right" w:leader="dot" w:pos="9016"/>
      </w:tabs>
      <w:spacing w:after="100"/>
      <w:ind w:left="240"/>
    </w:pPr>
    <w:rPr>
      <w:rFonts w:ascii="Arial" w:hAnsi="Arial" w:cs="Arial"/>
      <w:sz w:val="22"/>
    </w:rPr>
  </w:style>
  <w:style w:type="character" w:customStyle="1" w:styleId="Heading1Char">
    <w:name w:val="Heading 1 Char"/>
    <w:basedOn w:val="DefaultParagraphFont"/>
    <w:link w:val="Heading1"/>
    <w:uiPriority w:val="9"/>
    <w:rsid w:val="00BF341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F3415"/>
    <w:pPr>
      <w:outlineLvl w:val="9"/>
    </w:pPr>
    <w:rPr>
      <w:lang w:val="en-US" w:eastAsia="ja-JP"/>
    </w:rPr>
  </w:style>
  <w:style w:type="paragraph" w:styleId="TOC1">
    <w:name w:val="toc 1"/>
    <w:basedOn w:val="Normal"/>
    <w:next w:val="Normal"/>
    <w:autoRedefine/>
    <w:uiPriority w:val="39"/>
    <w:unhideWhenUsed/>
    <w:qFormat/>
    <w:rsid w:val="00BF3415"/>
    <w:pPr>
      <w:spacing w:after="100"/>
    </w:pPr>
    <w:rPr>
      <w:rFonts w:asciiTheme="minorHAnsi" w:eastAsiaTheme="minorEastAsia" w:hAnsiTheme="minorHAnsi"/>
      <w:sz w:val="22"/>
      <w:lang w:val="en-US" w:eastAsia="ja-JP"/>
    </w:rPr>
  </w:style>
  <w:style w:type="paragraph" w:styleId="TOC3">
    <w:name w:val="toc 3"/>
    <w:basedOn w:val="Normal"/>
    <w:next w:val="Normal"/>
    <w:autoRedefine/>
    <w:uiPriority w:val="39"/>
    <w:unhideWhenUsed/>
    <w:qFormat/>
    <w:rsid w:val="00BF3415"/>
    <w:pPr>
      <w:spacing w:after="100"/>
      <w:ind w:left="440"/>
    </w:pPr>
    <w:rPr>
      <w:rFonts w:asciiTheme="minorHAnsi" w:eastAsiaTheme="minorEastAsia" w:hAnsiTheme="minorHAnsi"/>
      <w:sz w:val="22"/>
      <w:lang w:val="en-US" w:eastAsia="ja-JP"/>
    </w:rPr>
  </w:style>
  <w:style w:type="character" w:customStyle="1" w:styleId="Heading2Char">
    <w:name w:val="Heading 2 Char"/>
    <w:basedOn w:val="DefaultParagraphFont"/>
    <w:link w:val="Heading2"/>
    <w:uiPriority w:val="9"/>
    <w:rsid w:val="009D00E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D00E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D00E8"/>
    <w:rPr>
      <w:rFonts w:asciiTheme="majorHAnsi" w:eastAsiaTheme="majorEastAsia" w:hAnsiTheme="majorHAnsi" w:cstheme="majorBidi"/>
      <w:b/>
      <w:bCs/>
      <w:i/>
      <w:iCs/>
      <w:color w:val="4F81BD" w:themeColor="accent1"/>
    </w:rPr>
  </w:style>
  <w:style w:type="paragraph" w:styleId="PlainText">
    <w:name w:val="Plain Text"/>
    <w:basedOn w:val="Normal"/>
    <w:link w:val="PlainTextChar"/>
    <w:uiPriority w:val="99"/>
    <w:unhideWhenUsed/>
    <w:rsid w:val="00CF3EFC"/>
    <w:pPr>
      <w:spacing w:after="0" w:line="240" w:lineRule="auto"/>
    </w:pPr>
    <w:rPr>
      <w:rFonts w:ascii="Arial" w:hAnsi="Arial" w:cs="Consolas"/>
      <w:sz w:val="18"/>
      <w:szCs w:val="21"/>
    </w:rPr>
  </w:style>
  <w:style w:type="character" w:customStyle="1" w:styleId="PlainTextChar">
    <w:name w:val="Plain Text Char"/>
    <w:basedOn w:val="DefaultParagraphFont"/>
    <w:link w:val="PlainText"/>
    <w:uiPriority w:val="99"/>
    <w:rsid w:val="00CF3EFC"/>
    <w:rPr>
      <w:rFonts w:ascii="Arial" w:hAnsi="Arial" w:cs="Consolas"/>
      <w:sz w:val="18"/>
      <w:szCs w:val="21"/>
    </w:rPr>
  </w:style>
  <w:style w:type="character" w:customStyle="1" w:styleId="TableHeadingChar">
    <w:name w:val="TableHeading Char"/>
    <w:basedOn w:val="DefaultParagraphFont"/>
    <w:link w:val="TableHeading"/>
    <w:locked/>
    <w:rsid w:val="00AC09E0"/>
    <w:rPr>
      <w:rFonts w:ascii="Arial Narrow" w:hAnsi="Arial Narrow"/>
      <w:b/>
      <w:bCs/>
    </w:rPr>
  </w:style>
  <w:style w:type="paragraph" w:customStyle="1" w:styleId="TableHeading">
    <w:name w:val="TableHeading"/>
    <w:basedOn w:val="Normal"/>
    <w:link w:val="TableHeadingChar"/>
    <w:rsid w:val="00AC09E0"/>
    <w:pPr>
      <w:keepNext/>
      <w:spacing w:before="40" w:after="40"/>
    </w:pPr>
    <w:rPr>
      <w:rFonts w:ascii="Arial Narrow" w:hAnsi="Arial Narrow"/>
      <w:b/>
      <w:bCs/>
    </w:rPr>
  </w:style>
  <w:style w:type="character" w:customStyle="1" w:styleId="TableTextChar">
    <w:name w:val="Table Text Char"/>
    <w:basedOn w:val="DefaultParagraphFont"/>
    <w:link w:val="TableText"/>
    <w:locked/>
    <w:rsid w:val="00AC09E0"/>
    <w:rPr>
      <w:rFonts w:ascii="Arial Narrow" w:hAnsi="Arial Narrow"/>
    </w:rPr>
  </w:style>
  <w:style w:type="paragraph" w:customStyle="1" w:styleId="TableText">
    <w:name w:val="Table Text"/>
    <w:basedOn w:val="Normal"/>
    <w:link w:val="TableTextChar"/>
    <w:rsid w:val="00AC09E0"/>
    <w:pPr>
      <w:keepNext/>
      <w:spacing w:before="40" w:after="40"/>
    </w:pPr>
    <w:rPr>
      <w:rFonts w:ascii="Arial Narrow" w:hAnsi="Arial Narrow"/>
    </w:rPr>
  </w:style>
  <w:style w:type="paragraph" w:customStyle="1" w:styleId="EndNoteBibliography">
    <w:name w:val="EndNote Bibliography"/>
    <w:basedOn w:val="Normal"/>
    <w:link w:val="EndNoteBibliographyChar"/>
    <w:rsid w:val="00D87FEF"/>
    <w:pPr>
      <w:spacing w:after="120" w:line="240" w:lineRule="auto"/>
      <w:jc w:val="both"/>
    </w:pPr>
    <w:rPr>
      <w:rFonts w:eastAsia="Times New Roman" w:cs="Times New Roman"/>
      <w:noProof/>
      <w:szCs w:val="24"/>
      <w:lang w:val="en-US"/>
    </w:rPr>
  </w:style>
  <w:style w:type="character" w:customStyle="1" w:styleId="EndNoteBibliographyChar">
    <w:name w:val="EndNote Bibliography Char"/>
    <w:basedOn w:val="DefaultParagraphFont"/>
    <w:link w:val="EndNoteBibliography"/>
    <w:rsid w:val="00D87FEF"/>
    <w:rPr>
      <w:rFonts w:eastAsia="Times New Roman" w:cs="Times New Roman"/>
      <w:noProof/>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34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D00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D00E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D00E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6E62"/>
    <w:pPr>
      <w:autoSpaceDE w:val="0"/>
      <w:autoSpaceDN w:val="0"/>
      <w:adjustRightInd w:val="0"/>
      <w:spacing w:after="0" w:line="240" w:lineRule="auto"/>
    </w:pPr>
    <w:rPr>
      <w:rFonts w:ascii="Arial" w:hAnsi="Arial" w:cs="Arial"/>
      <w:color w:val="000000"/>
      <w:szCs w:val="24"/>
    </w:rPr>
  </w:style>
  <w:style w:type="paragraph" w:styleId="BodyText">
    <w:name w:val="Body Text"/>
    <w:basedOn w:val="Normal"/>
    <w:link w:val="BodyTextChar"/>
    <w:rsid w:val="00FC5581"/>
    <w:pPr>
      <w:widowControl w:val="0"/>
      <w:spacing w:after="0" w:line="240" w:lineRule="auto"/>
      <w:jc w:val="center"/>
    </w:pPr>
    <w:rPr>
      <w:rFonts w:eastAsia="Times New Roman" w:cs="Times New Roman"/>
      <w:b/>
      <w:snapToGrid w:val="0"/>
      <w:szCs w:val="20"/>
    </w:rPr>
  </w:style>
  <w:style w:type="character" w:customStyle="1" w:styleId="BodyTextChar">
    <w:name w:val="Body Text Char"/>
    <w:basedOn w:val="DefaultParagraphFont"/>
    <w:link w:val="BodyText"/>
    <w:rsid w:val="00FC5581"/>
    <w:rPr>
      <w:rFonts w:eastAsia="Times New Roman" w:cs="Times New Roman"/>
      <w:b/>
      <w:snapToGrid w:val="0"/>
      <w:szCs w:val="20"/>
    </w:rPr>
  </w:style>
  <w:style w:type="character" w:styleId="IntenseReference">
    <w:name w:val="Intense Reference"/>
    <w:basedOn w:val="DefaultParagraphFont"/>
    <w:uiPriority w:val="32"/>
    <w:qFormat/>
    <w:rsid w:val="009F1CCB"/>
    <w:rPr>
      <w:b/>
      <w:bCs/>
      <w:i/>
      <w:smallCaps/>
      <w:color w:val="C0504D" w:themeColor="accent2"/>
      <w:spacing w:val="5"/>
      <w:u w:val="none"/>
    </w:rPr>
  </w:style>
  <w:style w:type="paragraph" w:styleId="ListParagraph">
    <w:name w:val="List Paragraph"/>
    <w:basedOn w:val="Normal"/>
    <w:uiPriority w:val="34"/>
    <w:qFormat/>
    <w:rsid w:val="00DC20C6"/>
    <w:pPr>
      <w:ind w:left="720"/>
      <w:contextualSpacing/>
    </w:pPr>
  </w:style>
  <w:style w:type="character" w:styleId="Hyperlink">
    <w:name w:val="Hyperlink"/>
    <w:basedOn w:val="DefaultParagraphFont"/>
    <w:uiPriority w:val="99"/>
    <w:unhideWhenUsed/>
    <w:rsid w:val="008F455B"/>
    <w:rPr>
      <w:color w:val="0000FF" w:themeColor="hyperlink"/>
      <w:u w:val="single"/>
    </w:rPr>
  </w:style>
  <w:style w:type="paragraph" w:styleId="BalloonText">
    <w:name w:val="Balloon Text"/>
    <w:basedOn w:val="Normal"/>
    <w:link w:val="BalloonTextChar"/>
    <w:uiPriority w:val="99"/>
    <w:semiHidden/>
    <w:unhideWhenUsed/>
    <w:rsid w:val="008F45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55B"/>
    <w:rPr>
      <w:rFonts w:ascii="Tahoma" w:hAnsi="Tahoma" w:cs="Tahoma"/>
      <w:sz w:val="16"/>
      <w:szCs w:val="16"/>
    </w:rPr>
  </w:style>
  <w:style w:type="paragraph" w:styleId="Footer">
    <w:name w:val="footer"/>
    <w:basedOn w:val="Normal"/>
    <w:link w:val="FooterChar"/>
    <w:uiPriority w:val="99"/>
    <w:unhideWhenUsed/>
    <w:rsid w:val="0096074C"/>
    <w:pPr>
      <w:tabs>
        <w:tab w:val="center" w:pos="4320"/>
        <w:tab w:val="right" w:pos="8640"/>
      </w:tabs>
      <w:spacing w:after="0" w:line="240" w:lineRule="auto"/>
    </w:pPr>
    <w:rPr>
      <w:rFonts w:asciiTheme="minorHAnsi" w:eastAsiaTheme="minorEastAsia" w:hAnsiTheme="minorHAnsi"/>
      <w:szCs w:val="24"/>
      <w:lang w:val="en-US"/>
    </w:rPr>
  </w:style>
  <w:style w:type="character" w:customStyle="1" w:styleId="FooterChar">
    <w:name w:val="Footer Char"/>
    <w:basedOn w:val="DefaultParagraphFont"/>
    <w:link w:val="Footer"/>
    <w:uiPriority w:val="99"/>
    <w:rsid w:val="0096074C"/>
    <w:rPr>
      <w:rFonts w:asciiTheme="minorHAnsi" w:eastAsiaTheme="minorEastAsia" w:hAnsiTheme="minorHAnsi"/>
      <w:szCs w:val="24"/>
      <w:lang w:val="en-US"/>
    </w:rPr>
  </w:style>
  <w:style w:type="character" w:styleId="CommentReference">
    <w:name w:val="annotation reference"/>
    <w:basedOn w:val="DefaultParagraphFont"/>
    <w:uiPriority w:val="99"/>
    <w:semiHidden/>
    <w:unhideWhenUsed/>
    <w:rsid w:val="0096074C"/>
    <w:rPr>
      <w:sz w:val="16"/>
      <w:szCs w:val="16"/>
    </w:rPr>
  </w:style>
  <w:style w:type="paragraph" w:styleId="CommentText">
    <w:name w:val="annotation text"/>
    <w:basedOn w:val="Normal"/>
    <w:link w:val="CommentTextChar"/>
    <w:uiPriority w:val="99"/>
    <w:semiHidden/>
    <w:unhideWhenUsed/>
    <w:rsid w:val="0096074C"/>
    <w:pPr>
      <w:spacing w:after="0" w:line="240" w:lineRule="auto"/>
    </w:pPr>
    <w:rPr>
      <w:rFonts w:asciiTheme="minorHAnsi" w:eastAsiaTheme="minorEastAsia" w:hAnsiTheme="minorHAnsi"/>
      <w:sz w:val="20"/>
      <w:szCs w:val="20"/>
      <w:lang w:val="en-US"/>
    </w:rPr>
  </w:style>
  <w:style w:type="character" w:customStyle="1" w:styleId="CommentTextChar">
    <w:name w:val="Comment Text Char"/>
    <w:basedOn w:val="DefaultParagraphFont"/>
    <w:link w:val="CommentText"/>
    <w:uiPriority w:val="99"/>
    <w:semiHidden/>
    <w:rsid w:val="0096074C"/>
    <w:rPr>
      <w:rFonts w:asciiTheme="minorHAnsi" w:eastAsiaTheme="minorEastAsia" w:hAnsiTheme="minorHAnsi"/>
      <w:sz w:val="20"/>
      <w:szCs w:val="20"/>
      <w:lang w:val="en-US"/>
    </w:rPr>
  </w:style>
  <w:style w:type="table" w:styleId="TableGrid">
    <w:name w:val="Table Grid"/>
    <w:basedOn w:val="TableNormal"/>
    <w:uiPriority w:val="59"/>
    <w:rsid w:val="0096074C"/>
    <w:pPr>
      <w:spacing w:after="0" w:line="240" w:lineRule="auto"/>
    </w:pPr>
    <w:rPr>
      <w:rFonts w:asciiTheme="minorHAnsi" w:eastAsiaTheme="minorEastAsia" w:hAnsiTheme="minorHAnsi"/>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68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68DE"/>
  </w:style>
  <w:style w:type="paragraph" w:styleId="CommentSubject">
    <w:name w:val="annotation subject"/>
    <w:basedOn w:val="CommentText"/>
    <w:next w:val="CommentText"/>
    <w:link w:val="CommentSubjectChar"/>
    <w:uiPriority w:val="99"/>
    <w:semiHidden/>
    <w:unhideWhenUsed/>
    <w:rsid w:val="000B0E23"/>
    <w:pPr>
      <w:spacing w:after="200"/>
    </w:pPr>
    <w:rPr>
      <w:rFonts w:ascii="Times New Roman" w:eastAsiaTheme="minorHAnsi" w:hAnsi="Times New Roman"/>
      <w:b/>
      <w:bCs/>
      <w:lang w:val="en-AU"/>
    </w:rPr>
  </w:style>
  <w:style w:type="character" w:customStyle="1" w:styleId="CommentSubjectChar">
    <w:name w:val="Comment Subject Char"/>
    <w:basedOn w:val="CommentTextChar"/>
    <w:link w:val="CommentSubject"/>
    <w:uiPriority w:val="99"/>
    <w:semiHidden/>
    <w:rsid w:val="000B0E23"/>
    <w:rPr>
      <w:rFonts w:asciiTheme="minorHAnsi" w:eastAsiaTheme="minorEastAsia" w:hAnsiTheme="minorHAnsi"/>
      <w:b/>
      <w:bCs/>
      <w:sz w:val="20"/>
      <w:szCs w:val="20"/>
      <w:lang w:val="en-US"/>
    </w:rPr>
  </w:style>
  <w:style w:type="paragraph" w:customStyle="1" w:styleId="LegalCopy">
    <w:name w:val="Legal Copy"/>
    <w:basedOn w:val="Footer"/>
    <w:rsid w:val="00466E9A"/>
    <w:pPr>
      <w:tabs>
        <w:tab w:val="clear" w:pos="4320"/>
        <w:tab w:val="clear" w:pos="8640"/>
        <w:tab w:val="center" w:pos="4513"/>
        <w:tab w:val="right" w:pos="9026"/>
      </w:tabs>
      <w:spacing w:after="180"/>
    </w:pPr>
    <w:rPr>
      <w:rFonts w:ascii="Cambria" w:eastAsia="Cambria" w:hAnsi="Cambria" w:cs="Times New Roman"/>
      <w:sz w:val="17"/>
      <w:szCs w:val="20"/>
      <w:lang w:val="en-AU"/>
    </w:rPr>
  </w:style>
  <w:style w:type="paragraph" w:customStyle="1" w:styleId="LegalSubheading">
    <w:name w:val="Legal Subheading"/>
    <w:basedOn w:val="Footer"/>
    <w:rsid w:val="00466E9A"/>
    <w:pPr>
      <w:tabs>
        <w:tab w:val="clear" w:pos="4320"/>
        <w:tab w:val="clear" w:pos="8640"/>
        <w:tab w:val="center" w:pos="4513"/>
        <w:tab w:val="right" w:pos="9026"/>
      </w:tabs>
    </w:pPr>
    <w:rPr>
      <w:rFonts w:ascii="Cambria" w:eastAsia="Cambria" w:hAnsi="Cambria" w:cs="Times New Roman"/>
      <w:b/>
      <w:sz w:val="17"/>
      <w:szCs w:val="20"/>
      <w:lang w:val="en-AU"/>
    </w:rPr>
  </w:style>
  <w:style w:type="paragraph" w:styleId="TOC2">
    <w:name w:val="toc 2"/>
    <w:basedOn w:val="Normal"/>
    <w:next w:val="Normal"/>
    <w:autoRedefine/>
    <w:uiPriority w:val="39"/>
    <w:unhideWhenUsed/>
    <w:qFormat/>
    <w:rsid w:val="00CB4195"/>
    <w:pPr>
      <w:tabs>
        <w:tab w:val="right" w:leader="dot" w:pos="9016"/>
      </w:tabs>
      <w:spacing w:after="100"/>
      <w:ind w:left="240"/>
    </w:pPr>
    <w:rPr>
      <w:rFonts w:ascii="Arial" w:hAnsi="Arial" w:cs="Arial"/>
      <w:sz w:val="22"/>
    </w:rPr>
  </w:style>
  <w:style w:type="character" w:customStyle="1" w:styleId="Heading1Char">
    <w:name w:val="Heading 1 Char"/>
    <w:basedOn w:val="DefaultParagraphFont"/>
    <w:link w:val="Heading1"/>
    <w:uiPriority w:val="9"/>
    <w:rsid w:val="00BF341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F3415"/>
    <w:pPr>
      <w:outlineLvl w:val="9"/>
    </w:pPr>
    <w:rPr>
      <w:lang w:val="en-US" w:eastAsia="ja-JP"/>
    </w:rPr>
  </w:style>
  <w:style w:type="paragraph" w:styleId="TOC1">
    <w:name w:val="toc 1"/>
    <w:basedOn w:val="Normal"/>
    <w:next w:val="Normal"/>
    <w:autoRedefine/>
    <w:uiPriority w:val="39"/>
    <w:unhideWhenUsed/>
    <w:qFormat/>
    <w:rsid w:val="00BF3415"/>
    <w:pPr>
      <w:spacing w:after="100"/>
    </w:pPr>
    <w:rPr>
      <w:rFonts w:asciiTheme="minorHAnsi" w:eastAsiaTheme="minorEastAsia" w:hAnsiTheme="minorHAnsi"/>
      <w:sz w:val="22"/>
      <w:lang w:val="en-US" w:eastAsia="ja-JP"/>
    </w:rPr>
  </w:style>
  <w:style w:type="paragraph" w:styleId="TOC3">
    <w:name w:val="toc 3"/>
    <w:basedOn w:val="Normal"/>
    <w:next w:val="Normal"/>
    <w:autoRedefine/>
    <w:uiPriority w:val="39"/>
    <w:unhideWhenUsed/>
    <w:qFormat/>
    <w:rsid w:val="00BF3415"/>
    <w:pPr>
      <w:spacing w:after="100"/>
      <w:ind w:left="440"/>
    </w:pPr>
    <w:rPr>
      <w:rFonts w:asciiTheme="minorHAnsi" w:eastAsiaTheme="minorEastAsia" w:hAnsiTheme="minorHAnsi"/>
      <w:sz w:val="22"/>
      <w:lang w:val="en-US" w:eastAsia="ja-JP"/>
    </w:rPr>
  </w:style>
  <w:style w:type="character" w:customStyle="1" w:styleId="Heading2Char">
    <w:name w:val="Heading 2 Char"/>
    <w:basedOn w:val="DefaultParagraphFont"/>
    <w:link w:val="Heading2"/>
    <w:uiPriority w:val="9"/>
    <w:rsid w:val="009D00E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D00E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D00E8"/>
    <w:rPr>
      <w:rFonts w:asciiTheme="majorHAnsi" w:eastAsiaTheme="majorEastAsia" w:hAnsiTheme="majorHAnsi" w:cstheme="majorBidi"/>
      <w:b/>
      <w:bCs/>
      <w:i/>
      <w:iCs/>
      <w:color w:val="4F81BD" w:themeColor="accent1"/>
    </w:rPr>
  </w:style>
  <w:style w:type="paragraph" w:styleId="PlainText">
    <w:name w:val="Plain Text"/>
    <w:basedOn w:val="Normal"/>
    <w:link w:val="PlainTextChar"/>
    <w:uiPriority w:val="99"/>
    <w:unhideWhenUsed/>
    <w:rsid w:val="00CF3EFC"/>
    <w:pPr>
      <w:spacing w:after="0" w:line="240" w:lineRule="auto"/>
    </w:pPr>
    <w:rPr>
      <w:rFonts w:ascii="Arial" w:hAnsi="Arial" w:cs="Consolas"/>
      <w:sz w:val="18"/>
      <w:szCs w:val="21"/>
    </w:rPr>
  </w:style>
  <w:style w:type="character" w:customStyle="1" w:styleId="PlainTextChar">
    <w:name w:val="Plain Text Char"/>
    <w:basedOn w:val="DefaultParagraphFont"/>
    <w:link w:val="PlainText"/>
    <w:uiPriority w:val="99"/>
    <w:rsid w:val="00CF3EFC"/>
    <w:rPr>
      <w:rFonts w:ascii="Arial" w:hAnsi="Arial" w:cs="Consolas"/>
      <w:sz w:val="18"/>
      <w:szCs w:val="21"/>
    </w:rPr>
  </w:style>
  <w:style w:type="character" w:customStyle="1" w:styleId="TableHeadingChar">
    <w:name w:val="TableHeading Char"/>
    <w:basedOn w:val="DefaultParagraphFont"/>
    <w:link w:val="TableHeading"/>
    <w:locked/>
    <w:rsid w:val="00AC09E0"/>
    <w:rPr>
      <w:rFonts w:ascii="Arial Narrow" w:hAnsi="Arial Narrow"/>
      <w:b/>
      <w:bCs/>
    </w:rPr>
  </w:style>
  <w:style w:type="paragraph" w:customStyle="1" w:styleId="TableHeading">
    <w:name w:val="TableHeading"/>
    <w:basedOn w:val="Normal"/>
    <w:link w:val="TableHeadingChar"/>
    <w:rsid w:val="00AC09E0"/>
    <w:pPr>
      <w:keepNext/>
      <w:spacing w:before="40" w:after="40"/>
    </w:pPr>
    <w:rPr>
      <w:rFonts w:ascii="Arial Narrow" w:hAnsi="Arial Narrow"/>
      <w:b/>
      <w:bCs/>
    </w:rPr>
  </w:style>
  <w:style w:type="character" w:customStyle="1" w:styleId="TableTextChar">
    <w:name w:val="Table Text Char"/>
    <w:basedOn w:val="DefaultParagraphFont"/>
    <w:link w:val="TableText"/>
    <w:locked/>
    <w:rsid w:val="00AC09E0"/>
    <w:rPr>
      <w:rFonts w:ascii="Arial Narrow" w:hAnsi="Arial Narrow"/>
    </w:rPr>
  </w:style>
  <w:style w:type="paragraph" w:customStyle="1" w:styleId="TableText">
    <w:name w:val="Table Text"/>
    <w:basedOn w:val="Normal"/>
    <w:link w:val="TableTextChar"/>
    <w:rsid w:val="00AC09E0"/>
    <w:pPr>
      <w:keepNext/>
      <w:spacing w:before="40" w:after="40"/>
    </w:pPr>
    <w:rPr>
      <w:rFonts w:ascii="Arial Narrow" w:hAnsi="Arial Narrow"/>
    </w:rPr>
  </w:style>
  <w:style w:type="paragraph" w:customStyle="1" w:styleId="EndNoteBibliography">
    <w:name w:val="EndNote Bibliography"/>
    <w:basedOn w:val="Normal"/>
    <w:link w:val="EndNoteBibliographyChar"/>
    <w:rsid w:val="00D87FEF"/>
    <w:pPr>
      <w:spacing w:after="120" w:line="240" w:lineRule="auto"/>
      <w:jc w:val="both"/>
    </w:pPr>
    <w:rPr>
      <w:rFonts w:eastAsia="Times New Roman" w:cs="Times New Roman"/>
      <w:noProof/>
      <w:szCs w:val="24"/>
      <w:lang w:val="en-US"/>
    </w:rPr>
  </w:style>
  <w:style w:type="character" w:customStyle="1" w:styleId="EndNoteBibliographyChar">
    <w:name w:val="EndNote Bibliography Char"/>
    <w:basedOn w:val="DefaultParagraphFont"/>
    <w:link w:val="EndNoteBibliography"/>
    <w:rsid w:val="00D87FEF"/>
    <w:rPr>
      <w:rFonts w:eastAsia="Times New Roman" w:cs="Times New Roman"/>
      <w:noProof/>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19729">
      <w:bodyDiv w:val="1"/>
      <w:marLeft w:val="0"/>
      <w:marRight w:val="0"/>
      <w:marTop w:val="0"/>
      <w:marBottom w:val="0"/>
      <w:divBdr>
        <w:top w:val="none" w:sz="0" w:space="0" w:color="auto"/>
        <w:left w:val="none" w:sz="0" w:space="0" w:color="auto"/>
        <w:bottom w:val="none" w:sz="0" w:space="0" w:color="auto"/>
        <w:right w:val="none" w:sz="0" w:space="0" w:color="auto"/>
      </w:divBdr>
      <w:divsChild>
        <w:div w:id="1993682020">
          <w:marLeft w:val="0"/>
          <w:marRight w:val="0"/>
          <w:marTop w:val="240"/>
          <w:marBottom w:val="480"/>
          <w:divBdr>
            <w:top w:val="none" w:sz="0" w:space="0" w:color="auto"/>
            <w:left w:val="none" w:sz="0" w:space="0" w:color="auto"/>
            <w:bottom w:val="none" w:sz="0" w:space="0" w:color="auto"/>
            <w:right w:val="none" w:sz="0" w:space="0" w:color="auto"/>
          </w:divBdr>
          <w:divsChild>
            <w:div w:id="295567436">
              <w:marLeft w:val="0"/>
              <w:marRight w:val="0"/>
              <w:marTop w:val="0"/>
              <w:marBottom w:val="0"/>
              <w:divBdr>
                <w:top w:val="none" w:sz="0" w:space="0" w:color="auto"/>
                <w:left w:val="none" w:sz="0" w:space="0" w:color="auto"/>
                <w:bottom w:val="none" w:sz="0" w:space="0" w:color="auto"/>
                <w:right w:val="none" w:sz="0" w:space="0" w:color="auto"/>
              </w:divBdr>
              <w:divsChild>
                <w:div w:id="563220815">
                  <w:marLeft w:val="0"/>
                  <w:marRight w:val="0"/>
                  <w:marTop w:val="0"/>
                  <w:marBottom w:val="0"/>
                  <w:divBdr>
                    <w:top w:val="none" w:sz="0" w:space="0" w:color="auto"/>
                    <w:left w:val="none" w:sz="0" w:space="0" w:color="auto"/>
                    <w:bottom w:val="none" w:sz="0" w:space="0" w:color="auto"/>
                    <w:right w:val="none" w:sz="0" w:space="0" w:color="auto"/>
                  </w:divBdr>
                  <w:divsChild>
                    <w:div w:id="128800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874488">
      <w:bodyDiv w:val="1"/>
      <w:marLeft w:val="0"/>
      <w:marRight w:val="0"/>
      <w:marTop w:val="0"/>
      <w:marBottom w:val="0"/>
      <w:divBdr>
        <w:top w:val="none" w:sz="0" w:space="0" w:color="auto"/>
        <w:left w:val="none" w:sz="0" w:space="0" w:color="auto"/>
        <w:bottom w:val="none" w:sz="0" w:space="0" w:color="auto"/>
        <w:right w:val="none" w:sz="0" w:space="0" w:color="auto"/>
      </w:divBdr>
    </w:div>
    <w:div w:id="479737961">
      <w:bodyDiv w:val="1"/>
      <w:marLeft w:val="0"/>
      <w:marRight w:val="0"/>
      <w:marTop w:val="0"/>
      <w:marBottom w:val="0"/>
      <w:divBdr>
        <w:top w:val="none" w:sz="0" w:space="0" w:color="auto"/>
        <w:left w:val="none" w:sz="0" w:space="0" w:color="auto"/>
        <w:bottom w:val="none" w:sz="0" w:space="0" w:color="auto"/>
        <w:right w:val="none" w:sz="0" w:space="0" w:color="auto"/>
      </w:divBdr>
    </w:div>
    <w:div w:id="637565670">
      <w:bodyDiv w:val="1"/>
      <w:marLeft w:val="0"/>
      <w:marRight w:val="0"/>
      <w:marTop w:val="0"/>
      <w:marBottom w:val="0"/>
      <w:divBdr>
        <w:top w:val="none" w:sz="0" w:space="0" w:color="auto"/>
        <w:left w:val="none" w:sz="0" w:space="0" w:color="auto"/>
        <w:bottom w:val="none" w:sz="0" w:space="0" w:color="auto"/>
        <w:right w:val="none" w:sz="0" w:space="0" w:color="auto"/>
      </w:divBdr>
    </w:div>
    <w:div w:id="899946076">
      <w:bodyDiv w:val="1"/>
      <w:marLeft w:val="0"/>
      <w:marRight w:val="0"/>
      <w:marTop w:val="0"/>
      <w:marBottom w:val="0"/>
      <w:divBdr>
        <w:top w:val="none" w:sz="0" w:space="0" w:color="auto"/>
        <w:left w:val="none" w:sz="0" w:space="0" w:color="auto"/>
        <w:bottom w:val="none" w:sz="0" w:space="0" w:color="auto"/>
        <w:right w:val="none" w:sz="0" w:space="0" w:color="auto"/>
      </w:divBdr>
    </w:div>
    <w:div w:id="914051841">
      <w:bodyDiv w:val="1"/>
      <w:marLeft w:val="0"/>
      <w:marRight w:val="0"/>
      <w:marTop w:val="0"/>
      <w:marBottom w:val="0"/>
      <w:divBdr>
        <w:top w:val="none" w:sz="0" w:space="0" w:color="auto"/>
        <w:left w:val="none" w:sz="0" w:space="0" w:color="auto"/>
        <w:bottom w:val="none" w:sz="0" w:space="0" w:color="auto"/>
        <w:right w:val="none" w:sz="0" w:space="0" w:color="auto"/>
      </w:divBdr>
    </w:div>
    <w:div w:id="1820343100">
      <w:bodyDiv w:val="1"/>
      <w:marLeft w:val="0"/>
      <w:marRight w:val="0"/>
      <w:marTop w:val="0"/>
      <w:marBottom w:val="0"/>
      <w:divBdr>
        <w:top w:val="none" w:sz="0" w:space="0" w:color="auto"/>
        <w:left w:val="none" w:sz="0" w:space="0" w:color="auto"/>
        <w:bottom w:val="none" w:sz="0" w:space="0" w:color="auto"/>
        <w:right w:val="none" w:sz="0" w:space="0" w:color="auto"/>
      </w:divBdr>
    </w:div>
    <w:div w:id="1828326009">
      <w:bodyDiv w:val="1"/>
      <w:marLeft w:val="0"/>
      <w:marRight w:val="0"/>
      <w:marTop w:val="0"/>
      <w:marBottom w:val="0"/>
      <w:divBdr>
        <w:top w:val="none" w:sz="0" w:space="0" w:color="auto"/>
        <w:left w:val="none" w:sz="0" w:space="0" w:color="auto"/>
        <w:bottom w:val="none" w:sz="0" w:space="0" w:color="auto"/>
        <w:right w:val="none" w:sz="0" w:space="0" w:color="auto"/>
      </w:divBdr>
    </w:div>
    <w:div w:id="205200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ealth.gov.au/internet/main/publishing.nsf/Content/lsdp-criteria" TargetMode="External"/><Relationship Id="rId18" Type="http://schemas.microsoft.com/office/2007/relationships/diagramDrawing" Target="diagrams/drawing1.xml"/><Relationship Id="rId26" Type="http://schemas.openxmlformats.org/officeDocument/2006/relationships/hyperlink" Target="http://www.cadth.ca/products/environmental-scanning/environmental-scans/environmental-scan-42%3e" TargetMode="External"/><Relationship Id="rId3" Type="http://schemas.openxmlformats.org/officeDocument/2006/relationships/styles" Target="styles.xml"/><Relationship Id="rId21" Type="http://schemas.openxmlformats.org/officeDocument/2006/relationships/diagramQuickStyle" Target="diagrams/quickStyle2.xml"/><Relationship Id="rId7" Type="http://schemas.openxmlformats.org/officeDocument/2006/relationships/footnotes" Target="footnotes.xml"/><Relationship Id="rId12" Type="http://schemas.openxmlformats.org/officeDocument/2006/relationships/hyperlink" Target="http://www.pbs.gov.au/info/browse/reviews" TargetMode="External"/><Relationship Id="rId17" Type="http://schemas.openxmlformats.org/officeDocument/2006/relationships/diagramColors" Target="diagrams/colors1.xml"/><Relationship Id="rId25" Type="http://schemas.openxmlformats.org/officeDocument/2006/relationships/hyperlink" Target="http://www.health.alberta.ca/documents/Pharma-Strategy-2008-rare-disease.pdf%3e" TargetMode="Externa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bs.gov.au/info/reviews/life-saving-drugs" TargetMode="External"/><Relationship Id="rId24" Type="http://schemas.openxmlformats.org/officeDocument/2006/relationships/hyperlink" Target="http://www.pbac.pbs.gov.au/section-f/f3-other-relevant-factors.html" TargetMode="External"/><Relationship Id="rId5" Type="http://schemas.openxmlformats.org/officeDocument/2006/relationships/settings" Target="settings.xml"/><Relationship Id="rId15" Type="http://schemas.openxmlformats.org/officeDocument/2006/relationships/diagramLayout" Target="diagrams/layout1.xml"/><Relationship Id="rId23" Type="http://schemas.microsoft.com/office/2007/relationships/diagramDrawing" Target="diagrams/drawing2.xml"/><Relationship Id="rId28" Type="http://schemas.openxmlformats.org/officeDocument/2006/relationships/fontTable" Target="fontTable.xml"/><Relationship Id="rId10" Type="http://schemas.openxmlformats.org/officeDocument/2006/relationships/hyperlink" Target="mailto:copyright@health.gov.au" TargetMode="External"/><Relationship Id="rId19" Type="http://schemas.openxmlformats.org/officeDocument/2006/relationships/diagramData" Target="diagrams/data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5C6DC9-5589-4AF5-93F8-CEF1F7446B8A}"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en-AU"/>
        </a:p>
      </dgm:t>
    </dgm:pt>
    <dgm:pt modelId="{2C71F4DB-2E3A-47A7-BFD4-3BEDB7E41456}">
      <dgm:prSet phldrT="[Text]"/>
      <dgm:spPr/>
      <dgm:t>
        <a:bodyPr/>
        <a:lstStyle/>
        <a:p>
          <a:r>
            <a:rPr lang="en-AU"/>
            <a:t>Application</a:t>
          </a:r>
          <a:r>
            <a:rPr lang="en-AU" baseline="30000"/>
            <a:t>a</a:t>
          </a:r>
          <a:r>
            <a:rPr lang="en-AU"/>
            <a:t> checked and processed by Dept. </a:t>
          </a:r>
        </a:p>
        <a:p>
          <a:endParaRPr lang="en-AU" dirty="0" smtClean="0"/>
        </a:p>
        <a:p>
          <a:r>
            <a:rPr lang="en-AU" dirty="0" smtClean="0"/>
            <a:t>Clinical advice from clinical experts in the relevant disease  area  may be sought for complex application</a:t>
          </a:r>
          <a:endParaRPr lang="en-AU" dirty="0"/>
        </a:p>
      </dgm:t>
    </dgm:pt>
    <dgm:pt modelId="{A94A599F-0CB3-44B2-A6F3-1F70D878A835}" type="parTrans" cxnId="{0CC773C2-88DE-4EC6-83F6-DAC7697AA3A0}">
      <dgm:prSet/>
      <dgm:spPr/>
      <dgm:t>
        <a:bodyPr/>
        <a:lstStyle/>
        <a:p>
          <a:endParaRPr lang="en-AU"/>
        </a:p>
      </dgm:t>
    </dgm:pt>
    <dgm:pt modelId="{1B4057B9-478B-42F8-B54A-48924FD08274}" type="sibTrans" cxnId="{0CC773C2-88DE-4EC6-83F6-DAC7697AA3A0}">
      <dgm:prSet/>
      <dgm:spPr/>
      <dgm:t>
        <a:bodyPr/>
        <a:lstStyle/>
        <a:p>
          <a:endParaRPr lang="en-AU"/>
        </a:p>
      </dgm:t>
    </dgm:pt>
    <dgm:pt modelId="{E33C3751-7B5F-48DA-9DE6-05C025E4380B}">
      <dgm:prSet/>
      <dgm:spPr/>
      <dgm:t>
        <a:bodyPr/>
        <a:lstStyle/>
        <a:p>
          <a:r>
            <a:rPr lang="en-AU"/>
            <a:t>Delegate decision and conveyed to physicians </a:t>
          </a:r>
          <a:r>
            <a:rPr lang="en-AU" baseline="30000"/>
            <a:t>b</a:t>
          </a:r>
          <a:r>
            <a:rPr lang="en-AU"/>
            <a:t>.</a:t>
          </a:r>
        </a:p>
        <a:p>
          <a:r>
            <a:rPr lang="en-AU"/>
            <a:t> If funding approved treating physician reapplies every 12 months for continued access</a:t>
          </a:r>
        </a:p>
      </dgm:t>
    </dgm:pt>
    <dgm:pt modelId="{5AF549EE-A710-4FD0-8C3D-66459273A154}" type="parTrans" cxnId="{52E121C1-6DF8-4B24-A835-C5E69F546F30}">
      <dgm:prSet/>
      <dgm:spPr/>
      <dgm:t>
        <a:bodyPr/>
        <a:lstStyle/>
        <a:p>
          <a:endParaRPr lang="en-AU"/>
        </a:p>
      </dgm:t>
    </dgm:pt>
    <dgm:pt modelId="{C4379611-76CA-483A-B9DB-31901B0EC1CD}" type="sibTrans" cxnId="{52E121C1-6DF8-4B24-A835-C5E69F546F30}">
      <dgm:prSet/>
      <dgm:spPr/>
      <dgm:t>
        <a:bodyPr/>
        <a:lstStyle/>
        <a:p>
          <a:endParaRPr lang="en-AU"/>
        </a:p>
      </dgm:t>
    </dgm:pt>
    <dgm:pt modelId="{055E7BFC-4103-456A-A196-AF09D43E9003}">
      <dgm:prSet phldrT="[Text]"/>
      <dgm:spPr/>
      <dgm:t>
        <a:bodyPr/>
        <a:lstStyle/>
        <a:p>
          <a:r>
            <a:rPr lang="en-AU" dirty="0" smtClean="0"/>
            <a:t>Treating physicians apply on behalf of patients</a:t>
          </a:r>
          <a:endParaRPr lang="en-AU" dirty="0"/>
        </a:p>
      </dgm:t>
    </dgm:pt>
    <dgm:pt modelId="{9BDC36F8-7B74-4378-8AC3-BB0642C49C2F}" type="sibTrans" cxnId="{EBF83C4F-81C4-45F3-B4DF-022D937AE196}">
      <dgm:prSet/>
      <dgm:spPr/>
      <dgm:t>
        <a:bodyPr/>
        <a:lstStyle/>
        <a:p>
          <a:endParaRPr lang="en-AU"/>
        </a:p>
      </dgm:t>
    </dgm:pt>
    <dgm:pt modelId="{0FF69C21-DF63-4C37-964D-F906376AE405}" type="parTrans" cxnId="{EBF83C4F-81C4-45F3-B4DF-022D937AE196}">
      <dgm:prSet/>
      <dgm:spPr/>
      <dgm:t>
        <a:bodyPr/>
        <a:lstStyle/>
        <a:p>
          <a:endParaRPr lang="en-AU"/>
        </a:p>
      </dgm:t>
    </dgm:pt>
    <dgm:pt modelId="{83BE35D8-2D44-4BC5-9917-F5EE25E7D69E}" type="pres">
      <dgm:prSet presAssocID="{7E5C6DC9-5589-4AF5-93F8-CEF1F7446B8A}" presName="Name0" presStyleCnt="0">
        <dgm:presLayoutVars>
          <dgm:dir/>
          <dgm:resizeHandles val="exact"/>
        </dgm:presLayoutVars>
      </dgm:prSet>
      <dgm:spPr/>
      <dgm:t>
        <a:bodyPr/>
        <a:lstStyle/>
        <a:p>
          <a:endParaRPr lang="en-AU"/>
        </a:p>
      </dgm:t>
    </dgm:pt>
    <dgm:pt modelId="{1449F22C-FED7-46C5-B354-0D839F2B477E}" type="pres">
      <dgm:prSet presAssocID="{055E7BFC-4103-456A-A196-AF09D43E9003}" presName="node" presStyleLbl="node1" presStyleIdx="0" presStyleCnt="3" custScaleX="79036" custLinFactNeighborX="-1409" custLinFactNeighborY="743">
        <dgm:presLayoutVars>
          <dgm:bulletEnabled val="1"/>
        </dgm:presLayoutVars>
      </dgm:prSet>
      <dgm:spPr/>
      <dgm:t>
        <a:bodyPr/>
        <a:lstStyle/>
        <a:p>
          <a:endParaRPr lang="en-AU"/>
        </a:p>
      </dgm:t>
    </dgm:pt>
    <dgm:pt modelId="{1D165748-FB21-483B-88C4-861E82CCE0ED}" type="pres">
      <dgm:prSet presAssocID="{9BDC36F8-7B74-4378-8AC3-BB0642C49C2F}" presName="sibTrans" presStyleLbl="sibTrans2D1" presStyleIdx="0" presStyleCnt="2" custScaleX="108283" custScaleY="32814"/>
      <dgm:spPr/>
      <dgm:t>
        <a:bodyPr/>
        <a:lstStyle/>
        <a:p>
          <a:endParaRPr lang="en-AU"/>
        </a:p>
      </dgm:t>
    </dgm:pt>
    <dgm:pt modelId="{06AC9F36-BE10-4D70-82F0-E177942E67AA}" type="pres">
      <dgm:prSet presAssocID="{9BDC36F8-7B74-4378-8AC3-BB0642C49C2F}" presName="connectorText" presStyleLbl="sibTrans2D1" presStyleIdx="0" presStyleCnt="2"/>
      <dgm:spPr/>
      <dgm:t>
        <a:bodyPr/>
        <a:lstStyle/>
        <a:p>
          <a:endParaRPr lang="en-AU"/>
        </a:p>
      </dgm:t>
    </dgm:pt>
    <dgm:pt modelId="{65976519-A3D6-4919-896E-764ECF2B3985}" type="pres">
      <dgm:prSet presAssocID="{2C71F4DB-2E3A-47A7-BFD4-3BEDB7E41456}" presName="node" presStyleLbl="node1" presStyleIdx="1" presStyleCnt="3" custScaleY="113723">
        <dgm:presLayoutVars>
          <dgm:bulletEnabled val="1"/>
        </dgm:presLayoutVars>
      </dgm:prSet>
      <dgm:spPr/>
      <dgm:t>
        <a:bodyPr/>
        <a:lstStyle/>
        <a:p>
          <a:endParaRPr lang="en-AU"/>
        </a:p>
      </dgm:t>
    </dgm:pt>
    <dgm:pt modelId="{2817164E-73E9-400B-B50A-1F862E7BD3E1}" type="pres">
      <dgm:prSet presAssocID="{1B4057B9-478B-42F8-B54A-48924FD08274}" presName="sibTrans" presStyleLbl="sibTrans2D1" presStyleIdx="1" presStyleCnt="2" custScaleX="97165" custScaleY="32814"/>
      <dgm:spPr/>
      <dgm:t>
        <a:bodyPr/>
        <a:lstStyle/>
        <a:p>
          <a:endParaRPr lang="en-AU"/>
        </a:p>
      </dgm:t>
    </dgm:pt>
    <dgm:pt modelId="{D5B3A04F-6AF4-4FA4-8BE7-8055CA61348C}" type="pres">
      <dgm:prSet presAssocID="{1B4057B9-478B-42F8-B54A-48924FD08274}" presName="connectorText" presStyleLbl="sibTrans2D1" presStyleIdx="1" presStyleCnt="2"/>
      <dgm:spPr/>
      <dgm:t>
        <a:bodyPr/>
        <a:lstStyle/>
        <a:p>
          <a:endParaRPr lang="en-AU"/>
        </a:p>
      </dgm:t>
    </dgm:pt>
    <dgm:pt modelId="{EF6DC6DD-0AD5-4661-B704-76F9B7D2A364}" type="pres">
      <dgm:prSet presAssocID="{E33C3751-7B5F-48DA-9DE6-05C025E4380B}" presName="node" presStyleLbl="node1" presStyleIdx="2" presStyleCnt="3">
        <dgm:presLayoutVars>
          <dgm:bulletEnabled val="1"/>
        </dgm:presLayoutVars>
      </dgm:prSet>
      <dgm:spPr/>
      <dgm:t>
        <a:bodyPr/>
        <a:lstStyle/>
        <a:p>
          <a:endParaRPr lang="en-AU"/>
        </a:p>
      </dgm:t>
    </dgm:pt>
  </dgm:ptLst>
  <dgm:cxnLst>
    <dgm:cxn modelId="{A20F6BE3-6980-4961-95B4-67AB06E89A88}" type="presOf" srcId="{1B4057B9-478B-42F8-B54A-48924FD08274}" destId="{D5B3A04F-6AF4-4FA4-8BE7-8055CA61348C}" srcOrd="1" destOrd="0" presId="urn:microsoft.com/office/officeart/2005/8/layout/process1"/>
    <dgm:cxn modelId="{E486DEFC-0DDE-4EE0-9A2A-31F68BB5A9FC}" type="presOf" srcId="{2C71F4DB-2E3A-47A7-BFD4-3BEDB7E41456}" destId="{65976519-A3D6-4919-896E-764ECF2B3985}" srcOrd="0" destOrd="0" presId="urn:microsoft.com/office/officeart/2005/8/layout/process1"/>
    <dgm:cxn modelId="{EBF83C4F-81C4-45F3-B4DF-022D937AE196}" srcId="{7E5C6DC9-5589-4AF5-93F8-CEF1F7446B8A}" destId="{055E7BFC-4103-456A-A196-AF09D43E9003}" srcOrd="0" destOrd="0" parTransId="{0FF69C21-DF63-4C37-964D-F906376AE405}" sibTransId="{9BDC36F8-7B74-4378-8AC3-BB0642C49C2F}"/>
    <dgm:cxn modelId="{CBD5B0AD-C218-44C2-BBD0-63A2261DBF3E}" type="presOf" srcId="{055E7BFC-4103-456A-A196-AF09D43E9003}" destId="{1449F22C-FED7-46C5-B354-0D839F2B477E}" srcOrd="0" destOrd="0" presId="urn:microsoft.com/office/officeart/2005/8/layout/process1"/>
    <dgm:cxn modelId="{52E121C1-6DF8-4B24-A835-C5E69F546F30}" srcId="{7E5C6DC9-5589-4AF5-93F8-CEF1F7446B8A}" destId="{E33C3751-7B5F-48DA-9DE6-05C025E4380B}" srcOrd="2" destOrd="0" parTransId="{5AF549EE-A710-4FD0-8C3D-66459273A154}" sibTransId="{C4379611-76CA-483A-B9DB-31901B0EC1CD}"/>
    <dgm:cxn modelId="{0CC773C2-88DE-4EC6-83F6-DAC7697AA3A0}" srcId="{7E5C6DC9-5589-4AF5-93F8-CEF1F7446B8A}" destId="{2C71F4DB-2E3A-47A7-BFD4-3BEDB7E41456}" srcOrd="1" destOrd="0" parTransId="{A94A599F-0CB3-44B2-A6F3-1F70D878A835}" sibTransId="{1B4057B9-478B-42F8-B54A-48924FD08274}"/>
    <dgm:cxn modelId="{CF93809A-B09C-4554-8183-EC5EECE84571}" type="presOf" srcId="{9BDC36F8-7B74-4378-8AC3-BB0642C49C2F}" destId="{1D165748-FB21-483B-88C4-861E82CCE0ED}" srcOrd="0" destOrd="0" presId="urn:microsoft.com/office/officeart/2005/8/layout/process1"/>
    <dgm:cxn modelId="{4A2E47F3-6628-48F1-A023-11C1E48DC5D2}" type="presOf" srcId="{7E5C6DC9-5589-4AF5-93F8-CEF1F7446B8A}" destId="{83BE35D8-2D44-4BC5-9917-F5EE25E7D69E}" srcOrd="0" destOrd="0" presId="urn:microsoft.com/office/officeart/2005/8/layout/process1"/>
    <dgm:cxn modelId="{EADDD652-6522-46EE-9F03-F3943DBC7F73}" type="presOf" srcId="{E33C3751-7B5F-48DA-9DE6-05C025E4380B}" destId="{EF6DC6DD-0AD5-4661-B704-76F9B7D2A364}" srcOrd="0" destOrd="0" presId="urn:microsoft.com/office/officeart/2005/8/layout/process1"/>
    <dgm:cxn modelId="{F581F436-E2D7-4E39-8C58-F77807EC98BB}" type="presOf" srcId="{9BDC36F8-7B74-4378-8AC3-BB0642C49C2F}" destId="{06AC9F36-BE10-4D70-82F0-E177942E67AA}" srcOrd="1" destOrd="0" presId="urn:microsoft.com/office/officeart/2005/8/layout/process1"/>
    <dgm:cxn modelId="{D65F289C-6008-4031-856F-BB3934D8C987}" type="presOf" srcId="{1B4057B9-478B-42F8-B54A-48924FD08274}" destId="{2817164E-73E9-400B-B50A-1F862E7BD3E1}" srcOrd="0" destOrd="0" presId="urn:microsoft.com/office/officeart/2005/8/layout/process1"/>
    <dgm:cxn modelId="{431A9578-656C-4DDC-919C-AF7EC2C780E5}" type="presParOf" srcId="{83BE35D8-2D44-4BC5-9917-F5EE25E7D69E}" destId="{1449F22C-FED7-46C5-B354-0D839F2B477E}" srcOrd="0" destOrd="0" presId="urn:microsoft.com/office/officeart/2005/8/layout/process1"/>
    <dgm:cxn modelId="{A0D192ED-F0B9-40B9-98B3-B896D16D86D6}" type="presParOf" srcId="{83BE35D8-2D44-4BC5-9917-F5EE25E7D69E}" destId="{1D165748-FB21-483B-88C4-861E82CCE0ED}" srcOrd="1" destOrd="0" presId="urn:microsoft.com/office/officeart/2005/8/layout/process1"/>
    <dgm:cxn modelId="{4D35F8EF-6CB1-408F-957C-180A226CBE22}" type="presParOf" srcId="{1D165748-FB21-483B-88C4-861E82CCE0ED}" destId="{06AC9F36-BE10-4D70-82F0-E177942E67AA}" srcOrd="0" destOrd="0" presId="urn:microsoft.com/office/officeart/2005/8/layout/process1"/>
    <dgm:cxn modelId="{697EDDF6-F021-46F8-9AD7-7DFAD59EB38C}" type="presParOf" srcId="{83BE35D8-2D44-4BC5-9917-F5EE25E7D69E}" destId="{65976519-A3D6-4919-896E-764ECF2B3985}" srcOrd="2" destOrd="0" presId="urn:microsoft.com/office/officeart/2005/8/layout/process1"/>
    <dgm:cxn modelId="{52E94AF7-216B-4EE1-81AE-5C70BED471DD}" type="presParOf" srcId="{83BE35D8-2D44-4BC5-9917-F5EE25E7D69E}" destId="{2817164E-73E9-400B-B50A-1F862E7BD3E1}" srcOrd="3" destOrd="0" presId="urn:microsoft.com/office/officeart/2005/8/layout/process1"/>
    <dgm:cxn modelId="{AE478937-9E0B-44E5-91DC-CB4FF88E0F6E}" type="presParOf" srcId="{2817164E-73E9-400B-B50A-1F862E7BD3E1}" destId="{D5B3A04F-6AF4-4FA4-8BE7-8055CA61348C}" srcOrd="0" destOrd="0" presId="urn:microsoft.com/office/officeart/2005/8/layout/process1"/>
    <dgm:cxn modelId="{C26147E2-E269-408E-B1D9-191F4592663E}" type="presParOf" srcId="{83BE35D8-2D44-4BC5-9917-F5EE25E7D69E}" destId="{EF6DC6DD-0AD5-4661-B704-76F9B7D2A364}" srcOrd="4" destOrd="0" presId="urn:microsoft.com/office/officeart/2005/8/layout/process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549D8A2-B1BA-44AD-83CE-1E2F3C1142A2}" type="doc">
      <dgm:prSet loTypeId="urn:microsoft.com/office/officeart/2005/8/layout/process1" loCatId="process" qsTypeId="urn:microsoft.com/office/officeart/2005/8/quickstyle/simple1" qsCatId="simple" csTypeId="urn:microsoft.com/office/officeart/2005/8/colors/accent1_2" csCatId="accent1" phldr="1"/>
      <dgm:spPr/>
    </dgm:pt>
    <dgm:pt modelId="{8FAD7722-DCA0-4467-AD20-1E8D2D03605E}">
      <dgm:prSet phldrT="[Text]"/>
      <dgm:spPr/>
      <dgm:t>
        <a:bodyPr/>
        <a:lstStyle/>
        <a:p>
          <a:r>
            <a:rPr lang="en-AU"/>
            <a:t>Department notifies</a:t>
          </a:r>
          <a:r>
            <a:rPr lang="en-AU" baseline="30000"/>
            <a:t>c</a:t>
          </a:r>
          <a:r>
            <a:rPr lang="en-AU"/>
            <a:t> pharmacy nominated in patient application for dispensing drugs  of patient approvala nd drug supply arrangements</a:t>
          </a:r>
        </a:p>
      </dgm:t>
    </dgm:pt>
    <dgm:pt modelId="{2F266ADA-CEDF-4253-BB3C-A74A1506465B}" type="parTrans" cxnId="{02BB56D8-5EC5-4DC2-B0C6-DAC8327CAEA6}">
      <dgm:prSet/>
      <dgm:spPr/>
      <dgm:t>
        <a:bodyPr/>
        <a:lstStyle/>
        <a:p>
          <a:endParaRPr lang="en-AU"/>
        </a:p>
      </dgm:t>
    </dgm:pt>
    <dgm:pt modelId="{DFB5E0FB-8EAD-4427-BA11-8ECCBBADAF69}" type="sibTrans" cxnId="{02BB56D8-5EC5-4DC2-B0C6-DAC8327CAEA6}">
      <dgm:prSet/>
      <dgm:spPr/>
      <dgm:t>
        <a:bodyPr/>
        <a:lstStyle/>
        <a:p>
          <a:endParaRPr lang="en-AU"/>
        </a:p>
      </dgm:t>
    </dgm:pt>
    <dgm:pt modelId="{9E474139-1436-4411-ADFE-5DE9BAFCF58B}">
      <dgm:prSet phldrT="[Text]"/>
      <dgm:spPr/>
      <dgm:t>
        <a:bodyPr/>
        <a:lstStyle/>
        <a:p>
          <a:r>
            <a:rPr lang="en-AU"/>
            <a:t>Department orders</a:t>
          </a:r>
          <a:r>
            <a:rPr lang="en-AU" baseline="30000"/>
            <a:t>d</a:t>
          </a:r>
          <a:r>
            <a:rPr lang="en-AU"/>
            <a:t> drugs from supplier</a:t>
          </a:r>
        </a:p>
      </dgm:t>
    </dgm:pt>
    <dgm:pt modelId="{91E4301E-A394-4CD0-B5AD-70EC8BB2EC1A}" type="parTrans" cxnId="{00EFC92C-56FF-4264-803E-00F1F63A6AFA}">
      <dgm:prSet/>
      <dgm:spPr/>
      <dgm:t>
        <a:bodyPr/>
        <a:lstStyle/>
        <a:p>
          <a:endParaRPr lang="en-AU"/>
        </a:p>
      </dgm:t>
    </dgm:pt>
    <dgm:pt modelId="{D62FF27F-4499-4622-9683-AF47740FFE0A}" type="sibTrans" cxnId="{00EFC92C-56FF-4264-803E-00F1F63A6AFA}">
      <dgm:prSet/>
      <dgm:spPr/>
      <dgm:t>
        <a:bodyPr/>
        <a:lstStyle/>
        <a:p>
          <a:endParaRPr lang="en-AU"/>
        </a:p>
      </dgm:t>
    </dgm:pt>
    <dgm:pt modelId="{EAFADFD6-A6D8-40AB-8B2D-B40680190E61}">
      <dgm:prSet phldrT="[Text]"/>
      <dgm:spPr/>
      <dgm:t>
        <a:bodyPr/>
        <a:lstStyle/>
        <a:p>
          <a:r>
            <a:rPr lang="en-AU"/>
            <a:t>Supplier delivers drugs to pharmacy in week before the start of the month</a:t>
          </a:r>
        </a:p>
        <a:p>
          <a:r>
            <a:rPr lang="en-AU"/>
            <a:t>Approved pharmacist receives the drug and returns proof of delivery document to supplier.</a:t>
          </a:r>
        </a:p>
      </dgm:t>
    </dgm:pt>
    <dgm:pt modelId="{50BFB018-83ED-4BFE-BF28-F6F0E565C806}" type="parTrans" cxnId="{59CDC4E7-6A9D-4548-924A-6E0F0CA03C59}">
      <dgm:prSet/>
      <dgm:spPr/>
      <dgm:t>
        <a:bodyPr/>
        <a:lstStyle/>
        <a:p>
          <a:endParaRPr lang="en-AU"/>
        </a:p>
      </dgm:t>
    </dgm:pt>
    <dgm:pt modelId="{0331DD8D-CC08-4B61-B2C7-F3AF966654F5}" type="sibTrans" cxnId="{59CDC4E7-6A9D-4548-924A-6E0F0CA03C59}">
      <dgm:prSet/>
      <dgm:spPr/>
      <dgm:t>
        <a:bodyPr/>
        <a:lstStyle/>
        <a:p>
          <a:endParaRPr lang="en-AU"/>
        </a:p>
      </dgm:t>
    </dgm:pt>
    <dgm:pt modelId="{F478F285-4D98-4A8F-9AA2-9E0EB3118B77}">
      <dgm:prSet phldrT="[Text]"/>
      <dgm:spPr/>
      <dgm:t>
        <a:bodyPr/>
        <a:lstStyle/>
        <a:p>
          <a:r>
            <a:rPr lang="en-AU"/>
            <a:t>Pharmacist dispenses the drug and retains record for the Department's quarterly audit of stock supplies and patient compliance.</a:t>
          </a:r>
        </a:p>
      </dgm:t>
    </dgm:pt>
    <dgm:pt modelId="{57AD084B-61F3-4A81-AF57-2D869B875941}" type="parTrans" cxnId="{5C2B7C79-ADF4-4488-AEC3-2DBF3C7CADD8}">
      <dgm:prSet/>
      <dgm:spPr/>
      <dgm:t>
        <a:bodyPr/>
        <a:lstStyle/>
        <a:p>
          <a:endParaRPr lang="en-AU"/>
        </a:p>
      </dgm:t>
    </dgm:pt>
    <dgm:pt modelId="{59196736-805E-48F5-8241-FF09A5C469E2}" type="sibTrans" cxnId="{5C2B7C79-ADF4-4488-AEC3-2DBF3C7CADD8}">
      <dgm:prSet/>
      <dgm:spPr/>
      <dgm:t>
        <a:bodyPr/>
        <a:lstStyle/>
        <a:p>
          <a:endParaRPr lang="en-AU"/>
        </a:p>
      </dgm:t>
    </dgm:pt>
    <dgm:pt modelId="{E3F07135-9522-4DB0-8BB9-0F0626613BA6}">
      <dgm:prSet phldrT="[Text]"/>
      <dgm:spPr/>
      <dgm:t>
        <a:bodyPr/>
        <a:lstStyle/>
        <a:p>
          <a:endParaRPr lang="en-AU"/>
        </a:p>
        <a:p>
          <a:r>
            <a:rPr lang="en-AU"/>
            <a:t>Department reconciles proof of delivery and monthly invoices, and pays the supplier</a:t>
          </a:r>
          <a:r>
            <a:rPr lang="en-AU" baseline="30000"/>
            <a:t>d</a:t>
          </a:r>
          <a:r>
            <a:rPr lang="en-AU"/>
            <a:t>.  </a:t>
          </a:r>
        </a:p>
      </dgm:t>
    </dgm:pt>
    <dgm:pt modelId="{004B9972-1723-441C-A683-4CC8361C1DEF}" type="parTrans" cxnId="{3666811C-3239-4953-868E-D5135EC83AF7}">
      <dgm:prSet/>
      <dgm:spPr/>
      <dgm:t>
        <a:bodyPr/>
        <a:lstStyle/>
        <a:p>
          <a:endParaRPr lang="en-AU"/>
        </a:p>
      </dgm:t>
    </dgm:pt>
    <dgm:pt modelId="{5E93DBBD-23A0-4FC7-B12B-DCBC2291665B}" type="sibTrans" cxnId="{3666811C-3239-4953-868E-D5135EC83AF7}">
      <dgm:prSet/>
      <dgm:spPr/>
      <dgm:t>
        <a:bodyPr/>
        <a:lstStyle/>
        <a:p>
          <a:endParaRPr lang="en-AU"/>
        </a:p>
      </dgm:t>
    </dgm:pt>
    <dgm:pt modelId="{9109DC2A-9850-4BC7-A5CD-76F733CF6444}" type="pres">
      <dgm:prSet presAssocID="{D549D8A2-B1BA-44AD-83CE-1E2F3C1142A2}" presName="Name0" presStyleCnt="0">
        <dgm:presLayoutVars>
          <dgm:dir/>
          <dgm:resizeHandles val="exact"/>
        </dgm:presLayoutVars>
      </dgm:prSet>
      <dgm:spPr/>
    </dgm:pt>
    <dgm:pt modelId="{F8C19AE0-210A-440F-A548-6B500A185CA7}" type="pres">
      <dgm:prSet presAssocID="{8FAD7722-DCA0-4467-AD20-1E8D2D03605E}" presName="node" presStyleLbl="node1" presStyleIdx="0" presStyleCnt="5">
        <dgm:presLayoutVars>
          <dgm:bulletEnabled val="1"/>
        </dgm:presLayoutVars>
      </dgm:prSet>
      <dgm:spPr/>
      <dgm:t>
        <a:bodyPr/>
        <a:lstStyle/>
        <a:p>
          <a:endParaRPr lang="en-AU"/>
        </a:p>
      </dgm:t>
    </dgm:pt>
    <dgm:pt modelId="{8BBA7023-5160-4E02-A258-6C8F7282AB11}" type="pres">
      <dgm:prSet presAssocID="{DFB5E0FB-8EAD-4427-BA11-8ECCBBADAF69}" presName="sibTrans" presStyleLbl="sibTrans2D1" presStyleIdx="0" presStyleCnt="4"/>
      <dgm:spPr/>
      <dgm:t>
        <a:bodyPr/>
        <a:lstStyle/>
        <a:p>
          <a:endParaRPr lang="en-AU"/>
        </a:p>
      </dgm:t>
    </dgm:pt>
    <dgm:pt modelId="{752A2FD4-CC2F-4D7D-9F3A-E3B5DE0B0094}" type="pres">
      <dgm:prSet presAssocID="{DFB5E0FB-8EAD-4427-BA11-8ECCBBADAF69}" presName="connectorText" presStyleLbl="sibTrans2D1" presStyleIdx="0" presStyleCnt="4"/>
      <dgm:spPr/>
      <dgm:t>
        <a:bodyPr/>
        <a:lstStyle/>
        <a:p>
          <a:endParaRPr lang="en-AU"/>
        </a:p>
      </dgm:t>
    </dgm:pt>
    <dgm:pt modelId="{BCBB51A4-8FFB-4728-8FEA-2BC0B9326853}" type="pres">
      <dgm:prSet presAssocID="{9E474139-1436-4411-ADFE-5DE9BAFCF58B}" presName="node" presStyleLbl="node1" presStyleIdx="1" presStyleCnt="5" custLinFactNeighborX="4938" custLinFactNeighborY="1530">
        <dgm:presLayoutVars>
          <dgm:bulletEnabled val="1"/>
        </dgm:presLayoutVars>
      </dgm:prSet>
      <dgm:spPr/>
      <dgm:t>
        <a:bodyPr/>
        <a:lstStyle/>
        <a:p>
          <a:endParaRPr lang="en-AU"/>
        </a:p>
      </dgm:t>
    </dgm:pt>
    <dgm:pt modelId="{231D6579-6435-4979-89B5-7F8158856B30}" type="pres">
      <dgm:prSet presAssocID="{D62FF27F-4499-4622-9683-AF47740FFE0A}" presName="sibTrans" presStyleLbl="sibTrans2D1" presStyleIdx="1" presStyleCnt="4"/>
      <dgm:spPr/>
      <dgm:t>
        <a:bodyPr/>
        <a:lstStyle/>
        <a:p>
          <a:endParaRPr lang="en-AU"/>
        </a:p>
      </dgm:t>
    </dgm:pt>
    <dgm:pt modelId="{FA6C7052-F96C-4F83-8A4E-62C9B63E0256}" type="pres">
      <dgm:prSet presAssocID="{D62FF27F-4499-4622-9683-AF47740FFE0A}" presName="connectorText" presStyleLbl="sibTrans2D1" presStyleIdx="1" presStyleCnt="4"/>
      <dgm:spPr/>
      <dgm:t>
        <a:bodyPr/>
        <a:lstStyle/>
        <a:p>
          <a:endParaRPr lang="en-AU"/>
        </a:p>
      </dgm:t>
    </dgm:pt>
    <dgm:pt modelId="{1417382F-F786-45A4-9B34-1583AB32E931}" type="pres">
      <dgm:prSet presAssocID="{EAFADFD6-A6D8-40AB-8B2D-B40680190E61}" presName="node" presStyleLbl="node1" presStyleIdx="2" presStyleCnt="5">
        <dgm:presLayoutVars>
          <dgm:bulletEnabled val="1"/>
        </dgm:presLayoutVars>
      </dgm:prSet>
      <dgm:spPr/>
      <dgm:t>
        <a:bodyPr/>
        <a:lstStyle/>
        <a:p>
          <a:endParaRPr lang="en-AU"/>
        </a:p>
      </dgm:t>
    </dgm:pt>
    <dgm:pt modelId="{5DA8D489-0725-4E02-AFC1-B9B7FB215DD6}" type="pres">
      <dgm:prSet presAssocID="{0331DD8D-CC08-4B61-B2C7-F3AF966654F5}" presName="sibTrans" presStyleLbl="sibTrans2D1" presStyleIdx="2" presStyleCnt="4"/>
      <dgm:spPr/>
      <dgm:t>
        <a:bodyPr/>
        <a:lstStyle/>
        <a:p>
          <a:endParaRPr lang="en-AU"/>
        </a:p>
      </dgm:t>
    </dgm:pt>
    <dgm:pt modelId="{54184058-5B4D-45B2-8F4A-F856BB8E24AC}" type="pres">
      <dgm:prSet presAssocID="{0331DD8D-CC08-4B61-B2C7-F3AF966654F5}" presName="connectorText" presStyleLbl="sibTrans2D1" presStyleIdx="2" presStyleCnt="4"/>
      <dgm:spPr/>
      <dgm:t>
        <a:bodyPr/>
        <a:lstStyle/>
        <a:p>
          <a:endParaRPr lang="en-AU"/>
        </a:p>
      </dgm:t>
    </dgm:pt>
    <dgm:pt modelId="{BAD48751-3CFD-41DB-8B5F-3ADF3276F9C1}" type="pres">
      <dgm:prSet presAssocID="{F478F285-4D98-4A8F-9AA2-9E0EB3118B77}" presName="node" presStyleLbl="node1" presStyleIdx="3" presStyleCnt="5">
        <dgm:presLayoutVars>
          <dgm:bulletEnabled val="1"/>
        </dgm:presLayoutVars>
      </dgm:prSet>
      <dgm:spPr/>
      <dgm:t>
        <a:bodyPr/>
        <a:lstStyle/>
        <a:p>
          <a:endParaRPr lang="en-AU"/>
        </a:p>
      </dgm:t>
    </dgm:pt>
    <dgm:pt modelId="{FF6639A7-95AF-4B99-8847-7B169968EFC0}" type="pres">
      <dgm:prSet presAssocID="{59196736-805E-48F5-8241-FF09A5C469E2}" presName="sibTrans" presStyleLbl="sibTrans2D1" presStyleIdx="3" presStyleCnt="4" custLinFactNeighborY="5163"/>
      <dgm:spPr/>
      <dgm:t>
        <a:bodyPr/>
        <a:lstStyle/>
        <a:p>
          <a:endParaRPr lang="en-AU"/>
        </a:p>
      </dgm:t>
    </dgm:pt>
    <dgm:pt modelId="{BA50138F-CF56-4CCB-B91F-1A4101672C93}" type="pres">
      <dgm:prSet presAssocID="{59196736-805E-48F5-8241-FF09A5C469E2}" presName="connectorText" presStyleLbl="sibTrans2D1" presStyleIdx="3" presStyleCnt="4"/>
      <dgm:spPr/>
      <dgm:t>
        <a:bodyPr/>
        <a:lstStyle/>
        <a:p>
          <a:endParaRPr lang="en-AU"/>
        </a:p>
      </dgm:t>
    </dgm:pt>
    <dgm:pt modelId="{5FABD8E1-74BF-4946-A7EE-A6BCBFEFAE12}" type="pres">
      <dgm:prSet presAssocID="{E3F07135-9522-4DB0-8BB9-0F0626613BA6}" presName="node" presStyleLbl="node1" presStyleIdx="4" presStyleCnt="5" custScaleX="100808">
        <dgm:presLayoutVars>
          <dgm:bulletEnabled val="1"/>
        </dgm:presLayoutVars>
      </dgm:prSet>
      <dgm:spPr/>
      <dgm:t>
        <a:bodyPr/>
        <a:lstStyle/>
        <a:p>
          <a:endParaRPr lang="en-AU"/>
        </a:p>
      </dgm:t>
    </dgm:pt>
  </dgm:ptLst>
  <dgm:cxnLst>
    <dgm:cxn modelId="{0395D0BD-3F93-45F8-92FD-BE1005BCE5BE}" type="presOf" srcId="{EAFADFD6-A6D8-40AB-8B2D-B40680190E61}" destId="{1417382F-F786-45A4-9B34-1583AB32E931}" srcOrd="0" destOrd="0" presId="urn:microsoft.com/office/officeart/2005/8/layout/process1"/>
    <dgm:cxn modelId="{02BB56D8-5EC5-4DC2-B0C6-DAC8327CAEA6}" srcId="{D549D8A2-B1BA-44AD-83CE-1E2F3C1142A2}" destId="{8FAD7722-DCA0-4467-AD20-1E8D2D03605E}" srcOrd="0" destOrd="0" parTransId="{2F266ADA-CEDF-4253-BB3C-A74A1506465B}" sibTransId="{DFB5E0FB-8EAD-4427-BA11-8ECCBBADAF69}"/>
    <dgm:cxn modelId="{7DD94289-47EC-4BD3-B11E-AB9813C32B4F}" type="presOf" srcId="{0331DD8D-CC08-4B61-B2C7-F3AF966654F5}" destId="{5DA8D489-0725-4E02-AFC1-B9B7FB215DD6}" srcOrd="0" destOrd="0" presId="urn:microsoft.com/office/officeart/2005/8/layout/process1"/>
    <dgm:cxn modelId="{3666811C-3239-4953-868E-D5135EC83AF7}" srcId="{D549D8A2-B1BA-44AD-83CE-1E2F3C1142A2}" destId="{E3F07135-9522-4DB0-8BB9-0F0626613BA6}" srcOrd="4" destOrd="0" parTransId="{004B9972-1723-441C-A683-4CC8361C1DEF}" sibTransId="{5E93DBBD-23A0-4FC7-B12B-DCBC2291665B}"/>
    <dgm:cxn modelId="{FB43B1A9-3B68-4D79-9529-EB276C430584}" type="presOf" srcId="{DFB5E0FB-8EAD-4427-BA11-8ECCBBADAF69}" destId="{8BBA7023-5160-4E02-A258-6C8F7282AB11}" srcOrd="0" destOrd="0" presId="urn:microsoft.com/office/officeart/2005/8/layout/process1"/>
    <dgm:cxn modelId="{69333571-330F-4EF0-B9B6-7763EBCBED0D}" type="presOf" srcId="{59196736-805E-48F5-8241-FF09A5C469E2}" destId="{BA50138F-CF56-4CCB-B91F-1A4101672C93}" srcOrd="1" destOrd="0" presId="urn:microsoft.com/office/officeart/2005/8/layout/process1"/>
    <dgm:cxn modelId="{2906E7BA-A938-4524-8EE3-F8E5F7C07984}" type="presOf" srcId="{59196736-805E-48F5-8241-FF09A5C469E2}" destId="{FF6639A7-95AF-4B99-8847-7B169968EFC0}" srcOrd="0" destOrd="0" presId="urn:microsoft.com/office/officeart/2005/8/layout/process1"/>
    <dgm:cxn modelId="{B4AA93D8-FC11-4615-B36C-1D781FDED562}" type="presOf" srcId="{E3F07135-9522-4DB0-8BB9-0F0626613BA6}" destId="{5FABD8E1-74BF-4946-A7EE-A6BCBFEFAE12}" srcOrd="0" destOrd="0" presId="urn:microsoft.com/office/officeart/2005/8/layout/process1"/>
    <dgm:cxn modelId="{472E08D1-C7B0-4062-A583-C255BB25C22E}" type="presOf" srcId="{D62FF27F-4499-4622-9683-AF47740FFE0A}" destId="{231D6579-6435-4979-89B5-7F8158856B30}" srcOrd="0" destOrd="0" presId="urn:microsoft.com/office/officeart/2005/8/layout/process1"/>
    <dgm:cxn modelId="{113EDCB7-07F0-4367-911F-1C307EF2DB49}" type="presOf" srcId="{8FAD7722-DCA0-4467-AD20-1E8D2D03605E}" destId="{F8C19AE0-210A-440F-A548-6B500A185CA7}" srcOrd="0" destOrd="0" presId="urn:microsoft.com/office/officeart/2005/8/layout/process1"/>
    <dgm:cxn modelId="{9D5EA246-BE29-4C9A-9D10-4E0C42D876A2}" type="presOf" srcId="{D549D8A2-B1BA-44AD-83CE-1E2F3C1142A2}" destId="{9109DC2A-9850-4BC7-A5CD-76F733CF6444}" srcOrd="0" destOrd="0" presId="urn:microsoft.com/office/officeart/2005/8/layout/process1"/>
    <dgm:cxn modelId="{BCDE7F7D-7E9C-4B40-90F1-4C25DDBAD92D}" type="presOf" srcId="{D62FF27F-4499-4622-9683-AF47740FFE0A}" destId="{FA6C7052-F96C-4F83-8A4E-62C9B63E0256}" srcOrd="1" destOrd="0" presId="urn:microsoft.com/office/officeart/2005/8/layout/process1"/>
    <dgm:cxn modelId="{59CDC4E7-6A9D-4548-924A-6E0F0CA03C59}" srcId="{D549D8A2-B1BA-44AD-83CE-1E2F3C1142A2}" destId="{EAFADFD6-A6D8-40AB-8B2D-B40680190E61}" srcOrd="2" destOrd="0" parTransId="{50BFB018-83ED-4BFE-BF28-F6F0E565C806}" sibTransId="{0331DD8D-CC08-4B61-B2C7-F3AF966654F5}"/>
    <dgm:cxn modelId="{5038E7B9-BCD5-4BAD-B311-D100FCE6CEC8}" type="presOf" srcId="{DFB5E0FB-8EAD-4427-BA11-8ECCBBADAF69}" destId="{752A2FD4-CC2F-4D7D-9F3A-E3B5DE0B0094}" srcOrd="1" destOrd="0" presId="urn:microsoft.com/office/officeart/2005/8/layout/process1"/>
    <dgm:cxn modelId="{00EFC92C-56FF-4264-803E-00F1F63A6AFA}" srcId="{D549D8A2-B1BA-44AD-83CE-1E2F3C1142A2}" destId="{9E474139-1436-4411-ADFE-5DE9BAFCF58B}" srcOrd="1" destOrd="0" parTransId="{91E4301E-A394-4CD0-B5AD-70EC8BB2EC1A}" sibTransId="{D62FF27F-4499-4622-9683-AF47740FFE0A}"/>
    <dgm:cxn modelId="{3371D4CC-EF35-4444-BE3B-F8BCE9E326A7}" type="presOf" srcId="{F478F285-4D98-4A8F-9AA2-9E0EB3118B77}" destId="{BAD48751-3CFD-41DB-8B5F-3ADF3276F9C1}" srcOrd="0" destOrd="0" presId="urn:microsoft.com/office/officeart/2005/8/layout/process1"/>
    <dgm:cxn modelId="{C2897DDA-7A39-4FDD-900B-70996C4EF973}" type="presOf" srcId="{0331DD8D-CC08-4B61-B2C7-F3AF966654F5}" destId="{54184058-5B4D-45B2-8F4A-F856BB8E24AC}" srcOrd="1" destOrd="0" presId="urn:microsoft.com/office/officeart/2005/8/layout/process1"/>
    <dgm:cxn modelId="{5C2B7C79-ADF4-4488-AEC3-2DBF3C7CADD8}" srcId="{D549D8A2-B1BA-44AD-83CE-1E2F3C1142A2}" destId="{F478F285-4D98-4A8F-9AA2-9E0EB3118B77}" srcOrd="3" destOrd="0" parTransId="{57AD084B-61F3-4A81-AF57-2D869B875941}" sibTransId="{59196736-805E-48F5-8241-FF09A5C469E2}"/>
    <dgm:cxn modelId="{1C85E7C3-2745-4508-8E74-9655CE4A2C9E}" type="presOf" srcId="{9E474139-1436-4411-ADFE-5DE9BAFCF58B}" destId="{BCBB51A4-8FFB-4728-8FEA-2BC0B9326853}" srcOrd="0" destOrd="0" presId="urn:microsoft.com/office/officeart/2005/8/layout/process1"/>
    <dgm:cxn modelId="{0BD87376-7257-4053-A0C4-9EE016D2E4F5}" type="presParOf" srcId="{9109DC2A-9850-4BC7-A5CD-76F733CF6444}" destId="{F8C19AE0-210A-440F-A548-6B500A185CA7}" srcOrd="0" destOrd="0" presId="urn:microsoft.com/office/officeart/2005/8/layout/process1"/>
    <dgm:cxn modelId="{7402F845-7B4F-430B-8B01-F7403A4CD8FD}" type="presParOf" srcId="{9109DC2A-9850-4BC7-A5CD-76F733CF6444}" destId="{8BBA7023-5160-4E02-A258-6C8F7282AB11}" srcOrd="1" destOrd="0" presId="urn:microsoft.com/office/officeart/2005/8/layout/process1"/>
    <dgm:cxn modelId="{CE1E19CB-977E-4DE3-B7A1-8B3799D1FDBD}" type="presParOf" srcId="{8BBA7023-5160-4E02-A258-6C8F7282AB11}" destId="{752A2FD4-CC2F-4D7D-9F3A-E3B5DE0B0094}" srcOrd="0" destOrd="0" presId="urn:microsoft.com/office/officeart/2005/8/layout/process1"/>
    <dgm:cxn modelId="{A5ADEE02-FDD9-4421-A86A-695B37ED5D8B}" type="presParOf" srcId="{9109DC2A-9850-4BC7-A5CD-76F733CF6444}" destId="{BCBB51A4-8FFB-4728-8FEA-2BC0B9326853}" srcOrd="2" destOrd="0" presId="urn:microsoft.com/office/officeart/2005/8/layout/process1"/>
    <dgm:cxn modelId="{83F81229-818F-421E-BE23-B07495815C40}" type="presParOf" srcId="{9109DC2A-9850-4BC7-A5CD-76F733CF6444}" destId="{231D6579-6435-4979-89B5-7F8158856B30}" srcOrd="3" destOrd="0" presId="urn:microsoft.com/office/officeart/2005/8/layout/process1"/>
    <dgm:cxn modelId="{7F784DBE-C0BA-4715-A4C1-8CE7DBEE9363}" type="presParOf" srcId="{231D6579-6435-4979-89B5-7F8158856B30}" destId="{FA6C7052-F96C-4F83-8A4E-62C9B63E0256}" srcOrd="0" destOrd="0" presId="urn:microsoft.com/office/officeart/2005/8/layout/process1"/>
    <dgm:cxn modelId="{C8461A58-14B5-4EB6-9E04-58A17A6650EB}" type="presParOf" srcId="{9109DC2A-9850-4BC7-A5CD-76F733CF6444}" destId="{1417382F-F786-45A4-9B34-1583AB32E931}" srcOrd="4" destOrd="0" presId="urn:microsoft.com/office/officeart/2005/8/layout/process1"/>
    <dgm:cxn modelId="{69C64A12-F44D-4D1F-A04B-BE94724AB170}" type="presParOf" srcId="{9109DC2A-9850-4BC7-A5CD-76F733CF6444}" destId="{5DA8D489-0725-4E02-AFC1-B9B7FB215DD6}" srcOrd="5" destOrd="0" presId="urn:microsoft.com/office/officeart/2005/8/layout/process1"/>
    <dgm:cxn modelId="{BDCDA938-7B52-4A86-9141-9CB2F2916CBC}" type="presParOf" srcId="{5DA8D489-0725-4E02-AFC1-B9B7FB215DD6}" destId="{54184058-5B4D-45B2-8F4A-F856BB8E24AC}" srcOrd="0" destOrd="0" presId="urn:microsoft.com/office/officeart/2005/8/layout/process1"/>
    <dgm:cxn modelId="{90D383E0-872F-482C-A602-D42C28253FD7}" type="presParOf" srcId="{9109DC2A-9850-4BC7-A5CD-76F733CF6444}" destId="{BAD48751-3CFD-41DB-8B5F-3ADF3276F9C1}" srcOrd="6" destOrd="0" presId="urn:microsoft.com/office/officeart/2005/8/layout/process1"/>
    <dgm:cxn modelId="{CB1A6574-60B8-4974-803C-C58D2D6CB3CD}" type="presParOf" srcId="{9109DC2A-9850-4BC7-A5CD-76F733CF6444}" destId="{FF6639A7-95AF-4B99-8847-7B169968EFC0}" srcOrd="7" destOrd="0" presId="urn:microsoft.com/office/officeart/2005/8/layout/process1"/>
    <dgm:cxn modelId="{90C64DB7-108C-4253-B92B-5177ECEDEF0D}" type="presParOf" srcId="{FF6639A7-95AF-4B99-8847-7B169968EFC0}" destId="{BA50138F-CF56-4CCB-B91F-1A4101672C93}" srcOrd="0" destOrd="0" presId="urn:microsoft.com/office/officeart/2005/8/layout/process1"/>
    <dgm:cxn modelId="{B59C54DD-3F52-481D-94BF-A55DE6625BAD}" type="presParOf" srcId="{9109DC2A-9850-4BC7-A5CD-76F733CF6444}" destId="{5FABD8E1-74BF-4946-A7EE-A6BCBFEFAE12}" srcOrd="8" destOrd="0" presId="urn:microsoft.com/office/officeart/2005/8/layout/process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49F22C-FED7-46C5-B354-0D839F2B477E}">
      <dsp:nvSpPr>
        <dsp:cNvPr id="0" name=""/>
        <dsp:cNvSpPr/>
      </dsp:nvSpPr>
      <dsp:spPr>
        <a:xfrm>
          <a:off x="0" y="88256"/>
          <a:ext cx="1270137" cy="116057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dirty="0" smtClean="0"/>
            <a:t>Treating physicians apply on behalf of patients</a:t>
          </a:r>
          <a:endParaRPr lang="en-AU" sz="900" kern="1200" dirty="0"/>
        </a:p>
      </dsp:txBody>
      <dsp:txXfrm>
        <a:off x="33992" y="122248"/>
        <a:ext cx="1202153" cy="1092592"/>
      </dsp:txXfrm>
    </dsp:sp>
    <dsp:sp modelId="{1D165748-FB21-483B-88C4-861E82CCE0ED}">
      <dsp:nvSpPr>
        <dsp:cNvPr id="0" name=""/>
        <dsp:cNvSpPr/>
      </dsp:nvSpPr>
      <dsp:spPr>
        <a:xfrm rot="21585791">
          <a:off x="1417853" y="599151"/>
          <a:ext cx="371743" cy="1307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AU" sz="500" kern="1200"/>
        </a:p>
      </dsp:txBody>
      <dsp:txXfrm>
        <a:off x="1417853" y="625388"/>
        <a:ext cx="332510" cy="78466"/>
      </dsp:txXfrm>
    </dsp:sp>
    <dsp:sp modelId="{65976519-A3D6-4919-896E-764ECF2B3985}">
      <dsp:nvSpPr>
        <dsp:cNvPr id="0" name=""/>
        <dsp:cNvSpPr/>
      </dsp:nvSpPr>
      <dsp:spPr>
        <a:xfrm>
          <a:off x="1917881" y="0"/>
          <a:ext cx="1607036" cy="13198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a:t>Application</a:t>
          </a:r>
          <a:r>
            <a:rPr lang="en-AU" sz="900" kern="1200" baseline="30000"/>
            <a:t>a</a:t>
          </a:r>
          <a:r>
            <a:rPr lang="en-AU" sz="900" kern="1200"/>
            <a:t> checked and processed by Dept. </a:t>
          </a:r>
        </a:p>
        <a:p>
          <a:pPr lvl="0" algn="ctr" defTabSz="400050">
            <a:lnSpc>
              <a:spcPct val="90000"/>
            </a:lnSpc>
            <a:spcBef>
              <a:spcPct val="0"/>
            </a:spcBef>
            <a:spcAft>
              <a:spcPct val="35000"/>
            </a:spcAft>
          </a:pPr>
          <a:endParaRPr lang="en-AU" sz="900" kern="1200" dirty="0" smtClean="0"/>
        </a:p>
        <a:p>
          <a:pPr lvl="0" algn="ctr" defTabSz="400050">
            <a:lnSpc>
              <a:spcPct val="90000"/>
            </a:lnSpc>
            <a:spcBef>
              <a:spcPct val="0"/>
            </a:spcBef>
            <a:spcAft>
              <a:spcPct val="35000"/>
            </a:spcAft>
          </a:pPr>
          <a:r>
            <a:rPr lang="en-AU" sz="900" kern="1200" dirty="0" smtClean="0"/>
            <a:t>Clinical advice from clinical experts in the relevant disease  area  may be sought for complex application</a:t>
          </a:r>
          <a:endParaRPr lang="en-AU" sz="900" kern="1200" dirty="0"/>
        </a:p>
      </dsp:txBody>
      <dsp:txXfrm>
        <a:off x="1956538" y="38657"/>
        <a:ext cx="1529722" cy="1242528"/>
      </dsp:txXfrm>
    </dsp:sp>
    <dsp:sp modelId="{2817164E-73E9-400B-B50A-1F862E7BD3E1}">
      <dsp:nvSpPr>
        <dsp:cNvPr id="0" name=""/>
        <dsp:cNvSpPr/>
      </dsp:nvSpPr>
      <dsp:spPr>
        <a:xfrm>
          <a:off x="3690450" y="594531"/>
          <a:ext cx="331033" cy="1307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AU" sz="500" kern="1200"/>
        </a:p>
      </dsp:txBody>
      <dsp:txXfrm>
        <a:off x="3690450" y="620687"/>
        <a:ext cx="291800" cy="78466"/>
      </dsp:txXfrm>
    </dsp:sp>
    <dsp:sp modelId="{EF6DC6DD-0AD5-4661-B704-76F9B7D2A364}">
      <dsp:nvSpPr>
        <dsp:cNvPr id="0" name=""/>
        <dsp:cNvSpPr/>
      </dsp:nvSpPr>
      <dsp:spPr>
        <a:xfrm>
          <a:off x="4167732" y="79632"/>
          <a:ext cx="1607036" cy="116057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a:t>Delegate decision and conveyed to physicians </a:t>
          </a:r>
          <a:r>
            <a:rPr lang="en-AU" sz="900" kern="1200" baseline="30000"/>
            <a:t>b</a:t>
          </a:r>
          <a:r>
            <a:rPr lang="en-AU" sz="900" kern="1200"/>
            <a:t>.</a:t>
          </a:r>
        </a:p>
        <a:p>
          <a:pPr lvl="0" algn="ctr" defTabSz="400050">
            <a:lnSpc>
              <a:spcPct val="90000"/>
            </a:lnSpc>
            <a:spcBef>
              <a:spcPct val="0"/>
            </a:spcBef>
            <a:spcAft>
              <a:spcPct val="35000"/>
            </a:spcAft>
          </a:pPr>
          <a:r>
            <a:rPr lang="en-AU" sz="900" kern="1200"/>
            <a:t> If funding approved treating physician reapplies every 12 months for continued access</a:t>
          </a:r>
        </a:p>
      </dsp:txBody>
      <dsp:txXfrm>
        <a:off x="4201724" y="113624"/>
        <a:ext cx="1539052" cy="109259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C19AE0-210A-440F-A548-6B500A185CA7}">
      <dsp:nvSpPr>
        <dsp:cNvPr id="0" name=""/>
        <dsp:cNvSpPr/>
      </dsp:nvSpPr>
      <dsp:spPr>
        <a:xfrm>
          <a:off x="3949" y="251465"/>
          <a:ext cx="873445" cy="112746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a:t>Department notifies</a:t>
          </a:r>
          <a:r>
            <a:rPr lang="en-AU" sz="700" kern="1200" baseline="30000"/>
            <a:t>c</a:t>
          </a:r>
          <a:r>
            <a:rPr lang="en-AU" sz="700" kern="1200"/>
            <a:t> pharmacy nominated in patient application for dispensing drugs  of patient approvala nd drug supply arrangements</a:t>
          </a:r>
        </a:p>
      </dsp:txBody>
      <dsp:txXfrm>
        <a:off x="29531" y="277047"/>
        <a:ext cx="822281" cy="1076297"/>
      </dsp:txXfrm>
    </dsp:sp>
    <dsp:sp modelId="{8BBA7023-5160-4E02-A258-6C8F7282AB11}">
      <dsp:nvSpPr>
        <dsp:cNvPr id="0" name=""/>
        <dsp:cNvSpPr/>
      </dsp:nvSpPr>
      <dsp:spPr>
        <a:xfrm rot="47818">
          <a:off x="969043" y="715590"/>
          <a:ext cx="194332" cy="21661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AU" sz="600" kern="1200"/>
        </a:p>
      </dsp:txBody>
      <dsp:txXfrm>
        <a:off x="969046" y="758508"/>
        <a:ext cx="136032" cy="129968"/>
      </dsp:txXfrm>
    </dsp:sp>
    <dsp:sp modelId="{BCBB51A4-8FFB-4728-8FEA-2BC0B9326853}">
      <dsp:nvSpPr>
        <dsp:cNvPr id="0" name=""/>
        <dsp:cNvSpPr/>
      </dsp:nvSpPr>
      <dsp:spPr>
        <a:xfrm>
          <a:off x="1244025" y="268715"/>
          <a:ext cx="873445" cy="112746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a:t>Department orders</a:t>
          </a:r>
          <a:r>
            <a:rPr lang="en-AU" sz="700" kern="1200" baseline="30000"/>
            <a:t>d</a:t>
          </a:r>
          <a:r>
            <a:rPr lang="en-AU" sz="700" kern="1200"/>
            <a:t> drugs from supplier</a:t>
          </a:r>
        </a:p>
      </dsp:txBody>
      <dsp:txXfrm>
        <a:off x="1269607" y="294297"/>
        <a:ext cx="822281" cy="1076297"/>
      </dsp:txXfrm>
    </dsp:sp>
    <dsp:sp modelId="{231D6579-6435-4979-89B5-7F8158856B30}">
      <dsp:nvSpPr>
        <dsp:cNvPr id="0" name=""/>
        <dsp:cNvSpPr/>
      </dsp:nvSpPr>
      <dsp:spPr>
        <a:xfrm rot="21550814">
          <a:off x="2200494" y="715442"/>
          <a:ext cx="176044" cy="21661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AU" sz="600" kern="1200"/>
        </a:p>
      </dsp:txBody>
      <dsp:txXfrm>
        <a:off x="2200497" y="759143"/>
        <a:ext cx="123231" cy="129968"/>
      </dsp:txXfrm>
    </dsp:sp>
    <dsp:sp modelId="{1417382F-F786-45A4-9B34-1583AB32E931}">
      <dsp:nvSpPr>
        <dsp:cNvPr id="0" name=""/>
        <dsp:cNvSpPr/>
      </dsp:nvSpPr>
      <dsp:spPr>
        <a:xfrm>
          <a:off x="2449597" y="251465"/>
          <a:ext cx="873445" cy="112746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a:t>Supplier delivers drugs to pharmacy in week before the start of the month</a:t>
          </a:r>
        </a:p>
        <a:p>
          <a:pPr lvl="0" algn="ctr" defTabSz="311150">
            <a:lnSpc>
              <a:spcPct val="90000"/>
            </a:lnSpc>
            <a:spcBef>
              <a:spcPct val="0"/>
            </a:spcBef>
            <a:spcAft>
              <a:spcPct val="35000"/>
            </a:spcAft>
          </a:pPr>
          <a:r>
            <a:rPr lang="en-AU" sz="700" kern="1200"/>
            <a:t>Approved pharmacist receives the drug and returns proof of delivery document to supplier.</a:t>
          </a:r>
        </a:p>
      </dsp:txBody>
      <dsp:txXfrm>
        <a:off x="2475179" y="277047"/>
        <a:ext cx="822281" cy="1076297"/>
      </dsp:txXfrm>
    </dsp:sp>
    <dsp:sp modelId="{5DA8D489-0725-4E02-AFC1-B9B7FB215DD6}">
      <dsp:nvSpPr>
        <dsp:cNvPr id="0" name=""/>
        <dsp:cNvSpPr/>
      </dsp:nvSpPr>
      <dsp:spPr>
        <a:xfrm>
          <a:off x="3410387" y="706888"/>
          <a:ext cx="185170" cy="21661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AU" sz="600" kern="1200"/>
        </a:p>
      </dsp:txBody>
      <dsp:txXfrm>
        <a:off x="3410387" y="750211"/>
        <a:ext cx="129619" cy="129968"/>
      </dsp:txXfrm>
    </dsp:sp>
    <dsp:sp modelId="{BAD48751-3CFD-41DB-8B5F-3ADF3276F9C1}">
      <dsp:nvSpPr>
        <dsp:cNvPr id="0" name=""/>
        <dsp:cNvSpPr/>
      </dsp:nvSpPr>
      <dsp:spPr>
        <a:xfrm>
          <a:off x="3672421" y="251465"/>
          <a:ext cx="873445" cy="112746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a:t>Pharmacist dispenses the drug and retains record for the Department's quarterly audit of stock supplies and patient compliance.</a:t>
          </a:r>
        </a:p>
      </dsp:txBody>
      <dsp:txXfrm>
        <a:off x="3698003" y="277047"/>
        <a:ext cx="822281" cy="1076297"/>
      </dsp:txXfrm>
    </dsp:sp>
    <dsp:sp modelId="{FF6639A7-95AF-4B99-8847-7B169968EFC0}">
      <dsp:nvSpPr>
        <dsp:cNvPr id="0" name=""/>
        <dsp:cNvSpPr/>
      </dsp:nvSpPr>
      <dsp:spPr>
        <a:xfrm>
          <a:off x="4633211" y="718072"/>
          <a:ext cx="185170" cy="21661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AU" sz="600" kern="1200"/>
        </a:p>
      </dsp:txBody>
      <dsp:txXfrm>
        <a:off x="4633211" y="761395"/>
        <a:ext cx="129619" cy="129968"/>
      </dsp:txXfrm>
    </dsp:sp>
    <dsp:sp modelId="{5FABD8E1-74BF-4946-A7EE-A6BCBFEFAE12}">
      <dsp:nvSpPr>
        <dsp:cNvPr id="0" name=""/>
        <dsp:cNvSpPr/>
      </dsp:nvSpPr>
      <dsp:spPr>
        <a:xfrm>
          <a:off x="4895245" y="251465"/>
          <a:ext cx="880503" cy="112746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endParaRPr lang="en-AU" sz="700" kern="1200"/>
        </a:p>
        <a:p>
          <a:pPr lvl="0" algn="ctr" defTabSz="311150">
            <a:lnSpc>
              <a:spcPct val="90000"/>
            </a:lnSpc>
            <a:spcBef>
              <a:spcPct val="0"/>
            </a:spcBef>
            <a:spcAft>
              <a:spcPct val="35000"/>
            </a:spcAft>
          </a:pPr>
          <a:r>
            <a:rPr lang="en-AU" sz="700" kern="1200"/>
            <a:t>Department reconciles proof of delivery and monthly invoices, and pays the supplier</a:t>
          </a:r>
          <a:r>
            <a:rPr lang="en-AU" sz="700" kern="1200" baseline="30000"/>
            <a:t>d</a:t>
          </a:r>
          <a:r>
            <a:rPr lang="en-AU" sz="700" kern="1200"/>
            <a:t>.  </a:t>
          </a:r>
        </a:p>
      </dsp:txBody>
      <dsp:txXfrm>
        <a:off x="4921034" y="277254"/>
        <a:ext cx="828925" cy="107588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79DE0-B43E-42F1-8A2E-1C57CF7A0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33</Pages>
  <Words>10015</Words>
  <Characters>57090</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66972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Ong Maria</dc:creator>
  <cp:lastModifiedBy>Ong Maria</cp:lastModifiedBy>
  <cp:revision>20</cp:revision>
  <cp:lastPrinted>2015-04-09T05:10:00Z</cp:lastPrinted>
  <dcterms:created xsi:type="dcterms:W3CDTF">2015-04-04T02:45:00Z</dcterms:created>
  <dcterms:modified xsi:type="dcterms:W3CDTF">2015-04-09T23:20:00Z</dcterms:modified>
</cp:coreProperties>
</file>