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19C70" w14:textId="77777777" w:rsidR="00912D6C" w:rsidRPr="00437CD8" w:rsidRDefault="00912D6C" w:rsidP="00912D6C">
      <w:pPr>
        <w:widowControl w:val="0"/>
        <w:autoSpaceDE w:val="0"/>
        <w:autoSpaceDN w:val="0"/>
        <w:spacing w:before="282"/>
        <w:ind w:left="396"/>
        <w:jc w:val="center"/>
        <w:rPr>
          <w:rFonts w:ascii="Calibri" w:eastAsia="Calibri" w:hAnsi="Calibri" w:cs="Calibri"/>
          <w:b/>
          <w:bCs/>
          <w:i/>
          <w:iCs/>
          <w:sz w:val="34"/>
          <w:szCs w:val="34"/>
          <w:lang w:val="en-US" w:eastAsia="en-US"/>
        </w:rPr>
      </w:pPr>
      <w:r w:rsidRPr="00437CD8">
        <w:rPr>
          <w:rFonts w:ascii="Calibri" w:eastAsia="Calibri" w:hAnsi="Calibri" w:cs="Calibri"/>
          <w:b/>
          <w:bCs/>
          <w:i/>
          <w:iCs/>
          <w:noProof/>
          <w:sz w:val="34"/>
          <w:szCs w:val="34"/>
          <w:lang w:val="en-US" w:eastAsia="en-US"/>
        </w:rPr>
        <w:drawing>
          <wp:anchor distT="0" distB="0" distL="0" distR="0" simplePos="0" relativeHeight="251659264" behindDoc="0" locked="0" layoutInCell="1" allowOverlap="1" wp14:anchorId="48726B00" wp14:editId="687FADD3">
            <wp:simplePos x="0" y="0"/>
            <wp:positionH relativeFrom="page">
              <wp:posOffset>982929</wp:posOffset>
            </wp:positionH>
            <wp:positionV relativeFrom="paragraph">
              <wp:posOffset>-2174</wp:posOffset>
            </wp:positionV>
            <wp:extent cx="755172" cy="527681"/>
            <wp:effectExtent l="0" t="0" r="0" b="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172" cy="527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Pharmaceutical_Benefits_Advisory_Committ"/>
      <w:bookmarkEnd w:id="0"/>
      <w:r w:rsidRPr="00437CD8">
        <w:rPr>
          <w:rFonts w:ascii="Calibri" w:eastAsia="Calibri" w:hAnsi="Calibri" w:cs="Calibri"/>
          <w:b/>
          <w:bCs/>
          <w:i/>
          <w:iCs/>
          <w:sz w:val="34"/>
          <w:szCs w:val="34"/>
          <w:lang w:val="en-US" w:eastAsia="en-US"/>
        </w:rPr>
        <w:t>Pharmaceutical</w:t>
      </w:r>
      <w:r w:rsidRPr="00437CD8">
        <w:rPr>
          <w:rFonts w:ascii="Calibri" w:eastAsia="Calibri" w:hAnsi="Calibri" w:cs="Calibri"/>
          <w:b/>
          <w:bCs/>
          <w:i/>
          <w:iCs/>
          <w:spacing w:val="-19"/>
          <w:sz w:val="34"/>
          <w:szCs w:val="34"/>
          <w:lang w:val="en-US" w:eastAsia="en-US"/>
        </w:rPr>
        <w:t xml:space="preserve"> </w:t>
      </w:r>
      <w:r w:rsidRPr="00437CD8">
        <w:rPr>
          <w:rFonts w:ascii="Calibri" w:eastAsia="Calibri" w:hAnsi="Calibri" w:cs="Calibri"/>
          <w:b/>
          <w:bCs/>
          <w:i/>
          <w:iCs/>
          <w:sz w:val="34"/>
          <w:szCs w:val="34"/>
          <w:lang w:val="en-US" w:eastAsia="en-US"/>
        </w:rPr>
        <w:t>Benefits</w:t>
      </w:r>
      <w:r w:rsidRPr="00437CD8">
        <w:rPr>
          <w:rFonts w:ascii="Calibri" w:eastAsia="Calibri" w:hAnsi="Calibri" w:cs="Calibri"/>
          <w:b/>
          <w:bCs/>
          <w:i/>
          <w:iCs/>
          <w:spacing w:val="-19"/>
          <w:sz w:val="34"/>
          <w:szCs w:val="34"/>
          <w:lang w:val="en-US" w:eastAsia="en-US"/>
        </w:rPr>
        <w:t xml:space="preserve"> </w:t>
      </w:r>
      <w:r w:rsidRPr="00437CD8">
        <w:rPr>
          <w:rFonts w:ascii="Calibri" w:eastAsia="Calibri" w:hAnsi="Calibri" w:cs="Calibri"/>
          <w:b/>
          <w:bCs/>
          <w:i/>
          <w:iCs/>
          <w:sz w:val="34"/>
          <w:szCs w:val="34"/>
          <w:lang w:val="en-US" w:eastAsia="en-US"/>
        </w:rPr>
        <w:t>Advisory</w:t>
      </w:r>
      <w:r w:rsidRPr="00437CD8">
        <w:rPr>
          <w:rFonts w:ascii="Calibri" w:eastAsia="Calibri" w:hAnsi="Calibri" w:cs="Calibri"/>
          <w:b/>
          <w:bCs/>
          <w:i/>
          <w:iCs/>
          <w:spacing w:val="-19"/>
          <w:sz w:val="34"/>
          <w:szCs w:val="34"/>
          <w:lang w:val="en-US" w:eastAsia="en-US"/>
        </w:rPr>
        <w:t xml:space="preserve"> </w:t>
      </w:r>
      <w:r w:rsidRPr="00437CD8">
        <w:rPr>
          <w:rFonts w:ascii="Calibri" w:eastAsia="Calibri" w:hAnsi="Calibri" w:cs="Calibri"/>
          <w:b/>
          <w:bCs/>
          <w:i/>
          <w:iCs/>
          <w:spacing w:val="-2"/>
          <w:sz w:val="34"/>
          <w:szCs w:val="34"/>
          <w:lang w:val="en-US" w:eastAsia="en-US"/>
        </w:rPr>
        <w:t>Committee</w:t>
      </w:r>
    </w:p>
    <w:p w14:paraId="1B7B5F76" w14:textId="77777777" w:rsidR="00912D6C" w:rsidRPr="00437CD8" w:rsidRDefault="00912D6C" w:rsidP="00912D6C">
      <w:pPr>
        <w:widowControl w:val="0"/>
        <w:autoSpaceDE w:val="0"/>
        <w:autoSpaceDN w:val="0"/>
        <w:rPr>
          <w:rFonts w:ascii="Calibri" w:eastAsia="Calibri" w:hAnsi="Calibri" w:cs="Calibri"/>
          <w:b/>
          <w:i/>
          <w:sz w:val="20"/>
          <w:szCs w:val="22"/>
          <w:lang w:val="en-US" w:eastAsia="en-US"/>
        </w:rPr>
      </w:pPr>
    </w:p>
    <w:p w14:paraId="670A057C" w14:textId="77777777" w:rsidR="00912D6C" w:rsidRPr="00437CD8" w:rsidRDefault="00912D6C" w:rsidP="00912D6C">
      <w:pPr>
        <w:widowControl w:val="0"/>
        <w:autoSpaceDE w:val="0"/>
        <w:autoSpaceDN w:val="0"/>
        <w:spacing w:before="55"/>
        <w:rPr>
          <w:rFonts w:ascii="Calibri" w:eastAsia="Calibri" w:hAnsi="Calibri" w:cs="Calibri"/>
          <w:b/>
          <w:i/>
          <w:sz w:val="20"/>
          <w:szCs w:val="22"/>
          <w:lang w:val="en-US" w:eastAsia="en-US"/>
        </w:rPr>
      </w:pPr>
      <w:r w:rsidRPr="00437CD8">
        <w:rPr>
          <w:rFonts w:ascii="Calibri" w:eastAsia="Calibri" w:hAnsi="Calibri" w:cs="Calibr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53C54CB" wp14:editId="768D9AC0">
                <wp:simplePos x="0" y="0"/>
                <wp:positionH relativeFrom="page">
                  <wp:posOffset>895350</wp:posOffset>
                </wp:positionH>
                <wp:positionV relativeFrom="paragraph">
                  <wp:posOffset>205244</wp:posOffset>
                </wp:positionV>
                <wp:extent cx="5770245" cy="66675"/>
                <wp:effectExtent l="0" t="0" r="0" b="0"/>
                <wp:wrapTopAndBottom/>
                <wp:docPr id="3" name="Graphic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0245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245" h="66675">
                              <a:moveTo>
                                <a:pt x="5769851" y="57150"/>
                              </a:moveTo>
                              <a:lnTo>
                                <a:pt x="0" y="57150"/>
                              </a:lnTo>
                              <a:lnTo>
                                <a:pt x="0" y="66294"/>
                              </a:lnTo>
                              <a:lnTo>
                                <a:pt x="5769851" y="66294"/>
                              </a:lnTo>
                              <a:lnTo>
                                <a:pt x="5769851" y="57150"/>
                              </a:lnTo>
                              <a:close/>
                            </a:path>
                            <a:path w="5770245" h="66675">
                              <a:moveTo>
                                <a:pt x="5769851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769851" y="19050"/>
                              </a:lnTo>
                              <a:lnTo>
                                <a:pt x="57698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DFA54" id="Graphic 3" o:spid="_x0000_s1026" alt="&quot;&quot;" style="position:absolute;margin-left:70.5pt;margin-top:16.15pt;width:454.35pt;height:5.2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0245,66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" path="m5769851,57150l,57150r,9144l5769851,66294r,-9144xem5769851,l,,,19050r5769851,l576985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6815B2A" w14:textId="77777777" w:rsidR="00912D6C" w:rsidRPr="00437CD8" w:rsidRDefault="00912D6C" w:rsidP="00912D6C">
      <w:pPr>
        <w:widowControl w:val="0"/>
        <w:autoSpaceDE w:val="0"/>
        <w:autoSpaceDN w:val="0"/>
        <w:spacing w:before="294" w:after="240"/>
        <w:ind w:right="442"/>
        <w:jc w:val="right"/>
        <w:rPr>
          <w:rFonts w:ascii="Calibri" w:eastAsia="Calibri" w:hAnsi="Calibri" w:cs="Calibri"/>
          <w:sz w:val="18"/>
          <w:szCs w:val="22"/>
          <w:lang w:val="en-US" w:eastAsia="en-US"/>
        </w:rPr>
      </w:pPr>
      <w:r w:rsidRPr="00437CD8">
        <w:rPr>
          <w:rFonts w:ascii="Calibri" w:eastAsia="Calibri" w:hAnsi="Calibri" w:cs="Calibri"/>
          <w:sz w:val="18"/>
          <w:szCs w:val="22"/>
          <w:lang w:val="en-US" w:eastAsia="en-US"/>
        </w:rPr>
        <w:t>Reply</w:t>
      </w:r>
      <w:r w:rsidRPr="00437CD8">
        <w:rPr>
          <w:rFonts w:ascii="Calibri" w:eastAsia="Calibri" w:hAnsi="Calibri" w:cs="Calibri"/>
          <w:spacing w:val="-2"/>
          <w:sz w:val="18"/>
          <w:szCs w:val="22"/>
          <w:lang w:val="en-US" w:eastAsia="en-US"/>
        </w:rPr>
        <w:t xml:space="preserve"> </w:t>
      </w:r>
      <w:r w:rsidRPr="00437CD8">
        <w:rPr>
          <w:rFonts w:ascii="Calibri" w:eastAsia="Calibri" w:hAnsi="Calibri" w:cs="Calibri"/>
          <w:sz w:val="18"/>
          <w:szCs w:val="22"/>
          <w:lang w:val="en-US" w:eastAsia="en-US"/>
        </w:rPr>
        <w:t>to:</w:t>
      </w:r>
      <w:r w:rsidRPr="00437CD8">
        <w:rPr>
          <w:rFonts w:ascii="Calibri" w:eastAsia="Calibri" w:hAnsi="Calibri" w:cs="Calibri"/>
          <w:spacing w:val="-2"/>
          <w:sz w:val="18"/>
          <w:szCs w:val="22"/>
          <w:lang w:val="en-US" w:eastAsia="en-US"/>
        </w:rPr>
        <w:t xml:space="preserve"> </w:t>
      </w:r>
      <w:hyperlink r:id="rId8">
        <w:r w:rsidRPr="00437CD8">
          <w:rPr>
            <w:rFonts w:ascii="Calibri" w:eastAsia="Calibri" w:hAnsi="Calibri" w:cs="Calibri"/>
            <w:color w:val="0000FF"/>
            <w:spacing w:val="-2"/>
            <w:sz w:val="18"/>
            <w:szCs w:val="22"/>
            <w:u w:val="single" w:color="0000FF"/>
            <w:lang w:val="en-US" w:eastAsia="en-US"/>
          </w:rPr>
          <w:t>PBAC@health.gov.au</w:t>
        </w:r>
      </w:hyperlink>
    </w:p>
    <w:p w14:paraId="2B930A10" w14:textId="77777777" w:rsidR="00912D6C" w:rsidRPr="00437CD8" w:rsidRDefault="00912D6C" w:rsidP="00912D6C">
      <w:pPr>
        <w:pStyle w:val="Header"/>
        <w:tabs>
          <w:tab w:val="left" w:pos="720"/>
        </w:tabs>
        <w:rPr>
          <w:rFonts w:ascii="Calibri" w:hAnsi="Calibri" w:cs="Calibri"/>
        </w:rPr>
      </w:pPr>
      <w:r w:rsidRPr="00437CD8">
        <w:rPr>
          <w:rFonts w:ascii="Calibri" w:hAnsi="Calibri" w:cs="Calibri"/>
        </w:rPr>
        <w:t xml:space="preserve">The Hon Mark Butler MP </w:t>
      </w:r>
    </w:p>
    <w:p w14:paraId="42F5DD4E" w14:textId="77777777" w:rsidR="00912D6C" w:rsidRPr="00437CD8" w:rsidRDefault="00912D6C" w:rsidP="00912D6C">
      <w:pPr>
        <w:rPr>
          <w:rFonts w:ascii="Calibri" w:hAnsi="Calibri" w:cs="Calibri"/>
        </w:rPr>
      </w:pPr>
      <w:r w:rsidRPr="00437CD8">
        <w:rPr>
          <w:rFonts w:ascii="Calibri" w:hAnsi="Calibri" w:cs="Calibri"/>
        </w:rPr>
        <w:t xml:space="preserve">Minister for Health and Aged Care </w:t>
      </w:r>
    </w:p>
    <w:p w14:paraId="6D37DCD7" w14:textId="77777777" w:rsidR="00912D6C" w:rsidRPr="00437CD8" w:rsidRDefault="00912D6C" w:rsidP="00912D6C">
      <w:pPr>
        <w:rPr>
          <w:rFonts w:ascii="Calibri" w:hAnsi="Calibri" w:cs="Calibri"/>
        </w:rPr>
      </w:pPr>
      <w:r w:rsidRPr="00437CD8">
        <w:rPr>
          <w:rFonts w:ascii="Calibri" w:hAnsi="Calibri" w:cs="Calibri"/>
        </w:rPr>
        <w:t xml:space="preserve">PO Box 6022 </w:t>
      </w:r>
    </w:p>
    <w:p w14:paraId="13200657" w14:textId="77777777" w:rsidR="00912D6C" w:rsidRPr="00437CD8" w:rsidRDefault="00912D6C" w:rsidP="00912D6C">
      <w:pPr>
        <w:rPr>
          <w:rFonts w:ascii="Calibri" w:hAnsi="Calibri" w:cs="Calibri"/>
        </w:rPr>
      </w:pPr>
      <w:r w:rsidRPr="00437CD8">
        <w:rPr>
          <w:rFonts w:ascii="Calibri" w:hAnsi="Calibri" w:cs="Calibri"/>
        </w:rPr>
        <w:t xml:space="preserve">House of Representatives </w:t>
      </w:r>
    </w:p>
    <w:p w14:paraId="4E9FF02D" w14:textId="77777777" w:rsidR="00912D6C" w:rsidRPr="00437CD8" w:rsidRDefault="00912D6C" w:rsidP="00912D6C">
      <w:pPr>
        <w:rPr>
          <w:rFonts w:ascii="Calibri" w:hAnsi="Calibri" w:cs="Calibri"/>
        </w:rPr>
      </w:pPr>
      <w:r w:rsidRPr="00437CD8">
        <w:rPr>
          <w:rFonts w:ascii="Calibri" w:hAnsi="Calibri" w:cs="Calibri"/>
        </w:rPr>
        <w:t xml:space="preserve">Parliament House </w:t>
      </w:r>
    </w:p>
    <w:p w14:paraId="68CDCD81" w14:textId="77777777" w:rsidR="00912D6C" w:rsidRPr="00437CD8" w:rsidRDefault="00912D6C" w:rsidP="00912D6C">
      <w:pPr>
        <w:rPr>
          <w:rFonts w:ascii="Calibri" w:hAnsi="Calibri" w:cs="Calibri"/>
        </w:rPr>
      </w:pPr>
      <w:r w:rsidRPr="00437CD8">
        <w:rPr>
          <w:rFonts w:ascii="Calibri" w:hAnsi="Calibri" w:cs="Calibri"/>
        </w:rPr>
        <w:t>Canberra ACT 2600</w:t>
      </w:r>
    </w:p>
    <w:p w14:paraId="3A51C1EE" w14:textId="77777777" w:rsidR="00912D6C" w:rsidRPr="00437CD8" w:rsidRDefault="00912D6C" w:rsidP="00912D6C">
      <w:pPr>
        <w:rPr>
          <w:rFonts w:ascii="Calibri" w:hAnsi="Calibri" w:cs="Calibri"/>
        </w:rPr>
      </w:pPr>
    </w:p>
    <w:p w14:paraId="6D8988CC" w14:textId="77777777" w:rsidR="00912D6C" w:rsidRPr="00437CD8" w:rsidRDefault="00912D6C" w:rsidP="00912D6C">
      <w:pPr>
        <w:rPr>
          <w:rFonts w:ascii="Calibri" w:hAnsi="Calibri" w:cs="Calibri"/>
        </w:rPr>
      </w:pPr>
      <w:r w:rsidRPr="00437CD8">
        <w:rPr>
          <w:rFonts w:ascii="Calibri" w:hAnsi="Calibri" w:cs="Calibri"/>
        </w:rPr>
        <w:t>Dear Minister</w:t>
      </w:r>
    </w:p>
    <w:p w14:paraId="5051E2EF" w14:textId="77777777" w:rsidR="00912D6C" w:rsidRPr="00437CD8" w:rsidRDefault="00912D6C" w:rsidP="00912D6C">
      <w:pPr>
        <w:rPr>
          <w:rFonts w:ascii="Calibri" w:hAnsi="Calibri" w:cs="Calibri"/>
        </w:rPr>
      </w:pPr>
    </w:p>
    <w:p w14:paraId="707BC928" w14:textId="36B13A81" w:rsidR="00912D6C" w:rsidRDefault="00912D6C" w:rsidP="00912D6C">
      <w:pPr>
        <w:rPr>
          <w:rFonts w:ascii="Calibri" w:hAnsi="Calibri" w:cs="Calibri"/>
        </w:rPr>
      </w:pPr>
      <w:r w:rsidRPr="00437CD8">
        <w:rPr>
          <w:rFonts w:ascii="Calibri" w:hAnsi="Calibri" w:cs="Calibri"/>
        </w:rPr>
        <w:t xml:space="preserve">Thank you for your letter of 6 March 2025 requesting the advice of the Pharmaceutical Benefits Advisory Committee (PBAC) on equitable access to </w:t>
      </w:r>
      <w:r>
        <w:rPr>
          <w:rFonts w:ascii="Calibri" w:hAnsi="Calibri" w:cs="Calibri"/>
        </w:rPr>
        <w:t xml:space="preserve">glucagon-like peptide-1 receptor agonist (GLP-1) </w:t>
      </w:r>
      <w:r w:rsidRPr="00437CD8">
        <w:rPr>
          <w:rFonts w:ascii="Calibri" w:hAnsi="Calibri" w:cs="Calibri"/>
        </w:rPr>
        <w:t xml:space="preserve">obesity treatments </w:t>
      </w:r>
      <w:r>
        <w:rPr>
          <w:rFonts w:ascii="Calibri" w:hAnsi="Calibri" w:cs="Calibri"/>
        </w:rPr>
        <w:t>in Australia</w:t>
      </w:r>
      <w:r w:rsidRPr="00437CD8">
        <w:rPr>
          <w:rFonts w:ascii="Calibri" w:hAnsi="Calibri" w:cs="Calibri"/>
        </w:rPr>
        <w:t>.</w:t>
      </w:r>
    </w:p>
    <w:p w14:paraId="57E0F7AB" w14:textId="77777777" w:rsidR="00912D6C" w:rsidRDefault="00912D6C" w:rsidP="00912D6C">
      <w:pPr>
        <w:rPr>
          <w:rFonts w:ascii="Calibri" w:hAnsi="Calibri" w:cs="Calibri"/>
        </w:rPr>
      </w:pPr>
    </w:p>
    <w:p w14:paraId="6C8A49F0" w14:textId="1592331C" w:rsidR="00912D6C" w:rsidRDefault="00912D6C" w:rsidP="00912D6C">
      <w:pPr>
        <w:rPr>
          <w:rFonts w:ascii="Calibri" w:hAnsi="Calibri" w:cs="Calibri"/>
        </w:rPr>
      </w:pPr>
      <w:r>
        <w:rPr>
          <w:rFonts w:ascii="Calibri" w:hAnsi="Calibri" w:cs="Calibri"/>
        </w:rPr>
        <w:t>The PBAC recognises the significant burden of obesity on individuals and the community but also the potential substantial cost to the healthcare system of subsidising pharmacotherapies. Pharmacotherapies present a promising intervention within a broader approach to the prevention and management of obesity in Australia.</w:t>
      </w:r>
    </w:p>
    <w:p w14:paraId="085601C2" w14:textId="77777777" w:rsidR="00912D6C" w:rsidRDefault="00912D6C" w:rsidP="00912D6C">
      <w:pPr>
        <w:rPr>
          <w:rFonts w:ascii="Calibri" w:hAnsi="Calibri" w:cs="Calibri"/>
        </w:rPr>
      </w:pPr>
    </w:p>
    <w:p w14:paraId="72C65708" w14:textId="759792B1" w:rsidR="00464073" w:rsidRDefault="00912D6C" w:rsidP="00912D6C">
      <w:pPr>
        <w:rPr>
          <w:rFonts w:ascii="Calibri" w:hAnsi="Calibri" w:cs="Calibri"/>
        </w:rPr>
      </w:pPr>
      <w:r>
        <w:rPr>
          <w:rFonts w:ascii="Calibri" w:hAnsi="Calibri" w:cs="Calibri"/>
        </w:rPr>
        <w:t>On 28 August 2025, I wrote to provide you with an update on PBAC’s approach and progress to providing this advice</w:t>
      </w:r>
      <w:r w:rsidR="00691DDD">
        <w:rPr>
          <w:rFonts w:ascii="Calibri" w:hAnsi="Calibri" w:cs="Calibri"/>
        </w:rPr>
        <w:t xml:space="preserve">. </w:t>
      </w:r>
      <w:r w:rsidR="00464073">
        <w:rPr>
          <w:rFonts w:ascii="Calibri" w:hAnsi="Calibri" w:cs="Calibri"/>
        </w:rPr>
        <w:t xml:space="preserve">I noted that the PBAC had requested that the Department prepare research on: </w:t>
      </w:r>
    </w:p>
    <w:p w14:paraId="149049BC" w14:textId="77777777" w:rsidR="00464073" w:rsidRPr="00437CD8" w:rsidRDefault="00464073" w:rsidP="00464073">
      <w:pPr>
        <w:pStyle w:val="ListParagraph"/>
        <w:numPr>
          <w:ilvl w:val="0"/>
          <w:numId w:val="1"/>
        </w:numPr>
        <w:spacing w:before="120"/>
        <w:ind w:left="714" w:hanging="357"/>
        <w:contextualSpacing w:val="0"/>
        <w:rPr>
          <w:rFonts w:ascii="Calibri" w:hAnsi="Calibri" w:cs="Calibri"/>
        </w:rPr>
      </w:pPr>
      <w:r w:rsidRPr="00437CD8">
        <w:rPr>
          <w:rFonts w:ascii="Calibri" w:hAnsi="Calibri" w:cs="Calibri"/>
        </w:rPr>
        <w:t>Epidemiological modelling of population cohorts that may benefit most from subsidy</w:t>
      </w:r>
      <w:r>
        <w:rPr>
          <w:rFonts w:ascii="Calibri" w:hAnsi="Calibri" w:cs="Calibri"/>
        </w:rPr>
        <w:t xml:space="preserve"> of obesity treatments through the Pharmaceutical Benefits Scheme (PBS)</w:t>
      </w:r>
      <w:r w:rsidRPr="00437CD8">
        <w:rPr>
          <w:rFonts w:ascii="Calibri" w:hAnsi="Calibri" w:cs="Calibri"/>
        </w:rPr>
        <w:t>.</w:t>
      </w:r>
    </w:p>
    <w:p w14:paraId="11A08699" w14:textId="5598A600" w:rsidR="00464073" w:rsidRDefault="00464073" w:rsidP="00464073">
      <w:pPr>
        <w:pStyle w:val="ListParagraph"/>
        <w:numPr>
          <w:ilvl w:val="0"/>
          <w:numId w:val="1"/>
        </w:numPr>
        <w:spacing w:before="120"/>
        <w:ind w:left="714" w:hanging="357"/>
        <w:contextualSpacing w:val="0"/>
        <w:rPr>
          <w:rFonts w:ascii="Calibri" w:hAnsi="Calibri" w:cs="Calibri"/>
        </w:rPr>
      </w:pPr>
      <w:r w:rsidRPr="00437CD8">
        <w:rPr>
          <w:rFonts w:ascii="Calibri" w:hAnsi="Calibri" w:cs="Calibri"/>
        </w:rPr>
        <w:t>An analysis of international subsidy arrangements</w:t>
      </w:r>
      <w:r>
        <w:rPr>
          <w:rFonts w:ascii="Calibri" w:hAnsi="Calibri" w:cs="Calibri"/>
        </w:rPr>
        <w:t>, with a focus on the UK and Canada.</w:t>
      </w:r>
    </w:p>
    <w:p w14:paraId="7E696A8A" w14:textId="56584877" w:rsidR="00464073" w:rsidRPr="00437CD8" w:rsidRDefault="00464073" w:rsidP="00464073">
      <w:pPr>
        <w:pStyle w:val="ListParagraph"/>
        <w:numPr>
          <w:ilvl w:val="0"/>
          <w:numId w:val="1"/>
        </w:numPr>
        <w:spacing w:before="120"/>
        <w:ind w:left="714" w:hanging="357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H</w:t>
      </w:r>
      <w:r w:rsidRPr="00437CD8">
        <w:rPr>
          <w:rFonts w:ascii="Calibri" w:hAnsi="Calibri" w:cs="Calibri"/>
        </w:rPr>
        <w:t xml:space="preserve">orizon scanning for obesity treatments in development, including </w:t>
      </w:r>
      <w:r>
        <w:rPr>
          <w:rFonts w:ascii="Calibri" w:hAnsi="Calibri" w:cs="Calibri"/>
        </w:rPr>
        <w:t>biosimilars</w:t>
      </w:r>
      <w:r w:rsidRPr="00437CD8">
        <w:rPr>
          <w:rFonts w:ascii="Calibri" w:hAnsi="Calibri" w:cs="Calibri"/>
        </w:rPr>
        <w:t>.</w:t>
      </w:r>
    </w:p>
    <w:p w14:paraId="1EE2B3FE" w14:textId="77777777" w:rsidR="00464073" w:rsidRPr="00437CD8" w:rsidRDefault="00464073" w:rsidP="00464073">
      <w:pPr>
        <w:pStyle w:val="ListParagraph"/>
        <w:numPr>
          <w:ilvl w:val="0"/>
          <w:numId w:val="1"/>
        </w:numPr>
        <w:spacing w:before="120"/>
        <w:ind w:left="714" w:hanging="357"/>
        <w:contextualSpacing w:val="0"/>
        <w:rPr>
          <w:rFonts w:ascii="Calibri" w:hAnsi="Calibri" w:cs="Calibri"/>
        </w:rPr>
      </w:pPr>
      <w:r w:rsidRPr="00437CD8">
        <w:rPr>
          <w:rFonts w:ascii="Calibri" w:hAnsi="Calibri" w:cs="Calibri"/>
        </w:rPr>
        <w:t xml:space="preserve">An analysis of </w:t>
      </w:r>
      <w:r>
        <w:rPr>
          <w:rFonts w:ascii="Calibri" w:hAnsi="Calibri" w:cs="Calibri"/>
        </w:rPr>
        <w:t xml:space="preserve">the </w:t>
      </w:r>
      <w:r w:rsidRPr="00437CD8">
        <w:rPr>
          <w:rFonts w:ascii="Calibri" w:hAnsi="Calibri" w:cs="Calibri"/>
        </w:rPr>
        <w:t xml:space="preserve">private market supply of obesity treatments </w:t>
      </w:r>
      <w:r>
        <w:rPr>
          <w:rFonts w:ascii="Calibri" w:hAnsi="Calibri" w:cs="Calibri"/>
        </w:rPr>
        <w:t xml:space="preserve">available </w:t>
      </w:r>
      <w:r w:rsidRPr="00437CD8">
        <w:rPr>
          <w:rFonts w:ascii="Calibri" w:hAnsi="Calibri" w:cs="Calibri"/>
        </w:rPr>
        <w:t>in Australia.</w:t>
      </w:r>
    </w:p>
    <w:p w14:paraId="123EF6D7" w14:textId="77777777" w:rsidR="00464073" w:rsidRDefault="00464073" w:rsidP="00912D6C">
      <w:pPr>
        <w:rPr>
          <w:rFonts w:ascii="Calibri" w:hAnsi="Calibri" w:cs="Calibri"/>
        </w:rPr>
      </w:pPr>
    </w:p>
    <w:p w14:paraId="4010427B" w14:textId="445665E0" w:rsidR="003820E0" w:rsidRDefault="00464073" w:rsidP="00912D6C">
      <w:pPr>
        <w:rPr>
          <w:rFonts w:ascii="Calibri" w:hAnsi="Calibri" w:cs="Calibri"/>
        </w:rPr>
      </w:pPr>
      <w:r>
        <w:rPr>
          <w:rFonts w:ascii="Calibri" w:hAnsi="Calibri" w:cs="Calibri"/>
        </w:rPr>
        <w:t>At the November 2025 meeting, the PBAC considered the research prepared by the Department</w:t>
      </w:r>
      <w:r w:rsidR="00A076EE">
        <w:rPr>
          <w:rFonts w:ascii="Calibri" w:hAnsi="Calibri" w:cs="Calibri"/>
        </w:rPr>
        <w:t xml:space="preserve">. The PBAC welcomed the </w:t>
      </w:r>
      <w:r w:rsidR="005709E8">
        <w:rPr>
          <w:rFonts w:ascii="Calibri" w:hAnsi="Calibri" w:cs="Calibri"/>
        </w:rPr>
        <w:t xml:space="preserve">substantial volume of inputs </w:t>
      </w:r>
      <w:r w:rsidR="003820E0">
        <w:rPr>
          <w:rFonts w:ascii="Calibri" w:hAnsi="Calibri" w:cs="Calibri"/>
        </w:rPr>
        <w:t>received through public and targeted consultation</w:t>
      </w:r>
      <w:r>
        <w:rPr>
          <w:rFonts w:ascii="Calibri" w:hAnsi="Calibri" w:cs="Calibri"/>
        </w:rPr>
        <w:t xml:space="preserve"> </w:t>
      </w:r>
      <w:r w:rsidR="003820E0">
        <w:rPr>
          <w:rFonts w:ascii="Calibri" w:hAnsi="Calibri" w:cs="Calibri"/>
        </w:rPr>
        <w:t xml:space="preserve">processes with consumers, health professionals, </w:t>
      </w:r>
      <w:r w:rsidR="00997126">
        <w:rPr>
          <w:rFonts w:ascii="Calibri" w:hAnsi="Calibri" w:cs="Calibri"/>
        </w:rPr>
        <w:t xml:space="preserve">industry </w:t>
      </w:r>
      <w:r w:rsidR="003820E0">
        <w:rPr>
          <w:rFonts w:ascii="Calibri" w:hAnsi="Calibri" w:cs="Calibri"/>
        </w:rPr>
        <w:t>and key stakeholder groups</w:t>
      </w:r>
      <w:r w:rsidR="00997126">
        <w:rPr>
          <w:rFonts w:ascii="Calibri" w:hAnsi="Calibri" w:cs="Calibri"/>
        </w:rPr>
        <w:t>. The subsequent advice</w:t>
      </w:r>
      <w:r>
        <w:rPr>
          <w:rFonts w:ascii="Calibri" w:hAnsi="Calibri" w:cs="Calibri"/>
        </w:rPr>
        <w:t xml:space="preserve"> </w:t>
      </w:r>
      <w:r w:rsidR="00691DDD">
        <w:rPr>
          <w:rFonts w:ascii="Calibri" w:hAnsi="Calibri" w:cs="Calibri"/>
        </w:rPr>
        <w:t xml:space="preserve">formulated </w:t>
      </w:r>
      <w:r w:rsidR="00997126">
        <w:rPr>
          <w:rFonts w:ascii="Calibri" w:hAnsi="Calibri" w:cs="Calibri"/>
        </w:rPr>
        <w:t xml:space="preserve">by PBAC </w:t>
      </w:r>
      <w:r w:rsidR="00691DDD">
        <w:rPr>
          <w:rFonts w:ascii="Calibri" w:hAnsi="Calibri" w:cs="Calibri"/>
        </w:rPr>
        <w:t>on this topic</w:t>
      </w:r>
      <w:r w:rsidR="00516AB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is summarised </w:t>
      </w:r>
      <w:r w:rsidR="00516AB1">
        <w:rPr>
          <w:rFonts w:ascii="Calibri" w:hAnsi="Calibri" w:cs="Calibri"/>
        </w:rPr>
        <w:t xml:space="preserve">below and </w:t>
      </w:r>
      <w:r>
        <w:rPr>
          <w:rFonts w:ascii="Calibri" w:hAnsi="Calibri" w:cs="Calibri"/>
        </w:rPr>
        <w:t xml:space="preserve">in </w:t>
      </w:r>
      <w:r w:rsidRPr="00464073">
        <w:rPr>
          <w:rFonts w:ascii="Calibri" w:hAnsi="Calibri" w:cs="Calibri"/>
          <w:b/>
          <w:bCs/>
        </w:rPr>
        <w:t>Attachment A</w:t>
      </w:r>
      <w:r w:rsidR="003868C8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14:paraId="5FFC2C78" w14:textId="77777777" w:rsidR="00595F58" w:rsidRDefault="00595F58" w:rsidP="00912D6C">
      <w:pPr>
        <w:rPr>
          <w:rFonts w:ascii="Calibri" w:hAnsi="Calibri" w:cs="Calibri"/>
        </w:rPr>
      </w:pPr>
    </w:p>
    <w:p w14:paraId="14A2E0E2" w14:textId="77777777" w:rsidR="00295F28" w:rsidRDefault="00595F58" w:rsidP="00295F2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Also at this meeting, the PBAC recommended the listing of the GLP-1, semaglutide (Wegovy®), on the Pharmaceutical Benefits Scheme (PBS) for people with established cardiovascular disease </w:t>
      </w:r>
      <w:r w:rsidR="004F5409">
        <w:rPr>
          <w:rFonts w:ascii="Calibri" w:hAnsi="Calibri" w:cs="Calibri"/>
        </w:rPr>
        <w:t xml:space="preserve">(eCVD) </w:t>
      </w:r>
      <w:r w:rsidR="002C57DE">
        <w:rPr>
          <w:rFonts w:ascii="Calibri" w:hAnsi="Calibri" w:cs="Calibri"/>
        </w:rPr>
        <w:t xml:space="preserve">and </w:t>
      </w:r>
      <w:r>
        <w:rPr>
          <w:rFonts w:ascii="Calibri" w:hAnsi="Calibri" w:cs="Calibri"/>
        </w:rPr>
        <w:t>obesity</w:t>
      </w:r>
      <w:r w:rsidR="00AD3779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contingent on a price reduction and risk sharing arrangement. </w:t>
      </w:r>
    </w:p>
    <w:p w14:paraId="7814C997" w14:textId="77777777" w:rsidR="00295F28" w:rsidRDefault="00295F28" w:rsidP="00295F28">
      <w:pPr>
        <w:rPr>
          <w:rFonts w:ascii="Calibri" w:hAnsi="Calibri" w:cs="Calibri"/>
        </w:rPr>
      </w:pPr>
    </w:p>
    <w:p w14:paraId="660101B4" w14:textId="77777777" w:rsidR="000D0205" w:rsidRPr="00E82DF8" w:rsidRDefault="000D0205" w:rsidP="00E82DF8">
      <w:pPr>
        <w:pStyle w:val="Heading2"/>
        <w:rPr>
          <w:color w:val="153D63" w:themeColor="text2" w:themeTint="E6"/>
        </w:rPr>
      </w:pPr>
      <w:r w:rsidRPr="00E82DF8">
        <w:rPr>
          <w:rFonts w:eastAsiaTheme="minorHAnsi"/>
          <w:color w:val="153D63" w:themeColor="text2" w:themeTint="E6"/>
        </w:rPr>
        <w:t>Summary of PBAC advice on equitable access to GLP-1 obesity pharmacotherapies</w:t>
      </w:r>
      <w:r w:rsidRPr="00E82DF8">
        <w:rPr>
          <w:color w:val="153D63" w:themeColor="text2" w:themeTint="E6"/>
        </w:rPr>
        <w:t xml:space="preserve"> </w:t>
      </w:r>
    </w:p>
    <w:p w14:paraId="1994A00E" w14:textId="77777777" w:rsidR="007218B2" w:rsidRDefault="003820E0" w:rsidP="00295F28">
      <w:pPr>
        <w:widowControl w:val="0"/>
        <w:rPr>
          <w:rFonts w:ascii="Calibri" w:hAnsi="Calibri" w:cs="Calibri"/>
        </w:rPr>
      </w:pPr>
      <w:r w:rsidRPr="003820E0">
        <w:rPr>
          <w:rFonts w:ascii="Calibri" w:hAnsi="Calibri" w:cs="Calibri"/>
        </w:rPr>
        <w:t xml:space="preserve">The PBAC considered that </w:t>
      </w:r>
      <w:r>
        <w:rPr>
          <w:rFonts w:ascii="Calibri" w:hAnsi="Calibri" w:cs="Calibri"/>
        </w:rPr>
        <w:t xml:space="preserve">to support equitable access, </w:t>
      </w:r>
      <w:r w:rsidRPr="003820E0">
        <w:rPr>
          <w:rFonts w:ascii="Calibri" w:hAnsi="Calibri" w:cs="Calibri"/>
        </w:rPr>
        <w:t>the PBS, or a single-funder model, was the most appropriate mechanism for subsidy of GLP-1 obesity treatments in Australia</w:t>
      </w:r>
      <w:r>
        <w:rPr>
          <w:rFonts w:ascii="Calibri" w:hAnsi="Calibri" w:cs="Calibri"/>
        </w:rPr>
        <w:t>.</w:t>
      </w:r>
      <w:r w:rsidR="004F5409">
        <w:rPr>
          <w:rFonts w:ascii="Calibri" w:hAnsi="Calibri" w:cs="Calibri"/>
        </w:rPr>
        <w:t xml:space="preserve"> </w:t>
      </w:r>
      <w:r w:rsidR="004F5409" w:rsidRPr="004F5409">
        <w:rPr>
          <w:rFonts w:ascii="Calibri" w:hAnsi="Calibri" w:cs="Calibri"/>
        </w:rPr>
        <w:t xml:space="preserve">The </w:t>
      </w:r>
    </w:p>
    <w:p w14:paraId="3B505079" w14:textId="1D0A75F0" w:rsidR="004F5409" w:rsidRPr="004F5409" w:rsidRDefault="004F5409" w:rsidP="00295F28">
      <w:pPr>
        <w:widowControl w:val="0"/>
        <w:rPr>
          <w:rFonts w:ascii="Calibri" w:hAnsi="Calibri" w:cs="Calibri"/>
        </w:rPr>
      </w:pPr>
      <w:r w:rsidRPr="004F5409">
        <w:rPr>
          <w:rFonts w:ascii="Calibri" w:hAnsi="Calibri" w:cs="Calibri"/>
        </w:rPr>
        <w:t xml:space="preserve">PBAC considered that the following populations should be prioritised for potential future PBS </w:t>
      </w:r>
      <w:r w:rsidRPr="004F5409">
        <w:rPr>
          <w:rFonts w:ascii="Calibri" w:hAnsi="Calibri" w:cs="Calibri"/>
        </w:rPr>
        <w:lastRenderedPageBreak/>
        <w:t>subsidy of GLP-1 obesity treatments and invited submissions from sponsors for these populations:</w:t>
      </w:r>
    </w:p>
    <w:p w14:paraId="132C0954" w14:textId="25756790" w:rsidR="004F5409" w:rsidRPr="004F5409" w:rsidRDefault="004F5409" w:rsidP="004F5409">
      <w:pPr>
        <w:pStyle w:val="ListParagraph"/>
        <w:keepNext/>
        <w:keepLines/>
        <w:numPr>
          <w:ilvl w:val="0"/>
          <w:numId w:val="5"/>
        </w:numPr>
        <w:rPr>
          <w:rFonts w:ascii="Calibri" w:hAnsi="Calibri" w:cs="Calibri"/>
        </w:rPr>
      </w:pPr>
      <w:r w:rsidRPr="004F5409">
        <w:rPr>
          <w:rFonts w:ascii="Calibri" w:hAnsi="Calibri" w:cs="Calibri"/>
        </w:rPr>
        <w:t xml:space="preserve">People with </w:t>
      </w:r>
      <w:r>
        <w:rPr>
          <w:rFonts w:ascii="Calibri" w:hAnsi="Calibri" w:cs="Calibri"/>
        </w:rPr>
        <w:t>eCVD</w:t>
      </w:r>
      <w:r w:rsidRPr="004F5409">
        <w:rPr>
          <w:rFonts w:ascii="Calibri" w:hAnsi="Calibri" w:cs="Calibri"/>
        </w:rPr>
        <w:t>.</w:t>
      </w:r>
    </w:p>
    <w:p w14:paraId="1B6E870D" w14:textId="22C83B02" w:rsidR="004F5409" w:rsidRPr="004F5409" w:rsidRDefault="004F5409" w:rsidP="004F5409">
      <w:pPr>
        <w:pStyle w:val="ListParagraph"/>
        <w:keepNext/>
        <w:keepLines/>
        <w:numPr>
          <w:ilvl w:val="0"/>
          <w:numId w:val="5"/>
        </w:numPr>
        <w:rPr>
          <w:rFonts w:ascii="Calibri" w:hAnsi="Calibri" w:cs="Calibri"/>
        </w:rPr>
      </w:pPr>
      <w:r w:rsidRPr="004F5409">
        <w:rPr>
          <w:rFonts w:ascii="Calibri" w:hAnsi="Calibri" w:cs="Calibri"/>
        </w:rPr>
        <w:t>People with syndromic obesity</w:t>
      </w:r>
      <w:r w:rsidR="00AD3779">
        <w:rPr>
          <w:rFonts w:ascii="Calibri" w:hAnsi="Calibri" w:cs="Calibri"/>
        </w:rPr>
        <w:t>, such as Prader-Willi Syndrome</w:t>
      </w:r>
      <w:r w:rsidRPr="004F5409">
        <w:rPr>
          <w:rFonts w:ascii="Calibri" w:hAnsi="Calibri" w:cs="Calibri"/>
        </w:rPr>
        <w:t>.</w:t>
      </w:r>
    </w:p>
    <w:p w14:paraId="7A3FC5A7" w14:textId="23737774" w:rsidR="004F5409" w:rsidRPr="004F5409" w:rsidRDefault="004F5409" w:rsidP="004F5409">
      <w:pPr>
        <w:pStyle w:val="ListParagraph"/>
        <w:keepNext/>
        <w:keepLines/>
        <w:numPr>
          <w:ilvl w:val="0"/>
          <w:numId w:val="5"/>
        </w:numPr>
        <w:rPr>
          <w:rFonts w:ascii="Calibri" w:hAnsi="Calibri" w:cs="Calibri"/>
        </w:rPr>
      </w:pPr>
      <w:r w:rsidRPr="004F5409">
        <w:rPr>
          <w:rFonts w:ascii="Calibri" w:hAnsi="Calibri" w:cs="Calibri"/>
        </w:rPr>
        <w:t xml:space="preserve">Aboriginal or Torres Strait Islander people with </w:t>
      </w:r>
      <w:r w:rsidR="00AD3779">
        <w:rPr>
          <w:rFonts w:ascii="Calibri" w:hAnsi="Calibri" w:cs="Calibri"/>
        </w:rPr>
        <w:t>Body-Mass Index (BMI) </w:t>
      </w:r>
      <w:r w:rsidRPr="004F5409">
        <w:rPr>
          <w:rFonts w:ascii="Calibri" w:hAnsi="Calibri" w:cs="Calibri"/>
        </w:rPr>
        <w:t>≥</w:t>
      </w:r>
      <w:r w:rsidR="00AD3779">
        <w:rPr>
          <w:rFonts w:ascii="Calibri" w:hAnsi="Calibri" w:cs="Calibri"/>
        </w:rPr>
        <w:t> </w:t>
      </w:r>
      <w:r w:rsidRPr="004F5409">
        <w:rPr>
          <w:rFonts w:ascii="Calibri" w:hAnsi="Calibri" w:cs="Calibri"/>
        </w:rPr>
        <w:t>32.5</w:t>
      </w:r>
      <w:r w:rsidR="00AD3779">
        <w:rPr>
          <w:rFonts w:ascii="Calibri" w:hAnsi="Calibri" w:cs="Calibri"/>
        </w:rPr>
        <w:t> </w:t>
      </w:r>
      <w:r w:rsidRPr="004F5409">
        <w:rPr>
          <w:rFonts w:ascii="Calibri" w:hAnsi="Calibri" w:cs="Calibri"/>
        </w:rPr>
        <w:t>kg/m</w:t>
      </w:r>
      <w:r w:rsidRPr="004F5409">
        <w:rPr>
          <w:rFonts w:ascii="Calibri" w:hAnsi="Calibri" w:cs="Calibri"/>
          <w:vertAlign w:val="superscript"/>
        </w:rPr>
        <w:t>2</w:t>
      </w:r>
      <w:r w:rsidRPr="004F5409">
        <w:rPr>
          <w:rFonts w:ascii="Calibri" w:hAnsi="Calibri" w:cs="Calibri"/>
        </w:rPr>
        <w:t xml:space="preserve">, and at least one of the following comorbidities: </w:t>
      </w:r>
      <w:r>
        <w:rPr>
          <w:rFonts w:ascii="Calibri" w:hAnsi="Calibri" w:cs="Calibri"/>
        </w:rPr>
        <w:t>e</w:t>
      </w:r>
      <w:r w:rsidRPr="004F5409">
        <w:rPr>
          <w:rFonts w:ascii="Calibri" w:hAnsi="Calibri" w:cs="Calibri"/>
        </w:rPr>
        <w:t xml:space="preserve">CVD, </w:t>
      </w:r>
      <w:r>
        <w:rPr>
          <w:rFonts w:ascii="Calibri" w:hAnsi="Calibri" w:cs="Calibri"/>
        </w:rPr>
        <w:t>obstructive sleep apnoea</w:t>
      </w:r>
      <w:r w:rsidRPr="004F5409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chronic kidney disease</w:t>
      </w:r>
      <w:r w:rsidRPr="004F5409">
        <w:rPr>
          <w:rFonts w:ascii="Calibri" w:hAnsi="Calibri" w:cs="Calibri"/>
        </w:rPr>
        <w:t xml:space="preserve">, or </w:t>
      </w:r>
      <w:r>
        <w:rPr>
          <w:rFonts w:ascii="Calibri" w:hAnsi="Calibri" w:cs="Calibri"/>
        </w:rPr>
        <w:t>type 2 diabetes</w:t>
      </w:r>
      <w:r w:rsidRPr="004F5409">
        <w:rPr>
          <w:rFonts w:ascii="Calibri" w:hAnsi="Calibri" w:cs="Calibri"/>
        </w:rPr>
        <w:t>.</w:t>
      </w:r>
    </w:p>
    <w:p w14:paraId="7B8E7FE4" w14:textId="5BCF297A" w:rsidR="004F5409" w:rsidRPr="004F5409" w:rsidRDefault="004F5409" w:rsidP="004F5409">
      <w:pPr>
        <w:pStyle w:val="ListParagraph"/>
        <w:keepNext/>
        <w:keepLines/>
        <w:numPr>
          <w:ilvl w:val="0"/>
          <w:numId w:val="5"/>
        </w:numPr>
        <w:rPr>
          <w:rFonts w:ascii="Calibri" w:hAnsi="Calibri" w:cs="Calibri"/>
        </w:rPr>
      </w:pPr>
      <w:r w:rsidRPr="004F5409">
        <w:rPr>
          <w:rFonts w:ascii="Calibri" w:hAnsi="Calibri" w:cs="Calibri"/>
        </w:rPr>
        <w:t>People with BMI ≥ 35 kg/m</w:t>
      </w:r>
      <w:r w:rsidRPr="00AD3779">
        <w:rPr>
          <w:rFonts w:ascii="Calibri" w:hAnsi="Calibri" w:cs="Calibri"/>
          <w:vertAlign w:val="superscript"/>
        </w:rPr>
        <w:t>2</w:t>
      </w:r>
      <w:r w:rsidRPr="004F5409">
        <w:rPr>
          <w:rFonts w:ascii="Calibri" w:hAnsi="Calibri" w:cs="Calibri"/>
        </w:rPr>
        <w:t xml:space="preserve"> taking obesogenic medicines, </w:t>
      </w:r>
      <w:r w:rsidR="00A66D8D">
        <w:rPr>
          <w:rFonts w:ascii="Calibri" w:hAnsi="Calibri" w:cs="Calibri"/>
        </w:rPr>
        <w:t xml:space="preserve">such as </w:t>
      </w:r>
      <w:r w:rsidRPr="004F5409">
        <w:rPr>
          <w:rFonts w:ascii="Calibri" w:hAnsi="Calibri" w:cs="Calibri"/>
        </w:rPr>
        <w:t>antipsychotics</w:t>
      </w:r>
      <w:r w:rsidR="00A66D8D">
        <w:rPr>
          <w:rFonts w:ascii="Calibri" w:hAnsi="Calibri" w:cs="Calibri"/>
        </w:rPr>
        <w:t xml:space="preserve"> and steroids</w:t>
      </w:r>
      <w:r w:rsidRPr="004F5409">
        <w:rPr>
          <w:rFonts w:ascii="Calibri" w:hAnsi="Calibri" w:cs="Calibri"/>
        </w:rPr>
        <w:t>.</w:t>
      </w:r>
    </w:p>
    <w:p w14:paraId="46253D62" w14:textId="16E9AB47" w:rsidR="004F5409" w:rsidRPr="004F5409" w:rsidRDefault="004F5409" w:rsidP="004F5409">
      <w:pPr>
        <w:pStyle w:val="ListParagraph"/>
        <w:keepNext/>
        <w:keepLines/>
        <w:numPr>
          <w:ilvl w:val="0"/>
          <w:numId w:val="5"/>
        </w:numPr>
        <w:rPr>
          <w:rFonts w:ascii="Calibri" w:hAnsi="Calibri" w:cs="Calibri"/>
        </w:rPr>
      </w:pPr>
      <w:r w:rsidRPr="004F5409">
        <w:rPr>
          <w:rFonts w:ascii="Calibri" w:hAnsi="Calibri" w:cs="Calibri"/>
        </w:rPr>
        <w:t>People who cannot have safe surgery, or cannot be waitlisted for surgery, due to weight, including renal transplant, hip and knee replacement, or bariatric surgery.</w:t>
      </w:r>
    </w:p>
    <w:p w14:paraId="1F0AE71B" w14:textId="77777777" w:rsidR="004F5409" w:rsidRDefault="004F5409" w:rsidP="004F5409">
      <w:pPr>
        <w:keepNext/>
        <w:keepLines/>
        <w:rPr>
          <w:rFonts w:ascii="Calibri" w:hAnsi="Calibri" w:cs="Calibri"/>
        </w:rPr>
      </w:pPr>
    </w:p>
    <w:p w14:paraId="3D439025" w14:textId="77777777" w:rsidR="00591503" w:rsidRPr="00591503" w:rsidRDefault="00591503" w:rsidP="00591503">
      <w:pPr>
        <w:rPr>
          <w:rFonts w:ascii="Calibri" w:hAnsi="Calibri" w:cs="Calibri"/>
        </w:rPr>
      </w:pPr>
      <w:r w:rsidRPr="00591503">
        <w:rPr>
          <w:rFonts w:ascii="Calibri" w:hAnsi="Calibri" w:cs="Calibri"/>
        </w:rPr>
        <w:t>The PBAC noted that any PBS listing would be subject to the legislative requirements to</w:t>
      </w:r>
    </w:p>
    <w:p w14:paraId="63FDBD4C" w14:textId="77777777" w:rsidR="00591503" w:rsidRPr="00591503" w:rsidRDefault="00591503" w:rsidP="00591503">
      <w:pPr>
        <w:rPr>
          <w:rFonts w:ascii="Calibri" w:hAnsi="Calibri" w:cs="Calibri"/>
        </w:rPr>
      </w:pPr>
      <w:r w:rsidRPr="00591503">
        <w:rPr>
          <w:rFonts w:ascii="Calibri" w:hAnsi="Calibri" w:cs="Calibri"/>
        </w:rPr>
        <w:t>demonstrate clinical and cost-effectiveness. The PBAC advised that, if listed, a slow and</w:t>
      </w:r>
    </w:p>
    <w:p w14:paraId="1853EEFE" w14:textId="77777777" w:rsidR="00591503" w:rsidRPr="00591503" w:rsidRDefault="00591503" w:rsidP="00591503">
      <w:pPr>
        <w:rPr>
          <w:rFonts w:ascii="Calibri" w:hAnsi="Calibri" w:cs="Calibri"/>
        </w:rPr>
      </w:pPr>
      <w:r w:rsidRPr="00591503">
        <w:rPr>
          <w:rFonts w:ascii="Calibri" w:hAnsi="Calibri" w:cs="Calibri"/>
        </w:rPr>
        <w:t>managed roll-out of access to PBS-subsidised GLP-1 treatments in the Australian health care</w:t>
      </w:r>
    </w:p>
    <w:p w14:paraId="67044CB4" w14:textId="77777777" w:rsidR="00591503" w:rsidRPr="00591503" w:rsidRDefault="00591503" w:rsidP="00591503">
      <w:pPr>
        <w:rPr>
          <w:rFonts w:ascii="Calibri" w:hAnsi="Calibri" w:cs="Calibri"/>
        </w:rPr>
      </w:pPr>
      <w:r w:rsidRPr="00591503">
        <w:rPr>
          <w:rFonts w:ascii="Calibri" w:hAnsi="Calibri" w:cs="Calibri"/>
        </w:rPr>
        <w:t>system would help to limit use outside of the subsidised populations and uncertainties around</w:t>
      </w:r>
    </w:p>
    <w:p w14:paraId="2AFF8BB4" w14:textId="77777777" w:rsidR="00591503" w:rsidRPr="00591503" w:rsidRDefault="00591503" w:rsidP="00591503">
      <w:pPr>
        <w:rPr>
          <w:rFonts w:ascii="Calibri" w:hAnsi="Calibri" w:cs="Calibri"/>
        </w:rPr>
      </w:pPr>
      <w:r w:rsidRPr="00591503">
        <w:rPr>
          <w:rFonts w:ascii="Calibri" w:hAnsi="Calibri" w:cs="Calibri"/>
        </w:rPr>
        <w:t>long-term use, outcomes, and emerging adverse events. The PBAC considered that wraparound</w:t>
      </w:r>
    </w:p>
    <w:p w14:paraId="289F4AF7" w14:textId="77777777" w:rsidR="00591503" w:rsidRPr="00591503" w:rsidRDefault="00591503" w:rsidP="00591503">
      <w:pPr>
        <w:rPr>
          <w:rFonts w:ascii="Calibri" w:hAnsi="Calibri" w:cs="Calibri"/>
        </w:rPr>
      </w:pPr>
      <w:r w:rsidRPr="00591503">
        <w:rPr>
          <w:rFonts w:ascii="Calibri" w:hAnsi="Calibri" w:cs="Calibri"/>
        </w:rPr>
        <w:t>support services, such as diet and exercise support, were an important component of obesity</w:t>
      </w:r>
    </w:p>
    <w:p w14:paraId="020B9FA7" w14:textId="77777777" w:rsidR="00591503" w:rsidRPr="00591503" w:rsidRDefault="00591503" w:rsidP="00591503">
      <w:pPr>
        <w:rPr>
          <w:rFonts w:ascii="Calibri" w:hAnsi="Calibri" w:cs="Calibri"/>
        </w:rPr>
      </w:pPr>
      <w:r w:rsidRPr="00591503">
        <w:rPr>
          <w:rFonts w:ascii="Calibri" w:hAnsi="Calibri" w:cs="Calibri"/>
        </w:rPr>
        <w:t>care. However, the Committee considered that PBS-subsidised access to GLP-1s should not be</w:t>
      </w:r>
    </w:p>
    <w:p w14:paraId="12F88CCF" w14:textId="77777777" w:rsidR="00591503" w:rsidRPr="00591503" w:rsidRDefault="00591503" w:rsidP="00591503">
      <w:pPr>
        <w:rPr>
          <w:rFonts w:ascii="Calibri" w:hAnsi="Calibri" w:cs="Calibri"/>
        </w:rPr>
      </w:pPr>
      <w:r w:rsidRPr="00591503">
        <w:rPr>
          <w:rFonts w:ascii="Calibri" w:hAnsi="Calibri" w:cs="Calibri"/>
        </w:rPr>
        <w:t>contingent upon use of wraparound services as this would create a barrier to accessing therapy,</w:t>
      </w:r>
    </w:p>
    <w:p w14:paraId="643E8B16" w14:textId="77777777" w:rsidR="00591503" w:rsidRDefault="00591503" w:rsidP="00591503">
      <w:pPr>
        <w:rPr>
          <w:rFonts w:ascii="Calibri" w:hAnsi="Calibri" w:cs="Calibri"/>
        </w:rPr>
      </w:pPr>
      <w:r w:rsidRPr="00591503">
        <w:rPr>
          <w:rFonts w:ascii="Calibri" w:hAnsi="Calibri" w:cs="Calibri"/>
        </w:rPr>
        <w:t>leading to further inequity.</w:t>
      </w:r>
    </w:p>
    <w:p w14:paraId="3DB80F3C" w14:textId="77777777" w:rsidR="00303CB7" w:rsidRPr="00591503" w:rsidRDefault="00303CB7" w:rsidP="00591503">
      <w:pPr>
        <w:rPr>
          <w:rFonts w:ascii="Calibri" w:hAnsi="Calibri" w:cs="Calibri"/>
        </w:rPr>
      </w:pPr>
    </w:p>
    <w:p w14:paraId="4E6AAA13" w14:textId="77777777" w:rsidR="00591503" w:rsidRPr="00591503" w:rsidRDefault="00591503" w:rsidP="00591503">
      <w:pPr>
        <w:rPr>
          <w:rFonts w:ascii="Calibri" w:hAnsi="Calibri" w:cs="Calibri"/>
        </w:rPr>
      </w:pPr>
      <w:r w:rsidRPr="00591503">
        <w:rPr>
          <w:rFonts w:ascii="Calibri" w:hAnsi="Calibri" w:cs="Calibri"/>
        </w:rPr>
        <w:t>The PBAC considered that there may be merit in broader subsidy of GLP-1 medicines for early</w:t>
      </w:r>
    </w:p>
    <w:p w14:paraId="6D0B87FF" w14:textId="77777777" w:rsidR="00591503" w:rsidRPr="00591503" w:rsidRDefault="00591503" w:rsidP="00591503">
      <w:pPr>
        <w:rPr>
          <w:rFonts w:ascii="Calibri" w:hAnsi="Calibri" w:cs="Calibri"/>
        </w:rPr>
      </w:pPr>
      <w:r w:rsidRPr="00591503">
        <w:rPr>
          <w:rFonts w:ascii="Calibri" w:hAnsi="Calibri" w:cs="Calibri"/>
        </w:rPr>
        <w:t>intervention and prevention of obesity-related comorbidities but concluded that it was unlikely</w:t>
      </w:r>
    </w:p>
    <w:p w14:paraId="6E6D2D75" w14:textId="77777777" w:rsidR="00591503" w:rsidRPr="00591503" w:rsidRDefault="00591503" w:rsidP="00591503">
      <w:pPr>
        <w:rPr>
          <w:rFonts w:ascii="Calibri" w:hAnsi="Calibri" w:cs="Calibri"/>
        </w:rPr>
      </w:pPr>
      <w:r w:rsidRPr="00591503">
        <w:rPr>
          <w:rFonts w:ascii="Calibri" w:hAnsi="Calibri" w:cs="Calibri"/>
        </w:rPr>
        <w:t>that sponsors would agree a cost-effective price for providing obesity medicines through the</w:t>
      </w:r>
    </w:p>
    <w:p w14:paraId="6D75CA07" w14:textId="77777777" w:rsidR="00591503" w:rsidRDefault="00591503" w:rsidP="00591503">
      <w:pPr>
        <w:rPr>
          <w:rFonts w:ascii="Calibri" w:hAnsi="Calibri" w:cs="Calibri"/>
        </w:rPr>
      </w:pPr>
      <w:r w:rsidRPr="00591503">
        <w:rPr>
          <w:rFonts w:ascii="Calibri" w:hAnsi="Calibri" w:cs="Calibri"/>
        </w:rPr>
        <w:t>PBS for these broader purposes at this time.</w:t>
      </w:r>
    </w:p>
    <w:p w14:paraId="37FCF340" w14:textId="77777777" w:rsidR="00303CB7" w:rsidRPr="00591503" w:rsidRDefault="00303CB7" w:rsidP="00591503">
      <w:pPr>
        <w:rPr>
          <w:rFonts w:ascii="Calibri" w:hAnsi="Calibri" w:cs="Calibri"/>
        </w:rPr>
      </w:pPr>
    </w:p>
    <w:p w14:paraId="5AD4575E" w14:textId="7D3C275E" w:rsidR="00591503" w:rsidRPr="00591503" w:rsidRDefault="004C5F2B" w:rsidP="00E82DF8">
      <w:pPr>
        <w:pStyle w:val="Heading2"/>
        <w:rPr>
          <w:color w:val="0070C0"/>
        </w:rPr>
      </w:pPr>
      <w:r w:rsidRPr="00E82DF8">
        <w:rPr>
          <w:color w:val="153D63" w:themeColor="text2" w:themeTint="E6"/>
        </w:rPr>
        <w:t>Next steps</w:t>
      </w:r>
    </w:p>
    <w:p w14:paraId="1F288F7C" w14:textId="77777777" w:rsidR="00591503" w:rsidRPr="00591503" w:rsidRDefault="00591503" w:rsidP="00591503">
      <w:pPr>
        <w:rPr>
          <w:rFonts w:ascii="Calibri" w:hAnsi="Calibri" w:cs="Calibri"/>
        </w:rPr>
      </w:pPr>
      <w:r w:rsidRPr="00591503">
        <w:rPr>
          <w:rFonts w:ascii="Calibri" w:hAnsi="Calibri" w:cs="Calibri"/>
        </w:rPr>
        <w:t>Following standard PBAC processes and timelines, a public outcome statement for this item will</w:t>
      </w:r>
    </w:p>
    <w:p w14:paraId="721555D2" w14:textId="77777777" w:rsidR="00591503" w:rsidRPr="00591503" w:rsidRDefault="00591503" w:rsidP="00591503">
      <w:pPr>
        <w:rPr>
          <w:rFonts w:ascii="Calibri" w:hAnsi="Calibri" w:cs="Calibri"/>
        </w:rPr>
      </w:pPr>
      <w:r w:rsidRPr="00591503">
        <w:rPr>
          <w:rFonts w:ascii="Calibri" w:hAnsi="Calibri" w:cs="Calibri"/>
        </w:rPr>
        <w:t>be published on the PBS website on 19 December 2025 (</w:t>
      </w:r>
      <w:r w:rsidRPr="00591503">
        <w:rPr>
          <w:rFonts w:ascii="Calibri" w:hAnsi="Calibri" w:cs="Calibri"/>
          <w:b/>
          <w:bCs/>
        </w:rPr>
        <w:t>Attachment B</w:t>
      </w:r>
      <w:r w:rsidRPr="00591503">
        <w:rPr>
          <w:rFonts w:ascii="Calibri" w:hAnsi="Calibri" w:cs="Calibri"/>
        </w:rPr>
        <w:t>). With your agreement,</w:t>
      </w:r>
    </w:p>
    <w:p w14:paraId="378A47F6" w14:textId="77777777" w:rsidR="00591503" w:rsidRPr="00591503" w:rsidRDefault="00591503" w:rsidP="00591503">
      <w:pPr>
        <w:rPr>
          <w:rFonts w:ascii="Calibri" w:hAnsi="Calibri" w:cs="Calibri"/>
        </w:rPr>
      </w:pPr>
      <w:r w:rsidRPr="00591503">
        <w:rPr>
          <w:rFonts w:ascii="Calibri" w:hAnsi="Calibri" w:cs="Calibri"/>
        </w:rPr>
        <w:t>this letter, a redacted copy of the PBAC Minutes for this item, and a summary of consumer</w:t>
      </w:r>
    </w:p>
    <w:p w14:paraId="4EF766C8" w14:textId="77777777" w:rsidR="00591503" w:rsidRPr="00591503" w:rsidRDefault="00591503" w:rsidP="00591503">
      <w:pPr>
        <w:rPr>
          <w:rFonts w:ascii="Calibri" w:hAnsi="Calibri" w:cs="Calibri"/>
        </w:rPr>
      </w:pPr>
      <w:r w:rsidRPr="00591503">
        <w:rPr>
          <w:rFonts w:ascii="Calibri" w:hAnsi="Calibri" w:cs="Calibri"/>
        </w:rPr>
        <w:t>inputs received, will be published on the PBS website after the outcomes are published. As</w:t>
      </w:r>
    </w:p>
    <w:p w14:paraId="042EEC43" w14:textId="77777777" w:rsidR="00591503" w:rsidRPr="00591503" w:rsidRDefault="00591503" w:rsidP="00591503">
      <w:pPr>
        <w:rPr>
          <w:rFonts w:ascii="Calibri" w:hAnsi="Calibri" w:cs="Calibri"/>
        </w:rPr>
      </w:pPr>
      <w:r w:rsidRPr="00591503">
        <w:rPr>
          <w:rFonts w:ascii="Calibri" w:hAnsi="Calibri" w:cs="Calibri"/>
        </w:rPr>
        <w:t>submissions are received by the PBAC for GLP-1 obesity treatments, the Committee may</w:t>
      </w:r>
    </w:p>
    <w:p w14:paraId="5550846C" w14:textId="169FC381" w:rsidR="00591503" w:rsidRPr="00591503" w:rsidRDefault="00591503" w:rsidP="00591503">
      <w:pPr>
        <w:rPr>
          <w:rFonts w:ascii="Calibri" w:hAnsi="Calibri" w:cs="Calibri"/>
        </w:rPr>
      </w:pPr>
      <w:r w:rsidRPr="00591503">
        <w:rPr>
          <w:rFonts w:ascii="Calibri" w:hAnsi="Calibri" w:cs="Calibri"/>
        </w:rPr>
        <w:t>request the Department to undertake further work to support its consideration of the cost</w:t>
      </w:r>
      <w:r w:rsidR="00751583">
        <w:rPr>
          <w:rFonts w:ascii="Calibri" w:hAnsi="Calibri" w:cs="Calibri"/>
        </w:rPr>
        <w:t>-</w:t>
      </w:r>
      <w:r w:rsidRPr="00591503">
        <w:rPr>
          <w:rFonts w:ascii="Calibri" w:hAnsi="Calibri" w:cs="Calibri"/>
        </w:rPr>
        <w:t>effectiveness</w:t>
      </w:r>
      <w:r w:rsidR="00751583">
        <w:rPr>
          <w:rFonts w:ascii="Calibri" w:hAnsi="Calibri" w:cs="Calibri"/>
        </w:rPr>
        <w:t xml:space="preserve"> </w:t>
      </w:r>
      <w:r w:rsidRPr="00591503">
        <w:rPr>
          <w:rFonts w:ascii="Calibri" w:hAnsi="Calibri" w:cs="Calibri"/>
        </w:rPr>
        <w:t>of subsidised access for the priority populations noted above.</w:t>
      </w:r>
    </w:p>
    <w:p w14:paraId="6CCC41D3" w14:textId="77777777" w:rsidR="00751583" w:rsidRDefault="00751583" w:rsidP="00591503">
      <w:pPr>
        <w:rPr>
          <w:rFonts w:ascii="Calibri" w:hAnsi="Calibri" w:cs="Calibri"/>
        </w:rPr>
      </w:pPr>
    </w:p>
    <w:p w14:paraId="58799587" w14:textId="0A1BEFD4" w:rsidR="00464073" w:rsidRDefault="00591503" w:rsidP="00591503">
      <w:pPr>
        <w:rPr>
          <w:rFonts w:ascii="Calibri" w:hAnsi="Calibri" w:cs="Calibri"/>
        </w:rPr>
      </w:pPr>
      <w:r w:rsidRPr="00591503">
        <w:rPr>
          <w:rFonts w:ascii="Calibri" w:hAnsi="Calibri" w:cs="Calibri"/>
        </w:rPr>
        <w:t>The PBAC appreciates the opportunity to provide advice on this important matter.</w:t>
      </w:r>
    </w:p>
    <w:p w14:paraId="4D4C52DB" w14:textId="77777777" w:rsidR="00912D6C" w:rsidRPr="00437CD8" w:rsidRDefault="00912D6C" w:rsidP="00912D6C">
      <w:pPr>
        <w:pStyle w:val="NoSpacing"/>
        <w:rPr>
          <w:rFonts w:ascii="Calibri" w:hAnsi="Calibri" w:cs="Calibri"/>
        </w:rPr>
      </w:pPr>
    </w:p>
    <w:p w14:paraId="04137879" w14:textId="77777777" w:rsidR="00912D6C" w:rsidRPr="00437CD8" w:rsidRDefault="00912D6C" w:rsidP="00912D6C">
      <w:pPr>
        <w:pStyle w:val="NoSpacing"/>
        <w:rPr>
          <w:rFonts w:ascii="Calibri" w:hAnsi="Calibri" w:cs="Calibri"/>
        </w:rPr>
      </w:pPr>
      <w:r w:rsidRPr="00437CD8">
        <w:rPr>
          <w:rFonts w:ascii="Calibri" w:hAnsi="Calibri" w:cs="Calibri"/>
        </w:rPr>
        <w:t>Yours sincerely</w:t>
      </w:r>
    </w:p>
    <w:p w14:paraId="47FB6ED7" w14:textId="77777777" w:rsidR="00912D6C" w:rsidRPr="00437CD8" w:rsidRDefault="00912D6C" w:rsidP="00912D6C">
      <w:pPr>
        <w:pStyle w:val="NoSpacing"/>
        <w:rPr>
          <w:rFonts w:ascii="Calibri" w:hAnsi="Calibri" w:cs="Calibri"/>
        </w:rPr>
      </w:pPr>
    </w:p>
    <w:p w14:paraId="13D81762" w14:textId="77777777" w:rsidR="00912D6C" w:rsidRPr="00437CD8" w:rsidRDefault="00912D6C" w:rsidP="00912D6C">
      <w:pPr>
        <w:rPr>
          <w:rFonts w:ascii="Calibri" w:hAnsi="Calibri" w:cs="Calibri"/>
        </w:rPr>
      </w:pPr>
      <w:bookmarkStart w:id="1" w:name="Signature"/>
      <w:bookmarkEnd w:id="1"/>
      <w:r w:rsidRPr="00437CD8">
        <w:rPr>
          <w:rFonts w:ascii="Calibri" w:hAnsi="Calibri" w:cs="Calibri"/>
        </w:rPr>
        <w:t>Professor Robyn Ward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Adjunct Associate Professor Jo Watson</w:t>
      </w:r>
    </w:p>
    <w:p w14:paraId="6405C5F1" w14:textId="77777777" w:rsidR="00912D6C" w:rsidRDefault="00912D6C" w:rsidP="00912D6C">
      <w:pPr>
        <w:rPr>
          <w:rFonts w:ascii="Calibri" w:hAnsi="Calibri" w:cs="Calibri"/>
        </w:rPr>
      </w:pPr>
      <w:r w:rsidRPr="00437CD8">
        <w:rPr>
          <w:rFonts w:ascii="Calibri" w:hAnsi="Calibri" w:cs="Calibri"/>
        </w:rPr>
        <w:t>Chair</w:t>
      </w:r>
      <w:r>
        <w:rPr>
          <w:rFonts w:ascii="Calibri" w:hAnsi="Calibri" w:cs="Calibri"/>
        </w:rPr>
        <w:t>, PBAC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Deputy Chair, PBAC</w:t>
      </w:r>
      <w:r>
        <w:rPr>
          <w:rFonts w:ascii="Calibri" w:hAnsi="Calibri" w:cs="Calibri"/>
        </w:rPr>
        <w:tab/>
      </w:r>
    </w:p>
    <w:p w14:paraId="4C87A95C" w14:textId="637A362C" w:rsidR="00912D6C" w:rsidRDefault="00912D6C" w:rsidP="00912D6C">
      <w:pPr>
        <w:rPr>
          <w:rFonts w:ascii="Calibri" w:hAnsi="Calibri" w:cs="Calibri"/>
        </w:rPr>
      </w:pPr>
      <w:r w:rsidRPr="00437CD8">
        <w:rPr>
          <w:rFonts w:ascii="Calibri" w:hAnsi="Calibri" w:cs="Calibri"/>
        </w:rPr>
        <w:br/>
        <w:t xml:space="preserve"> </w:t>
      </w:r>
      <w:r w:rsidR="00814D25">
        <w:rPr>
          <w:rFonts w:ascii="Calibri" w:hAnsi="Calibri" w:cs="Calibri"/>
        </w:rPr>
        <w:t xml:space="preserve">15 </w:t>
      </w:r>
      <w:r w:rsidR="00AD3779">
        <w:rPr>
          <w:rFonts w:ascii="Calibri" w:hAnsi="Calibri" w:cs="Calibri"/>
        </w:rPr>
        <w:t>December</w:t>
      </w:r>
      <w:r>
        <w:rPr>
          <w:rFonts w:ascii="Calibri" w:hAnsi="Calibri" w:cs="Calibri"/>
        </w:rPr>
        <w:t xml:space="preserve"> </w:t>
      </w:r>
      <w:r w:rsidRPr="00437CD8">
        <w:rPr>
          <w:rFonts w:ascii="Calibri" w:hAnsi="Calibri" w:cs="Calibri"/>
        </w:rPr>
        <w:t>2025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  <w:r w:rsidR="00814D25">
        <w:rPr>
          <w:rFonts w:ascii="Calibri" w:hAnsi="Calibri" w:cs="Calibri"/>
        </w:rPr>
        <w:t xml:space="preserve">15 </w:t>
      </w:r>
      <w:r w:rsidR="00AD3779">
        <w:rPr>
          <w:rFonts w:ascii="Calibri" w:hAnsi="Calibri" w:cs="Calibri"/>
        </w:rPr>
        <w:t>December</w:t>
      </w:r>
      <w:r>
        <w:rPr>
          <w:rFonts w:ascii="Calibri" w:hAnsi="Calibri" w:cs="Calibri"/>
        </w:rPr>
        <w:t xml:space="preserve"> 2025</w:t>
      </w:r>
    </w:p>
    <w:p w14:paraId="0B78FD1A" w14:textId="77777777" w:rsidR="00912D6C" w:rsidRDefault="00912D6C" w:rsidP="00912D6C">
      <w:pPr>
        <w:rPr>
          <w:rFonts w:ascii="Calibri" w:hAnsi="Calibri" w:cs="Calibri"/>
        </w:rPr>
      </w:pPr>
    </w:p>
    <w:p w14:paraId="3B927748" w14:textId="77777777" w:rsidR="00912D6C" w:rsidRPr="00EE1673" w:rsidRDefault="00912D6C" w:rsidP="00E82DF8">
      <w:pPr>
        <w:pStyle w:val="Heading2"/>
        <w:rPr>
          <w:color w:val="153D63" w:themeColor="text2" w:themeTint="E6"/>
        </w:rPr>
      </w:pPr>
      <w:r w:rsidRPr="00EE1673">
        <w:rPr>
          <w:color w:val="153D63" w:themeColor="text2" w:themeTint="E6"/>
        </w:rPr>
        <w:t>Attachments</w:t>
      </w:r>
    </w:p>
    <w:p w14:paraId="75F59456" w14:textId="49D3A2D3" w:rsidR="00D357CA" w:rsidRDefault="00912D6C" w:rsidP="00D357CA">
      <w:pPr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>
        <w:rPr>
          <w:rFonts w:ascii="Calibri" w:hAnsi="Calibri" w:cs="Calibri"/>
        </w:rPr>
        <w:tab/>
      </w:r>
      <w:r w:rsidR="00AD3779">
        <w:rPr>
          <w:rFonts w:ascii="Calibri" w:hAnsi="Calibri" w:cs="Calibri"/>
        </w:rPr>
        <w:t>Summary of PBAC advice on equitable access to GLP-1 obesity treatments – November 2025</w:t>
      </w:r>
    </w:p>
    <w:p w14:paraId="2AA30BBA" w14:textId="1888D378" w:rsidR="00D357CA" w:rsidRPr="00D357CA" w:rsidRDefault="00751583" w:rsidP="00D357CA">
      <w:pPr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>
        <w:rPr>
          <w:rFonts w:ascii="Calibri" w:hAnsi="Calibri" w:cs="Calibri"/>
        </w:rPr>
        <w:tab/>
      </w:r>
      <w:r w:rsidR="00D357CA" w:rsidRPr="00D357CA">
        <w:rPr>
          <w:rFonts w:ascii="Calibri" w:hAnsi="Calibri" w:cs="Calibri"/>
        </w:rPr>
        <w:t>Public outcome statement - PBAC advice on equitable access to GLP-1 obesity treatments</w:t>
      </w:r>
    </w:p>
    <w:p w14:paraId="46B9A87E" w14:textId="77777777" w:rsidR="00912D6C" w:rsidRDefault="00912D6C" w:rsidP="00912D6C">
      <w:pPr>
        <w:ind w:left="1560" w:hanging="1560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322D4BE8" w14:textId="77777777" w:rsidR="00912D6C" w:rsidRDefault="00912D6C" w:rsidP="00912D6C">
      <w:pPr>
        <w:rPr>
          <w:rFonts w:ascii="Calibri" w:hAnsi="Calibri" w:cs="Calibri"/>
        </w:rPr>
        <w:sectPr w:rsidR="00912D6C" w:rsidSect="00AD377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567" w:right="1418" w:bottom="993" w:left="1135" w:header="397" w:footer="397" w:gutter="0"/>
          <w:cols w:space="708"/>
          <w:titlePg/>
          <w:docGrid w:linePitch="360"/>
        </w:sectPr>
      </w:pPr>
    </w:p>
    <w:p w14:paraId="5875D7C9" w14:textId="4DB24261" w:rsidR="00912D6C" w:rsidRPr="00400443" w:rsidRDefault="00912D6C" w:rsidP="00400443">
      <w:pPr>
        <w:pStyle w:val="Heading2"/>
        <w:rPr>
          <w:color w:val="153D63" w:themeColor="text2" w:themeTint="E6"/>
        </w:rPr>
      </w:pPr>
      <w:r w:rsidRPr="00400443">
        <w:rPr>
          <w:color w:val="153D63" w:themeColor="text2" w:themeTint="E6"/>
        </w:rPr>
        <w:lastRenderedPageBreak/>
        <w:t xml:space="preserve">Attachment </w:t>
      </w:r>
      <w:r w:rsidR="00AD3779" w:rsidRPr="00400443">
        <w:rPr>
          <w:color w:val="153D63" w:themeColor="text2" w:themeTint="E6"/>
        </w:rPr>
        <w:t>A</w:t>
      </w:r>
      <w:r w:rsidR="00400443" w:rsidRPr="00400443">
        <w:rPr>
          <w:color w:val="153D63" w:themeColor="text2" w:themeTint="E6"/>
        </w:rPr>
        <w:t xml:space="preserve">: </w:t>
      </w:r>
      <w:r w:rsidR="00AD3779" w:rsidRPr="00400443">
        <w:rPr>
          <w:color w:val="153D63" w:themeColor="text2" w:themeTint="E6"/>
        </w:rPr>
        <w:t>Summary of PBAC advice on equitable access to GLP-1 obesity treatments - November 2025</w:t>
      </w:r>
    </w:p>
    <w:p w14:paraId="65BED07B" w14:textId="77777777" w:rsidR="002F4899" w:rsidRPr="002F4899" w:rsidRDefault="002F4899" w:rsidP="00395A12">
      <w:pPr>
        <w:tabs>
          <w:tab w:val="right" w:pos="9072"/>
        </w:tabs>
        <w:spacing w:before="120" w:after="120"/>
        <w:rPr>
          <w:rFonts w:ascii="Calibri" w:hAnsi="Calibri" w:cs="Calibri"/>
          <w:u w:val="single"/>
        </w:rPr>
      </w:pPr>
      <w:r w:rsidRPr="002F4899">
        <w:rPr>
          <w:rFonts w:ascii="Calibri" w:hAnsi="Calibri" w:cs="Calibri"/>
          <w:u w:val="single"/>
        </w:rPr>
        <w:t>Inputs received through public consultation</w:t>
      </w:r>
    </w:p>
    <w:p w14:paraId="0E38CB37" w14:textId="66171AAB" w:rsidR="002F4899" w:rsidRPr="002F4899" w:rsidRDefault="002F4899" w:rsidP="00CC0B7D">
      <w:pPr>
        <w:tabs>
          <w:tab w:val="right" w:pos="9072"/>
        </w:tabs>
        <w:spacing w:after="120"/>
        <w:rPr>
          <w:rFonts w:ascii="Calibri" w:hAnsi="Calibri" w:cs="Calibri"/>
        </w:rPr>
      </w:pPr>
      <w:r w:rsidRPr="002F4899">
        <w:rPr>
          <w:rFonts w:ascii="Calibri" w:hAnsi="Calibri" w:cs="Calibri"/>
        </w:rPr>
        <w:t>The PBAC welcomed and considered 540 inputs from individuals who have used GLP-1s</w:t>
      </w:r>
      <w:r w:rsidR="00592A85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(459), other individuals (33), health care professionals (25) and organisations (23).</w:t>
      </w:r>
    </w:p>
    <w:p w14:paraId="51DEDAC7" w14:textId="0F85625B" w:rsidR="002F4899" w:rsidRPr="002F4899" w:rsidRDefault="002F4899" w:rsidP="00CC0B7D">
      <w:pPr>
        <w:tabs>
          <w:tab w:val="right" w:pos="9072"/>
        </w:tabs>
        <w:spacing w:after="120"/>
        <w:rPr>
          <w:rFonts w:ascii="Calibri" w:hAnsi="Calibri" w:cs="Calibri"/>
        </w:rPr>
      </w:pPr>
      <w:r w:rsidRPr="002F4899">
        <w:rPr>
          <w:rFonts w:ascii="Calibri" w:hAnsi="Calibri" w:cs="Calibri"/>
        </w:rPr>
        <w:t>The PBAC noted that the broad categories of people who had used the medicines and</w:t>
      </w:r>
      <w:r w:rsidR="00592A85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provided inputs included: people with inherited and genetic causes of obesity; people using</w:t>
      </w:r>
      <w:r w:rsidR="00592A85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obesogenic medications; and people who find it difficult to exercise due to their obesity or</w:t>
      </w:r>
      <w:r w:rsidR="00592A85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other conditions, such as disabilities and autoimmune diseases that affect joints. Consumers</w:t>
      </w:r>
      <w:r w:rsidR="00592A85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had a wide range of comorbidities, including cardiovascular disease, kidney and liver disease,</w:t>
      </w:r>
      <w:r w:rsidR="00592A85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type 2 diabetes, endocrine disorders, autoimmune disease, musculoskeletal conditions,</w:t>
      </w:r>
      <w:r w:rsidR="00592A85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obstructive sleep apnoea, and mental health conditions.</w:t>
      </w:r>
    </w:p>
    <w:p w14:paraId="12F7B3C0" w14:textId="3DADDB68" w:rsidR="002F4899" w:rsidRPr="002F4899" w:rsidRDefault="002F4899" w:rsidP="00CC0B7D">
      <w:pPr>
        <w:tabs>
          <w:tab w:val="right" w:pos="9072"/>
        </w:tabs>
        <w:spacing w:after="120"/>
        <w:rPr>
          <w:rFonts w:ascii="Calibri" w:hAnsi="Calibri" w:cs="Calibri"/>
        </w:rPr>
      </w:pPr>
      <w:r w:rsidRPr="002F4899">
        <w:rPr>
          <w:rFonts w:ascii="Calibri" w:hAnsi="Calibri" w:cs="Calibri"/>
        </w:rPr>
        <w:t>The PBAC noted that while cost was a concern and barrier to ongoing access for many</w:t>
      </w:r>
      <w:r w:rsidR="00592A85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consumers, private market data indicated that there was a high willingness to pay for</w:t>
      </w:r>
      <w:r w:rsidR="00592A85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obesity treatments among Australian consumers.</w:t>
      </w:r>
    </w:p>
    <w:p w14:paraId="43B797FA" w14:textId="77777777" w:rsidR="002F4899" w:rsidRPr="002F4899" w:rsidRDefault="002F4899" w:rsidP="002F4899">
      <w:pPr>
        <w:tabs>
          <w:tab w:val="right" w:pos="9072"/>
        </w:tabs>
        <w:spacing w:after="120"/>
        <w:rPr>
          <w:rFonts w:ascii="Calibri" w:hAnsi="Calibri" w:cs="Calibri"/>
          <w:u w:val="single"/>
        </w:rPr>
      </w:pPr>
      <w:r w:rsidRPr="002F4899">
        <w:rPr>
          <w:rFonts w:ascii="Calibri" w:hAnsi="Calibri" w:cs="Calibri"/>
          <w:u w:val="single"/>
        </w:rPr>
        <w:t>Australian cohorts most likely to benefit from PBS subsidy of obesity medicines</w:t>
      </w:r>
    </w:p>
    <w:p w14:paraId="023D5D2A" w14:textId="26DAF47B" w:rsidR="002F4899" w:rsidRPr="002F4899" w:rsidRDefault="002F4899" w:rsidP="002F4899">
      <w:pPr>
        <w:tabs>
          <w:tab w:val="right" w:pos="9072"/>
        </w:tabs>
        <w:spacing w:after="120"/>
        <w:rPr>
          <w:rFonts w:ascii="Calibri" w:hAnsi="Calibri" w:cs="Calibri"/>
        </w:rPr>
      </w:pPr>
      <w:r w:rsidRPr="002F4899">
        <w:rPr>
          <w:rFonts w:ascii="Calibri" w:hAnsi="Calibri" w:cs="Calibri"/>
        </w:rPr>
        <w:t>The PBAC considered that the following population groups should be prioritised for potential</w:t>
      </w:r>
      <w:r w:rsidR="00592A85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future PBS subsidy of GLP-1 obesity treatments and invited submissions from sponsors for</w:t>
      </w:r>
      <w:r w:rsidR="00592A85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these populations:</w:t>
      </w:r>
    </w:p>
    <w:p w14:paraId="072BC3C4" w14:textId="5E77E42A" w:rsidR="002F4899" w:rsidRPr="00592A85" w:rsidRDefault="002F4899" w:rsidP="00395A12">
      <w:pPr>
        <w:pStyle w:val="ListParagraph"/>
        <w:numPr>
          <w:ilvl w:val="0"/>
          <w:numId w:val="5"/>
        </w:numPr>
        <w:tabs>
          <w:tab w:val="right" w:pos="9072"/>
        </w:tabs>
        <w:spacing w:after="120"/>
        <w:ind w:left="714" w:hanging="357"/>
        <w:contextualSpacing w:val="0"/>
        <w:rPr>
          <w:rFonts w:ascii="Calibri" w:hAnsi="Calibri" w:cs="Calibri"/>
        </w:rPr>
      </w:pPr>
      <w:r w:rsidRPr="00592A85">
        <w:rPr>
          <w:rFonts w:ascii="Calibri" w:hAnsi="Calibri" w:cs="Calibri"/>
        </w:rPr>
        <w:t>People with established cardiovascular disease (eCVD).</w:t>
      </w:r>
    </w:p>
    <w:p w14:paraId="3501EFD4" w14:textId="45B5A63D" w:rsidR="002F4899" w:rsidRPr="00592A85" w:rsidRDefault="002F4899" w:rsidP="00395A12">
      <w:pPr>
        <w:pStyle w:val="ListParagraph"/>
        <w:numPr>
          <w:ilvl w:val="0"/>
          <w:numId w:val="5"/>
        </w:numPr>
        <w:tabs>
          <w:tab w:val="right" w:pos="9072"/>
        </w:tabs>
        <w:spacing w:after="120"/>
        <w:ind w:left="714" w:hanging="357"/>
        <w:contextualSpacing w:val="0"/>
        <w:rPr>
          <w:rFonts w:ascii="Calibri" w:hAnsi="Calibri" w:cs="Calibri"/>
        </w:rPr>
      </w:pPr>
      <w:r w:rsidRPr="00592A85">
        <w:rPr>
          <w:rFonts w:ascii="Calibri" w:hAnsi="Calibri" w:cs="Calibri"/>
        </w:rPr>
        <w:t>People with syndromic obesity.</w:t>
      </w:r>
    </w:p>
    <w:p w14:paraId="5F4AF7CE" w14:textId="3FE884C4" w:rsidR="002F4899" w:rsidRPr="00C634EC" w:rsidRDefault="002F4899" w:rsidP="00395A12">
      <w:pPr>
        <w:pStyle w:val="ListParagraph"/>
        <w:numPr>
          <w:ilvl w:val="0"/>
          <w:numId w:val="5"/>
        </w:numPr>
        <w:tabs>
          <w:tab w:val="right" w:pos="9072"/>
        </w:tabs>
        <w:spacing w:after="120"/>
        <w:ind w:left="714" w:hanging="357"/>
        <w:contextualSpacing w:val="0"/>
        <w:rPr>
          <w:rFonts w:ascii="Calibri" w:hAnsi="Calibri" w:cs="Calibri"/>
        </w:rPr>
      </w:pPr>
      <w:r w:rsidRPr="00592A85">
        <w:rPr>
          <w:rFonts w:ascii="Calibri" w:hAnsi="Calibri" w:cs="Calibri"/>
        </w:rPr>
        <w:t xml:space="preserve">Aboriginal or Torres Strait Islander people with Body-Mass Index (BMI) </w:t>
      </w:r>
      <w:r w:rsidRPr="00592A85">
        <w:rPr>
          <w:rFonts w:ascii="Calibri" w:hAnsi="Calibri" w:cs="Calibri" w:hint="eastAsia"/>
        </w:rPr>
        <w:t>≥</w:t>
      </w:r>
      <w:r w:rsidRPr="00592A85">
        <w:rPr>
          <w:rFonts w:ascii="Calibri" w:hAnsi="Calibri" w:cs="Calibri"/>
        </w:rPr>
        <w:t xml:space="preserve"> 32.5 kg/m</w:t>
      </w:r>
      <w:r w:rsidRPr="00C634EC">
        <w:rPr>
          <w:rFonts w:ascii="Calibri" w:hAnsi="Calibri" w:cs="Calibri"/>
          <w:vertAlign w:val="superscript"/>
        </w:rPr>
        <w:t>2</w:t>
      </w:r>
      <w:r w:rsidRPr="00592A85">
        <w:rPr>
          <w:rFonts w:ascii="Calibri" w:hAnsi="Calibri" w:cs="Calibri"/>
        </w:rPr>
        <w:t>,</w:t>
      </w:r>
      <w:r w:rsidR="00C634EC">
        <w:rPr>
          <w:rFonts w:ascii="Calibri" w:hAnsi="Calibri" w:cs="Calibri"/>
        </w:rPr>
        <w:t xml:space="preserve"> </w:t>
      </w:r>
      <w:r w:rsidRPr="00C634EC">
        <w:rPr>
          <w:rFonts w:ascii="Calibri" w:hAnsi="Calibri" w:cs="Calibri"/>
        </w:rPr>
        <w:t>and at least one of the following comorbidities: eCVD, obstructive sleep apnoea,</w:t>
      </w:r>
      <w:r w:rsidR="00C634EC">
        <w:rPr>
          <w:rFonts w:ascii="Calibri" w:hAnsi="Calibri" w:cs="Calibri"/>
        </w:rPr>
        <w:t xml:space="preserve"> </w:t>
      </w:r>
      <w:r w:rsidRPr="00C634EC">
        <w:rPr>
          <w:rFonts w:ascii="Calibri" w:hAnsi="Calibri" w:cs="Calibri"/>
        </w:rPr>
        <w:t>chronic kidney disease, or type 2 diabetes.</w:t>
      </w:r>
    </w:p>
    <w:p w14:paraId="6D3BA6BD" w14:textId="07A6D128" w:rsidR="002F4899" w:rsidRPr="00C634EC" w:rsidRDefault="002F4899" w:rsidP="00395A12">
      <w:pPr>
        <w:pStyle w:val="ListParagraph"/>
        <w:numPr>
          <w:ilvl w:val="0"/>
          <w:numId w:val="7"/>
        </w:numPr>
        <w:tabs>
          <w:tab w:val="right" w:pos="9072"/>
        </w:tabs>
        <w:spacing w:after="120"/>
        <w:ind w:left="714" w:hanging="357"/>
        <w:contextualSpacing w:val="0"/>
        <w:rPr>
          <w:rFonts w:ascii="Calibri" w:hAnsi="Calibri" w:cs="Calibri"/>
        </w:rPr>
      </w:pPr>
      <w:r w:rsidRPr="00592A85">
        <w:rPr>
          <w:rFonts w:ascii="Calibri" w:hAnsi="Calibri" w:cs="Calibri"/>
        </w:rPr>
        <w:t xml:space="preserve">People with BMI </w:t>
      </w:r>
      <w:r w:rsidRPr="00592A85">
        <w:rPr>
          <w:rFonts w:ascii="Calibri" w:hAnsi="Calibri" w:cs="Calibri" w:hint="eastAsia"/>
        </w:rPr>
        <w:t>≥</w:t>
      </w:r>
      <w:r w:rsidRPr="00592A85">
        <w:rPr>
          <w:rFonts w:ascii="Calibri" w:hAnsi="Calibri" w:cs="Calibri"/>
        </w:rPr>
        <w:t xml:space="preserve"> 35 kg/m</w:t>
      </w:r>
      <w:r w:rsidRPr="00C634EC">
        <w:rPr>
          <w:rFonts w:ascii="Calibri" w:hAnsi="Calibri" w:cs="Calibri"/>
          <w:vertAlign w:val="superscript"/>
        </w:rPr>
        <w:t>2</w:t>
      </w:r>
      <w:r w:rsidRPr="00592A85">
        <w:rPr>
          <w:rFonts w:ascii="Calibri" w:hAnsi="Calibri" w:cs="Calibri"/>
        </w:rPr>
        <w:t xml:space="preserve"> taking obesogenic medicines, such as antipsychotics and</w:t>
      </w:r>
      <w:r w:rsidR="00C634EC">
        <w:rPr>
          <w:rFonts w:ascii="Calibri" w:hAnsi="Calibri" w:cs="Calibri"/>
        </w:rPr>
        <w:t xml:space="preserve"> </w:t>
      </w:r>
      <w:r w:rsidRPr="00C634EC">
        <w:rPr>
          <w:rFonts w:ascii="Calibri" w:hAnsi="Calibri" w:cs="Calibri"/>
        </w:rPr>
        <w:t>steroids.</w:t>
      </w:r>
    </w:p>
    <w:p w14:paraId="3F6D3650" w14:textId="6FED2331" w:rsidR="002F4899" w:rsidRPr="00C634EC" w:rsidRDefault="002F4899" w:rsidP="00395A12">
      <w:pPr>
        <w:pStyle w:val="ListParagraph"/>
        <w:numPr>
          <w:ilvl w:val="0"/>
          <w:numId w:val="7"/>
        </w:numPr>
        <w:tabs>
          <w:tab w:val="right" w:pos="9072"/>
        </w:tabs>
        <w:spacing w:after="120"/>
        <w:ind w:left="714" w:hanging="357"/>
        <w:contextualSpacing w:val="0"/>
        <w:rPr>
          <w:rFonts w:ascii="Calibri" w:hAnsi="Calibri" w:cs="Calibri"/>
        </w:rPr>
      </w:pPr>
      <w:r w:rsidRPr="00592A85">
        <w:rPr>
          <w:rFonts w:ascii="Calibri" w:hAnsi="Calibri" w:cs="Calibri"/>
        </w:rPr>
        <w:t>People who cannot have safe surgery, or cannot be waitlisted for surgery, due to</w:t>
      </w:r>
      <w:r w:rsidR="00C634EC">
        <w:rPr>
          <w:rFonts w:ascii="Calibri" w:hAnsi="Calibri" w:cs="Calibri"/>
        </w:rPr>
        <w:t xml:space="preserve"> </w:t>
      </w:r>
      <w:r w:rsidRPr="00C634EC">
        <w:rPr>
          <w:rFonts w:ascii="Calibri" w:hAnsi="Calibri" w:cs="Calibri"/>
        </w:rPr>
        <w:t>weight, including renal transplant, hip and knee replacement, or bariatric surgery.</w:t>
      </w:r>
    </w:p>
    <w:p w14:paraId="0AFBD91B" w14:textId="4C21FFC9" w:rsidR="002F4899" w:rsidRPr="002F4899" w:rsidRDefault="002F4899" w:rsidP="002F4899">
      <w:pPr>
        <w:tabs>
          <w:tab w:val="right" w:pos="9072"/>
        </w:tabs>
        <w:spacing w:after="120"/>
        <w:rPr>
          <w:rFonts w:ascii="Calibri" w:hAnsi="Calibri" w:cs="Calibri"/>
        </w:rPr>
      </w:pPr>
      <w:r w:rsidRPr="002F4899">
        <w:rPr>
          <w:rFonts w:ascii="Calibri" w:hAnsi="Calibri" w:cs="Calibri"/>
        </w:rPr>
        <w:t>At the November 2025 meeting, the PBAC recommended the PBS listing of semaglutide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(Wegovy</w:t>
      </w:r>
      <w:r w:rsidRPr="002F4899">
        <w:rPr>
          <w:rFonts w:ascii="Calibri" w:hAnsi="Calibri" w:cs="Calibri" w:hint="eastAsia"/>
        </w:rPr>
        <w:t>®</w:t>
      </w:r>
      <w:r w:rsidRPr="002F4899">
        <w:rPr>
          <w:rFonts w:ascii="Calibri" w:hAnsi="Calibri" w:cs="Calibri"/>
        </w:rPr>
        <w:t>) for people with eCVD and obesity, the first of these priority groups. The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recommendation was contingent on a price reduction and risk sharing arrangement.</w:t>
      </w:r>
    </w:p>
    <w:p w14:paraId="75231FEB" w14:textId="6BB8E453" w:rsidR="002F4899" w:rsidRPr="002F4899" w:rsidRDefault="002F4899" w:rsidP="002F4899">
      <w:pPr>
        <w:tabs>
          <w:tab w:val="right" w:pos="9072"/>
        </w:tabs>
        <w:spacing w:after="120"/>
        <w:rPr>
          <w:rFonts w:ascii="Calibri" w:hAnsi="Calibri" w:cs="Calibri"/>
        </w:rPr>
      </w:pPr>
      <w:r w:rsidRPr="002F4899">
        <w:rPr>
          <w:rFonts w:ascii="Calibri" w:hAnsi="Calibri" w:cs="Calibri"/>
        </w:rPr>
        <w:t>The Department supported the PBAC by providing population estimates based on national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health survey data and other sources. The PBAC noted that preliminary estimates indicated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that the above Aboriginal and Torres Strait Islander, and syndromic obesity, populations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were relatively small (around 39,000 and 21,000 people, respectively).</w:t>
      </w:r>
    </w:p>
    <w:p w14:paraId="6ABE8BFE" w14:textId="27471568" w:rsidR="002F4899" w:rsidRPr="002F4899" w:rsidRDefault="002F4899" w:rsidP="002F4899">
      <w:pPr>
        <w:tabs>
          <w:tab w:val="right" w:pos="9072"/>
        </w:tabs>
        <w:spacing w:after="120"/>
        <w:rPr>
          <w:rFonts w:ascii="Calibri" w:hAnsi="Calibri" w:cs="Calibri"/>
        </w:rPr>
      </w:pPr>
      <w:r w:rsidRPr="002F4899">
        <w:rPr>
          <w:rFonts w:ascii="Calibri" w:hAnsi="Calibri" w:cs="Calibri"/>
        </w:rPr>
        <w:t>The PBAC noted that the priority populations for access to GLP-1 obesity treatments may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need to be revised as new evidence emerges regarding their clinical and cost-effectiveness,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including from real-world data based on use in Australia and internationally.</w:t>
      </w:r>
    </w:p>
    <w:p w14:paraId="415497DB" w14:textId="7541392C" w:rsidR="002F4899" w:rsidRPr="002F4899" w:rsidRDefault="002F4899" w:rsidP="002F4899">
      <w:pPr>
        <w:tabs>
          <w:tab w:val="right" w:pos="9072"/>
        </w:tabs>
        <w:spacing w:after="120"/>
        <w:rPr>
          <w:rFonts w:ascii="Calibri" w:hAnsi="Calibri" w:cs="Calibri"/>
        </w:rPr>
      </w:pPr>
      <w:r w:rsidRPr="002F4899">
        <w:rPr>
          <w:rFonts w:ascii="Calibri" w:hAnsi="Calibri" w:cs="Calibri"/>
        </w:rPr>
        <w:t>The PBAC noted that any PBS listing would be subject to the legislative requirements to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demonstrate safety, effectiveness and cost-effectiveness.</w:t>
      </w:r>
    </w:p>
    <w:p w14:paraId="655286D8" w14:textId="77777777" w:rsidR="002F4899" w:rsidRPr="002F4899" w:rsidRDefault="002F4899" w:rsidP="00395A12">
      <w:pPr>
        <w:widowControl w:val="0"/>
        <w:tabs>
          <w:tab w:val="right" w:pos="9072"/>
        </w:tabs>
        <w:spacing w:after="120"/>
        <w:rPr>
          <w:rFonts w:ascii="Calibri" w:hAnsi="Calibri" w:cs="Calibri"/>
          <w:u w:val="single"/>
        </w:rPr>
      </w:pPr>
      <w:r w:rsidRPr="002F4899">
        <w:rPr>
          <w:rFonts w:ascii="Calibri" w:hAnsi="Calibri" w:cs="Calibri"/>
          <w:u w:val="single"/>
        </w:rPr>
        <w:t>Wraparound allied health care and models of service delivery</w:t>
      </w:r>
    </w:p>
    <w:p w14:paraId="5B307A05" w14:textId="526FE151" w:rsidR="002F4899" w:rsidRPr="002F4899" w:rsidRDefault="002F4899" w:rsidP="00395A12">
      <w:pPr>
        <w:widowControl w:val="0"/>
        <w:tabs>
          <w:tab w:val="right" w:pos="9072"/>
        </w:tabs>
        <w:spacing w:after="120"/>
        <w:rPr>
          <w:rFonts w:ascii="Calibri" w:hAnsi="Calibri" w:cs="Calibri"/>
        </w:rPr>
      </w:pPr>
      <w:r w:rsidRPr="002F4899">
        <w:rPr>
          <w:rFonts w:ascii="Calibri" w:hAnsi="Calibri" w:cs="Calibri"/>
        </w:rPr>
        <w:t>The PBAC considered that wraparound support services, such as diet and exercise support,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and multidisciplinary care models were an important component of obesity care that should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lastRenderedPageBreak/>
        <w:t>reflect the needs of the individual and be worked out in consultation with their health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professional. The PBAC considered there should not be any mandatory requirements for use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of specific wraparound services for PBS-subsidised access to GLP-1s, as this would create a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barrier to accessing therapy. Such barriers may particularly impact people who were already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at higher risk of obesity and its associated comorbidities, such as Aboriginal and Torres Strait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Islander people, those socioeconomically disadvantaged, and those living in remote areas.</w:t>
      </w:r>
    </w:p>
    <w:p w14:paraId="512BF300" w14:textId="463A2AF7" w:rsidR="002F4899" w:rsidRPr="002F4899" w:rsidRDefault="002F4899" w:rsidP="002F4899">
      <w:pPr>
        <w:tabs>
          <w:tab w:val="right" w:pos="9072"/>
        </w:tabs>
        <w:spacing w:after="120"/>
        <w:rPr>
          <w:rFonts w:ascii="Calibri" w:hAnsi="Calibri" w:cs="Calibri"/>
        </w:rPr>
      </w:pPr>
      <w:r w:rsidRPr="002F4899">
        <w:rPr>
          <w:rFonts w:ascii="Calibri" w:hAnsi="Calibri" w:cs="Calibri"/>
        </w:rPr>
        <w:t>The PBAC noted that patients can access Medicare Benefits Scheme (MBS)-rebated allied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health services through GP Chronic Condition Management Plans (GPCCMPs) and that the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services available under GPCCMPs were currently being reviewed. The PBAC noted that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many consumers provided input that they did not seem to have access to wraparound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supports or multidisciplinary care.</w:t>
      </w:r>
    </w:p>
    <w:p w14:paraId="418EC0F1" w14:textId="490EEE97" w:rsidR="002F4899" w:rsidRPr="002F4899" w:rsidRDefault="002F4899" w:rsidP="002F4899">
      <w:pPr>
        <w:tabs>
          <w:tab w:val="right" w:pos="9072"/>
        </w:tabs>
        <w:spacing w:after="120"/>
        <w:rPr>
          <w:rFonts w:ascii="Calibri" w:hAnsi="Calibri" w:cs="Calibri"/>
        </w:rPr>
      </w:pPr>
      <w:r w:rsidRPr="002F4899">
        <w:rPr>
          <w:rFonts w:ascii="Calibri" w:hAnsi="Calibri" w:cs="Calibri"/>
        </w:rPr>
        <w:t>The PBAC noted that digital delivery could assist in providing low-cost, scalable wraparound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care, which if more widely available, may help patients to adhere to therapy and maintain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the benefits of medicine use. The PBAC considered that funding for these services could be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provided through tendering arrangements outside of the PBS/MBS. The PBAC noted that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several states were already providing free, tailored health coaching to individuals.</w:t>
      </w:r>
    </w:p>
    <w:p w14:paraId="1C8CA7E2" w14:textId="77777777" w:rsidR="002F4899" w:rsidRPr="002F4899" w:rsidRDefault="002F4899" w:rsidP="002F4899">
      <w:pPr>
        <w:tabs>
          <w:tab w:val="right" w:pos="9072"/>
        </w:tabs>
        <w:spacing w:after="120"/>
        <w:rPr>
          <w:rFonts w:ascii="Calibri" w:hAnsi="Calibri" w:cs="Calibri"/>
          <w:u w:val="single"/>
        </w:rPr>
      </w:pPr>
      <w:r w:rsidRPr="002F4899">
        <w:rPr>
          <w:rFonts w:ascii="Calibri" w:hAnsi="Calibri" w:cs="Calibri"/>
          <w:u w:val="single"/>
        </w:rPr>
        <w:t>Bariatric surgery</w:t>
      </w:r>
    </w:p>
    <w:p w14:paraId="241F7DAD" w14:textId="0750D047" w:rsidR="002F4899" w:rsidRPr="002F4899" w:rsidRDefault="002F4899" w:rsidP="002F4899">
      <w:pPr>
        <w:tabs>
          <w:tab w:val="right" w:pos="9072"/>
        </w:tabs>
        <w:spacing w:after="120"/>
        <w:rPr>
          <w:rFonts w:ascii="Calibri" w:hAnsi="Calibri" w:cs="Calibri"/>
        </w:rPr>
      </w:pPr>
      <w:r w:rsidRPr="002F4899">
        <w:rPr>
          <w:rFonts w:ascii="Calibri" w:hAnsi="Calibri" w:cs="Calibri"/>
        </w:rPr>
        <w:t>The PBAC noted that while bariatric surgery was currently more effective for weight loss,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newer obesity treatments in development may be similarly effective. The PBAC considered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that there were major barriers to accessing bariatric surgery in Australia including cost and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availability. The PBAC considered that prior bariatric surgery should not preclude a person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from accessing PBS-subsidised GLP-1 treatment as some people have a sub-optimal response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 xml:space="preserve">to surgery. The PBAC also noted that some people with BMI </w:t>
      </w:r>
      <w:r w:rsidRPr="002F4899">
        <w:rPr>
          <w:rFonts w:ascii="Calibri" w:hAnsi="Calibri" w:cs="Calibri" w:hint="eastAsia"/>
        </w:rPr>
        <w:t>≥</w:t>
      </w:r>
      <w:r w:rsidRPr="002F4899">
        <w:rPr>
          <w:rFonts w:ascii="Calibri" w:hAnsi="Calibri" w:cs="Calibri"/>
        </w:rPr>
        <w:t xml:space="preserve"> 40 kg/m</w:t>
      </w:r>
      <w:r w:rsidRPr="002F4899">
        <w:rPr>
          <w:rFonts w:ascii="Calibri" w:hAnsi="Calibri" w:cs="Calibri"/>
          <w:vertAlign w:val="superscript"/>
        </w:rPr>
        <w:t>2</w:t>
      </w:r>
      <w:r w:rsidRPr="002F4899">
        <w:rPr>
          <w:rFonts w:ascii="Calibri" w:hAnsi="Calibri" w:cs="Calibri"/>
        </w:rPr>
        <w:t xml:space="preserve"> may benefit from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GLP-1 treatment prior to bariatric surgery to reduce surgery risks.</w:t>
      </w:r>
    </w:p>
    <w:p w14:paraId="6725286B" w14:textId="77777777" w:rsidR="002F4899" w:rsidRPr="002F4899" w:rsidRDefault="002F4899" w:rsidP="002F4899">
      <w:pPr>
        <w:tabs>
          <w:tab w:val="right" w:pos="9072"/>
        </w:tabs>
        <w:spacing w:after="120"/>
        <w:rPr>
          <w:rFonts w:ascii="Calibri" w:hAnsi="Calibri" w:cs="Calibri"/>
          <w:u w:val="single"/>
        </w:rPr>
      </w:pPr>
      <w:r w:rsidRPr="002F4899">
        <w:rPr>
          <w:rFonts w:ascii="Calibri" w:hAnsi="Calibri" w:cs="Calibri"/>
          <w:u w:val="single"/>
        </w:rPr>
        <w:t>Optimal duration of GLP-1 subsidy</w:t>
      </w:r>
    </w:p>
    <w:p w14:paraId="354E465F" w14:textId="244F89EE" w:rsidR="002F4899" w:rsidRPr="002F4899" w:rsidRDefault="002F4899" w:rsidP="002F4899">
      <w:pPr>
        <w:tabs>
          <w:tab w:val="right" w:pos="9072"/>
        </w:tabs>
        <w:spacing w:after="120"/>
        <w:rPr>
          <w:rFonts w:ascii="Calibri" w:hAnsi="Calibri" w:cs="Calibri"/>
        </w:rPr>
      </w:pPr>
      <w:r w:rsidRPr="002F4899">
        <w:rPr>
          <w:rFonts w:ascii="Calibri" w:hAnsi="Calibri" w:cs="Calibri"/>
        </w:rPr>
        <w:t>The PBAC considered that the optimal duration of subsidy was currently unknown and that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there was no long-term trial data on use beyond a few years. The PBAC noted that trial data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demonstrated weight regain following cessation of therapy.</w:t>
      </w:r>
    </w:p>
    <w:p w14:paraId="16EE7299" w14:textId="77777777" w:rsidR="002F4899" w:rsidRPr="002F4899" w:rsidRDefault="002F4899" w:rsidP="002F4899">
      <w:pPr>
        <w:tabs>
          <w:tab w:val="right" w:pos="9072"/>
        </w:tabs>
        <w:spacing w:after="120"/>
        <w:rPr>
          <w:rFonts w:ascii="Calibri" w:hAnsi="Calibri" w:cs="Calibri"/>
          <w:u w:val="single"/>
        </w:rPr>
      </w:pPr>
      <w:r w:rsidRPr="002F4899">
        <w:rPr>
          <w:rFonts w:ascii="Calibri" w:hAnsi="Calibri" w:cs="Calibri"/>
          <w:u w:val="single"/>
        </w:rPr>
        <w:t>Market dynamics and subsidy mechanism</w:t>
      </w:r>
    </w:p>
    <w:p w14:paraId="1F34DDBD" w14:textId="3A0F7B19" w:rsidR="002F4899" w:rsidRPr="002F4899" w:rsidRDefault="002F4899" w:rsidP="002F4899">
      <w:pPr>
        <w:tabs>
          <w:tab w:val="right" w:pos="9072"/>
        </w:tabs>
        <w:spacing w:after="120"/>
        <w:rPr>
          <w:rFonts w:ascii="Calibri" w:hAnsi="Calibri" w:cs="Calibri"/>
        </w:rPr>
      </w:pPr>
      <w:r w:rsidRPr="002F4899">
        <w:rPr>
          <w:rFonts w:ascii="Calibri" w:hAnsi="Calibri" w:cs="Calibri"/>
        </w:rPr>
        <w:t>The PBAC noted obesity treatments are a very active therapeutic market. The PBAC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expressed concern that a PBS listing soon may benchmark prices for future listings and this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may lead to higher costs to the PBS if newer medications are listed on a superiority basis.</w:t>
      </w:r>
    </w:p>
    <w:p w14:paraId="78D07233" w14:textId="258ADE45" w:rsidR="002F4899" w:rsidRPr="002F4899" w:rsidRDefault="002F4899" w:rsidP="002F4899">
      <w:pPr>
        <w:tabs>
          <w:tab w:val="right" w:pos="9072"/>
        </w:tabs>
        <w:spacing w:after="120"/>
        <w:rPr>
          <w:rFonts w:ascii="Calibri" w:hAnsi="Calibri" w:cs="Calibri"/>
        </w:rPr>
      </w:pPr>
      <w:r w:rsidRPr="002F4899">
        <w:rPr>
          <w:rFonts w:ascii="Calibri" w:hAnsi="Calibri" w:cs="Calibri"/>
        </w:rPr>
        <w:t>The PBAC considered that the PBS, or a single-funder model, was the most appropriate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mechanism for subsidy of GLP-1 obesity treatments in Australia. The PBAC advised that, if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listed, a slow and managed roll-out of access to PBS-subsidised GLP-1 treatments in the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Australian health care system would help to manage leakage and uncertainties around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long-term use, outcomes and emerging adverse events.</w:t>
      </w:r>
    </w:p>
    <w:p w14:paraId="50A96125" w14:textId="7B525F0D" w:rsidR="002F4899" w:rsidRPr="002F4899" w:rsidRDefault="002F4899" w:rsidP="002F4899">
      <w:pPr>
        <w:tabs>
          <w:tab w:val="right" w:pos="9072"/>
        </w:tabs>
        <w:spacing w:after="120"/>
        <w:rPr>
          <w:rFonts w:ascii="Calibri" w:hAnsi="Calibri" w:cs="Calibri"/>
        </w:rPr>
      </w:pPr>
      <w:r w:rsidRPr="002F4899">
        <w:rPr>
          <w:rFonts w:ascii="Calibri" w:hAnsi="Calibri" w:cs="Calibri"/>
        </w:rPr>
        <w:t>The PBAC considered that there may be merit in broader subsidy of GLP-1 medicines for</w:t>
      </w:r>
      <w:r w:rsidR="00CC0B7D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early intervention and prevention of obesity-related comorbidities. However, the PBAC</w:t>
      </w:r>
      <w:r w:rsidR="00CC0B7D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concluded that such a subsidy would need to be established as a program outside of the PBS</w:t>
      </w:r>
      <w:r w:rsidR="00CC0B7D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as it was unlikely that sponsors would agree a cost-effective price for providing obesity</w:t>
      </w:r>
      <w:r w:rsidR="00CC0B7D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medicines through the PBS for these broader purposes at this time.</w:t>
      </w:r>
    </w:p>
    <w:p w14:paraId="3B81CE3B" w14:textId="77777777" w:rsidR="00CC0B7D" w:rsidRDefault="00CC0B7D">
      <w:p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0FB6EFB0" w14:textId="7BAF9E8D" w:rsidR="002F4899" w:rsidRPr="002F4899" w:rsidRDefault="002F4899" w:rsidP="00400443">
      <w:pPr>
        <w:pStyle w:val="Heading2"/>
        <w:rPr>
          <w:rFonts w:eastAsia="CIDFont+F6"/>
          <w:color w:val="153D63" w:themeColor="text2" w:themeTint="E6"/>
        </w:rPr>
      </w:pPr>
      <w:r w:rsidRPr="00400443">
        <w:rPr>
          <w:rFonts w:eastAsia="CIDFont+F6"/>
          <w:color w:val="153D63" w:themeColor="text2" w:themeTint="E6"/>
        </w:rPr>
        <w:lastRenderedPageBreak/>
        <w:t>Attachment B</w:t>
      </w:r>
      <w:r w:rsidR="00400443" w:rsidRPr="00400443">
        <w:rPr>
          <w:color w:val="153D63" w:themeColor="text2" w:themeTint="E6"/>
        </w:rPr>
        <w:t xml:space="preserve">: </w:t>
      </w:r>
      <w:r w:rsidRPr="002F4899">
        <w:rPr>
          <w:rFonts w:eastAsia="CIDFont+F6"/>
          <w:color w:val="153D63" w:themeColor="text2" w:themeTint="E6"/>
        </w:rPr>
        <w:t>Public outcome statement for the November 2025 PBAC advice on equitable access to</w:t>
      </w:r>
      <w:r w:rsidR="00395A12" w:rsidRPr="00400443">
        <w:rPr>
          <w:color w:val="153D63" w:themeColor="text2" w:themeTint="E6"/>
        </w:rPr>
        <w:t xml:space="preserve"> </w:t>
      </w:r>
      <w:r w:rsidRPr="002F4899">
        <w:rPr>
          <w:rFonts w:eastAsia="CIDFont+F6"/>
          <w:color w:val="153D63" w:themeColor="text2" w:themeTint="E6"/>
        </w:rPr>
        <w:t>GLP</w:t>
      </w:r>
      <w:r w:rsidR="00395A12" w:rsidRPr="00400443">
        <w:rPr>
          <w:color w:val="153D63" w:themeColor="text2" w:themeTint="E6"/>
        </w:rPr>
        <w:noBreakHyphen/>
      </w:r>
      <w:r w:rsidRPr="002F4899">
        <w:rPr>
          <w:rFonts w:eastAsia="CIDFont+F6"/>
          <w:color w:val="153D63" w:themeColor="text2" w:themeTint="E6"/>
        </w:rPr>
        <w:t>1 obesity treatments (Scheduled publication date: 19 December 2025)</w:t>
      </w:r>
    </w:p>
    <w:p w14:paraId="083EF6A7" w14:textId="13FFB142" w:rsidR="002F4899" w:rsidRPr="002F4899" w:rsidRDefault="002F4899" w:rsidP="007905CA">
      <w:pPr>
        <w:tabs>
          <w:tab w:val="right" w:pos="9072"/>
        </w:tabs>
        <w:spacing w:before="120" w:after="120"/>
        <w:rPr>
          <w:rFonts w:ascii="Calibri" w:hAnsi="Calibri" w:cs="Calibri"/>
        </w:rPr>
      </w:pPr>
      <w:r w:rsidRPr="002F4899">
        <w:rPr>
          <w:rFonts w:ascii="Calibri" w:hAnsi="Calibri" w:cs="Calibri"/>
        </w:rPr>
        <w:t>The PBAC provided advice on priority groups to ensure equitable subsidised access to</w:t>
      </w:r>
      <w:r w:rsidR="00395A12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glucagon-like peptide-1 receptor agonists (GLP-1) for the treatment of obesity. Based on</w:t>
      </w:r>
      <w:r w:rsidR="00395A12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current evidence, PBAC considered this should include: people with established</w:t>
      </w:r>
      <w:r w:rsidR="00395A12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cardiovascular disease, Aboriginal and Torres Strait Islander patients with obesity-related</w:t>
      </w:r>
      <w:r w:rsidR="00395A12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comorbidities, people with syndromic obesity, people with medication-induced obesity, and</w:t>
      </w:r>
      <w:r w:rsidR="00395A12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patients requiring weight loss to be eligible for surgery. The PBAC invited sponsor</w:t>
      </w:r>
      <w:r w:rsidR="00395A12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submissions for these populations, noting that any PBS listing would be subject to the</w:t>
      </w:r>
      <w:r w:rsidR="00395A12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legislative requirements to demonstrate clinical and cost-effectiveness through a</w:t>
      </w:r>
      <w:r w:rsidR="00395A12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sponsor</w:t>
      </w:r>
      <w:r w:rsidR="00395A12">
        <w:rPr>
          <w:rFonts w:ascii="Calibri" w:hAnsi="Calibri" w:cs="Calibri"/>
        </w:rPr>
        <w:t>-</w:t>
      </w:r>
      <w:r w:rsidRPr="002F4899">
        <w:rPr>
          <w:rFonts w:ascii="Calibri" w:hAnsi="Calibri" w:cs="Calibri"/>
        </w:rPr>
        <w:t>initiated</w:t>
      </w:r>
      <w:r w:rsidR="00395A12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submission.</w:t>
      </w:r>
    </w:p>
    <w:p w14:paraId="1A9EF8D2" w14:textId="3E0BA524" w:rsidR="002F4899" w:rsidRPr="002F4899" w:rsidRDefault="002F4899" w:rsidP="002F4899">
      <w:pPr>
        <w:tabs>
          <w:tab w:val="right" w:pos="9072"/>
        </w:tabs>
        <w:spacing w:after="120"/>
        <w:rPr>
          <w:rFonts w:ascii="Calibri" w:hAnsi="Calibri" w:cs="Calibri"/>
        </w:rPr>
      </w:pPr>
      <w:r w:rsidRPr="002F4899">
        <w:rPr>
          <w:rFonts w:ascii="Calibri" w:hAnsi="Calibri" w:cs="Calibri"/>
        </w:rPr>
        <w:t>The PBAC welcomed and considered input from individuals who have used GLP-1s (459),</w:t>
      </w:r>
      <w:r w:rsidR="00750FE9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other individuals (33), health care professionals (25) and organisations (23). The PBAC noted</w:t>
      </w:r>
      <w:r w:rsidR="00750FE9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that the broad categories of people who had used the medicines and provided inputs</w:t>
      </w:r>
      <w:r w:rsidR="00750FE9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included: people with inherited and genetic causes of obesity; people using obesogenic</w:t>
      </w:r>
      <w:r w:rsidR="00750FE9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medications; and people who find it difficult to exercise due to their obesity or other</w:t>
      </w:r>
      <w:r w:rsidR="00750FE9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conditions, such as disabilities and autoimmune diseases that affect joints. Consumers had a</w:t>
      </w:r>
      <w:r w:rsidR="00375539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wide range of comorbidities, including cardiovascular disease, kidney and liver disease, type</w:t>
      </w:r>
      <w:r w:rsidR="00375539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2 diabetes, endocrine disorders, autoimmune disease, musculoskeletal conditions,</w:t>
      </w:r>
      <w:r w:rsidR="00375539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obstructive sleep apnoea, and mental health conditions.</w:t>
      </w:r>
    </w:p>
    <w:p w14:paraId="5BCC8E91" w14:textId="70BF297C" w:rsidR="002F4899" w:rsidRPr="002F4899" w:rsidRDefault="002F4899" w:rsidP="002F4899">
      <w:pPr>
        <w:tabs>
          <w:tab w:val="right" w:pos="9072"/>
        </w:tabs>
        <w:spacing w:after="120"/>
        <w:rPr>
          <w:rFonts w:ascii="Calibri" w:hAnsi="Calibri" w:cs="Calibri"/>
        </w:rPr>
      </w:pPr>
      <w:r w:rsidRPr="002F4899">
        <w:rPr>
          <w:rFonts w:ascii="Calibri" w:hAnsi="Calibri" w:cs="Calibri"/>
        </w:rPr>
        <w:t>The PBAC noted that while cost was a concern and barrier to ongoing access for many</w:t>
      </w:r>
      <w:r w:rsidR="0023384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consumers, private market data indicated that there was a high willingness to pay for</w:t>
      </w:r>
      <w:r w:rsidR="0023384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obesity treatments among Australian consumers with around 420,000 people receiving a</w:t>
      </w:r>
      <w:r w:rsidR="0023384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private market supply of semaglutide or tirzepatide in July 2025.</w:t>
      </w:r>
    </w:p>
    <w:p w14:paraId="3F0D5CB2" w14:textId="6E36FDF9" w:rsidR="002F4899" w:rsidRPr="002F4899" w:rsidRDefault="002F4899" w:rsidP="002F4899">
      <w:pPr>
        <w:tabs>
          <w:tab w:val="right" w:pos="9072"/>
        </w:tabs>
        <w:spacing w:after="120"/>
        <w:rPr>
          <w:rFonts w:ascii="Calibri" w:hAnsi="Calibri" w:cs="Calibri"/>
        </w:rPr>
      </w:pPr>
      <w:r w:rsidRPr="002F4899">
        <w:rPr>
          <w:rFonts w:ascii="Calibri" w:hAnsi="Calibri" w:cs="Calibri"/>
        </w:rPr>
        <w:t>The PBAC advised a slow and managed roll-out of access to PBS-subsidised GLP-1 treatments</w:t>
      </w:r>
      <w:r w:rsidR="0023384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in the Australian health care system would help to manage leakage and uncertainties around</w:t>
      </w:r>
      <w:r w:rsidR="0023384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long-term use and outcomes. The PBAC considered that there may be merit in broader</w:t>
      </w:r>
      <w:r w:rsidR="0023384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subsidy of GLP-1s for early intervention and prevention of obesity-related comorbidities, but</w:t>
      </w:r>
      <w:r w:rsidR="0023384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such subsidy would need to be established as a program outside of the PBS as it would be</w:t>
      </w:r>
      <w:r w:rsidR="0023384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difficult to achieve a cost-effective price of providing obesity medicines for these broader</w:t>
      </w:r>
      <w:r w:rsidR="0023384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purposes at this time. The PBAC noted that if a large population were to be treated with</w:t>
      </w:r>
      <w:r w:rsidR="0023384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GLP-1s, there would be an increased likelihood of rare, serious adverse events, which may</w:t>
      </w:r>
      <w:r w:rsidR="0023384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outweigh the benefits in patients without pre-existing comorbidities and would inform</w:t>
      </w:r>
      <w:r w:rsidR="0023384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ongoing appropriate use.</w:t>
      </w:r>
    </w:p>
    <w:p w14:paraId="7CBCDFF8" w14:textId="42C1606C" w:rsidR="002F4899" w:rsidRPr="002F4899" w:rsidRDefault="002F4899" w:rsidP="002F4899">
      <w:pPr>
        <w:tabs>
          <w:tab w:val="right" w:pos="9072"/>
        </w:tabs>
        <w:spacing w:after="120"/>
        <w:rPr>
          <w:rFonts w:ascii="Calibri" w:hAnsi="Calibri" w:cs="Calibri"/>
        </w:rPr>
      </w:pPr>
      <w:r w:rsidRPr="002F4899">
        <w:rPr>
          <w:rFonts w:ascii="Calibri" w:hAnsi="Calibri" w:cs="Calibri"/>
        </w:rPr>
        <w:t>The PBAC noted the rapid emergence of research in obesity treatments and real-world</w:t>
      </w:r>
      <w:r w:rsidR="0023384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evidence in this area, which is expected to drive significant changes in cost, supply, dosing,</w:t>
      </w:r>
      <w:r w:rsidR="0023384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and utilisation over coming years. The PBAC noted the importance of real-world data to</w:t>
      </w:r>
      <w:r w:rsidR="0023384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inform effective, equitable, safe and cost-effective use of GLP-1s.</w:t>
      </w:r>
    </w:p>
    <w:p w14:paraId="2D9C32DA" w14:textId="77777777" w:rsidR="0023384C" w:rsidRDefault="002F4899" w:rsidP="002F4899">
      <w:pPr>
        <w:tabs>
          <w:tab w:val="right" w:pos="9072"/>
        </w:tabs>
        <w:spacing w:after="120"/>
        <w:rPr>
          <w:rFonts w:ascii="Calibri" w:hAnsi="Calibri" w:cs="Calibri"/>
        </w:rPr>
      </w:pPr>
      <w:r w:rsidRPr="002F4899">
        <w:rPr>
          <w:rFonts w:ascii="Calibri" w:hAnsi="Calibri" w:cs="Calibri"/>
        </w:rPr>
        <w:t>The PBAC considered that there was a need to improve access to non-pharmacological</w:t>
      </w:r>
      <w:r w:rsidR="0023384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interventions, such as diet and physical activity support, and that digital models may provide</w:t>
      </w:r>
      <w:r w:rsidR="0023384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an equitable avenue for broad access to these supports. The PBAC considered that there</w:t>
      </w:r>
      <w:r w:rsidR="0023384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should not be any mandatory requirements for use of wraparound services for</w:t>
      </w:r>
      <w:r w:rsidR="0023384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PBS</w:t>
      </w:r>
      <w:r w:rsidR="0023384C">
        <w:rPr>
          <w:rFonts w:ascii="Calibri" w:hAnsi="Calibri" w:cs="Calibri"/>
        </w:rPr>
        <w:t>-</w:t>
      </w:r>
      <w:r w:rsidRPr="002F4899">
        <w:rPr>
          <w:rFonts w:ascii="Calibri" w:hAnsi="Calibri" w:cs="Calibri"/>
        </w:rPr>
        <w:t>subsidised</w:t>
      </w:r>
      <w:r w:rsidR="0023384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access to GLP-1s, as this would create a barrier to accessing therapy, particularly</w:t>
      </w:r>
      <w:r w:rsidR="0023384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for people who were already at higher risk of obesity and its associated comorbidities, such</w:t>
      </w:r>
      <w:r w:rsidR="0023384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as Aboriginal and/or Torres Strait Islanders, those socioeconomically disadvantaged, and</w:t>
      </w:r>
      <w:r w:rsidR="0023384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those living in regional and remote areas.</w:t>
      </w:r>
      <w:r w:rsidRPr="002F4899">
        <w:rPr>
          <w:rFonts w:ascii="Calibri" w:hAnsi="Calibri" w:cs="Calibri"/>
        </w:rPr>
        <w:t xml:space="preserve"> </w:t>
      </w:r>
    </w:p>
    <w:sectPr w:rsidR="0023384C" w:rsidSect="00912D6C">
      <w:pgSz w:w="11906" w:h="16838" w:code="9"/>
      <w:pgMar w:top="567" w:right="1418" w:bottom="993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C7ABB" w14:textId="77777777" w:rsidR="00292387" w:rsidRDefault="00292387" w:rsidP="00AD3779">
      <w:r>
        <w:separator/>
      </w:r>
    </w:p>
  </w:endnote>
  <w:endnote w:type="continuationSeparator" w:id="0">
    <w:p w14:paraId="64951F08" w14:textId="77777777" w:rsidR="00292387" w:rsidRDefault="00292387" w:rsidP="00AD3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6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75752" w14:textId="7502CC49" w:rsidR="00AD3779" w:rsidRDefault="00AD3779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0763FB31" wp14:editId="4AB0416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25744917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743495" w14:textId="38121DA8" w:rsidR="00AD3779" w:rsidRPr="00AD3779" w:rsidRDefault="00AD3779" w:rsidP="00AD377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AD3779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63FB3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29.6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rqfZbw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4F743495" w14:textId="38121DA8" w:rsidR="00AD3779" w:rsidRPr="00AD3779" w:rsidRDefault="00AD3779" w:rsidP="00AD3779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AD3779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98D52" w14:textId="13B1AA0F" w:rsidR="00AD3779" w:rsidRDefault="00AD3779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21D5CC4E" wp14:editId="07B498CE">
              <wp:simplePos x="723900" y="102489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55455564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D6A1D8" w14:textId="350BAB7E" w:rsidR="00AD3779" w:rsidRPr="00AD3779" w:rsidRDefault="00AD3779" w:rsidP="00AD377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AD3779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D5CC4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29.65pt;z-index:25167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wxhrUg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30D6A1D8" w14:textId="350BAB7E" w:rsidR="00AD3779" w:rsidRPr="00AD3779" w:rsidRDefault="00AD3779" w:rsidP="00AD3779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AD3779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86FD6" w14:textId="5C9B0138" w:rsidR="00AD3779" w:rsidRDefault="00AD3779" w:rsidP="0089317D">
    <w:pPr>
      <w:pStyle w:val="Footer"/>
      <w:jc w:val="center"/>
      <w:rPr>
        <w:noProof/>
        <w:position w:val="4"/>
        <w:sz w:val="18"/>
      </w:rPr>
    </w:pPr>
    <w:r>
      <w:rPr>
        <w:noProof/>
        <w:position w:val="4"/>
        <w:sz w:val="18"/>
        <w14:ligatures w14:val="standardContextual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418ABB2D" wp14:editId="16F97C28">
              <wp:simplePos x="901700" y="98361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23890581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BDB717" w14:textId="0325C21B" w:rsidR="00AD3779" w:rsidRPr="00AD3779" w:rsidRDefault="00AD3779" w:rsidP="00AD377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AD3779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8ABB2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9pt;height:29.6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" filled="f" stroked="f">
              <v:textbox style="mso-fit-shape-to-text:t" inset="0,0,0,15pt">
                <w:txbxContent>
                  <w:p w14:paraId="42BDB717" w14:textId="0325C21B" w:rsidR="00AD3779" w:rsidRPr="00AD3779" w:rsidRDefault="00AD3779" w:rsidP="00AD3779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AD3779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2571CA4" w14:textId="77777777" w:rsidR="00AD3779" w:rsidRDefault="00AD3779" w:rsidP="004557B9">
    <w:pPr>
      <w:pStyle w:val="Footer"/>
      <w:spacing w:line="360" w:lineRule="auto"/>
      <w:jc w:val="center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</w:t>
    </w:r>
    <w:r>
      <w:rPr>
        <w:rFonts w:ascii="Arial" w:hAnsi="Arial" w:cs="Arial"/>
        <w:sz w:val="14"/>
        <w:szCs w:val="14"/>
      </w:rPr>
      <w:br/>
      <w:t xml:space="preserve"> GPO Box 9848 Canberra ACT 2601 </w:t>
    </w:r>
    <w:r>
      <w:rPr>
        <w:rFonts w:ascii="Arial" w:hAnsi="Arial" w:cs="Arial"/>
        <w:b/>
        <w:sz w:val="14"/>
        <w:szCs w:val="14"/>
      </w:rPr>
      <w:t xml:space="preserve">- </w:t>
    </w:r>
    <w:hyperlink r:id="rId1" w:history="1">
      <w:r w:rsidRPr="00610808">
        <w:rPr>
          <w:rStyle w:val="Hyperlink"/>
          <w:rFonts w:ascii="Arial" w:hAnsi="Arial" w:cs="Arial"/>
          <w:b/>
          <w:sz w:val="14"/>
          <w:szCs w:val="14"/>
        </w:rPr>
        <w:t>www.health.gov.au</w:t>
      </w:r>
    </w:hyperlink>
  </w:p>
  <w:p w14:paraId="52F28662" w14:textId="77777777" w:rsidR="00AD3779" w:rsidRPr="00CF3477" w:rsidRDefault="00AD3779" w:rsidP="004557B9">
    <w:pPr>
      <w:pStyle w:val="Footer"/>
      <w:spacing w:line="360" w:lineRule="auto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4A250" w14:textId="77777777" w:rsidR="00292387" w:rsidRDefault="00292387" w:rsidP="00AD3779">
      <w:r>
        <w:separator/>
      </w:r>
    </w:p>
  </w:footnote>
  <w:footnote w:type="continuationSeparator" w:id="0">
    <w:p w14:paraId="4828A820" w14:textId="77777777" w:rsidR="00292387" w:rsidRDefault="00292387" w:rsidP="00AD3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BA87B" w14:textId="4D874263" w:rsidR="00AD3779" w:rsidRDefault="00AD3779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590AA78E" wp14:editId="4DC357B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97507489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028CE5" w14:textId="21E4168B" w:rsidR="00AD3779" w:rsidRPr="00AD3779" w:rsidRDefault="00AD3779" w:rsidP="00AD377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AD3779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0AA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69028CE5" w14:textId="21E4168B" w:rsidR="00AD3779" w:rsidRPr="00AD3779" w:rsidRDefault="00AD3779" w:rsidP="00AD3779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AD3779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6DFAA" w14:textId="47E06103" w:rsidR="00AD3779" w:rsidRDefault="00AD3779">
    <w:pPr>
      <w:pStyle w:val="Header"/>
      <w:jc w:val="center"/>
      <w:rPr>
        <w:sz w:val="20"/>
        <w:szCs w:val="20"/>
      </w:rPr>
    </w:pPr>
    <w:r>
      <w:rPr>
        <w:noProof/>
        <w:sz w:val="20"/>
        <w:szCs w:val="20"/>
        <w14:ligatures w14:val="standardContextual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05F688BC" wp14:editId="19623648">
              <wp:simplePos x="723900" y="25400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0306677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66F07E" w14:textId="3224DA01" w:rsidR="00AD3779" w:rsidRPr="00AD3779" w:rsidRDefault="00AD3779" w:rsidP="00AD377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AD3779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F688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9pt;height:29.65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textbox style="mso-fit-shape-to-text:t" inset="0,15pt,0,0">
                <w:txbxContent>
                  <w:p w14:paraId="3266F07E" w14:textId="3224DA01" w:rsidR="00AD3779" w:rsidRPr="00AD3779" w:rsidRDefault="00AD3779" w:rsidP="00AD3779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AD3779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0AF60B6" w14:textId="5D25E196" w:rsidR="00AD3779" w:rsidRDefault="00AD3779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 xml:space="preserve">- </w:t>
    </w:r>
    <w:r>
      <w:rPr>
        <w:rStyle w:val="PageNumber"/>
        <w:rFonts w:eastAsiaTheme="majorEastAsia"/>
        <w:sz w:val="20"/>
        <w:szCs w:val="20"/>
      </w:rPr>
      <w:fldChar w:fldCharType="begin"/>
    </w:r>
    <w:r>
      <w:rPr>
        <w:rStyle w:val="PageNumber"/>
        <w:rFonts w:eastAsiaTheme="majorEastAsia"/>
        <w:sz w:val="20"/>
        <w:szCs w:val="20"/>
      </w:rPr>
      <w:instrText xml:space="preserve"> PAGE </w:instrText>
    </w:r>
    <w:r>
      <w:rPr>
        <w:rStyle w:val="PageNumber"/>
        <w:rFonts w:eastAsiaTheme="majorEastAsia"/>
        <w:sz w:val="20"/>
        <w:szCs w:val="20"/>
      </w:rPr>
      <w:fldChar w:fldCharType="separate"/>
    </w:r>
    <w:r>
      <w:rPr>
        <w:rStyle w:val="PageNumber"/>
        <w:rFonts w:eastAsiaTheme="majorEastAsia"/>
        <w:noProof/>
        <w:sz w:val="20"/>
        <w:szCs w:val="20"/>
      </w:rPr>
      <w:t>2</w:t>
    </w:r>
    <w:r>
      <w:rPr>
        <w:rStyle w:val="PageNumber"/>
        <w:rFonts w:eastAsiaTheme="majorEastAsia"/>
        <w:sz w:val="20"/>
        <w:szCs w:val="20"/>
      </w:rPr>
      <w:fldChar w:fldCharType="end"/>
    </w:r>
    <w:r>
      <w:rPr>
        <w:rStyle w:val="PageNumber"/>
        <w:rFonts w:eastAsiaTheme="majorEastAsia"/>
        <w:sz w:val="20"/>
        <w:szCs w:val="20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071B3" w14:textId="6CE1067B" w:rsidR="00AD3779" w:rsidRDefault="00AD3779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FC2934C" wp14:editId="67531430">
              <wp:simplePos x="901700" y="25400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42050024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A03FF8" w14:textId="6AC2F3F8" w:rsidR="00AD3779" w:rsidRPr="00AD3779" w:rsidRDefault="00AD3779" w:rsidP="00AD377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AD3779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C293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29.6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XuMnVg0CAAAcBAAA&#10;DgAAAAAAAAAAAAAAAAAuAgAAZHJzL2Uyb0RvYy54bWxQSwECLQAUAAYACAAAACEAinsHsNkAAAAD&#10;AQAADwAAAAAAAAAAAAAAAABnBAAAZHJzL2Rvd25yZXYueG1sUEsFBgAAAAAEAAQA8wAAAG0FAAAA&#10;AA==&#10;" filled="f" stroked="f">
              <v:textbox style="mso-fit-shape-to-text:t" inset="0,15pt,0,0">
                <w:txbxContent>
                  <w:p w14:paraId="3CA03FF8" w14:textId="6AC2F3F8" w:rsidR="00AD3779" w:rsidRPr="00AD3779" w:rsidRDefault="00AD3779" w:rsidP="00AD3779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AD3779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6718A"/>
    <w:multiLevelType w:val="hybridMultilevel"/>
    <w:tmpl w:val="086ECA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A09F1"/>
    <w:multiLevelType w:val="hybridMultilevel"/>
    <w:tmpl w:val="42BA3F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44EA8"/>
    <w:multiLevelType w:val="hybridMultilevel"/>
    <w:tmpl w:val="D9C04F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122C1"/>
    <w:multiLevelType w:val="hybridMultilevel"/>
    <w:tmpl w:val="BDB8B3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E52E9"/>
    <w:multiLevelType w:val="hybridMultilevel"/>
    <w:tmpl w:val="112866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F4B70"/>
    <w:multiLevelType w:val="hybridMultilevel"/>
    <w:tmpl w:val="30DCD6E4"/>
    <w:lvl w:ilvl="0" w:tplc="38BE59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FD216E"/>
    <w:multiLevelType w:val="hybridMultilevel"/>
    <w:tmpl w:val="710656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35564">
    <w:abstractNumId w:val="3"/>
  </w:num>
  <w:num w:numId="2" w16cid:durableId="546910989">
    <w:abstractNumId w:val="2"/>
  </w:num>
  <w:num w:numId="3" w16cid:durableId="187913647">
    <w:abstractNumId w:val="4"/>
  </w:num>
  <w:num w:numId="4" w16cid:durableId="1818721870">
    <w:abstractNumId w:val="1"/>
  </w:num>
  <w:num w:numId="5" w16cid:durableId="1381392637">
    <w:abstractNumId w:val="0"/>
  </w:num>
  <w:num w:numId="6" w16cid:durableId="629357995">
    <w:abstractNumId w:val="5"/>
  </w:num>
  <w:num w:numId="7" w16cid:durableId="21438859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D6C"/>
    <w:rsid w:val="000D0205"/>
    <w:rsid w:val="0023384C"/>
    <w:rsid w:val="00280050"/>
    <w:rsid w:val="002861BD"/>
    <w:rsid w:val="00292387"/>
    <w:rsid w:val="00295F28"/>
    <w:rsid w:val="002B19A7"/>
    <w:rsid w:val="002C57DE"/>
    <w:rsid w:val="002F4899"/>
    <w:rsid w:val="00303CB7"/>
    <w:rsid w:val="00375539"/>
    <w:rsid w:val="003820E0"/>
    <w:rsid w:val="003868C8"/>
    <w:rsid w:val="00395A12"/>
    <w:rsid w:val="00400443"/>
    <w:rsid w:val="00464073"/>
    <w:rsid w:val="004C5F2B"/>
    <w:rsid w:val="004F5409"/>
    <w:rsid w:val="00516AB1"/>
    <w:rsid w:val="005709E8"/>
    <w:rsid w:val="00591503"/>
    <w:rsid w:val="00592A85"/>
    <w:rsid w:val="00595F58"/>
    <w:rsid w:val="00691DDD"/>
    <w:rsid w:val="006A7465"/>
    <w:rsid w:val="006E7EBB"/>
    <w:rsid w:val="007218B2"/>
    <w:rsid w:val="00750FE9"/>
    <w:rsid w:val="00751583"/>
    <w:rsid w:val="007905CA"/>
    <w:rsid w:val="00814D25"/>
    <w:rsid w:val="00912D6C"/>
    <w:rsid w:val="00927A47"/>
    <w:rsid w:val="00997126"/>
    <w:rsid w:val="00A076EE"/>
    <w:rsid w:val="00A66D8D"/>
    <w:rsid w:val="00A73C87"/>
    <w:rsid w:val="00AD3779"/>
    <w:rsid w:val="00C634EC"/>
    <w:rsid w:val="00CC0B7D"/>
    <w:rsid w:val="00D357CA"/>
    <w:rsid w:val="00D4799D"/>
    <w:rsid w:val="00E82DF8"/>
    <w:rsid w:val="00F14D6C"/>
    <w:rsid w:val="00F7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7088A"/>
  <w15:chartTrackingRefBased/>
  <w15:docId w15:val="{5784FDD2-4C3E-4758-9316-C90F7392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D6C"/>
    <w:pPr>
      <w:spacing w:after="0" w:line="240" w:lineRule="auto"/>
    </w:pPr>
    <w:rPr>
      <w:rFonts w:ascii="Book Antiqua" w:eastAsia="Times New Roman" w:hAnsi="Book Antiqua"/>
      <w:kern w:val="0"/>
      <w:sz w:val="24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D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2DF8"/>
    <w:pPr>
      <w:widowControl w:val="0"/>
      <w:outlineLvl w:val="1"/>
    </w:pPr>
    <w:rPr>
      <w:rFonts w:ascii="Calibri" w:hAnsi="Calibri" w:cs="Calibri"/>
      <w:b/>
      <w:bCs/>
      <w:i/>
      <w:iCs/>
      <w:color w:val="153D63" w:themeColor="text2" w:themeTint="E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D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D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D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D6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D6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D6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D6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D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82DF8"/>
    <w:rPr>
      <w:rFonts w:ascii="Calibri" w:eastAsia="Times New Roman" w:hAnsi="Calibri" w:cs="Calibri"/>
      <w:b/>
      <w:bCs/>
      <w:i/>
      <w:iCs/>
      <w:color w:val="153D63" w:themeColor="text2" w:themeTint="E6"/>
      <w:kern w:val="0"/>
      <w:sz w:val="24"/>
      <w:lang w:eastAsia="en-AU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D6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D6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D6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D6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D6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D6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D6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D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D6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D6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D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D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D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D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D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D6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912D6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12D6C"/>
    <w:rPr>
      <w:rFonts w:ascii="Book Antiqua" w:eastAsia="Times New Roman" w:hAnsi="Book Antiqua"/>
      <w:kern w:val="0"/>
      <w:sz w:val="24"/>
      <w:lang w:eastAsia="en-AU"/>
      <w14:ligatures w14:val="none"/>
    </w:rPr>
  </w:style>
  <w:style w:type="paragraph" w:styleId="Footer">
    <w:name w:val="footer"/>
    <w:basedOn w:val="Normal"/>
    <w:link w:val="FooterChar"/>
    <w:rsid w:val="00912D6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12D6C"/>
    <w:rPr>
      <w:rFonts w:ascii="Book Antiqua" w:eastAsia="Times New Roman" w:hAnsi="Book Antiqua"/>
      <w:kern w:val="0"/>
      <w:sz w:val="24"/>
      <w:lang w:eastAsia="en-AU"/>
      <w14:ligatures w14:val="none"/>
    </w:rPr>
  </w:style>
  <w:style w:type="character" w:styleId="PageNumber">
    <w:name w:val="page number"/>
    <w:basedOn w:val="DefaultParagraphFont"/>
    <w:rsid w:val="00912D6C"/>
  </w:style>
  <w:style w:type="paragraph" w:styleId="NoSpacing">
    <w:name w:val="No Spacing"/>
    <w:uiPriority w:val="1"/>
    <w:qFormat/>
    <w:rsid w:val="00912D6C"/>
    <w:pPr>
      <w:spacing w:after="0" w:line="240" w:lineRule="auto"/>
    </w:pPr>
    <w:rPr>
      <w:rFonts w:ascii="Times New Roman" w:eastAsia="Times New Roman" w:hAnsi="Times New Roman"/>
      <w:kern w:val="0"/>
      <w:sz w:val="24"/>
      <w:lang w:eastAsia="en-AU"/>
      <w14:ligatures w14:val="none"/>
    </w:rPr>
  </w:style>
  <w:style w:type="table" w:styleId="TableGrid">
    <w:name w:val="Table Grid"/>
    <w:basedOn w:val="TableNormal"/>
    <w:uiPriority w:val="59"/>
    <w:rsid w:val="00912D6C"/>
    <w:pPr>
      <w:spacing w:after="0" w:line="240" w:lineRule="auto"/>
    </w:pPr>
    <w:rPr>
      <w:rFonts w:ascii="Times New Roman" w:eastAsia="Times New Roman" w:hAnsi="Times New Roman"/>
      <w:kern w:val="0"/>
      <w:szCs w:val="2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2D6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BAC@health.gov.a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ealth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1230</TotalTime>
  <Pages>5</Pages>
  <Words>2289</Words>
  <Characters>13304</Characters>
  <DocSecurity>0</DocSecurity>
  <Lines>277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2025-12-03T01:57:00Z</dcterms:created>
  <dcterms:modified xsi:type="dcterms:W3CDTF">2026-02-25T22:45:00Z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19105311,3a1e764b,624ac9a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e3d69d8,4af326d9,5ca8a2fb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2025-12-03T03:16:15Z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b58aae8f-cb15-4702-9bbc-204baab4ac42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