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0866" w14:textId="77777777" w:rsidR="00904FDA" w:rsidRPr="009F466A" w:rsidRDefault="00904FDA" w:rsidP="00796F04">
      <w:pPr>
        <w:spacing w:before="3800" w:after="240" w:line="240" w:lineRule="auto"/>
        <w:jc w:val="center"/>
        <w:rPr>
          <w:b/>
          <w:sz w:val="52"/>
          <w:szCs w:val="52"/>
        </w:rPr>
      </w:pPr>
      <w:r w:rsidRPr="009F466A">
        <w:rPr>
          <w:b/>
          <w:sz w:val="52"/>
          <w:szCs w:val="52"/>
        </w:rPr>
        <w:t>Pharmaceutical Benefits Scheme</w:t>
      </w:r>
    </w:p>
    <w:p w14:paraId="5BBB2604" w14:textId="77777777" w:rsidR="00904FDA" w:rsidRPr="009F466A" w:rsidRDefault="00904FDA" w:rsidP="001658D7">
      <w:pPr>
        <w:spacing w:before="480" w:after="240" w:line="240" w:lineRule="auto"/>
        <w:jc w:val="center"/>
        <w:rPr>
          <w:b/>
          <w:sz w:val="40"/>
          <w:szCs w:val="40"/>
        </w:rPr>
      </w:pPr>
      <w:r w:rsidRPr="009F466A">
        <w:rPr>
          <w:b/>
          <w:sz w:val="40"/>
          <w:szCs w:val="40"/>
        </w:rPr>
        <w:t>Post-market Review</w:t>
      </w:r>
      <w:r w:rsidR="00A3599C">
        <w:rPr>
          <w:b/>
          <w:sz w:val="40"/>
          <w:szCs w:val="40"/>
        </w:rPr>
        <w:t xml:space="preserve"> of</w:t>
      </w:r>
    </w:p>
    <w:p w14:paraId="35AE5620" w14:textId="77777777" w:rsidR="00487624" w:rsidRPr="00A3599C" w:rsidRDefault="00200248" w:rsidP="001658D7">
      <w:pPr>
        <w:spacing w:before="240" w:line="240" w:lineRule="auto"/>
        <w:jc w:val="center"/>
        <w:rPr>
          <w:b/>
          <w:color w:val="365F91" w:themeColor="accent1" w:themeShade="BF"/>
          <w:sz w:val="40"/>
          <w:szCs w:val="40"/>
        </w:rPr>
      </w:pPr>
      <w:r w:rsidRPr="00A3599C">
        <w:rPr>
          <w:b/>
          <w:color w:val="365F91" w:themeColor="accent1" w:themeShade="BF"/>
          <w:sz w:val="40"/>
          <w:szCs w:val="40"/>
        </w:rPr>
        <w:t>Medicines to treat Pulmonary Arterial Hypertension</w:t>
      </w:r>
    </w:p>
    <w:p w14:paraId="7C2AC7F6" w14:textId="77777777" w:rsidR="00A3599C" w:rsidRPr="0027270C" w:rsidRDefault="00734FA1" w:rsidP="0027270C">
      <w:pPr>
        <w:spacing w:before="240" w:after="1920" w:line="240" w:lineRule="auto"/>
        <w:jc w:val="center"/>
        <w:rPr>
          <w:b/>
          <w:color w:val="365F91" w:themeColor="accent1" w:themeShade="BF"/>
          <w:sz w:val="40"/>
          <w:szCs w:val="40"/>
        </w:rPr>
      </w:pPr>
      <w:r w:rsidRPr="00A3599C">
        <w:rPr>
          <w:b/>
          <w:color w:val="365F91" w:themeColor="accent1" w:themeShade="BF"/>
          <w:sz w:val="40"/>
          <w:szCs w:val="40"/>
        </w:rPr>
        <w:t>Executive Summary</w:t>
      </w:r>
    </w:p>
    <w:p w14:paraId="10462D5E" w14:textId="77777777" w:rsidR="00A3599C" w:rsidRPr="00A3599C" w:rsidRDefault="00F45A2E" w:rsidP="00A3599C">
      <w:pPr>
        <w:spacing w:before="240" w:line="240" w:lineRule="auto"/>
        <w:jc w:val="center"/>
        <w:rPr>
          <w:b/>
          <w:color w:val="365F91" w:themeColor="accent1" w:themeShade="BF"/>
          <w:sz w:val="32"/>
          <w:szCs w:val="32"/>
        </w:rPr>
      </w:pPr>
      <w:r>
        <w:rPr>
          <w:b/>
          <w:color w:val="365F91" w:themeColor="accent1" w:themeShade="BF"/>
          <w:sz w:val="32"/>
          <w:szCs w:val="32"/>
        </w:rPr>
        <w:t>Final Report</w:t>
      </w:r>
    </w:p>
    <w:p w14:paraId="6F473282" w14:textId="77777777" w:rsidR="00A14932" w:rsidRPr="00A14932" w:rsidRDefault="00A3599C" w:rsidP="00F4520A">
      <w:pPr>
        <w:spacing w:before="240" w:after="1920" w:line="240" w:lineRule="auto"/>
        <w:jc w:val="center"/>
      </w:pPr>
      <w:r w:rsidRPr="00B15758">
        <w:rPr>
          <w:b/>
          <w:color w:val="365F91" w:themeColor="accent1" w:themeShade="BF"/>
          <w:sz w:val="32"/>
          <w:szCs w:val="32"/>
        </w:rPr>
        <w:t>November 2018</w:t>
      </w:r>
    </w:p>
    <w:p w14:paraId="19698A62" w14:textId="77777777" w:rsidR="00A14932" w:rsidRDefault="00A14932" w:rsidP="00A14932"/>
    <w:p w14:paraId="00EE8D79" w14:textId="77777777" w:rsidR="008B72B7" w:rsidRPr="00A14932" w:rsidRDefault="008B72B7" w:rsidP="00A14932">
      <w:pPr>
        <w:sectPr w:rsidR="008B72B7" w:rsidRPr="00A14932" w:rsidSect="00A67D0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1134" w:bottom="1134" w:left="1134" w:header="709" w:footer="709" w:gutter="0"/>
          <w:cols w:space="708"/>
          <w:titlePg/>
          <w:docGrid w:linePitch="360"/>
        </w:sectPr>
      </w:pPr>
    </w:p>
    <w:p w14:paraId="5AB61374" w14:textId="77777777" w:rsidR="00904FDA" w:rsidRPr="009F466A" w:rsidRDefault="00734FA1" w:rsidP="00C21496">
      <w:pPr>
        <w:spacing w:before="480" w:after="240" w:line="240" w:lineRule="auto"/>
        <w:jc w:val="left"/>
        <w:rPr>
          <w:sz w:val="40"/>
          <w:szCs w:val="40"/>
        </w:rPr>
      </w:pPr>
      <w:r w:rsidRPr="009F466A">
        <w:rPr>
          <w:b/>
          <w:color w:val="365F91" w:themeColor="accent1" w:themeShade="BF"/>
          <w:sz w:val="40"/>
          <w:szCs w:val="40"/>
        </w:rPr>
        <w:lastRenderedPageBreak/>
        <w:t xml:space="preserve">Executive Summary </w:t>
      </w:r>
    </w:p>
    <w:sdt>
      <w:sdtPr>
        <w:rPr>
          <w:rFonts w:eastAsiaTheme="minorHAnsi" w:cstheme="minorBidi"/>
          <w:b w:val="0"/>
          <w:bCs w:val="0"/>
          <w:color w:val="auto"/>
          <w:sz w:val="24"/>
          <w:szCs w:val="22"/>
          <w:lang w:val="en-AU" w:eastAsia="en-AU"/>
        </w:rPr>
        <w:id w:val="-1772772657"/>
        <w:docPartObj>
          <w:docPartGallery w:val="Table of Contents"/>
          <w:docPartUnique/>
        </w:docPartObj>
      </w:sdtPr>
      <w:sdtEndPr>
        <w:rPr>
          <w:noProof/>
        </w:rPr>
      </w:sdtEndPr>
      <w:sdtContent>
        <w:p w14:paraId="16152156" w14:textId="77777777" w:rsidR="00101F92" w:rsidRPr="009F466A" w:rsidRDefault="00101F92" w:rsidP="00C21496">
          <w:pPr>
            <w:pStyle w:val="TOCHeading"/>
            <w:jc w:val="left"/>
          </w:pPr>
          <w:r w:rsidRPr="009F466A">
            <w:t>Contents</w:t>
          </w:r>
        </w:p>
        <w:p w14:paraId="43AC972A" w14:textId="77777777" w:rsidR="008B72B7" w:rsidRDefault="008B72B7">
          <w:pPr>
            <w:pStyle w:val="TOC1"/>
            <w:tabs>
              <w:tab w:val="right" w:leader="dot" w:pos="9628"/>
            </w:tabs>
            <w:rPr>
              <w:rFonts w:eastAsiaTheme="minorEastAsia"/>
              <w:noProof/>
              <w:sz w:val="22"/>
            </w:rPr>
          </w:pPr>
          <w:r w:rsidRPr="00C07794">
            <w:rPr>
              <w:noProof/>
            </w:rPr>
            <w:t>List of Tables</w:t>
          </w:r>
          <w:r>
            <w:rPr>
              <w:noProof/>
              <w:webHidden/>
            </w:rPr>
            <w:tab/>
          </w:r>
          <w:r w:rsidR="006606CD">
            <w:rPr>
              <w:noProof/>
              <w:webHidden/>
            </w:rPr>
            <w:t>3</w:t>
          </w:r>
        </w:p>
        <w:p w14:paraId="4F300591" w14:textId="77777777" w:rsidR="008B72B7" w:rsidRDefault="008B72B7">
          <w:pPr>
            <w:pStyle w:val="TOC1"/>
            <w:tabs>
              <w:tab w:val="right" w:leader="dot" w:pos="9628"/>
            </w:tabs>
            <w:rPr>
              <w:rFonts w:eastAsiaTheme="minorEastAsia"/>
              <w:noProof/>
              <w:sz w:val="22"/>
            </w:rPr>
          </w:pPr>
          <w:r w:rsidRPr="00C07794">
            <w:rPr>
              <w:noProof/>
            </w:rPr>
            <w:t>List of Figures</w:t>
          </w:r>
          <w:r>
            <w:rPr>
              <w:noProof/>
              <w:webHidden/>
            </w:rPr>
            <w:tab/>
          </w:r>
          <w:r w:rsidR="006606CD">
            <w:rPr>
              <w:noProof/>
              <w:webHidden/>
            </w:rPr>
            <w:t>4</w:t>
          </w:r>
        </w:p>
        <w:p w14:paraId="00526751" w14:textId="77777777" w:rsidR="008B72B7" w:rsidRDefault="008B72B7">
          <w:pPr>
            <w:pStyle w:val="TOC1"/>
            <w:tabs>
              <w:tab w:val="right" w:leader="dot" w:pos="9628"/>
            </w:tabs>
            <w:rPr>
              <w:rFonts w:eastAsiaTheme="minorEastAsia"/>
              <w:noProof/>
              <w:sz w:val="22"/>
            </w:rPr>
          </w:pPr>
          <w:r w:rsidRPr="00C07794">
            <w:rPr>
              <w:noProof/>
            </w:rPr>
            <w:t>Abbreviations</w:t>
          </w:r>
          <w:r>
            <w:rPr>
              <w:noProof/>
              <w:webHidden/>
            </w:rPr>
            <w:tab/>
          </w:r>
          <w:r w:rsidR="006606CD">
            <w:rPr>
              <w:noProof/>
              <w:webHidden/>
            </w:rPr>
            <w:t>5</w:t>
          </w:r>
        </w:p>
        <w:p w14:paraId="74524785" w14:textId="77777777" w:rsidR="008B72B7" w:rsidRDefault="008B72B7">
          <w:pPr>
            <w:pStyle w:val="TOC1"/>
            <w:tabs>
              <w:tab w:val="right" w:leader="dot" w:pos="9628"/>
            </w:tabs>
            <w:rPr>
              <w:rFonts w:eastAsiaTheme="minorEastAsia"/>
              <w:noProof/>
              <w:sz w:val="22"/>
            </w:rPr>
          </w:pPr>
          <w:r w:rsidRPr="00C07794">
            <w:rPr>
              <w:noProof/>
            </w:rPr>
            <w:t>Executive Summary</w:t>
          </w:r>
          <w:r>
            <w:rPr>
              <w:noProof/>
              <w:webHidden/>
            </w:rPr>
            <w:tab/>
          </w:r>
          <w:r w:rsidR="006606CD">
            <w:rPr>
              <w:noProof/>
              <w:webHidden/>
            </w:rPr>
            <w:t>8</w:t>
          </w:r>
        </w:p>
        <w:p w14:paraId="138EA2E5" w14:textId="77777777" w:rsidR="008B72B7" w:rsidRDefault="008B72B7">
          <w:pPr>
            <w:pStyle w:val="TOC2"/>
            <w:tabs>
              <w:tab w:val="right" w:leader="dot" w:pos="9628"/>
            </w:tabs>
            <w:rPr>
              <w:rFonts w:eastAsiaTheme="minorEastAsia"/>
              <w:noProof/>
              <w:sz w:val="22"/>
            </w:rPr>
          </w:pPr>
          <w:r w:rsidRPr="00C07794">
            <w:rPr>
              <w:noProof/>
            </w:rPr>
            <w:t>Background and context</w:t>
          </w:r>
          <w:r>
            <w:rPr>
              <w:noProof/>
              <w:webHidden/>
            </w:rPr>
            <w:tab/>
          </w:r>
          <w:r w:rsidR="006606CD">
            <w:rPr>
              <w:noProof/>
              <w:webHidden/>
            </w:rPr>
            <w:t>8</w:t>
          </w:r>
        </w:p>
        <w:p w14:paraId="620BEA81" w14:textId="77777777" w:rsidR="008B72B7" w:rsidRDefault="008B72B7">
          <w:pPr>
            <w:pStyle w:val="TOC3"/>
            <w:tabs>
              <w:tab w:val="right" w:leader="dot" w:pos="9628"/>
            </w:tabs>
            <w:rPr>
              <w:rFonts w:eastAsiaTheme="minorEastAsia"/>
              <w:noProof/>
              <w:sz w:val="22"/>
            </w:rPr>
          </w:pPr>
          <w:r w:rsidRPr="00C07794">
            <w:rPr>
              <w:noProof/>
            </w:rPr>
            <w:t>Review Terms of Reference</w:t>
          </w:r>
          <w:r>
            <w:rPr>
              <w:noProof/>
              <w:webHidden/>
            </w:rPr>
            <w:tab/>
          </w:r>
          <w:r w:rsidR="006606CD">
            <w:rPr>
              <w:noProof/>
              <w:webHidden/>
            </w:rPr>
            <w:t>11</w:t>
          </w:r>
        </w:p>
        <w:p w14:paraId="7E30435B" w14:textId="77777777" w:rsidR="008B72B7" w:rsidRDefault="008B72B7">
          <w:pPr>
            <w:pStyle w:val="TOC3"/>
            <w:tabs>
              <w:tab w:val="right" w:leader="dot" w:pos="9628"/>
            </w:tabs>
            <w:rPr>
              <w:rFonts w:eastAsiaTheme="minorEastAsia"/>
              <w:noProof/>
              <w:sz w:val="22"/>
            </w:rPr>
          </w:pPr>
          <w:r w:rsidRPr="00C07794">
            <w:rPr>
              <w:noProof/>
            </w:rPr>
            <w:t>Methodological approach to the technical report</w:t>
          </w:r>
          <w:r>
            <w:rPr>
              <w:noProof/>
              <w:webHidden/>
            </w:rPr>
            <w:tab/>
          </w:r>
          <w:r w:rsidR="006606CD">
            <w:rPr>
              <w:noProof/>
              <w:webHidden/>
            </w:rPr>
            <w:t>12</w:t>
          </w:r>
        </w:p>
        <w:p w14:paraId="1C94FADD" w14:textId="77777777" w:rsidR="008B72B7" w:rsidRDefault="008B72B7">
          <w:pPr>
            <w:pStyle w:val="TOC3"/>
            <w:tabs>
              <w:tab w:val="right" w:leader="dot" w:pos="9628"/>
            </w:tabs>
            <w:rPr>
              <w:rFonts w:eastAsiaTheme="minorEastAsia"/>
              <w:noProof/>
              <w:sz w:val="22"/>
            </w:rPr>
          </w:pPr>
          <w:r w:rsidRPr="00C07794">
            <w:rPr>
              <w:noProof/>
            </w:rPr>
            <w:t>Stakeholder consultation</w:t>
          </w:r>
          <w:r>
            <w:rPr>
              <w:noProof/>
              <w:webHidden/>
            </w:rPr>
            <w:tab/>
          </w:r>
          <w:r w:rsidR="006606CD">
            <w:rPr>
              <w:noProof/>
              <w:webHidden/>
            </w:rPr>
            <w:t>13</w:t>
          </w:r>
        </w:p>
        <w:p w14:paraId="1A68AD0E" w14:textId="77777777" w:rsidR="008B72B7" w:rsidRDefault="008B72B7">
          <w:pPr>
            <w:pStyle w:val="TOC2"/>
            <w:tabs>
              <w:tab w:val="right" w:leader="dot" w:pos="9628"/>
            </w:tabs>
            <w:rPr>
              <w:rFonts w:eastAsiaTheme="minorEastAsia"/>
              <w:noProof/>
              <w:sz w:val="22"/>
            </w:rPr>
          </w:pPr>
          <w:r w:rsidRPr="00C07794">
            <w:rPr>
              <w:noProof/>
            </w:rPr>
            <w:t>Key findings for ToR 1: Comparison of prescribing restrictions and clinical guidelines</w:t>
          </w:r>
          <w:r>
            <w:rPr>
              <w:noProof/>
              <w:webHidden/>
            </w:rPr>
            <w:tab/>
          </w:r>
          <w:r w:rsidR="006606CD">
            <w:rPr>
              <w:noProof/>
              <w:webHidden/>
            </w:rPr>
            <w:t>14</w:t>
          </w:r>
        </w:p>
        <w:p w14:paraId="3CC3B17A" w14:textId="77777777" w:rsidR="008B72B7" w:rsidRDefault="008B72B7">
          <w:pPr>
            <w:pStyle w:val="TOC3"/>
            <w:tabs>
              <w:tab w:val="right" w:leader="dot" w:pos="9628"/>
            </w:tabs>
            <w:rPr>
              <w:rFonts w:eastAsiaTheme="minorEastAsia"/>
              <w:noProof/>
              <w:sz w:val="22"/>
            </w:rPr>
          </w:pPr>
          <w:r w:rsidRPr="00C07794">
            <w:rPr>
              <w:noProof/>
            </w:rPr>
            <w:t>Key findings – Research Question 1</w:t>
          </w:r>
          <w:r>
            <w:rPr>
              <w:noProof/>
              <w:webHidden/>
            </w:rPr>
            <w:tab/>
          </w:r>
          <w:r w:rsidR="006606CD">
            <w:rPr>
              <w:noProof/>
              <w:webHidden/>
            </w:rPr>
            <w:t>14</w:t>
          </w:r>
        </w:p>
        <w:p w14:paraId="3A7C626C" w14:textId="77777777" w:rsidR="008B72B7" w:rsidRDefault="008B72B7">
          <w:pPr>
            <w:pStyle w:val="TOC3"/>
            <w:tabs>
              <w:tab w:val="right" w:leader="dot" w:pos="9628"/>
            </w:tabs>
            <w:rPr>
              <w:rFonts w:eastAsiaTheme="minorEastAsia"/>
              <w:noProof/>
              <w:sz w:val="22"/>
            </w:rPr>
          </w:pPr>
          <w:r w:rsidRPr="00C07794">
            <w:rPr>
              <w:noProof/>
            </w:rPr>
            <w:t>Key findings – Research Question 2</w:t>
          </w:r>
          <w:r>
            <w:rPr>
              <w:noProof/>
              <w:webHidden/>
            </w:rPr>
            <w:tab/>
          </w:r>
          <w:r w:rsidR="006606CD">
            <w:rPr>
              <w:noProof/>
              <w:webHidden/>
            </w:rPr>
            <w:t>14</w:t>
          </w:r>
        </w:p>
        <w:p w14:paraId="50D89F8D" w14:textId="77777777" w:rsidR="008B72B7" w:rsidRDefault="008B72B7">
          <w:pPr>
            <w:pStyle w:val="TOC3"/>
            <w:tabs>
              <w:tab w:val="right" w:leader="dot" w:pos="9628"/>
            </w:tabs>
            <w:rPr>
              <w:rFonts w:eastAsiaTheme="minorEastAsia"/>
              <w:noProof/>
              <w:sz w:val="22"/>
            </w:rPr>
          </w:pPr>
          <w:r w:rsidRPr="00C07794">
            <w:rPr>
              <w:noProof/>
            </w:rPr>
            <w:t>Key findings – Research Question 3</w:t>
          </w:r>
          <w:r>
            <w:rPr>
              <w:noProof/>
              <w:webHidden/>
            </w:rPr>
            <w:tab/>
          </w:r>
          <w:r w:rsidR="006606CD">
            <w:rPr>
              <w:noProof/>
              <w:webHidden/>
            </w:rPr>
            <w:t>16</w:t>
          </w:r>
        </w:p>
        <w:p w14:paraId="216DC7A8" w14:textId="77777777" w:rsidR="008B72B7" w:rsidRDefault="008B72B7">
          <w:pPr>
            <w:pStyle w:val="TOC3"/>
            <w:tabs>
              <w:tab w:val="right" w:leader="dot" w:pos="9628"/>
            </w:tabs>
            <w:rPr>
              <w:rFonts w:eastAsiaTheme="minorEastAsia"/>
              <w:noProof/>
              <w:sz w:val="22"/>
            </w:rPr>
          </w:pPr>
          <w:r w:rsidRPr="00C07794">
            <w:rPr>
              <w:noProof/>
            </w:rPr>
            <w:t>Stakeholder Views</w:t>
          </w:r>
          <w:r>
            <w:rPr>
              <w:noProof/>
              <w:webHidden/>
            </w:rPr>
            <w:tab/>
          </w:r>
          <w:r w:rsidR="006606CD">
            <w:rPr>
              <w:noProof/>
              <w:webHidden/>
            </w:rPr>
            <w:t>20</w:t>
          </w:r>
        </w:p>
        <w:p w14:paraId="0B912CEF" w14:textId="77777777" w:rsidR="008B72B7" w:rsidRDefault="008B72B7">
          <w:pPr>
            <w:pStyle w:val="TOC3"/>
            <w:tabs>
              <w:tab w:val="right" w:leader="dot" w:pos="9628"/>
            </w:tabs>
            <w:rPr>
              <w:rFonts w:eastAsiaTheme="minorEastAsia"/>
              <w:noProof/>
              <w:sz w:val="22"/>
            </w:rPr>
          </w:pPr>
          <w:r w:rsidRPr="00C07794">
            <w:rPr>
              <w:noProof/>
            </w:rPr>
            <w:t>Consumer Views</w:t>
          </w:r>
          <w:r>
            <w:rPr>
              <w:noProof/>
              <w:webHidden/>
            </w:rPr>
            <w:tab/>
          </w:r>
          <w:r w:rsidR="006606CD">
            <w:rPr>
              <w:noProof/>
              <w:webHidden/>
            </w:rPr>
            <w:t>20</w:t>
          </w:r>
        </w:p>
        <w:p w14:paraId="5B758971" w14:textId="77777777" w:rsidR="008B72B7" w:rsidRDefault="008B72B7">
          <w:pPr>
            <w:pStyle w:val="TOC2"/>
            <w:tabs>
              <w:tab w:val="right" w:leader="dot" w:pos="9628"/>
            </w:tabs>
            <w:rPr>
              <w:rFonts w:eastAsiaTheme="minorEastAsia"/>
              <w:noProof/>
              <w:sz w:val="22"/>
            </w:rPr>
          </w:pPr>
          <w:r w:rsidRPr="00C07794">
            <w:rPr>
              <w:noProof/>
            </w:rPr>
            <w:t>Key findings for ToR 2: Utilisation of PAH medicines</w:t>
          </w:r>
          <w:r>
            <w:rPr>
              <w:noProof/>
              <w:webHidden/>
            </w:rPr>
            <w:tab/>
          </w:r>
          <w:r w:rsidR="006606CD">
            <w:rPr>
              <w:noProof/>
              <w:webHidden/>
            </w:rPr>
            <w:t>20</w:t>
          </w:r>
        </w:p>
        <w:p w14:paraId="47268BDE" w14:textId="77777777" w:rsidR="008B72B7" w:rsidRDefault="008B72B7">
          <w:pPr>
            <w:pStyle w:val="TOC3"/>
            <w:tabs>
              <w:tab w:val="right" w:leader="dot" w:pos="9628"/>
            </w:tabs>
            <w:rPr>
              <w:rFonts w:eastAsiaTheme="minorEastAsia"/>
              <w:noProof/>
              <w:sz w:val="22"/>
            </w:rPr>
          </w:pPr>
          <w:r w:rsidRPr="00C07794">
            <w:rPr>
              <w:noProof/>
            </w:rPr>
            <w:t>PBS/RPBS Claims Data</w:t>
          </w:r>
          <w:r>
            <w:rPr>
              <w:noProof/>
              <w:webHidden/>
            </w:rPr>
            <w:tab/>
          </w:r>
          <w:r w:rsidR="006606CD">
            <w:rPr>
              <w:noProof/>
              <w:webHidden/>
            </w:rPr>
            <w:t>21</w:t>
          </w:r>
        </w:p>
        <w:p w14:paraId="2CD098FE" w14:textId="77777777" w:rsidR="008B72B7" w:rsidRDefault="008B72B7">
          <w:pPr>
            <w:pStyle w:val="TOC3"/>
            <w:tabs>
              <w:tab w:val="right" w:leader="dot" w:pos="9628"/>
            </w:tabs>
            <w:rPr>
              <w:rFonts w:eastAsiaTheme="minorEastAsia"/>
              <w:noProof/>
              <w:sz w:val="22"/>
            </w:rPr>
          </w:pPr>
          <w:r w:rsidRPr="00C07794">
            <w:rPr>
              <w:noProof/>
            </w:rPr>
            <w:t>Australian Scleroderma Interest Group Registry (ASIG)</w:t>
          </w:r>
          <w:r>
            <w:rPr>
              <w:noProof/>
              <w:webHidden/>
            </w:rPr>
            <w:tab/>
          </w:r>
          <w:r w:rsidR="006606CD">
            <w:rPr>
              <w:noProof/>
              <w:webHidden/>
            </w:rPr>
            <w:t>22</w:t>
          </w:r>
        </w:p>
        <w:p w14:paraId="598A1DD7" w14:textId="77777777" w:rsidR="008B72B7" w:rsidRDefault="008B72B7">
          <w:pPr>
            <w:pStyle w:val="TOC3"/>
            <w:tabs>
              <w:tab w:val="right" w:leader="dot" w:pos="9628"/>
            </w:tabs>
            <w:rPr>
              <w:rFonts w:eastAsiaTheme="minorEastAsia"/>
              <w:noProof/>
              <w:sz w:val="22"/>
            </w:rPr>
          </w:pPr>
          <w:r w:rsidRPr="00C07794">
            <w:rPr>
              <w:noProof/>
            </w:rPr>
            <w:t>Overall conclusions</w:t>
          </w:r>
          <w:r>
            <w:rPr>
              <w:noProof/>
              <w:webHidden/>
            </w:rPr>
            <w:tab/>
          </w:r>
          <w:r w:rsidR="006606CD">
            <w:rPr>
              <w:noProof/>
              <w:webHidden/>
            </w:rPr>
            <w:t>22</w:t>
          </w:r>
        </w:p>
        <w:p w14:paraId="22A7AB95" w14:textId="77777777" w:rsidR="008B72B7" w:rsidRDefault="008B72B7">
          <w:pPr>
            <w:pStyle w:val="TOC3"/>
            <w:tabs>
              <w:tab w:val="right" w:leader="dot" w:pos="9628"/>
            </w:tabs>
            <w:rPr>
              <w:rFonts w:eastAsiaTheme="minorEastAsia"/>
              <w:noProof/>
              <w:sz w:val="22"/>
            </w:rPr>
          </w:pPr>
          <w:r w:rsidRPr="00C07794">
            <w:rPr>
              <w:rFonts w:eastAsia="Times New Roman"/>
              <w:noProof/>
            </w:rPr>
            <w:t>Stakeholder views</w:t>
          </w:r>
          <w:r>
            <w:rPr>
              <w:noProof/>
              <w:webHidden/>
            </w:rPr>
            <w:tab/>
          </w:r>
          <w:r w:rsidR="006606CD">
            <w:rPr>
              <w:noProof/>
              <w:webHidden/>
            </w:rPr>
            <w:t>22</w:t>
          </w:r>
        </w:p>
        <w:p w14:paraId="156E2AE1" w14:textId="77777777" w:rsidR="008B72B7" w:rsidRDefault="008B72B7">
          <w:pPr>
            <w:pStyle w:val="TOC3"/>
            <w:tabs>
              <w:tab w:val="right" w:leader="dot" w:pos="9628"/>
            </w:tabs>
            <w:rPr>
              <w:rFonts w:eastAsiaTheme="minorEastAsia"/>
              <w:noProof/>
              <w:sz w:val="22"/>
            </w:rPr>
          </w:pPr>
          <w:r w:rsidRPr="00C07794">
            <w:rPr>
              <w:rFonts w:eastAsia="Times New Roman"/>
              <w:noProof/>
            </w:rPr>
            <w:t>Consumer views</w:t>
          </w:r>
          <w:r>
            <w:rPr>
              <w:noProof/>
              <w:webHidden/>
            </w:rPr>
            <w:tab/>
          </w:r>
          <w:r w:rsidR="006606CD">
            <w:rPr>
              <w:noProof/>
              <w:webHidden/>
            </w:rPr>
            <w:t>23</w:t>
          </w:r>
        </w:p>
        <w:p w14:paraId="3E6FB29C" w14:textId="77777777" w:rsidR="008B72B7" w:rsidRDefault="008B72B7">
          <w:pPr>
            <w:pStyle w:val="TOC2"/>
            <w:tabs>
              <w:tab w:val="right" w:leader="dot" w:pos="9628"/>
            </w:tabs>
            <w:rPr>
              <w:rFonts w:eastAsiaTheme="minorEastAsia"/>
              <w:noProof/>
              <w:sz w:val="22"/>
            </w:rPr>
          </w:pPr>
          <w:r w:rsidRPr="00C07794">
            <w:rPr>
              <w:noProof/>
            </w:rPr>
            <w:t>Key findings for ToR 3: Clinical outcomes relevant to patients and evidence considered by PBAC</w:t>
          </w:r>
          <w:r>
            <w:rPr>
              <w:noProof/>
              <w:webHidden/>
            </w:rPr>
            <w:tab/>
          </w:r>
          <w:r w:rsidR="006606CD">
            <w:rPr>
              <w:noProof/>
              <w:webHidden/>
            </w:rPr>
            <w:t>23</w:t>
          </w:r>
        </w:p>
        <w:p w14:paraId="5E23DF57" w14:textId="77777777" w:rsidR="008B72B7" w:rsidRDefault="008B72B7">
          <w:pPr>
            <w:pStyle w:val="TOC3"/>
            <w:tabs>
              <w:tab w:val="right" w:leader="dot" w:pos="9628"/>
            </w:tabs>
            <w:rPr>
              <w:rFonts w:eastAsiaTheme="minorEastAsia"/>
              <w:noProof/>
              <w:sz w:val="22"/>
            </w:rPr>
          </w:pPr>
          <w:r w:rsidRPr="00C07794">
            <w:rPr>
              <w:noProof/>
            </w:rPr>
            <w:t>Stakeholder views</w:t>
          </w:r>
          <w:r>
            <w:rPr>
              <w:noProof/>
              <w:webHidden/>
            </w:rPr>
            <w:tab/>
          </w:r>
          <w:r w:rsidR="006606CD">
            <w:rPr>
              <w:noProof/>
              <w:webHidden/>
            </w:rPr>
            <w:t>23</w:t>
          </w:r>
        </w:p>
        <w:p w14:paraId="213BF030" w14:textId="77777777" w:rsidR="008B72B7" w:rsidRDefault="008B72B7">
          <w:pPr>
            <w:pStyle w:val="TOC2"/>
            <w:tabs>
              <w:tab w:val="right" w:leader="dot" w:pos="9628"/>
            </w:tabs>
            <w:rPr>
              <w:rFonts w:eastAsiaTheme="minorEastAsia"/>
              <w:noProof/>
              <w:sz w:val="22"/>
            </w:rPr>
          </w:pPr>
          <w:r w:rsidRPr="00C07794">
            <w:rPr>
              <w:noProof/>
            </w:rPr>
            <w:t>Key findings for ToR 4: Review of effectiveness and safety</w:t>
          </w:r>
          <w:r>
            <w:rPr>
              <w:noProof/>
              <w:webHidden/>
            </w:rPr>
            <w:tab/>
          </w:r>
          <w:r w:rsidR="006606CD">
            <w:rPr>
              <w:noProof/>
              <w:webHidden/>
            </w:rPr>
            <w:t>25</w:t>
          </w:r>
        </w:p>
        <w:p w14:paraId="137A2447" w14:textId="77777777" w:rsidR="008B72B7" w:rsidRDefault="008B72B7">
          <w:pPr>
            <w:pStyle w:val="TOC3"/>
            <w:tabs>
              <w:tab w:val="right" w:leader="dot" w:pos="9628"/>
            </w:tabs>
            <w:rPr>
              <w:rFonts w:eastAsiaTheme="minorEastAsia"/>
              <w:noProof/>
              <w:sz w:val="22"/>
            </w:rPr>
          </w:pPr>
          <w:r w:rsidRPr="00C07794">
            <w:rPr>
              <w:noProof/>
            </w:rPr>
            <w:t>Effectiveness and safety of monotherapy in WHO FC I or II PAH</w:t>
          </w:r>
          <w:r>
            <w:rPr>
              <w:noProof/>
              <w:webHidden/>
            </w:rPr>
            <w:tab/>
          </w:r>
          <w:r w:rsidR="006606CD">
            <w:rPr>
              <w:noProof/>
              <w:webHidden/>
            </w:rPr>
            <w:t>25</w:t>
          </w:r>
        </w:p>
        <w:p w14:paraId="4FCE6C2B" w14:textId="77777777" w:rsidR="008B72B7" w:rsidRDefault="008B72B7">
          <w:pPr>
            <w:pStyle w:val="TOC3"/>
            <w:tabs>
              <w:tab w:val="right" w:leader="dot" w:pos="9628"/>
            </w:tabs>
            <w:rPr>
              <w:rFonts w:eastAsiaTheme="minorEastAsia"/>
              <w:noProof/>
              <w:sz w:val="22"/>
            </w:rPr>
          </w:pPr>
          <w:r w:rsidRPr="00C07794">
            <w:rPr>
              <w:noProof/>
            </w:rPr>
            <w:t>Evidence of effectiveness and safety of monotherapy in WHO FC III or IV PAH not previously considered by the PBAC</w:t>
          </w:r>
          <w:r>
            <w:rPr>
              <w:noProof/>
              <w:webHidden/>
            </w:rPr>
            <w:tab/>
          </w:r>
          <w:r w:rsidR="006606CD">
            <w:rPr>
              <w:noProof/>
              <w:webHidden/>
            </w:rPr>
            <w:t>29</w:t>
          </w:r>
        </w:p>
        <w:p w14:paraId="3D188630" w14:textId="77777777" w:rsidR="008B72B7" w:rsidRDefault="008B72B7">
          <w:pPr>
            <w:pStyle w:val="TOC3"/>
            <w:tabs>
              <w:tab w:val="right" w:leader="dot" w:pos="9628"/>
            </w:tabs>
            <w:rPr>
              <w:rFonts w:eastAsiaTheme="minorEastAsia"/>
              <w:noProof/>
              <w:sz w:val="22"/>
            </w:rPr>
          </w:pPr>
          <w:r w:rsidRPr="00C07794">
            <w:rPr>
              <w:noProof/>
            </w:rPr>
            <w:t>Effectiveness and safety of dual combination therapy</w:t>
          </w:r>
          <w:r>
            <w:rPr>
              <w:noProof/>
              <w:webHidden/>
            </w:rPr>
            <w:tab/>
          </w:r>
          <w:r w:rsidR="006606CD">
            <w:rPr>
              <w:noProof/>
              <w:webHidden/>
            </w:rPr>
            <w:t>33</w:t>
          </w:r>
        </w:p>
        <w:p w14:paraId="70E0ADBC" w14:textId="77777777" w:rsidR="008B72B7" w:rsidRDefault="008B72B7">
          <w:pPr>
            <w:pStyle w:val="TOC3"/>
            <w:tabs>
              <w:tab w:val="right" w:leader="dot" w:pos="9628"/>
            </w:tabs>
            <w:rPr>
              <w:rFonts w:eastAsiaTheme="minorEastAsia"/>
              <w:noProof/>
              <w:sz w:val="22"/>
            </w:rPr>
          </w:pPr>
          <w:r w:rsidRPr="00C07794">
            <w:rPr>
              <w:noProof/>
            </w:rPr>
            <w:t>Effectiveness and safety of triple combination therapy</w:t>
          </w:r>
          <w:r>
            <w:rPr>
              <w:noProof/>
              <w:webHidden/>
            </w:rPr>
            <w:tab/>
          </w:r>
          <w:r w:rsidR="006606CD">
            <w:rPr>
              <w:noProof/>
              <w:webHidden/>
            </w:rPr>
            <w:t>53</w:t>
          </w:r>
        </w:p>
        <w:p w14:paraId="7675FE61" w14:textId="77777777" w:rsidR="008B72B7" w:rsidRDefault="008B72B7">
          <w:pPr>
            <w:pStyle w:val="TOC3"/>
            <w:tabs>
              <w:tab w:val="right" w:leader="dot" w:pos="9628"/>
            </w:tabs>
            <w:rPr>
              <w:rFonts w:eastAsiaTheme="minorEastAsia"/>
              <w:noProof/>
              <w:sz w:val="22"/>
            </w:rPr>
          </w:pPr>
          <w:r w:rsidRPr="00C07794">
            <w:rPr>
              <w:noProof/>
            </w:rPr>
            <w:t>Extended safety assessment</w:t>
          </w:r>
          <w:r>
            <w:rPr>
              <w:noProof/>
              <w:webHidden/>
            </w:rPr>
            <w:tab/>
          </w:r>
          <w:r w:rsidR="006606CD">
            <w:rPr>
              <w:noProof/>
              <w:webHidden/>
            </w:rPr>
            <w:t>53</w:t>
          </w:r>
        </w:p>
        <w:p w14:paraId="27ACBD76" w14:textId="77777777" w:rsidR="008B72B7" w:rsidRDefault="008B72B7">
          <w:pPr>
            <w:pStyle w:val="TOC3"/>
            <w:tabs>
              <w:tab w:val="right" w:leader="dot" w:pos="9628"/>
            </w:tabs>
            <w:rPr>
              <w:rFonts w:eastAsiaTheme="minorEastAsia"/>
              <w:noProof/>
              <w:sz w:val="22"/>
            </w:rPr>
          </w:pPr>
          <w:r w:rsidRPr="00C07794">
            <w:rPr>
              <w:noProof/>
            </w:rPr>
            <w:lastRenderedPageBreak/>
            <w:t>Stakeholder views</w:t>
          </w:r>
          <w:r>
            <w:rPr>
              <w:noProof/>
              <w:webHidden/>
            </w:rPr>
            <w:tab/>
          </w:r>
          <w:r w:rsidR="006606CD">
            <w:rPr>
              <w:noProof/>
              <w:webHidden/>
            </w:rPr>
            <w:t>54</w:t>
          </w:r>
        </w:p>
        <w:p w14:paraId="28ED12D6" w14:textId="77777777" w:rsidR="008B72B7" w:rsidRDefault="008B72B7">
          <w:pPr>
            <w:pStyle w:val="TOC3"/>
            <w:tabs>
              <w:tab w:val="right" w:leader="dot" w:pos="9628"/>
            </w:tabs>
            <w:rPr>
              <w:rFonts w:eastAsiaTheme="minorEastAsia"/>
              <w:noProof/>
              <w:sz w:val="22"/>
            </w:rPr>
          </w:pPr>
          <w:r w:rsidRPr="00C07794">
            <w:rPr>
              <w:noProof/>
            </w:rPr>
            <w:t>Consumer views</w:t>
          </w:r>
          <w:r>
            <w:rPr>
              <w:noProof/>
              <w:webHidden/>
            </w:rPr>
            <w:tab/>
          </w:r>
          <w:r w:rsidR="006606CD">
            <w:rPr>
              <w:noProof/>
              <w:webHidden/>
            </w:rPr>
            <w:t>54</w:t>
          </w:r>
        </w:p>
        <w:p w14:paraId="29F873B6" w14:textId="77777777" w:rsidR="008B72B7" w:rsidRDefault="008B72B7">
          <w:pPr>
            <w:pStyle w:val="TOC2"/>
            <w:tabs>
              <w:tab w:val="right" w:leader="dot" w:pos="9628"/>
            </w:tabs>
            <w:rPr>
              <w:rFonts w:eastAsiaTheme="minorEastAsia"/>
              <w:noProof/>
              <w:sz w:val="22"/>
            </w:rPr>
          </w:pPr>
          <w:r w:rsidRPr="00C07794">
            <w:rPr>
              <w:noProof/>
            </w:rPr>
            <w:t>Key findings for ToR 5: Cost-effectiveness</w:t>
          </w:r>
          <w:r>
            <w:rPr>
              <w:noProof/>
              <w:webHidden/>
            </w:rPr>
            <w:tab/>
          </w:r>
          <w:r w:rsidR="006606CD">
            <w:rPr>
              <w:noProof/>
              <w:webHidden/>
            </w:rPr>
            <w:t>55</w:t>
          </w:r>
        </w:p>
        <w:p w14:paraId="3B7BCA09" w14:textId="77777777" w:rsidR="008B72B7" w:rsidRDefault="008B72B7">
          <w:pPr>
            <w:pStyle w:val="TOC3"/>
            <w:tabs>
              <w:tab w:val="right" w:leader="dot" w:pos="9628"/>
            </w:tabs>
            <w:rPr>
              <w:rFonts w:eastAsiaTheme="minorEastAsia"/>
              <w:noProof/>
              <w:sz w:val="22"/>
            </w:rPr>
          </w:pPr>
          <w:r w:rsidRPr="00C07794">
            <w:rPr>
              <w:noProof/>
            </w:rPr>
            <w:t>Key findings</w:t>
          </w:r>
          <w:r>
            <w:rPr>
              <w:noProof/>
              <w:webHidden/>
            </w:rPr>
            <w:tab/>
          </w:r>
          <w:r w:rsidR="006606CD">
            <w:rPr>
              <w:noProof/>
              <w:webHidden/>
            </w:rPr>
            <w:t>55</w:t>
          </w:r>
        </w:p>
        <w:p w14:paraId="17028899" w14:textId="77777777" w:rsidR="008B72B7" w:rsidRDefault="008B72B7">
          <w:pPr>
            <w:pStyle w:val="TOC2"/>
            <w:tabs>
              <w:tab w:val="right" w:leader="dot" w:pos="9628"/>
            </w:tabs>
            <w:rPr>
              <w:rFonts w:eastAsiaTheme="minorEastAsia"/>
              <w:noProof/>
              <w:sz w:val="22"/>
            </w:rPr>
          </w:pPr>
          <w:r w:rsidRPr="00C07794">
            <w:rPr>
              <w:noProof/>
            </w:rPr>
            <w:t>PAH Review Options</w:t>
          </w:r>
          <w:r>
            <w:rPr>
              <w:noProof/>
              <w:webHidden/>
            </w:rPr>
            <w:tab/>
          </w:r>
          <w:r w:rsidR="006606CD">
            <w:rPr>
              <w:noProof/>
              <w:webHidden/>
            </w:rPr>
            <w:t>56</w:t>
          </w:r>
        </w:p>
        <w:p w14:paraId="573F1A71" w14:textId="77777777" w:rsidR="008B72B7" w:rsidRDefault="008B72B7">
          <w:pPr>
            <w:pStyle w:val="TOC3"/>
            <w:tabs>
              <w:tab w:val="right" w:leader="dot" w:pos="9628"/>
            </w:tabs>
            <w:rPr>
              <w:rFonts w:eastAsiaTheme="minorEastAsia"/>
              <w:noProof/>
              <w:sz w:val="22"/>
            </w:rPr>
          </w:pPr>
          <w:r w:rsidRPr="00C07794">
            <w:rPr>
              <w:noProof/>
            </w:rPr>
            <w:t>PBS options</w:t>
          </w:r>
          <w:r>
            <w:rPr>
              <w:noProof/>
              <w:webHidden/>
            </w:rPr>
            <w:tab/>
          </w:r>
          <w:r w:rsidR="006606CD">
            <w:rPr>
              <w:noProof/>
              <w:webHidden/>
            </w:rPr>
            <w:t>56</w:t>
          </w:r>
        </w:p>
        <w:p w14:paraId="2AE6381E" w14:textId="77777777" w:rsidR="008B72B7" w:rsidRDefault="008B72B7">
          <w:pPr>
            <w:pStyle w:val="TOC1"/>
            <w:tabs>
              <w:tab w:val="right" w:leader="dot" w:pos="9628"/>
            </w:tabs>
            <w:rPr>
              <w:rFonts w:eastAsiaTheme="minorEastAsia"/>
              <w:noProof/>
              <w:sz w:val="22"/>
            </w:rPr>
          </w:pPr>
          <w:r w:rsidRPr="00C07794">
            <w:rPr>
              <w:noProof/>
            </w:rPr>
            <w:t>References</w:t>
          </w:r>
          <w:r>
            <w:rPr>
              <w:noProof/>
              <w:webHidden/>
            </w:rPr>
            <w:tab/>
          </w:r>
          <w:r w:rsidR="006606CD">
            <w:rPr>
              <w:noProof/>
              <w:webHidden/>
            </w:rPr>
            <w:t>68</w:t>
          </w:r>
        </w:p>
        <w:p w14:paraId="5D03B349" w14:textId="77777777" w:rsidR="00D73E11" w:rsidRPr="009F466A" w:rsidRDefault="00764992" w:rsidP="00C21496">
          <w:pPr>
            <w:jc w:val="left"/>
          </w:pPr>
        </w:p>
      </w:sdtContent>
    </w:sdt>
    <w:p w14:paraId="7201CFEF" w14:textId="77777777" w:rsidR="00B14CBF" w:rsidRDefault="00AB59A7" w:rsidP="00C21496">
      <w:pPr>
        <w:pStyle w:val="Heading1"/>
        <w:spacing w:before="480" w:after="240" w:line="240" w:lineRule="auto"/>
        <w:jc w:val="left"/>
        <w:rPr>
          <w:sz w:val="40"/>
          <w:szCs w:val="40"/>
        </w:rPr>
      </w:pPr>
      <w:bookmarkStart w:id="0" w:name="_Toc526943983"/>
      <w:r w:rsidRPr="009F466A">
        <w:rPr>
          <w:sz w:val="40"/>
          <w:szCs w:val="40"/>
        </w:rPr>
        <w:t>List of Tables</w:t>
      </w:r>
      <w:bookmarkEnd w:id="0"/>
    </w:p>
    <w:p w14:paraId="4A92EA8D"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 xml:space="preserve">Table ES.1 </w:t>
      </w:r>
      <w:r w:rsidRPr="005F2F5B">
        <w:rPr>
          <w:rFonts w:ascii="Calibri" w:eastAsiaTheme="minorEastAsia" w:hAnsi="Calibri" w:cs="Calibri"/>
          <w:noProof/>
          <w:sz w:val="22"/>
          <w:szCs w:val="22"/>
          <w:lang w:eastAsia="en-AU"/>
        </w:rPr>
        <w:tab/>
      </w:r>
      <w:r w:rsidRPr="00C07794">
        <w:rPr>
          <w:rFonts w:ascii="Calibri" w:hAnsi="Calibri" w:cs="Calibri"/>
          <w:noProof/>
        </w:rPr>
        <w:t>PBS listed medicines to treat PAH</w:t>
      </w:r>
      <w:r w:rsidRPr="005F2F5B">
        <w:rPr>
          <w:rFonts w:ascii="Calibri" w:hAnsi="Calibri" w:cs="Calibri"/>
          <w:noProof/>
          <w:webHidden/>
        </w:rPr>
        <w:tab/>
      </w:r>
      <w:r w:rsidR="006606CD">
        <w:rPr>
          <w:rFonts w:ascii="Calibri" w:hAnsi="Calibri" w:cs="Calibri"/>
          <w:noProof/>
          <w:webHidden/>
        </w:rPr>
        <w:t>9</w:t>
      </w:r>
    </w:p>
    <w:p w14:paraId="013CFE44"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 xml:space="preserve">Table ES.2 </w:t>
      </w:r>
      <w:r w:rsidRPr="005F2F5B">
        <w:rPr>
          <w:rFonts w:ascii="Calibri" w:eastAsiaTheme="minorEastAsia" w:hAnsi="Calibri" w:cs="Calibri"/>
          <w:noProof/>
          <w:sz w:val="22"/>
          <w:szCs w:val="22"/>
          <w:lang w:eastAsia="en-AU"/>
        </w:rPr>
        <w:tab/>
      </w:r>
      <w:r w:rsidRPr="00C07794">
        <w:rPr>
          <w:rFonts w:ascii="Calibri" w:hAnsi="Calibri" w:cs="Calibri"/>
          <w:noProof/>
        </w:rPr>
        <w:t>Methodological approaches to ToR 1, ToR 3, ToR 4 and ToR 5</w:t>
      </w:r>
      <w:r w:rsidRPr="005F2F5B">
        <w:rPr>
          <w:rFonts w:ascii="Calibri" w:hAnsi="Calibri" w:cs="Calibri"/>
          <w:noProof/>
          <w:webHidden/>
        </w:rPr>
        <w:tab/>
      </w:r>
      <w:r w:rsidR="006606CD">
        <w:rPr>
          <w:rFonts w:ascii="Calibri" w:hAnsi="Calibri" w:cs="Calibri"/>
          <w:noProof/>
          <w:webHidden/>
        </w:rPr>
        <w:t>12</w:t>
      </w:r>
    </w:p>
    <w:p w14:paraId="1BF31E6B"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ES.3</w:t>
      </w:r>
      <w:r w:rsidRPr="005F2F5B">
        <w:rPr>
          <w:rFonts w:ascii="Calibri" w:eastAsiaTheme="minorEastAsia" w:hAnsi="Calibri" w:cs="Calibri"/>
          <w:noProof/>
          <w:sz w:val="22"/>
          <w:szCs w:val="22"/>
          <w:lang w:eastAsia="en-AU"/>
        </w:rPr>
        <w:tab/>
      </w:r>
      <w:r w:rsidRPr="00C07794">
        <w:rPr>
          <w:rFonts w:ascii="Calibri" w:hAnsi="Calibri" w:cs="Calibri"/>
          <w:noProof/>
        </w:rPr>
        <w:t>Methodological approach to ToR 2</w:t>
      </w:r>
      <w:r w:rsidRPr="005F2F5B">
        <w:rPr>
          <w:rFonts w:ascii="Calibri" w:hAnsi="Calibri" w:cs="Calibri"/>
          <w:noProof/>
          <w:webHidden/>
        </w:rPr>
        <w:tab/>
      </w:r>
      <w:r w:rsidR="006606CD">
        <w:rPr>
          <w:rFonts w:ascii="Calibri" w:hAnsi="Calibri" w:cs="Calibri"/>
          <w:noProof/>
          <w:webHidden/>
        </w:rPr>
        <w:t>13</w:t>
      </w:r>
    </w:p>
    <w:p w14:paraId="58E2ACB0"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 xml:space="preserve">Table ES.4 </w:t>
      </w:r>
      <w:r w:rsidRPr="005F2F5B">
        <w:rPr>
          <w:rFonts w:ascii="Calibri" w:eastAsiaTheme="minorEastAsia" w:hAnsi="Calibri" w:cs="Calibri"/>
          <w:noProof/>
          <w:sz w:val="22"/>
          <w:szCs w:val="22"/>
          <w:lang w:eastAsia="en-AU"/>
        </w:rPr>
        <w:tab/>
      </w:r>
      <w:r w:rsidRPr="00C07794">
        <w:rPr>
          <w:rFonts w:ascii="Calibri" w:hAnsi="Calibri" w:cs="Calibri"/>
          <w:noProof/>
        </w:rPr>
        <w:t>Comparison of PBS restrictions, TGA indications and PAH guidelines</w:t>
      </w:r>
      <w:r w:rsidRPr="005F2F5B">
        <w:rPr>
          <w:rFonts w:ascii="Calibri" w:hAnsi="Calibri" w:cs="Calibri"/>
          <w:noProof/>
          <w:webHidden/>
        </w:rPr>
        <w:tab/>
      </w:r>
      <w:r w:rsidR="006606CD">
        <w:rPr>
          <w:rFonts w:ascii="Calibri" w:hAnsi="Calibri" w:cs="Calibri"/>
          <w:noProof/>
          <w:webHidden/>
        </w:rPr>
        <w:t>17</w:t>
      </w:r>
    </w:p>
    <w:p w14:paraId="0B07BBA9"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ES.5</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an ERA compared with placebo in patients with WHO FC I/II PAH</w:t>
      </w:r>
      <w:r w:rsidRPr="005F2F5B">
        <w:rPr>
          <w:rFonts w:ascii="Calibri" w:hAnsi="Calibri" w:cs="Calibri"/>
          <w:noProof/>
          <w:webHidden/>
        </w:rPr>
        <w:tab/>
      </w:r>
      <w:r w:rsidR="006606CD">
        <w:rPr>
          <w:rFonts w:ascii="Calibri" w:hAnsi="Calibri" w:cs="Calibri"/>
          <w:noProof/>
          <w:webHidden/>
        </w:rPr>
        <w:t>25</w:t>
      </w:r>
    </w:p>
    <w:p w14:paraId="42B70AC7"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ES.6</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PDE-5 inhibitor versus placebo in patients with WHO FC I/II PAH</w:t>
      </w:r>
      <w:r w:rsidRPr="005F2F5B">
        <w:rPr>
          <w:rFonts w:ascii="Calibri" w:hAnsi="Calibri" w:cs="Calibri"/>
          <w:noProof/>
          <w:webHidden/>
        </w:rPr>
        <w:tab/>
      </w:r>
      <w:r w:rsidR="006606CD">
        <w:rPr>
          <w:rFonts w:ascii="Calibri" w:hAnsi="Calibri" w:cs="Calibri"/>
          <w:noProof/>
          <w:webHidden/>
        </w:rPr>
        <w:t>27</w:t>
      </w:r>
    </w:p>
    <w:p w14:paraId="0325399B" w14:textId="77777777" w:rsidR="005F2F5B" w:rsidRDefault="005F2F5B">
      <w:pPr>
        <w:pStyle w:val="TableofFigures"/>
        <w:tabs>
          <w:tab w:val="right" w:leader="dot" w:pos="9628"/>
        </w:tabs>
        <w:rPr>
          <w:rFonts w:ascii="Calibri" w:hAnsi="Calibri" w:cs="Calibri"/>
          <w:noProof/>
          <w:webHidden/>
        </w:rPr>
      </w:pPr>
      <w:r w:rsidRPr="00C07794">
        <w:rPr>
          <w:rFonts w:ascii="Calibri" w:hAnsi="Calibri" w:cs="Calibri"/>
          <w:noProof/>
        </w:rPr>
        <w:t>Table ES.7</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sGC stimulator versus placebo in patients with WHO FC I/II PAH</w:t>
      </w:r>
      <w:r w:rsidRPr="005F2F5B">
        <w:rPr>
          <w:rFonts w:ascii="Calibri" w:hAnsi="Calibri" w:cs="Calibri"/>
          <w:noProof/>
          <w:webHidden/>
        </w:rPr>
        <w:tab/>
      </w:r>
      <w:r w:rsidR="006606CD">
        <w:rPr>
          <w:rFonts w:ascii="Calibri" w:hAnsi="Calibri" w:cs="Calibri"/>
          <w:noProof/>
          <w:webHidden/>
        </w:rPr>
        <w:t>28</w:t>
      </w:r>
    </w:p>
    <w:p w14:paraId="461FA375" w14:textId="77777777" w:rsidR="00B373AD" w:rsidRPr="005F2F5B" w:rsidRDefault="00B373AD">
      <w:pPr>
        <w:pStyle w:val="TableofFigures"/>
        <w:tabs>
          <w:tab w:val="right" w:leader="dot" w:pos="9628"/>
        </w:tabs>
        <w:rPr>
          <w:rFonts w:ascii="Calibri" w:eastAsiaTheme="minorEastAsia" w:hAnsi="Calibri" w:cs="Calibri"/>
          <w:noProof/>
          <w:sz w:val="22"/>
          <w:szCs w:val="22"/>
          <w:lang w:eastAsia="en-AU"/>
        </w:rPr>
      </w:pPr>
      <w:r>
        <w:rPr>
          <w:rFonts w:ascii="Calibri" w:hAnsi="Calibri" w:cs="Calibri"/>
          <w:noProof/>
          <w:webHidden/>
        </w:rPr>
        <w:t>Table ES.8</w:t>
      </w:r>
      <w:r>
        <w:rPr>
          <w:rFonts w:ascii="Calibri" w:hAnsi="Calibri" w:cs="Calibri"/>
          <w:noProof/>
          <w:webHidden/>
        </w:rPr>
        <w:tab/>
      </w:r>
      <w:r w:rsidRPr="00B373AD">
        <w:rPr>
          <w:rFonts w:ascii="Calibri" w:hAnsi="Calibri" w:cs="Calibri"/>
          <w:noProof/>
        </w:rPr>
        <w:t>Summary of evidence for monotherapy in patients with PAH in WHO FC III or IV</w:t>
      </w:r>
      <w:r w:rsidRPr="005F2F5B">
        <w:rPr>
          <w:rFonts w:ascii="Calibri" w:hAnsi="Calibri" w:cs="Calibri"/>
          <w:noProof/>
          <w:webHidden/>
        </w:rPr>
        <w:tab/>
      </w:r>
      <w:r>
        <w:rPr>
          <w:rFonts w:ascii="Calibri" w:hAnsi="Calibri" w:cs="Calibri"/>
          <w:noProof/>
          <w:webHidden/>
        </w:rPr>
        <w:t>29</w:t>
      </w:r>
    </w:p>
    <w:p w14:paraId="46CEA988"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ES.9</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an ERA in addition to a PDE-5 inhibitor, relative to PDE-5 inhibitor monotherapy</w:t>
      </w:r>
      <w:r w:rsidRPr="005F2F5B">
        <w:rPr>
          <w:rFonts w:ascii="Calibri" w:hAnsi="Calibri" w:cs="Calibri"/>
          <w:noProof/>
          <w:webHidden/>
        </w:rPr>
        <w:tab/>
      </w:r>
      <w:r w:rsidR="006606CD">
        <w:rPr>
          <w:rFonts w:ascii="Calibri" w:hAnsi="Calibri" w:cs="Calibri"/>
          <w:noProof/>
          <w:webHidden/>
        </w:rPr>
        <w:t>34</w:t>
      </w:r>
    </w:p>
    <w:p w14:paraId="014A91B7"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ES.10</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safety of an ERA in addition to a PDE-5 inhibitor, relative to PDE-5 inhibitor monotherapy</w:t>
      </w:r>
      <w:r w:rsidRPr="005F2F5B">
        <w:rPr>
          <w:rFonts w:ascii="Calibri" w:hAnsi="Calibri" w:cs="Calibri"/>
          <w:noProof/>
          <w:webHidden/>
        </w:rPr>
        <w:tab/>
      </w:r>
      <w:r w:rsidR="006606CD">
        <w:rPr>
          <w:rFonts w:ascii="Calibri" w:hAnsi="Calibri" w:cs="Calibri"/>
          <w:noProof/>
          <w:webHidden/>
        </w:rPr>
        <w:t>36</w:t>
      </w:r>
    </w:p>
    <w:p w14:paraId="24C4BBA6"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ES.11</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an ERA in addition to a prostanoid, relative to prostanoid monotherapy</w:t>
      </w:r>
      <w:r w:rsidRPr="005F2F5B">
        <w:rPr>
          <w:rFonts w:ascii="Calibri" w:hAnsi="Calibri" w:cs="Calibri"/>
          <w:noProof/>
          <w:webHidden/>
        </w:rPr>
        <w:tab/>
      </w:r>
      <w:r w:rsidR="006606CD">
        <w:rPr>
          <w:rFonts w:ascii="Calibri" w:hAnsi="Calibri" w:cs="Calibri"/>
          <w:noProof/>
          <w:webHidden/>
        </w:rPr>
        <w:t>38</w:t>
      </w:r>
    </w:p>
    <w:p w14:paraId="2A5FA28E"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ES.12</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safety of an ERA in addition to a prostanoid, relative to prostanoid monotherapy</w:t>
      </w:r>
      <w:r w:rsidRPr="005F2F5B">
        <w:rPr>
          <w:rFonts w:ascii="Calibri" w:hAnsi="Calibri" w:cs="Calibri"/>
          <w:noProof/>
          <w:webHidden/>
        </w:rPr>
        <w:tab/>
      </w:r>
      <w:r w:rsidR="006606CD">
        <w:rPr>
          <w:rFonts w:ascii="Calibri" w:hAnsi="Calibri" w:cs="Calibri"/>
          <w:noProof/>
          <w:webHidden/>
        </w:rPr>
        <w:t>39</w:t>
      </w:r>
    </w:p>
    <w:p w14:paraId="31EBD8FF"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ES.13</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PDE-5 inhibitor in addition to an ERA, relative to ERA monotherapy</w:t>
      </w:r>
      <w:r w:rsidRPr="005F2F5B">
        <w:rPr>
          <w:rFonts w:ascii="Calibri" w:hAnsi="Calibri" w:cs="Calibri"/>
          <w:noProof/>
          <w:webHidden/>
        </w:rPr>
        <w:tab/>
      </w:r>
      <w:r w:rsidR="006606CD">
        <w:rPr>
          <w:rFonts w:ascii="Calibri" w:hAnsi="Calibri" w:cs="Calibri"/>
          <w:noProof/>
          <w:webHidden/>
        </w:rPr>
        <w:t>40</w:t>
      </w:r>
    </w:p>
    <w:p w14:paraId="3FF081B2"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ES.14</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safety of a PDE-5 inhibitor in addition to an ERA, relative to ERA monotherapy</w:t>
      </w:r>
      <w:r w:rsidRPr="005F2F5B">
        <w:rPr>
          <w:rFonts w:ascii="Calibri" w:hAnsi="Calibri" w:cs="Calibri"/>
          <w:noProof/>
          <w:webHidden/>
        </w:rPr>
        <w:tab/>
      </w:r>
      <w:r w:rsidR="006606CD">
        <w:rPr>
          <w:rFonts w:ascii="Calibri" w:hAnsi="Calibri" w:cs="Calibri"/>
          <w:noProof/>
          <w:webHidden/>
        </w:rPr>
        <w:t>42</w:t>
      </w:r>
    </w:p>
    <w:p w14:paraId="08AC5DB3"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ES.15</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PDE-5 inhibitor in addition to a prostanoid, relative to prostanoid monotherapy</w:t>
      </w:r>
      <w:r w:rsidRPr="005F2F5B">
        <w:rPr>
          <w:rFonts w:ascii="Calibri" w:hAnsi="Calibri" w:cs="Calibri"/>
          <w:noProof/>
          <w:webHidden/>
        </w:rPr>
        <w:tab/>
      </w:r>
      <w:r w:rsidR="006606CD">
        <w:rPr>
          <w:rFonts w:ascii="Calibri" w:hAnsi="Calibri" w:cs="Calibri"/>
          <w:noProof/>
          <w:webHidden/>
        </w:rPr>
        <w:t>43</w:t>
      </w:r>
    </w:p>
    <w:p w14:paraId="57935785"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ES.16</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safety of a PDE-5 inhibitor in addition to a prostanoid, relative to prostanoid monotherapy</w:t>
      </w:r>
      <w:r w:rsidRPr="005F2F5B">
        <w:rPr>
          <w:rFonts w:ascii="Calibri" w:hAnsi="Calibri" w:cs="Calibri"/>
          <w:noProof/>
          <w:webHidden/>
        </w:rPr>
        <w:tab/>
      </w:r>
      <w:r w:rsidR="006606CD">
        <w:rPr>
          <w:rFonts w:ascii="Calibri" w:hAnsi="Calibri" w:cs="Calibri"/>
          <w:noProof/>
          <w:webHidden/>
        </w:rPr>
        <w:t>45</w:t>
      </w:r>
    </w:p>
    <w:p w14:paraId="4A916BB2"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ES.17</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prostanoid in addition to an ERA, relative to ERA monotherapy</w:t>
      </w:r>
      <w:r w:rsidRPr="005F2F5B">
        <w:rPr>
          <w:rFonts w:ascii="Calibri" w:hAnsi="Calibri" w:cs="Calibri"/>
          <w:noProof/>
          <w:webHidden/>
        </w:rPr>
        <w:tab/>
      </w:r>
      <w:r w:rsidR="006606CD">
        <w:rPr>
          <w:rFonts w:ascii="Calibri" w:hAnsi="Calibri" w:cs="Calibri"/>
          <w:noProof/>
          <w:webHidden/>
        </w:rPr>
        <w:t>46</w:t>
      </w:r>
    </w:p>
    <w:p w14:paraId="47DD7876"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ES.18</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safety of a prostanoid in addition to an ERA, relative to ERA monotherapy</w:t>
      </w:r>
      <w:r w:rsidRPr="005F2F5B">
        <w:rPr>
          <w:rFonts w:ascii="Calibri" w:hAnsi="Calibri" w:cs="Calibri"/>
          <w:noProof/>
          <w:webHidden/>
        </w:rPr>
        <w:tab/>
      </w:r>
      <w:r w:rsidR="006606CD">
        <w:rPr>
          <w:rFonts w:ascii="Calibri" w:hAnsi="Calibri" w:cs="Calibri"/>
          <w:noProof/>
          <w:webHidden/>
        </w:rPr>
        <w:t>47</w:t>
      </w:r>
    </w:p>
    <w:p w14:paraId="166316D2"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lastRenderedPageBreak/>
        <w:t>Table ES.19</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sGC stimulator in addition to an ERA, relative to ERA monotherapy</w:t>
      </w:r>
      <w:r w:rsidRPr="005F2F5B">
        <w:rPr>
          <w:rFonts w:ascii="Calibri" w:hAnsi="Calibri" w:cs="Calibri"/>
          <w:noProof/>
          <w:webHidden/>
        </w:rPr>
        <w:tab/>
      </w:r>
      <w:r w:rsidR="006606CD">
        <w:rPr>
          <w:rFonts w:ascii="Calibri" w:hAnsi="Calibri" w:cs="Calibri"/>
          <w:noProof/>
          <w:webHidden/>
        </w:rPr>
        <w:t>48</w:t>
      </w:r>
    </w:p>
    <w:p w14:paraId="726F227E"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ES.20</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sGC stimulator in addition to a PDE-5 inhibitor, relative to PDE-5 inhibitor monotherapy</w:t>
      </w:r>
      <w:r w:rsidRPr="005F2F5B">
        <w:rPr>
          <w:rFonts w:ascii="Calibri" w:hAnsi="Calibri" w:cs="Calibri"/>
          <w:noProof/>
          <w:webHidden/>
        </w:rPr>
        <w:tab/>
      </w:r>
      <w:r w:rsidR="006606CD">
        <w:rPr>
          <w:rFonts w:ascii="Calibri" w:hAnsi="Calibri" w:cs="Calibri"/>
          <w:noProof/>
          <w:webHidden/>
        </w:rPr>
        <w:t>50</w:t>
      </w:r>
    </w:p>
    <w:p w14:paraId="2C8B426C"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ES.21</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safety of a sGC stimulator in addition to a PDE-5 inhibitor, relative to PDE-5 inhibitor monotherapy</w:t>
      </w:r>
      <w:r w:rsidRPr="005F2F5B">
        <w:rPr>
          <w:rFonts w:ascii="Calibri" w:hAnsi="Calibri" w:cs="Calibri"/>
          <w:noProof/>
          <w:webHidden/>
        </w:rPr>
        <w:tab/>
      </w:r>
      <w:r w:rsidR="006606CD">
        <w:rPr>
          <w:rFonts w:ascii="Calibri" w:hAnsi="Calibri" w:cs="Calibri"/>
          <w:noProof/>
          <w:webHidden/>
        </w:rPr>
        <w:t>51</w:t>
      </w:r>
    </w:p>
    <w:p w14:paraId="757FEC71" w14:textId="77777777" w:rsidR="005F2F5B" w:rsidRPr="005F2F5B" w:rsidRDefault="005F2F5B">
      <w:pPr>
        <w:pStyle w:val="TableofFigures"/>
        <w:tabs>
          <w:tab w:val="right" w:leader="dot" w:pos="9628"/>
        </w:tabs>
        <w:rPr>
          <w:rFonts w:ascii="Calibri" w:eastAsiaTheme="minorEastAsia" w:hAnsi="Calibri" w:cs="Calibri"/>
          <w:noProof/>
          <w:sz w:val="22"/>
          <w:szCs w:val="22"/>
          <w:lang w:eastAsia="en-AU"/>
        </w:rPr>
      </w:pPr>
      <w:r w:rsidRPr="00C07794">
        <w:rPr>
          <w:rFonts w:ascii="Calibri" w:hAnsi="Calibri" w:cs="Calibri"/>
          <w:noProof/>
        </w:rPr>
        <w:t>Table ES.22</w:t>
      </w:r>
      <w:r w:rsidRPr="005F2F5B">
        <w:rPr>
          <w:rFonts w:ascii="Calibri" w:eastAsiaTheme="minorEastAsia" w:hAnsi="Calibri" w:cs="Calibri"/>
          <w:noProof/>
          <w:sz w:val="22"/>
          <w:szCs w:val="22"/>
          <w:lang w:eastAsia="en-AU"/>
        </w:rPr>
        <w:tab/>
      </w:r>
      <w:r w:rsidRPr="00C07794">
        <w:rPr>
          <w:rFonts w:ascii="Calibri" w:hAnsi="Calibri" w:cs="Calibri"/>
          <w:noProof/>
        </w:rPr>
        <w:t>Summary of the evidence for the clinical effectiveness of a sGC stimulator in addition to a prostanoid, relative to prostanoid monotherapy</w:t>
      </w:r>
      <w:r w:rsidRPr="005F2F5B">
        <w:rPr>
          <w:rFonts w:ascii="Calibri" w:hAnsi="Calibri" w:cs="Calibri"/>
          <w:noProof/>
          <w:webHidden/>
        </w:rPr>
        <w:tab/>
      </w:r>
      <w:r w:rsidR="006606CD">
        <w:rPr>
          <w:rFonts w:ascii="Calibri" w:hAnsi="Calibri" w:cs="Calibri"/>
          <w:noProof/>
          <w:webHidden/>
        </w:rPr>
        <w:t>52</w:t>
      </w:r>
    </w:p>
    <w:p w14:paraId="479EA8A1" w14:textId="77777777" w:rsidR="00111072" w:rsidRPr="000C0AF6" w:rsidRDefault="00111072" w:rsidP="00C21496">
      <w:pPr>
        <w:jc w:val="left"/>
      </w:pPr>
    </w:p>
    <w:p w14:paraId="2CB812D0" w14:textId="77777777" w:rsidR="00AB59A7" w:rsidRPr="009F466A" w:rsidRDefault="00AB59A7" w:rsidP="00C21496">
      <w:pPr>
        <w:pStyle w:val="Heading1"/>
        <w:spacing w:before="480" w:after="240" w:line="240" w:lineRule="auto"/>
        <w:jc w:val="left"/>
        <w:rPr>
          <w:sz w:val="40"/>
          <w:szCs w:val="40"/>
        </w:rPr>
      </w:pPr>
      <w:bookmarkStart w:id="1" w:name="_Toc526943984"/>
      <w:r w:rsidRPr="009F466A">
        <w:rPr>
          <w:sz w:val="40"/>
          <w:szCs w:val="40"/>
        </w:rPr>
        <w:t>List of Figures</w:t>
      </w:r>
      <w:bookmarkEnd w:id="1"/>
    </w:p>
    <w:p w14:paraId="2CB685BD" w14:textId="77777777" w:rsidR="00B17C12" w:rsidRPr="00B17C12" w:rsidRDefault="00B17C12">
      <w:pPr>
        <w:pStyle w:val="TableofFigures"/>
        <w:tabs>
          <w:tab w:val="right" w:leader="dot" w:pos="9628"/>
        </w:tabs>
        <w:rPr>
          <w:rFonts w:asciiTheme="minorHAnsi" w:eastAsiaTheme="minorEastAsia" w:hAnsiTheme="minorHAnsi" w:cstheme="minorHAnsi"/>
          <w:noProof/>
          <w:sz w:val="22"/>
          <w:szCs w:val="22"/>
          <w:lang w:eastAsia="en-AU"/>
        </w:rPr>
      </w:pPr>
      <w:r w:rsidRPr="00C07794">
        <w:rPr>
          <w:rFonts w:asciiTheme="minorHAnsi" w:hAnsiTheme="minorHAnsi" w:cstheme="minorHAnsi"/>
          <w:noProof/>
        </w:rPr>
        <w:t>Figure ES.1</w:t>
      </w:r>
      <w:r w:rsidRPr="00B17C12">
        <w:rPr>
          <w:rFonts w:asciiTheme="minorHAnsi" w:eastAsiaTheme="minorEastAsia" w:hAnsiTheme="minorHAnsi" w:cstheme="minorHAnsi"/>
          <w:noProof/>
          <w:sz w:val="22"/>
          <w:szCs w:val="22"/>
          <w:lang w:eastAsia="en-AU"/>
        </w:rPr>
        <w:tab/>
      </w:r>
      <w:r w:rsidRPr="00C07794">
        <w:rPr>
          <w:rFonts w:asciiTheme="minorHAnsi" w:hAnsiTheme="minorHAnsi" w:cstheme="minorHAnsi"/>
          <w:noProof/>
        </w:rPr>
        <w:t>WHO functional classes for PAH</w:t>
      </w:r>
      <w:r w:rsidRPr="00B17C12">
        <w:rPr>
          <w:rFonts w:asciiTheme="minorHAnsi" w:hAnsiTheme="minorHAnsi" w:cstheme="minorHAnsi"/>
          <w:noProof/>
          <w:webHidden/>
        </w:rPr>
        <w:tab/>
      </w:r>
      <w:r w:rsidR="006606CD">
        <w:rPr>
          <w:rFonts w:asciiTheme="minorHAnsi" w:hAnsiTheme="minorHAnsi" w:cstheme="minorHAnsi"/>
          <w:noProof/>
          <w:webHidden/>
        </w:rPr>
        <w:t>8</w:t>
      </w:r>
    </w:p>
    <w:p w14:paraId="713564C5" w14:textId="77777777" w:rsidR="00B17C12" w:rsidRPr="00B17C12" w:rsidRDefault="00B17C12">
      <w:pPr>
        <w:pStyle w:val="TableofFigures"/>
        <w:tabs>
          <w:tab w:val="right" w:leader="dot" w:pos="9628"/>
        </w:tabs>
        <w:rPr>
          <w:rFonts w:asciiTheme="minorHAnsi" w:eastAsiaTheme="minorEastAsia" w:hAnsiTheme="minorHAnsi" w:cstheme="minorHAnsi"/>
          <w:noProof/>
          <w:sz w:val="22"/>
          <w:szCs w:val="22"/>
          <w:lang w:eastAsia="en-AU"/>
        </w:rPr>
      </w:pPr>
      <w:r w:rsidRPr="00C07794">
        <w:rPr>
          <w:rFonts w:asciiTheme="minorHAnsi" w:hAnsiTheme="minorHAnsi" w:cstheme="minorHAnsi"/>
          <w:noProof/>
        </w:rPr>
        <w:t>Figure ES.2</w:t>
      </w:r>
      <w:r w:rsidRPr="00B17C12">
        <w:rPr>
          <w:rFonts w:asciiTheme="minorHAnsi" w:eastAsiaTheme="minorEastAsia" w:hAnsiTheme="minorHAnsi" w:cstheme="minorHAnsi"/>
          <w:noProof/>
          <w:sz w:val="22"/>
          <w:szCs w:val="22"/>
          <w:lang w:eastAsia="en-AU"/>
        </w:rPr>
        <w:tab/>
      </w:r>
      <w:r w:rsidRPr="00C07794">
        <w:rPr>
          <w:rFonts w:asciiTheme="minorHAnsi" w:hAnsiTheme="minorHAnsi" w:cstheme="minorHAnsi"/>
          <w:noProof/>
        </w:rPr>
        <w:t>Timeline of PBAC consideration of PAH medicines and date of PBS listing</w:t>
      </w:r>
      <w:r w:rsidRPr="00B17C12">
        <w:rPr>
          <w:rFonts w:asciiTheme="minorHAnsi" w:hAnsiTheme="minorHAnsi" w:cstheme="minorHAnsi"/>
          <w:noProof/>
          <w:webHidden/>
        </w:rPr>
        <w:tab/>
      </w:r>
      <w:r w:rsidR="006606CD">
        <w:rPr>
          <w:rFonts w:asciiTheme="minorHAnsi" w:hAnsiTheme="minorHAnsi" w:cstheme="minorHAnsi"/>
          <w:noProof/>
          <w:webHidden/>
        </w:rPr>
        <w:t>10</w:t>
      </w:r>
    </w:p>
    <w:p w14:paraId="2867D3DA" w14:textId="77777777" w:rsidR="00AB59A7" w:rsidRPr="009F466A" w:rsidRDefault="00AB59A7" w:rsidP="00C21496">
      <w:pPr>
        <w:jc w:val="left"/>
      </w:pPr>
    </w:p>
    <w:p w14:paraId="32371675" w14:textId="77777777" w:rsidR="009F466A" w:rsidRPr="00250C50" w:rsidRDefault="009F466A" w:rsidP="00C21496">
      <w:pPr>
        <w:jc w:val="left"/>
        <w:rPr>
          <w:rFonts w:eastAsiaTheme="majorEastAsia" w:cstheme="majorBidi"/>
          <w:b/>
          <w:bCs/>
          <w:sz w:val="40"/>
          <w:szCs w:val="40"/>
        </w:rPr>
      </w:pPr>
      <w:bookmarkStart w:id="2" w:name="_Toc503274948"/>
      <w:r w:rsidRPr="00250C50">
        <w:rPr>
          <w:sz w:val="40"/>
          <w:szCs w:val="40"/>
        </w:rPr>
        <w:br w:type="page"/>
      </w:r>
    </w:p>
    <w:p w14:paraId="06654C31" w14:textId="77777777" w:rsidR="00101F92" w:rsidRPr="009F466A" w:rsidRDefault="00101F92" w:rsidP="00C21496">
      <w:pPr>
        <w:pStyle w:val="Heading1"/>
        <w:spacing w:before="480" w:after="240" w:line="240" w:lineRule="auto"/>
        <w:jc w:val="left"/>
        <w:rPr>
          <w:sz w:val="40"/>
          <w:szCs w:val="40"/>
        </w:rPr>
      </w:pPr>
      <w:bookmarkStart w:id="3" w:name="_Toc526943985"/>
      <w:r w:rsidRPr="009F466A">
        <w:rPr>
          <w:sz w:val="40"/>
          <w:szCs w:val="40"/>
        </w:rPr>
        <w:lastRenderedPageBreak/>
        <w:t>Abbreviations</w:t>
      </w:r>
      <w:bookmarkEnd w:id="2"/>
      <w:bookmarkEnd w:id="3"/>
    </w:p>
    <w:tbl>
      <w:tblPr>
        <w:tblStyle w:val="TableGrid3"/>
        <w:tblW w:w="0" w:type="auto"/>
        <w:tblLook w:val="01E0" w:firstRow="1" w:lastRow="1" w:firstColumn="1" w:lastColumn="1" w:noHBand="0" w:noVBand="0"/>
        <w:tblCaption w:val="Abbreviation"/>
        <w:tblDescription w:val="Abbreviation"/>
      </w:tblPr>
      <w:tblGrid>
        <w:gridCol w:w="1980"/>
        <w:gridCol w:w="6660"/>
      </w:tblGrid>
      <w:tr w:rsidR="00101F92" w:rsidRPr="005F2F5B" w14:paraId="3AC496C6" w14:textId="77777777" w:rsidTr="00AA5636">
        <w:trPr>
          <w:trHeight w:val="411"/>
          <w:tblHeader/>
        </w:trPr>
        <w:tc>
          <w:tcPr>
            <w:tcW w:w="1980" w:type="dxa"/>
            <w:tcBorders>
              <w:top w:val="nil"/>
              <w:left w:val="nil"/>
              <w:bottom w:val="nil"/>
              <w:right w:val="nil"/>
            </w:tcBorders>
            <w:shd w:val="clear" w:color="auto" w:fill="A6A6A6" w:themeFill="background1" w:themeFillShade="A6"/>
            <w:vAlign w:val="center"/>
          </w:tcPr>
          <w:p w14:paraId="7728A46D" w14:textId="77777777" w:rsidR="00101F92" w:rsidRPr="005F2F5B" w:rsidRDefault="00101F92" w:rsidP="00C21496">
            <w:pPr>
              <w:pStyle w:val="TableTextDusc"/>
              <w:rPr>
                <w:b/>
                <w:sz w:val="24"/>
                <w:szCs w:val="24"/>
              </w:rPr>
            </w:pPr>
            <w:r w:rsidRPr="005F2F5B">
              <w:rPr>
                <w:b/>
                <w:sz w:val="24"/>
                <w:szCs w:val="24"/>
              </w:rPr>
              <w:t>Abbreviation</w:t>
            </w:r>
          </w:p>
        </w:tc>
        <w:tc>
          <w:tcPr>
            <w:tcW w:w="6660" w:type="dxa"/>
            <w:tcBorders>
              <w:top w:val="nil"/>
              <w:left w:val="nil"/>
              <w:bottom w:val="nil"/>
              <w:right w:val="nil"/>
            </w:tcBorders>
            <w:shd w:val="clear" w:color="auto" w:fill="A6A6A6" w:themeFill="background1" w:themeFillShade="A6"/>
            <w:vAlign w:val="center"/>
          </w:tcPr>
          <w:p w14:paraId="6D38E560" w14:textId="77777777" w:rsidR="00101F92" w:rsidRPr="005F2F5B" w:rsidRDefault="00101F92" w:rsidP="00C21496">
            <w:pPr>
              <w:pStyle w:val="TableTextDusc"/>
              <w:rPr>
                <w:b/>
                <w:sz w:val="24"/>
                <w:szCs w:val="24"/>
              </w:rPr>
            </w:pPr>
            <w:r w:rsidRPr="005F2F5B">
              <w:rPr>
                <w:b/>
                <w:sz w:val="24"/>
                <w:szCs w:val="24"/>
              </w:rPr>
              <w:t xml:space="preserve">Full Name / Wording </w:t>
            </w:r>
          </w:p>
        </w:tc>
      </w:tr>
      <w:tr w:rsidR="00857CFD" w:rsidRPr="005F2F5B" w14:paraId="7131712E" w14:textId="77777777" w:rsidTr="00AA5636">
        <w:trPr>
          <w:trHeight w:val="411"/>
        </w:trPr>
        <w:tc>
          <w:tcPr>
            <w:tcW w:w="1980" w:type="dxa"/>
            <w:tcBorders>
              <w:top w:val="nil"/>
              <w:left w:val="nil"/>
              <w:bottom w:val="nil"/>
              <w:right w:val="nil"/>
            </w:tcBorders>
            <w:vAlign w:val="center"/>
          </w:tcPr>
          <w:p w14:paraId="22D9105C" w14:textId="77777777" w:rsidR="007F3002" w:rsidRPr="005F2F5B" w:rsidRDefault="007F3002" w:rsidP="00C21496">
            <w:pPr>
              <w:jc w:val="left"/>
              <w:rPr>
                <w:rFonts w:cs="Arial"/>
                <w:sz w:val="24"/>
                <w:szCs w:val="24"/>
              </w:rPr>
            </w:pPr>
            <w:r w:rsidRPr="005F2F5B">
              <w:rPr>
                <w:rFonts w:cs="Arial"/>
                <w:sz w:val="24"/>
                <w:szCs w:val="24"/>
              </w:rPr>
              <w:t>6MWT</w:t>
            </w:r>
          </w:p>
        </w:tc>
        <w:tc>
          <w:tcPr>
            <w:tcW w:w="6660" w:type="dxa"/>
            <w:tcBorders>
              <w:top w:val="nil"/>
              <w:left w:val="nil"/>
              <w:bottom w:val="nil"/>
              <w:right w:val="nil"/>
            </w:tcBorders>
            <w:vAlign w:val="center"/>
          </w:tcPr>
          <w:p w14:paraId="7C555882" w14:textId="77777777" w:rsidR="007F3002" w:rsidRPr="005F2F5B" w:rsidRDefault="007F3002" w:rsidP="00C21496">
            <w:pPr>
              <w:jc w:val="left"/>
              <w:rPr>
                <w:rFonts w:cs="Arial"/>
                <w:sz w:val="24"/>
                <w:szCs w:val="24"/>
              </w:rPr>
            </w:pPr>
            <w:r w:rsidRPr="005F2F5B">
              <w:rPr>
                <w:rFonts w:cs="Arial"/>
                <w:sz w:val="24"/>
                <w:szCs w:val="24"/>
              </w:rPr>
              <w:t>Six minute walk test</w:t>
            </w:r>
          </w:p>
        </w:tc>
      </w:tr>
      <w:tr w:rsidR="00F5703F" w:rsidRPr="005F2F5B" w14:paraId="0554506E" w14:textId="77777777" w:rsidTr="00AA5636">
        <w:trPr>
          <w:trHeight w:val="411"/>
        </w:trPr>
        <w:tc>
          <w:tcPr>
            <w:tcW w:w="1980" w:type="dxa"/>
            <w:tcBorders>
              <w:top w:val="nil"/>
              <w:left w:val="nil"/>
              <w:bottom w:val="nil"/>
              <w:right w:val="nil"/>
            </w:tcBorders>
            <w:vAlign w:val="center"/>
          </w:tcPr>
          <w:p w14:paraId="10CFD897" w14:textId="77777777" w:rsidR="007F3002" w:rsidRPr="005F2F5B" w:rsidRDefault="007F3002" w:rsidP="00C21496">
            <w:pPr>
              <w:jc w:val="left"/>
              <w:rPr>
                <w:rFonts w:cs="Arial"/>
                <w:sz w:val="24"/>
                <w:szCs w:val="24"/>
              </w:rPr>
            </w:pPr>
            <w:r w:rsidRPr="005F2F5B">
              <w:rPr>
                <w:rFonts w:cs="Arial"/>
                <w:sz w:val="24"/>
                <w:szCs w:val="24"/>
              </w:rPr>
              <w:t>6MWD</w:t>
            </w:r>
          </w:p>
        </w:tc>
        <w:tc>
          <w:tcPr>
            <w:tcW w:w="6660" w:type="dxa"/>
            <w:tcBorders>
              <w:top w:val="nil"/>
              <w:left w:val="nil"/>
              <w:bottom w:val="nil"/>
              <w:right w:val="nil"/>
            </w:tcBorders>
            <w:vAlign w:val="center"/>
          </w:tcPr>
          <w:p w14:paraId="10B4DB78" w14:textId="77777777" w:rsidR="007F3002" w:rsidRPr="005F2F5B" w:rsidRDefault="007F3002" w:rsidP="00C21496">
            <w:pPr>
              <w:jc w:val="left"/>
              <w:rPr>
                <w:rFonts w:cs="Arial"/>
                <w:sz w:val="24"/>
                <w:szCs w:val="24"/>
              </w:rPr>
            </w:pPr>
            <w:r w:rsidRPr="005F2F5B">
              <w:rPr>
                <w:rFonts w:cs="Arial"/>
                <w:sz w:val="24"/>
                <w:szCs w:val="24"/>
              </w:rPr>
              <w:t>Six minute walk distance</w:t>
            </w:r>
          </w:p>
        </w:tc>
      </w:tr>
      <w:tr w:rsidR="00BD33BC" w:rsidRPr="005F2F5B" w14:paraId="6A2F43A1" w14:textId="77777777" w:rsidTr="00AA5636">
        <w:trPr>
          <w:trHeight w:val="411"/>
        </w:trPr>
        <w:tc>
          <w:tcPr>
            <w:tcW w:w="1980" w:type="dxa"/>
            <w:tcBorders>
              <w:top w:val="nil"/>
              <w:left w:val="nil"/>
              <w:bottom w:val="nil"/>
              <w:right w:val="nil"/>
            </w:tcBorders>
            <w:vAlign w:val="center"/>
          </w:tcPr>
          <w:p w14:paraId="0E9E4A88" w14:textId="77777777" w:rsidR="007F3002" w:rsidRPr="005F2F5B" w:rsidRDefault="007F3002" w:rsidP="00C21496">
            <w:pPr>
              <w:jc w:val="left"/>
              <w:rPr>
                <w:rFonts w:cs="Arial"/>
                <w:sz w:val="24"/>
                <w:szCs w:val="24"/>
              </w:rPr>
            </w:pPr>
            <w:r w:rsidRPr="005F2F5B">
              <w:rPr>
                <w:rFonts w:cs="Arial"/>
                <w:sz w:val="24"/>
                <w:szCs w:val="24"/>
              </w:rPr>
              <w:t>ACC</w:t>
            </w:r>
          </w:p>
        </w:tc>
        <w:tc>
          <w:tcPr>
            <w:tcW w:w="6660" w:type="dxa"/>
            <w:tcBorders>
              <w:top w:val="nil"/>
              <w:left w:val="nil"/>
              <w:bottom w:val="nil"/>
              <w:right w:val="nil"/>
            </w:tcBorders>
            <w:vAlign w:val="center"/>
          </w:tcPr>
          <w:p w14:paraId="699DEA38" w14:textId="77777777" w:rsidR="007F3002" w:rsidRPr="005F2F5B" w:rsidRDefault="007F3002" w:rsidP="00C21496">
            <w:pPr>
              <w:jc w:val="left"/>
              <w:rPr>
                <w:rFonts w:cs="Arial"/>
                <w:sz w:val="24"/>
                <w:szCs w:val="24"/>
              </w:rPr>
            </w:pPr>
            <w:r w:rsidRPr="005F2F5B">
              <w:rPr>
                <w:rFonts w:cs="Arial"/>
                <w:sz w:val="24"/>
                <w:szCs w:val="24"/>
              </w:rPr>
              <w:t xml:space="preserve">American College of Cardiology </w:t>
            </w:r>
          </w:p>
        </w:tc>
      </w:tr>
      <w:tr w:rsidR="00F5703F" w:rsidRPr="005F2F5B" w14:paraId="05B19DD9" w14:textId="77777777" w:rsidTr="00AA5636">
        <w:trPr>
          <w:trHeight w:val="411"/>
        </w:trPr>
        <w:tc>
          <w:tcPr>
            <w:tcW w:w="1980" w:type="dxa"/>
            <w:tcBorders>
              <w:top w:val="nil"/>
              <w:left w:val="nil"/>
              <w:bottom w:val="nil"/>
              <w:right w:val="nil"/>
            </w:tcBorders>
            <w:vAlign w:val="center"/>
          </w:tcPr>
          <w:p w14:paraId="324256CC" w14:textId="77777777" w:rsidR="007F3002" w:rsidRPr="005F2F5B" w:rsidRDefault="007F3002" w:rsidP="00C21496">
            <w:pPr>
              <w:jc w:val="left"/>
              <w:rPr>
                <w:rFonts w:cs="Arial"/>
                <w:sz w:val="24"/>
                <w:szCs w:val="24"/>
              </w:rPr>
            </w:pPr>
            <w:r w:rsidRPr="005F2F5B">
              <w:rPr>
                <w:rFonts w:cs="Arial"/>
                <w:sz w:val="24"/>
                <w:szCs w:val="24"/>
              </w:rPr>
              <w:t>AE</w:t>
            </w:r>
          </w:p>
        </w:tc>
        <w:tc>
          <w:tcPr>
            <w:tcW w:w="6660" w:type="dxa"/>
            <w:tcBorders>
              <w:top w:val="nil"/>
              <w:left w:val="nil"/>
              <w:bottom w:val="nil"/>
              <w:right w:val="nil"/>
            </w:tcBorders>
            <w:vAlign w:val="center"/>
          </w:tcPr>
          <w:p w14:paraId="3608ABBF" w14:textId="77777777" w:rsidR="007F3002" w:rsidRPr="005F2F5B" w:rsidRDefault="007F3002" w:rsidP="00C21496">
            <w:pPr>
              <w:jc w:val="left"/>
              <w:rPr>
                <w:rFonts w:cs="Arial"/>
                <w:sz w:val="24"/>
                <w:szCs w:val="24"/>
              </w:rPr>
            </w:pPr>
            <w:r w:rsidRPr="005F2F5B">
              <w:rPr>
                <w:rFonts w:cs="Arial"/>
                <w:sz w:val="24"/>
                <w:szCs w:val="24"/>
              </w:rPr>
              <w:t>Adverse event</w:t>
            </w:r>
          </w:p>
        </w:tc>
      </w:tr>
      <w:tr w:rsidR="004D7A6F" w:rsidRPr="005F2F5B" w14:paraId="58BC03F0" w14:textId="77777777" w:rsidTr="00AA5636">
        <w:trPr>
          <w:trHeight w:val="411"/>
        </w:trPr>
        <w:tc>
          <w:tcPr>
            <w:tcW w:w="1980" w:type="dxa"/>
            <w:tcBorders>
              <w:top w:val="nil"/>
              <w:left w:val="nil"/>
              <w:bottom w:val="nil"/>
              <w:right w:val="nil"/>
            </w:tcBorders>
            <w:vAlign w:val="center"/>
          </w:tcPr>
          <w:p w14:paraId="0A01510C" w14:textId="77777777" w:rsidR="004D7A6F" w:rsidRPr="005F2F5B" w:rsidRDefault="004D7A6F" w:rsidP="00C21496">
            <w:pPr>
              <w:jc w:val="left"/>
              <w:rPr>
                <w:rFonts w:cs="Arial"/>
                <w:sz w:val="24"/>
                <w:szCs w:val="24"/>
              </w:rPr>
            </w:pPr>
            <w:r w:rsidRPr="005F2F5B">
              <w:rPr>
                <w:rFonts w:cs="Arial"/>
                <w:sz w:val="24"/>
                <w:szCs w:val="24"/>
              </w:rPr>
              <w:t>AGREE</w:t>
            </w:r>
          </w:p>
        </w:tc>
        <w:tc>
          <w:tcPr>
            <w:tcW w:w="6660" w:type="dxa"/>
            <w:tcBorders>
              <w:top w:val="nil"/>
              <w:left w:val="nil"/>
              <w:bottom w:val="nil"/>
              <w:right w:val="nil"/>
            </w:tcBorders>
            <w:vAlign w:val="center"/>
          </w:tcPr>
          <w:p w14:paraId="6F8EEA36" w14:textId="77777777" w:rsidR="004D7A6F" w:rsidRPr="005F2F5B" w:rsidRDefault="004D7A6F" w:rsidP="00C21496">
            <w:pPr>
              <w:jc w:val="left"/>
              <w:rPr>
                <w:rFonts w:cs="Arial"/>
                <w:sz w:val="24"/>
                <w:szCs w:val="24"/>
              </w:rPr>
            </w:pPr>
            <w:r w:rsidRPr="005F2F5B">
              <w:rPr>
                <w:rFonts w:cs="Arial"/>
                <w:sz w:val="24"/>
                <w:szCs w:val="24"/>
              </w:rPr>
              <w:t>Appraisal of Guidelines for Research and Evaluation</w:t>
            </w:r>
          </w:p>
        </w:tc>
      </w:tr>
      <w:tr w:rsidR="002B1993" w:rsidRPr="005F2F5B" w14:paraId="5156BB62" w14:textId="77777777" w:rsidTr="00AA5636">
        <w:trPr>
          <w:trHeight w:val="411"/>
        </w:trPr>
        <w:tc>
          <w:tcPr>
            <w:tcW w:w="1980" w:type="dxa"/>
            <w:tcBorders>
              <w:top w:val="nil"/>
              <w:left w:val="nil"/>
              <w:bottom w:val="nil"/>
              <w:right w:val="nil"/>
            </w:tcBorders>
            <w:vAlign w:val="center"/>
          </w:tcPr>
          <w:p w14:paraId="3FF004CD" w14:textId="77777777" w:rsidR="007F3002" w:rsidRPr="005F2F5B" w:rsidRDefault="007F3002" w:rsidP="00C21496">
            <w:pPr>
              <w:jc w:val="left"/>
              <w:rPr>
                <w:rFonts w:cs="Arial"/>
                <w:sz w:val="24"/>
                <w:szCs w:val="24"/>
              </w:rPr>
            </w:pPr>
            <w:r w:rsidRPr="005F2F5B">
              <w:rPr>
                <w:rFonts w:cs="Arial"/>
                <w:sz w:val="24"/>
                <w:szCs w:val="24"/>
              </w:rPr>
              <w:t>AHA</w:t>
            </w:r>
          </w:p>
        </w:tc>
        <w:tc>
          <w:tcPr>
            <w:tcW w:w="6660" w:type="dxa"/>
            <w:tcBorders>
              <w:top w:val="nil"/>
              <w:left w:val="nil"/>
              <w:bottom w:val="nil"/>
              <w:right w:val="nil"/>
            </w:tcBorders>
            <w:vAlign w:val="center"/>
          </w:tcPr>
          <w:p w14:paraId="75F4F48D" w14:textId="77777777" w:rsidR="007F3002" w:rsidRPr="005F2F5B" w:rsidRDefault="007F3002" w:rsidP="00C21496">
            <w:pPr>
              <w:jc w:val="left"/>
              <w:rPr>
                <w:rFonts w:cs="Arial"/>
                <w:sz w:val="24"/>
                <w:szCs w:val="24"/>
              </w:rPr>
            </w:pPr>
            <w:r w:rsidRPr="005F2F5B">
              <w:rPr>
                <w:rFonts w:cs="Arial"/>
                <w:sz w:val="24"/>
                <w:szCs w:val="24"/>
              </w:rPr>
              <w:t>American Heart Association</w:t>
            </w:r>
          </w:p>
        </w:tc>
      </w:tr>
      <w:tr w:rsidR="002B1993" w:rsidRPr="005F2F5B" w14:paraId="4047AD73" w14:textId="77777777" w:rsidTr="00AA5636">
        <w:trPr>
          <w:trHeight w:val="411"/>
        </w:trPr>
        <w:tc>
          <w:tcPr>
            <w:tcW w:w="1980" w:type="dxa"/>
            <w:tcBorders>
              <w:top w:val="nil"/>
              <w:left w:val="nil"/>
              <w:bottom w:val="nil"/>
              <w:right w:val="nil"/>
            </w:tcBorders>
            <w:vAlign w:val="center"/>
          </w:tcPr>
          <w:p w14:paraId="075F89AE" w14:textId="77777777" w:rsidR="007F3002" w:rsidRPr="005F2F5B" w:rsidRDefault="007F3002" w:rsidP="00C21496">
            <w:pPr>
              <w:jc w:val="left"/>
              <w:rPr>
                <w:rFonts w:cs="Arial"/>
                <w:sz w:val="24"/>
                <w:szCs w:val="24"/>
              </w:rPr>
            </w:pPr>
            <w:r w:rsidRPr="005F2F5B">
              <w:rPr>
                <w:rFonts w:cs="Arial"/>
                <w:sz w:val="24"/>
                <w:szCs w:val="24"/>
              </w:rPr>
              <w:t>ARD</w:t>
            </w:r>
          </w:p>
        </w:tc>
        <w:tc>
          <w:tcPr>
            <w:tcW w:w="6660" w:type="dxa"/>
            <w:tcBorders>
              <w:top w:val="nil"/>
              <w:left w:val="nil"/>
              <w:bottom w:val="nil"/>
              <w:right w:val="nil"/>
            </w:tcBorders>
            <w:vAlign w:val="center"/>
          </w:tcPr>
          <w:p w14:paraId="77317AFA" w14:textId="77777777" w:rsidR="007F3002" w:rsidRPr="005F2F5B" w:rsidRDefault="007F3002" w:rsidP="00C21496">
            <w:pPr>
              <w:jc w:val="left"/>
              <w:rPr>
                <w:rFonts w:cs="Arial"/>
                <w:sz w:val="24"/>
                <w:szCs w:val="24"/>
              </w:rPr>
            </w:pPr>
            <w:r w:rsidRPr="005F2F5B">
              <w:rPr>
                <w:sz w:val="24"/>
                <w:szCs w:val="24"/>
              </w:rPr>
              <w:t>Absolute risk difference</w:t>
            </w:r>
          </w:p>
        </w:tc>
      </w:tr>
      <w:tr w:rsidR="00F5703F" w:rsidRPr="005F2F5B" w14:paraId="5525F7FD" w14:textId="77777777" w:rsidTr="00AA5636">
        <w:trPr>
          <w:trHeight w:val="411"/>
        </w:trPr>
        <w:tc>
          <w:tcPr>
            <w:tcW w:w="1980" w:type="dxa"/>
            <w:tcBorders>
              <w:top w:val="nil"/>
              <w:left w:val="nil"/>
              <w:bottom w:val="nil"/>
              <w:right w:val="nil"/>
            </w:tcBorders>
            <w:vAlign w:val="center"/>
          </w:tcPr>
          <w:p w14:paraId="18D5EC85" w14:textId="77777777" w:rsidR="007F3002" w:rsidRPr="005F2F5B" w:rsidRDefault="007F3002" w:rsidP="00C21496">
            <w:pPr>
              <w:jc w:val="left"/>
              <w:rPr>
                <w:rFonts w:cs="Arial"/>
                <w:sz w:val="24"/>
                <w:szCs w:val="24"/>
              </w:rPr>
            </w:pPr>
            <w:r w:rsidRPr="005F2F5B">
              <w:rPr>
                <w:rFonts w:cs="Arial"/>
                <w:sz w:val="24"/>
                <w:szCs w:val="24"/>
              </w:rPr>
              <w:t>ARTG</w:t>
            </w:r>
          </w:p>
        </w:tc>
        <w:tc>
          <w:tcPr>
            <w:tcW w:w="6660" w:type="dxa"/>
            <w:tcBorders>
              <w:top w:val="nil"/>
              <w:left w:val="nil"/>
              <w:bottom w:val="nil"/>
              <w:right w:val="nil"/>
            </w:tcBorders>
            <w:vAlign w:val="center"/>
          </w:tcPr>
          <w:p w14:paraId="61DF78B1" w14:textId="77777777" w:rsidR="007F3002" w:rsidRPr="005F2F5B" w:rsidRDefault="007F3002" w:rsidP="00C21496">
            <w:pPr>
              <w:jc w:val="left"/>
              <w:rPr>
                <w:rFonts w:cs="Arial"/>
                <w:sz w:val="24"/>
                <w:szCs w:val="24"/>
              </w:rPr>
            </w:pPr>
            <w:r w:rsidRPr="005F2F5B">
              <w:rPr>
                <w:rFonts w:cs="Arial"/>
                <w:sz w:val="24"/>
                <w:szCs w:val="24"/>
              </w:rPr>
              <w:t>Australian Register of Therapeutic Goods</w:t>
            </w:r>
          </w:p>
        </w:tc>
      </w:tr>
      <w:tr w:rsidR="007619B5" w:rsidRPr="005F2F5B" w14:paraId="58DA93E6" w14:textId="77777777" w:rsidTr="00AA5636">
        <w:trPr>
          <w:trHeight w:val="411"/>
        </w:trPr>
        <w:tc>
          <w:tcPr>
            <w:tcW w:w="1980" w:type="dxa"/>
            <w:tcBorders>
              <w:top w:val="nil"/>
              <w:left w:val="nil"/>
              <w:bottom w:val="nil"/>
              <w:right w:val="nil"/>
            </w:tcBorders>
            <w:vAlign w:val="center"/>
          </w:tcPr>
          <w:p w14:paraId="2CA78F03" w14:textId="77777777" w:rsidR="007619B5" w:rsidRPr="005F2F5B" w:rsidRDefault="007619B5" w:rsidP="00C21496">
            <w:pPr>
              <w:jc w:val="left"/>
              <w:rPr>
                <w:rFonts w:cs="Arial"/>
                <w:sz w:val="24"/>
                <w:szCs w:val="24"/>
              </w:rPr>
            </w:pPr>
            <w:r w:rsidRPr="005F2F5B">
              <w:rPr>
                <w:rFonts w:cs="Arial"/>
                <w:sz w:val="24"/>
                <w:szCs w:val="24"/>
              </w:rPr>
              <w:t>ASCS</w:t>
            </w:r>
          </w:p>
        </w:tc>
        <w:tc>
          <w:tcPr>
            <w:tcW w:w="6660" w:type="dxa"/>
            <w:tcBorders>
              <w:top w:val="nil"/>
              <w:left w:val="nil"/>
              <w:bottom w:val="nil"/>
              <w:right w:val="nil"/>
            </w:tcBorders>
            <w:vAlign w:val="center"/>
          </w:tcPr>
          <w:p w14:paraId="3326215C" w14:textId="77777777" w:rsidR="007619B5" w:rsidRPr="005F2F5B" w:rsidRDefault="007619B5" w:rsidP="00C21496">
            <w:pPr>
              <w:jc w:val="left"/>
              <w:rPr>
                <w:rFonts w:cs="Arial"/>
                <w:sz w:val="24"/>
                <w:szCs w:val="24"/>
              </w:rPr>
            </w:pPr>
            <w:r w:rsidRPr="005F2F5B">
              <w:rPr>
                <w:rFonts w:cs="Arial"/>
                <w:sz w:val="24"/>
                <w:szCs w:val="24"/>
              </w:rPr>
              <w:t>Australian Scleroderma Cohort Study</w:t>
            </w:r>
          </w:p>
        </w:tc>
      </w:tr>
      <w:tr w:rsidR="007619B5" w:rsidRPr="005F2F5B" w14:paraId="7AB00373" w14:textId="77777777" w:rsidTr="00AA5636">
        <w:trPr>
          <w:trHeight w:val="411"/>
        </w:trPr>
        <w:tc>
          <w:tcPr>
            <w:tcW w:w="1980" w:type="dxa"/>
            <w:tcBorders>
              <w:top w:val="nil"/>
              <w:left w:val="nil"/>
              <w:bottom w:val="nil"/>
              <w:right w:val="nil"/>
            </w:tcBorders>
            <w:vAlign w:val="center"/>
          </w:tcPr>
          <w:p w14:paraId="5468B159" w14:textId="77777777" w:rsidR="007619B5" w:rsidRPr="005F2F5B" w:rsidRDefault="007619B5" w:rsidP="00C21496">
            <w:pPr>
              <w:jc w:val="left"/>
              <w:rPr>
                <w:rFonts w:cs="Arial"/>
                <w:sz w:val="24"/>
                <w:szCs w:val="24"/>
              </w:rPr>
            </w:pPr>
            <w:r w:rsidRPr="005F2F5B">
              <w:rPr>
                <w:rFonts w:cs="Arial"/>
                <w:sz w:val="24"/>
                <w:szCs w:val="24"/>
              </w:rPr>
              <w:t>ASIG</w:t>
            </w:r>
          </w:p>
        </w:tc>
        <w:tc>
          <w:tcPr>
            <w:tcW w:w="6660" w:type="dxa"/>
            <w:tcBorders>
              <w:top w:val="nil"/>
              <w:left w:val="nil"/>
              <w:bottom w:val="nil"/>
              <w:right w:val="nil"/>
            </w:tcBorders>
            <w:vAlign w:val="center"/>
          </w:tcPr>
          <w:p w14:paraId="4F689885" w14:textId="77777777" w:rsidR="007619B5" w:rsidRPr="005F2F5B" w:rsidRDefault="007619B5" w:rsidP="00C21496">
            <w:pPr>
              <w:jc w:val="left"/>
              <w:rPr>
                <w:rFonts w:cs="Arial"/>
                <w:sz w:val="24"/>
                <w:szCs w:val="24"/>
              </w:rPr>
            </w:pPr>
            <w:r w:rsidRPr="005F2F5B">
              <w:rPr>
                <w:rFonts w:cs="Arial"/>
                <w:sz w:val="24"/>
                <w:szCs w:val="24"/>
              </w:rPr>
              <w:t>Australian Scleroderma Interest Group</w:t>
            </w:r>
          </w:p>
        </w:tc>
      </w:tr>
      <w:tr w:rsidR="002B1993" w:rsidRPr="005F2F5B" w14:paraId="4DD8050B" w14:textId="77777777" w:rsidTr="00AA5636">
        <w:trPr>
          <w:trHeight w:val="411"/>
        </w:trPr>
        <w:tc>
          <w:tcPr>
            <w:tcW w:w="1980" w:type="dxa"/>
            <w:tcBorders>
              <w:top w:val="nil"/>
              <w:left w:val="nil"/>
              <w:bottom w:val="nil"/>
              <w:right w:val="nil"/>
            </w:tcBorders>
            <w:vAlign w:val="center"/>
          </w:tcPr>
          <w:p w14:paraId="4D814A83" w14:textId="77777777" w:rsidR="007F3002" w:rsidRPr="005F2F5B" w:rsidRDefault="007F3002" w:rsidP="00C21496">
            <w:pPr>
              <w:jc w:val="left"/>
              <w:rPr>
                <w:rFonts w:cs="Arial"/>
                <w:sz w:val="24"/>
                <w:szCs w:val="24"/>
              </w:rPr>
            </w:pPr>
            <w:r w:rsidRPr="005F2F5B">
              <w:rPr>
                <w:rFonts w:cs="Arial"/>
                <w:sz w:val="24"/>
                <w:szCs w:val="24"/>
              </w:rPr>
              <w:t>CADTH</w:t>
            </w:r>
          </w:p>
        </w:tc>
        <w:tc>
          <w:tcPr>
            <w:tcW w:w="6660" w:type="dxa"/>
            <w:tcBorders>
              <w:top w:val="nil"/>
              <w:left w:val="nil"/>
              <w:bottom w:val="nil"/>
              <w:right w:val="nil"/>
            </w:tcBorders>
            <w:vAlign w:val="center"/>
          </w:tcPr>
          <w:p w14:paraId="7414679E" w14:textId="77777777" w:rsidR="007F3002" w:rsidRPr="005F2F5B" w:rsidRDefault="007F3002" w:rsidP="00C21496">
            <w:pPr>
              <w:jc w:val="left"/>
              <w:rPr>
                <w:rFonts w:cs="Arial"/>
                <w:sz w:val="24"/>
                <w:szCs w:val="24"/>
              </w:rPr>
            </w:pPr>
            <w:r w:rsidRPr="005F2F5B">
              <w:rPr>
                <w:rFonts w:cs="Arial"/>
                <w:sz w:val="24"/>
                <w:szCs w:val="24"/>
              </w:rPr>
              <w:t>Canadian Agency for Drugs and Technologies in Health</w:t>
            </w:r>
          </w:p>
        </w:tc>
      </w:tr>
      <w:tr w:rsidR="00D35BBD" w:rsidRPr="005F2F5B" w14:paraId="2D4B159E" w14:textId="77777777" w:rsidTr="00AA5636">
        <w:trPr>
          <w:trHeight w:val="411"/>
        </w:trPr>
        <w:tc>
          <w:tcPr>
            <w:tcW w:w="1980" w:type="dxa"/>
            <w:tcBorders>
              <w:top w:val="nil"/>
              <w:left w:val="nil"/>
              <w:bottom w:val="nil"/>
              <w:right w:val="nil"/>
            </w:tcBorders>
            <w:vAlign w:val="center"/>
          </w:tcPr>
          <w:p w14:paraId="73465F85" w14:textId="77777777" w:rsidR="00D35BBD" w:rsidRPr="005F2F5B" w:rsidRDefault="00D35BBD" w:rsidP="00C21496">
            <w:pPr>
              <w:jc w:val="left"/>
              <w:rPr>
                <w:rFonts w:cs="Arial"/>
                <w:sz w:val="24"/>
                <w:szCs w:val="24"/>
              </w:rPr>
            </w:pPr>
            <w:r w:rsidRPr="005F2F5B">
              <w:rPr>
                <w:rFonts w:cs="Arial"/>
                <w:sz w:val="24"/>
                <w:szCs w:val="24"/>
              </w:rPr>
              <w:t>CATAG</w:t>
            </w:r>
          </w:p>
        </w:tc>
        <w:tc>
          <w:tcPr>
            <w:tcW w:w="6660" w:type="dxa"/>
            <w:tcBorders>
              <w:top w:val="nil"/>
              <w:left w:val="nil"/>
              <w:bottom w:val="nil"/>
              <w:right w:val="nil"/>
            </w:tcBorders>
            <w:vAlign w:val="center"/>
          </w:tcPr>
          <w:p w14:paraId="6DCB5A10" w14:textId="77777777" w:rsidR="00D35BBD" w:rsidRPr="005F2F5B" w:rsidRDefault="00D35BBD" w:rsidP="00C21496">
            <w:pPr>
              <w:jc w:val="left"/>
              <w:rPr>
                <w:rFonts w:cs="Arial"/>
                <w:sz w:val="24"/>
                <w:szCs w:val="24"/>
              </w:rPr>
            </w:pPr>
            <w:r w:rsidRPr="005F2F5B">
              <w:rPr>
                <w:rFonts w:cs="Arial"/>
                <w:sz w:val="24"/>
                <w:szCs w:val="24"/>
              </w:rPr>
              <w:t>Council of Australian Therapeutic Advisory Groups</w:t>
            </w:r>
          </w:p>
        </w:tc>
      </w:tr>
      <w:tr w:rsidR="006471C8" w:rsidRPr="005F2F5B" w14:paraId="63703714" w14:textId="77777777" w:rsidTr="00AA5636">
        <w:trPr>
          <w:trHeight w:val="411"/>
        </w:trPr>
        <w:tc>
          <w:tcPr>
            <w:tcW w:w="1980" w:type="dxa"/>
            <w:tcBorders>
              <w:top w:val="nil"/>
              <w:left w:val="nil"/>
              <w:bottom w:val="nil"/>
              <w:right w:val="nil"/>
            </w:tcBorders>
            <w:vAlign w:val="center"/>
          </w:tcPr>
          <w:p w14:paraId="34892757" w14:textId="77777777" w:rsidR="007F3002" w:rsidRPr="005F2F5B" w:rsidRDefault="007F3002" w:rsidP="00C21496">
            <w:pPr>
              <w:jc w:val="left"/>
              <w:rPr>
                <w:rFonts w:cs="Arial"/>
                <w:sz w:val="24"/>
                <w:szCs w:val="24"/>
              </w:rPr>
            </w:pPr>
            <w:r w:rsidRPr="005F2F5B">
              <w:rPr>
                <w:rFonts w:cs="Arial"/>
                <w:sz w:val="24"/>
                <w:szCs w:val="24"/>
              </w:rPr>
              <w:t>CCB</w:t>
            </w:r>
          </w:p>
        </w:tc>
        <w:tc>
          <w:tcPr>
            <w:tcW w:w="6660" w:type="dxa"/>
            <w:tcBorders>
              <w:top w:val="nil"/>
              <w:left w:val="nil"/>
              <w:bottom w:val="nil"/>
              <w:right w:val="nil"/>
            </w:tcBorders>
            <w:vAlign w:val="center"/>
          </w:tcPr>
          <w:p w14:paraId="0CB6FF63" w14:textId="77777777" w:rsidR="007F3002" w:rsidRPr="005F2F5B" w:rsidRDefault="007F3002" w:rsidP="00C21496">
            <w:pPr>
              <w:jc w:val="left"/>
              <w:rPr>
                <w:rFonts w:cs="Arial"/>
                <w:sz w:val="24"/>
                <w:szCs w:val="24"/>
              </w:rPr>
            </w:pPr>
            <w:r w:rsidRPr="005F2F5B">
              <w:rPr>
                <w:rFonts w:cs="Arial"/>
                <w:sz w:val="24"/>
                <w:szCs w:val="24"/>
              </w:rPr>
              <w:t>Calcium channel blocker</w:t>
            </w:r>
          </w:p>
        </w:tc>
      </w:tr>
      <w:tr w:rsidR="007F3002" w:rsidRPr="005F2F5B" w14:paraId="2B8DDE9A" w14:textId="77777777" w:rsidTr="00AA5636">
        <w:trPr>
          <w:trHeight w:val="411"/>
        </w:trPr>
        <w:tc>
          <w:tcPr>
            <w:tcW w:w="1980" w:type="dxa"/>
            <w:tcBorders>
              <w:top w:val="nil"/>
              <w:left w:val="nil"/>
              <w:bottom w:val="nil"/>
              <w:right w:val="nil"/>
            </w:tcBorders>
            <w:vAlign w:val="center"/>
          </w:tcPr>
          <w:p w14:paraId="62FDEA5B" w14:textId="77777777" w:rsidR="007F3002" w:rsidRPr="005F2F5B" w:rsidRDefault="007F3002" w:rsidP="00C21496">
            <w:pPr>
              <w:jc w:val="left"/>
              <w:rPr>
                <w:rFonts w:cs="Arial"/>
                <w:sz w:val="24"/>
                <w:szCs w:val="24"/>
              </w:rPr>
            </w:pPr>
            <w:r w:rsidRPr="005F2F5B">
              <w:rPr>
                <w:rFonts w:cs="Arial"/>
                <w:sz w:val="24"/>
                <w:szCs w:val="24"/>
              </w:rPr>
              <w:t>CI</w:t>
            </w:r>
          </w:p>
        </w:tc>
        <w:tc>
          <w:tcPr>
            <w:tcW w:w="6660" w:type="dxa"/>
            <w:tcBorders>
              <w:top w:val="nil"/>
              <w:left w:val="nil"/>
              <w:bottom w:val="nil"/>
              <w:right w:val="nil"/>
            </w:tcBorders>
            <w:vAlign w:val="center"/>
          </w:tcPr>
          <w:p w14:paraId="42149B12" w14:textId="77777777" w:rsidR="007F3002" w:rsidRPr="005F2F5B" w:rsidRDefault="0017746E" w:rsidP="00C21496">
            <w:pPr>
              <w:jc w:val="left"/>
              <w:rPr>
                <w:rFonts w:cs="Arial"/>
                <w:sz w:val="24"/>
                <w:szCs w:val="24"/>
              </w:rPr>
            </w:pPr>
            <w:r w:rsidRPr="005F2F5B">
              <w:rPr>
                <w:rFonts w:cs="Arial"/>
                <w:sz w:val="24"/>
                <w:szCs w:val="24"/>
              </w:rPr>
              <w:t>Confidence Interval</w:t>
            </w:r>
          </w:p>
        </w:tc>
      </w:tr>
      <w:tr w:rsidR="00220EDF" w:rsidRPr="005F2F5B" w14:paraId="6E1AC536" w14:textId="77777777" w:rsidTr="00AA5636">
        <w:trPr>
          <w:trHeight w:val="411"/>
        </w:trPr>
        <w:tc>
          <w:tcPr>
            <w:tcW w:w="1980" w:type="dxa"/>
            <w:tcBorders>
              <w:top w:val="nil"/>
              <w:left w:val="nil"/>
              <w:bottom w:val="nil"/>
              <w:right w:val="nil"/>
            </w:tcBorders>
            <w:vAlign w:val="center"/>
          </w:tcPr>
          <w:p w14:paraId="7CA18459" w14:textId="77777777" w:rsidR="007F3002" w:rsidRPr="005F2F5B" w:rsidRDefault="007F3002" w:rsidP="00C21496">
            <w:pPr>
              <w:jc w:val="left"/>
              <w:rPr>
                <w:rFonts w:cs="Arial"/>
                <w:sz w:val="24"/>
                <w:szCs w:val="24"/>
              </w:rPr>
            </w:pPr>
            <w:r w:rsidRPr="005F2F5B">
              <w:rPr>
                <w:rFonts w:cs="Arial"/>
                <w:sz w:val="24"/>
                <w:szCs w:val="24"/>
              </w:rPr>
              <w:t>CTEPH</w:t>
            </w:r>
          </w:p>
        </w:tc>
        <w:tc>
          <w:tcPr>
            <w:tcW w:w="6660" w:type="dxa"/>
            <w:tcBorders>
              <w:top w:val="nil"/>
              <w:left w:val="nil"/>
              <w:bottom w:val="nil"/>
              <w:right w:val="nil"/>
            </w:tcBorders>
            <w:vAlign w:val="center"/>
          </w:tcPr>
          <w:p w14:paraId="5B5F3255" w14:textId="77777777" w:rsidR="007F3002" w:rsidRPr="005F2F5B" w:rsidRDefault="007F3002" w:rsidP="00C21496">
            <w:pPr>
              <w:jc w:val="left"/>
              <w:rPr>
                <w:rFonts w:cs="Arial"/>
                <w:sz w:val="24"/>
                <w:szCs w:val="24"/>
              </w:rPr>
            </w:pPr>
            <w:r w:rsidRPr="005F2F5B">
              <w:rPr>
                <w:rFonts w:cs="Arial"/>
                <w:sz w:val="24"/>
                <w:szCs w:val="24"/>
              </w:rPr>
              <w:t>Chronic thromboembolic pulmonary hypertension</w:t>
            </w:r>
          </w:p>
        </w:tc>
      </w:tr>
      <w:tr w:rsidR="00220EDF" w:rsidRPr="005F2F5B" w14:paraId="20D34B1A" w14:textId="77777777" w:rsidTr="00AA5636">
        <w:trPr>
          <w:trHeight w:val="411"/>
        </w:trPr>
        <w:tc>
          <w:tcPr>
            <w:tcW w:w="1980" w:type="dxa"/>
            <w:tcBorders>
              <w:top w:val="nil"/>
              <w:left w:val="nil"/>
              <w:bottom w:val="nil"/>
              <w:right w:val="nil"/>
            </w:tcBorders>
            <w:vAlign w:val="center"/>
          </w:tcPr>
          <w:p w14:paraId="140C9CC2" w14:textId="77777777" w:rsidR="00857CFD" w:rsidRPr="005F2F5B" w:rsidRDefault="00857CFD" w:rsidP="00C21496">
            <w:pPr>
              <w:jc w:val="left"/>
              <w:rPr>
                <w:rFonts w:cs="Arial"/>
                <w:sz w:val="24"/>
                <w:szCs w:val="24"/>
              </w:rPr>
            </w:pPr>
            <w:r w:rsidRPr="005F2F5B">
              <w:rPr>
                <w:rFonts w:cs="Arial"/>
                <w:sz w:val="24"/>
                <w:szCs w:val="24"/>
              </w:rPr>
              <w:t>DUSC</w:t>
            </w:r>
          </w:p>
        </w:tc>
        <w:tc>
          <w:tcPr>
            <w:tcW w:w="6660" w:type="dxa"/>
            <w:tcBorders>
              <w:top w:val="nil"/>
              <w:left w:val="nil"/>
              <w:bottom w:val="nil"/>
              <w:right w:val="nil"/>
            </w:tcBorders>
            <w:vAlign w:val="center"/>
          </w:tcPr>
          <w:p w14:paraId="42E686EF" w14:textId="77777777" w:rsidR="00857CFD" w:rsidRPr="005F2F5B" w:rsidRDefault="00857CFD" w:rsidP="00C21496">
            <w:pPr>
              <w:jc w:val="left"/>
              <w:rPr>
                <w:rFonts w:cs="Arial"/>
                <w:sz w:val="24"/>
                <w:szCs w:val="24"/>
              </w:rPr>
            </w:pPr>
            <w:r w:rsidRPr="005F2F5B">
              <w:rPr>
                <w:rFonts w:cs="Arial"/>
                <w:sz w:val="24"/>
                <w:szCs w:val="24"/>
              </w:rPr>
              <w:t>Drug Utilisation Sub-Committee</w:t>
            </w:r>
          </w:p>
        </w:tc>
      </w:tr>
      <w:tr w:rsidR="006471C8" w:rsidRPr="005F2F5B" w14:paraId="4EBC1238" w14:textId="77777777" w:rsidTr="00AA5636">
        <w:trPr>
          <w:trHeight w:val="411"/>
        </w:trPr>
        <w:tc>
          <w:tcPr>
            <w:tcW w:w="1980" w:type="dxa"/>
            <w:tcBorders>
              <w:top w:val="nil"/>
              <w:left w:val="nil"/>
              <w:bottom w:val="nil"/>
              <w:right w:val="nil"/>
            </w:tcBorders>
            <w:vAlign w:val="center"/>
          </w:tcPr>
          <w:p w14:paraId="64F4FAD6" w14:textId="77777777" w:rsidR="006471C8" w:rsidRPr="005F2F5B" w:rsidRDefault="006471C8" w:rsidP="00C21496">
            <w:pPr>
              <w:jc w:val="left"/>
              <w:rPr>
                <w:rFonts w:cs="Arial"/>
                <w:sz w:val="24"/>
                <w:szCs w:val="24"/>
              </w:rPr>
            </w:pPr>
            <w:r w:rsidRPr="005F2F5B">
              <w:rPr>
                <w:rFonts w:cs="Arial"/>
                <w:sz w:val="24"/>
                <w:szCs w:val="24"/>
              </w:rPr>
              <w:t>ECHO</w:t>
            </w:r>
          </w:p>
        </w:tc>
        <w:tc>
          <w:tcPr>
            <w:tcW w:w="6660" w:type="dxa"/>
            <w:tcBorders>
              <w:top w:val="nil"/>
              <w:left w:val="nil"/>
              <w:bottom w:val="nil"/>
              <w:right w:val="nil"/>
            </w:tcBorders>
            <w:vAlign w:val="center"/>
          </w:tcPr>
          <w:p w14:paraId="2547CE24" w14:textId="77777777" w:rsidR="006471C8" w:rsidRPr="005F2F5B" w:rsidRDefault="006471C8" w:rsidP="00C21496">
            <w:pPr>
              <w:jc w:val="left"/>
              <w:rPr>
                <w:rFonts w:cs="Arial"/>
                <w:sz w:val="24"/>
                <w:szCs w:val="24"/>
              </w:rPr>
            </w:pPr>
            <w:r w:rsidRPr="005F2F5B">
              <w:rPr>
                <w:rFonts w:cs="Arial"/>
                <w:sz w:val="24"/>
                <w:szCs w:val="24"/>
              </w:rPr>
              <w:t>Echocardiography</w:t>
            </w:r>
          </w:p>
        </w:tc>
      </w:tr>
      <w:tr w:rsidR="00220EDF" w:rsidRPr="005F2F5B" w14:paraId="1B26F4E5" w14:textId="77777777" w:rsidTr="00AA5636">
        <w:trPr>
          <w:trHeight w:val="411"/>
        </w:trPr>
        <w:tc>
          <w:tcPr>
            <w:tcW w:w="1980" w:type="dxa"/>
            <w:tcBorders>
              <w:top w:val="nil"/>
              <w:left w:val="nil"/>
              <w:bottom w:val="nil"/>
              <w:right w:val="nil"/>
            </w:tcBorders>
            <w:vAlign w:val="center"/>
          </w:tcPr>
          <w:p w14:paraId="2013D1B3" w14:textId="77777777" w:rsidR="00857CFD" w:rsidRPr="005F2F5B" w:rsidRDefault="00857CFD" w:rsidP="00C21496">
            <w:pPr>
              <w:jc w:val="left"/>
              <w:rPr>
                <w:rFonts w:cs="Arial"/>
                <w:sz w:val="24"/>
                <w:szCs w:val="24"/>
              </w:rPr>
            </w:pPr>
            <w:r w:rsidRPr="005F2F5B">
              <w:rPr>
                <w:rFonts w:cs="Arial"/>
                <w:sz w:val="24"/>
                <w:szCs w:val="24"/>
              </w:rPr>
              <w:t>EMA</w:t>
            </w:r>
          </w:p>
        </w:tc>
        <w:tc>
          <w:tcPr>
            <w:tcW w:w="6660" w:type="dxa"/>
            <w:tcBorders>
              <w:top w:val="nil"/>
              <w:left w:val="nil"/>
              <w:bottom w:val="nil"/>
              <w:right w:val="nil"/>
            </w:tcBorders>
            <w:vAlign w:val="center"/>
          </w:tcPr>
          <w:p w14:paraId="33609453" w14:textId="77777777" w:rsidR="00857CFD" w:rsidRPr="005F2F5B" w:rsidRDefault="00857CFD" w:rsidP="00C21496">
            <w:pPr>
              <w:jc w:val="left"/>
              <w:rPr>
                <w:rFonts w:cs="Arial"/>
                <w:sz w:val="24"/>
                <w:szCs w:val="24"/>
              </w:rPr>
            </w:pPr>
            <w:r w:rsidRPr="005F2F5B">
              <w:rPr>
                <w:rFonts w:cs="Arial"/>
                <w:sz w:val="24"/>
                <w:szCs w:val="24"/>
              </w:rPr>
              <w:t>European Medicines Agency</w:t>
            </w:r>
          </w:p>
        </w:tc>
      </w:tr>
      <w:tr w:rsidR="00220EDF" w:rsidRPr="005F2F5B" w14:paraId="005BFDA3" w14:textId="77777777" w:rsidTr="00AA5636">
        <w:trPr>
          <w:trHeight w:val="411"/>
        </w:trPr>
        <w:tc>
          <w:tcPr>
            <w:tcW w:w="1980" w:type="dxa"/>
            <w:tcBorders>
              <w:top w:val="nil"/>
              <w:left w:val="nil"/>
              <w:bottom w:val="nil"/>
              <w:right w:val="nil"/>
            </w:tcBorders>
            <w:vAlign w:val="center"/>
          </w:tcPr>
          <w:p w14:paraId="408DA645" w14:textId="77777777" w:rsidR="00857CFD" w:rsidRPr="005F2F5B" w:rsidRDefault="00857CFD" w:rsidP="00C21496">
            <w:pPr>
              <w:jc w:val="left"/>
              <w:rPr>
                <w:rFonts w:cs="Arial"/>
                <w:sz w:val="24"/>
                <w:szCs w:val="24"/>
              </w:rPr>
            </w:pPr>
            <w:r w:rsidRPr="005F2F5B">
              <w:rPr>
                <w:rFonts w:cs="Arial"/>
                <w:sz w:val="24"/>
                <w:szCs w:val="24"/>
              </w:rPr>
              <w:t>EQ-5D</w:t>
            </w:r>
          </w:p>
        </w:tc>
        <w:tc>
          <w:tcPr>
            <w:tcW w:w="6660" w:type="dxa"/>
            <w:tcBorders>
              <w:top w:val="nil"/>
              <w:left w:val="nil"/>
              <w:bottom w:val="nil"/>
              <w:right w:val="nil"/>
            </w:tcBorders>
            <w:vAlign w:val="center"/>
          </w:tcPr>
          <w:p w14:paraId="15307DEF" w14:textId="77777777" w:rsidR="00857CFD" w:rsidRPr="005F2F5B" w:rsidRDefault="00857CFD" w:rsidP="00C21496">
            <w:pPr>
              <w:jc w:val="left"/>
              <w:rPr>
                <w:rFonts w:cs="Arial"/>
                <w:sz w:val="24"/>
                <w:szCs w:val="24"/>
              </w:rPr>
            </w:pPr>
            <w:r w:rsidRPr="005F2F5B">
              <w:rPr>
                <w:rFonts w:cs="Arial"/>
                <w:sz w:val="24"/>
                <w:szCs w:val="24"/>
              </w:rPr>
              <w:t>EuroQol 5-dimension</w:t>
            </w:r>
          </w:p>
        </w:tc>
      </w:tr>
      <w:tr w:rsidR="00220EDF" w:rsidRPr="005F2F5B" w14:paraId="2AD060B2" w14:textId="77777777" w:rsidTr="00AA5636">
        <w:trPr>
          <w:trHeight w:val="411"/>
        </w:trPr>
        <w:tc>
          <w:tcPr>
            <w:tcW w:w="1980" w:type="dxa"/>
            <w:tcBorders>
              <w:top w:val="nil"/>
              <w:left w:val="nil"/>
              <w:bottom w:val="nil"/>
              <w:right w:val="nil"/>
            </w:tcBorders>
            <w:vAlign w:val="center"/>
          </w:tcPr>
          <w:p w14:paraId="641E1873" w14:textId="77777777" w:rsidR="00857CFD" w:rsidRPr="005F2F5B" w:rsidRDefault="00857CFD" w:rsidP="00C21496">
            <w:pPr>
              <w:jc w:val="left"/>
              <w:rPr>
                <w:rFonts w:cs="Arial"/>
                <w:sz w:val="24"/>
                <w:szCs w:val="24"/>
              </w:rPr>
            </w:pPr>
            <w:r w:rsidRPr="005F2F5B">
              <w:rPr>
                <w:rFonts w:cs="Arial"/>
                <w:sz w:val="24"/>
                <w:szCs w:val="24"/>
              </w:rPr>
              <w:t>EQ-VAS</w:t>
            </w:r>
          </w:p>
        </w:tc>
        <w:tc>
          <w:tcPr>
            <w:tcW w:w="6660" w:type="dxa"/>
            <w:tcBorders>
              <w:top w:val="nil"/>
              <w:left w:val="nil"/>
              <w:bottom w:val="nil"/>
              <w:right w:val="nil"/>
            </w:tcBorders>
            <w:vAlign w:val="center"/>
          </w:tcPr>
          <w:p w14:paraId="719CE37F" w14:textId="77777777" w:rsidR="00857CFD" w:rsidRPr="005F2F5B" w:rsidRDefault="00857CFD" w:rsidP="00C21496">
            <w:pPr>
              <w:jc w:val="left"/>
              <w:rPr>
                <w:rFonts w:cs="Arial"/>
                <w:sz w:val="24"/>
                <w:szCs w:val="24"/>
              </w:rPr>
            </w:pPr>
            <w:r w:rsidRPr="005F2F5B">
              <w:rPr>
                <w:rFonts w:cs="Arial"/>
                <w:sz w:val="24"/>
                <w:szCs w:val="24"/>
              </w:rPr>
              <w:t>EuroQol visual analogue scale</w:t>
            </w:r>
          </w:p>
        </w:tc>
      </w:tr>
      <w:tr w:rsidR="006471C8" w:rsidRPr="005F2F5B" w14:paraId="30116127" w14:textId="77777777" w:rsidTr="00AA5636">
        <w:trPr>
          <w:trHeight w:val="411"/>
        </w:trPr>
        <w:tc>
          <w:tcPr>
            <w:tcW w:w="1980" w:type="dxa"/>
            <w:tcBorders>
              <w:top w:val="nil"/>
              <w:left w:val="nil"/>
              <w:bottom w:val="nil"/>
              <w:right w:val="nil"/>
            </w:tcBorders>
            <w:vAlign w:val="center"/>
          </w:tcPr>
          <w:p w14:paraId="171A5353" w14:textId="77777777" w:rsidR="00857CFD" w:rsidRPr="005F2F5B" w:rsidRDefault="00857CFD" w:rsidP="00C21496">
            <w:pPr>
              <w:jc w:val="left"/>
              <w:rPr>
                <w:rFonts w:cs="Arial"/>
                <w:sz w:val="24"/>
                <w:szCs w:val="24"/>
              </w:rPr>
            </w:pPr>
            <w:r w:rsidRPr="005F2F5B">
              <w:rPr>
                <w:rFonts w:cs="Arial"/>
                <w:sz w:val="24"/>
                <w:szCs w:val="24"/>
              </w:rPr>
              <w:t>ERA</w:t>
            </w:r>
          </w:p>
        </w:tc>
        <w:tc>
          <w:tcPr>
            <w:tcW w:w="6660" w:type="dxa"/>
            <w:tcBorders>
              <w:top w:val="nil"/>
              <w:left w:val="nil"/>
              <w:bottom w:val="nil"/>
              <w:right w:val="nil"/>
            </w:tcBorders>
            <w:vAlign w:val="center"/>
          </w:tcPr>
          <w:p w14:paraId="67FB55A4" w14:textId="77777777" w:rsidR="00857CFD" w:rsidRPr="005F2F5B" w:rsidRDefault="00857CFD" w:rsidP="00C21496">
            <w:pPr>
              <w:jc w:val="left"/>
              <w:rPr>
                <w:rFonts w:cs="Arial"/>
                <w:sz w:val="24"/>
                <w:szCs w:val="24"/>
              </w:rPr>
            </w:pPr>
            <w:r w:rsidRPr="005F2F5B">
              <w:rPr>
                <w:rFonts w:cs="Arial"/>
                <w:sz w:val="24"/>
                <w:szCs w:val="24"/>
              </w:rPr>
              <w:t>Endothelin receptor antagonist</w:t>
            </w:r>
          </w:p>
        </w:tc>
      </w:tr>
      <w:tr w:rsidR="00220EDF" w:rsidRPr="005F2F5B" w14:paraId="2A7EAE62" w14:textId="77777777" w:rsidTr="00AA5636">
        <w:trPr>
          <w:trHeight w:val="411"/>
        </w:trPr>
        <w:tc>
          <w:tcPr>
            <w:tcW w:w="1980" w:type="dxa"/>
            <w:tcBorders>
              <w:top w:val="nil"/>
              <w:left w:val="nil"/>
              <w:bottom w:val="nil"/>
              <w:right w:val="nil"/>
            </w:tcBorders>
            <w:vAlign w:val="center"/>
          </w:tcPr>
          <w:p w14:paraId="25C8D037" w14:textId="77777777" w:rsidR="00857CFD" w:rsidRPr="005F2F5B" w:rsidRDefault="00857CFD" w:rsidP="00C21496">
            <w:pPr>
              <w:jc w:val="left"/>
              <w:rPr>
                <w:rFonts w:cs="Arial"/>
                <w:sz w:val="24"/>
                <w:szCs w:val="24"/>
              </w:rPr>
            </w:pPr>
            <w:r w:rsidRPr="005F2F5B">
              <w:rPr>
                <w:rFonts w:cs="Arial"/>
                <w:sz w:val="24"/>
                <w:szCs w:val="24"/>
              </w:rPr>
              <w:t>ERS</w:t>
            </w:r>
          </w:p>
        </w:tc>
        <w:tc>
          <w:tcPr>
            <w:tcW w:w="6660" w:type="dxa"/>
            <w:tcBorders>
              <w:top w:val="nil"/>
              <w:left w:val="nil"/>
              <w:bottom w:val="nil"/>
              <w:right w:val="nil"/>
            </w:tcBorders>
            <w:vAlign w:val="center"/>
          </w:tcPr>
          <w:p w14:paraId="23E8868E" w14:textId="77777777" w:rsidR="00857CFD" w:rsidRPr="005F2F5B" w:rsidRDefault="00857CFD" w:rsidP="00C21496">
            <w:pPr>
              <w:jc w:val="left"/>
              <w:rPr>
                <w:rFonts w:cs="Arial"/>
                <w:sz w:val="24"/>
                <w:szCs w:val="24"/>
              </w:rPr>
            </w:pPr>
            <w:r w:rsidRPr="005F2F5B">
              <w:rPr>
                <w:rFonts w:cs="Arial"/>
                <w:sz w:val="24"/>
                <w:szCs w:val="24"/>
              </w:rPr>
              <w:t>European Respiratory Society</w:t>
            </w:r>
          </w:p>
        </w:tc>
      </w:tr>
      <w:tr w:rsidR="00220EDF" w:rsidRPr="005F2F5B" w14:paraId="21154750" w14:textId="77777777" w:rsidTr="00AA5636">
        <w:trPr>
          <w:trHeight w:val="411"/>
        </w:trPr>
        <w:tc>
          <w:tcPr>
            <w:tcW w:w="1980" w:type="dxa"/>
            <w:tcBorders>
              <w:top w:val="nil"/>
              <w:left w:val="nil"/>
              <w:bottom w:val="nil"/>
              <w:right w:val="nil"/>
            </w:tcBorders>
            <w:vAlign w:val="center"/>
          </w:tcPr>
          <w:p w14:paraId="58F4B34D" w14:textId="77777777" w:rsidR="00857CFD" w:rsidRPr="005F2F5B" w:rsidRDefault="00857CFD" w:rsidP="00C21496">
            <w:pPr>
              <w:jc w:val="left"/>
              <w:rPr>
                <w:rFonts w:cs="Arial"/>
                <w:sz w:val="24"/>
                <w:szCs w:val="24"/>
              </w:rPr>
            </w:pPr>
            <w:r w:rsidRPr="005F2F5B">
              <w:rPr>
                <w:rFonts w:cs="Arial"/>
                <w:sz w:val="24"/>
                <w:szCs w:val="24"/>
              </w:rPr>
              <w:t>ESC</w:t>
            </w:r>
          </w:p>
        </w:tc>
        <w:tc>
          <w:tcPr>
            <w:tcW w:w="6660" w:type="dxa"/>
            <w:tcBorders>
              <w:top w:val="nil"/>
              <w:left w:val="nil"/>
              <w:bottom w:val="nil"/>
              <w:right w:val="nil"/>
            </w:tcBorders>
            <w:vAlign w:val="center"/>
          </w:tcPr>
          <w:p w14:paraId="3E8F78AC" w14:textId="77777777" w:rsidR="00857CFD" w:rsidRPr="005F2F5B" w:rsidRDefault="00857CFD" w:rsidP="00C21496">
            <w:pPr>
              <w:jc w:val="left"/>
              <w:rPr>
                <w:rFonts w:cs="Arial"/>
                <w:sz w:val="24"/>
                <w:szCs w:val="24"/>
              </w:rPr>
            </w:pPr>
            <w:r w:rsidRPr="005F2F5B">
              <w:rPr>
                <w:rFonts w:cs="Arial"/>
                <w:sz w:val="24"/>
                <w:szCs w:val="24"/>
              </w:rPr>
              <w:t>European Society of Cardiology</w:t>
            </w:r>
          </w:p>
        </w:tc>
      </w:tr>
      <w:tr w:rsidR="0080302C" w:rsidRPr="005F2F5B" w14:paraId="739FD5C6" w14:textId="77777777" w:rsidTr="00AA5636">
        <w:trPr>
          <w:trHeight w:val="411"/>
        </w:trPr>
        <w:tc>
          <w:tcPr>
            <w:tcW w:w="1980" w:type="dxa"/>
            <w:tcBorders>
              <w:top w:val="nil"/>
              <w:left w:val="nil"/>
              <w:bottom w:val="nil"/>
              <w:right w:val="nil"/>
            </w:tcBorders>
            <w:vAlign w:val="center"/>
          </w:tcPr>
          <w:p w14:paraId="485D7FF5" w14:textId="77777777" w:rsidR="0080302C" w:rsidRPr="005F2F5B" w:rsidRDefault="0080302C" w:rsidP="00C21496">
            <w:pPr>
              <w:jc w:val="left"/>
              <w:rPr>
                <w:rFonts w:cs="Arial"/>
                <w:sz w:val="24"/>
                <w:szCs w:val="24"/>
              </w:rPr>
            </w:pPr>
            <w:r w:rsidRPr="005F2F5B">
              <w:rPr>
                <w:rFonts w:cs="Arial"/>
                <w:sz w:val="24"/>
                <w:szCs w:val="24"/>
              </w:rPr>
              <w:t>ESC/ERS guidelines</w:t>
            </w:r>
          </w:p>
        </w:tc>
        <w:tc>
          <w:tcPr>
            <w:tcW w:w="6660" w:type="dxa"/>
            <w:tcBorders>
              <w:top w:val="nil"/>
              <w:left w:val="nil"/>
              <w:bottom w:val="nil"/>
              <w:right w:val="nil"/>
            </w:tcBorders>
            <w:vAlign w:val="center"/>
          </w:tcPr>
          <w:p w14:paraId="4602C72D" w14:textId="77777777" w:rsidR="0080302C" w:rsidRPr="005F2F5B" w:rsidRDefault="0080302C" w:rsidP="00C21496">
            <w:pPr>
              <w:jc w:val="left"/>
              <w:rPr>
                <w:rFonts w:cs="Arial"/>
                <w:sz w:val="24"/>
                <w:szCs w:val="24"/>
              </w:rPr>
            </w:pPr>
            <w:r w:rsidRPr="005F2F5B">
              <w:rPr>
                <w:rFonts w:cs="Arial"/>
                <w:sz w:val="24"/>
                <w:szCs w:val="24"/>
              </w:rPr>
              <w:t>2015 ESC/ERS guidelines for the diagnosis and treatment of pulmonary hypertension</w:t>
            </w:r>
          </w:p>
        </w:tc>
      </w:tr>
      <w:tr w:rsidR="006471C8" w:rsidRPr="005F2F5B" w14:paraId="3400F71D" w14:textId="77777777" w:rsidTr="00AA5636">
        <w:trPr>
          <w:trHeight w:val="411"/>
        </w:trPr>
        <w:tc>
          <w:tcPr>
            <w:tcW w:w="1980" w:type="dxa"/>
            <w:tcBorders>
              <w:top w:val="nil"/>
              <w:left w:val="nil"/>
              <w:bottom w:val="nil"/>
              <w:right w:val="nil"/>
            </w:tcBorders>
            <w:vAlign w:val="center"/>
          </w:tcPr>
          <w:p w14:paraId="55D8F142" w14:textId="77777777" w:rsidR="00857CFD" w:rsidRPr="005F2F5B" w:rsidRDefault="00857CFD" w:rsidP="00C21496">
            <w:pPr>
              <w:jc w:val="left"/>
              <w:rPr>
                <w:rFonts w:cs="Arial"/>
                <w:sz w:val="24"/>
                <w:szCs w:val="24"/>
              </w:rPr>
            </w:pPr>
            <w:r w:rsidRPr="005F2F5B">
              <w:rPr>
                <w:rFonts w:cs="Arial"/>
                <w:sz w:val="24"/>
                <w:szCs w:val="24"/>
              </w:rPr>
              <w:t>FC</w:t>
            </w:r>
          </w:p>
        </w:tc>
        <w:tc>
          <w:tcPr>
            <w:tcW w:w="6660" w:type="dxa"/>
            <w:tcBorders>
              <w:top w:val="nil"/>
              <w:left w:val="nil"/>
              <w:bottom w:val="nil"/>
              <w:right w:val="nil"/>
            </w:tcBorders>
            <w:vAlign w:val="center"/>
          </w:tcPr>
          <w:p w14:paraId="7EAC5334" w14:textId="77777777" w:rsidR="00857CFD" w:rsidRPr="005F2F5B" w:rsidRDefault="00857CFD" w:rsidP="00C21496">
            <w:pPr>
              <w:jc w:val="left"/>
              <w:rPr>
                <w:rFonts w:cs="Arial"/>
                <w:sz w:val="24"/>
                <w:szCs w:val="24"/>
              </w:rPr>
            </w:pPr>
            <w:r w:rsidRPr="005F2F5B">
              <w:rPr>
                <w:rFonts w:cs="Arial"/>
                <w:sz w:val="24"/>
                <w:szCs w:val="24"/>
              </w:rPr>
              <w:t>Functional class</w:t>
            </w:r>
          </w:p>
        </w:tc>
      </w:tr>
      <w:tr w:rsidR="00220EDF" w:rsidRPr="005F2F5B" w14:paraId="7AA2876F" w14:textId="77777777" w:rsidTr="00AA5636">
        <w:trPr>
          <w:trHeight w:val="411"/>
        </w:trPr>
        <w:tc>
          <w:tcPr>
            <w:tcW w:w="1980" w:type="dxa"/>
            <w:tcBorders>
              <w:top w:val="nil"/>
              <w:left w:val="nil"/>
              <w:bottom w:val="nil"/>
              <w:right w:val="nil"/>
            </w:tcBorders>
            <w:vAlign w:val="center"/>
          </w:tcPr>
          <w:p w14:paraId="2414EBE1" w14:textId="77777777" w:rsidR="00857CFD" w:rsidRPr="005F2F5B" w:rsidRDefault="00857CFD" w:rsidP="00C21496">
            <w:pPr>
              <w:jc w:val="left"/>
              <w:rPr>
                <w:rFonts w:cs="Arial"/>
                <w:sz w:val="24"/>
                <w:szCs w:val="24"/>
              </w:rPr>
            </w:pPr>
            <w:r w:rsidRPr="005F2F5B">
              <w:rPr>
                <w:rFonts w:cs="Arial"/>
                <w:sz w:val="24"/>
                <w:szCs w:val="24"/>
              </w:rPr>
              <w:t>FDA</w:t>
            </w:r>
          </w:p>
        </w:tc>
        <w:tc>
          <w:tcPr>
            <w:tcW w:w="6660" w:type="dxa"/>
            <w:tcBorders>
              <w:top w:val="nil"/>
              <w:left w:val="nil"/>
              <w:bottom w:val="nil"/>
              <w:right w:val="nil"/>
            </w:tcBorders>
            <w:vAlign w:val="center"/>
          </w:tcPr>
          <w:p w14:paraId="51A9D022" w14:textId="77777777" w:rsidR="00857CFD" w:rsidRPr="005F2F5B" w:rsidRDefault="00857CFD" w:rsidP="00C21496">
            <w:pPr>
              <w:jc w:val="left"/>
              <w:rPr>
                <w:rFonts w:cs="Arial"/>
                <w:sz w:val="24"/>
                <w:szCs w:val="24"/>
              </w:rPr>
            </w:pPr>
            <w:r w:rsidRPr="005F2F5B">
              <w:rPr>
                <w:rFonts w:cs="Arial"/>
                <w:sz w:val="24"/>
                <w:szCs w:val="24"/>
              </w:rPr>
              <w:t>United States Food and Drug Administration</w:t>
            </w:r>
          </w:p>
        </w:tc>
      </w:tr>
      <w:tr w:rsidR="00220EDF" w:rsidRPr="005F2F5B" w14:paraId="3250FCC1" w14:textId="77777777" w:rsidTr="00AA5636">
        <w:trPr>
          <w:trHeight w:val="411"/>
        </w:trPr>
        <w:tc>
          <w:tcPr>
            <w:tcW w:w="1980" w:type="dxa"/>
            <w:tcBorders>
              <w:top w:val="nil"/>
              <w:left w:val="nil"/>
              <w:bottom w:val="nil"/>
              <w:right w:val="nil"/>
            </w:tcBorders>
            <w:vAlign w:val="center"/>
          </w:tcPr>
          <w:p w14:paraId="48329A6B" w14:textId="77777777" w:rsidR="00857CFD" w:rsidRPr="005F2F5B" w:rsidRDefault="00857CFD" w:rsidP="00C21496">
            <w:pPr>
              <w:jc w:val="left"/>
              <w:rPr>
                <w:rFonts w:cs="Arial"/>
                <w:sz w:val="24"/>
                <w:szCs w:val="24"/>
              </w:rPr>
            </w:pPr>
            <w:r w:rsidRPr="005F2F5B">
              <w:rPr>
                <w:rFonts w:cs="Arial"/>
                <w:sz w:val="24"/>
                <w:szCs w:val="24"/>
              </w:rPr>
              <w:t>GRADE</w:t>
            </w:r>
            <w:r w:rsidRPr="005F2F5B">
              <w:rPr>
                <w:rFonts w:cs="Arial"/>
                <w:sz w:val="24"/>
                <w:szCs w:val="24"/>
              </w:rPr>
              <w:tab/>
            </w:r>
          </w:p>
        </w:tc>
        <w:tc>
          <w:tcPr>
            <w:tcW w:w="6660" w:type="dxa"/>
            <w:tcBorders>
              <w:top w:val="nil"/>
              <w:left w:val="nil"/>
              <w:bottom w:val="nil"/>
              <w:right w:val="nil"/>
            </w:tcBorders>
            <w:vAlign w:val="center"/>
          </w:tcPr>
          <w:p w14:paraId="585AE6B1" w14:textId="77777777" w:rsidR="00857CFD" w:rsidRPr="005F2F5B" w:rsidRDefault="00857CFD" w:rsidP="00C21496">
            <w:pPr>
              <w:jc w:val="left"/>
              <w:rPr>
                <w:rFonts w:cs="Arial"/>
                <w:sz w:val="24"/>
                <w:szCs w:val="24"/>
              </w:rPr>
            </w:pPr>
            <w:r w:rsidRPr="005F2F5B">
              <w:rPr>
                <w:rFonts w:cs="Arial"/>
                <w:sz w:val="24"/>
                <w:szCs w:val="24"/>
              </w:rPr>
              <w:t>Grading of Recommendations Assessment, Development, and Evaluation</w:t>
            </w:r>
          </w:p>
        </w:tc>
      </w:tr>
      <w:tr w:rsidR="00857CFD" w:rsidRPr="005F2F5B" w14:paraId="069B19D9" w14:textId="77777777" w:rsidTr="00AA5636">
        <w:trPr>
          <w:trHeight w:val="411"/>
        </w:trPr>
        <w:tc>
          <w:tcPr>
            <w:tcW w:w="1980" w:type="dxa"/>
            <w:tcBorders>
              <w:top w:val="nil"/>
              <w:left w:val="nil"/>
              <w:bottom w:val="nil"/>
              <w:right w:val="nil"/>
            </w:tcBorders>
            <w:vAlign w:val="center"/>
          </w:tcPr>
          <w:p w14:paraId="67FD3388" w14:textId="77777777" w:rsidR="00857CFD" w:rsidRPr="005F2F5B" w:rsidRDefault="00857CFD" w:rsidP="00C21496">
            <w:pPr>
              <w:jc w:val="left"/>
              <w:rPr>
                <w:rFonts w:cs="Arial"/>
                <w:sz w:val="24"/>
                <w:szCs w:val="24"/>
              </w:rPr>
            </w:pPr>
            <w:r w:rsidRPr="005F2F5B">
              <w:rPr>
                <w:rFonts w:cs="Arial"/>
                <w:sz w:val="24"/>
                <w:szCs w:val="24"/>
              </w:rPr>
              <w:t>HPAH</w:t>
            </w:r>
          </w:p>
        </w:tc>
        <w:tc>
          <w:tcPr>
            <w:tcW w:w="6660" w:type="dxa"/>
            <w:tcBorders>
              <w:top w:val="nil"/>
              <w:left w:val="nil"/>
              <w:bottom w:val="nil"/>
              <w:right w:val="nil"/>
            </w:tcBorders>
            <w:vAlign w:val="center"/>
          </w:tcPr>
          <w:p w14:paraId="77AEC3D1" w14:textId="77777777" w:rsidR="00857CFD" w:rsidRPr="005F2F5B" w:rsidRDefault="00857CFD" w:rsidP="00C21496">
            <w:pPr>
              <w:jc w:val="left"/>
              <w:rPr>
                <w:rFonts w:cs="Arial"/>
                <w:sz w:val="24"/>
                <w:szCs w:val="24"/>
              </w:rPr>
            </w:pPr>
            <w:r w:rsidRPr="005F2F5B">
              <w:rPr>
                <w:rFonts w:cs="Arial"/>
                <w:sz w:val="24"/>
                <w:szCs w:val="24"/>
              </w:rPr>
              <w:t>Heritable pulmonary arterial hypertension</w:t>
            </w:r>
          </w:p>
        </w:tc>
      </w:tr>
      <w:tr w:rsidR="00220EDF" w:rsidRPr="005F2F5B" w14:paraId="6F0051C5" w14:textId="77777777" w:rsidTr="00AA5636">
        <w:trPr>
          <w:trHeight w:val="411"/>
        </w:trPr>
        <w:tc>
          <w:tcPr>
            <w:tcW w:w="1980" w:type="dxa"/>
            <w:tcBorders>
              <w:top w:val="nil"/>
              <w:left w:val="nil"/>
              <w:bottom w:val="nil"/>
              <w:right w:val="nil"/>
            </w:tcBorders>
            <w:vAlign w:val="center"/>
          </w:tcPr>
          <w:p w14:paraId="073B431F" w14:textId="77777777" w:rsidR="00857CFD" w:rsidRPr="005F2F5B" w:rsidRDefault="00857CFD" w:rsidP="00C21496">
            <w:pPr>
              <w:jc w:val="left"/>
              <w:rPr>
                <w:rFonts w:cs="Arial"/>
                <w:sz w:val="24"/>
                <w:szCs w:val="24"/>
              </w:rPr>
            </w:pPr>
            <w:r w:rsidRPr="005F2F5B">
              <w:rPr>
                <w:rFonts w:cs="Arial"/>
                <w:sz w:val="24"/>
                <w:szCs w:val="24"/>
              </w:rPr>
              <w:t>HR</w:t>
            </w:r>
          </w:p>
        </w:tc>
        <w:tc>
          <w:tcPr>
            <w:tcW w:w="6660" w:type="dxa"/>
            <w:tcBorders>
              <w:top w:val="nil"/>
              <w:left w:val="nil"/>
              <w:bottom w:val="nil"/>
              <w:right w:val="nil"/>
            </w:tcBorders>
            <w:vAlign w:val="center"/>
          </w:tcPr>
          <w:p w14:paraId="078AB2F7" w14:textId="77777777" w:rsidR="00857CFD" w:rsidRPr="005F2F5B" w:rsidRDefault="00857CFD" w:rsidP="00C21496">
            <w:pPr>
              <w:jc w:val="left"/>
              <w:rPr>
                <w:rFonts w:cs="Arial"/>
                <w:sz w:val="24"/>
                <w:szCs w:val="24"/>
              </w:rPr>
            </w:pPr>
            <w:r w:rsidRPr="005F2F5B">
              <w:rPr>
                <w:rFonts w:cs="Arial"/>
                <w:sz w:val="24"/>
                <w:szCs w:val="24"/>
              </w:rPr>
              <w:t>Hazard ratio</w:t>
            </w:r>
          </w:p>
        </w:tc>
      </w:tr>
      <w:tr w:rsidR="00857CFD" w:rsidRPr="005F2F5B" w14:paraId="4066FFF1" w14:textId="77777777" w:rsidTr="00AA5636">
        <w:trPr>
          <w:trHeight w:val="411"/>
        </w:trPr>
        <w:tc>
          <w:tcPr>
            <w:tcW w:w="1980" w:type="dxa"/>
            <w:tcBorders>
              <w:top w:val="nil"/>
              <w:left w:val="nil"/>
              <w:bottom w:val="nil"/>
              <w:right w:val="nil"/>
            </w:tcBorders>
            <w:vAlign w:val="center"/>
          </w:tcPr>
          <w:p w14:paraId="7A4DDA90" w14:textId="77777777" w:rsidR="00857CFD" w:rsidRPr="005F2F5B" w:rsidRDefault="00857CFD" w:rsidP="00C21496">
            <w:pPr>
              <w:jc w:val="left"/>
              <w:rPr>
                <w:rFonts w:cs="Arial"/>
                <w:sz w:val="24"/>
                <w:szCs w:val="24"/>
              </w:rPr>
            </w:pPr>
            <w:r w:rsidRPr="005F2F5B">
              <w:rPr>
                <w:rFonts w:cs="Arial"/>
                <w:sz w:val="24"/>
                <w:szCs w:val="24"/>
              </w:rPr>
              <w:t>IPAH</w:t>
            </w:r>
          </w:p>
        </w:tc>
        <w:tc>
          <w:tcPr>
            <w:tcW w:w="6660" w:type="dxa"/>
            <w:tcBorders>
              <w:top w:val="nil"/>
              <w:left w:val="nil"/>
              <w:bottom w:val="nil"/>
              <w:right w:val="nil"/>
            </w:tcBorders>
            <w:vAlign w:val="center"/>
          </w:tcPr>
          <w:p w14:paraId="17C6CB03" w14:textId="77777777" w:rsidR="00857CFD" w:rsidRPr="005F2F5B" w:rsidRDefault="00857CFD" w:rsidP="00C21496">
            <w:pPr>
              <w:jc w:val="left"/>
              <w:rPr>
                <w:rFonts w:cs="Arial"/>
                <w:sz w:val="24"/>
                <w:szCs w:val="24"/>
              </w:rPr>
            </w:pPr>
            <w:r w:rsidRPr="005F2F5B">
              <w:rPr>
                <w:rFonts w:cs="Arial"/>
                <w:sz w:val="24"/>
                <w:szCs w:val="24"/>
              </w:rPr>
              <w:t>Idiopathic pulmonary arterial hypertension</w:t>
            </w:r>
          </w:p>
        </w:tc>
      </w:tr>
      <w:tr w:rsidR="00BD33BC" w:rsidRPr="005F2F5B" w14:paraId="06FA46CF" w14:textId="77777777" w:rsidTr="00AA5636">
        <w:trPr>
          <w:trHeight w:val="411"/>
        </w:trPr>
        <w:tc>
          <w:tcPr>
            <w:tcW w:w="1980" w:type="dxa"/>
            <w:tcBorders>
              <w:top w:val="nil"/>
              <w:left w:val="nil"/>
              <w:bottom w:val="nil"/>
              <w:right w:val="nil"/>
            </w:tcBorders>
            <w:vAlign w:val="center"/>
          </w:tcPr>
          <w:p w14:paraId="4A758FD3" w14:textId="77777777" w:rsidR="00857CFD" w:rsidRPr="005F2F5B" w:rsidRDefault="00857CFD" w:rsidP="00C21496">
            <w:pPr>
              <w:jc w:val="left"/>
              <w:rPr>
                <w:rFonts w:cs="Arial"/>
                <w:sz w:val="24"/>
                <w:szCs w:val="24"/>
              </w:rPr>
            </w:pPr>
            <w:r w:rsidRPr="005F2F5B">
              <w:rPr>
                <w:rFonts w:cs="Arial"/>
                <w:sz w:val="24"/>
                <w:szCs w:val="24"/>
              </w:rPr>
              <w:t xml:space="preserve">LPH </w:t>
            </w:r>
          </w:p>
        </w:tc>
        <w:tc>
          <w:tcPr>
            <w:tcW w:w="6660" w:type="dxa"/>
            <w:tcBorders>
              <w:top w:val="nil"/>
              <w:left w:val="nil"/>
              <w:bottom w:val="nil"/>
              <w:right w:val="nil"/>
            </w:tcBorders>
            <w:vAlign w:val="center"/>
          </w:tcPr>
          <w:p w14:paraId="1B1B723D" w14:textId="77777777" w:rsidR="00857CFD" w:rsidRPr="005F2F5B" w:rsidRDefault="00857CFD" w:rsidP="00C21496">
            <w:pPr>
              <w:jc w:val="left"/>
              <w:rPr>
                <w:rFonts w:cs="Arial"/>
                <w:sz w:val="24"/>
                <w:szCs w:val="24"/>
              </w:rPr>
            </w:pPr>
            <w:r w:rsidRPr="005F2F5B">
              <w:rPr>
                <w:rFonts w:cs="Arial"/>
                <w:sz w:val="24"/>
                <w:szCs w:val="24"/>
              </w:rPr>
              <w:t xml:space="preserve">Living with pulmonary hypertension </w:t>
            </w:r>
          </w:p>
        </w:tc>
      </w:tr>
      <w:tr w:rsidR="00BD33BC" w:rsidRPr="005F2F5B" w14:paraId="1D4279C7" w14:textId="77777777" w:rsidTr="00AA5636">
        <w:trPr>
          <w:trHeight w:val="411"/>
        </w:trPr>
        <w:tc>
          <w:tcPr>
            <w:tcW w:w="1980" w:type="dxa"/>
            <w:tcBorders>
              <w:top w:val="nil"/>
              <w:left w:val="nil"/>
              <w:bottom w:val="nil"/>
              <w:right w:val="nil"/>
            </w:tcBorders>
            <w:vAlign w:val="center"/>
          </w:tcPr>
          <w:p w14:paraId="4A7B32F6" w14:textId="77777777" w:rsidR="00857CFD" w:rsidRPr="005F2F5B" w:rsidRDefault="00857CFD" w:rsidP="00C21496">
            <w:pPr>
              <w:jc w:val="left"/>
              <w:rPr>
                <w:rFonts w:cs="Arial"/>
                <w:sz w:val="24"/>
                <w:szCs w:val="24"/>
              </w:rPr>
            </w:pPr>
            <w:r w:rsidRPr="005F2F5B">
              <w:rPr>
                <w:rFonts w:cs="Arial"/>
                <w:sz w:val="24"/>
                <w:szCs w:val="24"/>
              </w:rPr>
              <w:lastRenderedPageBreak/>
              <w:t>LVF</w:t>
            </w:r>
          </w:p>
        </w:tc>
        <w:tc>
          <w:tcPr>
            <w:tcW w:w="6660" w:type="dxa"/>
            <w:tcBorders>
              <w:top w:val="nil"/>
              <w:left w:val="nil"/>
              <w:bottom w:val="nil"/>
              <w:right w:val="nil"/>
            </w:tcBorders>
            <w:vAlign w:val="center"/>
          </w:tcPr>
          <w:p w14:paraId="735EF74F" w14:textId="77777777" w:rsidR="00857CFD" w:rsidRPr="005F2F5B" w:rsidRDefault="00857CFD" w:rsidP="00C21496">
            <w:pPr>
              <w:jc w:val="left"/>
              <w:rPr>
                <w:rFonts w:cs="Arial"/>
                <w:sz w:val="24"/>
                <w:szCs w:val="24"/>
              </w:rPr>
            </w:pPr>
            <w:r w:rsidRPr="005F2F5B">
              <w:rPr>
                <w:rFonts w:cs="Arial"/>
                <w:sz w:val="24"/>
                <w:szCs w:val="24"/>
              </w:rPr>
              <w:t>Left ventricular function</w:t>
            </w:r>
          </w:p>
        </w:tc>
      </w:tr>
      <w:tr w:rsidR="00BD33BC" w:rsidRPr="005F2F5B" w14:paraId="482515B6" w14:textId="77777777" w:rsidTr="00AA5636">
        <w:trPr>
          <w:trHeight w:val="411"/>
        </w:trPr>
        <w:tc>
          <w:tcPr>
            <w:tcW w:w="1980" w:type="dxa"/>
            <w:tcBorders>
              <w:top w:val="nil"/>
              <w:left w:val="nil"/>
              <w:bottom w:val="nil"/>
              <w:right w:val="nil"/>
            </w:tcBorders>
            <w:vAlign w:val="center"/>
          </w:tcPr>
          <w:p w14:paraId="1A46864F" w14:textId="77777777" w:rsidR="00857CFD" w:rsidRPr="005F2F5B" w:rsidRDefault="00857CFD" w:rsidP="00C21496">
            <w:pPr>
              <w:jc w:val="left"/>
              <w:rPr>
                <w:rFonts w:cs="Arial"/>
                <w:sz w:val="24"/>
                <w:szCs w:val="24"/>
              </w:rPr>
            </w:pPr>
            <w:r w:rsidRPr="005F2F5B">
              <w:rPr>
                <w:rFonts w:cs="Arial"/>
                <w:sz w:val="24"/>
                <w:szCs w:val="24"/>
              </w:rPr>
              <w:t>MLHF questionnaire</w:t>
            </w:r>
          </w:p>
        </w:tc>
        <w:tc>
          <w:tcPr>
            <w:tcW w:w="6660" w:type="dxa"/>
            <w:tcBorders>
              <w:top w:val="nil"/>
              <w:left w:val="nil"/>
              <w:bottom w:val="nil"/>
              <w:right w:val="nil"/>
            </w:tcBorders>
            <w:vAlign w:val="center"/>
          </w:tcPr>
          <w:p w14:paraId="1E9B5553" w14:textId="77777777" w:rsidR="00857CFD" w:rsidRPr="005F2F5B" w:rsidRDefault="00857CFD" w:rsidP="00C21496">
            <w:pPr>
              <w:jc w:val="left"/>
              <w:rPr>
                <w:rFonts w:cs="Arial"/>
                <w:sz w:val="24"/>
                <w:szCs w:val="24"/>
              </w:rPr>
            </w:pPr>
            <w:r w:rsidRPr="005F2F5B">
              <w:rPr>
                <w:rFonts w:cs="Arial"/>
                <w:sz w:val="24"/>
                <w:szCs w:val="24"/>
              </w:rPr>
              <w:t>Minnesota living with heart failure questionnaire</w:t>
            </w:r>
          </w:p>
        </w:tc>
      </w:tr>
      <w:tr w:rsidR="007619B5" w:rsidRPr="005F2F5B" w14:paraId="772E88F9" w14:textId="77777777" w:rsidTr="00AA5636">
        <w:trPr>
          <w:trHeight w:val="411"/>
        </w:trPr>
        <w:tc>
          <w:tcPr>
            <w:tcW w:w="1980" w:type="dxa"/>
            <w:tcBorders>
              <w:top w:val="nil"/>
              <w:left w:val="nil"/>
              <w:bottom w:val="nil"/>
              <w:right w:val="nil"/>
            </w:tcBorders>
            <w:vAlign w:val="center"/>
          </w:tcPr>
          <w:p w14:paraId="51BEC8AC" w14:textId="77777777" w:rsidR="007619B5" w:rsidRPr="005F2F5B" w:rsidRDefault="007619B5" w:rsidP="00C21496">
            <w:pPr>
              <w:jc w:val="left"/>
              <w:rPr>
                <w:rFonts w:cs="Arial"/>
                <w:sz w:val="24"/>
                <w:szCs w:val="24"/>
              </w:rPr>
            </w:pPr>
            <w:r w:rsidRPr="005F2F5B">
              <w:rPr>
                <w:sz w:val="24"/>
                <w:szCs w:val="24"/>
              </w:rPr>
              <w:t>mmHg</w:t>
            </w:r>
          </w:p>
        </w:tc>
        <w:tc>
          <w:tcPr>
            <w:tcW w:w="6660" w:type="dxa"/>
            <w:tcBorders>
              <w:top w:val="nil"/>
              <w:left w:val="nil"/>
              <w:bottom w:val="nil"/>
              <w:right w:val="nil"/>
            </w:tcBorders>
            <w:vAlign w:val="center"/>
          </w:tcPr>
          <w:p w14:paraId="1F255B5C" w14:textId="77777777" w:rsidR="007619B5" w:rsidRPr="005F2F5B" w:rsidRDefault="004C7170" w:rsidP="00C21496">
            <w:pPr>
              <w:jc w:val="left"/>
              <w:rPr>
                <w:rFonts w:cs="Arial"/>
                <w:sz w:val="24"/>
                <w:szCs w:val="24"/>
              </w:rPr>
            </w:pPr>
            <w:r w:rsidRPr="005F2F5B">
              <w:rPr>
                <w:rFonts w:cs="Arial"/>
                <w:sz w:val="24"/>
                <w:szCs w:val="24"/>
              </w:rPr>
              <w:t>millimetre</w:t>
            </w:r>
            <w:r w:rsidR="007619B5" w:rsidRPr="005F2F5B">
              <w:rPr>
                <w:rFonts w:cs="Arial"/>
                <w:sz w:val="24"/>
                <w:szCs w:val="24"/>
              </w:rPr>
              <w:t xml:space="preserve"> of mercury</w:t>
            </w:r>
          </w:p>
        </w:tc>
      </w:tr>
      <w:tr w:rsidR="00857CFD" w:rsidRPr="005F2F5B" w14:paraId="1D564F0F" w14:textId="77777777" w:rsidTr="00AA5636">
        <w:trPr>
          <w:trHeight w:val="411"/>
        </w:trPr>
        <w:tc>
          <w:tcPr>
            <w:tcW w:w="1980" w:type="dxa"/>
            <w:tcBorders>
              <w:top w:val="nil"/>
              <w:left w:val="nil"/>
              <w:bottom w:val="nil"/>
              <w:right w:val="nil"/>
            </w:tcBorders>
            <w:vAlign w:val="center"/>
          </w:tcPr>
          <w:p w14:paraId="4F49AD45" w14:textId="77777777" w:rsidR="00857CFD" w:rsidRPr="005F2F5B" w:rsidRDefault="00857CFD" w:rsidP="00C21496">
            <w:pPr>
              <w:jc w:val="left"/>
              <w:rPr>
                <w:rFonts w:cs="Arial"/>
                <w:sz w:val="24"/>
                <w:szCs w:val="24"/>
              </w:rPr>
            </w:pPr>
            <w:r w:rsidRPr="005F2F5B">
              <w:rPr>
                <w:rFonts w:cs="Arial"/>
                <w:sz w:val="24"/>
                <w:szCs w:val="24"/>
              </w:rPr>
              <w:t>mPAP</w:t>
            </w:r>
          </w:p>
        </w:tc>
        <w:tc>
          <w:tcPr>
            <w:tcW w:w="6660" w:type="dxa"/>
            <w:tcBorders>
              <w:top w:val="nil"/>
              <w:left w:val="nil"/>
              <w:bottom w:val="nil"/>
              <w:right w:val="nil"/>
            </w:tcBorders>
            <w:vAlign w:val="center"/>
          </w:tcPr>
          <w:p w14:paraId="588910CC" w14:textId="77777777" w:rsidR="00857CFD" w:rsidRPr="005F2F5B" w:rsidRDefault="00857CFD" w:rsidP="00C21496">
            <w:pPr>
              <w:jc w:val="left"/>
              <w:rPr>
                <w:rFonts w:cs="Arial"/>
                <w:sz w:val="24"/>
                <w:szCs w:val="24"/>
              </w:rPr>
            </w:pPr>
            <w:r w:rsidRPr="005F2F5B">
              <w:rPr>
                <w:rFonts w:cs="Arial"/>
                <w:sz w:val="24"/>
                <w:szCs w:val="24"/>
              </w:rPr>
              <w:t>Mean pulmonary arterial pressure</w:t>
            </w:r>
          </w:p>
        </w:tc>
      </w:tr>
      <w:tr w:rsidR="00857CFD" w:rsidRPr="005F2F5B" w14:paraId="5DFF230D" w14:textId="77777777" w:rsidTr="00AA5636">
        <w:trPr>
          <w:trHeight w:val="411"/>
        </w:trPr>
        <w:tc>
          <w:tcPr>
            <w:tcW w:w="1980" w:type="dxa"/>
            <w:tcBorders>
              <w:top w:val="nil"/>
              <w:left w:val="nil"/>
              <w:bottom w:val="nil"/>
              <w:right w:val="nil"/>
            </w:tcBorders>
            <w:vAlign w:val="center"/>
          </w:tcPr>
          <w:p w14:paraId="1323A9F9" w14:textId="77777777" w:rsidR="00857CFD" w:rsidRPr="005F2F5B" w:rsidRDefault="00857CFD" w:rsidP="00C21496">
            <w:pPr>
              <w:jc w:val="left"/>
              <w:rPr>
                <w:rFonts w:cs="Arial"/>
                <w:sz w:val="24"/>
                <w:szCs w:val="24"/>
              </w:rPr>
            </w:pPr>
            <w:r w:rsidRPr="005F2F5B">
              <w:rPr>
                <w:rFonts w:cs="Arial"/>
                <w:sz w:val="24"/>
                <w:szCs w:val="24"/>
              </w:rPr>
              <w:t>mRAP</w:t>
            </w:r>
          </w:p>
        </w:tc>
        <w:tc>
          <w:tcPr>
            <w:tcW w:w="6660" w:type="dxa"/>
            <w:tcBorders>
              <w:top w:val="nil"/>
              <w:left w:val="nil"/>
              <w:bottom w:val="nil"/>
              <w:right w:val="nil"/>
            </w:tcBorders>
            <w:vAlign w:val="center"/>
          </w:tcPr>
          <w:p w14:paraId="5A3C7FC9" w14:textId="77777777" w:rsidR="00857CFD" w:rsidRPr="005F2F5B" w:rsidRDefault="00857CFD" w:rsidP="00C21496">
            <w:pPr>
              <w:jc w:val="left"/>
              <w:rPr>
                <w:rFonts w:cs="Arial"/>
                <w:sz w:val="24"/>
                <w:szCs w:val="24"/>
              </w:rPr>
            </w:pPr>
            <w:r w:rsidRPr="005F2F5B">
              <w:rPr>
                <w:rFonts w:cs="Arial"/>
                <w:sz w:val="24"/>
                <w:szCs w:val="24"/>
              </w:rPr>
              <w:t>Mean right atrial pressure</w:t>
            </w:r>
          </w:p>
        </w:tc>
      </w:tr>
      <w:tr w:rsidR="006471C8" w:rsidRPr="005F2F5B" w14:paraId="7CDEBA5C" w14:textId="77777777" w:rsidTr="00AA5636">
        <w:trPr>
          <w:trHeight w:val="411"/>
        </w:trPr>
        <w:tc>
          <w:tcPr>
            <w:tcW w:w="1980" w:type="dxa"/>
            <w:tcBorders>
              <w:top w:val="nil"/>
              <w:left w:val="nil"/>
              <w:bottom w:val="nil"/>
              <w:right w:val="nil"/>
            </w:tcBorders>
            <w:vAlign w:val="center"/>
          </w:tcPr>
          <w:p w14:paraId="1FF08C2E" w14:textId="77777777" w:rsidR="00857CFD" w:rsidRPr="005F2F5B" w:rsidRDefault="00857CFD" w:rsidP="00C21496">
            <w:pPr>
              <w:jc w:val="left"/>
              <w:rPr>
                <w:rFonts w:cs="Arial"/>
                <w:sz w:val="24"/>
                <w:szCs w:val="24"/>
              </w:rPr>
            </w:pPr>
            <w:r w:rsidRPr="005F2F5B">
              <w:rPr>
                <w:rFonts w:cs="Arial"/>
                <w:sz w:val="24"/>
                <w:szCs w:val="24"/>
              </w:rPr>
              <w:t>PAH</w:t>
            </w:r>
          </w:p>
        </w:tc>
        <w:tc>
          <w:tcPr>
            <w:tcW w:w="6660" w:type="dxa"/>
            <w:tcBorders>
              <w:top w:val="nil"/>
              <w:left w:val="nil"/>
              <w:bottom w:val="nil"/>
              <w:right w:val="nil"/>
            </w:tcBorders>
            <w:vAlign w:val="center"/>
          </w:tcPr>
          <w:p w14:paraId="6A3E8E1C" w14:textId="77777777" w:rsidR="00857CFD" w:rsidRPr="005F2F5B" w:rsidRDefault="00857CFD" w:rsidP="00C21496">
            <w:pPr>
              <w:jc w:val="left"/>
              <w:rPr>
                <w:rFonts w:cs="Arial"/>
                <w:sz w:val="24"/>
                <w:szCs w:val="24"/>
              </w:rPr>
            </w:pPr>
            <w:r w:rsidRPr="005F2F5B">
              <w:rPr>
                <w:rFonts w:cs="Arial"/>
                <w:sz w:val="24"/>
                <w:szCs w:val="24"/>
              </w:rPr>
              <w:t>Pulmonary arterial hypertension</w:t>
            </w:r>
          </w:p>
        </w:tc>
      </w:tr>
      <w:tr w:rsidR="00857CFD" w:rsidRPr="005F2F5B" w14:paraId="11766F6F" w14:textId="77777777" w:rsidTr="00AA5636">
        <w:trPr>
          <w:trHeight w:val="411"/>
        </w:trPr>
        <w:tc>
          <w:tcPr>
            <w:tcW w:w="1980" w:type="dxa"/>
            <w:tcBorders>
              <w:top w:val="nil"/>
              <w:left w:val="nil"/>
              <w:bottom w:val="nil"/>
              <w:right w:val="nil"/>
            </w:tcBorders>
            <w:vAlign w:val="center"/>
          </w:tcPr>
          <w:p w14:paraId="07A054BC" w14:textId="77777777" w:rsidR="00857CFD" w:rsidRPr="005F2F5B" w:rsidRDefault="00857CFD" w:rsidP="00C21496">
            <w:pPr>
              <w:jc w:val="left"/>
              <w:rPr>
                <w:rFonts w:cs="Arial"/>
                <w:sz w:val="24"/>
                <w:szCs w:val="24"/>
              </w:rPr>
            </w:pPr>
            <w:r w:rsidRPr="005F2F5B">
              <w:rPr>
                <w:rFonts w:cs="Arial"/>
                <w:sz w:val="24"/>
                <w:szCs w:val="24"/>
              </w:rPr>
              <w:t>PAH-CHD</w:t>
            </w:r>
          </w:p>
        </w:tc>
        <w:tc>
          <w:tcPr>
            <w:tcW w:w="6660" w:type="dxa"/>
            <w:tcBorders>
              <w:top w:val="nil"/>
              <w:left w:val="nil"/>
              <w:bottom w:val="nil"/>
              <w:right w:val="nil"/>
            </w:tcBorders>
            <w:vAlign w:val="center"/>
          </w:tcPr>
          <w:p w14:paraId="2CDF66C5" w14:textId="77777777" w:rsidR="00857CFD" w:rsidRPr="005F2F5B" w:rsidRDefault="00514D55" w:rsidP="00C21496">
            <w:pPr>
              <w:jc w:val="left"/>
              <w:rPr>
                <w:rFonts w:cs="Arial"/>
                <w:sz w:val="24"/>
                <w:szCs w:val="24"/>
              </w:rPr>
            </w:pPr>
            <w:r w:rsidRPr="005F2F5B">
              <w:rPr>
                <w:rFonts w:cs="Arial"/>
                <w:sz w:val="24"/>
                <w:szCs w:val="24"/>
              </w:rPr>
              <w:t>Pulmonary arterial hypertension</w:t>
            </w:r>
            <w:r w:rsidR="00857CFD" w:rsidRPr="005F2F5B">
              <w:rPr>
                <w:rFonts w:cs="Arial"/>
                <w:sz w:val="24"/>
                <w:szCs w:val="24"/>
              </w:rPr>
              <w:t xml:space="preserve"> associated with congenital heart disease</w:t>
            </w:r>
          </w:p>
        </w:tc>
      </w:tr>
      <w:tr w:rsidR="00857CFD" w:rsidRPr="005F2F5B" w14:paraId="18BB141C" w14:textId="77777777" w:rsidTr="00AA5636">
        <w:trPr>
          <w:trHeight w:val="411"/>
        </w:trPr>
        <w:tc>
          <w:tcPr>
            <w:tcW w:w="1980" w:type="dxa"/>
            <w:tcBorders>
              <w:top w:val="nil"/>
              <w:left w:val="nil"/>
              <w:bottom w:val="nil"/>
              <w:right w:val="nil"/>
            </w:tcBorders>
            <w:vAlign w:val="center"/>
          </w:tcPr>
          <w:p w14:paraId="079D9CF7" w14:textId="77777777" w:rsidR="00857CFD" w:rsidRPr="005F2F5B" w:rsidRDefault="00857CFD" w:rsidP="00C21496">
            <w:pPr>
              <w:jc w:val="left"/>
              <w:rPr>
                <w:rFonts w:cs="Arial"/>
                <w:sz w:val="24"/>
                <w:szCs w:val="24"/>
              </w:rPr>
            </w:pPr>
            <w:r w:rsidRPr="005F2F5B">
              <w:rPr>
                <w:rFonts w:cs="Arial"/>
                <w:sz w:val="24"/>
                <w:szCs w:val="24"/>
              </w:rPr>
              <w:t>PAH-CTD</w:t>
            </w:r>
          </w:p>
        </w:tc>
        <w:tc>
          <w:tcPr>
            <w:tcW w:w="6660" w:type="dxa"/>
            <w:tcBorders>
              <w:top w:val="nil"/>
              <w:left w:val="nil"/>
              <w:bottom w:val="nil"/>
              <w:right w:val="nil"/>
            </w:tcBorders>
            <w:vAlign w:val="center"/>
          </w:tcPr>
          <w:p w14:paraId="449B6694" w14:textId="77777777" w:rsidR="00857CFD" w:rsidRPr="005F2F5B" w:rsidRDefault="00514D55" w:rsidP="00C21496">
            <w:pPr>
              <w:jc w:val="left"/>
              <w:rPr>
                <w:rFonts w:cs="Arial"/>
                <w:sz w:val="24"/>
                <w:szCs w:val="24"/>
              </w:rPr>
            </w:pPr>
            <w:r w:rsidRPr="005F2F5B">
              <w:rPr>
                <w:rFonts w:cs="Arial"/>
                <w:sz w:val="24"/>
                <w:szCs w:val="24"/>
              </w:rPr>
              <w:t>Pulmonary arterial hypertension</w:t>
            </w:r>
            <w:r w:rsidR="00857CFD" w:rsidRPr="005F2F5B">
              <w:rPr>
                <w:rFonts w:cs="Arial"/>
                <w:sz w:val="24"/>
                <w:szCs w:val="24"/>
              </w:rPr>
              <w:t xml:space="preserve"> associated with connective tissue disease</w:t>
            </w:r>
          </w:p>
        </w:tc>
      </w:tr>
      <w:tr w:rsidR="00857CFD" w:rsidRPr="005F2F5B" w14:paraId="4B807B92" w14:textId="77777777" w:rsidTr="00AA5636">
        <w:trPr>
          <w:trHeight w:val="411"/>
        </w:trPr>
        <w:tc>
          <w:tcPr>
            <w:tcW w:w="1980" w:type="dxa"/>
            <w:tcBorders>
              <w:top w:val="nil"/>
              <w:left w:val="nil"/>
              <w:bottom w:val="nil"/>
              <w:right w:val="nil"/>
            </w:tcBorders>
            <w:vAlign w:val="center"/>
          </w:tcPr>
          <w:p w14:paraId="5BFF2F91" w14:textId="77777777" w:rsidR="00857CFD" w:rsidRPr="005F2F5B" w:rsidRDefault="00857CFD" w:rsidP="00C21496">
            <w:pPr>
              <w:jc w:val="left"/>
              <w:rPr>
                <w:rFonts w:cs="Arial"/>
                <w:sz w:val="24"/>
                <w:szCs w:val="24"/>
              </w:rPr>
            </w:pPr>
            <w:r w:rsidRPr="005F2F5B">
              <w:rPr>
                <w:rFonts w:cs="Arial"/>
                <w:sz w:val="24"/>
                <w:szCs w:val="24"/>
              </w:rPr>
              <w:t>PAH-HIV</w:t>
            </w:r>
          </w:p>
        </w:tc>
        <w:tc>
          <w:tcPr>
            <w:tcW w:w="6660" w:type="dxa"/>
            <w:tcBorders>
              <w:top w:val="nil"/>
              <w:left w:val="nil"/>
              <w:bottom w:val="nil"/>
              <w:right w:val="nil"/>
            </w:tcBorders>
            <w:vAlign w:val="center"/>
          </w:tcPr>
          <w:p w14:paraId="67D0ACC2" w14:textId="77777777" w:rsidR="00857CFD" w:rsidRPr="005F2F5B" w:rsidRDefault="00514D55" w:rsidP="00C21496">
            <w:pPr>
              <w:jc w:val="left"/>
              <w:rPr>
                <w:rFonts w:cs="Arial"/>
                <w:sz w:val="24"/>
                <w:szCs w:val="24"/>
              </w:rPr>
            </w:pPr>
            <w:r w:rsidRPr="005F2F5B">
              <w:rPr>
                <w:rFonts w:cs="Arial"/>
                <w:sz w:val="24"/>
                <w:szCs w:val="24"/>
              </w:rPr>
              <w:t>Pulmonary arterial hypertension</w:t>
            </w:r>
            <w:r w:rsidR="00857CFD" w:rsidRPr="005F2F5B">
              <w:rPr>
                <w:rFonts w:cs="Arial"/>
                <w:sz w:val="24"/>
                <w:szCs w:val="24"/>
              </w:rPr>
              <w:t xml:space="preserve"> associated with human immunodeficiency virus</w:t>
            </w:r>
            <w:r w:rsidR="003B04F1" w:rsidRPr="005F2F5B">
              <w:rPr>
                <w:rFonts w:cs="Arial"/>
                <w:sz w:val="24"/>
                <w:szCs w:val="24"/>
              </w:rPr>
              <w:t xml:space="preserve"> infection</w:t>
            </w:r>
          </w:p>
        </w:tc>
      </w:tr>
      <w:tr w:rsidR="00857CFD" w:rsidRPr="005F2F5B" w14:paraId="378E114B" w14:textId="77777777" w:rsidTr="00AA5636">
        <w:trPr>
          <w:trHeight w:val="411"/>
        </w:trPr>
        <w:tc>
          <w:tcPr>
            <w:tcW w:w="1980" w:type="dxa"/>
            <w:tcBorders>
              <w:top w:val="nil"/>
              <w:left w:val="nil"/>
              <w:bottom w:val="nil"/>
              <w:right w:val="nil"/>
            </w:tcBorders>
            <w:vAlign w:val="center"/>
          </w:tcPr>
          <w:p w14:paraId="1B117BDD" w14:textId="77777777" w:rsidR="00857CFD" w:rsidRPr="005F2F5B" w:rsidRDefault="00857CFD" w:rsidP="00C21496">
            <w:pPr>
              <w:jc w:val="left"/>
              <w:rPr>
                <w:rFonts w:cs="Arial"/>
                <w:sz w:val="24"/>
                <w:szCs w:val="24"/>
              </w:rPr>
            </w:pPr>
            <w:r w:rsidRPr="005F2F5B">
              <w:rPr>
                <w:rFonts w:cs="Arial"/>
                <w:sz w:val="24"/>
                <w:szCs w:val="24"/>
              </w:rPr>
              <w:t>PAH-PH</w:t>
            </w:r>
          </w:p>
        </w:tc>
        <w:tc>
          <w:tcPr>
            <w:tcW w:w="6660" w:type="dxa"/>
            <w:tcBorders>
              <w:top w:val="nil"/>
              <w:left w:val="nil"/>
              <w:bottom w:val="nil"/>
              <w:right w:val="nil"/>
            </w:tcBorders>
            <w:vAlign w:val="center"/>
          </w:tcPr>
          <w:p w14:paraId="08C98F60" w14:textId="77777777" w:rsidR="00857CFD" w:rsidRPr="005F2F5B" w:rsidRDefault="00514D55" w:rsidP="00C21496">
            <w:pPr>
              <w:jc w:val="left"/>
              <w:rPr>
                <w:rFonts w:cs="Arial"/>
                <w:sz w:val="24"/>
                <w:szCs w:val="24"/>
              </w:rPr>
            </w:pPr>
            <w:r w:rsidRPr="005F2F5B">
              <w:rPr>
                <w:rFonts w:cs="Arial"/>
                <w:sz w:val="24"/>
                <w:szCs w:val="24"/>
              </w:rPr>
              <w:t>Pulmonary arterial hypertension</w:t>
            </w:r>
          </w:p>
        </w:tc>
      </w:tr>
      <w:tr w:rsidR="002B1993" w:rsidRPr="005F2F5B" w14:paraId="2E08EFDA" w14:textId="77777777" w:rsidTr="00AA5636">
        <w:trPr>
          <w:trHeight w:val="411"/>
        </w:trPr>
        <w:tc>
          <w:tcPr>
            <w:tcW w:w="1980" w:type="dxa"/>
            <w:tcBorders>
              <w:top w:val="nil"/>
              <w:left w:val="nil"/>
              <w:bottom w:val="nil"/>
              <w:right w:val="nil"/>
            </w:tcBorders>
            <w:vAlign w:val="center"/>
          </w:tcPr>
          <w:p w14:paraId="603A45A8" w14:textId="77777777" w:rsidR="00857CFD" w:rsidRPr="005F2F5B" w:rsidRDefault="00857CFD" w:rsidP="00C21496">
            <w:pPr>
              <w:jc w:val="left"/>
              <w:rPr>
                <w:rFonts w:cs="Arial"/>
                <w:sz w:val="24"/>
                <w:szCs w:val="24"/>
              </w:rPr>
            </w:pPr>
            <w:r w:rsidRPr="005F2F5B">
              <w:rPr>
                <w:rFonts w:cs="Arial"/>
                <w:sz w:val="24"/>
                <w:szCs w:val="24"/>
              </w:rPr>
              <w:t>PASP</w:t>
            </w:r>
          </w:p>
        </w:tc>
        <w:tc>
          <w:tcPr>
            <w:tcW w:w="6660" w:type="dxa"/>
            <w:tcBorders>
              <w:top w:val="nil"/>
              <w:left w:val="nil"/>
              <w:bottom w:val="nil"/>
              <w:right w:val="nil"/>
            </w:tcBorders>
            <w:vAlign w:val="center"/>
          </w:tcPr>
          <w:p w14:paraId="368F2EF3" w14:textId="77777777" w:rsidR="00857CFD" w:rsidRPr="005F2F5B" w:rsidRDefault="00857CFD" w:rsidP="00C21496">
            <w:pPr>
              <w:jc w:val="left"/>
              <w:rPr>
                <w:rFonts w:cs="Arial"/>
                <w:sz w:val="24"/>
                <w:szCs w:val="24"/>
              </w:rPr>
            </w:pPr>
            <w:r w:rsidRPr="005F2F5B">
              <w:rPr>
                <w:rFonts w:cs="Arial"/>
                <w:sz w:val="24"/>
                <w:szCs w:val="24"/>
              </w:rPr>
              <w:t>Pulmonary artery systolic pressure</w:t>
            </w:r>
          </w:p>
        </w:tc>
      </w:tr>
      <w:tr w:rsidR="002B1993" w:rsidRPr="005F2F5B" w14:paraId="0AA4A269" w14:textId="77777777" w:rsidTr="00AA5636">
        <w:trPr>
          <w:trHeight w:val="411"/>
        </w:trPr>
        <w:tc>
          <w:tcPr>
            <w:tcW w:w="1980" w:type="dxa"/>
            <w:tcBorders>
              <w:top w:val="nil"/>
              <w:left w:val="nil"/>
              <w:bottom w:val="nil"/>
              <w:right w:val="nil"/>
            </w:tcBorders>
            <w:vAlign w:val="center"/>
          </w:tcPr>
          <w:p w14:paraId="27E6544A" w14:textId="77777777" w:rsidR="00857CFD" w:rsidRPr="005F2F5B" w:rsidRDefault="00857CFD" w:rsidP="00C21496">
            <w:pPr>
              <w:jc w:val="left"/>
              <w:rPr>
                <w:rFonts w:cs="Arial"/>
                <w:sz w:val="24"/>
                <w:szCs w:val="24"/>
              </w:rPr>
            </w:pPr>
            <w:r w:rsidRPr="005F2F5B">
              <w:rPr>
                <w:rFonts w:cs="Arial"/>
                <w:sz w:val="24"/>
                <w:szCs w:val="24"/>
              </w:rPr>
              <w:t>PAP</w:t>
            </w:r>
          </w:p>
        </w:tc>
        <w:tc>
          <w:tcPr>
            <w:tcW w:w="6660" w:type="dxa"/>
            <w:tcBorders>
              <w:top w:val="nil"/>
              <w:left w:val="nil"/>
              <w:bottom w:val="nil"/>
              <w:right w:val="nil"/>
            </w:tcBorders>
            <w:vAlign w:val="center"/>
          </w:tcPr>
          <w:p w14:paraId="4A3C6968" w14:textId="77777777" w:rsidR="00857CFD" w:rsidRPr="005F2F5B" w:rsidRDefault="00857CFD" w:rsidP="00C21496">
            <w:pPr>
              <w:jc w:val="left"/>
              <w:rPr>
                <w:rFonts w:cs="Arial"/>
                <w:sz w:val="24"/>
                <w:szCs w:val="24"/>
              </w:rPr>
            </w:pPr>
            <w:r w:rsidRPr="005F2F5B">
              <w:rPr>
                <w:rFonts w:cs="Arial"/>
                <w:sz w:val="24"/>
                <w:szCs w:val="24"/>
              </w:rPr>
              <w:t>Pulmonary artery pressure</w:t>
            </w:r>
          </w:p>
        </w:tc>
      </w:tr>
      <w:tr w:rsidR="006471C8" w:rsidRPr="005F2F5B" w14:paraId="71670003" w14:textId="77777777" w:rsidTr="00AA5636">
        <w:trPr>
          <w:trHeight w:val="411"/>
        </w:trPr>
        <w:tc>
          <w:tcPr>
            <w:tcW w:w="1980" w:type="dxa"/>
            <w:tcBorders>
              <w:top w:val="nil"/>
              <w:left w:val="nil"/>
              <w:bottom w:val="nil"/>
              <w:right w:val="nil"/>
            </w:tcBorders>
            <w:vAlign w:val="center"/>
          </w:tcPr>
          <w:p w14:paraId="68F751A3" w14:textId="77777777" w:rsidR="00857CFD" w:rsidRPr="005F2F5B" w:rsidRDefault="00857CFD" w:rsidP="00C21496">
            <w:pPr>
              <w:jc w:val="left"/>
              <w:rPr>
                <w:rFonts w:cs="Arial"/>
                <w:sz w:val="24"/>
                <w:szCs w:val="24"/>
              </w:rPr>
            </w:pPr>
            <w:r w:rsidRPr="005F2F5B">
              <w:rPr>
                <w:rFonts w:cs="Arial"/>
                <w:sz w:val="24"/>
                <w:szCs w:val="24"/>
              </w:rPr>
              <w:t>PBAC</w:t>
            </w:r>
          </w:p>
        </w:tc>
        <w:tc>
          <w:tcPr>
            <w:tcW w:w="6660" w:type="dxa"/>
            <w:tcBorders>
              <w:top w:val="nil"/>
              <w:left w:val="nil"/>
              <w:bottom w:val="nil"/>
              <w:right w:val="nil"/>
            </w:tcBorders>
            <w:vAlign w:val="center"/>
          </w:tcPr>
          <w:p w14:paraId="7303BC98" w14:textId="77777777" w:rsidR="00857CFD" w:rsidRPr="005F2F5B" w:rsidRDefault="00857CFD" w:rsidP="00C21496">
            <w:pPr>
              <w:jc w:val="left"/>
              <w:rPr>
                <w:rFonts w:cs="Arial"/>
                <w:sz w:val="24"/>
                <w:szCs w:val="24"/>
              </w:rPr>
            </w:pPr>
            <w:r w:rsidRPr="005F2F5B">
              <w:rPr>
                <w:rFonts w:cs="Arial"/>
                <w:sz w:val="24"/>
                <w:szCs w:val="24"/>
              </w:rPr>
              <w:t>Pharmaceutical Benefits Advisory Committee</w:t>
            </w:r>
          </w:p>
        </w:tc>
      </w:tr>
      <w:tr w:rsidR="006471C8" w:rsidRPr="005F2F5B" w14:paraId="502EB810" w14:textId="77777777" w:rsidTr="00AA5636">
        <w:trPr>
          <w:trHeight w:val="411"/>
        </w:trPr>
        <w:tc>
          <w:tcPr>
            <w:tcW w:w="1980" w:type="dxa"/>
            <w:tcBorders>
              <w:top w:val="nil"/>
              <w:left w:val="nil"/>
              <w:bottom w:val="nil"/>
              <w:right w:val="nil"/>
            </w:tcBorders>
            <w:vAlign w:val="center"/>
          </w:tcPr>
          <w:p w14:paraId="17786968" w14:textId="77777777" w:rsidR="00857CFD" w:rsidRPr="005F2F5B" w:rsidRDefault="00857CFD" w:rsidP="00C21496">
            <w:pPr>
              <w:jc w:val="left"/>
              <w:rPr>
                <w:rFonts w:cs="Arial"/>
                <w:sz w:val="24"/>
                <w:szCs w:val="24"/>
              </w:rPr>
            </w:pPr>
            <w:r w:rsidRPr="005F2F5B">
              <w:rPr>
                <w:rFonts w:cs="Arial"/>
                <w:sz w:val="24"/>
                <w:szCs w:val="24"/>
              </w:rPr>
              <w:t>PBS</w:t>
            </w:r>
          </w:p>
        </w:tc>
        <w:tc>
          <w:tcPr>
            <w:tcW w:w="6660" w:type="dxa"/>
            <w:tcBorders>
              <w:top w:val="nil"/>
              <w:left w:val="nil"/>
              <w:bottom w:val="nil"/>
              <w:right w:val="nil"/>
            </w:tcBorders>
            <w:vAlign w:val="center"/>
          </w:tcPr>
          <w:p w14:paraId="01706711" w14:textId="77777777" w:rsidR="00857CFD" w:rsidRPr="005F2F5B" w:rsidRDefault="00857CFD" w:rsidP="00C21496">
            <w:pPr>
              <w:jc w:val="left"/>
              <w:rPr>
                <w:rFonts w:cs="Arial"/>
                <w:sz w:val="24"/>
                <w:szCs w:val="24"/>
              </w:rPr>
            </w:pPr>
            <w:r w:rsidRPr="005F2F5B">
              <w:rPr>
                <w:rFonts w:cs="Arial"/>
                <w:sz w:val="24"/>
                <w:szCs w:val="24"/>
              </w:rPr>
              <w:t>Pharmaceutical Benefits Scheme</w:t>
            </w:r>
          </w:p>
        </w:tc>
      </w:tr>
      <w:tr w:rsidR="006471C8" w:rsidRPr="005F2F5B" w14:paraId="2821E95F" w14:textId="77777777" w:rsidTr="00AA5636">
        <w:trPr>
          <w:trHeight w:val="411"/>
        </w:trPr>
        <w:tc>
          <w:tcPr>
            <w:tcW w:w="1980" w:type="dxa"/>
            <w:tcBorders>
              <w:top w:val="nil"/>
              <w:left w:val="nil"/>
              <w:bottom w:val="nil"/>
              <w:right w:val="nil"/>
            </w:tcBorders>
            <w:vAlign w:val="center"/>
          </w:tcPr>
          <w:p w14:paraId="2B582331" w14:textId="77777777" w:rsidR="00857CFD" w:rsidRPr="005F2F5B" w:rsidRDefault="00857CFD" w:rsidP="00C21496">
            <w:pPr>
              <w:jc w:val="left"/>
              <w:rPr>
                <w:rFonts w:cs="Arial"/>
                <w:sz w:val="24"/>
                <w:szCs w:val="24"/>
              </w:rPr>
            </w:pPr>
            <w:r w:rsidRPr="005F2F5B">
              <w:rPr>
                <w:rFonts w:cs="Arial"/>
                <w:sz w:val="24"/>
                <w:szCs w:val="24"/>
              </w:rPr>
              <w:t>PDE</w:t>
            </w:r>
            <w:r w:rsidRPr="005F2F5B">
              <w:rPr>
                <w:rFonts w:cs="Arial"/>
                <w:sz w:val="24"/>
                <w:szCs w:val="24"/>
              </w:rPr>
              <w:noBreakHyphen/>
              <w:t>5 inhibitor</w:t>
            </w:r>
          </w:p>
        </w:tc>
        <w:tc>
          <w:tcPr>
            <w:tcW w:w="6660" w:type="dxa"/>
            <w:tcBorders>
              <w:top w:val="nil"/>
              <w:left w:val="nil"/>
              <w:bottom w:val="nil"/>
              <w:right w:val="nil"/>
            </w:tcBorders>
            <w:vAlign w:val="center"/>
          </w:tcPr>
          <w:p w14:paraId="6F4AEAE3" w14:textId="77777777" w:rsidR="00857CFD" w:rsidRPr="005F2F5B" w:rsidRDefault="00857CFD" w:rsidP="00C21496">
            <w:pPr>
              <w:jc w:val="left"/>
              <w:rPr>
                <w:rFonts w:cs="Arial"/>
                <w:sz w:val="24"/>
                <w:szCs w:val="24"/>
              </w:rPr>
            </w:pPr>
            <w:r w:rsidRPr="005F2F5B">
              <w:rPr>
                <w:rFonts w:cs="Arial"/>
                <w:sz w:val="24"/>
                <w:szCs w:val="24"/>
              </w:rPr>
              <w:t>Phosphodiesterase-5 inhibitor</w:t>
            </w:r>
          </w:p>
        </w:tc>
      </w:tr>
      <w:tr w:rsidR="00BD33BC" w:rsidRPr="005F2F5B" w14:paraId="2D6F75A9" w14:textId="77777777" w:rsidTr="00AA5636">
        <w:trPr>
          <w:trHeight w:val="411"/>
        </w:trPr>
        <w:tc>
          <w:tcPr>
            <w:tcW w:w="1980" w:type="dxa"/>
            <w:tcBorders>
              <w:top w:val="nil"/>
              <w:left w:val="nil"/>
              <w:bottom w:val="nil"/>
              <w:right w:val="nil"/>
            </w:tcBorders>
            <w:vAlign w:val="center"/>
          </w:tcPr>
          <w:p w14:paraId="3802B25C" w14:textId="77777777" w:rsidR="00857CFD" w:rsidRPr="005F2F5B" w:rsidRDefault="00857CFD" w:rsidP="00C21496">
            <w:pPr>
              <w:jc w:val="left"/>
              <w:rPr>
                <w:rFonts w:cs="Arial"/>
                <w:sz w:val="24"/>
                <w:szCs w:val="24"/>
              </w:rPr>
            </w:pPr>
            <w:r w:rsidRPr="005F2F5B">
              <w:rPr>
                <w:rFonts w:cs="Arial"/>
                <w:sz w:val="24"/>
                <w:szCs w:val="24"/>
              </w:rPr>
              <w:t>PH</w:t>
            </w:r>
          </w:p>
        </w:tc>
        <w:tc>
          <w:tcPr>
            <w:tcW w:w="6660" w:type="dxa"/>
            <w:tcBorders>
              <w:top w:val="nil"/>
              <w:left w:val="nil"/>
              <w:bottom w:val="nil"/>
              <w:right w:val="nil"/>
            </w:tcBorders>
            <w:vAlign w:val="center"/>
          </w:tcPr>
          <w:p w14:paraId="5A814CE3" w14:textId="77777777" w:rsidR="00857CFD" w:rsidRPr="005F2F5B" w:rsidRDefault="00857CFD" w:rsidP="00C21496">
            <w:pPr>
              <w:jc w:val="left"/>
              <w:rPr>
                <w:rFonts w:cs="Arial"/>
                <w:sz w:val="24"/>
                <w:szCs w:val="24"/>
              </w:rPr>
            </w:pPr>
            <w:r w:rsidRPr="005F2F5B">
              <w:rPr>
                <w:rFonts w:cs="Arial"/>
                <w:sz w:val="24"/>
                <w:szCs w:val="24"/>
              </w:rPr>
              <w:t>Pulmonary hypertension</w:t>
            </w:r>
          </w:p>
        </w:tc>
      </w:tr>
      <w:tr w:rsidR="0017746E" w:rsidRPr="005F2F5B" w14:paraId="7AB6228C" w14:textId="77777777" w:rsidTr="00AA5636">
        <w:trPr>
          <w:trHeight w:val="411"/>
        </w:trPr>
        <w:tc>
          <w:tcPr>
            <w:tcW w:w="1980" w:type="dxa"/>
            <w:tcBorders>
              <w:top w:val="nil"/>
              <w:left w:val="nil"/>
              <w:bottom w:val="nil"/>
              <w:right w:val="nil"/>
            </w:tcBorders>
            <w:vAlign w:val="center"/>
          </w:tcPr>
          <w:p w14:paraId="28019C07" w14:textId="77777777" w:rsidR="0017746E" w:rsidRPr="005F2F5B" w:rsidRDefault="0017746E" w:rsidP="00C21496">
            <w:pPr>
              <w:jc w:val="left"/>
              <w:rPr>
                <w:rFonts w:cs="Arial"/>
                <w:sz w:val="24"/>
                <w:szCs w:val="24"/>
              </w:rPr>
            </w:pPr>
            <w:r w:rsidRPr="005F2F5B">
              <w:rPr>
                <w:rFonts w:cs="Arial"/>
                <w:sz w:val="24"/>
                <w:szCs w:val="24"/>
              </w:rPr>
              <w:t>PHAA</w:t>
            </w:r>
          </w:p>
        </w:tc>
        <w:tc>
          <w:tcPr>
            <w:tcW w:w="6660" w:type="dxa"/>
            <w:tcBorders>
              <w:top w:val="nil"/>
              <w:left w:val="nil"/>
              <w:bottom w:val="nil"/>
              <w:right w:val="nil"/>
            </w:tcBorders>
            <w:vAlign w:val="center"/>
          </w:tcPr>
          <w:p w14:paraId="60CB84E5" w14:textId="77777777" w:rsidR="0017746E" w:rsidRPr="005F2F5B" w:rsidRDefault="0017746E" w:rsidP="00C21496">
            <w:pPr>
              <w:jc w:val="left"/>
              <w:rPr>
                <w:rFonts w:cs="Arial"/>
                <w:sz w:val="24"/>
                <w:szCs w:val="24"/>
              </w:rPr>
            </w:pPr>
            <w:r w:rsidRPr="005F2F5B">
              <w:rPr>
                <w:rFonts w:cs="Arial"/>
                <w:sz w:val="24"/>
                <w:szCs w:val="24"/>
              </w:rPr>
              <w:t>Pulmonary Hypertension Association Australia</w:t>
            </w:r>
          </w:p>
        </w:tc>
      </w:tr>
      <w:tr w:rsidR="00857CFD" w:rsidRPr="005F2F5B" w14:paraId="1297B029" w14:textId="77777777" w:rsidTr="00AA5636">
        <w:trPr>
          <w:trHeight w:val="411"/>
        </w:trPr>
        <w:tc>
          <w:tcPr>
            <w:tcW w:w="1980" w:type="dxa"/>
            <w:tcBorders>
              <w:top w:val="nil"/>
              <w:left w:val="nil"/>
              <w:bottom w:val="nil"/>
              <w:right w:val="nil"/>
            </w:tcBorders>
            <w:vAlign w:val="center"/>
          </w:tcPr>
          <w:p w14:paraId="38586180" w14:textId="77777777" w:rsidR="00857CFD" w:rsidRPr="005F2F5B" w:rsidRDefault="00857CFD" w:rsidP="00C21496">
            <w:pPr>
              <w:jc w:val="left"/>
              <w:rPr>
                <w:rFonts w:cs="Arial"/>
                <w:sz w:val="24"/>
                <w:szCs w:val="24"/>
              </w:rPr>
            </w:pPr>
            <w:r w:rsidRPr="005F2F5B">
              <w:rPr>
                <w:rFonts w:cs="Arial"/>
                <w:sz w:val="24"/>
                <w:szCs w:val="24"/>
              </w:rPr>
              <w:t>PHSANZ</w:t>
            </w:r>
          </w:p>
        </w:tc>
        <w:tc>
          <w:tcPr>
            <w:tcW w:w="6660" w:type="dxa"/>
            <w:tcBorders>
              <w:top w:val="nil"/>
              <w:left w:val="nil"/>
              <w:bottom w:val="nil"/>
              <w:right w:val="nil"/>
            </w:tcBorders>
            <w:vAlign w:val="center"/>
          </w:tcPr>
          <w:p w14:paraId="31A14318" w14:textId="77777777" w:rsidR="00857CFD" w:rsidRPr="005F2F5B" w:rsidRDefault="00857CFD" w:rsidP="00C21496">
            <w:pPr>
              <w:jc w:val="left"/>
              <w:rPr>
                <w:rFonts w:cs="Arial"/>
                <w:sz w:val="24"/>
                <w:szCs w:val="24"/>
              </w:rPr>
            </w:pPr>
            <w:r w:rsidRPr="005F2F5B">
              <w:rPr>
                <w:rFonts w:cs="Arial"/>
                <w:sz w:val="24"/>
                <w:szCs w:val="24"/>
              </w:rPr>
              <w:t>Pulmonary Hypertension Society of Australia and New Zealand</w:t>
            </w:r>
          </w:p>
        </w:tc>
      </w:tr>
      <w:tr w:rsidR="002B0137" w:rsidRPr="005F2F5B" w14:paraId="3F6AAEA8" w14:textId="77777777" w:rsidTr="00AA5636">
        <w:trPr>
          <w:trHeight w:val="411"/>
        </w:trPr>
        <w:tc>
          <w:tcPr>
            <w:tcW w:w="1980" w:type="dxa"/>
            <w:tcBorders>
              <w:top w:val="nil"/>
              <w:left w:val="nil"/>
              <w:bottom w:val="nil"/>
              <w:right w:val="nil"/>
            </w:tcBorders>
            <w:vAlign w:val="center"/>
          </w:tcPr>
          <w:p w14:paraId="604DD076" w14:textId="77777777" w:rsidR="002B0137" w:rsidRPr="005F2F5B" w:rsidRDefault="002B0137" w:rsidP="00C21496">
            <w:pPr>
              <w:jc w:val="left"/>
              <w:rPr>
                <w:rFonts w:cs="Arial"/>
                <w:sz w:val="24"/>
                <w:szCs w:val="24"/>
              </w:rPr>
            </w:pPr>
            <w:r w:rsidRPr="005F2F5B">
              <w:rPr>
                <w:rFonts w:cs="Arial"/>
                <w:sz w:val="24"/>
                <w:szCs w:val="24"/>
              </w:rPr>
              <w:t>Review</w:t>
            </w:r>
          </w:p>
        </w:tc>
        <w:tc>
          <w:tcPr>
            <w:tcW w:w="6660" w:type="dxa"/>
            <w:tcBorders>
              <w:top w:val="nil"/>
              <w:left w:val="nil"/>
              <w:bottom w:val="nil"/>
              <w:right w:val="nil"/>
            </w:tcBorders>
            <w:vAlign w:val="center"/>
          </w:tcPr>
          <w:p w14:paraId="24432838" w14:textId="77777777" w:rsidR="002B0137" w:rsidRPr="005F2F5B" w:rsidRDefault="002B0137" w:rsidP="00C21496">
            <w:pPr>
              <w:jc w:val="left"/>
              <w:rPr>
                <w:rFonts w:cs="Arial"/>
                <w:sz w:val="24"/>
                <w:szCs w:val="24"/>
              </w:rPr>
            </w:pPr>
            <w:r w:rsidRPr="005F2F5B">
              <w:rPr>
                <w:rFonts w:cs="Arial"/>
                <w:sz w:val="24"/>
                <w:szCs w:val="24"/>
              </w:rPr>
              <w:t>Post-market Review</w:t>
            </w:r>
          </w:p>
        </w:tc>
      </w:tr>
      <w:tr w:rsidR="00857CFD" w:rsidRPr="005F2F5B" w14:paraId="7F3A72EC" w14:textId="77777777" w:rsidTr="00AA5636">
        <w:trPr>
          <w:trHeight w:val="411"/>
        </w:trPr>
        <w:tc>
          <w:tcPr>
            <w:tcW w:w="1980" w:type="dxa"/>
            <w:tcBorders>
              <w:top w:val="nil"/>
              <w:left w:val="nil"/>
              <w:bottom w:val="nil"/>
              <w:right w:val="nil"/>
            </w:tcBorders>
            <w:vAlign w:val="center"/>
          </w:tcPr>
          <w:p w14:paraId="7ABB335A" w14:textId="77777777" w:rsidR="00857CFD" w:rsidRPr="005F2F5B" w:rsidRDefault="00857CFD" w:rsidP="00C21496">
            <w:pPr>
              <w:jc w:val="left"/>
              <w:rPr>
                <w:rFonts w:cs="Arial"/>
                <w:sz w:val="24"/>
                <w:szCs w:val="24"/>
              </w:rPr>
            </w:pPr>
            <w:r w:rsidRPr="005F2F5B">
              <w:rPr>
                <w:rFonts w:cs="Arial"/>
                <w:sz w:val="24"/>
                <w:szCs w:val="24"/>
              </w:rPr>
              <w:t>PI</w:t>
            </w:r>
          </w:p>
        </w:tc>
        <w:tc>
          <w:tcPr>
            <w:tcW w:w="6660" w:type="dxa"/>
            <w:tcBorders>
              <w:top w:val="nil"/>
              <w:left w:val="nil"/>
              <w:bottom w:val="nil"/>
              <w:right w:val="nil"/>
            </w:tcBorders>
            <w:vAlign w:val="center"/>
          </w:tcPr>
          <w:p w14:paraId="7AADF91B" w14:textId="77777777" w:rsidR="00857CFD" w:rsidRPr="005F2F5B" w:rsidRDefault="00857CFD" w:rsidP="00C21496">
            <w:pPr>
              <w:jc w:val="left"/>
              <w:rPr>
                <w:rFonts w:cs="Arial"/>
                <w:sz w:val="24"/>
                <w:szCs w:val="24"/>
              </w:rPr>
            </w:pPr>
            <w:r w:rsidRPr="005F2F5B">
              <w:rPr>
                <w:rFonts w:cs="Arial"/>
                <w:sz w:val="24"/>
                <w:szCs w:val="24"/>
              </w:rPr>
              <w:t>Product information</w:t>
            </w:r>
          </w:p>
        </w:tc>
      </w:tr>
      <w:tr w:rsidR="00857CFD" w:rsidRPr="005F2F5B" w14:paraId="02D37C4E" w14:textId="77777777" w:rsidTr="00AA5636">
        <w:trPr>
          <w:trHeight w:val="411"/>
        </w:trPr>
        <w:tc>
          <w:tcPr>
            <w:tcW w:w="1980" w:type="dxa"/>
            <w:tcBorders>
              <w:top w:val="nil"/>
              <w:left w:val="nil"/>
              <w:bottom w:val="nil"/>
              <w:right w:val="nil"/>
            </w:tcBorders>
            <w:vAlign w:val="center"/>
          </w:tcPr>
          <w:p w14:paraId="0057BA27" w14:textId="77777777" w:rsidR="00857CFD" w:rsidRPr="005F2F5B" w:rsidRDefault="00857CFD" w:rsidP="00C21496">
            <w:pPr>
              <w:jc w:val="left"/>
              <w:rPr>
                <w:rFonts w:cs="Arial"/>
                <w:sz w:val="24"/>
                <w:szCs w:val="24"/>
              </w:rPr>
            </w:pPr>
            <w:r w:rsidRPr="005F2F5B">
              <w:rPr>
                <w:rFonts w:cs="Arial"/>
                <w:sz w:val="24"/>
                <w:szCs w:val="24"/>
              </w:rPr>
              <w:t>PICO</w:t>
            </w:r>
          </w:p>
        </w:tc>
        <w:tc>
          <w:tcPr>
            <w:tcW w:w="6660" w:type="dxa"/>
            <w:tcBorders>
              <w:top w:val="nil"/>
              <w:left w:val="nil"/>
              <w:bottom w:val="nil"/>
              <w:right w:val="nil"/>
            </w:tcBorders>
            <w:vAlign w:val="center"/>
          </w:tcPr>
          <w:p w14:paraId="408D2BBB" w14:textId="77777777" w:rsidR="00857CFD" w:rsidRPr="005F2F5B" w:rsidRDefault="00857CFD" w:rsidP="00C21496">
            <w:pPr>
              <w:jc w:val="left"/>
              <w:rPr>
                <w:rFonts w:cs="Arial"/>
                <w:sz w:val="24"/>
                <w:szCs w:val="24"/>
              </w:rPr>
            </w:pPr>
            <w:r w:rsidRPr="005F2F5B">
              <w:rPr>
                <w:rFonts w:cs="Arial"/>
                <w:sz w:val="24"/>
                <w:szCs w:val="24"/>
              </w:rPr>
              <w:t>Population, Intervention, Comparator and Outcome</w:t>
            </w:r>
          </w:p>
        </w:tc>
      </w:tr>
      <w:tr w:rsidR="006471C8" w:rsidRPr="005F2F5B" w14:paraId="2C8490C7" w14:textId="77777777" w:rsidTr="00AA5636">
        <w:trPr>
          <w:trHeight w:val="411"/>
        </w:trPr>
        <w:tc>
          <w:tcPr>
            <w:tcW w:w="1980" w:type="dxa"/>
            <w:tcBorders>
              <w:top w:val="nil"/>
              <w:left w:val="nil"/>
              <w:bottom w:val="nil"/>
              <w:right w:val="nil"/>
            </w:tcBorders>
            <w:vAlign w:val="center"/>
          </w:tcPr>
          <w:p w14:paraId="06547642" w14:textId="77777777" w:rsidR="00857CFD" w:rsidRPr="005F2F5B" w:rsidRDefault="00857CFD" w:rsidP="00C21496">
            <w:pPr>
              <w:jc w:val="left"/>
              <w:rPr>
                <w:rFonts w:cs="Arial"/>
                <w:sz w:val="24"/>
                <w:szCs w:val="24"/>
              </w:rPr>
            </w:pPr>
            <w:r w:rsidRPr="005F2F5B">
              <w:rPr>
                <w:rFonts w:cs="Arial"/>
                <w:sz w:val="24"/>
                <w:szCs w:val="24"/>
              </w:rPr>
              <w:t>PVR</w:t>
            </w:r>
          </w:p>
        </w:tc>
        <w:tc>
          <w:tcPr>
            <w:tcW w:w="6660" w:type="dxa"/>
            <w:tcBorders>
              <w:top w:val="nil"/>
              <w:left w:val="nil"/>
              <w:bottom w:val="nil"/>
              <w:right w:val="nil"/>
            </w:tcBorders>
            <w:vAlign w:val="center"/>
          </w:tcPr>
          <w:p w14:paraId="7149851D" w14:textId="77777777" w:rsidR="00857CFD" w:rsidRPr="005F2F5B" w:rsidRDefault="00857CFD" w:rsidP="00C21496">
            <w:pPr>
              <w:jc w:val="left"/>
              <w:rPr>
                <w:rFonts w:cs="Arial"/>
                <w:sz w:val="24"/>
                <w:szCs w:val="24"/>
              </w:rPr>
            </w:pPr>
            <w:r w:rsidRPr="005F2F5B">
              <w:rPr>
                <w:rFonts w:cs="Arial"/>
                <w:sz w:val="24"/>
                <w:szCs w:val="24"/>
              </w:rPr>
              <w:t>Pulmonary vascular resistance</w:t>
            </w:r>
          </w:p>
        </w:tc>
      </w:tr>
      <w:tr w:rsidR="002B1993" w:rsidRPr="005F2F5B" w14:paraId="34ABC2F8" w14:textId="77777777" w:rsidTr="00AA5636">
        <w:trPr>
          <w:trHeight w:val="411"/>
        </w:trPr>
        <w:tc>
          <w:tcPr>
            <w:tcW w:w="1980" w:type="dxa"/>
            <w:tcBorders>
              <w:top w:val="nil"/>
              <w:left w:val="nil"/>
              <w:bottom w:val="nil"/>
              <w:right w:val="nil"/>
            </w:tcBorders>
            <w:vAlign w:val="center"/>
          </w:tcPr>
          <w:p w14:paraId="74B2F888" w14:textId="77777777" w:rsidR="00857CFD" w:rsidRPr="005F2F5B" w:rsidRDefault="00857CFD" w:rsidP="00C21496">
            <w:pPr>
              <w:jc w:val="left"/>
              <w:rPr>
                <w:rFonts w:cs="Arial"/>
                <w:sz w:val="24"/>
                <w:szCs w:val="24"/>
              </w:rPr>
            </w:pPr>
            <w:r w:rsidRPr="005F2F5B">
              <w:rPr>
                <w:rFonts w:cs="Arial"/>
                <w:sz w:val="24"/>
                <w:szCs w:val="24"/>
              </w:rPr>
              <w:t>QoL</w:t>
            </w:r>
          </w:p>
        </w:tc>
        <w:tc>
          <w:tcPr>
            <w:tcW w:w="6660" w:type="dxa"/>
            <w:tcBorders>
              <w:top w:val="nil"/>
              <w:left w:val="nil"/>
              <w:bottom w:val="nil"/>
              <w:right w:val="nil"/>
            </w:tcBorders>
            <w:vAlign w:val="center"/>
          </w:tcPr>
          <w:p w14:paraId="10F57C3C" w14:textId="77777777" w:rsidR="00857CFD" w:rsidRPr="005F2F5B" w:rsidRDefault="00857CFD" w:rsidP="00C21496">
            <w:pPr>
              <w:jc w:val="left"/>
              <w:rPr>
                <w:rFonts w:cs="Arial"/>
                <w:sz w:val="24"/>
                <w:szCs w:val="24"/>
              </w:rPr>
            </w:pPr>
            <w:r w:rsidRPr="005F2F5B">
              <w:rPr>
                <w:rFonts w:cs="Arial"/>
                <w:sz w:val="24"/>
                <w:szCs w:val="24"/>
              </w:rPr>
              <w:t>Quality of life</w:t>
            </w:r>
          </w:p>
        </w:tc>
      </w:tr>
      <w:tr w:rsidR="006433E6" w:rsidRPr="005F2F5B" w14:paraId="4CC06D61" w14:textId="77777777" w:rsidTr="00AA5636">
        <w:trPr>
          <w:trHeight w:val="411"/>
        </w:trPr>
        <w:tc>
          <w:tcPr>
            <w:tcW w:w="1980" w:type="dxa"/>
            <w:tcBorders>
              <w:top w:val="nil"/>
              <w:left w:val="nil"/>
              <w:bottom w:val="nil"/>
              <w:right w:val="nil"/>
            </w:tcBorders>
            <w:vAlign w:val="center"/>
          </w:tcPr>
          <w:p w14:paraId="3C636E46" w14:textId="77777777" w:rsidR="006433E6" w:rsidRPr="005F2F5B" w:rsidRDefault="006433E6" w:rsidP="00C21496">
            <w:pPr>
              <w:jc w:val="left"/>
              <w:rPr>
                <w:rFonts w:cs="Arial"/>
                <w:sz w:val="24"/>
                <w:szCs w:val="24"/>
              </w:rPr>
            </w:pPr>
            <w:r w:rsidRPr="005F2F5B">
              <w:rPr>
                <w:rFonts w:cs="Arial"/>
                <w:sz w:val="24"/>
                <w:szCs w:val="24"/>
              </w:rPr>
              <w:t>RPBS</w:t>
            </w:r>
          </w:p>
        </w:tc>
        <w:tc>
          <w:tcPr>
            <w:tcW w:w="6660" w:type="dxa"/>
            <w:tcBorders>
              <w:top w:val="nil"/>
              <w:left w:val="nil"/>
              <w:bottom w:val="nil"/>
              <w:right w:val="nil"/>
            </w:tcBorders>
            <w:vAlign w:val="center"/>
          </w:tcPr>
          <w:p w14:paraId="4D8A4686" w14:textId="77777777" w:rsidR="006433E6" w:rsidRPr="005F2F5B" w:rsidRDefault="006433E6" w:rsidP="00C21496">
            <w:pPr>
              <w:jc w:val="left"/>
              <w:rPr>
                <w:rFonts w:cs="Arial"/>
                <w:sz w:val="24"/>
                <w:szCs w:val="24"/>
              </w:rPr>
            </w:pPr>
            <w:r w:rsidRPr="005F2F5B">
              <w:rPr>
                <w:rFonts w:cs="Arial"/>
                <w:sz w:val="24"/>
                <w:szCs w:val="24"/>
              </w:rPr>
              <w:t xml:space="preserve">Repatriation Schedule of Pharmaceutical Benefits </w:t>
            </w:r>
          </w:p>
        </w:tc>
      </w:tr>
      <w:tr w:rsidR="00857CFD" w:rsidRPr="005F2F5B" w14:paraId="01E86FD3" w14:textId="77777777" w:rsidTr="00AA5636">
        <w:trPr>
          <w:trHeight w:val="411"/>
        </w:trPr>
        <w:tc>
          <w:tcPr>
            <w:tcW w:w="1980" w:type="dxa"/>
            <w:tcBorders>
              <w:top w:val="nil"/>
              <w:left w:val="nil"/>
              <w:bottom w:val="nil"/>
              <w:right w:val="nil"/>
            </w:tcBorders>
            <w:vAlign w:val="center"/>
          </w:tcPr>
          <w:p w14:paraId="0D30EEE5" w14:textId="77777777" w:rsidR="00857CFD" w:rsidRPr="005F2F5B" w:rsidRDefault="00857CFD" w:rsidP="00C21496">
            <w:pPr>
              <w:jc w:val="left"/>
              <w:rPr>
                <w:rFonts w:cs="Arial"/>
                <w:sz w:val="24"/>
                <w:szCs w:val="24"/>
              </w:rPr>
            </w:pPr>
            <w:r w:rsidRPr="005F2F5B">
              <w:rPr>
                <w:rFonts w:cs="Arial"/>
                <w:sz w:val="24"/>
                <w:szCs w:val="24"/>
              </w:rPr>
              <w:t>RCT</w:t>
            </w:r>
          </w:p>
        </w:tc>
        <w:tc>
          <w:tcPr>
            <w:tcW w:w="6660" w:type="dxa"/>
            <w:tcBorders>
              <w:top w:val="nil"/>
              <w:left w:val="nil"/>
              <w:bottom w:val="nil"/>
              <w:right w:val="nil"/>
            </w:tcBorders>
            <w:vAlign w:val="center"/>
          </w:tcPr>
          <w:p w14:paraId="294973B3" w14:textId="77777777" w:rsidR="00857CFD" w:rsidRPr="005F2F5B" w:rsidRDefault="00857CFD" w:rsidP="00C21496">
            <w:pPr>
              <w:jc w:val="left"/>
              <w:rPr>
                <w:rFonts w:cs="Arial"/>
                <w:sz w:val="24"/>
                <w:szCs w:val="24"/>
              </w:rPr>
            </w:pPr>
            <w:r w:rsidRPr="005F2F5B">
              <w:rPr>
                <w:rFonts w:cs="Arial"/>
                <w:sz w:val="24"/>
                <w:szCs w:val="24"/>
              </w:rPr>
              <w:t>Randomised controlled trial</w:t>
            </w:r>
          </w:p>
        </w:tc>
      </w:tr>
      <w:tr w:rsidR="00857CFD" w:rsidRPr="005F2F5B" w14:paraId="301E1AFE" w14:textId="77777777" w:rsidTr="00AA5636">
        <w:trPr>
          <w:trHeight w:val="411"/>
        </w:trPr>
        <w:tc>
          <w:tcPr>
            <w:tcW w:w="1980" w:type="dxa"/>
            <w:tcBorders>
              <w:top w:val="nil"/>
              <w:left w:val="nil"/>
              <w:bottom w:val="nil"/>
              <w:right w:val="nil"/>
            </w:tcBorders>
            <w:vAlign w:val="center"/>
          </w:tcPr>
          <w:p w14:paraId="4D16A44E" w14:textId="77777777" w:rsidR="00857CFD" w:rsidRPr="005F2F5B" w:rsidRDefault="00857CFD" w:rsidP="00C21496">
            <w:pPr>
              <w:jc w:val="left"/>
              <w:rPr>
                <w:rFonts w:cs="Arial"/>
                <w:sz w:val="24"/>
                <w:szCs w:val="24"/>
              </w:rPr>
            </w:pPr>
            <w:r w:rsidRPr="005F2F5B">
              <w:rPr>
                <w:rFonts w:cs="Arial"/>
                <w:sz w:val="24"/>
                <w:szCs w:val="24"/>
              </w:rPr>
              <w:t>RHC</w:t>
            </w:r>
          </w:p>
        </w:tc>
        <w:tc>
          <w:tcPr>
            <w:tcW w:w="6660" w:type="dxa"/>
            <w:tcBorders>
              <w:top w:val="nil"/>
              <w:left w:val="nil"/>
              <w:bottom w:val="nil"/>
              <w:right w:val="nil"/>
            </w:tcBorders>
            <w:vAlign w:val="center"/>
          </w:tcPr>
          <w:p w14:paraId="78AA1615" w14:textId="77777777" w:rsidR="00857CFD" w:rsidRPr="005F2F5B" w:rsidRDefault="00857CFD" w:rsidP="00C21496">
            <w:pPr>
              <w:jc w:val="left"/>
              <w:rPr>
                <w:rFonts w:cs="Arial"/>
                <w:sz w:val="24"/>
                <w:szCs w:val="24"/>
              </w:rPr>
            </w:pPr>
            <w:r w:rsidRPr="005F2F5B">
              <w:rPr>
                <w:rFonts w:cs="Arial"/>
                <w:sz w:val="24"/>
                <w:szCs w:val="24"/>
              </w:rPr>
              <w:t>Right heart catheterisation</w:t>
            </w:r>
          </w:p>
        </w:tc>
      </w:tr>
      <w:tr w:rsidR="00857CFD" w:rsidRPr="005F2F5B" w14:paraId="406AC8BA" w14:textId="77777777" w:rsidTr="00AA5636">
        <w:trPr>
          <w:trHeight w:val="411"/>
        </w:trPr>
        <w:tc>
          <w:tcPr>
            <w:tcW w:w="1980" w:type="dxa"/>
            <w:tcBorders>
              <w:top w:val="nil"/>
              <w:left w:val="nil"/>
              <w:bottom w:val="nil"/>
              <w:right w:val="nil"/>
            </w:tcBorders>
            <w:vAlign w:val="center"/>
          </w:tcPr>
          <w:p w14:paraId="0DFE4364" w14:textId="77777777" w:rsidR="00857CFD" w:rsidRPr="005F2F5B" w:rsidRDefault="00857CFD" w:rsidP="00C21496">
            <w:pPr>
              <w:jc w:val="left"/>
              <w:rPr>
                <w:rFonts w:cs="Arial"/>
                <w:sz w:val="24"/>
                <w:szCs w:val="24"/>
              </w:rPr>
            </w:pPr>
            <w:r w:rsidRPr="005F2F5B">
              <w:rPr>
                <w:rFonts w:cs="Arial"/>
                <w:sz w:val="24"/>
                <w:szCs w:val="24"/>
              </w:rPr>
              <w:t>RR</w:t>
            </w:r>
          </w:p>
        </w:tc>
        <w:tc>
          <w:tcPr>
            <w:tcW w:w="6660" w:type="dxa"/>
            <w:tcBorders>
              <w:top w:val="nil"/>
              <w:left w:val="nil"/>
              <w:bottom w:val="nil"/>
              <w:right w:val="nil"/>
            </w:tcBorders>
            <w:vAlign w:val="center"/>
          </w:tcPr>
          <w:p w14:paraId="6E6C00E2" w14:textId="77777777" w:rsidR="00857CFD" w:rsidRPr="005F2F5B" w:rsidRDefault="00857CFD" w:rsidP="00C21496">
            <w:pPr>
              <w:jc w:val="left"/>
              <w:rPr>
                <w:rFonts w:cs="Arial"/>
                <w:sz w:val="24"/>
                <w:szCs w:val="24"/>
              </w:rPr>
            </w:pPr>
            <w:r w:rsidRPr="005F2F5B">
              <w:rPr>
                <w:rFonts w:cs="Arial"/>
                <w:sz w:val="24"/>
                <w:szCs w:val="24"/>
              </w:rPr>
              <w:t>Relative risk</w:t>
            </w:r>
          </w:p>
        </w:tc>
      </w:tr>
      <w:tr w:rsidR="002B1993" w:rsidRPr="005F2F5B" w14:paraId="30A6B29E" w14:textId="77777777" w:rsidTr="00AA5636">
        <w:trPr>
          <w:trHeight w:val="411"/>
        </w:trPr>
        <w:tc>
          <w:tcPr>
            <w:tcW w:w="1980" w:type="dxa"/>
            <w:tcBorders>
              <w:top w:val="nil"/>
              <w:left w:val="nil"/>
              <w:bottom w:val="nil"/>
              <w:right w:val="nil"/>
            </w:tcBorders>
            <w:vAlign w:val="center"/>
          </w:tcPr>
          <w:p w14:paraId="5BA34D54" w14:textId="77777777" w:rsidR="00857CFD" w:rsidRPr="005F2F5B" w:rsidRDefault="00857CFD" w:rsidP="00C21496">
            <w:pPr>
              <w:jc w:val="left"/>
              <w:rPr>
                <w:rFonts w:cs="Arial"/>
                <w:sz w:val="24"/>
                <w:szCs w:val="24"/>
              </w:rPr>
            </w:pPr>
            <w:r w:rsidRPr="005F2F5B">
              <w:rPr>
                <w:rFonts w:cs="Arial"/>
                <w:sz w:val="24"/>
                <w:szCs w:val="24"/>
              </w:rPr>
              <w:t>RVSP</w:t>
            </w:r>
          </w:p>
        </w:tc>
        <w:tc>
          <w:tcPr>
            <w:tcW w:w="6660" w:type="dxa"/>
            <w:tcBorders>
              <w:top w:val="nil"/>
              <w:left w:val="nil"/>
              <w:bottom w:val="nil"/>
              <w:right w:val="nil"/>
            </w:tcBorders>
            <w:vAlign w:val="center"/>
          </w:tcPr>
          <w:p w14:paraId="22DA6D7A" w14:textId="77777777" w:rsidR="00857CFD" w:rsidRPr="005F2F5B" w:rsidRDefault="00857CFD" w:rsidP="00C21496">
            <w:pPr>
              <w:jc w:val="left"/>
              <w:rPr>
                <w:rFonts w:cs="Arial"/>
                <w:sz w:val="24"/>
                <w:szCs w:val="24"/>
              </w:rPr>
            </w:pPr>
            <w:r w:rsidRPr="005F2F5B">
              <w:rPr>
                <w:rFonts w:cs="Arial"/>
                <w:sz w:val="24"/>
                <w:szCs w:val="24"/>
              </w:rPr>
              <w:t>Right ventricular systolic pressure</w:t>
            </w:r>
          </w:p>
        </w:tc>
      </w:tr>
      <w:tr w:rsidR="006471C8" w:rsidRPr="005F2F5B" w14:paraId="42763449" w14:textId="77777777" w:rsidTr="00AA5636">
        <w:trPr>
          <w:trHeight w:val="411"/>
        </w:trPr>
        <w:tc>
          <w:tcPr>
            <w:tcW w:w="1980" w:type="dxa"/>
            <w:tcBorders>
              <w:top w:val="nil"/>
              <w:left w:val="nil"/>
              <w:bottom w:val="nil"/>
              <w:right w:val="nil"/>
            </w:tcBorders>
            <w:vAlign w:val="center"/>
          </w:tcPr>
          <w:p w14:paraId="061F3450" w14:textId="77777777" w:rsidR="00857CFD" w:rsidRPr="005F2F5B" w:rsidRDefault="00857CFD" w:rsidP="00C21496">
            <w:pPr>
              <w:jc w:val="left"/>
              <w:rPr>
                <w:rFonts w:cs="Arial"/>
                <w:sz w:val="24"/>
                <w:szCs w:val="24"/>
              </w:rPr>
            </w:pPr>
            <w:r w:rsidRPr="005F2F5B">
              <w:rPr>
                <w:rFonts w:cs="Arial"/>
                <w:sz w:val="24"/>
                <w:szCs w:val="24"/>
              </w:rPr>
              <w:t>sGC stimulator</w:t>
            </w:r>
          </w:p>
        </w:tc>
        <w:tc>
          <w:tcPr>
            <w:tcW w:w="6660" w:type="dxa"/>
            <w:tcBorders>
              <w:top w:val="nil"/>
              <w:left w:val="nil"/>
              <w:bottom w:val="nil"/>
              <w:right w:val="nil"/>
            </w:tcBorders>
            <w:vAlign w:val="center"/>
          </w:tcPr>
          <w:p w14:paraId="76269D87" w14:textId="77777777" w:rsidR="00857CFD" w:rsidRPr="005F2F5B" w:rsidRDefault="00857CFD" w:rsidP="00C21496">
            <w:pPr>
              <w:jc w:val="left"/>
              <w:rPr>
                <w:rFonts w:cs="Arial"/>
                <w:sz w:val="24"/>
                <w:szCs w:val="24"/>
              </w:rPr>
            </w:pPr>
            <w:r w:rsidRPr="005F2F5B">
              <w:rPr>
                <w:rFonts w:cs="Arial"/>
                <w:sz w:val="24"/>
                <w:szCs w:val="24"/>
              </w:rPr>
              <w:t>Soluble guanylate cyclase stimulator</w:t>
            </w:r>
          </w:p>
        </w:tc>
      </w:tr>
      <w:tr w:rsidR="002B1993" w:rsidRPr="005F2F5B" w14:paraId="59C8E16C" w14:textId="77777777" w:rsidTr="00AA5636">
        <w:trPr>
          <w:trHeight w:val="411"/>
        </w:trPr>
        <w:tc>
          <w:tcPr>
            <w:tcW w:w="1980" w:type="dxa"/>
            <w:tcBorders>
              <w:top w:val="nil"/>
              <w:left w:val="nil"/>
              <w:bottom w:val="nil"/>
              <w:right w:val="nil"/>
            </w:tcBorders>
            <w:vAlign w:val="center"/>
          </w:tcPr>
          <w:p w14:paraId="4BC0B241" w14:textId="77777777" w:rsidR="00857CFD" w:rsidRPr="005F2F5B" w:rsidRDefault="00857CFD" w:rsidP="00C21496">
            <w:pPr>
              <w:jc w:val="left"/>
              <w:rPr>
                <w:rFonts w:cs="Arial"/>
                <w:sz w:val="24"/>
                <w:szCs w:val="24"/>
              </w:rPr>
            </w:pPr>
            <w:r w:rsidRPr="005F2F5B">
              <w:rPr>
                <w:rFonts w:cs="Arial"/>
                <w:sz w:val="24"/>
                <w:szCs w:val="24"/>
              </w:rPr>
              <w:t>SmPC</w:t>
            </w:r>
          </w:p>
        </w:tc>
        <w:tc>
          <w:tcPr>
            <w:tcW w:w="6660" w:type="dxa"/>
            <w:tcBorders>
              <w:top w:val="nil"/>
              <w:left w:val="nil"/>
              <w:bottom w:val="nil"/>
              <w:right w:val="nil"/>
            </w:tcBorders>
            <w:vAlign w:val="center"/>
          </w:tcPr>
          <w:p w14:paraId="3A834A5F" w14:textId="77777777" w:rsidR="00857CFD" w:rsidRPr="005F2F5B" w:rsidRDefault="004509F7" w:rsidP="00C21496">
            <w:pPr>
              <w:jc w:val="left"/>
              <w:rPr>
                <w:rFonts w:cs="Arial"/>
                <w:sz w:val="24"/>
                <w:szCs w:val="24"/>
              </w:rPr>
            </w:pPr>
            <w:r>
              <w:rPr>
                <w:rFonts w:cs="Arial"/>
                <w:sz w:val="24"/>
                <w:szCs w:val="24"/>
              </w:rPr>
              <w:t>S</w:t>
            </w:r>
            <w:r w:rsidR="00857CFD" w:rsidRPr="005F2F5B">
              <w:rPr>
                <w:rFonts w:cs="Arial"/>
                <w:sz w:val="24"/>
                <w:szCs w:val="24"/>
              </w:rPr>
              <w:t>ummary of product characteristics</w:t>
            </w:r>
            <w:r>
              <w:rPr>
                <w:rFonts w:cs="Arial"/>
                <w:sz w:val="24"/>
                <w:szCs w:val="24"/>
              </w:rPr>
              <w:t xml:space="preserve"> (European)</w:t>
            </w:r>
          </w:p>
        </w:tc>
      </w:tr>
      <w:tr w:rsidR="00857CFD" w:rsidRPr="005F2F5B" w14:paraId="12168751" w14:textId="77777777" w:rsidTr="00AA5636">
        <w:trPr>
          <w:trHeight w:val="411"/>
        </w:trPr>
        <w:tc>
          <w:tcPr>
            <w:tcW w:w="1980" w:type="dxa"/>
            <w:tcBorders>
              <w:top w:val="nil"/>
              <w:left w:val="nil"/>
              <w:bottom w:val="nil"/>
              <w:right w:val="nil"/>
            </w:tcBorders>
            <w:vAlign w:val="center"/>
          </w:tcPr>
          <w:p w14:paraId="0A7CCDF2" w14:textId="77777777" w:rsidR="00857CFD" w:rsidRPr="005F2F5B" w:rsidRDefault="00857CFD" w:rsidP="00C21496">
            <w:pPr>
              <w:jc w:val="left"/>
              <w:rPr>
                <w:rFonts w:cs="Arial"/>
                <w:sz w:val="24"/>
                <w:szCs w:val="24"/>
              </w:rPr>
            </w:pPr>
            <w:r w:rsidRPr="005F2F5B">
              <w:rPr>
                <w:rFonts w:cs="Arial"/>
                <w:sz w:val="24"/>
                <w:szCs w:val="24"/>
              </w:rPr>
              <w:t>SoC</w:t>
            </w:r>
          </w:p>
        </w:tc>
        <w:tc>
          <w:tcPr>
            <w:tcW w:w="6660" w:type="dxa"/>
            <w:tcBorders>
              <w:top w:val="nil"/>
              <w:left w:val="nil"/>
              <w:bottom w:val="nil"/>
              <w:right w:val="nil"/>
            </w:tcBorders>
            <w:vAlign w:val="center"/>
          </w:tcPr>
          <w:p w14:paraId="70F56AFE" w14:textId="77777777" w:rsidR="00857CFD" w:rsidRPr="005F2F5B" w:rsidRDefault="00857CFD" w:rsidP="00C21496">
            <w:pPr>
              <w:jc w:val="left"/>
              <w:rPr>
                <w:rFonts w:cs="Arial"/>
                <w:sz w:val="24"/>
                <w:szCs w:val="24"/>
              </w:rPr>
            </w:pPr>
            <w:r w:rsidRPr="005F2F5B">
              <w:rPr>
                <w:rFonts w:cs="Arial"/>
                <w:sz w:val="24"/>
                <w:szCs w:val="24"/>
              </w:rPr>
              <w:t>Standard of care</w:t>
            </w:r>
          </w:p>
        </w:tc>
      </w:tr>
      <w:tr w:rsidR="00857CFD" w:rsidRPr="005F2F5B" w14:paraId="36BD8D8E" w14:textId="77777777" w:rsidTr="00AA5636">
        <w:trPr>
          <w:trHeight w:val="411"/>
        </w:trPr>
        <w:tc>
          <w:tcPr>
            <w:tcW w:w="1980" w:type="dxa"/>
            <w:tcBorders>
              <w:top w:val="nil"/>
              <w:left w:val="nil"/>
              <w:bottom w:val="nil"/>
              <w:right w:val="nil"/>
            </w:tcBorders>
            <w:vAlign w:val="center"/>
          </w:tcPr>
          <w:p w14:paraId="0551D76A" w14:textId="77777777" w:rsidR="00857CFD" w:rsidRPr="005F2F5B" w:rsidRDefault="00857CFD" w:rsidP="00C21496">
            <w:pPr>
              <w:jc w:val="left"/>
              <w:rPr>
                <w:rFonts w:cs="Arial"/>
                <w:sz w:val="24"/>
                <w:szCs w:val="24"/>
              </w:rPr>
            </w:pPr>
            <w:r w:rsidRPr="005F2F5B">
              <w:rPr>
                <w:rFonts w:cs="Arial"/>
                <w:sz w:val="24"/>
                <w:szCs w:val="24"/>
              </w:rPr>
              <w:t>TGA</w:t>
            </w:r>
          </w:p>
        </w:tc>
        <w:tc>
          <w:tcPr>
            <w:tcW w:w="6660" w:type="dxa"/>
            <w:tcBorders>
              <w:top w:val="nil"/>
              <w:left w:val="nil"/>
              <w:bottom w:val="nil"/>
              <w:right w:val="nil"/>
            </w:tcBorders>
            <w:vAlign w:val="center"/>
          </w:tcPr>
          <w:p w14:paraId="2FC1BEB2" w14:textId="77777777" w:rsidR="00857CFD" w:rsidRPr="005F2F5B" w:rsidRDefault="00857CFD" w:rsidP="00C21496">
            <w:pPr>
              <w:jc w:val="left"/>
              <w:rPr>
                <w:rFonts w:cs="Arial"/>
                <w:sz w:val="24"/>
                <w:szCs w:val="24"/>
              </w:rPr>
            </w:pPr>
            <w:r w:rsidRPr="005F2F5B">
              <w:rPr>
                <w:rFonts w:cs="Arial"/>
                <w:sz w:val="24"/>
                <w:szCs w:val="24"/>
              </w:rPr>
              <w:t>Therapeutic Goods Administration</w:t>
            </w:r>
          </w:p>
        </w:tc>
      </w:tr>
      <w:tr w:rsidR="007619B5" w:rsidRPr="005F2F5B" w14:paraId="062524F6" w14:textId="77777777" w:rsidTr="00AA5636">
        <w:trPr>
          <w:trHeight w:val="411"/>
        </w:trPr>
        <w:tc>
          <w:tcPr>
            <w:tcW w:w="1980" w:type="dxa"/>
            <w:tcBorders>
              <w:top w:val="nil"/>
              <w:left w:val="nil"/>
              <w:bottom w:val="nil"/>
              <w:right w:val="nil"/>
            </w:tcBorders>
            <w:vAlign w:val="center"/>
          </w:tcPr>
          <w:p w14:paraId="20EC40BA" w14:textId="77777777" w:rsidR="007619B5" w:rsidRPr="005F2F5B" w:rsidRDefault="007619B5" w:rsidP="00C21496">
            <w:pPr>
              <w:jc w:val="left"/>
              <w:rPr>
                <w:rFonts w:cs="Arial"/>
                <w:sz w:val="24"/>
                <w:szCs w:val="24"/>
              </w:rPr>
            </w:pPr>
            <w:r w:rsidRPr="005F2F5B">
              <w:rPr>
                <w:rFonts w:cs="Arial"/>
                <w:sz w:val="24"/>
                <w:szCs w:val="24"/>
              </w:rPr>
              <w:lastRenderedPageBreak/>
              <w:t>ToR</w:t>
            </w:r>
          </w:p>
        </w:tc>
        <w:tc>
          <w:tcPr>
            <w:tcW w:w="6660" w:type="dxa"/>
            <w:tcBorders>
              <w:top w:val="nil"/>
              <w:left w:val="nil"/>
              <w:bottom w:val="nil"/>
              <w:right w:val="nil"/>
            </w:tcBorders>
            <w:vAlign w:val="center"/>
          </w:tcPr>
          <w:p w14:paraId="227BE5A1" w14:textId="77777777" w:rsidR="007619B5" w:rsidRPr="005F2F5B" w:rsidRDefault="007619B5" w:rsidP="00C21496">
            <w:pPr>
              <w:jc w:val="left"/>
              <w:rPr>
                <w:rFonts w:cs="Arial"/>
                <w:sz w:val="24"/>
                <w:szCs w:val="24"/>
              </w:rPr>
            </w:pPr>
            <w:r w:rsidRPr="005F2F5B">
              <w:rPr>
                <w:rFonts w:cs="Arial"/>
                <w:sz w:val="24"/>
                <w:szCs w:val="24"/>
              </w:rPr>
              <w:t>Term</w:t>
            </w:r>
            <w:r w:rsidR="002A29AC">
              <w:rPr>
                <w:rFonts w:cs="Arial"/>
                <w:sz w:val="24"/>
                <w:szCs w:val="24"/>
              </w:rPr>
              <w:t>(</w:t>
            </w:r>
            <w:r w:rsidRPr="005F2F5B">
              <w:rPr>
                <w:rFonts w:cs="Arial"/>
                <w:sz w:val="24"/>
                <w:szCs w:val="24"/>
              </w:rPr>
              <w:t>s</w:t>
            </w:r>
            <w:r w:rsidR="002A29AC">
              <w:rPr>
                <w:rFonts w:cs="Arial"/>
                <w:sz w:val="24"/>
                <w:szCs w:val="24"/>
              </w:rPr>
              <w:t>)</w:t>
            </w:r>
            <w:r w:rsidRPr="005F2F5B">
              <w:rPr>
                <w:rFonts w:cs="Arial"/>
                <w:sz w:val="24"/>
                <w:szCs w:val="24"/>
              </w:rPr>
              <w:t xml:space="preserve"> of Reference</w:t>
            </w:r>
          </w:p>
        </w:tc>
      </w:tr>
      <w:tr w:rsidR="006D096A" w:rsidRPr="005F2F5B" w14:paraId="0CA61302" w14:textId="77777777" w:rsidTr="00AA5636">
        <w:trPr>
          <w:trHeight w:val="411"/>
        </w:trPr>
        <w:tc>
          <w:tcPr>
            <w:tcW w:w="1980" w:type="dxa"/>
            <w:tcBorders>
              <w:top w:val="nil"/>
              <w:left w:val="nil"/>
              <w:bottom w:val="nil"/>
              <w:right w:val="nil"/>
            </w:tcBorders>
            <w:vAlign w:val="center"/>
          </w:tcPr>
          <w:p w14:paraId="5A07B22E" w14:textId="77777777" w:rsidR="006D096A" w:rsidRPr="005F2F5B" w:rsidRDefault="006D096A" w:rsidP="00C21496">
            <w:pPr>
              <w:jc w:val="left"/>
              <w:rPr>
                <w:rFonts w:cs="Arial"/>
                <w:sz w:val="24"/>
                <w:szCs w:val="24"/>
              </w:rPr>
            </w:pPr>
            <w:r w:rsidRPr="005F2F5B">
              <w:rPr>
                <w:rFonts w:cs="Arial"/>
                <w:sz w:val="24"/>
                <w:szCs w:val="24"/>
              </w:rPr>
              <w:t>TRV</w:t>
            </w:r>
          </w:p>
        </w:tc>
        <w:tc>
          <w:tcPr>
            <w:tcW w:w="6660" w:type="dxa"/>
            <w:tcBorders>
              <w:top w:val="nil"/>
              <w:left w:val="nil"/>
              <w:bottom w:val="nil"/>
              <w:right w:val="nil"/>
            </w:tcBorders>
            <w:vAlign w:val="center"/>
          </w:tcPr>
          <w:p w14:paraId="744B6D1E" w14:textId="77777777" w:rsidR="006D096A" w:rsidRPr="005F2F5B" w:rsidRDefault="006D096A" w:rsidP="00C21496">
            <w:pPr>
              <w:jc w:val="left"/>
              <w:rPr>
                <w:rFonts w:cs="Arial"/>
                <w:sz w:val="24"/>
                <w:szCs w:val="24"/>
              </w:rPr>
            </w:pPr>
            <w:r w:rsidRPr="005F2F5B">
              <w:rPr>
                <w:rFonts w:cs="Arial"/>
                <w:sz w:val="24"/>
                <w:szCs w:val="24"/>
              </w:rPr>
              <w:t>Tricuspid regurgitation velocity</w:t>
            </w:r>
          </w:p>
        </w:tc>
      </w:tr>
      <w:tr w:rsidR="006471C8" w:rsidRPr="005F2F5B" w14:paraId="7BAF2035" w14:textId="77777777" w:rsidTr="00AA5636">
        <w:trPr>
          <w:trHeight w:val="411"/>
        </w:trPr>
        <w:tc>
          <w:tcPr>
            <w:tcW w:w="1980" w:type="dxa"/>
            <w:tcBorders>
              <w:top w:val="nil"/>
              <w:left w:val="nil"/>
              <w:bottom w:val="nil"/>
              <w:right w:val="nil"/>
            </w:tcBorders>
            <w:vAlign w:val="center"/>
          </w:tcPr>
          <w:p w14:paraId="5A33F7FC" w14:textId="77777777" w:rsidR="00857CFD" w:rsidRPr="005F2F5B" w:rsidRDefault="00857CFD" w:rsidP="00C21496">
            <w:pPr>
              <w:jc w:val="left"/>
              <w:rPr>
                <w:rFonts w:cs="Arial"/>
                <w:sz w:val="24"/>
                <w:szCs w:val="24"/>
              </w:rPr>
            </w:pPr>
            <w:r w:rsidRPr="005F2F5B">
              <w:rPr>
                <w:rFonts w:cs="Arial"/>
                <w:sz w:val="24"/>
                <w:szCs w:val="24"/>
              </w:rPr>
              <w:t>WHO</w:t>
            </w:r>
          </w:p>
        </w:tc>
        <w:tc>
          <w:tcPr>
            <w:tcW w:w="6660" w:type="dxa"/>
            <w:tcBorders>
              <w:top w:val="nil"/>
              <w:left w:val="nil"/>
              <w:bottom w:val="nil"/>
              <w:right w:val="nil"/>
            </w:tcBorders>
            <w:vAlign w:val="center"/>
          </w:tcPr>
          <w:p w14:paraId="16BD6A99" w14:textId="77777777" w:rsidR="00857CFD" w:rsidRPr="005F2F5B" w:rsidRDefault="00857CFD" w:rsidP="00C21496">
            <w:pPr>
              <w:jc w:val="left"/>
              <w:rPr>
                <w:rFonts w:cs="Arial"/>
                <w:sz w:val="24"/>
                <w:szCs w:val="24"/>
              </w:rPr>
            </w:pPr>
            <w:r w:rsidRPr="005F2F5B">
              <w:rPr>
                <w:rFonts w:cs="Arial"/>
                <w:sz w:val="24"/>
                <w:szCs w:val="24"/>
              </w:rPr>
              <w:t>World Health Organization</w:t>
            </w:r>
          </w:p>
        </w:tc>
      </w:tr>
    </w:tbl>
    <w:p w14:paraId="08738D0A" w14:textId="77777777" w:rsidR="00AB59A7" w:rsidRPr="00250C50" w:rsidRDefault="00AB59A7" w:rsidP="00C21496">
      <w:pPr>
        <w:jc w:val="left"/>
        <w:rPr>
          <w:rFonts w:eastAsiaTheme="majorEastAsia" w:cstheme="majorBidi"/>
          <w:b/>
          <w:bCs/>
          <w:sz w:val="32"/>
          <w:szCs w:val="32"/>
        </w:rPr>
      </w:pPr>
      <w:r w:rsidRPr="00250C50">
        <w:rPr>
          <w:szCs w:val="32"/>
        </w:rPr>
        <w:br w:type="page"/>
      </w:r>
    </w:p>
    <w:p w14:paraId="53F66ECE" w14:textId="77777777" w:rsidR="00101F92" w:rsidRPr="009F466A" w:rsidRDefault="00101F92" w:rsidP="00C21496">
      <w:pPr>
        <w:pStyle w:val="Heading1"/>
        <w:spacing w:before="480" w:after="240" w:line="240" w:lineRule="auto"/>
        <w:jc w:val="left"/>
        <w:rPr>
          <w:sz w:val="40"/>
          <w:szCs w:val="40"/>
        </w:rPr>
      </w:pPr>
      <w:bookmarkStart w:id="4" w:name="_Toc526943986"/>
      <w:r w:rsidRPr="009F466A">
        <w:rPr>
          <w:sz w:val="40"/>
          <w:szCs w:val="40"/>
        </w:rPr>
        <w:lastRenderedPageBreak/>
        <w:t>Executive Summary</w:t>
      </w:r>
      <w:bookmarkEnd w:id="4"/>
      <w:r w:rsidRPr="009F466A">
        <w:rPr>
          <w:sz w:val="40"/>
          <w:szCs w:val="40"/>
        </w:rPr>
        <w:t xml:space="preserve"> </w:t>
      </w:r>
    </w:p>
    <w:p w14:paraId="3005BB30" w14:textId="77777777" w:rsidR="00B14CBF" w:rsidRPr="009F466A" w:rsidRDefault="00DE5CA2" w:rsidP="00C21496">
      <w:pPr>
        <w:pStyle w:val="Heading2"/>
        <w:jc w:val="left"/>
      </w:pPr>
      <w:bookmarkStart w:id="5" w:name="_Toc526943987"/>
      <w:r w:rsidRPr="009F466A">
        <w:t>Background and context</w:t>
      </w:r>
      <w:bookmarkEnd w:id="5"/>
    </w:p>
    <w:p w14:paraId="66EAFEEC" w14:textId="77777777" w:rsidR="005F4FF9" w:rsidRPr="009F466A" w:rsidRDefault="00A058DA" w:rsidP="00C21496">
      <w:pPr>
        <w:jc w:val="left"/>
      </w:pPr>
      <w:r w:rsidRPr="009F466A">
        <w:t>Pulmonary Arterial Hypertension (PAH) is a rare and debilitating chronic disease of the pulmonary vasculature, characterised by vascular proliferation and remodelling of the small pulmonary arteries. This results in a progressive increase in pulmonary vascular resistance (PVR) that, if not treated, ultimately leads to right h</w:t>
      </w:r>
      <w:r w:rsidR="00FF3B31" w:rsidRPr="009F466A">
        <w:t>eart failure and premature death</w:t>
      </w:r>
      <w:r w:rsidR="00FF3B31" w:rsidRPr="009F466A">
        <w:rPr>
          <w:rStyle w:val="EndnoteReference"/>
        </w:rPr>
        <w:endnoteReference w:id="1"/>
      </w:r>
      <w:r w:rsidRPr="009F466A">
        <w:t xml:space="preserve">. There is no cure for PAH other than lung transplantation. </w:t>
      </w:r>
      <w:r w:rsidR="00406336" w:rsidRPr="009F466A">
        <w:t>Symptoms of PAH include shortness of breath, dizziness, chest pain and fatigue</w:t>
      </w:r>
      <w:r w:rsidR="0078397A" w:rsidRPr="009F466A">
        <w:rPr>
          <w:rStyle w:val="EndnoteReference"/>
        </w:rPr>
        <w:endnoteReference w:id="2"/>
      </w:r>
      <w:r w:rsidR="00406336" w:rsidRPr="009F466A">
        <w:t>.</w:t>
      </w:r>
    </w:p>
    <w:p w14:paraId="60427F72" w14:textId="77777777" w:rsidR="005F4FF9" w:rsidRPr="009F466A" w:rsidRDefault="005F4FF9" w:rsidP="00C21496">
      <w:pPr>
        <w:jc w:val="left"/>
      </w:pPr>
      <w:r w:rsidRPr="009F466A">
        <w:t>In Europe, PAH prevalence and incidence are in the range of 15–60 subjects per million population and 5–10 cases per million per year, respectively</w:t>
      </w:r>
      <w:r w:rsidRPr="009F466A">
        <w:rPr>
          <w:rStyle w:val="EndnoteReference"/>
        </w:rPr>
        <w:endnoteReference w:id="3"/>
      </w:r>
      <w:r w:rsidRPr="009F466A">
        <w:t>. In February 2015 the Drug Utilisation Subcommittee (DUSC) of the Pharmaceutical Benefits Advisory Committee (PBAC) estimated the prevalent and incident patients receiving PAH treatment as 87.6 and 18.6 per million population, respectively</w:t>
      </w:r>
      <w:r w:rsidRPr="009F466A">
        <w:rPr>
          <w:rStyle w:val="EndnoteReference"/>
        </w:rPr>
        <w:endnoteReference w:id="4"/>
      </w:r>
      <w:r w:rsidRPr="009F466A">
        <w:t>.</w:t>
      </w:r>
    </w:p>
    <w:p w14:paraId="72201ED7" w14:textId="77777777" w:rsidR="005F4FF9" w:rsidRPr="009F466A" w:rsidRDefault="005F4FF9" w:rsidP="00C21496">
      <w:pPr>
        <w:jc w:val="left"/>
      </w:pPr>
      <w:r w:rsidRPr="009F466A">
        <w:t xml:space="preserve">The clinical severity of PAH is classified according to </w:t>
      </w:r>
      <w:r w:rsidR="00802DCE">
        <w:t>the World Health Organisation (WHO)</w:t>
      </w:r>
      <w:r w:rsidRPr="009F466A">
        <w:t xml:space="preserve"> system </w:t>
      </w:r>
      <w:r w:rsidR="00802DCE">
        <w:t>based on</w:t>
      </w:r>
      <w:r w:rsidRPr="009F466A">
        <w:t xml:space="preserve"> functional classes (FC) for patients with pulmonary hypertension.</w:t>
      </w:r>
    </w:p>
    <w:tbl>
      <w:tblPr>
        <w:tblStyle w:val="TableGrid"/>
        <w:tblW w:w="0" w:type="auto"/>
        <w:tblLook w:val="04A0" w:firstRow="1" w:lastRow="0" w:firstColumn="1" w:lastColumn="0" w:noHBand="0" w:noVBand="1"/>
        <w:tblCaption w:val="Figure ES.1"/>
        <w:tblDescription w:val="WHO functional classes for PAH"/>
      </w:tblPr>
      <w:tblGrid>
        <w:gridCol w:w="9628"/>
      </w:tblGrid>
      <w:tr w:rsidR="005F4FF9" w:rsidRPr="009F466A" w14:paraId="05571FDF" w14:textId="77777777" w:rsidTr="00FF6202">
        <w:trPr>
          <w:tblHeader/>
        </w:trPr>
        <w:tc>
          <w:tcPr>
            <w:tcW w:w="9648" w:type="dxa"/>
            <w:shd w:val="clear" w:color="auto" w:fill="auto"/>
          </w:tcPr>
          <w:p w14:paraId="554C038F" w14:textId="77777777" w:rsidR="005F4FF9" w:rsidRPr="00E35570" w:rsidRDefault="00802DCE" w:rsidP="00C21496">
            <w:pPr>
              <w:spacing w:before="120" w:after="120"/>
              <w:ind w:left="147" w:right="147"/>
              <w:jc w:val="left"/>
              <w:rPr>
                <w:rFonts w:ascii="Arial" w:eastAsiaTheme="minorHAnsi" w:hAnsi="Arial" w:cs="Arial"/>
              </w:rPr>
            </w:pPr>
            <w:r>
              <w:rPr>
                <w:rFonts w:ascii="Arial" w:eastAsiaTheme="minorHAnsi" w:hAnsi="Arial" w:cs="Arial"/>
              </w:rPr>
              <w:t>F</w:t>
            </w:r>
            <w:r w:rsidR="005F4FF9" w:rsidRPr="00E35570">
              <w:rPr>
                <w:rFonts w:ascii="Arial" w:eastAsiaTheme="minorHAnsi" w:hAnsi="Arial" w:cs="Arial"/>
              </w:rPr>
              <w:t>C I – Patients with pulmonary hypertension but without resulting limitation of physical activity. Ordinary physical activity does not cause undue dyspnoea or fatigue, chest pain or near syncope.</w:t>
            </w:r>
          </w:p>
          <w:p w14:paraId="60315CB0" w14:textId="77777777" w:rsidR="005F4FF9" w:rsidRPr="00E35570" w:rsidRDefault="00802DCE" w:rsidP="00C21496">
            <w:pPr>
              <w:spacing w:before="120" w:after="120"/>
              <w:ind w:left="147" w:right="147"/>
              <w:jc w:val="left"/>
              <w:rPr>
                <w:rFonts w:ascii="Arial" w:eastAsiaTheme="minorHAnsi" w:hAnsi="Arial" w:cs="Arial"/>
              </w:rPr>
            </w:pPr>
            <w:r>
              <w:rPr>
                <w:rFonts w:ascii="Arial" w:eastAsiaTheme="minorHAnsi" w:hAnsi="Arial" w:cs="Arial"/>
              </w:rPr>
              <w:t>F</w:t>
            </w:r>
            <w:r w:rsidR="005F4FF9" w:rsidRPr="00E35570">
              <w:rPr>
                <w:rFonts w:ascii="Arial" w:eastAsiaTheme="minorHAnsi" w:hAnsi="Arial" w:cs="Arial"/>
              </w:rPr>
              <w:t>C II – Patients with pulmonary hypertension resulting in slight limitation of physical activity. They are comfortable at rest. Ordinary physical activity causes undue dyspnoea or fatigue, chest pain or near syncope.</w:t>
            </w:r>
          </w:p>
          <w:p w14:paraId="60BDC0AD" w14:textId="77777777" w:rsidR="005F4FF9" w:rsidRPr="00E35570" w:rsidRDefault="00802DCE" w:rsidP="00C21496">
            <w:pPr>
              <w:spacing w:before="120" w:after="120"/>
              <w:ind w:left="147" w:right="147"/>
              <w:jc w:val="left"/>
              <w:rPr>
                <w:rFonts w:ascii="Arial" w:eastAsiaTheme="minorHAnsi" w:hAnsi="Arial" w:cs="Arial"/>
              </w:rPr>
            </w:pPr>
            <w:r>
              <w:rPr>
                <w:rFonts w:ascii="Arial" w:eastAsiaTheme="minorHAnsi" w:hAnsi="Arial" w:cs="Arial"/>
              </w:rPr>
              <w:t>F</w:t>
            </w:r>
            <w:r w:rsidR="005F4FF9" w:rsidRPr="00E35570">
              <w:rPr>
                <w:rFonts w:ascii="Arial" w:eastAsiaTheme="minorHAnsi" w:hAnsi="Arial" w:cs="Arial"/>
              </w:rPr>
              <w:t>C III – Patients with pulmonary hypertension resulting in marked limitation of physical activity. They are comfortable at rest. Less than ordinary activity causes undue dyspnoea or fatigue, chest pain or near syncope.</w:t>
            </w:r>
          </w:p>
          <w:p w14:paraId="6A958689" w14:textId="77777777" w:rsidR="005F4FF9" w:rsidRPr="009F466A" w:rsidRDefault="00802DCE" w:rsidP="00802DCE">
            <w:pPr>
              <w:spacing w:before="120" w:after="120"/>
              <w:ind w:left="147" w:right="147"/>
              <w:jc w:val="left"/>
            </w:pPr>
            <w:r>
              <w:rPr>
                <w:rFonts w:ascii="Arial" w:eastAsiaTheme="minorHAnsi" w:hAnsi="Arial" w:cs="Arial"/>
              </w:rPr>
              <w:t>F</w:t>
            </w:r>
            <w:r w:rsidR="005F4FF9" w:rsidRPr="00E35570">
              <w:rPr>
                <w:rFonts w:ascii="Arial" w:eastAsiaTheme="minorHAnsi" w:hAnsi="Arial" w:cs="Arial"/>
              </w:rPr>
              <w:t>C IV – Patients with pulmonary hypertension with inability to carry out any physical activity without symptoms. These patients manifest signs of right heart failure. Dyspnoea and/or fatigue may even be present at rest. Discomfort is increased by any physical activity.</w:t>
            </w:r>
          </w:p>
        </w:tc>
      </w:tr>
    </w:tbl>
    <w:p w14:paraId="7A6E6947" w14:textId="77777777" w:rsidR="00A94DF2" w:rsidRPr="00885751" w:rsidRDefault="00A94DF2" w:rsidP="00C21496">
      <w:pPr>
        <w:spacing w:after="40" w:line="240" w:lineRule="auto"/>
        <w:jc w:val="left"/>
        <w:rPr>
          <w:rFonts w:ascii="Arial" w:hAnsi="Arial" w:cs="Arial"/>
          <w:sz w:val="18"/>
          <w:szCs w:val="18"/>
        </w:rPr>
      </w:pPr>
      <w:r w:rsidRPr="00885751">
        <w:rPr>
          <w:rFonts w:ascii="Arial" w:hAnsi="Arial" w:cs="Arial"/>
          <w:sz w:val="18"/>
          <w:szCs w:val="18"/>
        </w:rPr>
        <w:t>Source: Galie et al 2015</w:t>
      </w:r>
      <w:r w:rsidRPr="00885751">
        <w:rPr>
          <w:rStyle w:val="EndnoteReference"/>
          <w:rFonts w:ascii="Arial" w:hAnsi="Arial" w:cs="Arial"/>
          <w:sz w:val="18"/>
          <w:szCs w:val="18"/>
        </w:rPr>
        <w:endnoteReference w:id="5"/>
      </w:r>
    </w:p>
    <w:p w14:paraId="78C9BCA1" w14:textId="77777777" w:rsidR="005F4FF9" w:rsidRPr="009F466A" w:rsidRDefault="00BC4C2E" w:rsidP="00C21496">
      <w:pPr>
        <w:pStyle w:val="Caption"/>
        <w:spacing w:after="240"/>
        <w:jc w:val="left"/>
        <w:rPr>
          <w:rFonts w:cstheme="minorHAnsi"/>
        </w:rPr>
      </w:pPr>
      <w:bookmarkStart w:id="6" w:name="_Toc520298870"/>
      <w:r>
        <w:t>Figure ES.</w:t>
      </w:r>
      <w:r w:rsidR="00CC79E1">
        <w:rPr>
          <w:noProof/>
        </w:rPr>
        <w:t>1</w:t>
      </w:r>
      <w:r>
        <w:tab/>
        <w:t>WHO functional classes for PAH</w:t>
      </w:r>
      <w:bookmarkEnd w:id="6"/>
    </w:p>
    <w:p w14:paraId="6E5665CB" w14:textId="77777777" w:rsidR="00930609" w:rsidRPr="009F466A" w:rsidRDefault="00930609" w:rsidP="00C21496">
      <w:pPr>
        <w:spacing w:before="120"/>
        <w:jc w:val="left"/>
      </w:pPr>
      <w:r w:rsidRPr="009F466A">
        <w:t xml:space="preserve">PAH medicines belong to four therapeutical classes </w:t>
      </w:r>
      <w:r w:rsidR="00A93450">
        <w:t>based on their mode of action:</w:t>
      </w:r>
    </w:p>
    <w:p w14:paraId="038C1FF3" w14:textId="77777777" w:rsidR="00930609" w:rsidRPr="009F466A" w:rsidRDefault="00930609" w:rsidP="001960CE">
      <w:pPr>
        <w:pStyle w:val="ListParagraph"/>
        <w:numPr>
          <w:ilvl w:val="0"/>
          <w:numId w:val="33"/>
        </w:numPr>
        <w:jc w:val="left"/>
      </w:pPr>
      <w:r w:rsidRPr="009F466A">
        <w:t>Endothelin receptor antagonists (ERA) reverse the effect of endothelin, a substance in the walls of blood vessels that causes them to narrow.</w:t>
      </w:r>
    </w:p>
    <w:p w14:paraId="31B262DA" w14:textId="77777777" w:rsidR="008476B6" w:rsidRPr="009F466A" w:rsidRDefault="00A93450" w:rsidP="008476B6">
      <w:pPr>
        <w:pStyle w:val="ListParagraph"/>
        <w:numPr>
          <w:ilvl w:val="0"/>
          <w:numId w:val="33"/>
        </w:numPr>
        <w:jc w:val="left"/>
      </w:pPr>
      <w:r>
        <w:t>Phosphodiesterase type 5 (PDE-</w:t>
      </w:r>
      <w:r w:rsidR="00930609" w:rsidRPr="009F466A">
        <w:t xml:space="preserve">5) inhibitors </w:t>
      </w:r>
      <w:r w:rsidR="008476B6">
        <w:t>and s</w:t>
      </w:r>
      <w:r w:rsidR="008476B6" w:rsidRPr="009F466A">
        <w:t xml:space="preserve">oluble guanylate cyclase (sGC) stimulators </w:t>
      </w:r>
      <w:r w:rsidR="00FA3085">
        <w:t>interfere</w:t>
      </w:r>
      <w:r w:rsidR="008476B6" w:rsidRPr="009F466A">
        <w:t xml:space="preserve"> with </w:t>
      </w:r>
      <w:r w:rsidR="00B30488">
        <w:t xml:space="preserve">the </w:t>
      </w:r>
      <w:r w:rsidR="008476B6" w:rsidRPr="009F466A">
        <w:t xml:space="preserve">nitric oxide </w:t>
      </w:r>
      <w:r w:rsidR="00FA3085">
        <w:t xml:space="preserve">pathway </w:t>
      </w:r>
      <w:r w:rsidR="008476B6">
        <w:t>and help to</w:t>
      </w:r>
      <w:r w:rsidR="008476B6" w:rsidRPr="009F466A">
        <w:t xml:space="preserve"> relax the pulmonary arteries and lower the pressure within the arteries.</w:t>
      </w:r>
      <w:r w:rsidR="00B30488">
        <w:t xml:space="preserve"> PDE-5 inhibitors </w:t>
      </w:r>
      <w:r w:rsidR="00623CD5">
        <w:t xml:space="preserve">also </w:t>
      </w:r>
      <w:r w:rsidR="001C4E7D">
        <w:t xml:space="preserve">inhibit the growth of smooth muscle lining blood vessel walls, a </w:t>
      </w:r>
      <w:r w:rsidR="00623CD5">
        <w:t xml:space="preserve">contributing </w:t>
      </w:r>
      <w:r w:rsidR="001C4E7D">
        <w:t>factor in the development of PAH.</w:t>
      </w:r>
    </w:p>
    <w:p w14:paraId="23871A2B" w14:textId="77777777" w:rsidR="00930609" w:rsidRDefault="00930609" w:rsidP="001960CE">
      <w:pPr>
        <w:pStyle w:val="ListParagraph"/>
        <w:numPr>
          <w:ilvl w:val="0"/>
          <w:numId w:val="33"/>
        </w:numPr>
        <w:jc w:val="left"/>
      </w:pPr>
      <w:r w:rsidRPr="009F466A">
        <w:t>Prostacyclin analogues (</w:t>
      </w:r>
      <w:r w:rsidR="00A93450">
        <w:t xml:space="preserve">or </w:t>
      </w:r>
      <w:r w:rsidRPr="009F466A">
        <w:t>prostanoids) exert its effects by promoting direct arterial vasodilation and i</w:t>
      </w:r>
      <w:r w:rsidR="005F2F5B">
        <w:t>nhibiting platelet aggregation.</w:t>
      </w:r>
    </w:p>
    <w:p w14:paraId="1103965A" w14:textId="77777777" w:rsidR="008476B6" w:rsidRPr="009F466A" w:rsidRDefault="008476B6" w:rsidP="001960CE">
      <w:pPr>
        <w:pStyle w:val="ListParagraph"/>
        <w:numPr>
          <w:ilvl w:val="0"/>
          <w:numId w:val="33"/>
        </w:numPr>
        <w:jc w:val="left"/>
      </w:pPr>
      <w:r>
        <w:lastRenderedPageBreak/>
        <w:t>Calcium channel blockers (CCBs)</w:t>
      </w:r>
      <w:r w:rsidR="00CE4D79">
        <w:t xml:space="preserve"> </w:t>
      </w:r>
      <w:r w:rsidR="00CB6CB6">
        <w:t>are vasodilators which are</w:t>
      </w:r>
      <w:r w:rsidR="00CE4D79">
        <w:t xml:space="preserve"> effective in a small number of patients </w:t>
      </w:r>
      <w:r w:rsidR="00420737">
        <w:t>with idiopathic PAH (IPAH), heritable PAH (HPAH) and drug-induced PAH who demonstrate a response to acute vasodilator testing</w:t>
      </w:r>
      <w:r w:rsidR="00EA5108">
        <w:t xml:space="preserve"> during right heart catheterisation</w:t>
      </w:r>
      <w:r w:rsidR="00420737">
        <w:t>.</w:t>
      </w:r>
    </w:p>
    <w:p w14:paraId="51ABAD0C" w14:textId="77777777" w:rsidR="00930609" w:rsidRPr="009F466A" w:rsidRDefault="00930609" w:rsidP="00C21496">
      <w:pPr>
        <w:jc w:val="left"/>
      </w:pPr>
      <w:r w:rsidRPr="009F466A">
        <w:t>A</w:t>
      </w:r>
      <w:r w:rsidR="00CE72BD" w:rsidRPr="009F466A">
        <w:t xml:space="preserve"> total of eight medicines are listed on the Pharmaceutical Benefits Scheme (PBS) for </w:t>
      </w:r>
      <w:r w:rsidRPr="009F466A">
        <w:t xml:space="preserve">the </w:t>
      </w:r>
      <w:r w:rsidR="00CE72BD" w:rsidRPr="009F466A">
        <w:t>treatment of PAH</w:t>
      </w:r>
      <w:r w:rsidR="009F466A">
        <w:t xml:space="preserve"> as detailed in </w:t>
      </w:r>
      <w:r w:rsidR="00CC79E1">
        <w:t>Table ES.</w:t>
      </w:r>
      <w:r w:rsidR="00CC79E1">
        <w:rPr>
          <w:noProof/>
        </w:rPr>
        <w:t>1</w:t>
      </w:r>
      <w:r w:rsidR="00AA01C1">
        <w:t xml:space="preserve"> </w:t>
      </w:r>
      <w:r w:rsidR="009F466A">
        <w:t>below</w:t>
      </w:r>
      <w:r w:rsidR="00CE72BD" w:rsidRPr="009F466A">
        <w:t>.</w:t>
      </w:r>
    </w:p>
    <w:p w14:paraId="421A8199" w14:textId="77777777" w:rsidR="00BC4C2E" w:rsidRDefault="00BC4C2E" w:rsidP="00C21496">
      <w:pPr>
        <w:pStyle w:val="Caption"/>
        <w:jc w:val="left"/>
      </w:pPr>
      <w:bookmarkStart w:id="7" w:name="_Ref511118403"/>
      <w:bookmarkStart w:id="8" w:name="_Toc38372121"/>
      <w:r>
        <w:t>Table ES.</w:t>
      </w:r>
      <w:r w:rsidR="00CC79E1">
        <w:rPr>
          <w:noProof/>
        </w:rPr>
        <w:t>1</w:t>
      </w:r>
      <w:bookmarkEnd w:id="7"/>
      <w:r w:rsidRPr="00BC4C2E">
        <w:t xml:space="preserve"> </w:t>
      </w:r>
      <w:r w:rsidRPr="00BC4C2E">
        <w:tab/>
        <w:t>PBS listed medicines to treat PAH</w:t>
      </w:r>
      <w:bookmarkEnd w:id="8"/>
    </w:p>
    <w:tbl>
      <w:tblPr>
        <w:tblStyle w:val="TableGrid"/>
        <w:tblW w:w="8222" w:type="dxa"/>
        <w:tblInd w:w="108" w:type="dxa"/>
        <w:tblLook w:val="04A0" w:firstRow="1" w:lastRow="0" w:firstColumn="1" w:lastColumn="0" w:noHBand="0" w:noVBand="1"/>
        <w:tblCaption w:val="Table ES.1"/>
        <w:tblDescription w:val="PBS listed medicines to treat PAH"/>
      </w:tblPr>
      <w:tblGrid>
        <w:gridCol w:w="2835"/>
        <w:gridCol w:w="5387"/>
      </w:tblGrid>
      <w:tr w:rsidR="00E21F4D" w:rsidRPr="009F466A" w14:paraId="78A49615" w14:textId="77777777" w:rsidTr="00FF6202">
        <w:trPr>
          <w:tblHeader/>
        </w:trPr>
        <w:tc>
          <w:tcPr>
            <w:tcW w:w="2835" w:type="dxa"/>
            <w:tcBorders>
              <w:bottom w:val="single" w:sz="4" w:space="0" w:color="auto"/>
            </w:tcBorders>
            <w:shd w:val="clear" w:color="auto" w:fill="BFBFBF" w:themeFill="background1" w:themeFillShade="BF"/>
          </w:tcPr>
          <w:p w14:paraId="0DEA9510" w14:textId="77777777" w:rsidR="00E21F4D" w:rsidRPr="00A94DF2" w:rsidRDefault="00E21F4D" w:rsidP="001658D7">
            <w:pPr>
              <w:pStyle w:val="05Tabletext"/>
              <w:ind w:left="176"/>
              <w:rPr>
                <w:rFonts w:ascii="Arial" w:hAnsi="Arial" w:cs="Arial"/>
                <w:b/>
                <w:sz w:val="20"/>
                <w:szCs w:val="20"/>
              </w:rPr>
            </w:pPr>
            <w:r w:rsidRPr="00A94DF2">
              <w:rPr>
                <w:rFonts w:ascii="Arial" w:hAnsi="Arial" w:cs="Arial"/>
                <w:b/>
                <w:sz w:val="20"/>
                <w:szCs w:val="20"/>
              </w:rPr>
              <w:t>Medicine Class</w:t>
            </w:r>
          </w:p>
        </w:tc>
        <w:tc>
          <w:tcPr>
            <w:tcW w:w="5387" w:type="dxa"/>
            <w:tcBorders>
              <w:bottom w:val="single" w:sz="4" w:space="0" w:color="auto"/>
            </w:tcBorders>
            <w:shd w:val="clear" w:color="auto" w:fill="BFBFBF" w:themeFill="background1" w:themeFillShade="BF"/>
          </w:tcPr>
          <w:p w14:paraId="7B654F6A" w14:textId="77777777" w:rsidR="00E21F4D" w:rsidRPr="00A94DF2" w:rsidRDefault="00E21F4D" w:rsidP="001658D7">
            <w:pPr>
              <w:pStyle w:val="05Tabletext"/>
              <w:ind w:left="176"/>
              <w:rPr>
                <w:rFonts w:ascii="Arial" w:hAnsi="Arial" w:cs="Arial"/>
                <w:b/>
                <w:sz w:val="20"/>
                <w:szCs w:val="20"/>
              </w:rPr>
            </w:pPr>
            <w:r w:rsidRPr="00A94DF2">
              <w:rPr>
                <w:rFonts w:ascii="Arial" w:hAnsi="Arial" w:cs="Arial"/>
                <w:b/>
                <w:sz w:val="20"/>
                <w:szCs w:val="20"/>
              </w:rPr>
              <w:t>PBS listed medicines (as of 1 January 2018)</w:t>
            </w:r>
          </w:p>
        </w:tc>
      </w:tr>
      <w:tr w:rsidR="00E21F4D" w:rsidRPr="009F466A" w14:paraId="43DCC90A" w14:textId="77777777" w:rsidTr="00D228A6">
        <w:tc>
          <w:tcPr>
            <w:tcW w:w="2835" w:type="dxa"/>
            <w:shd w:val="clear" w:color="auto" w:fill="FFFFFF" w:themeFill="background1"/>
          </w:tcPr>
          <w:p w14:paraId="5D1E9824"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ERA</w:t>
            </w:r>
            <w:r w:rsidR="008119F3">
              <w:rPr>
                <w:rFonts w:ascii="Arial" w:hAnsi="Arial" w:cs="Arial"/>
              </w:rPr>
              <w:t>s</w:t>
            </w:r>
          </w:p>
        </w:tc>
        <w:tc>
          <w:tcPr>
            <w:tcW w:w="5387" w:type="dxa"/>
            <w:shd w:val="clear" w:color="auto" w:fill="FFFFFF" w:themeFill="background1"/>
          </w:tcPr>
          <w:p w14:paraId="79BF884C"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bosentan, ambrisentan, macitentan</w:t>
            </w:r>
          </w:p>
        </w:tc>
      </w:tr>
      <w:tr w:rsidR="00E21F4D" w:rsidRPr="009F466A" w14:paraId="47ACF2F1" w14:textId="77777777" w:rsidTr="00D228A6">
        <w:tc>
          <w:tcPr>
            <w:tcW w:w="2835" w:type="dxa"/>
            <w:shd w:val="clear" w:color="auto" w:fill="FFFFFF" w:themeFill="background1"/>
          </w:tcPr>
          <w:p w14:paraId="0819612C"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PDE-5 inhibitors</w:t>
            </w:r>
          </w:p>
        </w:tc>
        <w:tc>
          <w:tcPr>
            <w:tcW w:w="5387" w:type="dxa"/>
            <w:shd w:val="clear" w:color="auto" w:fill="FFFFFF" w:themeFill="background1"/>
          </w:tcPr>
          <w:p w14:paraId="50B194F9"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sildenafil, tadal</w:t>
            </w:r>
            <w:r w:rsidR="001D3EDF" w:rsidRPr="00A94DF2">
              <w:rPr>
                <w:rFonts w:ascii="Arial" w:hAnsi="Arial" w:cs="Arial"/>
              </w:rPr>
              <w:t>a</w:t>
            </w:r>
            <w:r w:rsidRPr="00A94DF2">
              <w:rPr>
                <w:rFonts w:ascii="Arial" w:hAnsi="Arial" w:cs="Arial"/>
              </w:rPr>
              <w:t>fil</w:t>
            </w:r>
          </w:p>
        </w:tc>
      </w:tr>
      <w:tr w:rsidR="00E21F4D" w:rsidRPr="009F466A" w14:paraId="1BD8AFA9" w14:textId="77777777" w:rsidTr="00D228A6">
        <w:tc>
          <w:tcPr>
            <w:tcW w:w="2835" w:type="dxa"/>
            <w:shd w:val="clear" w:color="auto" w:fill="FFFFFF" w:themeFill="background1"/>
          </w:tcPr>
          <w:p w14:paraId="50F0E343" w14:textId="77777777" w:rsidR="00E21F4D" w:rsidRPr="00A94DF2" w:rsidRDefault="00632BE7" w:rsidP="001658D7">
            <w:pPr>
              <w:spacing w:before="20" w:afterLines="20" w:after="48"/>
              <w:ind w:left="176"/>
              <w:jc w:val="left"/>
              <w:rPr>
                <w:rFonts w:ascii="Arial" w:hAnsi="Arial" w:cs="Arial"/>
              </w:rPr>
            </w:pPr>
            <w:r>
              <w:rPr>
                <w:rFonts w:ascii="Arial" w:hAnsi="Arial" w:cs="Arial"/>
              </w:rPr>
              <w:t>p</w:t>
            </w:r>
            <w:r w:rsidR="00A33DE8">
              <w:rPr>
                <w:rFonts w:ascii="Arial" w:hAnsi="Arial" w:cs="Arial"/>
              </w:rPr>
              <w:t>rostanoids</w:t>
            </w:r>
          </w:p>
        </w:tc>
        <w:tc>
          <w:tcPr>
            <w:tcW w:w="5387" w:type="dxa"/>
            <w:shd w:val="clear" w:color="auto" w:fill="FFFFFF" w:themeFill="background1"/>
          </w:tcPr>
          <w:p w14:paraId="444B67C4"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epoprostenol, ilopros</w:t>
            </w:r>
            <w:r w:rsidR="001D3EDF" w:rsidRPr="00A94DF2">
              <w:rPr>
                <w:rFonts w:ascii="Arial" w:hAnsi="Arial" w:cs="Arial"/>
              </w:rPr>
              <w:t>t</w:t>
            </w:r>
          </w:p>
        </w:tc>
      </w:tr>
      <w:tr w:rsidR="00E21F4D" w:rsidRPr="009F466A" w14:paraId="59D6973E" w14:textId="77777777" w:rsidTr="00D228A6">
        <w:tc>
          <w:tcPr>
            <w:tcW w:w="2835" w:type="dxa"/>
            <w:shd w:val="clear" w:color="auto" w:fill="FFFFFF" w:themeFill="background1"/>
          </w:tcPr>
          <w:p w14:paraId="62D7979F"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sGC stimulator</w:t>
            </w:r>
          </w:p>
        </w:tc>
        <w:tc>
          <w:tcPr>
            <w:tcW w:w="5387" w:type="dxa"/>
            <w:shd w:val="clear" w:color="auto" w:fill="FFFFFF" w:themeFill="background1"/>
          </w:tcPr>
          <w:p w14:paraId="03E09591" w14:textId="77777777" w:rsidR="00E21F4D" w:rsidRPr="00A94DF2" w:rsidRDefault="00E21F4D" w:rsidP="001658D7">
            <w:pPr>
              <w:spacing w:before="20" w:afterLines="20" w:after="48"/>
              <w:ind w:left="176"/>
              <w:jc w:val="left"/>
              <w:rPr>
                <w:rFonts w:ascii="Arial" w:hAnsi="Arial" w:cs="Arial"/>
              </w:rPr>
            </w:pPr>
            <w:r w:rsidRPr="00A94DF2">
              <w:rPr>
                <w:rFonts w:ascii="Arial" w:hAnsi="Arial" w:cs="Arial"/>
              </w:rPr>
              <w:t xml:space="preserve">riociguat </w:t>
            </w:r>
          </w:p>
        </w:tc>
      </w:tr>
    </w:tbl>
    <w:p w14:paraId="18750EE0" w14:textId="77777777" w:rsidR="00632BE7" w:rsidRPr="00406F77" w:rsidRDefault="00632BE7" w:rsidP="00406F77">
      <w:pPr>
        <w:jc w:val="left"/>
        <w:rPr>
          <w:rFonts w:ascii="Arial Narrow" w:hAnsi="Arial Narrow"/>
          <w:sz w:val="20"/>
          <w:szCs w:val="20"/>
        </w:rPr>
      </w:pPr>
      <w:r>
        <w:rPr>
          <w:rFonts w:ascii="Arial Narrow" w:hAnsi="Arial Narrow"/>
          <w:sz w:val="20"/>
          <w:szCs w:val="20"/>
        </w:rPr>
        <w:t xml:space="preserve">ERA=endothelin receptor antagonist, PDE-5=phosphodiesterase </w:t>
      </w:r>
      <w:r w:rsidR="007E0E6B">
        <w:rPr>
          <w:rFonts w:ascii="Arial Narrow" w:hAnsi="Arial Narrow"/>
          <w:sz w:val="20"/>
          <w:szCs w:val="20"/>
        </w:rPr>
        <w:t xml:space="preserve">type </w:t>
      </w:r>
      <w:r>
        <w:rPr>
          <w:rFonts w:ascii="Arial Narrow" w:hAnsi="Arial Narrow"/>
          <w:sz w:val="20"/>
          <w:szCs w:val="20"/>
        </w:rPr>
        <w:t xml:space="preserve">5, sGC=soluble </w:t>
      </w:r>
      <w:r w:rsidRPr="00632BE7">
        <w:rPr>
          <w:rFonts w:ascii="Arial Narrow" w:hAnsi="Arial Narrow"/>
          <w:sz w:val="20"/>
          <w:szCs w:val="20"/>
        </w:rPr>
        <w:t>guanylate cyclase</w:t>
      </w:r>
      <w:r>
        <w:rPr>
          <w:rFonts w:ascii="Arial Narrow" w:hAnsi="Arial Narrow"/>
          <w:sz w:val="20"/>
          <w:szCs w:val="20"/>
        </w:rPr>
        <w:t xml:space="preserve">: </w:t>
      </w:r>
    </w:p>
    <w:p w14:paraId="5DC869AF" w14:textId="77777777" w:rsidR="00930609" w:rsidRPr="009F466A" w:rsidRDefault="0037566F" w:rsidP="00C21496">
      <w:pPr>
        <w:spacing w:before="240"/>
        <w:jc w:val="left"/>
      </w:pPr>
      <w:r w:rsidRPr="009F466A">
        <w:t>The first medicine listed on the PBS for P</w:t>
      </w:r>
      <w:r w:rsidR="00930609" w:rsidRPr="009F466A">
        <w:t>AH was bosentan in March 2004. Iloprost, epoprostenol, sildenafil, ambrisentan and tadalafil were listed in the following five years</w:t>
      </w:r>
      <w:r w:rsidR="00EA5108">
        <w:t>. M</w:t>
      </w:r>
      <w:r w:rsidR="00930609" w:rsidRPr="009F466A">
        <w:t xml:space="preserve">acitentan and riociguat were listed </w:t>
      </w:r>
      <w:r w:rsidR="006B7E87">
        <w:t>in 2014 and 2017, respectively.</w:t>
      </w:r>
      <w:r w:rsidR="00930609" w:rsidRPr="009F466A">
        <w:t xml:space="preserve"> </w:t>
      </w:r>
      <w:r w:rsidR="00EA5108">
        <w:t xml:space="preserve">Access to PBS listed </w:t>
      </w:r>
      <w:r w:rsidR="00930609" w:rsidRPr="009F466A">
        <w:t xml:space="preserve">PAH medicines are </w:t>
      </w:r>
      <w:r w:rsidR="00EA5108">
        <w:t>restricted for sole subsidised use according</w:t>
      </w:r>
      <w:r w:rsidR="00F36FF4">
        <w:t xml:space="preserve"> </w:t>
      </w:r>
      <w:r w:rsidR="00EA5108">
        <w:t>to</w:t>
      </w:r>
      <w:r w:rsidR="00930609" w:rsidRPr="009F466A">
        <w:t xml:space="preserve"> WHO FC and type of PAH.</w:t>
      </w:r>
    </w:p>
    <w:p w14:paraId="6C8B5542" w14:textId="77777777" w:rsidR="005170E1" w:rsidRPr="00AE740F" w:rsidRDefault="005170E1" w:rsidP="00250C50">
      <w:pPr>
        <w:spacing w:after="120"/>
        <w:jc w:val="left"/>
      </w:pPr>
      <w:r w:rsidRPr="00406F77">
        <w:rPr>
          <w:rStyle w:val="ExSFigureHeaderChar"/>
          <w:rFonts w:asciiTheme="minorHAnsi" w:eastAsiaTheme="minorHAnsi" w:hAnsiTheme="minorHAnsi" w:cstheme="minorBidi"/>
          <w:b w:val="0"/>
          <w:szCs w:val="22"/>
          <w:lang w:eastAsia="en-AU"/>
        </w:rPr>
        <w:t>In March 2016 and</w:t>
      </w:r>
      <w:r w:rsidR="00D74FB7" w:rsidRPr="00406F77">
        <w:rPr>
          <w:rStyle w:val="ExSFigureHeaderChar"/>
          <w:rFonts w:asciiTheme="minorHAnsi" w:eastAsiaTheme="minorHAnsi" w:hAnsiTheme="minorHAnsi" w:cstheme="minorBidi"/>
          <w:b w:val="0"/>
          <w:szCs w:val="22"/>
          <w:lang w:eastAsia="en-AU"/>
        </w:rPr>
        <w:t xml:space="preserve"> also in</w:t>
      </w:r>
      <w:r w:rsidRPr="00406F77">
        <w:rPr>
          <w:rStyle w:val="ExSFigureHeaderChar"/>
          <w:rFonts w:asciiTheme="minorHAnsi" w:eastAsiaTheme="minorHAnsi" w:hAnsiTheme="minorHAnsi" w:cstheme="minorBidi"/>
          <w:b w:val="0"/>
          <w:szCs w:val="22"/>
          <w:lang w:eastAsia="en-AU"/>
        </w:rPr>
        <w:t xml:space="preserve"> March </w:t>
      </w:r>
      <w:r w:rsidR="00AE740F" w:rsidRPr="00406F77">
        <w:rPr>
          <w:rStyle w:val="ExSFigureHeaderChar"/>
          <w:rFonts w:asciiTheme="minorHAnsi" w:eastAsiaTheme="minorHAnsi" w:hAnsiTheme="minorHAnsi" w:cstheme="minorBidi"/>
          <w:b w:val="0"/>
          <w:szCs w:val="22"/>
          <w:lang w:eastAsia="en-AU"/>
        </w:rPr>
        <w:t>20</w:t>
      </w:r>
      <w:r w:rsidRPr="00406F77">
        <w:rPr>
          <w:rStyle w:val="ExSFigureHeaderChar"/>
          <w:rFonts w:asciiTheme="minorHAnsi" w:eastAsiaTheme="minorHAnsi" w:hAnsiTheme="minorHAnsi" w:cstheme="minorBidi"/>
          <w:b w:val="0"/>
          <w:szCs w:val="22"/>
          <w:lang w:eastAsia="en-AU"/>
        </w:rPr>
        <w:t xml:space="preserve">17 the PBAC considered </w:t>
      </w:r>
      <w:r w:rsidR="00D74FB7" w:rsidRPr="00406F77">
        <w:rPr>
          <w:rStyle w:val="ExSFigureHeaderChar"/>
          <w:rFonts w:asciiTheme="minorHAnsi" w:eastAsiaTheme="minorHAnsi" w:hAnsiTheme="minorHAnsi" w:cstheme="minorBidi"/>
          <w:b w:val="0"/>
          <w:szCs w:val="22"/>
          <w:lang w:eastAsia="en-AU"/>
        </w:rPr>
        <w:t xml:space="preserve">a </w:t>
      </w:r>
      <w:r w:rsidRPr="00406F77">
        <w:rPr>
          <w:rStyle w:val="ExSFigureHeaderChar"/>
          <w:rFonts w:asciiTheme="minorHAnsi" w:eastAsiaTheme="minorHAnsi" w:hAnsiTheme="minorHAnsi" w:cstheme="minorBidi"/>
          <w:b w:val="0"/>
          <w:szCs w:val="22"/>
          <w:lang w:eastAsia="en-AU"/>
        </w:rPr>
        <w:t>submission for the PBS listing of selexipag</w:t>
      </w:r>
      <w:r w:rsidR="00D74FB7" w:rsidRPr="00406F77">
        <w:rPr>
          <w:rStyle w:val="ExSFigureHeaderChar"/>
          <w:rFonts w:asciiTheme="minorHAnsi" w:eastAsiaTheme="minorHAnsi" w:hAnsiTheme="minorHAnsi" w:cstheme="minorBidi"/>
          <w:b w:val="0"/>
          <w:szCs w:val="22"/>
          <w:lang w:eastAsia="en-AU"/>
        </w:rPr>
        <w:t xml:space="preserve">. The PBAC did not recommend the listing of selexipag both times. In reaching this conclusion, the PBAC considered that the incremental cost-effectiveness ratios (ICER) presented in the submission were difficult to interpret, </w:t>
      </w:r>
      <w:r w:rsidR="00D74FB7" w:rsidRPr="00406F77">
        <w:rPr>
          <w:bCs/>
          <w:lang w:val="en-GB"/>
        </w:rPr>
        <w:t>and were highly likely to be too high to support the cost-effectiveness of selexipag in</w:t>
      </w:r>
      <w:r w:rsidR="00EA5108" w:rsidRPr="00406F77">
        <w:rPr>
          <w:bCs/>
          <w:lang w:val="en-GB"/>
        </w:rPr>
        <w:t xml:space="preserve"> </w:t>
      </w:r>
      <w:r w:rsidR="00D74FB7" w:rsidRPr="00406F77">
        <w:rPr>
          <w:bCs/>
          <w:lang w:val="en-GB"/>
        </w:rPr>
        <w:t xml:space="preserve">the </w:t>
      </w:r>
      <w:r w:rsidR="001C4E7D" w:rsidRPr="00406F77">
        <w:rPr>
          <w:bCs/>
          <w:lang w:val="en-GB"/>
        </w:rPr>
        <w:t xml:space="preserve">(March 2017) </w:t>
      </w:r>
      <w:r w:rsidR="00D74FB7" w:rsidRPr="00406F77">
        <w:rPr>
          <w:bCs/>
          <w:lang w:val="en-GB"/>
        </w:rPr>
        <w:t xml:space="preserve">requested listing </w:t>
      </w:r>
      <w:r w:rsidR="00926429" w:rsidRPr="00406F77">
        <w:rPr>
          <w:bCs/>
          <w:lang w:val="en-GB"/>
        </w:rPr>
        <w:t>for</w:t>
      </w:r>
      <w:r w:rsidR="00F36FF4" w:rsidRPr="00406F77">
        <w:rPr>
          <w:bCs/>
          <w:lang w:val="en-GB"/>
        </w:rPr>
        <w:t xml:space="preserve"> triple therapy (or dual therapy, in some situations)</w:t>
      </w:r>
      <w:r w:rsidR="00D74FB7" w:rsidRPr="00406F77">
        <w:rPr>
          <w:rStyle w:val="ExSFigureHeaderChar"/>
          <w:rFonts w:asciiTheme="minorHAnsi" w:eastAsiaTheme="minorHAnsi" w:hAnsiTheme="minorHAnsi" w:cstheme="minorBidi"/>
          <w:b w:val="0"/>
          <w:szCs w:val="22"/>
          <w:lang w:eastAsia="en-AU"/>
        </w:rPr>
        <w:t xml:space="preserve">. </w:t>
      </w:r>
      <w:r w:rsidRPr="00406F77">
        <w:t>Selexipag acts on the same pathway as the prostanoids but is a non-prostanoid prostacyclin receptor agonist.</w:t>
      </w:r>
    </w:p>
    <w:p w14:paraId="3852BA64" w14:textId="77777777" w:rsidR="00AE7AD5" w:rsidRPr="009F466A" w:rsidRDefault="0037566F" w:rsidP="00C21496">
      <w:pPr>
        <w:spacing w:before="240"/>
        <w:jc w:val="left"/>
      </w:pPr>
      <w:r w:rsidRPr="009F466A">
        <w:t xml:space="preserve">Refer to </w:t>
      </w:r>
      <w:r w:rsidR="00CC79E1">
        <w:t>Figure ES.</w:t>
      </w:r>
      <w:r w:rsidR="00CC79E1">
        <w:rPr>
          <w:noProof/>
        </w:rPr>
        <w:t>2</w:t>
      </w:r>
      <w:r w:rsidR="00AE4F76">
        <w:t xml:space="preserve"> </w:t>
      </w:r>
      <w:r w:rsidRPr="009F466A">
        <w:t>for the details of the PBS listing of PAH medicines.</w:t>
      </w:r>
      <w:bookmarkStart w:id="9" w:name="_Toc486853575"/>
    </w:p>
    <w:p w14:paraId="58C55A14" w14:textId="77777777" w:rsidR="008C0BAD" w:rsidRDefault="008C0BAD" w:rsidP="00C21496">
      <w:pPr>
        <w:spacing w:before="240"/>
        <w:jc w:val="left"/>
        <w:rPr>
          <w:rStyle w:val="ExSFigureHeaderChar"/>
          <w:rFonts w:asciiTheme="minorHAnsi" w:eastAsiaTheme="minorHAnsi" w:hAnsiTheme="minorHAnsi" w:cstheme="minorBidi"/>
          <w:b w:val="0"/>
          <w:szCs w:val="22"/>
          <w:lang w:eastAsia="en-AU"/>
        </w:rPr>
      </w:pPr>
    </w:p>
    <w:p w14:paraId="261DA39C" w14:textId="77777777" w:rsidR="008C0BAD" w:rsidRPr="009F466A" w:rsidRDefault="008C0BAD" w:rsidP="00C21496">
      <w:pPr>
        <w:spacing w:before="240"/>
        <w:jc w:val="left"/>
        <w:rPr>
          <w:rStyle w:val="ExSFigureHeaderChar"/>
          <w:rFonts w:asciiTheme="minorHAnsi" w:eastAsiaTheme="minorHAnsi" w:hAnsiTheme="minorHAnsi" w:cstheme="minorBidi"/>
          <w:b w:val="0"/>
          <w:szCs w:val="22"/>
          <w:lang w:eastAsia="en-AU"/>
        </w:rPr>
        <w:sectPr w:rsidR="008C0BAD" w:rsidRPr="009F466A" w:rsidSect="001E41E4">
          <w:endnotePr>
            <w:numFmt w:val="decimal"/>
          </w:endnotePr>
          <w:pgSz w:w="11906" w:h="16838"/>
          <w:pgMar w:top="1134" w:right="1134" w:bottom="1134" w:left="1134" w:header="709" w:footer="709" w:gutter="0"/>
          <w:cols w:space="708"/>
          <w:docGrid w:linePitch="360"/>
        </w:sectPr>
      </w:pPr>
    </w:p>
    <w:bookmarkEnd w:id="9"/>
    <w:p w14:paraId="5A1A5231" w14:textId="77777777" w:rsidR="00F04539" w:rsidRPr="009F466A" w:rsidRDefault="00CD7AC7" w:rsidP="009220A4">
      <w:pPr>
        <w:jc w:val="center"/>
        <w:rPr>
          <w:noProof/>
        </w:rPr>
      </w:pPr>
      <w:r>
        <w:rPr>
          <w:noProof/>
        </w:rPr>
        <w:lastRenderedPageBreak/>
        <w:drawing>
          <wp:inline distT="0" distB="0" distL="0" distR="0" wp14:anchorId="112F0F9E" wp14:editId="5576D00D">
            <wp:extent cx="8537000" cy="5557962"/>
            <wp:effectExtent l="0" t="0" r="0" b="5080"/>
            <wp:docPr id="1" name="Picture 1" descr="Timeline of PBAC consideration of PAH medicines and date of PBS listing" title="Timeline of PBAC consideration of PAH medicines and date of PBS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549731" cy="5566250"/>
                    </a:xfrm>
                    <a:prstGeom prst="rect">
                      <a:avLst/>
                    </a:prstGeom>
                  </pic:spPr>
                </pic:pic>
              </a:graphicData>
            </a:graphic>
          </wp:inline>
        </w:drawing>
      </w:r>
    </w:p>
    <w:p w14:paraId="3ECFF652" w14:textId="77777777" w:rsidR="00F04539" w:rsidRPr="00BC4C2E" w:rsidRDefault="00197BFC" w:rsidP="0027270C">
      <w:pPr>
        <w:pStyle w:val="Caption"/>
        <w:tabs>
          <w:tab w:val="left" w:pos="993"/>
        </w:tabs>
        <w:jc w:val="left"/>
        <w:rPr>
          <w:b w:val="0"/>
          <w:noProof/>
        </w:rPr>
      </w:pPr>
      <w:bookmarkStart w:id="10" w:name="_Ref511118956"/>
      <w:r>
        <w:tab/>
      </w:r>
      <w:bookmarkStart w:id="11" w:name="_Toc520298871"/>
      <w:r w:rsidR="004A1130">
        <w:t>Figure ES.</w:t>
      </w:r>
      <w:r w:rsidR="00CC79E1">
        <w:rPr>
          <w:noProof/>
        </w:rPr>
        <w:t>2</w:t>
      </w:r>
      <w:bookmarkEnd w:id="10"/>
      <w:r w:rsidR="00E30026" w:rsidRPr="009F466A">
        <w:rPr>
          <w:rStyle w:val="ExSFigureHeaderChar"/>
          <w:rFonts w:asciiTheme="minorHAnsi" w:hAnsiTheme="minorHAnsi"/>
        </w:rPr>
        <w:tab/>
      </w:r>
      <w:r w:rsidR="00E30026" w:rsidRPr="00E30026">
        <w:rPr>
          <w:rStyle w:val="ExSFigureHeaderChar"/>
          <w:rFonts w:asciiTheme="minorHAnsi" w:hAnsiTheme="minorHAnsi"/>
          <w:b/>
        </w:rPr>
        <w:t>Timeline of PBAC consideration of PAH medicines and date of PBS listing</w:t>
      </w:r>
      <w:bookmarkEnd w:id="11"/>
    </w:p>
    <w:p w14:paraId="4B297D6F" w14:textId="77777777" w:rsidR="00F04539" w:rsidRPr="009F466A" w:rsidRDefault="00F04539" w:rsidP="00C21496">
      <w:pPr>
        <w:keepNext/>
        <w:jc w:val="left"/>
        <w:rPr>
          <w:noProof/>
        </w:rPr>
        <w:sectPr w:rsidR="00F04539" w:rsidRPr="009F466A" w:rsidSect="00197BFC">
          <w:pgSz w:w="16838" w:h="11906" w:orient="landscape"/>
          <w:pgMar w:top="720" w:right="720" w:bottom="720" w:left="720" w:header="709" w:footer="709" w:gutter="0"/>
          <w:cols w:space="708"/>
          <w:titlePg/>
          <w:docGrid w:linePitch="360"/>
        </w:sectPr>
      </w:pPr>
    </w:p>
    <w:p w14:paraId="11BDD668" w14:textId="77777777" w:rsidR="000D735B" w:rsidRPr="000D735B" w:rsidRDefault="000D735B" w:rsidP="00C21496">
      <w:pPr>
        <w:pStyle w:val="BodyTextnospacebefore"/>
        <w:jc w:val="left"/>
      </w:pPr>
      <w:r w:rsidRPr="000D735B">
        <w:lastRenderedPageBreak/>
        <w:t xml:space="preserve">In 2013, the Pulmonary Hypertension Society of Australia and New Zealand (PHSANZ) requested changes to the then current PBS restrictions for PAH medicines. At its November 2013 meeting, the PBAC considered that “such changes would all require consultation from sponsors and most would require evidence-based submissions regarding maintenance of acceptable cost-effectiveness”. </w:t>
      </w:r>
      <w:r w:rsidR="00632DCB">
        <w:t xml:space="preserve">The </w:t>
      </w:r>
      <w:r w:rsidRPr="000D735B">
        <w:t>PBAC also noted that requests to make PAH medicines available for patients with WHO FC II disease or for use as part of combination therapy would require a submission to be made to the PBAC, with evidence demonstrating the comparative clinical effectiveness and safety and cost-effectiveness of therapy in such circumstances.</w:t>
      </w:r>
    </w:p>
    <w:p w14:paraId="3AD70768" w14:textId="77777777" w:rsidR="00A307BF" w:rsidRPr="009F466A" w:rsidRDefault="002B0137" w:rsidP="00C21496">
      <w:pPr>
        <w:pStyle w:val="BodyText"/>
        <w:shd w:val="clear" w:color="auto" w:fill="FFFFFF" w:themeFill="background1"/>
        <w:jc w:val="left"/>
      </w:pPr>
      <w:r w:rsidRPr="00775885">
        <w:t>In July 2015, the PBAC considered</w:t>
      </w:r>
      <w:r w:rsidR="00A307BF" w:rsidRPr="00775885">
        <w:t xml:space="preserve"> a submission from </w:t>
      </w:r>
      <w:r w:rsidR="0025194B" w:rsidRPr="00775885">
        <w:t>the</w:t>
      </w:r>
      <w:r w:rsidR="00A307BF" w:rsidRPr="00775885">
        <w:t xml:space="preserve"> sponsor which identified concerns that the PBS restrictions for PAH medicines are not consistent with currently treatment guidelines and best practice</w:t>
      </w:r>
      <w:r w:rsidRPr="00775885">
        <w:t>. T</w:t>
      </w:r>
      <w:r w:rsidR="00A307BF" w:rsidRPr="00775885">
        <w:t>he PBAC recommended</w:t>
      </w:r>
      <w:r w:rsidRPr="00775885">
        <w:t xml:space="preserve"> to the Minister for Health that</w:t>
      </w:r>
      <w:r w:rsidR="00A307BF" w:rsidRPr="00775885">
        <w:t xml:space="preserve"> a post-</w:t>
      </w:r>
      <w:r w:rsidR="00A307BF" w:rsidRPr="009F466A">
        <w:t xml:space="preserve">market review </w:t>
      </w:r>
      <w:r w:rsidRPr="009F466A">
        <w:t>(Review) be undertaken on</w:t>
      </w:r>
      <w:r w:rsidR="00A307BF" w:rsidRPr="009F466A">
        <w:t xml:space="preserve"> the efficacy and cost</w:t>
      </w:r>
      <w:r w:rsidR="00A307BF" w:rsidRPr="009F466A">
        <w:rPr>
          <w:rFonts w:ascii="MS Gothic" w:eastAsia="MS Gothic" w:hAnsi="MS Gothic" w:cs="MS Gothic" w:hint="eastAsia"/>
        </w:rPr>
        <w:t>‑</w:t>
      </w:r>
      <w:r w:rsidR="00A307BF" w:rsidRPr="009F466A">
        <w:t>effectiveness of PAH medicines</w:t>
      </w:r>
      <w:r w:rsidRPr="009F466A">
        <w:t>, including the existing listing for class III and class IV patients, and the additional clinical place of these therapies as recommended in international guidelines.</w:t>
      </w:r>
    </w:p>
    <w:p w14:paraId="66440063" w14:textId="77777777" w:rsidR="00A307BF" w:rsidRPr="009F466A" w:rsidRDefault="002B0137" w:rsidP="00C21496">
      <w:pPr>
        <w:pStyle w:val="BodyText"/>
        <w:jc w:val="left"/>
      </w:pPr>
      <w:r w:rsidRPr="009F466A">
        <w:t xml:space="preserve">The Review has the overall aim of </w:t>
      </w:r>
      <w:r w:rsidR="00200248" w:rsidRPr="009F466A">
        <w:t>review</w:t>
      </w:r>
      <w:r w:rsidRPr="009F466A">
        <w:t>ing</w:t>
      </w:r>
      <w:r w:rsidR="00200248" w:rsidRPr="009F466A">
        <w:t xml:space="preserve"> the safety, efficacy and cost-effectiveness of PBS-listed </w:t>
      </w:r>
      <w:r w:rsidR="006E25F4" w:rsidRPr="009F466A">
        <w:t xml:space="preserve">PAH </w:t>
      </w:r>
      <w:r w:rsidR="00200248" w:rsidRPr="009F466A">
        <w:t xml:space="preserve">medicines in the context of </w:t>
      </w:r>
      <w:r w:rsidR="00A307BF" w:rsidRPr="009F466A">
        <w:t>q</w:t>
      </w:r>
      <w:r w:rsidR="00200248" w:rsidRPr="009F466A">
        <w:t xml:space="preserve">uality </w:t>
      </w:r>
      <w:r w:rsidR="00A307BF" w:rsidRPr="009F466A">
        <w:t>u</w:t>
      </w:r>
      <w:r w:rsidR="00200248" w:rsidRPr="009F466A">
        <w:t xml:space="preserve">se of </w:t>
      </w:r>
      <w:r w:rsidR="00A307BF" w:rsidRPr="009F466A">
        <w:t>m</w:t>
      </w:r>
      <w:r w:rsidR="00200248" w:rsidRPr="009F466A">
        <w:t>edicines and patie</w:t>
      </w:r>
      <w:r w:rsidR="005F2F5B">
        <w:t>nt access to optimal treatment.</w:t>
      </w:r>
    </w:p>
    <w:p w14:paraId="59CFCD79" w14:textId="77777777" w:rsidR="00DA1833" w:rsidRPr="009F466A" w:rsidRDefault="00DA1833" w:rsidP="00C21496">
      <w:pPr>
        <w:pStyle w:val="BodyText"/>
        <w:jc w:val="left"/>
      </w:pPr>
      <w:r w:rsidRPr="009F466A">
        <w:t xml:space="preserve">The draft </w:t>
      </w:r>
      <w:r w:rsidR="002B0137" w:rsidRPr="009F466A">
        <w:t>Terms of Reference (</w:t>
      </w:r>
      <w:r w:rsidR="007619B5" w:rsidRPr="009F466A">
        <w:t>ToR</w:t>
      </w:r>
      <w:r w:rsidR="002B0137" w:rsidRPr="009F466A">
        <w:t>)</w:t>
      </w:r>
      <w:r w:rsidRPr="009F466A">
        <w:t xml:space="preserve"> were provided for public consultation between </w:t>
      </w:r>
      <w:r w:rsidR="007F3002" w:rsidRPr="009F466A">
        <w:t>2 May and 16 May </w:t>
      </w:r>
      <w:r w:rsidR="0037156A" w:rsidRPr="009F466A">
        <w:t>2016</w:t>
      </w:r>
      <w:r w:rsidRPr="009F466A">
        <w:t xml:space="preserve">. The PBAC considered the draft Review ToR and comments from stakeholders at the </w:t>
      </w:r>
      <w:r w:rsidR="0037156A" w:rsidRPr="009F466A">
        <w:t>August 2016</w:t>
      </w:r>
      <w:r w:rsidRPr="009F466A">
        <w:t xml:space="preserve"> PBAC meeting. The Minister for Health approved the final ToR for the Review</w:t>
      </w:r>
      <w:r w:rsidR="007F3002" w:rsidRPr="009F466A">
        <w:t xml:space="preserve"> in December </w:t>
      </w:r>
      <w:r w:rsidR="0037156A" w:rsidRPr="009F466A">
        <w:t>2016</w:t>
      </w:r>
      <w:r w:rsidRPr="009F466A">
        <w:t>.</w:t>
      </w:r>
    </w:p>
    <w:p w14:paraId="140A904C" w14:textId="77777777" w:rsidR="00DE5CA2" w:rsidRPr="009F466A" w:rsidRDefault="00DE5CA2" w:rsidP="003B577F">
      <w:pPr>
        <w:pStyle w:val="Heading3"/>
      </w:pPr>
      <w:bookmarkStart w:id="12" w:name="_Toc526943988"/>
      <w:r w:rsidRPr="009F466A">
        <w:t>Review Terms of Reference</w:t>
      </w:r>
      <w:bookmarkEnd w:id="12"/>
      <w:r w:rsidRPr="009F466A">
        <w:t xml:space="preserve"> </w:t>
      </w:r>
    </w:p>
    <w:p w14:paraId="744E7851" w14:textId="77777777" w:rsidR="00F61F2E" w:rsidRPr="00F61F2E" w:rsidRDefault="002B0137" w:rsidP="002D2CAB">
      <w:pPr>
        <w:spacing w:after="0"/>
        <w:jc w:val="left"/>
        <w:rPr>
          <w:szCs w:val="24"/>
        </w:rPr>
      </w:pPr>
      <w:r w:rsidRPr="009F466A">
        <w:t xml:space="preserve">The PMR of </w:t>
      </w:r>
      <w:r w:rsidR="00C11611" w:rsidRPr="009F466A">
        <w:t>PAH M</w:t>
      </w:r>
      <w:r w:rsidRPr="009F466A">
        <w:t xml:space="preserve">edicines consists of five ToR. This report addresses the first four in full and </w:t>
      </w:r>
      <w:r w:rsidRPr="00D97F61">
        <w:t>introduces ToR 5.</w:t>
      </w:r>
    </w:p>
    <w:p w14:paraId="016AAAEC" w14:textId="77777777" w:rsidR="00F67DB0" w:rsidRPr="009F466A" w:rsidRDefault="006570C4" w:rsidP="00C21496">
      <w:pPr>
        <w:pStyle w:val="ListParagraph"/>
        <w:numPr>
          <w:ilvl w:val="0"/>
          <w:numId w:val="9"/>
        </w:numPr>
        <w:spacing w:after="0"/>
        <w:ind w:left="426" w:hanging="426"/>
        <w:jc w:val="left"/>
        <w:rPr>
          <w:szCs w:val="24"/>
        </w:rPr>
      </w:pPr>
      <w:r w:rsidRPr="009F466A">
        <w:rPr>
          <w:szCs w:val="24"/>
        </w:rPr>
        <w:t>Review recent clinical guidelines for the management of PAH and compare this to the PBS restrictions and Therapeutic Goods Administration (TGA) indications for the use of PAH medicines.</w:t>
      </w:r>
    </w:p>
    <w:p w14:paraId="742BDDFF" w14:textId="77777777" w:rsidR="00C7642B" w:rsidRPr="009F466A" w:rsidRDefault="006570C4" w:rsidP="00C21496">
      <w:pPr>
        <w:pStyle w:val="ListParagraph"/>
        <w:numPr>
          <w:ilvl w:val="0"/>
          <w:numId w:val="9"/>
        </w:numPr>
        <w:spacing w:after="0"/>
        <w:ind w:left="426" w:hanging="426"/>
        <w:jc w:val="left"/>
        <w:rPr>
          <w:szCs w:val="24"/>
        </w:rPr>
      </w:pPr>
      <w:r w:rsidRPr="009F466A">
        <w:rPr>
          <w:szCs w:val="24"/>
        </w:rPr>
        <w:t>Review the utilisation of PAH medicines in Australia, including sources of data that can provide additional information on clinical use that is not available from PBS data.</w:t>
      </w:r>
    </w:p>
    <w:p w14:paraId="51F07DAB" w14:textId="77777777" w:rsidR="006570C4" w:rsidRPr="009F466A" w:rsidRDefault="006570C4" w:rsidP="00C21496">
      <w:pPr>
        <w:pStyle w:val="ListParagraph"/>
        <w:numPr>
          <w:ilvl w:val="0"/>
          <w:numId w:val="9"/>
        </w:numPr>
        <w:spacing w:after="0"/>
        <w:ind w:left="426" w:hanging="426"/>
        <w:jc w:val="left"/>
        <w:rPr>
          <w:szCs w:val="24"/>
        </w:rPr>
      </w:pPr>
      <w:r w:rsidRPr="009F466A">
        <w:rPr>
          <w:szCs w:val="24"/>
        </w:rPr>
        <w:t>Review the clinical outcomes that are most important or clinically relevant to patients with PAH, and the extent to which these outcomes are included in the evidence</w:t>
      </w:r>
      <w:r w:rsidR="00D23B93" w:rsidRPr="009F466A">
        <w:rPr>
          <w:szCs w:val="24"/>
        </w:rPr>
        <w:t xml:space="preserve"> previously considered by PBAC.</w:t>
      </w:r>
    </w:p>
    <w:p w14:paraId="1211DC12" w14:textId="77777777" w:rsidR="006570C4" w:rsidRPr="009F466A" w:rsidRDefault="006570C4" w:rsidP="00C21496">
      <w:pPr>
        <w:pStyle w:val="ListParagraph"/>
        <w:numPr>
          <w:ilvl w:val="0"/>
          <w:numId w:val="9"/>
        </w:numPr>
        <w:spacing w:after="0"/>
        <w:ind w:left="426" w:hanging="426"/>
        <w:jc w:val="left"/>
        <w:rPr>
          <w:szCs w:val="24"/>
        </w:rPr>
      </w:pPr>
      <w:r w:rsidRPr="009F466A">
        <w:rPr>
          <w:szCs w:val="24"/>
        </w:rPr>
        <w:t xml:space="preserve">Collate and evaluate evidence on the comparative effectiveness of PAH medicines, including combination use and use in the WHO </w:t>
      </w:r>
      <w:r w:rsidR="007619B5" w:rsidRPr="009F466A">
        <w:rPr>
          <w:szCs w:val="24"/>
        </w:rPr>
        <w:t>FC</w:t>
      </w:r>
      <w:r w:rsidRPr="009F466A">
        <w:rPr>
          <w:szCs w:val="24"/>
        </w:rPr>
        <w:t xml:space="preserve"> II patient populations.</w:t>
      </w:r>
    </w:p>
    <w:p w14:paraId="523454F0" w14:textId="77777777" w:rsidR="00BB7462" w:rsidRDefault="006570C4" w:rsidP="00BB7462">
      <w:pPr>
        <w:pStyle w:val="ListParagraph"/>
        <w:numPr>
          <w:ilvl w:val="0"/>
          <w:numId w:val="9"/>
        </w:numPr>
        <w:spacing w:after="0"/>
        <w:ind w:left="426" w:hanging="426"/>
        <w:jc w:val="left"/>
        <w:rPr>
          <w:szCs w:val="24"/>
        </w:rPr>
      </w:pPr>
      <w:r w:rsidRPr="009F466A">
        <w:rPr>
          <w:szCs w:val="24"/>
        </w:rPr>
        <w:t xml:space="preserve">Following ToR 1-4 consider reviewing the cost-effectiveness of existing PBS listings for PAH medicines, and in treatment of WHO </w:t>
      </w:r>
      <w:r w:rsidR="007619B5" w:rsidRPr="009F466A">
        <w:rPr>
          <w:szCs w:val="24"/>
        </w:rPr>
        <w:t>FC</w:t>
      </w:r>
      <w:r w:rsidRPr="009F466A">
        <w:rPr>
          <w:szCs w:val="24"/>
        </w:rPr>
        <w:t xml:space="preserve"> II and combination treatment in class III and class IV patients</w:t>
      </w:r>
      <w:r w:rsidR="00775885">
        <w:rPr>
          <w:szCs w:val="24"/>
        </w:rPr>
        <w:t xml:space="preserve"> (possible future report)</w:t>
      </w:r>
      <w:r w:rsidR="005F2F5B">
        <w:rPr>
          <w:szCs w:val="24"/>
        </w:rPr>
        <w:t>.</w:t>
      </w:r>
      <w:r w:rsidR="00BB7462">
        <w:rPr>
          <w:szCs w:val="24"/>
        </w:rPr>
        <w:t>*</w:t>
      </w:r>
    </w:p>
    <w:p w14:paraId="3CAB5015" w14:textId="77777777" w:rsidR="00BB7462" w:rsidRPr="009F466A" w:rsidRDefault="00BB7462" w:rsidP="00BB7462">
      <w:pPr>
        <w:jc w:val="left"/>
      </w:pPr>
      <w:r w:rsidRPr="00D97F61">
        <w:rPr>
          <w:szCs w:val="24"/>
        </w:rPr>
        <w:t>*</w:t>
      </w:r>
      <w:r w:rsidRPr="00D97F61">
        <w:rPr>
          <w:sz w:val="20"/>
          <w:szCs w:val="20"/>
        </w:rPr>
        <w:t>After consideration of the findings from ToR</w:t>
      </w:r>
      <w:r w:rsidR="00B036C5" w:rsidRPr="00D97F61">
        <w:rPr>
          <w:sz w:val="20"/>
          <w:szCs w:val="20"/>
        </w:rPr>
        <w:t xml:space="preserve"> </w:t>
      </w:r>
      <w:r w:rsidRPr="00D97F61">
        <w:rPr>
          <w:sz w:val="20"/>
          <w:szCs w:val="20"/>
        </w:rPr>
        <w:t>1-4, the PBAC did not recommend a review of the cost-effectiveness of existing</w:t>
      </w:r>
      <w:r w:rsidR="00D97F61" w:rsidRPr="00D97F61">
        <w:rPr>
          <w:sz w:val="20"/>
          <w:szCs w:val="20"/>
        </w:rPr>
        <w:t xml:space="preserve"> PBS listings for PAH medicines. The PBAC also did not recommend a cost-effectiveness </w:t>
      </w:r>
      <w:r w:rsidR="00D97F61" w:rsidRPr="00D97F61">
        <w:rPr>
          <w:sz w:val="20"/>
          <w:szCs w:val="20"/>
        </w:rPr>
        <w:lastRenderedPageBreak/>
        <w:t>review in patients with</w:t>
      </w:r>
      <w:r w:rsidRPr="00D97F61">
        <w:rPr>
          <w:sz w:val="20"/>
          <w:szCs w:val="20"/>
        </w:rPr>
        <w:t xml:space="preserve"> WHO FC II</w:t>
      </w:r>
      <w:r w:rsidR="00D97F61" w:rsidRPr="00D97F61">
        <w:rPr>
          <w:sz w:val="20"/>
          <w:szCs w:val="20"/>
        </w:rPr>
        <w:t xml:space="preserve"> symptoms</w:t>
      </w:r>
      <w:r w:rsidRPr="00D97F61">
        <w:rPr>
          <w:sz w:val="20"/>
          <w:szCs w:val="20"/>
        </w:rPr>
        <w:t xml:space="preserve"> and</w:t>
      </w:r>
      <w:r w:rsidR="00D97F61" w:rsidRPr="00D97F61">
        <w:rPr>
          <w:sz w:val="20"/>
          <w:szCs w:val="20"/>
        </w:rPr>
        <w:t>/or</w:t>
      </w:r>
      <w:r w:rsidRPr="00D97F61">
        <w:rPr>
          <w:sz w:val="20"/>
          <w:szCs w:val="20"/>
        </w:rPr>
        <w:t xml:space="preserve"> combination treatment in </w:t>
      </w:r>
      <w:r w:rsidR="00D97F61" w:rsidRPr="00D97F61">
        <w:rPr>
          <w:sz w:val="20"/>
          <w:szCs w:val="20"/>
        </w:rPr>
        <w:t>patients with WHO FC</w:t>
      </w:r>
      <w:r w:rsidRPr="00D97F61">
        <w:rPr>
          <w:sz w:val="20"/>
          <w:szCs w:val="20"/>
        </w:rPr>
        <w:t xml:space="preserve"> III and class IV patients.</w:t>
      </w:r>
    </w:p>
    <w:p w14:paraId="132C07C1" w14:textId="77777777" w:rsidR="00DE5CA2" w:rsidRPr="009F466A" w:rsidRDefault="00DE5CA2" w:rsidP="003B577F">
      <w:pPr>
        <w:pStyle w:val="Heading3"/>
      </w:pPr>
      <w:bookmarkStart w:id="13" w:name="_Toc486853472"/>
      <w:bookmarkStart w:id="14" w:name="_Toc526943989"/>
      <w:r w:rsidRPr="009F466A">
        <w:t>Methodological approach to the technical report</w:t>
      </w:r>
      <w:bookmarkEnd w:id="13"/>
      <w:bookmarkEnd w:id="14"/>
    </w:p>
    <w:p w14:paraId="1B322D97" w14:textId="77777777" w:rsidR="00DE5CA2" w:rsidRPr="009F466A" w:rsidRDefault="00AE740F" w:rsidP="00C21496">
      <w:pPr>
        <w:jc w:val="left"/>
      </w:pPr>
      <w:r>
        <w:t>A Reference Group (RG)</w:t>
      </w:r>
      <w:r w:rsidR="00DE5CA2" w:rsidRPr="009F466A">
        <w:t xml:space="preserve"> </w:t>
      </w:r>
      <w:r w:rsidR="00EA5108">
        <w:t>and academic research units</w:t>
      </w:r>
      <w:r w:rsidR="00DE5CA2" w:rsidRPr="009F466A">
        <w:t xml:space="preserve"> were involved in the preparation of this draft technical report for the PAH Review.</w:t>
      </w:r>
      <w:r w:rsidR="00406336" w:rsidRPr="009F466A">
        <w:t xml:space="preserve"> </w:t>
      </w:r>
      <w:r w:rsidR="00DE5CA2" w:rsidRPr="009F466A">
        <w:t xml:space="preserve">Research questions relating to the ToR were developed to guide the review (refer to Background), and approved by the RG Chair. The ToR were addressed through </w:t>
      </w:r>
      <w:r w:rsidR="00963A31">
        <w:t xml:space="preserve">systematic </w:t>
      </w:r>
      <w:r w:rsidR="00DE5CA2" w:rsidRPr="009F466A">
        <w:t xml:space="preserve">reviews of </w:t>
      </w:r>
      <w:r w:rsidR="00963A31">
        <w:t xml:space="preserve">trial </w:t>
      </w:r>
      <w:r w:rsidR="00DE5CA2" w:rsidRPr="009F466A">
        <w:t xml:space="preserve">evidence for medicines, </w:t>
      </w:r>
      <w:r w:rsidR="00963A31">
        <w:t xml:space="preserve">reviews of current clinical </w:t>
      </w:r>
      <w:r w:rsidR="00DE5CA2" w:rsidRPr="009F466A">
        <w:t>gui</w:t>
      </w:r>
      <w:r w:rsidR="00B772FC" w:rsidRPr="009F466A">
        <w:t>delines and</w:t>
      </w:r>
      <w:r w:rsidR="00AA01C1">
        <w:t xml:space="preserve"> utilisation</w:t>
      </w:r>
      <w:r w:rsidR="00963A31">
        <w:t xml:space="preserve"> of PAH medicines in Australia</w:t>
      </w:r>
      <w:r w:rsidR="00AA01C1">
        <w:t xml:space="preserve"> (refer to </w:t>
      </w:r>
      <w:r w:rsidR="00CC79E1" w:rsidRPr="00A94DF2">
        <w:t>Table ES.</w:t>
      </w:r>
      <w:r w:rsidR="00CC79E1">
        <w:rPr>
          <w:noProof/>
        </w:rPr>
        <w:t>2</w:t>
      </w:r>
      <w:r w:rsidR="00AA01C1">
        <w:t xml:space="preserve"> </w:t>
      </w:r>
      <w:r w:rsidR="00DE5CA2" w:rsidRPr="009F466A">
        <w:t>and</w:t>
      </w:r>
      <w:r w:rsidR="00AA01C1">
        <w:t xml:space="preserve"> </w:t>
      </w:r>
      <w:r w:rsidR="00CC79E1" w:rsidRPr="00A94DF2">
        <w:t>Table ES.</w:t>
      </w:r>
      <w:r w:rsidR="00CC79E1">
        <w:rPr>
          <w:noProof/>
        </w:rPr>
        <w:t>3</w:t>
      </w:r>
      <w:r w:rsidR="00DE5CA2" w:rsidRPr="009F466A">
        <w:t>).</w:t>
      </w:r>
      <w:r w:rsidR="00B772FC" w:rsidRPr="009F466A">
        <w:t xml:space="preserve"> The PHSANZ and The Australian Scleroderma Interest</w:t>
      </w:r>
      <w:r w:rsidR="00953B36">
        <w:t xml:space="preserve"> Group</w:t>
      </w:r>
      <w:r w:rsidR="00B772FC" w:rsidRPr="009F466A">
        <w:t xml:space="preserve"> (ASIG) </w:t>
      </w:r>
      <w:r w:rsidR="008122BD" w:rsidRPr="009F466A">
        <w:t>provided information on medicine regimes based on their respective patient registries.</w:t>
      </w:r>
    </w:p>
    <w:p w14:paraId="6F0BAF5A" w14:textId="77777777" w:rsidR="00E30026" w:rsidRPr="00A94DF2" w:rsidRDefault="00E30026" w:rsidP="00C21496">
      <w:pPr>
        <w:pStyle w:val="Caption"/>
        <w:jc w:val="left"/>
      </w:pPr>
      <w:bookmarkStart w:id="15" w:name="_Ref511118424"/>
      <w:bookmarkStart w:id="16" w:name="_Toc38372122"/>
      <w:r w:rsidRPr="00A94DF2">
        <w:t>Table ES.</w:t>
      </w:r>
      <w:r w:rsidR="00CC79E1">
        <w:rPr>
          <w:noProof/>
        </w:rPr>
        <w:t>2</w:t>
      </w:r>
      <w:bookmarkEnd w:id="15"/>
      <w:r w:rsidRPr="00A94DF2">
        <w:t xml:space="preserve"> </w:t>
      </w:r>
      <w:r w:rsidRPr="00A94DF2">
        <w:tab/>
        <w:t>Methodological approaches to ToR 1, ToR 3, ToR 4 and ToR 5</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5467"/>
        <w:gridCol w:w="3594"/>
      </w:tblGrid>
      <w:tr w:rsidR="00D228A6" w:rsidRPr="00D228A6" w14:paraId="52F05B9B" w14:textId="77777777" w:rsidTr="00D228A6">
        <w:trPr>
          <w:cantSplit/>
          <w:tblHeader/>
        </w:trPr>
        <w:tc>
          <w:tcPr>
            <w:tcW w:w="3017" w:type="pct"/>
            <w:shd w:val="clear" w:color="auto" w:fill="BFBFBF" w:themeFill="background1" w:themeFillShade="BF"/>
          </w:tcPr>
          <w:p w14:paraId="2E53040F" w14:textId="77777777" w:rsidR="00AD689E" w:rsidRPr="00D228A6" w:rsidRDefault="00AD689E" w:rsidP="00C21496">
            <w:pPr>
              <w:pStyle w:val="01TableHEADINGleftaligned"/>
              <w:keepLines/>
              <w:rPr>
                <w:rFonts w:ascii="Arial" w:hAnsi="Arial" w:cs="Arial"/>
                <w:sz w:val="20"/>
                <w:szCs w:val="20"/>
              </w:rPr>
            </w:pPr>
            <w:r w:rsidRPr="00D228A6">
              <w:rPr>
                <w:rFonts w:ascii="Arial" w:hAnsi="Arial" w:cs="Arial"/>
                <w:sz w:val="20"/>
                <w:szCs w:val="20"/>
              </w:rPr>
              <w:t>Methodological approach</w:t>
            </w:r>
          </w:p>
        </w:tc>
        <w:tc>
          <w:tcPr>
            <w:tcW w:w="1983" w:type="pct"/>
            <w:shd w:val="clear" w:color="auto" w:fill="BFBFBF" w:themeFill="background1" w:themeFillShade="BF"/>
          </w:tcPr>
          <w:p w14:paraId="41CF90BC" w14:textId="77777777" w:rsidR="00AD689E" w:rsidRPr="00D228A6" w:rsidRDefault="00AD689E" w:rsidP="00C21496">
            <w:pPr>
              <w:pStyle w:val="01TableHEADINGleftaligned"/>
              <w:keepLines/>
              <w:rPr>
                <w:rFonts w:ascii="Arial" w:hAnsi="Arial" w:cs="Arial"/>
                <w:sz w:val="20"/>
                <w:szCs w:val="20"/>
              </w:rPr>
            </w:pPr>
            <w:r w:rsidRPr="00D228A6">
              <w:rPr>
                <w:rFonts w:ascii="Arial" w:hAnsi="Arial" w:cs="Arial"/>
                <w:sz w:val="20"/>
                <w:szCs w:val="20"/>
              </w:rPr>
              <w:t>Criteria and time period</w:t>
            </w:r>
          </w:p>
        </w:tc>
      </w:tr>
      <w:tr w:rsidR="00D228A6" w:rsidRPr="00D228A6" w14:paraId="4951375F" w14:textId="77777777" w:rsidTr="00D228A6">
        <w:trPr>
          <w:cantSplit/>
        </w:trPr>
        <w:tc>
          <w:tcPr>
            <w:tcW w:w="5000" w:type="pct"/>
            <w:gridSpan w:val="2"/>
            <w:shd w:val="clear" w:color="auto" w:fill="F2F2F2" w:themeFill="background1" w:themeFillShade="F2"/>
          </w:tcPr>
          <w:p w14:paraId="69F724F2" w14:textId="77777777" w:rsidR="00AD689E" w:rsidRPr="00D228A6" w:rsidRDefault="00AD689E" w:rsidP="00C21496">
            <w:pPr>
              <w:pStyle w:val="05Tabletext"/>
              <w:keepNext/>
              <w:keepLines/>
              <w:rPr>
                <w:rFonts w:ascii="Arial" w:hAnsi="Arial" w:cs="Arial"/>
                <w:i/>
                <w:sz w:val="20"/>
                <w:szCs w:val="20"/>
              </w:rPr>
            </w:pPr>
            <w:r w:rsidRPr="00D228A6">
              <w:rPr>
                <w:rFonts w:ascii="Arial" w:hAnsi="Arial" w:cs="Arial"/>
                <w:i/>
                <w:sz w:val="20"/>
                <w:szCs w:val="20"/>
              </w:rPr>
              <w:t xml:space="preserve">ToR 1: </w:t>
            </w:r>
            <w:r w:rsidR="0075528A" w:rsidRPr="00D228A6">
              <w:rPr>
                <w:rFonts w:ascii="Arial" w:hAnsi="Arial" w:cs="Arial"/>
                <w:i/>
                <w:sz w:val="20"/>
                <w:szCs w:val="20"/>
              </w:rPr>
              <w:t xml:space="preserve">Compare clinical guidelines for the management of PAH with the PBS restrictions and </w:t>
            </w:r>
            <w:r w:rsidR="006433E6" w:rsidRPr="00D228A6">
              <w:rPr>
                <w:rFonts w:ascii="Arial" w:hAnsi="Arial" w:cs="Arial"/>
                <w:i/>
                <w:sz w:val="20"/>
                <w:szCs w:val="20"/>
              </w:rPr>
              <w:t>TGA</w:t>
            </w:r>
            <w:r w:rsidR="0075528A" w:rsidRPr="00D228A6">
              <w:rPr>
                <w:rFonts w:ascii="Arial" w:hAnsi="Arial" w:cs="Arial"/>
                <w:i/>
                <w:sz w:val="20"/>
                <w:szCs w:val="20"/>
              </w:rPr>
              <w:t xml:space="preserve"> indications for the use of PAH medicines.</w:t>
            </w:r>
          </w:p>
        </w:tc>
      </w:tr>
      <w:tr w:rsidR="00AD689E" w:rsidRPr="00D228A6" w14:paraId="39107B94" w14:textId="77777777" w:rsidTr="00D228A6">
        <w:trPr>
          <w:cantSplit/>
        </w:trPr>
        <w:tc>
          <w:tcPr>
            <w:tcW w:w="3017" w:type="pct"/>
            <w:shd w:val="clear" w:color="auto" w:fill="FFFFFF" w:themeFill="background1"/>
          </w:tcPr>
          <w:p w14:paraId="4BC62116" w14:textId="77777777" w:rsidR="00AD689E" w:rsidRPr="00D228A6" w:rsidRDefault="00AD689E" w:rsidP="00C21496">
            <w:pPr>
              <w:pStyle w:val="05Tabletext"/>
              <w:rPr>
                <w:rFonts w:ascii="Arial" w:hAnsi="Arial" w:cs="Arial"/>
                <w:sz w:val="20"/>
                <w:szCs w:val="20"/>
              </w:rPr>
            </w:pPr>
            <w:r w:rsidRPr="00D228A6">
              <w:rPr>
                <w:rFonts w:ascii="Arial" w:hAnsi="Arial" w:cs="Arial"/>
                <w:sz w:val="20"/>
                <w:szCs w:val="20"/>
              </w:rPr>
              <w:t xml:space="preserve">A systematic search of relevant evidence-based guidelines </w:t>
            </w:r>
            <w:r w:rsidR="00EA03BA" w:rsidRPr="00D228A6">
              <w:rPr>
                <w:rFonts w:ascii="Arial" w:hAnsi="Arial" w:cs="Arial"/>
                <w:sz w:val="20"/>
                <w:szCs w:val="20"/>
              </w:rPr>
              <w:t xml:space="preserve">or evidence-linked clinical practice guidelines </w:t>
            </w:r>
            <w:r w:rsidRPr="00D228A6">
              <w:rPr>
                <w:rFonts w:ascii="Arial" w:hAnsi="Arial" w:cs="Arial"/>
                <w:sz w:val="20"/>
                <w:szCs w:val="20"/>
              </w:rPr>
              <w:t xml:space="preserve">from regulatory/funding/health technology assessment bodies, guidelines databases and other relevant websites for the treatment of </w:t>
            </w:r>
            <w:r w:rsidR="00EA03BA" w:rsidRPr="00D228A6">
              <w:rPr>
                <w:rFonts w:ascii="Arial" w:hAnsi="Arial" w:cs="Arial"/>
                <w:sz w:val="20"/>
                <w:szCs w:val="20"/>
              </w:rPr>
              <w:t>WHO FC II, III or IV PAH</w:t>
            </w:r>
            <w:r w:rsidRPr="00D228A6">
              <w:rPr>
                <w:rFonts w:ascii="Arial" w:hAnsi="Arial" w:cs="Arial"/>
                <w:sz w:val="20"/>
                <w:szCs w:val="20"/>
              </w:rPr>
              <w:t xml:space="preserve">. </w:t>
            </w:r>
          </w:p>
        </w:tc>
        <w:tc>
          <w:tcPr>
            <w:tcW w:w="1983" w:type="pct"/>
            <w:shd w:val="clear" w:color="auto" w:fill="FFFFFF" w:themeFill="background1"/>
          </w:tcPr>
          <w:p w14:paraId="0AF02036" w14:textId="77777777" w:rsidR="00AD689E" w:rsidRPr="00D228A6" w:rsidRDefault="009449C3" w:rsidP="00C21496">
            <w:pPr>
              <w:pStyle w:val="05Tabletext"/>
              <w:rPr>
                <w:rFonts w:ascii="Arial" w:hAnsi="Arial" w:cs="Arial"/>
                <w:sz w:val="20"/>
                <w:szCs w:val="20"/>
              </w:rPr>
            </w:pPr>
            <w:r w:rsidRPr="00D228A6">
              <w:rPr>
                <w:rFonts w:ascii="Arial" w:hAnsi="Arial" w:cs="Arial"/>
                <w:sz w:val="20"/>
                <w:szCs w:val="20"/>
              </w:rPr>
              <w:t>The</w:t>
            </w:r>
            <w:r w:rsidR="00AD689E" w:rsidRPr="00D228A6">
              <w:rPr>
                <w:rFonts w:ascii="Arial" w:hAnsi="Arial" w:cs="Arial"/>
                <w:sz w:val="20"/>
                <w:szCs w:val="20"/>
              </w:rPr>
              <w:t xml:space="preserve"> search </w:t>
            </w:r>
            <w:r w:rsidRPr="00D228A6">
              <w:rPr>
                <w:rFonts w:ascii="Arial" w:hAnsi="Arial" w:cs="Arial"/>
                <w:sz w:val="20"/>
                <w:szCs w:val="20"/>
              </w:rPr>
              <w:t>focussed on</w:t>
            </w:r>
            <w:r w:rsidR="00AD689E" w:rsidRPr="00D228A6">
              <w:rPr>
                <w:rFonts w:ascii="Arial" w:hAnsi="Arial" w:cs="Arial"/>
                <w:sz w:val="20"/>
                <w:szCs w:val="20"/>
              </w:rPr>
              <w:t xml:space="preserve"> Australian and </w:t>
            </w:r>
            <w:r w:rsidR="00EA03BA" w:rsidRPr="00D228A6">
              <w:rPr>
                <w:rFonts w:ascii="Arial" w:hAnsi="Arial" w:cs="Arial"/>
                <w:sz w:val="20"/>
                <w:szCs w:val="20"/>
              </w:rPr>
              <w:t>European and North American guidelines</w:t>
            </w:r>
            <w:r w:rsidR="00AD689E" w:rsidRPr="00D228A6">
              <w:rPr>
                <w:rFonts w:ascii="Arial" w:hAnsi="Arial" w:cs="Arial"/>
                <w:sz w:val="20"/>
                <w:szCs w:val="20"/>
              </w:rPr>
              <w:t xml:space="preserve"> published from 201</w:t>
            </w:r>
            <w:r w:rsidRPr="00D228A6">
              <w:rPr>
                <w:rFonts w:ascii="Arial" w:hAnsi="Arial" w:cs="Arial"/>
                <w:sz w:val="20"/>
                <w:szCs w:val="20"/>
              </w:rPr>
              <w:t>0</w:t>
            </w:r>
            <w:r w:rsidR="00AD689E" w:rsidRPr="00D228A6">
              <w:rPr>
                <w:rFonts w:ascii="Arial" w:hAnsi="Arial" w:cs="Arial"/>
                <w:sz w:val="20"/>
                <w:szCs w:val="20"/>
              </w:rPr>
              <w:t xml:space="preserve"> to August 2016</w:t>
            </w:r>
            <w:r w:rsidRPr="00D228A6">
              <w:rPr>
                <w:rFonts w:ascii="Arial" w:hAnsi="Arial" w:cs="Arial"/>
                <w:sz w:val="20"/>
                <w:szCs w:val="20"/>
              </w:rPr>
              <w:t>, but considered also earlier publications in the absence of more recent material</w:t>
            </w:r>
            <w:r w:rsidR="00AD689E" w:rsidRPr="00D228A6">
              <w:rPr>
                <w:rFonts w:ascii="Arial" w:hAnsi="Arial" w:cs="Arial"/>
                <w:sz w:val="20"/>
                <w:szCs w:val="20"/>
              </w:rPr>
              <w:t>.</w:t>
            </w:r>
          </w:p>
        </w:tc>
      </w:tr>
      <w:tr w:rsidR="00AD689E" w:rsidRPr="00D228A6" w14:paraId="66345AA9" w14:textId="77777777" w:rsidTr="00D228A6">
        <w:trPr>
          <w:cantSplit/>
        </w:trPr>
        <w:tc>
          <w:tcPr>
            <w:tcW w:w="5000" w:type="pct"/>
            <w:gridSpan w:val="2"/>
            <w:shd w:val="clear" w:color="auto" w:fill="F2F2F2" w:themeFill="background1" w:themeFillShade="F2"/>
          </w:tcPr>
          <w:p w14:paraId="4861ACF0" w14:textId="77777777" w:rsidR="00AD689E" w:rsidRPr="00D228A6" w:rsidRDefault="00AD689E" w:rsidP="00C21496">
            <w:pPr>
              <w:pStyle w:val="05Tabletext"/>
              <w:rPr>
                <w:rFonts w:ascii="Arial" w:hAnsi="Arial" w:cs="Arial"/>
                <w:i/>
                <w:sz w:val="20"/>
                <w:szCs w:val="20"/>
              </w:rPr>
            </w:pPr>
            <w:r w:rsidRPr="00D228A6">
              <w:rPr>
                <w:rFonts w:ascii="Arial" w:hAnsi="Arial" w:cs="Arial"/>
                <w:i/>
                <w:sz w:val="20"/>
                <w:szCs w:val="20"/>
              </w:rPr>
              <w:t xml:space="preserve">ToR 3: </w:t>
            </w:r>
            <w:r w:rsidR="0075528A" w:rsidRPr="00D228A6">
              <w:rPr>
                <w:rFonts w:ascii="Arial" w:hAnsi="Arial" w:cs="Arial"/>
                <w:i/>
                <w:sz w:val="20"/>
                <w:szCs w:val="20"/>
              </w:rPr>
              <w:t>Review of clinical outcomes that are most important or clinically relevant to patients with PAH, and the extent to which these outcomes are included in the evidence previously considered by PBAC.</w:t>
            </w:r>
          </w:p>
        </w:tc>
      </w:tr>
      <w:tr w:rsidR="00AD689E" w:rsidRPr="00D228A6" w14:paraId="5A6639A4" w14:textId="77777777" w:rsidTr="00D228A6">
        <w:trPr>
          <w:cantSplit/>
        </w:trPr>
        <w:tc>
          <w:tcPr>
            <w:tcW w:w="3017" w:type="pct"/>
            <w:shd w:val="clear" w:color="auto" w:fill="FFFFFF" w:themeFill="background1"/>
          </w:tcPr>
          <w:p w14:paraId="0186FFAE" w14:textId="77777777" w:rsidR="00AD689E" w:rsidRPr="00D228A6" w:rsidRDefault="00EA03BA" w:rsidP="00C21496">
            <w:pPr>
              <w:pStyle w:val="06Tabletextspacebefore"/>
              <w:rPr>
                <w:rFonts w:ascii="Arial" w:hAnsi="Arial" w:cs="Arial"/>
                <w:sz w:val="20"/>
                <w:szCs w:val="20"/>
              </w:rPr>
            </w:pPr>
            <w:r w:rsidRPr="00D228A6">
              <w:rPr>
                <w:rFonts w:ascii="Arial" w:hAnsi="Arial" w:cs="Arial"/>
                <w:sz w:val="20"/>
                <w:szCs w:val="20"/>
              </w:rPr>
              <w:t>A consumer forum was held to answer pre-determined questions on important or clinically relevant outcomes for patients and compared to evidence considered by PBAC.</w:t>
            </w:r>
          </w:p>
        </w:tc>
        <w:tc>
          <w:tcPr>
            <w:tcW w:w="1983" w:type="pct"/>
            <w:shd w:val="clear" w:color="auto" w:fill="FFFFFF" w:themeFill="background1"/>
          </w:tcPr>
          <w:p w14:paraId="330B7A79" w14:textId="77777777" w:rsidR="00AD689E" w:rsidRPr="00D228A6" w:rsidRDefault="009449C3" w:rsidP="00C21496">
            <w:pPr>
              <w:pStyle w:val="05Tabletext"/>
              <w:rPr>
                <w:rFonts w:ascii="Arial" w:hAnsi="Arial" w:cs="Arial"/>
                <w:sz w:val="20"/>
                <w:szCs w:val="20"/>
              </w:rPr>
            </w:pPr>
            <w:r w:rsidRPr="00D228A6">
              <w:rPr>
                <w:rFonts w:ascii="Arial" w:hAnsi="Arial" w:cs="Arial"/>
                <w:sz w:val="20"/>
                <w:szCs w:val="20"/>
              </w:rPr>
              <w:t>Consumer forum on 14 October with members of the Pulmonary Hypertension Association Australia</w:t>
            </w:r>
            <w:r w:rsidR="00547BC2" w:rsidRPr="00D228A6">
              <w:rPr>
                <w:rFonts w:ascii="Arial" w:hAnsi="Arial" w:cs="Arial"/>
                <w:sz w:val="20"/>
                <w:szCs w:val="20"/>
              </w:rPr>
              <w:t>, and w</w:t>
            </w:r>
            <w:r w:rsidRPr="00D228A6">
              <w:rPr>
                <w:rFonts w:ascii="Arial" w:hAnsi="Arial" w:cs="Arial"/>
                <w:sz w:val="20"/>
                <w:szCs w:val="20"/>
              </w:rPr>
              <w:t xml:space="preserve">ritten </w:t>
            </w:r>
            <w:r w:rsidR="00547BC2" w:rsidRPr="00D228A6">
              <w:rPr>
                <w:rFonts w:ascii="Arial" w:hAnsi="Arial" w:cs="Arial"/>
                <w:sz w:val="20"/>
                <w:szCs w:val="20"/>
              </w:rPr>
              <w:t xml:space="preserve">submissions from members </w:t>
            </w:r>
            <w:r w:rsidRPr="00D228A6">
              <w:rPr>
                <w:rFonts w:ascii="Arial" w:hAnsi="Arial" w:cs="Arial"/>
                <w:sz w:val="20"/>
                <w:szCs w:val="20"/>
              </w:rPr>
              <w:t xml:space="preserve">received </w:t>
            </w:r>
            <w:r w:rsidR="00547BC2" w:rsidRPr="00D228A6">
              <w:rPr>
                <w:rFonts w:ascii="Arial" w:hAnsi="Arial" w:cs="Arial"/>
                <w:sz w:val="20"/>
                <w:szCs w:val="20"/>
              </w:rPr>
              <w:t>between 11 </w:t>
            </w:r>
            <w:r w:rsidRPr="00D228A6">
              <w:rPr>
                <w:rFonts w:ascii="Arial" w:hAnsi="Arial" w:cs="Arial"/>
                <w:sz w:val="20"/>
                <w:szCs w:val="20"/>
              </w:rPr>
              <w:t>October and 31October 2017.</w:t>
            </w:r>
          </w:p>
        </w:tc>
      </w:tr>
      <w:tr w:rsidR="00AD689E" w:rsidRPr="00D228A6" w14:paraId="008735A6" w14:textId="77777777" w:rsidTr="00D228A6">
        <w:trPr>
          <w:cantSplit/>
        </w:trPr>
        <w:tc>
          <w:tcPr>
            <w:tcW w:w="5000" w:type="pct"/>
            <w:gridSpan w:val="2"/>
            <w:shd w:val="clear" w:color="auto" w:fill="F2F2F2" w:themeFill="background1" w:themeFillShade="F2"/>
          </w:tcPr>
          <w:p w14:paraId="1EBE2B13" w14:textId="77777777" w:rsidR="00AD689E" w:rsidRPr="00D228A6" w:rsidRDefault="00AD689E" w:rsidP="00C21496">
            <w:pPr>
              <w:pStyle w:val="05Tabletext"/>
              <w:rPr>
                <w:rFonts w:ascii="Arial" w:hAnsi="Arial" w:cs="Arial"/>
                <w:i/>
                <w:sz w:val="20"/>
                <w:szCs w:val="20"/>
              </w:rPr>
            </w:pPr>
            <w:r w:rsidRPr="00D228A6">
              <w:rPr>
                <w:rFonts w:ascii="Arial" w:hAnsi="Arial" w:cs="Arial"/>
                <w:i/>
                <w:sz w:val="20"/>
                <w:szCs w:val="20"/>
              </w:rPr>
              <w:t xml:space="preserve">ToR 4: </w:t>
            </w:r>
            <w:r w:rsidR="0075528A" w:rsidRPr="00D228A6">
              <w:rPr>
                <w:rFonts w:ascii="Arial" w:hAnsi="Arial" w:cs="Arial"/>
                <w:i/>
                <w:sz w:val="20"/>
                <w:szCs w:val="20"/>
              </w:rPr>
              <w:t>Review of comparative effectiveness of PAH medicines, including combination use and use in the WHO functional class II patient populations.</w:t>
            </w:r>
          </w:p>
        </w:tc>
      </w:tr>
      <w:tr w:rsidR="0075528A" w:rsidRPr="00D228A6" w14:paraId="338DCDA8" w14:textId="77777777" w:rsidTr="00D228A6">
        <w:trPr>
          <w:cantSplit/>
        </w:trPr>
        <w:tc>
          <w:tcPr>
            <w:tcW w:w="3017" w:type="pct"/>
            <w:shd w:val="clear" w:color="auto" w:fill="FFFFFF" w:themeFill="background1"/>
          </w:tcPr>
          <w:p w14:paraId="5E21C831" w14:textId="77777777" w:rsidR="00EA03BA" w:rsidRPr="00D228A6" w:rsidRDefault="0075528A" w:rsidP="00C21496">
            <w:pPr>
              <w:pStyle w:val="05Tabletext"/>
              <w:rPr>
                <w:rFonts w:ascii="Arial" w:hAnsi="Arial" w:cs="Arial"/>
                <w:sz w:val="20"/>
                <w:szCs w:val="20"/>
              </w:rPr>
            </w:pPr>
            <w:r w:rsidRPr="00D228A6">
              <w:rPr>
                <w:rFonts w:ascii="Arial" w:hAnsi="Arial" w:cs="Arial"/>
                <w:sz w:val="20"/>
                <w:szCs w:val="20"/>
              </w:rPr>
              <w:t xml:space="preserve">A systematic literature review was performed encompassing both the peer-reviewed literature and any additional evidence (published or unpublished) provided by the sponsors in their ToR public consultation submissions. The peer-reviewed literature was screened for clinical studies that consider the </w:t>
            </w:r>
            <w:r w:rsidR="00291955" w:rsidRPr="00D228A6">
              <w:rPr>
                <w:rFonts w:ascii="Arial" w:hAnsi="Arial" w:cs="Arial"/>
                <w:sz w:val="20"/>
                <w:szCs w:val="20"/>
              </w:rPr>
              <w:t xml:space="preserve">effectiveness and </w:t>
            </w:r>
            <w:r w:rsidRPr="00D228A6">
              <w:rPr>
                <w:rFonts w:ascii="Arial" w:hAnsi="Arial" w:cs="Arial"/>
                <w:sz w:val="20"/>
                <w:szCs w:val="20"/>
              </w:rPr>
              <w:t xml:space="preserve">safety of </w:t>
            </w:r>
            <w:r w:rsidR="00291955" w:rsidRPr="00D228A6">
              <w:rPr>
                <w:rFonts w:ascii="Arial" w:hAnsi="Arial" w:cs="Arial"/>
                <w:sz w:val="20"/>
                <w:szCs w:val="20"/>
              </w:rPr>
              <w:t>monotherapy, dual combination therapy and triple combination therapy in patients with PAH</w:t>
            </w:r>
            <w:r w:rsidR="00EA03BA" w:rsidRPr="00D228A6">
              <w:rPr>
                <w:rFonts w:ascii="Arial" w:hAnsi="Arial" w:cs="Arial"/>
                <w:sz w:val="20"/>
                <w:szCs w:val="20"/>
              </w:rPr>
              <w:t xml:space="preserve"> </w:t>
            </w:r>
          </w:p>
          <w:p w14:paraId="5109E40E" w14:textId="77777777" w:rsidR="0075528A" w:rsidRPr="00D228A6" w:rsidRDefault="0075528A" w:rsidP="00C21496">
            <w:pPr>
              <w:pStyle w:val="05Tabletext"/>
              <w:rPr>
                <w:rFonts w:ascii="Arial" w:hAnsi="Arial" w:cs="Arial"/>
                <w:sz w:val="20"/>
                <w:szCs w:val="20"/>
              </w:rPr>
            </w:pPr>
          </w:p>
        </w:tc>
        <w:tc>
          <w:tcPr>
            <w:tcW w:w="1983" w:type="pct"/>
            <w:shd w:val="clear" w:color="auto" w:fill="FFFFFF" w:themeFill="background1"/>
          </w:tcPr>
          <w:p w14:paraId="037ED3BE" w14:textId="26A4458A" w:rsidR="0075528A" w:rsidRPr="00D228A6" w:rsidRDefault="00291955" w:rsidP="00C21496">
            <w:pPr>
              <w:pStyle w:val="05Tabletext"/>
              <w:rPr>
                <w:rFonts w:ascii="Arial" w:hAnsi="Arial" w:cs="Arial"/>
                <w:sz w:val="20"/>
                <w:szCs w:val="20"/>
              </w:rPr>
            </w:pPr>
            <w:r w:rsidRPr="00D228A6">
              <w:rPr>
                <w:rFonts w:ascii="Arial" w:hAnsi="Arial" w:cs="Arial"/>
                <w:sz w:val="20"/>
                <w:szCs w:val="20"/>
              </w:rPr>
              <w:t>The review focussed on evidence that has not previously consider</w:t>
            </w:r>
            <w:r w:rsidR="00764992">
              <w:rPr>
                <w:rFonts w:ascii="Arial" w:hAnsi="Arial" w:cs="Arial"/>
                <w:sz w:val="20"/>
                <w:szCs w:val="20"/>
              </w:rPr>
              <w:t>ed by the PBAC until July 2017.</w:t>
            </w:r>
          </w:p>
        </w:tc>
      </w:tr>
      <w:tr w:rsidR="00D228A6" w:rsidRPr="00D228A6" w14:paraId="3860D8E7" w14:textId="77777777" w:rsidTr="00D228A6">
        <w:trPr>
          <w:cantSplit/>
        </w:trPr>
        <w:tc>
          <w:tcPr>
            <w:tcW w:w="5000" w:type="pct"/>
            <w:gridSpan w:val="2"/>
            <w:shd w:val="clear" w:color="auto" w:fill="F2F2F2" w:themeFill="background1" w:themeFillShade="F2"/>
          </w:tcPr>
          <w:p w14:paraId="62177142" w14:textId="77777777" w:rsidR="0075528A" w:rsidRPr="00D228A6" w:rsidRDefault="0075528A" w:rsidP="00C21496">
            <w:pPr>
              <w:pStyle w:val="05Tabletext"/>
              <w:rPr>
                <w:rFonts w:ascii="Arial" w:hAnsi="Arial" w:cs="Arial"/>
                <w:i/>
                <w:sz w:val="20"/>
                <w:szCs w:val="20"/>
              </w:rPr>
            </w:pPr>
            <w:r w:rsidRPr="004E3BA2">
              <w:rPr>
                <w:rFonts w:ascii="Arial" w:hAnsi="Arial" w:cs="Arial"/>
                <w:i/>
                <w:sz w:val="20"/>
                <w:szCs w:val="20"/>
              </w:rPr>
              <w:t>ToR 5: Following ToR 1-4 consider reviewing the cost-effectiveness of existing PBS listings for PAH medicines, and in treatment of WHO functional class II and combination treatment in class III and class IV patients.</w:t>
            </w:r>
          </w:p>
        </w:tc>
      </w:tr>
      <w:tr w:rsidR="004E3BA2" w:rsidRPr="00D228A6" w14:paraId="7234DB6A" w14:textId="77777777" w:rsidTr="004E3BA2">
        <w:trPr>
          <w:cantSplit/>
        </w:trPr>
        <w:tc>
          <w:tcPr>
            <w:tcW w:w="5000" w:type="pct"/>
            <w:gridSpan w:val="2"/>
            <w:shd w:val="clear" w:color="auto" w:fill="FFFFFF" w:themeFill="background1"/>
          </w:tcPr>
          <w:p w14:paraId="766DED48" w14:textId="77777777" w:rsidR="004E3BA2" w:rsidRPr="00D228A6" w:rsidRDefault="004E3BA2" w:rsidP="00C21496">
            <w:pPr>
              <w:pStyle w:val="05Tabletext"/>
              <w:rPr>
                <w:rFonts w:ascii="Arial" w:hAnsi="Arial" w:cs="Arial"/>
                <w:sz w:val="20"/>
                <w:szCs w:val="20"/>
              </w:rPr>
            </w:pPr>
            <w:r>
              <w:rPr>
                <w:rFonts w:ascii="Arial" w:hAnsi="Arial" w:cs="Arial"/>
                <w:sz w:val="20"/>
                <w:szCs w:val="20"/>
              </w:rPr>
              <w:t>To be determined</w:t>
            </w:r>
            <w:r w:rsidR="00963A31">
              <w:rPr>
                <w:rFonts w:ascii="Arial" w:hAnsi="Arial" w:cs="Arial"/>
                <w:sz w:val="20"/>
                <w:szCs w:val="20"/>
              </w:rPr>
              <w:t xml:space="preserve"> by PBAC</w:t>
            </w:r>
          </w:p>
        </w:tc>
      </w:tr>
    </w:tbl>
    <w:p w14:paraId="70D25FE0" w14:textId="77777777" w:rsidR="006433E6" w:rsidRPr="00D228A6" w:rsidRDefault="006433E6" w:rsidP="00406F77">
      <w:pPr>
        <w:pStyle w:val="Tablenote"/>
        <w:jc w:val="left"/>
      </w:pPr>
      <w:bookmarkStart w:id="17" w:name="_Toc486853623"/>
      <w:r w:rsidRPr="00D228A6">
        <w:t>PBAC=Pharmaceutical Benefits Advisory Committee, PBS=Pharmaceutical Benefits Scheme, PICO=Population, Intervention, Comparator and Outcome, PAH=pulmonary arterial hypertension, TGA= Therapeutic Goods Administration, ToR=Terms of Reference, WHO FC=World Health Organization Functional Class</w:t>
      </w:r>
    </w:p>
    <w:p w14:paraId="51B503A5" w14:textId="77777777" w:rsidR="004C78E9" w:rsidRDefault="004C78E9">
      <w:pPr>
        <w:jc w:val="left"/>
        <w:rPr>
          <w:rFonts w:eastAsia="Times New Roman" w:cs="Times New Roman"/>
          <w:b/>
          <w:bCs/>
          <w:szCs w:val="18"/>
        </w:rPr>
      </w:pPr>
      <w:bookmarkStart w:id="18" w:name="_Ref511118454"/>
      <w:r>
        <w:br w:type="page"/>
      </w:r>
    </w:p>
    <w:p w14:paraId="2859A0BE" w14:textId="77777777" w:rsidR="006433E6" w:rsidRPr="00A94DF2" w:rsidRDefault="00E30026" w:rsidP="00C21496">
      <w:pPr>
        <w:pStyle w:val="Caption"/>
        <w:jc w:val="left"/>
      </w:pPr>
      <w:bookmarkStart w:id="19" w:name="_Toc38372123"/>
      <w:r w:rsidRPr="00A94DF2">
        <w:lastRenderedPageBreak/>
        <w:t>Table ES.</w:t>
      </w:r>
      <w:r w:rsidR="00CC79E1">
        <w:rPr>
          <w:noProof/>
        </w:rPr>
        <w:t>3</w:t>
      </w:r>
      <w:bookmarkEnd w:id="18"/>
      <w:r w:rsidRPr="00A94DF2">
        <w:tab/>
        <w:t>Methodological approach to ToR 2</w:t>
      </w:r>
      <w:bookmarkEnd w:id="19"/>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8"/>
        <w:gridCol w:w="3678"/>
        <w:gridCol w:w="4107"/>
      </w:tblGrid>
      <w:tr w:rsidR="006433E6" w:rsidRPr="00D228A6" w14:paraId="2A0E7889" w14:textId="77777777" w:rsidTr="00CD64AB">
        <w:trPr>
          <w:cantSplit/>
        </w:trPr>
        <w:tc>
          <w:tcPr>
            <w:tcW w:w="705" w:type="pct"/>
            <w:tcBorders>
              <w:bottom w:val="single" w:sz="4" w:space="0" w:color="auto"/>
            </w:tcBorders>
            <w:shd w:val="clear" w:color="auto" w:fill="BFBFBF" w:themeFill="background1" w:themeFillShade="BF"/>
          </w:tcPr>
          <w:p w14:paraId="11785DA9" w14:textId="77777777" w:rsidR="006433E6" w:rsidRPr="00D228A6" w:rsidRDefault="006433E6" w:rsidP="00B06A27">
            <w:pPr>
              <w:pStyle w:val="05Tabletext"/>
              <w:spacing w:after="20"/>
              <w:rPr>
                <w:rFonts w:ascii="Arial" w:hAnsi="Arial" w:cs="Arial"/>
                <w:b/>
                <w:sz w:val="20"/>
                <w:szCs w:val="20"/>
              </w:rPr>
            </w:pPr>
            <w:r w:rsidRPr="00D228A6">
              <w:rPr>
                <w:rFonts w:ascii="Arial" w:hAnsi="Arial" w:cs="Arial"/>
                <w:b/>
                <w:sz w:val="20"/>
                <w:szCs w:val="20"/>
              </w:rPr>
              <w:t>Analysis</w:t>
            </w:r>
          </w:p>
        </w:tc>
        <w:tc>
          <w:tcPr>
            <w:tcW w:w="2029" w:type="pct"/>
            <w:tcBorders>
              <w:bottom w:val="single" w:sz="4" w:space="0" w:color="auto"/>
            </w:tcBorders>
            <w:shd w:val="clear" w:color="auto" w:fill="BFBFBF" w:themeFill="background1" w:themeFillShade="BF"/>
          </w:tcPr>
          <w:p w14:paraId="51ADDE8E" w14:textId="77777777" w:rsidR="006433E6" w:rsidRPr="00D228A6" w:rsidRDefault="006433E6" w:rsidP="00B06A27">
            <w:pPr>
              <w:pStyle w:val="05Tabletext"/>
              <w:spacing w:after="20"/>
              <w:rPr>
                <w:rFonts w:ascii="Arial" w:hAnsi="Arial" w:cs="Arial"/>
                <w:b/>
                <w:sz w:val="20"/>
                <w:szCs w:val="20"/>
              </w:rPr>
            </w:pPr>
            <w:r w:rsidRPr="00D228A6">
              <w:rPr>
                <w:rFonts w:ascii="Arial" w:hAnsi="Arial" w:cs="Arial"/>
                <w:b/>
                <w:sz w:val="20"/>
                <w:szCs w:val="20"/>
              </w:rPr>
              <w:t>Data Source</w:t>
            </w:r>
          </w:p>
        </w:tc>
        <w:tc>
          <w:tcPr>
            <w:tcW w:w="2266" w:type="pct"/>
            <w:tcBorders>
              <w:bottom w:val="single" w:sz="4" w:space="0" w:color="auto"/>
            </w:tcBorders>
            <w:shd w:val="clear" w:color="auto" w:fill="BFBFBF" w:themeFill="background1" w:themeFillShade="BF"/>
          </w:tcPr>
          <w:p w14:paraId="163FD657" w14:textId="77777777" w:rsidR="006433E6" w:rsidRPr="00D228A6" w:rsidRDefault="006433E6" w:rsidP="00B06A27">
            <w:pPr>
              <w:pStyle w:val="05Tabletext"/>
              <w:spacing w:after="20"/>
              <w:ind w:left="141"/>
              <w:rPr>
                <w:rFonts w:ascii="Arial" w:hAnsi="Arial" w:cs="Arial"/>
                <w:b/>
                <w:sz w:val="20"/>
                <w:szCs w:val="20"/>
              </w:rPr>
            </w:pPr>
            <w:r w:rsidRPr="00D228A6">
              <w:rPr>
                <w:rFonts w:ascii="Arial" w:hAnsi="Arial" w:cs="Arial"/>
                <w:b/>
                <w:sz w:val="20"/>
                <w:szCs w:val="20"/>
              </w:rPr>
              <w:t>Methodological approach</w:t>
            </w:r>
          </w:p>
        </w:tc>
      </w:tr>
      <w:tr w:rsidR="00D228A6" w:rsidRPr="00D228A6" w14:paraId="2462A115" w14:textId="77777777" w:rsidTr="00D228A6">
        <w:trPr>
          <w:cantSplit/>
        </w:trPr>
        <w:tc>
          <w:tcPr>
            <w:tcW w:w="5000" w:type="pct"/>
            <w:gridSpan w:val="3"/>
            <w:tcBorders>
              <w:bottom w:val="single" w:sz="4" w:space="0" w:color="auto"/>
            </w:tcBorders>
            <w:shd w:val="clear" w:color="auto" w:fill="F2F2F2" w:themeFill="background1" w:themeFillShade="F2"/>
          </w:tcPr>
          <w:p w14:paraId="0832EAB4" w14:textId="77777777" w:rsidR="006433E6" w:rsidRPr="00D228A6" w:rsidRDefault="006433E6" w:rsidP="00B06A27">
            <w:pPr>
              <w:pStyle w:val="05Tabletext"/>
              <w:spacing w:after="20"/>
              <w:ind w:right="361"/>
              <w:rPr>
                <w:rFonts w:ascii="Arial" w:hAnsi="Arial" w:cs="Arial"/>
                <w:i/>
                <w:sz w:val="20"/>
                <w:szCs w:val="20"/>
              </w:rPr>
            </w:pPr>
            <w:r w:rsidRPr="00D228A6">
              <w:rPr>
                <w:rFonts w:ascii="Arial" w:hAnsi="Arial" w:cs="Arial"/>
                <w:i/>
                <w:sz w:val="20"/>
                <w:szCs w:val="20"/>
              </w:rPr>
              <w:t>ToR 2: Utilisation analysis of PAH medicines</w:t>
            </w:r>
          </w:p>
        </w:tc>
      </w:tr>
      <w:tr w:rsidR="006433E6" w:rsidRPr="00D228A6" w14:paraId="22CD33A3" w14:textId="77777777" w:rsidTr="00CD64AB">
        <w:trPr>
          <w:cantSplit/>
        </w:trPr>
        <w:tc>
          <w:tcPr>
            <w:tcW w:w="705" w:type="pct"/>
            <w:shd w:val="clear" w:color="auto" w:fill="FFFFFF" w:themeFill="background1"/>
          </w:tcPr>
          <w:p w14:paraId="76CA641D" w14:textId="77777777" w:rsidR="006433E6" w:rsidRPr="00D228A6" w:rsidRDefault="006433E6" w:rsidP="00C21496">
            <w:pPr>
              <w:pStyle w:val="05Tabletext"/>
              <w:rPr>
                <w:rFonts w:ascii="Arial" w:hAnsi="Arial" w:cs="Arial"/>
                <w:sz w:val="20"/>
                <w:szCs w:val="20"/>
              </w:rPr>
            </w:pPr>
            <w:r w:rsidRPr="00D228A6">
              <w:rPr>
                <w:rFonts w:ascii="Arial" w:hAnsi="Arial" w:cs="Arial"/>
                <w:sz w:val="20"/>
                <w:szCs w:val="20"/>
              </w:rPr>
              <w:t>1</w:t>
            </w:r>
          </w:p>
        </w:tc>
        <w:tc>
          <w:tcPr>
            <w:tcW w:w="2029" w:type="pct"/>
            <w:shd w:val="clear" w:color="auto" w:fill="FFFFFF" w:themeFill="background1"/>
          </w:tcPr>
          <w:p w14:paraId="4D6FA34C" w14:textId="77777777" w:rsidR="006433E6" w:rsidRPr="00D228A6" w:rsidRDefault="006433E6" w:rsidP="009F611D">
            <w:pPr>
              <w:pStyle w:val="05Tabletext"/>
              <w:spacing w:before="0" w:afterLines="60" w:after="144"/>
              <w:rPr>
                <w:rFonts w:ascii="Arial" w:hAnsi="Arial" w:cs="Arial"/>
                <w:sz w:val="20"/>
                <w:szCs w:val="20"/>
              </w:rPr>
            </w:pPr>
            <w:r w:rsidRPr="00D228A6">
              <w:rPr>
                <w:rFonts w:ascii="Arial" w:hAnsi="Arial" w:cs="Arial"/>
                <w:sz w:val="20"/>
                <w:szCs w:val="20"/>
              </w:rPr>
              <w:t xml:space="preserve">Utilisation analysis of </w:t>
            </w:r>
            <w:r w:rsidR="009F611D">
              <w:rPr>
                <w:rFonts w:ascii="Arial" w:hAnsi="Arial" w:cs="Arial"/>
                <w:sz w:val="20"/>
                <w:szCs w:val="20"/>
              </w:rPr>
              <w:t>PBS</w:t>
            </w:r>
            <w:r w:rsidRPr="00D228A6">
              <w:rPr>
                <w:rFonts w:ascii="Arial" w:hAnsi="Arial" w:cs="Arial"/>
                <w:sz w:val="20"/>
                <w:szCs w:val="20"/>
              </w:rPr>
              <w:t>/RPBS claims data</w:t>
            </w:r>
          </w:p>
        </w:tc>
        <w:tc>
          <w:tcPr>
            <w:tcW w:w="2266" w:type="pct"/>
            <w:shd w:val="clear" w:color="auto" w:fill="FFFFFF" w:themeFill="background1"/>
          </w:tcPr>
          <w:p w14:paraId="4ED870B4" w14:textId="77777777" w:rsidR="006433E6" w:rsidRPr="00D228A6" w:rsidRDefault="00963A31" w:rsidP="007D4133">
            <w:pPr>
              <w:pStyle w:val="Bullettext"/>
              <w:spacing w:before="0" w:afterLines="60" w:after="144"/>
              <w:ind w:left="425" w:hanging="284"/>
              <w:rPr>
                <w:rFonts w:ascii="Arial" w:hAnsi="Arial" w:cs="Arial"/>
                <w:sz w:val="20"/>
                <w:szCs w:val="20"/>
              </w:rPr>
            </w:pPr>
            <w:r>
              <w:rPr>
                <w:rFonts w:ascii="Arial" w:hAnsi="Arial" w:cs="Arial"/>
                <w:sz w:val="20"/>
                <w:szCs w:val="20"/>
              </w:rPr>
              <w:t xml:space="preserve">Analysis of </w:t>
            </w:r>
            <w:r w:rsidR="006433E6" w:rsidRPr="00D228A6">
              <w:rPr>
                <w:rFonts w:ascii="Arial" w:hAnsi="Arial" w:cs="Arial"/>
                <w:sz w:val="20"/>
                <w:szCs w:val="20"/>
              </w:rPr>
              <w:t xml:space="preserve">PAH </w:t>
            </w:r>
            <w:r w:rsidR="009F3FA8">
              <w:rPr>
                <w:rFonts w:ascii="Arial" w:hAnsi="Arial" w:cs="Arial"/>
                <w:sz w:val="20"/>
                <w:szCs w:val="20"/>
              </w:rPr>
              <w:t>Services Australia</w:t>
            </w:r>
            <w:r w:rsidR="006433E6" w:rsidRPr="00D228A6">
              <w:rPr>
                <w:rFonts w:ascii="Arial" w:hAnsi="Arial" w:cs="Arial"/>
                <w:sz w:val="20"/>
                <w:szCs w:val="20"/>
              </w:rPr>
              <w:t xml:space="preserve"> </w:t>
            </w:r>
            <w:r w:rsidR="00163B99">
              <w:rPr>
                <w:rFonts w:ascii="Arial" w:hAnsi="Arial" w:cs="Arial"/>
                <w:sz w:val="20"/>
                <w:szCs w:val="20"/>
              </w:rPr>
              <w:t xml:space="preserve">(formerly the Department of Human Services) </w:t>
            </w:r>
            <w:r w:rsidR="006433E6" w:rsidRPr="00D228A6">
              <w:rPr>
                <w:rFonts w:ascii="Arial" w:hAnsi="Arial" w:cs="Arial"/>
                <w:sz w:val="20"/>
                <w:szCs w:val="20"/>
              </w:rPr>
              <w:t xml:space="preserve">date of </w:t>
            </w:r>
            <w:r w:rsidR="007D4133">
              <w:rPr>
                <w:rFonts w:ascii="Arial" w:hAnsi="Arial" w:cs="Arial"/>
                <w:sz w:val="20"/>
                <w:szCs w:val="20"/>
              </w:rPr>
              <w:t>supply</w:t>
            </w:r>
            <w:r w:rsidR="006433E6" w:rsidRPr="00D228A6">
              <w:rPr>
                <w:rFonts w:ascii="Arial" w:hAnsi="Arial" w:cs="Arial"/>
                <w:sz w:val="20"/>
                <w:szCs w:val="20"/>
              </w:rPr>
              <w:t xml:space="preserve"> data inclusive</w:t>
            </w:r>
            <w:r w:rsidR="005F2F5B">
              <w:rPr>
                <w:rFonts w:ascii="Arial" w:hAnsi="Arial" w:cs="Arial"/>
                <w:sz w:val="20"/>
                <w:szCs w:val="20"/>
              </w:rPr>
              <w:t xml:space="preserve"> of July 2013 to December 2016</w:t>
            </w:r>
          </w:p>
          <w:p w14:paraId="606877EA" w14:textId="77777777" w:rsidR="006433E6" w:rsidRPr="007D4133" w:rsidRDefault="00963A31" w:rsidP="007D4133">
            <w:pPr>
              <w:pStyle w:val="Bullettext"/>
              <w:spacing w:before="0" w:afterLines="60" w:after="144"/>
              <w:ind w:left="426" w:hanging="284"/>
              <w:rPr>
                <w:rFonts w:ascii="Arial" w:hAnsi="Arial" w:cs="Arial"/>
                <w:sz w:val="20"/>
                <w:szCs w:val="20"/>
              </w:rPr>
            </w:pPr>
            <w:r>
              <w:rPr>
                <w:rFonts w:ascii="Arial" w:hAnsi="Arial" w:cs="Arial"/>
                <w:sz w:val="20"/>
                <w:szCs w:val="20"/>
              </w:rPr>
              <w:t xml:space="preserve">Cohort analysis of </w:t>
            </w:r>
            <w:r w:rsidR="006433E6" w:rsidRPr="00D228A6">
              <w:rPr>
                <w:rFonts w:ascii="Arial" w:hAnsi="Arial" w:cs="Arial"/>
                <w:sz w:val="20"/>
                <w:szCs w:val="20"/>
              </w:rPr>
              <w:t>de-identified</w:t>
            </w:r>
            <w:r>
              <w:rPr>
                <w:rFonts w:ascii="Arial" w:hAnsi="Arial" w:cs="Arial"/>
                <w:sz w:val="20"/>
                <w:szCs w:val="20"/>
              </w:rPr>
              <w:t xml:space="preserve"> unit record PBS/RPBS prescription dispensing and</w:t>
            </w:r>
            <w:r w:rsidR="006433E6" w:rsidRPr="00D228A6">
              <w:rPr>
                <w:rFonts w:ascii="Arial" w:hAnsi="Arial" w:cs="Arial"/>
                <w:sz w:val="20"/>
                <w:szCs w:val="20"/>
              </w:rPr>
              <w:t xml:space="preserve"> date of death data</w:t>
            </w:r>
          </w:p>
        </w:tc>
      </w:tr>
      <w:tr w:rsidR="006433E6" w:rsidRPr="00D228A6" w14:paraId="57454FC1" w14:textId="77777777" w:rsidTr="00CD64AB">
        <w:trPr>
          <w:cantSplit/>
        </w:trPr>
        <w:tc>
          <w:tcPr>
            <w:tcW w:w="705" w:type="pct"/>
            <w:shd w:val="clear" w:color="auto" w:fill="FFFFFF" w:themeFill="background1"/>
          </w:tcPr>
          <w:p w14:paraId="3542AFB5" w14:textId="77777777" w:rsidR="006433E6" w:rsidRPr="00D228A6" w:rsidRDefault="006433E6" w:rsidP="00C21496">
            <w:pPr>
              <w:pStyle w:val="05Tabletext"/>
              <w:rPr>
                <w:rFonts w:ascii="Arial" w:hAnsi="Arial" w:cs="Arial"/>
                <w:sz w:val="20"/>
                <w:szCs w:val="20"/>
              </w:rPr>
            </w:pPr>
            <w:r w:rsidRPr="00D228A6">
              <w:rPr>
                <w:rFonts w:ascii="Arial" w:hAnsi="Arial" w:cs="Arial"/>
                <w:sz w:val="20"/>
                <w:szCs w:val="20"/>
              </w:rPr>
              <w:t>2</w:t>
            </w:r>
          </w:p>
        </w:tc>
        <w:tc>
          <w:tcPr>
            <w:tcW w:w="2029" w:type="pct"/>
            <w:shd w:val="clear" w:color="auto" w:fill="FFFFFF" w:themeFill="background1"/>
          </w:tcPr>
          <w:p w14:paraId="5A5B9522" w14:textId="77777777" w:rsidR="006433E6" w:rsidRPr="00D228A6" w:rsidRDefault="006433E6" w:rsidP="007D4133">
            <w:pPr>
              <w:pStyle w:val="05Tabletext"/>
              <w:spacing w:before="0" w:afterLines="60" w:after="144"/>
              <w:rPr>
                <w:rFonts w:ascii="Arial" w:hAnsi="Arial" w:cs="Arial"/>
                <w:sz w:val="20"/>
                <w:szCs w:val="20"/>
              </w:rPr>
            </w:pPr>
            <w:r w:rsidRPr="00D228A6">
              <w:rPr>
                <w:rFonts w:ascii="Arial" w:hAnsi="Arial" w:cs="Arial"/>
                <w:sz w:val="20"/>
                <w:szCs w:val="20"/>
              </w:rPr>
              <w:t>PHSANZ registry data analysis</w:t>
            </w:r>
          </w:p>
        </w:tc>
        <w:tc>
          <w:tcPr>
            <w:tcW w:w="2266" w:type="pct"/>
            <w:shd w:val="clear" w:color="auto" w:fill="FFFFFF" w:themeFill="background1"/>
          </w:tcPr>
          <w:p w14:paraId="06752627" w14:textId="77777777" w:rsidR="006433E6" w:rsidRPr="00D228A6" w:rsidRDefault="006433E6" w:rsidP="007D4133">
            <w:pPr>
              <w:pStyle w:val="05Tabletext"/>
              <w:spacing w:before="0" w:afterLines="60" w:after="144"/>
              <w:ind w:left="425" w:hanging="284"/>
              <w:rPr>
                <w:rFonts w:ascii="Arial" w:hAnsi="Arial" w:cs="Arial"/>
                <w:sz w:val="20"/>
                <w:szCs w:val="20"/>
              </w:rPr>
            </w:pPr>
            <w:r w:rsidRPr="00D228A6">
              <w:rPr>
                <w:rFonts w:ascii="Arial" w:hAnsi="Arial" w:cs="Arial"/>
                <w:sz w:val="20"/>
                <w:szCs w:val="20"/>
              </w:rPr>
              <w:t xml:space="preserve">Cross-sectional analysis </w:t>
            </w:r>
          </w:p>
        </w:tc>
      </w:tr>
      <w:tr w:rsidR="006433E6" w:rsidRPr="00D228A6" w14:paraId="5B34D4B2" w14:textId="77777777" w:rsidTr="00CD64AB">
        <w:trPr>
          <w:cantSplit/>
        </w:trPr>
        <w:tc>
          <w:tcPr>
            <w:tcW w:w="705" w:type="pct"/>
            <w:shd w:val="clear" w:color="auto" w:fill="FFFFFF" w:themeFill="background1"/>
          </w:tcPr>
          <w:p w14:paraId="191171B0" w14:textId="77777777" w:rsidR="006433E6" w:rsidRPr="00D228A6" w:rsidRDefault="006433E6" w:rsidP="00C21496">
            <w:pPr>
              <w:pStyle w:val="05Tabletext"/>
              <w:rPr>
                <w:rFonts w:ascii="Arial" w:hAnsi="Arial" w:cs="Arial"/>
                <w:sz w:val="20"/>
                <w:szCs w:val="20"/>
              </w:rPr>
            </w:pPr>
            <w:r w:rsidRPr="00D228A6">
              <w:rPr>
                <w:rFonts w:ascii="Arial" w:hAnsi="Arial" w:cs="Arial"/>
                <w:sz w:val="20"/>
                <w:szCs w:val="20"/>
              </w:rPr>
              <w:t>3</w:t>
            </w:r>
          </w:p>
        </w:tc>
        <w:tc>
          <w:tcPr>
            <w:tcW w:w="2029" w:type="pct"/>
            <w:shd w:val="clear" w:color="auto" w:fill="FFFFFF" w:themeFill="background1"/>
          </w:tcPr>
          <w:p w14:paraId="4D4326DB" w14:textId="77777777" w:rsidR="006433E6" w:rsidRPr="00D228A6" w:rsidRDefault="006433E6" w:rsidP="007D4133">
            <w:pPr>
              <w:pStyle w:val="05Tabletext"/>
              <w:spacing w:before="0" w:afterLines="60" w:after="144"/>
              <w:rPr>
                <w:rFonts w:ascii="Arial" w:hAnsi="Arial" w:cs="Arial"/>
                <w:sz w:val="20"/>
                <w:szCs w:val="20"/>
              </w:rPr>
            </w:pPr>
            <w:r w:rsidRPr="00D228A6">
              <w:rPr>
                <w:rFonts w:ascii="Arial" w:hAnsi="Arial" w:cs="Arial"/>
                <w:sz w:val="20"/>
                <w:szCs w:val="20"/>
              </w:rPr>
              <w:t>Australian Scleroderma Cohort Study</w:t>
            </w:r>
            <w:r w:rsidR="001578B6" w:rsidRPr="00D228A6">
              <w:rPr>
                <w:rFonts w:ascii="Arial" w:hAnsi="Arial" w:cs="Arial"/>
                <w:sz w:val="20"/>
                <w:szCs w:val="20"/>
              </w:rPr>
              <w:t xml:space="preserve"> </w:t>
            </w:r>
            <w:r w:rsidRPr="00D228A6">
              <w:rPr>
                <w:rFonts w:ascii="Arial" w:hAnsi="Arial" w:cs="Arial"/>
                <w:sz w:val="20"/>
                <w:szCs w:val="20"/>
              </w:rPr>
              <w:t>data analysis</w:t>
            </w:r>
          </w:p>
        </w:tc>
        <w:tc>
          <w:tcPr>
            <w:tcW w:w="2266" w:type="pct"/>
            <w:shd w:val="clear" w:color="auto" w:fill="FFFFFF" w:themeFill="background1"/>
          </w:tcPr>
          <w:p w14:paraId="2436890F" w14:textId="77777777" w:rsidR="006433E6" w:rsidRPr="00D228A6" w:rsidRDefault="006433E6" w:rsidP="007D4133">
            <w:pPr>
              <w:pStyle w:val="05Tabletext"/>
              <w:spacing w:before="0" w:afterLines="60" w:after="144"/>
              <w:ind w:left="425" w:hanging="284"/>
              <w:rPr>
                <w:rFonts w:ascii="Arial" w:hAnsi="Arial" w:cs="Arial"/>
                <w:sz w:val="20"/>
                <w:szCs w:val="20"/>
              </w:rPr>
            </w:pPr>
            <w:r w:rsidRPr="00D228A6">
              <w:rPr>
                <w:rFonts w:ascii="Arial" w:hAnsi="Arial" w:cs="Arial"/>
                <w:sz w:val="20"/>
                <w:szCs w:val="20"/>
              </w:rPr>
              <w:t>Cross-sectional analysis</w:t>
            </w:r>
          </w:p>
        </w:tc>
      </w:tr>
    </w:tbl>
    <w:p w14:paraId="14D09F1C" w14:textId="77777777" w:rsidR="006433E6" w:rsidRPr="00D228A6" w:rsidRDefault="006433E6" w:rsidP="00C21496">
      <w:pPr>
        <w:pStyle w:val="Tablenote"/>
        <w:jc w:val="left"/>
      </w:pPr>
      <w:r w:rsidRPr="00D228A6">
        <w:t xml:space="preserve">PBS= Pharmaceutical Benefits Scheme, </w:t>
      </w:r>
      <w:r w:rsidR="00836CE4" w:rsidRPr="00D228A6">
        <w:t xml:space="preserve">PHSANZ= Pulmonary Hypertension Society of Australia and New Zealand </w:t>
      </w:r>
      <w:r w:rsidRPr="00D228A6">
        <w:t xml:space="preserve">RPBS=Repatriation Schedule of Pharmaceutical Benefits, </w:t>
      </w:r>
    </w:p>
    <w:p w14:paraId="2274C4F9" w14:textId="77777777" w:rsidR="00DE5CA2" w:rsidRPr="009F466A" w:rsidRDefault="00DE5CA2" w:rsidP="003B577F">
      <w:pPr>
        <w:pStyle w:val="Heading3"/>
      </w:pPr>
      <w:bookmarkStart w:id="20" w:name="_Toc526943990"/>
      <w:bookmarkEnd w:id="17"/>
      <w:r w:rsidRPr="009F466A">
        <w:t>Stakeholder consultation</w:t>
      </w:r>
      <w:bookmarkEnd w:id="20"/>
    </w:p>
    <w:p w14:paraId="74B54917" w14:textId="77777777" w:rsidR="00DE5CA2" w:rsidRPr="009F466A" w:rsidRDefault="00DE5CA2" w:rsidP="00C21496">
      <w:pPr>
        <w:keepNext/>
        <w:keepLines/>
        <w:jc w:val="left"/>
      </w:pPr>
      <w:r w:rsidRPr="009F466A">
        <w:t>Opportunities for stakeholder consultation throughout the</w:t>
      </w:r>
      <w:r w:rsidR="00D23B93" w:rsidRPr="009F466A">
        <w:t xml:space="preserve"> PAH Review</w:t>
      </w:r>
      <w:r w:rsidR="00836CE4" w:rsidRPr="009F466A">
        <w:t xml:space="preserve"> </w:t>
      </w:r>
      <w:r w:rsidR="00D23B93" w:rsidRPr="009F466A">
        <w:t>included:</w:t>
      </w:r>
    </w:p>
    <w:p w14:paraId="69C1DFE1" w14:textId="77777777" w:rsidR="00836CE4" w:rsidRPr="009F466A" w:rsidRDefault="004D2141" w:rsidP="00C21496">
      <w:pPr>
        <w:pStyle w:val="ListParagraph"/>
        <w:keepNext/>
        <w:keepLines/>
        <w:numPr>
          <w:ilvl w:val="0"/>
          <w:numId w:val="6"/>
        </w:numPr>
        <w:spacing w:after="0"/>
        <w:jc w:val="left"/>
      </w:pPr>
      <w:r>
        <w:t>P</w:t>
      </w:r>
      <w:r w:rsidR="00DE5CA2" w:rsidRPr="009F466A">
        <w:t>ublic consultation on the draft ToR</w:t>
      </w:r>
      <w:r>
        <w:t xml:space="preserve"> </w:t>
      </w:r>
      <w:r w:rsidR="00953B36">
        <w:t>-</w:t>
      </w:r>
      <w:r>
        <w:t xml:space="preserve"> open between 2 May and 16 May 2016.</w:t>
      </w:r>
    </w:p>
    <w:p w14:paraId="4DB6A390" w14:textId="77777777" w:rsidR="004D2141" w:rsidRDefault="004D2141" w:rsidP="00C21496">
      <w:pPr>
        <w:pStyle w:val="ListParagraph"/>
        <w:keepNext/>
        <w:keepLines/>
        <w:numPr>
          <w:ilvl w:val="0"/>
          <w:numId w:val="6"/>
        </w:numPr>
        <w:spacing w:after="0"/>
        <w:jc w:val="left"/>
      </w:pPr>
      <w:r>
        <w:t>P</w:t>
      </w:r>
      <w:r w:rsidR="00DE5CA2" w:rsidRPr="009F466A">
        <w:t>u</w:t>
      </w:r>
      <w:r w:rsidR="00836CE4" w:rsidRPr="009F466A">
        <w:t>blic submissions to the Review -</w:t>
      </w:r>
      <w:r w:rsidR="00DE5CA2" w:rsidRPr="009F466A">
        <w:t xml:space="preserve"> open between </w:t>
      </w:r>
      <w:r w:rsidR="00E118AE" w:rsidRPr="009F466A">
        <w:t>13 February and 27 March 2017</w:t>
      </w:r>
      <w:r>
        <w:t>.</w:t>
      </w:r>
    </w:p>
    <w:p w14:paraId="72ADA992" w14:textId="77777777" w:rsidR="00DE5CA2" w:rsidRPr="009F466A" w:rsidRDefault="00DE5CA2" w:rsidP="00C21496">
      <w:pPr>
        <w:pStyle w:val="ListParagraph"/>
        <w:keepNext/>
        <w:keepLines/>
        <w:numPr>
          <w:ilvl w:val="0"/>
          <w:numId w:val="6"/>
        </w:numPr>
        <w:spacing w:after="0"/>
        <w:jc w:val="left"/>
      </w:pPr>
      <w:r w:rsidRPr="009F466A">
        <w:t xml:space="preserve">Except where requested otherwise, submissions are published on the </w:t>
      </w:r>
      <w:r w:rsidR="00836CE4" w:rsidRPr="00C07794">
        <w:t>Review’s</w:t>
      </w:r>
      <w:r w:rsidRPr="00C07794">
        <w:t xml:space="preserve"> website</w:t>
      </w:r>
      <w:r w:rsidRPr="009F466A">
        <w:t>.</w:t>
      </w:r>
    </w:p>
    <w:p w14:paraId="0B4F3337" w14:textId="77777777" w:rsidR="00DE5CA2" w:rsidRPr="009F466A" w:rsidRDefault="00DE5CA2" w:rsidP="00C21496">
      <w:pPr>
        <w:pStyle w:val="ListParagraph"/>
        <w:numPr>
          <w:ilvl w:val="0"/>
          <w:numId w:val="6"/>
        </w:numPr>
        <w:spacing w:after="0"/>
        <w:jc w:val="left"/>
      </w:pPr>
      <w:r w:rsidRPr="009F466A">
        <w:t xml:space="preserve">Consumer Forum </w:t>
      </w:r>
      <w:r w:rsidR="00836CE4" w:rsidRPr="009F466A">
        <w:t>-</w:t>
      </w:r>
      <w:r w:rsidRPr="009F466A">
        <w:t xml:space="preserve"> held </w:t>
      </w:r>
      <w:r w:rsidR="00836CE4" w:rsidRPr="009F466A">
        <w:t>in Sydney on 14 October </w:t>
      </w:r>
      <w:r w:rsidR="0017746E" w:rsidRPr="009F466A">
        <w:t>with members of the Pulmonary Hypertension Association Australia (PHAA)</w:t>
      </w:r>
      <w:r w:rsidRPr="009F466A">
        <w:t xml:space="preserve">. </w:t>
      </w:r>
      <w:r w:rsidR="00836CE4" w:rsidRPr="009F466A">
        <w:t xml:space="preserve">The </w:t>
      </w:r>
      <w:r w:rsidR="00963A31">
        <w:t xml:space="preserve">record of </w:t>
      </w:r>
      <w:r w:rsidR="00836CE4" w:rsidRPr="009F466A">
        <w:t>discussion f</w:t>
      </w:r>
      <w:r w:rsidR="00963A31">
        <w:t>r</w:t>
      </w:r>
      <w:r w:rsidR="00836CE4" w:rsidRPr="009F466A">
        <w:t xml:space="preserve">om the Consumer Forum is summarised </w:t>
      </w:r>
      <w:r w:rsidR="00E154A9">
        <w:t xml:space="preserve">and included </w:t>
      </w:r>
      <w:r w:rsidR="00836CE4" w:rsidRPr="009F466A">
        <w:t>in the ToR key findings. A full version of t</w:t>
      </w:r>
      <w:r w:rsidRPr="009F466A">
        <w:t>he Consumer Forum Summary is</w:t>
      </w:r>
      <w:r w:rsidR="00836CE4" w:rsidRPr="009F466A">
        <w:t xml:space="preserve"> </w:t>
      </w:r>
      <w:r w:rsidRPr="009F466A">
        <w:t xml:space="preserve">at </w:t>
      </w:r>
      <w:r w:rsidRPr="006B7E87">
        <w:t>Appendix F,</w:t>
      </w:r>
      <w:r w:rsidRPr="009F466A">
        <w:t xml:space="preserve"> and on the </w:t>
      </w:r>
      <w:r w:rsidRPr="00C07794">
        <w:t>Review</w:t>
      </w:r>
      <w:r w:rsidR="00836CE4" w:rsidRPr="00C07794">
        <w:t>’s</w:t>
      </w:r>
      <w:r w:rsidRPr="00C07794">
        <w:t xml:space="preserve"> website</w:t>
      </w:r>
      <w:r w:rsidRPr="009F466A">
        <w:t>.</w:t>
      </w:r>
    </w:p>
    <w:p w14:paraId="786C6B1E" w14:textId="77777777" w:rsidR="00836CE4" w:rsidRPr="004D2141" w:rsidRDefault="004D2141" w:rsidP="00C21496">
      <w:pPr>
        <w:pStyle w:val="ListParagraph"/>
        <w:numPr>
          <w:ilvl w:val="0"/>
          <w:numId w:val="6"/>
        </w:numPr>
        <w:spacing w:line="240" w:lineRule="auto"/>
        <w:jc w:val="left"/>
      </w:pPr>
      <w:r>
        <w:t>P</w:t>
      </w:r>
      <w:r w:rsidR="00836CE4" w:rsidRPr="00AA01C1">
        <w:t xml:space="preserve">ublic consultation on the draft report - open </w:t>
      </w:r>
      <w:r w:rsidR="00836CE4" w:rsidRPr="004D2141">
        <w:t xml:space="preserve">from </w:t>
      </w:r>
      <w:r w:rsidR="006A54CD">
        <w:t>21 May</w:t>
      </w:r>
      <w:r w:rsidR="00D84386">
        <w:t xml:space="preserve"> </w:t>
      </w:r>
      <w:r w:rsidR="00AA01C1" w:rsidRPr="004D2141">
        <w:t>2018</w:t>
      </w:r>
      <w:r w:rsidR="00836CE4" w:rsidRPr="004D2141">
        <w:t xml:space="preserve"> to </w:t>
      </w:r>
      <w:r w:rsidR="006A54CD">
        <w:t>10 June</w:t>
      </w:r>
      <w:r w:rsidR="00D84386">
        <w:t xml:space="preserve"> </w:t>
      </w:r>
      <w:r w:rsidR="00AA01C1" w:rsidRPr="004D2141">
        <w:t>2018</w:t>
      </w:r>
      <w:r w:rsidR="00836CE4" w:rsidRPr="004D2141">
        <w:t>.</w:t>
      </w:r>
    </w:p>
    <w:p w14:paraId="72564931" w14:textId="77777777" w:rsidR="0075528A" w:rsidRPr="009F466A" w:rsidRDefault="0075528A" w:rsidP="00C21496">
      <w:pPr>
        <w:jc w:val="left"/>
        <w:rPr>
          <w:rFonts w:eastAsiaTheme="majorEastAsia" w:cstheme="majorBidi"/>
          <w:b/>
          <w:bCs/>
          <w:color w:val="4F81BD" w:themeColor="accent1"/>
          <w:sz w:val="32"/>
          <w:szCs w:val="32"/>
        </w:rPr>
      </w:pPr>
      <w:r w:rsidRPr="009F466A">
        <w:rPr>
          <w:szCs w:val="32"/>
        </w:rPr>
        <w:br w:type="page"/>
      </w:r>
    </w:p>
    <w:p w14:paraId="7342E132" w14:textId="77777777" w:rsidR="00DA60DB" w:rsidRPr="009F466A" w:rsidRDefault="002C3B52" w:rsidP="00C21496">
      <w:pPr>
        <w:pStyle w:val="Heading2"/>
        <w:jc w:val="left"/>
      </w:pPr>
      <w:bookmarkStart w:id="21" w:name="_Toc526943991"/>
      <w:r>
        <w:lastRenderedPageBreak/>
        <w:t xml:space="preserve">Key findings for </w:t>
      </w:r>
      <w:r w:rsidR="00DE5CA2" w:rsidRPr="009F466A">
        <w:t xml:space="preserve">ToR 1: </w:t>
      </w:r>
      <w:r w:rsidR="00FC36B2" w:rsidRPr="009F466A">
        <w:t>Comparison of</w:t>
      </w:r>
      <w:r w:rsidR="00623B3D" w:rsidRPr="009F466A">
        <w:t xml:space="preserve"> prescribing </w:t>
      </w:r>
      <w:r w:rsidR="00DA60DB" w:rsidRPr="009F466A">
        <w:t>restrictions</w:t>
      </w:r>
      <w:r w:rsidR="00623B3D" w:rsidRPr="009F466A">
        <w:t xml:space="preserve"> and</w:t>
      </w:r>
      <w:r w:rsidR="00FC36B2" w:rsidRPr="009F466A">
        <w:t xml:space="preserve"> </w:t>
      </w:r>
      <w:r w:rsidR="00DA60DB" w:rsidRPr="009F466A">
        <w:t>clinical guidelines</w:t>
      </w:r>
      <w:bookmarkEnd w:id="21"/>
    </w:p>
    <w:p w14:paraId="67C639DE" w14:textId="77777777" w:rsidR="006B7E87" w:rsidRPr="00196A47" w:rsidRDefault="006B7E87" w:rsidP="00C21496">
      <w:pPr>
        <w:pStyle w:val="ToRText"/>
        <w:shd w:val="clear" w:color="auto" w:fill="F2F2F2" w:themeFill="background1" w:themeFillShade="F2"/>
        <w:rPr>
          <w:b w:val="0"/>
          <w:color w:val="auto"/>
        </w:rPr>
      </w:pPr>
      <w:bookmarkStart w:id="22" w:name="_Ref508895706"/>
      <w:bookmarkStart w:id="23" w:name="_Toc502867734"/>
      <w:bookmarkStart w:id="24" w:name="_Ref508903259"/>
      <w:bookmarkStart w:id="25" w:name="_Toc508969634"/>
      <w:bookmarkStart w:id="26" w:name="_Ref508971842"/>
      <w:r w:rsidRPr="00196A47">
        <w:rPr>
          <w:b w:val="0"/>
          <w:color w:val="auto"/>
        </w:rPr>
        <w:t>Q1.</w:t>
      </w:r>
      <w:r w:rsidRPr="00196A47">
        <w:rPr>
          <w:b w:val="0"/>
          <w:color w:val="auto"/>
        </w:rPr>
        <w:tab/>
        <w:t>What are the clinical treatment algorithms recommended in recent Australian, European and North American guidelines for the treatment of WHO FC II, III and IV PAH?</w:t>
      </w:r>
    </w:p>
    <w:p w14:paraId="3AA6D97B" w14:textId="77777777" w:rsidR="00EA0855" w:rsidRPr="0063711F" w:rsidRDefault="00EA0855" w:rsidP="00C125B8">
      <w:pPr>
        <w:pStyle w:val="Heading3"/>
      </w:pPr>
      <w:bookmarkStart w:id="27" w:name="_Toc511047264"/>
      <w:bookmarkStart w:id="28" w:name="_Toc526943992"/>
      <w:r w:rsidRPr="0063711F">
        <w:t xml:space="preserve">Key findings </w:t>
      </w:r>
      <w:bookmarkEnd w:id="27"/>
      <w:r w:rsidR="00A60FA0">
        <w:t>– Research Question 1</w:t>
      </w:r>
      <w:bookmarkEnd w:id="28"/>
    </w:p>
    <w:p w14:paraId="2DF229BD" w14:textId="77777777" w:rsidR="00E154A9" w:rsidRDefault="006D2935" w:rsidP="00C21496">
      <w:pPr>
        <w:jc w:val="left"/>
      </w:pPr>
      <w:r w:rsidRPr="0063711F">
        <w:t>PAH is a rare disease and there are few clinical guidelines aside from a limited number of key documents published by United States (US) and European me</w:t>
      </w:r>
      <w:r w:rsidR="005F2F5B">
        <w:t>dical specialist organisations.</w:t>
      </w:r>
    </w:p>
    <w:p w14:paraId="3E37FA46" w14:textId="77777777" w:rsidR="006D2935" w:rsidRPr="0063711F" w:rsidRDefault="006D2935" w:rsidP="00C21496">
      <w:pPr>
        <w:jc w:val="left"/>
        <w:rPr>
          <w:i/>
        </w:rPr>
      </w:pPr>
      <w:r w:rsidRPr="0063711F">
        <w:t xml:space="preserve">The key guidelines of relevance to Australian practice are the: </w:t>
      </w:r>
    </w:p>
    <w:p w14:paraId="04891544" w14:textId="77777777" w:rsidR="006D2935" w:rsidRPr="00E154A9" w:rsidRDefault="006D2935" w:rsidP="001960CE">
      <w:pPr>
        <w:pStyle w:val="ListParagraph"/>
        <w:numPr>
          <w:ilvl w:val="0"/>
          <w:numId w:val="32"/>
        </w:numPr>
        <w:spacing w:before="120"/>
        <w:ind w:left="426" w:hanging="426"/>
        <w:jc w:val="left"/>
      </w:pPr>
      <w:r w:rsidRPr="00B565EE">
        <w:t>2015 European Society of Cardiology/European Respiratory Society (ESC/ERS) guidelines for the diagnosis and treatment of pulmonary hypertension,</w:t>
      </w:r>
    </w:p>
    <w:p w14:paraId="1A019045" w14:textId="77777777" w:rsidR="006D2935" w:rsidRPr="00E154A9" w:rsidRDefault="006D2935" w:rsidP="001960CE">
      <w:pPr>
        <w:pStyle w:val="ListParagraph"/>
        <w:numPr>
          <w:ilvl w:val="0"/>
          <w:numId w:val="32"/>
        </w:numPr>
        <w:spacing w:before="120"/>
        <w:ind w:left="426" w:hanging="426"/>
        <w:jc w:val="left"/>
      </w:pPr>
      <w:r w:rsidRPr="00E154A9">
        <w:t xml:space="preserve">the </w:t>
      </w:r>
      <w:r w:rsidRPr="00B565EE">
        <w:t xml:space="preserve">Pharmacologic therapy for pulmonary arterial hypertension in adults: CHEST guideline and expert panel report </w:t>
      </w:r>
      <w:r w:rsidRPr="00E154A9">
        <w:t>(American College of Chest Physicians,</w:t>
      </w:r>
      <w:r w:rsidRPr="00E154A9" w:rsidDel="006F16C6">
        <w:t xml:space="preserve"> </w:t>
      </w:r>
      <w:r w:rsidRPr="00E154A9">
        <w:t>2014)</w:t>
      </w:r>
      <w:r w:rsidRPr="00B565EE">
        <w:t xml:space="preserve">, </w:t>
      </w:r>
      <w:r w:rsidRPr="00E154A9">
        <w:t xml:space="preserve">and </w:t>
      </w:r>
    </w:p>
    <w:p w14:paraId="4908743E" w14:textId="77777777" w:rsidR="006D2935" w:rsidRPr="00E154A9" w:rsidRDefault="006D2935" w:rsidP="001960CE">
      <w:pPr>
        <w:pStyle w:val="ListParagraph"/>
        <w:numPr>
          <w:ilvl w:val="0"/>
          <w:numId w:val="32"/>
        </w:numPr>
        <w:spacing w:before="120" w:after="360"/>
        <w:ind w:left="425" w:hanging="425"/>
        <w:jc w:val="left"/>
        <w:rPr>
          <w:b/>
        </w:rPr>
      </w:pPr>
      <w:r w:rsidRPr="00B565EE">
        <w:rPr>
          <w:rFonts w:cstheme="minorHAnsi"/>
        </w:rPr>
        <w:t xml:space="preserve">Drugs for Pulmonary Arterial Hypertension: Comparative Efficacy, Safety, and Cost-Effectiveness — Recommendations Report </w:t>
      </w:r>
      <w:r w:rsidRPr="00E154A9">
        <w:rPr>
          <w:rFonts w:cstheme="minorHAnsi"/>
        </w:rPr>
        <w:t>(Canadian Agency for Drugs and Technologies in Health 2015)</w:t>
      </w:r>
      <w:r w:rsidRPr="00B565EE">
        <w:rPr>
          <w:rFonts w:cstheme="minorHAnsi"/>
        </w:rPr>
        <w:t>.</w:t>
      </w:r>
    </w:p>
    <w:p w14:paraId="64604BCF" w14:textId="77777777" w:rsidR="006B7E87" w:rsidRPr="00196A47" w:rsidRDefault="006B7E87" w:rsidP="00C21496">
      <w:pPr>
        <w:pStyle w:val="ToRText"/>
        <w:shd w:val="clear" w:color="auto" w:fill="F2F2F2" w:themeFill="background1" w:themeFillShade="F2"/>
        <w:rPr>
          <w:b w:val="0"/>
          <w:color w:val="auto"/>
        </w:rPr>
      </w:pPr>
      <w:bookmarkStart w:id="29" w:name="_Ref508900254"/>
      <w:bookmarkStart w:id="30" w:name="_Toc508969649"/>
      <w:bookmarkEnd w:id="22"/>
      <w:bookmarkEnd w:id="23"/>
      <w:bookmarkEnd w:id="24"/>
      <w:bookmarkEnd w:id="25"/>
      <w:bookmarkEnd w:id="26"/>
      <w:r w:rsidRPr="00196A47">
        <w:rPr>
          <w:b w:val="0"/>
          <w:color w:val="auto"/>
        </w:rPr>
        <w:t>Q2.</w:t>
      </w:r>
      <w:r w:rsidRPr="00196A47">
        <w:rPr>
          <w:b w:val="0"/>
          <w:color w:val="auto"/>
        </w:rPr>
        <w:tab/>
        <w:t>Are the current PBS restrictions for PAH medicines, the TGA-approved indications and the recommendations from clinical guidelines consistent?</w:t>
      </w:r>
    </w:p>
    <w:p w14:paraId="5D492382" w14:textId="77777777" w:rsidR="006B7E87" w:rsidRDefault="00EA0855" w:rsidP="00C125B8">
      <w:pPr>
        <w:pStyle w:val="Heading3"/>
        <w:rPr>
          <w:rStyle w:val="Heading4Char"/>
        </w:rPr>
      </w:pPr>
      <w:bookmarkStart w:id="31" w:name="_Toc526943993"/>
      <w:r>
        <w:t>Key findings</w:t>
      </w:r>
      <w:r w:rsidR="00A60FA0">
        <w:t xml:space="preserve"> – Research Question 2</w:t>
      </w:r>
      <w:bookmarkEnd w:id="31"/>
    </w:p>
    <w:p w14:paraId="59E40DDD" w14:textId="77777777" w:rsidR="006D2935" w:rsidRPr="006D2935" w:rsidRDefault="006D2935" w:rsidP="00C21496">
      <w:pPr>
        <w:pStyle w:val="BodyTextnospacebefore"/>
        <w:jc w:val="left"/>
      </w:pPr>
      <w:r w:rsidRPr="006D2935">
        <w:t>The key differences between guideline recommendations and PBS restrictions are:</w:t>
      </w:r>
    </w:p>
    <w:p w14:paraId="1CF4B6BF" w14:textId="77777777" w:rsidR="006D2935" w:rsidRPr="006D2935" w:rsidRDefault="006D2935" w:rsidP="001960CE">
      <w:pPr>
        <w:pStyle w:val="ListParagraph"/>
        <w:numPr>
          <w:ilvl w:val="0"/>
          <w:numId w:val="33"/>
        </w:numPr>
        <w:jc w:val="left"/>
      </w:pPr>
      <w:r w:rsidRPr="006D2935">
        <w:t>The PBS restrictions limit the use of PAH medicines</w:t>
      </w:r>
      <w:r w:rsidR="006D544C">
        <w:t xml:space="preserve"> to patients in WHO FC III-IV. </w:t>
      </w:r>
      <w:r w:rsidRPr="006D2935">
        <w:t>Guidelines recommend treatment of patients in WHO FC II-IV. TGA indications for PAH</w:t>
      </w:r>
      <w:r w:rsidR="00C21496">
        <w:t xml:space="preserve"> medicines cover WHO FC II-IV.</w:t>
      </w:r>
    </w:p>
    <w:p w14:paraId="73138098" w14:textId="77777777" w:rsidR="006D2935" w:rsidRPr="006D2935" w:rsidRDefault="006D2935" w:rsidP="001960CE">
      <w:pPr>
        <w:pStyle w:val="ListParagraph"/>
        <w:numPr>
          <w:ilvl w:val="0"/>
          <w:numId w:val="33"/>
        </w:numPr>
        <w:jc w:val="left"/>
      </w:pPr>
      <w:r w:rsidRPr="006D2935">
        <w:t xml:space="preserve">Guidelines recommend treatment with initial combination therapy for patients in WHO III-IV with high risk factors. In contrast to the CHEST guideline, the </w:t>
      </w:r>
      <w:r w:rsidR="006D544C">
        <w:t xml:space="preserve">2015 </w:t>
      </w:r>
      <w:r w:rsidRPr="006D2935">
        <w:t xml:space="preserve">ERS/ERC guidelines also recommend initial oral combination therapy as an option for patients </w:t>
      </w:r>
      <w:r w:rsidR="00E154A9">
        <w:t xml:space="preserve">presenting </w:t>
      </w:r>
      <w:r w:rsidRPr="006D2935">
        <w:t xml:space="preserve">in WHO FC II. The PBS restrictions limit the use of PAH medicines to </w:t>
      </w:r>
      <w:r w:rsidR="00E154A9">
        <w:t>monotherapy</w:t>
      </w:r>
      <w:r w:rsidRPr="006D2935">
        <w:t xml:space="preserve"> (the PAH agent is the sole subsidised agent for this condition) in </w:t>
      </w:r>
      <w:r w:rsidR="00E154A9">
        <w:t xml:space="preserve">WHO </w:t>
      </w:r>
      <w:r w:rsidR="005F2F5B">
        <w:t>FC III-IV.</w:t>
      </w:r>
    </w:p>
    <w:p w14:paraId="4E3944CC" w14:textId="77777777" w:rsidR="006D2935" w:rsidRPr="006D2935" w:rsidRDefault="006D2935" w:rsidP="001960CE">
      <w:pPr>
        <w:pStyle w:val="ListParagraph"/>
        <w:numPr>
          <w:ilvl w:val="0"/>
          <w:numId w:val="33"/>
        </w:numPr>
        <w:jc w:val="left"/>
      </w:pPr>
      <w:r w:rsidRPr="006D2935">
        <w:t xml:space="preserve">Guidelines also recommend sequential combination therapy for patients with an inadequate </w:t>
      </w:r>
      <w:r w:rsidR="00C21496">
        <w:t>clinical response to treatment.</w:t>
      </w:r>
      <w:r w:rsidRPr="006D2935">
        <w:t xml:space="preserve"> Patients continue on their existing </w:t>
      </w:r>
      <w:r w:rsidR="00E154A9">
        <w:t>medicine</w:t>
      </w:r>
      <w:r w:rsidRPr="006D2935">
        <w:t xml:space="preserve"> and add </w:t>
      </w:r>
      <w:r w:rsidR="00E154A9">
        <w:t>a second or third medicine</w:t>
      </w:r>
      <w:r w:rsidRPr="006D2935">
        <w:t xml:space="preserve"> as </w:t>
      </w:r>
      <w:r w:rsidR="00E154A9">
        <w:t>required.</w:t>
      </w:r>
      <w:r w:rsidR="00C21496">
        <w:t xml:space="preserve"> </w:t>
      </w:r>
      <w:r w:rsidRPr="006D2935">
        <w:t>TGA listings include combination use for ambrisentan with tadalafil, macitentan with PDE-5 inhibitor or iloprost, and riociguat with ERA or iloprost.</w:t>
      </w:r>
    </w:p>
    <w:p w14:paraId="06113070" w14:textId="77777777" w:rsidR="006D2935" w:rsidRPr="006D2935" w:rsidRDefault="006D2935" w:rsidP="001960CE">
      <w:pPr>
        <w:pStyle w:val="ListParagraph"/>
        <w:numPr>
          <w:ilvl w:val="0"/>
          <w:numId w:val="33"/>
        </w:numPr>
        <w:jc w:val="left"/>
      </w:pPr>
      <w:r w:rsidRPr="006D2935">
        <w:t>Response to treatment is defined in guidelines as clinical improvement and/or progr</w:t>
      </w:r>
      <w:r w:rsidR="00C21496">
        <w:t xml:space="preserve">ess towards therapeutic goals. </w:t>
      </w:r>
      <w:r w:rsidRPr="006D2935">
        <w:t>PBS restrictions define response to treatment as stabi</w:t>
      </w:r>
      <w:r w:rsidR="005F2F5B">
        <w:t>lity or improvement of disease.</w:t>
      </w:r>
    </w:p>
    <w:p w14:paraId="5C7BE27F" w14:textId="77777777" w:rsidR="006D2935" w:rsidRPr="006D2935" w:rsidRDefault="006D2935" w:rsidP="001960CE">
      <w:pPr>
        <w:pStyle w:val="ListParagraph"/>
        <w:numPr>
          <w:ilvl w:val="0"/>
          <w:numId w:val="33"/>
        </w:numPr>
        <w:jc w:val="left"/>
      </w:pPr>
      <w:r w:rsidRPr="006D2935">
        <w:lastRenderedPageBreak/>
        <w:t xml:space="preserve">Clinical criteria in PBS restrictions and TGA indications specify both PAH subtype and WHO FC for each PAH medicine, while guideline recommendations are based on medicine class, not individual medicines and make no suggestions as to the line of therapy. In contrast to guidelines prostanoids are neither TGA registered nor PBS-listed for PAH associated with congenital heart disease (PAH-CHD), and PDE-5 inhibitors </w:t>
      </w:r>
      <w:r w:rsidR="00247AC2">
        <w:t xml:space="preserve">are </w:t>
      </w:r>
      <w:r w:rsidRPr="006D2935">
        <w:t>not</w:t>
      </w:r>
      <w:r w:rsidR="00247AC2">
        <w:t xml:space="preserve"> registered or PBS listed </w:t>
      </w:r>
      <w:r w:rsidRPr="006D2935">
        <w:t>for WHO FC IV.</w:t>
      </w:r>
    </w:p>
    <w:p w14:paraId="17AD099E" w14:textId="77777777" w:rsidR="006D2935" w:rsidRPr="006D2935" w:rsidRDefault="006D2935" w:rsidP="001960CE">
      <w:pPr>
        <w:pStyle w:val="ListParagraph"/>
        <w:numPr>
          <w:ilvl w:val="0"/>
          <w:numId w:val="33"/>
        </w:numPr>
        <w:jc w:val="left"/>
      </w:pPr>
      <w:r w:rsidRPr="006D2935">
        <w:t xml:space="preserve">There are no PBS-listed medicines for certain PAH subtypes: PAH associated with human immunodeficiency virus </w:t>
      </w:r>
      <w:r w:rsidR="003B04F1">
        <w:t xml:space="preserve">infection </w:t>
      </w:r>
      <w:r w:rsidRPr="006D2935">
        <w:t>(PAH-HIV), associated with portal hypertension or associated with schistosomiasis.</w:t>
      </w:r>
    </w:p>
    <w:p w14:paraId="64569FF4" w14:textId="77777777" w:rsidR="006D2935" w:rsidRPr="006D2935" w:rsidRDefault="006D2935" w:rsidP="001960CE">
      <w:pPr>
        <w:pStyle w:val="ListParagraph"/>
        <w:numPr>
          <w:ilvl w:val="0"/>
          <w:numId w:val="33"/>
        </w:numPr>
        <w:jc w:val="left"/>
      </w:pPr>
      <w:r w:rsidRPr="006D2935">
        <w:t xml:space="preserve">The current terminology of PAH </w:t>
      </w:r>
      <w:r w:rsidR="00247AC2">
        <w:t>sub-</w:t>
      </w:r>
      <w:r w:rsidRPr="006D2935">
        <w:t>types in the TGA indications and PBS restrictions are inconsistent with the latest WHO classification</w:t>
      </w:r>
      <w:r w:rsidR="00247AC2">
        <w:t>s</w:t>
      </w:r>
      <w:r w:rsidRPr="006D2935">
        <w:t xml:space="preserve"> </w:t>
      </w:r>
      <w:r w:rsidR="00247AC2">
        <w:t>of</w:t>
      </w:r>
      <w:r w:rsidR="00CD64AB">
        <w:t xml:space="preserve"> pulmonary hypertension </w:t>
      </w:r>
      <w:r w:rsidR="00A43B3C">
        <w:t xml:space="preserve">(PH) </w:t>
      </w:r>
      <w:r w:rsidR="00CD64AB">
        <w:t>and PAH</w:t>
      </w:r>
      <w:r w:rsidRPr="006D2935">
        <w:t>.</w:t>
      </w:r>
    </w:p>
    <w:p w14:paraId="6A433E43" w14:textId="77777777" w:rsidR="006D2935" w:rsidRPr="006D2935" w:rsidRDefault="006D2935" w:rsidP="001960CE">
      <w:pPr>
        <w:pStyle w:val="ListParagraph"/>
        <w:numPr>
          <w:ilvl w:val="0"/>
          <w:numId w:val="33"/>
        </w:numPr>
        <w:jc w:val="left"/>
      </w:pPr>
      <w:r w:rsidRPr="006D2935">
        <w:t>PBS restrictions mostly fall within TGA-approved indications of PAH medicines, except PBS-listings for drug and toxin induced PAH (PAH-DT), and ambrisentan and ilo</w:t>
      </w:r>
      <w:r w:rsidR="004A0E15">
        <w:t>prost for heritable PAH (HPAH).</w:t>
      </w:r>
    </w:p>
    <w:p w14:paraId="30B87C63" w14:textId="77777777" w:rsidR="006D2935" w:rsidRPr="006D2935" w:rsidRDefault="006D2935" w:rsidP="001960CE">
      <w:pPr>
        <w:pStyle w:val="ListParagraph"/>
        <w:numPr>
          <w:ilvl w:val="0"/>
          <w:numId w:val="33"/>
        </w:numPr>
        <w:jc w:val="left"/>
      </w:pPr>
      <w:r w:rsidRPr="006D2935">
        <w:t>Guidelines recommend vasodilator treatment</w:t>
      </w:r>
      <w:r w:rsidR="0088227B">
        <w:t xml:space="preserve"> with calcium channel blockers (CCBs)</w:t>
      </w:r>
      <w:r w:rsidRPr="006D2935">
        <w:t xml:space="preserve"> for patients with IPAH, HPAH and PAH-DT (but not for PAH-CTD) and who also have a positive response to an acute vasoreactivity test during </w:t>
      </w:r>
      <w:r w:rsidR="007E0E6B">
        <w:t>r</w:t>
      </w:r>
      <w:r w:rsidR="007E0E6B" w:rsidRPr="00406F77">
        <w:t>ight heart catheterisation (</w:t>
      </w:r>
      <w:r w:rsidRPr="006D2935">
        <w:t>RHC</w:t>
      </w:r>
      <w:r w:rsidR="007E0E6B">
        <w:t>)</w:t>
      </w:r>
      <w:r w:rsidRPr="006D2935">
        <w:t>. The PBS restrictions however, require</w:t>
      </w:r>
      <w:r w:rsidR="00247AC2">
        <w:t xml:space="preserve"> a trial of</w:t>
      </w:r>
      <w:r w:rsidRPr="006D2935">
        <w:t xml:space="preserve"> treatment</w:t>
      </w:r>
      <w:r w:rsidR="0088227B">
        <w:t xml:space="preserve"> with CCBs</w:t>
      </w:r>
      <w:r w:rsidRPr="006D2935">
        <w:t xml:space="preserve"> in WHO FC III patients with IPAH, HPAH, PAH-DT and PAH-CTD with a mean right atrial pressure (mRAP) of 8m</w:t>
      </w:r>
      <w:r w:rsidR="004A0E15">
        <w:t>mHg of less as measured by RHC.</w:t>
      </w:r>
    </w:p>
    <w:p w14:paraId="3088B8F5" w14:textId="77777777" w:rsidR="006D2935" w:rsidRPr="006D2935" w:rsidRDefault="006D2935" w:rsidP="001960CE">
      <w:pPr>
        <w:pStyle w:val="ListParagraph"/>
        <w:numPr>
          <w:ilvl w:val="0"/>
          <w:numId w:val="33"/>
        </w:numPr>
        <w:jc w:val="left"/>
      </w:pPr>
      <w:r w:rsidRPr="006D2935">
        <w:t xml:space="preserve">Guidelines define a positive response to an acute vasoreactivity test during RHC as a decrease in </w:t>
      </w:r>
      <w:r w:rsidR="006D544C" w:rsidRPr="00406F77">
        <w:rPr>
          <w:rFonts w:cs="Arial"/>
          <w:szCs w:val="24"/>
        </w:rPr>
        <w:t>mean pulmonary arterial pressure</w:t>
      </w:r>
      <w:r w:rsidR="006D544C" w:rsidRPr="006D2935">
        <w:t xml:space="preserve"> </w:t>
      </w:r>
      <w:r w:rsidR="006D544C">
        <w:t>(</w:t>
      </w:r>
      <w:r w:rsidRPr="006D2935">
        <w:t>mPAP</w:t>
      </w:r>
      <w:r w:rsidR="006D544C">
        <w:t>)</w:t>
      </w:r>
      <w:r w:rsidRPr="006D2935">
        <w:t xml:space="preserve"> &gt;10 mm Hg, to a mPAP &lt;40 mm Hg, with no worsening of cardiac output. The PBS restrictions define the criteria for treatment</w:t>
      </w:r>
      <w:r w:rsidR="0088227B">
        <w:t xml:space="preserve"> with CCBs</w:t>
      </w:r>
      <w:r w:rsidRPr="006D2935">
        <w:t xml:space="preserve"> as being in FC III with mRAP of 8mmHg of less as measured by RHC. There are safety concerns surrounding treatment </w:t>
      </w:r>
      <w:r w:rsidR="0088227B">
        <w:t xml:space="preserve">with CCBs </w:t>
      </w:r>
      <w:r w:rsidRPr="006D2935">
        <w:t>without a positive response to an acute vasodilator test.</w:t>
      </w:r>
    </w:p>
    <w:p w14:paraId="082C646D" w14:textId="77777777" w:rsidR="006D2935" w:rsidRPr="006D2935" w:rsidRDefault="0088227B" w:rsidP="001960CE">
      <w:pPr>
        <w:pStyle w:val="ListParagraph"/>
        <w:numPr>
          <w:ilvl w:val="0"/>
          <w:numId w:val="33"/>
        </w:numPr>
        <w:jc w:val="left"/>
      </w:pPr>
      <w:r>
        <w:t>T</w:t>
      </w:r>
      <w:r w:rsidR="006D2935" w:rsidRPr="006D2935">
        <w:t>reatment</w:t>
      </w:r>
      <w:r>
        <w:t xml:space="preserve"> with CCBs</w:t>
      </w:r>
      <w:r w:rsidR="006D2935" w:rsidRPr="006D2935">
        <w:t xml:space="preserve"> should lead to dramatic clinical improvements with the first months of treatment. Close follow-up with complete reassessment is recommended after three to four mon</w:t>
      </w:r>
      <w:r w:rsidR="005F2F5B">
        <w:t>ths of therapy (including RHC).</w:t>
      </w:r>
    </w:p>
    <w:p w14:paraId="2A155FC6" w14:textId="77777777" w:rsidR="00166AC7" w:rsidRDefault="006D2935" w:rsidP="001960CE">
      <w:pPr>
        <w:pStyle w:val="ListParagraph"/>
        <w:numPr>
          <w:ilvl w:val="0"/>
          <w:numId w:val="33"/>
        </w:numPr>
        <w:jc w:val="left"/>
      </w:pPr>
      <w:r w:rsidRPr="006D2935">
        <w:t>Guideline recommendations for hypertension referral centres specify annual patient numbers as centres with a high volume of patients tend to obtain the best outcomes.</w:t>
      </w:r>
    </w:p>
    <w:p w14:paraId="1107EEEC" w14:textId="77777777" w:rsidR="00166AC7" w:rsidRDefault="00166AC7" w:rsidP="001E33D0">
      <w:pPr>
        <w:jc w:val="left"/>
      </w:pPr>
      <w:r>
        <w:br w:type="page"/>
      </w:r>
    </w:p>
    <w:p w14:paraId="78658BDA" w14:textId="77777777" w:rsidR="006B7E87" w:rsidRPr="00196A47" w:rsidRDefault="006B7E87" w:rsidP="00C21496">
      <w:pPr>
        <w:pStyle w:val="ToRText"/>
        <w:shd w:val="clear" w:color="auto" w:fill="F2F2F2" w:themeFill="background1" w:themeFillShade="F2"/>
        <w:rPr>
          <w:b w:val="0"/>
          <w:color w:val="auto"/>
        </w:rPr>
      </w:pPr>
      <w:r w:rsidRPr="00196A47">
        <w:rPr>
          <w:b w:val="0"/>
          <w:color w:val="auto"/>
        </w:rPr>
        <w:lastRenderedPageBreak/>
        <w:t>Q3.</w:t>
      </w:r>
      <w:r w:rsidRPr="00196A47">
        <w:rPr>
          <w:b w:val="0"/>
          <w:color w:val="auto"/>
        </w:rPr>
        <w:tab/>
        <w:t>Are the current diagnostic and prognostic criteria in PBS restrictions for patients with PAH consistent with Australian and international guidelines?</w:t>
      </w:r>
    </w:p>
    <w:p w14:paraId="6AB32C45" w14:textId="77777777" w:rsidR="00EA0855" w:rsidRPr="00CD4132" w:rsidRDefault="00EA0855" w:rsidP="00CD4132">
      <w:pPr>
        <w:pStyle w:val="Heading3"/>
      </w:pPr>
      <w:bookmarkStart w:id="32" w:name="_Toc526943994"/>
      <w:r>
        <w:t>Key findings</w:t>
      </w:r>
      <w:r w:rsidR="00A60FA0">
        <w:t xml:space="preserve"> – Research Question 3</w:t>
      </w:r>
      <w:bookmarkEnd w:id="32"/>
    </w:p>
    <w:p w14:paraId="76B6397E" w14:textId="77777777" w:rsidR="006D2935" w:rsidRPr="006D2935" w:rsidRDefault="006D2935" w:rsidP="001960CE">
      <w:pPr>
        <w:pStyle w:val="ListParagraph"/>
        <w:numPr>
          <w:ilvl w:val="0"/>
          <w:numId w:val="33"/>
        </w:numPr>
        <w:jc w:val="left"/>
      </w:pPr>
      <w:r w:rsidRPr="006D2935">
        <w:t xml:space="preserve">Current PBS restrictions specify three diagnostic assessments at baseline and first continuation for PAH treatment subsidy: </w:t>
      </w:r>
      <w:r w:rsidR="00CD64AB">
        <w:t xml:space="preserve">RHC, </w:t>
      </w:r>
      <w:r w:rsidR="006D544C" w:rsidRPr="00406F77">
        <w:rPr>
          <w:rFonts w:cs="Arial"/>
          <w:szCs w:val="24"/>
        </w:rPr>
        <w:t>six minute walk distance</w:t>
      </w:r>
      <w:r w:rsidR="006D544C">
        <w:t xml:space="preserve"> (</w:t>
      </w:r>
      <w:r w:rsidR="00CD64AB">
        <w:t>6MWD</w:t>
      </w:r>
      <w:r w:rsidR="006D544C">
        <w:t>)</w:t>
      </w:r>
      <w:r w:rsidR="00CD64AB">
        <w:t xml:space="preserve"> and echocardiography</w:t>
      </w:r>
      <w:r w:rsidR="006D544C">
        <w:t xml:space="preserve"> (ECHO)</w:t>
      </w:r>
      <w:r w:rsidR="00CD64AB">
        <w:t>.</w:t>
      </w:r>
    </w:p>
    <w:p w14:paraId="47C87C3A" w14:textId="77777777" w:rsidR="006D2935" w:rsidRPr="00112C29" w:rsidRDefault="003E3905" w:rsidP="001960CE">
      <w:pPr>
        <w:pStyle w:val="ListParagraph"/>
        <w:numPr>
          <w:ilvl w:val="0"/>
          <w:numId w:val="33"/>
        </w:numPr>
        <w:jc w:val="left"/>
      </w:pPr>
      <w:r>
        <w:t>G</w:t>
      </w:r>
      <w:r w:rsidR="006D2935" w:rsidRPr="00112C29">
        <w:t>uideline</w:t>
      </w:r>
      <w:r>
        <w:t>s</w:t>
      </w:r>
      <w:r w:rsidR="006D2935" w:rsidRPr="00112C29">
        <w:t xml:space="preserve"> recommend treatment choices include an assessment of the patient’s risk of PAH deterioration</w:t>
      </w:r>
      <w:r w:rsidR="008D158C">
        <w:t>.</w:t>
      </w:r>
      <w:r w:rsidR="006D2935" w:rsidRPr="00112C29">
        <w:t xml:space="preserve"> However there is no definitive set of parameters for </w:t>
      </w:r>
      <w:r w:rsidR="008D158C">
        <w:t xml:space="preserve">a </w:t>
      </w:r>
      <w:r w:rsidR="006D2935" w:rsidRPr="00112C29">
        <w:t>patient</w:t>
      </w:r>
      <w:r w:rsidR="008D158C">
        <w:t>’s</w:t>
      </w:r>
      <w:r w:rsidR="006D2935" w:rsidRPr="00112C29">
        <w:t xml:space="preserve"> risk assessment.</w:t>
      </w:r>
    </w:p>
    <w:p w14:paraId="715294CF" w14:textId="77777777" w:rsidR="006D2935" w:rsidRPr="00112C29" w:rsidRDefault="006D2935" w:rsidP="001960CE">
      <w:pPr>
        <w:pStyle w:val="ListParagraph"/>
        <w:numPr>
          <w:ilvl w:val="0"/>
          <w:numId w:val="33"/>
        </w:numPr>
        <w:jc w:val="left"/>
      </w:pPr>
      <w:r w:rsidRPr="00112C29">
        <w:t>PAH treatment decisions without RHC are not recommended unless RHC is contraindicated. Where RHC is unavailable or contraindicated the current PBS restriction defines PAH as</w:t>
      </w:r>
      <w:r w:rsidR="008D158C">
        <w:t>:</w:t>
      </w:r>
      <w:r w:rsidRPr="00112C29">
        <w:t xml:space="preserve"> right ventricular systolic pressure (RVSP) assessed by ECHO, greater than 40 mmHg with normal left ventricular function. The guidelines recommend measurement of peak </w:t>
      </w:r>
      <w:r w:rsidR="00345DA9">
        <w:t>t</w:t>
      </w:r>
      <w:r w:rsidRPr="00112C29">
        <w:t xml:space="preserve">ricuspid </w:t>
      </w:r>
      <w:r w:rsidR="00345DA9">
        <w:t>r</w:t>
      </w:r>
      <w:r w:rsidRPr="00112C29">
        <w:t xml:space="preserve">egurgitation </w:t>
      </w:r>
      <w:r w:rsidR="00345DA9">
        <w:t>v</w:t>
      </w:r>
      <w:r w:rsidRPr="00112C29">
        <w:t>elocity (TRV) as the key cardiographic variable predictive of PAH. PAH is likely if TRV is ≥2.9ms−1 and additional echocardiographic variables suggestive of PH are present, or if TRV is ≥3.4 m·s−1 with no other signs. Other variables include measures for the ventricles, pulmonary artery</w:t>
      </w:r>
      <w:r w:rsidR="008D158C">
        <w:t>,</w:t>
      </w:r>
      <w:r w:rsidRPr="00112C29">
        <w:t xml:space="preserve"> inferior vena cava and right atrium</w:t>
      </w:r>
      <w:r w:rsidR="006B7E87" w:rsidRPr="00112C29">
        <w:t>, which i</w:t>
      </w:r>
      <w:r w:rsidRPr="00112C29">
        <w:t>n the absence of TRV</w:t>
      </w:r>
      <w:r w:rsidR="006651AD">
        <w:t>, can also be indicative</w:t>
      </w:r>
      <w:r w:rsidR="006B7E87" w:rsidRPr="00112C29">
        <w:t xml:space="preserve"> of PAH</w:t>
      </w:r>
      <w:r w:rsidR="008D158C">
        <w:t xml:space="preserve"> (refer to</w:t>
      </w:r>
      <w:r w:rsidR="00146FA9">
        <w:t xml:space="preserve"> ToR </w:t>
      </w:r>
      <w:r w:rsidR="004E5298">
        <w:t>1</w:t>
      </w:r>
      <w:r w:rsidR="00146FA9">
        <w:t>, Table 1.9, p.54</w:t>
      </w:r>
      <w:r w:rsidR="008D158C">
        <w:t>)</w:t>
      </w:r>
      <w:r w:rsidR="005F2F5B">
        <w:t>.</w:t>
      </w:r>
    </w:p>
    <w:p w14:paraId="0823BDF1" w14:textId="77777777" w:rsidR="00257F1A" w:rsidRPr="00257F1A" w:rsidRDefault="00257F1A" w:rsidP="00C21496">
      <w:pPr>
        <w:pStyle w:val="BodyTextnospacebefore"/>
        <w:jc w:val="left"/>
      </w:pPr>
      <w:r>
        <w:t>A comparison between PBS restrictions, TGA indications and guideline recommendations is</w:t>
      </w:r>
      <w:r w:rsidRPr="00257F1A">
        <w:t xml:space="preserve"> shown in </w:t>
      </w:r>
      <w:r w:rsidR="00CC79E1">
        <w:t>Table ES.</w:t>
      </w:r>
      <w:r w:rsidR="00CC79E1">
        <w:rPr>
          <w:noProof/>
        </w:rPr>
        <w:t>4</w:t>
      </w:r>
      <w:r w:rsidR="00C51109">
        <w:t xml:space="preserve"> </w:t>
      </w:r>
      <w:r w:rsidR="00D6795A">
        <w:t>below</w:t>
      </w:r>
      <w:r w:rsidRPr="00257F1A">
        <w:t>.</w:t>
      </w:r>
    </w:p>
    <w:bookmarkEnd w:id="29"/>
    <w:bookmarkEnd w:id="30"/>
    <w:p w14:paraId="5E3A7A06" w14:textId="77777777" w:rsidR="0072798C" w:rsidRPr="009F466A" w:rsidRDefault="0072798C" w:rsidP="00C21496">
      <w:pPr>
        <w:jc w:val="left"/>
      </w:pPr>
    </w:p>
    <w:p w14:paraId="04683038" w14:textId="77777777" w:rsidR="002B3771" w:rsidRPr="009F466A" w:rsidRDefault="002B3771" w:rsidP="00C21496">
      <w:pPr>
        <w:jc w:val="left"/>
        <w:sectPr w:rsidR="002B3771" w:rsidRPr="009F466A" w:rsidSect="006D2935">
          <w:endnotePr>
            <w:numFmt w:val="decimal"/>
          </w:endnotePr>
          <w:pgSz w:w="11906" w:h="16838"/>
          <w:pgMar w:top="1134" w:right="1134" w:bottom="1134" w:left="1701" w:header="709" w:footer="709" w:gutter="0"/>
          <w:cols w:space="708"/>
          <w:titlePg/>
          <w:docGrid w:linePitch="360"/>
        </w:sectPr>
      </w:pPr>
    </w:p>
    <w:p w14:paraId="2C0E875F" w14:textId="77777777" w:rsidR="002B3771" w:rsidRPr="009F466A" w:rsidRDefault="00E30026" w:rsidP="00C21496">
      <w:pPr>
        <w:pStyle w:val="Caption"/>
        <w:jc w:val="left"/>
      </w:pPr>
      <w:bookmarkStart w:id="33" w:name="_Ref508895856"/>
      <w:bookmarkStart w:id="34" w:name="_Toc508969635"/>
      <w:bookmarkStart w:id="35" w:name="_Toc38372124"/>
      <w:r>
        <w:lastRenderedPageBreak/>
        <w:t>Table ES.</w:t>
      </w:r>
      <w:r w:rsidR="00CC79E1">
        <w:rPr>
          <w:noProof/>
        </w:rPr>
        <w:t>4</w:t>
      </w:r>
      <w:bookmarkEnd w:id="33"/>
      <w:bookmarkEnd w:id="34"/>
      <w:r w:rsidRPr="00E30026">
        <w:t xml:space="preserve"> </w:t>
      </w:r>
      <w:r w:rsidR="004A1130">
        <w:tab/>
      </w:r>
      <w:r>
        <w:t>Comparison of PBS restrictions, TGA indications and PAH guidelines</w:t>
      </w:r>
      <w:bookmarkEnd w:id="35"/>
    </w:p>
    <w:tbl>
      <w:tblPr>
        <w:tblStyle w:val="TableGrid"/>
        <w:tblW w:w="0" w:type="auto"/>
        <w:tblLook w:val="04A0" w:firstRow="1" w:lastRow="0" w:firstColumn="1" w:lastColumn="0" w:noHBand="0" w:noVBand="1"/>
        <w:tblCaption w:val="Summary of PBS-TGA-PAH Guidelines alignment"/>
      </w:tblPr>
      <w:tblGrid>
        <w:gridCol w:w="1706"/>
        <w:gridCol w:w="3364"/>
        <w:gridCol w:w="3827"/>
        <w:gridCol w:w="5071"/>
      </w:tblGrid>
      <w:tr w:rsidR="00196A47" w:rsidRPr="00196A47" w14:paraId="42E46472" w14:textId="77777777" w:rsidTr="00FF6202">
        <w:trPr>
          <w:trHeight w:val="492"/>
          <w:tblHeader/>
        </w:trPr>
        <w:tc>
          <w:tcPr>
            <w:tcW w:w="1706" w:type="dxa"/>
            <w:shd w:val="clear" w:color="auto" w:fill="BFBFBF" w:themeFill="background1" w:themeFillShade="BF"/>
            <w:vAlign w:val="center"/>
          </w:tcPr>
          <w:p w14:paraId="446C15BD" w14:textId="77777777" w:rsidR="002B3771" w:rsidRPr="00196A47" w:rsidRDefault="002B3771" w:rsidP="00C21496">
            <w:pPr>
              <w:spacing w:before="60" w:after="60"/>
              <w:ind w:right="57"/>
              <w:contextualSpacing/>
              <w:jc w:val="left"/>
              <w:rPr>
                <w:rFonts w:ascii="Arial" w:hAnsi="Arial" w:cs="Arial"/>
                <w:b/>
              </w:rPr>
            </w:pPr>
            <w:r w:rsidRPr="00196A47">
              <w:rPr>
                <w:rFonts w:ascii="Arial" w:hAnsi="Arial" w:cs="Arial"/>
                <w:b/>
              </w:rPr>
              <w:t>Criterion</w:t>
            </w:r>
          </w:p>
        </w:tc>
        <w:tc>
          <w:tcPr>
            <w:tcW w:w="3364" w:type="dxa"/>
            <w:shd w:val="clear" w:color="auto" w:fill="BFBFBF" w:themeFill="background1" w:themeFillShade="BF"/>
            <w:vAlign w:val="center"/>
          </w:tcPr>
          <w:p w14:paraId="018ABF6B" w14:textId="77777777" w:rsidR="002B3771" w:rsidRPr="00196A47" w:rsidRDefault="002B3771" w:rsidP="00C21496">
            <w:pPr>
              <w:spacing w:before="60" w:after="60"/>
              <w:ind w:left="57" w:right="57"/>
              <w:contextualSpacing/>
              <w:jc w:val="left"/>
              <w:rPr>
                <w:rFonts w:ascii="Arial" w:hAnsi="Arial" w:cs="Arial"/>
                <w:b/>
              </w:rPr>
            </w:pPr>
            <w:r w:rsidRPr="00196A47">
              <w:rPr>
                <w:rFonts w:ascii="Arial" w:hAnsi="Arial" w:cs="Arial"/>
                <w:b/>
              </w:rPr>
              <w:t>PBS Listings</w:t>
            </w:r>
          </w:p>
        </w:tc>
        <w:tc>
          <w:tcPr>
            <w:tcW w:w="3827" w:type="dxa"/>
            <w:shd w:val="clear" w:color="auto" w:fill="BFBFBF" w:themeFill="background1" w:themeFillShade="BF"/>
            <w:vAlign w:val="center"/>
          </w:tcPr>
          <w:p w14:paraId="42DE117C" w14:textId="77777777" w:rsidR="002B3771" w:rsidRPr="00196A47" w:rsidRDefault="002B3771" w:rsidP="00C21496">
            <w:pPr>
              <w:spacing w:before="60" w:after="60"/>
              <w:ind w:left="57" w:right="57"/>
              <w:contextualSpacing/>
              <w:jc w:val="left"/>
              <w:rPr>
                <w:rFonts w:ascii="Arial" w:hAnsi="Arial" w:cs="Arial"/>
                <w:b/>
              </w:rPr>
            </w:pPr>
            <w:r w:rsidRPr="00196A47">
              <w:rPr>
                <w:rFonts w:ascii="Arial" w:hAnsi="Arial" w:cs="Arial"/>
                <w:b/>
              </w:rPr>
              <w:t>TGA Status</w:t>
            </w:r>
          </w:p>
        </w:tc>
        <w:tc>
          <w:tcPr>
            <w:tcW w:w="5071" w:type="dxa"/>
            <w:shd w:val="clear" w:color="auto" w:fill="BFBFBF" w:themeFill="background1" w:themeFillShade="BF"/>
            <w:vAlign w:val="center"/>
          </w:tcPr>
          <w:p w14:paraId="5C51A2EE" w14:textId="77777777" w:rsidR="002B3771" w:rsidRPr="00196A47" w:rsidRDefault="002B3771" w:rsidP="00C21496">
            <w:pPr>
              <w:spacing w:before="60" w:after="60"/>
              <w:ind w:left="57" w:right="57"/>
              <w:contextualSpacing/>
              <w:jc w:val="left"/>
              <w:rPr>
                <w:rFonts w:ascii="Arial" w:hAnsi="Arial" w:cs="Arial"/>
                <w:b/>
              </w:rPr>
            </w:pPr>
            <w:r w:rsidRPr="00196A47">
              <w:rPr>
                <w:rFonts w:ascii="Arial" w:hAnsi="Arial" w:cs="Arial"/>
                <w:b/>
              </w:rPr>
              <w:t>PAH Guidelines</w:t>
            </w:r>
          </w:p>
        </w:tc>
      </w:tr>
      <w:tr w:rsidR="00601985" w:rsidRPr="009F466A" w14:paraId="512EA7A6" w14:textId="77777777" w:rsidTr="00075CB2">
        <w:tc>
          <w:tcPr>
            <w:tcW w:w="1706" w:type="dxa"/>
          </w:tcPr>
          <w:p w14:paraId="4EEE370A" w14:textId="77777777" w:rsidR="002B3771" w:rsidRPr="00E47602" w:rsidRDefault="002B3771" w:rsidP="00C21496">
            <w:pPr>
              <w:ind w:left="57" w:right="57"/>
              <w:contextualSpacing/>
              <w:jc w:val="left"/>
              <w:rPr>
                <w:rFonts w:ascii="Arial" w:hAnsi="Arial" w:cs="Arial"/>
              </w:rPr>
            </w:pPr>
            <w:r w:rsidRPr="00E47602">
              <w:rPr>
                <w:rFonts w:ascii="Arial" w:hAnsi="Arial" w:cs="Arial"/>
              </w:rPr>
              <w:t>WHO FC</w:t>
            </w:r>
          </w:p>
        </w:tc>
        <w:tc>
          <w:tcPr>
            <w:tcW w:w="3364" w:type="dxa"/>
          </w:tcPr>
          <w:p w14:paraId="23C25B5E" w14:textId="77777777" w:rsidR="002B3771" w:rsidRPr="00E47602" w:rsidRDefault="00A4503B" w:rsidP="00C21496">
            <w:pPr>
              <w:ind w:left="57" w:right="57"/>
              <w:contextualSpacing/>
              <w:jc w:val="left"/>
              <w:rPr>
                <w:rFonts w:ascii="Arial" w:hAnsi="Arial" w:cs="Arial"/>
              </w:rPr>
            </w:pPr>
            <w:r w:rsidRPr="00E47602">
              <w:rPr>
                <w:rFonts w:ascii="Arial" w:hAnsi="Arial" w:cs="Arial"/>
              </w:rPr>
              <w:t xml:space="preserve">Treatment for </w:t>
            </w:r>
            <w:r w:rsidR="002B3771" w:rsidRPr="00E47602">
              <w:rPr>
                <w:rFonts w:ascii="Arial" w:hAnsi="Arial" w:cs="Arial"/>
              </w:rPr>
              <w:t>WHO FC III-IV</w:t>
            </w:r>
            <w:r w:rsidRPr="00E47602">
              <w:rPr>
                <w:rFonts w:ascii="Arial" w:hAnsi="Arial" w:cs="Arial"/>
              </w:rPr>
              <w:t xml:space="preserve"> PAH</w:t>
            </w:r>
          </w:p>
          <w:p w14:paraId="7237EBBA" w14:textId="77777777" w:rsidR="002B3771" w:rsidRPr="00E47602" w:rsidRDefault="002B3771" w:rsidP="00C21496">
            <w:pPr>
              <w:ind w:right="57"/>
              <w:contextualSpacing/>
              <w:jc w:val="left"/>
              <w:rPr>
                <w:rFonts w:ascii="Arial" w:hAnsi="Arial" w:cs="Arial"/>
              </w:rPr>
            </w:pPr>
          </w:p>
        </w:tc>
        <w:tc>
          <w:tcPr>
            <w:tcW w:w="3827" w:type="dxa"/>
          </w:tcPr>
          <w:p w14:paraId="665B42D1" w14:textId="77777777" w:rsidR="002B3771" w:rsidRPr="00E47602" w:rsidRDefault="002B3771" w:rsidP="00C21496">
            <w:pPr>
              <w:ind w:left="57" w:right="57"/>
              <w:contextualSpacing/>
              <w:jc w:val="left"/>
              <w:rPr>
                <w:rFonts w:ascii="Arial" w:hAnsi="Arial" w:cs="Arial"/>
              </w:rPr>
            </w:pPr>
            <w:r w:rsidRPr="00E47602">
              <w:rPr>
                <w:rFonts w:ascii="Arial" w:hAnsi="Arial" w:cs="Arial"/>
              </w:rPr>
              <w:t>P</w:t>
            </w:r>
            <w:r w:rsidR="00023A50" w:rsidRPr="00E47602">
              <w:rPr>
                <w:rFonts w:ascii="Arial" w:hAnsi="Arial" w:cs="Arial"/>
              </w:rPr>
              <w:t>rostanoids -</w:t>
            </w:r>
            <w:r w:rsidRPr="00E47602">
              <w:rPr>
                <w:rFonts w:ascii="Arial" w:hAnsi="Arial" w:cs="Arial"/>
              </w:rPr>
              <w:t xml:space="preserve"> WHO FC Class III-IV</w:t>
            </w:r>
          </w:p>
          <w:p w14:paraId="561F3CB1" w14:textId="77777777" w:rsidR="002B3771" w:rsidRPr="00E47602" w:rsidRDefault="00023A50" w:rsidP="00C21496">
            <w:pPr>
              <w:ind w:left="57" w:right="57"/>
              <w:contextualSpacing/>
              <w:jc w:val="left"/>
              <w:rPr>
                <w:rFonts w:ascii="Arial" w:hAnsi="Arial" w:cs="Arial"/>
              </w:rPr>
            </w:pPr>
            <w:r w:rsidRPr="00E47602">
              <w:rPr>
                <w:rFonts w:ascii="Arial" w:hAnsi="Arial" w:cs="Arial"/>
              </w:rPr>
              <w:t>PDE-</w:t>
            </w:r>
            <w:r w:rsidR="002B3771" w:rsidRPr="00E47602">
              <w:rPr>
                <w:rFonts w:ascii="Arial" w:hAnsi="Arial" w:cs="Arial"/>
              </w:rPr>
              <w:t>5i</w:t>
            </w:r>
            <w:r w:rsidRPr="00E47602">
              <w:rPr>
                <w:rFonts w:ascii="Arial" w:hAnsi="Arial" w:cs="Arial"/>
              </w:rPr>
              <w:t xml:space="preserve"> -</w:t>
            </w:r>
            <w:r w:rsidR="002B3771" w:rsidRPr="00E47602">
              <w:rPr>
                <w:rFonts w:ascii="Arial" w:hAnsi="Arial" w:cs="Arial"/>
              </w:rPr>
              <w:t xml:space="preserve"> WHO FC Class II-III</w:t>
            </w:r>
          </w:p>
          <w:p w14:paraId="07683A4E" w14:textId="77777777" w:rsidR="002B3771" w:rsidRPr="00E47602" w:rsidRDefault="00023A50" w:rsidP="00C21496">
            <w:pPr>
              <w:ind w:left="57" w:right="57"/>
              <w:contextualSpacing/>
              <w:jc w:val="left"/>
              <w:rPr>
                <w:rFonts w:ascii="Arial" w:hAnsi="Arial" w:cs="Arial"/>
              </w:rPr>
            </w:pPr>
            <w:r w:rsidRPr="00E47602">
              <w:rPr>
                <w:rFonts w:ascii="Arial" w:hAnsi="Arial" w:cs="Arial"/>
              </w:rPr>
              <w:t>ERA -</w:t>
            </w:r>
            <w:r w:rsidR="002B3771" w:rsidRPr="00E47602">
              <w:rPr>
                <w:rFonts w:ascii="Arial" w:hAnsi="Arial" w:cs="Arial"/>
              </w:rPr>
              <w:t xml:space="preserve"> WHO FC II-IV</w:t>
            </w:r>
          </w:p>
          <w:p w14:paraId="44917A4F" w14:textId="77777777" w:rsidR="002B3771" w:rsidRPr="00E47602" w:rsidRDefault="002B3771" w:rsidP="00C21496">
            <w:pPr>
              <w:ind w:left="57" w:right="57"/>
              <w:contextualSpacing/>
              <w:jc w:val="left"/>
              <w:rPr>
                <w:rFonts w:ascii="Arial" w:hAnsi="Arial" w:cs="Arial"/>
              </w:rPr>
            </w:pPr>
            <w:r w:rsidRPr="00E47602">
              <w:rPr>
                <w:rFonts w:ascii="Arial" w:hAnsi="Arial" w:cs="Arial"/>
              </w:rPr>
              <w:t>sGC stimulators</w:t>
            </w:r>
            <w:r w:rsidR="00023A50" w:rsidRPr="00E47602">
              <w:rPr>
                <w:rFonts w:ascii="Arial" w:hAnsi="Arial" w:cs="Arial"/>
              </w:rPr>
              <w:t xml:space="preserve"> -</w:t>
            </w:r>
            <w:r w:rsidRPr="00E47602">
              <w:rPr>
                <w:rFonts w:ascii="Arial" w:hAnsi="Arial" w:cs="Arial"/>
              </w:rPr>
              <w:t xml:space="preserve"> WHO FC II-IV</w:t>
            </w:r>
          </w:p>
        </w:tc>
        <w:tc>
          <w:tcPr>
            <w:tcW w:w="5071" w:type="dxa"/>
          </w:tcPr>
          <w:p w14:paraId="1C0DF67A"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Monitoring for WHO FC I </w:t>
            </w:r>
          </w:p>
          <w:p w14:paraId="5EB56EA0" w14:textId="77777777" w:rsidR="002B3771" w:rsidRPr="00E47602" w:rsidRDefault="002B3771" w:rsidP="00C21496">
            <w:pPr>
              <w:ind w:left="57" w:right="57"/>
              <w:contextualSpacing/>
              <w:jc w:val="left"/>
              <w:rPr>
                <w:rFonts w:ascii="Arial" w:hAnsi="Arial" w:cs="Arial"/>
              </w:rPr>
            </w:pPr>
            <w:r w:rsidRPr="00E47602">
              <w:rPr>
                <w:rFonts w:ascii="Arial" w:hAnsi="Arial" w:cs="Arial"/>
              </w:rPr>
              <w:t>Oral agents for WHO FC II</w:t>
            </w:r>
          </w:p>
          <w:p w14:paraId="7161D4D3" w14:textId="77777777" w:rsidR="002B3771" w:rsidRPr="00E47602" w:rsidRDefault="002B3771" w:rsidP="00C21496">
            <w:pPr>
              <w:ind w:left="57" w:right="57"/>
              <w:contextualSpacing/>
              <w:jc w:val="left"/>
              <w:rPr>
                <w:rFonts w:ascii="Arial" w:hAnsi="Arial" w:cs="Arial"/>
              </w:rPr>
            </w:pPr>
            <w:r w:rsidRPr="00E47602">
              <w:rPr>
                <w:rFonts w:ascii="Arial" w:hAnsi="Arial" w:cs="Arial"/>
              </w:rPr>
              <w:t>Oral agents or prostanoids for WHO FC III-IV</w:t>
            </w:r>
          </w:p>
        </w:tc>
      </w:tr>
      <w:tr w:rsidR="00601985" w:rsidRPr="009F466A" w14:paraId="23FE9B77" w14:textId="77777777" w:rsidTr="00075CB2">
        <w:tc>
          <w:tcPr>
            <w:tcW w:w="1706" w:type="dxa"/>
          </w:tcPr>
          <w:p w14:paraId="05E27508" w14:textId="77777777" w:rsidR="002B3771" w:rsidRPr="00E47602" w:rsidRDefault="002B3771" w:rsidP="00C21496">
            <w:pPr>
              <w:ind w:left="57" w:right="57"/>
              <w:contextualSpacing/>
              <w:jc w:val="left"/>
              <w:rPr>
                <w:rFonts w:ascii="Arial" w:hAnsi="Arial" w:cs="Arial"/>
              </w:rPr>
            </w:pPr>
            <w:r w:rsidRPr="00E47602">
              <w:rPr>
                <w:rFonts w:ascii="Arial" w:hAnsi="Arial" w:cs="Arial"/>
              </w:rPr>
              <w:t>Oral PAH medicines place in therapy</w:t>
            </w:r>
          </w:p>
        </w:tc>
        <w:tc>
          <w:tcPr>
            <w:tcW w:w="3364" w:type="dxa"/>
          </w:tcPr>
          <w:p w14:paraId="5BB072B2" w14:textId="77777777" w:rsidR="002B3771" w:rsidRPr="00E47602" w:rsidRDefault="00023A50" w:rsidP="00C21496">
            <w:pPr>
              <w:ind w:left="57" w:right="57"/>
              <w:contextualSpacing/>
              <w:jc w:val="left"/>
              <w:rPr>
                <w:rFonts w:ascii="Arial" w:hAnsi="Arial" w:cs="Arial"/>
              </w:rPr>
            </w:pPr>
            <w:r w:rsidRPr="00E47602">
              <w:rPr>
                <w:rFonts w:ascii="Arial" w:hAnsi="Arial" w:cs="Arial"/>
              </w:rPr>
              <w:t>PDE-</w:t>
            </w:r>
            <w:r w:rsidR="002B3771" w:rsidRPr="00E47602">
              <w:rPr>
                <w:rFonts w:ascii="Arial" w:hAnsi="Arial" w:cs="Arial"/>
              </w:rPr>
              <w:t>5</w:t>
            </w:r>
            <w:r w:rsidRPr="00E47602">
              <w:rPr>
                <w:rFonts w:ascii="Arial" w:hAnsi="Arial" w:cs="Arial"/>
              </w:rPr>
              <w:t>i</w:t>
            </w:r>
            <w:r w:rsidR="002B3771" w:rsidRPr="00E47602">
              <w:rPr>
                <w:rFonts w:ascii="Arial" w:hAnsi="Arial" w:cs="Arial"/>
              </w:rPr>
              <w:t xml:space="preserve"> </w:t>
            </w:r>
            <w:r w:rsidR="00A4503B" w:rsidRPr="00E47602">
              <w:rPr>
                <w:rFonts w:ascii="Arial" w:hAnsi="Arial" w:cs="Arial"/>
              </w:rPr>
              <w:t>-</w:t>
            </w:r>
            <w:r w:rsidR="002B3771" w:rsidRPr="00E47602">
              <w:rPr>
                <w:rFonts w:ascii="Arial" w:hAnsi="Arial" w:cs="Arial"/>
              </w:rPr>
              <w:t xml:space="preserve"> WHO FC III</w:t>
            </w:r>
          </w:p>
          <w:p w14:paraId="1B2CF8BF" w14:textId="77777777" w:rsidR="00023A50" w:rsidRPr="00E47602" w:rsidRDefault="00023A50" w:rsidP="00C21496">
            <w:pPr>
              <w:ind w:left="57" w:right="57"/>
              <w:contextualSpacing/>
              <w:jc w:val="left"/>
              <w:rPr>
                <w:rFonts w:ascii="Arial" w:hAnsi="Arial" w:cs="Arial"/>
              </w:rPr>
            </w:pPr>
            <w:r w:rsidRPr="00E47602">
              <w:rPr>
                <w:rFonts w:ascii="Arial" w:hAnsi="Arial" w:cs="Arial"/>
              </w:rPr>
              <w:t>ERA</w:t>
            </w:r>
            <w:r w:rsidR="00A4503B" w:rsidRPr="00E47602">
              <w:rPr>
                <w:rFonts w:ascii="Arial" w:hAnsi="Arial" w:cs="Arial"/>
              </w:rPr>
              <w:t xml:space="preserve"> - WHO FC III-IV </w:t>
            </w:r>
          </w:p>
          <w:p w14:paraId="274F8850"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sGC stimulator </w:t>
            </w:r>
            <w:r w:rsidR="00A4503B" w:rsidRPr="00E47602">
              <w:rPr>
                <w:rFonts w:ascii="Arial" w:hAnsi="Arial" w:cs="Arial"/>
              </w:rPr>
              <w:t>-</w:t>
            </w:r>
            <w:r w:rsidRPr="00E47602">
              <w:rPr>
                <w:rFonts w:ascii="Arial" w:hAnsi="Arial" w:cs="Arial"/>
              </w:rPr>
              <w:t xml:space="preserve"> WHO FC III-IV</w:t>
            </w:r>
          </w:p>
        </w:tc>
        <w:tc>
          <w:tcPr>
            <w:tcW w:w="3827" w:type="dxa"/>
          </w:tcPr>
          <w:p w14:paraId="312D1F22" w14:textId="77777777" w:rsidR="002B3771" w:rsidRPr="00E47602" w:rsidRDefault="00023A50" w:rsidP="00C21496">
            <w:pPr>
              <w:ind w:left="57" w:right="57"/>
              <w:contextualSpacing/>
              <w:jc w:val="left"/>
              <w:rPr>
                <w:rFonts w:ascii="Arial" w:hAnsi="Arial" w:cs="Arial"/>
              </w:rPr>
            </w:pPr>
            <w:r w:rsidRPr="00E47602">
              <w:rPr>
                <w:rFonts w:ascii="Arial" w:hAnsi="Arial" w:cs="Arial"/>
              </w:rPr>
              <w:t>PDE-</w:t>
            </w:r>
            <w:r w:rsidR="002B3771" w:rsidRPr="00E47602">
              <w:rPr>
                <w:rFonts w:ascii="Arial" w:hAnsi="Arial" w:cs="Arial"/>
              </w:rPr>
              <w:t>5</w:t>
            </w:r>
            <w:r w:rsidRPr="00E47602">
              <w:rPr>
                <w:rFonts w:ascii="Arial" w:hAnsi="Arial" w:cs="Arial"/>
              </w:rPr>
              <w:t>i -</w:t>
            </w:r>
            <w:r w:rsidR="002B3771" w:rsidRPr="00E47602">
              <w:rPr>
                <w:rFonts w:ascii="Arial" w:hAnsi="Arial" w:cs="Arial"/>
              </w:rPr>
              <w:t xml:space="preserve"> WHO FC Class II-III</w:t>
            </w:r>
          </w:p>
          <w:p w14:paraId="2B102C6D" w14:textId="77777777" w:rsidR="002B3771" w:rsidRPr="00E47602" w:rsidRDefault="00023A50" w:rsidP="00C21496">
            <w:pPr>
              <w:ind w:left="57" w:right="57"/>
              <w:contextualSpacing/>
              <w:jc w:val="left"/>
              <w:rPr>
                <w:rFonts w:ascii="Arial" w:hAnsi="Arial" w:cs="Arial"/>
              </w:rPr>
            </w:pPr>
            <w:r w:rsidRPr="00E47602">
              <w:rPr>
                <w:rFonts w:ascii="Arial" w:hAnsi="Arial" w:cs="Arial"/>
              </w:rPr>
              <w:t>ERA -</w:t>
            </w:r>
            <w:r w:rsidR="002B3771" w:rsidRPr="00E47602">
              <w:rPr>
                <w:rFonts w:ascii="Arial" w:hAnsi="Arial" w:cs="Arial"/>
              </w:rPr>
              <w:t xml:space="preserve"> WHO FC II-IV</w:t>
            </w:r>
          </w:p>
          <w:p w14:paraId="2685199B" w14:textId="77777777" w:rsidR="002B3771" w:rsidRPr="00E47602" w:rsidRDefault="002B3771" w:rsidP="00C21496">
            <w:pPr>
              <w:ind w:left="57" w:right="57"/>
              <w:contextualSpacing/>
              <w:jc w:val="left"/>
              <w:rPr>
                <w:rFonts w:ascii="Arial" w:hAnsi="Arial" w:cs="Arial"/>
              </w:rPr>
            </w:pPr>
            <w:r w:rsidRPr="00E47602">
              <w:rPr>
                <w:rFonts w:ascii="Arial" w:hAnsi="Arial" w:cs="Arial"/>
              </w:rPr>
              <w:t>s</w:t>
            </w:r>
            <w:r w:rsidR="00023A50" w:rsidRPr="00E47602">
              <w:rPr>
                <w:rFonts w:ascii="Arial" w:hAnsi="Arial" w:cs="Arial"/>
              </w:rPr>
              <w:t>GC stimulator -</w:t>
            </w:r>
            <w:r w:rsidRPr="00E47602">
              <w:rPr>
                <w:rFonts w:ascii="Arial" w:hAnsi="Arial" w:cs="Arial"/>
              </w:rPr>
              <w:t xml:space="preserve"> WHO FC II-IV</w:t>
            </w:r>
          </w:p>
        </w:tc>
        <w:tc>
          <w:tcPr>
            <w:tcW w:w="5071" w:type="dxa"/>
          </w:tcPr>
          <w:p w14:paraId="5B341823" w14:textId="77777777" w:rsidR="002B3771" w:rsidRPr="00E47602" w:rsidRDefault="00A4503B" w:rsidP="00C21496">
            <w:pPr>
              <w:ind w:left="57" w:right="57"/>
              <w:contextualSpacing/>
              <w:jc w:val="left"/>
              <w:rPr>
                <w:rFonts w:ascii="Arial" w:hAnsi="Arial" w:cs="Arial"/>
              </w:rPr>
            </w:pPr>
            <w:r w:rsidRPr="00E47602">
              <w:rPr>
                <w:rFonts w:ascii="Arial" w:hAnsi="Arial" w:cs="Arial"/>
              </w:rPr>
              <w:t>Standard of care (SoC)</w:t>
            </w:r>
            <w:r w:rsidR="002B3771" w:rsidRPr="00E47602">
              <w:rPr>
                <w:rFonts w:ascii="Arial" w:hAnsi="Arial" w:cs="Arial"/>
              </w:rPr>
              <w:t xml:space="preserve"> for WHO FC II-III</w:t>
            </w:r>
          </w:p>
          <w:p w14:paraId="788EE5D5" w14:textId="77777777" w:rsidR="002B3771" w:rsidRPr="00E47602" w:rsidRDefault="002B3771" w:rsidP="00C21496">
            <w:pPr>
              <w:ind w:left="57" w:right="57"/>
              <w:contextualSpacing/>
              <w:jc w:val="left"/>
              <w:rPr>
                <w:rFonts w:ascii="Arial" w:hAnsi="Arial" w:cs="Arial"/>
              </w:rPr>
            </w:pPr>
            <w:r w:rsidRPr="00E47602">
              <w:rPr>
                <w:rFonts w:ascii="Arial" w:hAnsi="Arial" w:cs="Arial"/>
              </w:rPr>
              <w:t>In combination with other oral agents or prostanoids for WHO FC IV</w:t>
            </w:r>
          </w:p>
          <w:p w14:paraId="1D140488" w14:textId="77777777" w:rsidR="002B3771" w:rsidRPr="00E47602" w:rsidRDefault="002B3771" w:rsidP="00C21496">
            <w:pPr>
              <w:ind w:left="57" w:right="57"/>
              <w:contextualSpacing/>
              <w:jc w:val="left"/>
              <w:rPr>
                <w:rFonts w:ascii="Arial" w:hAnsi="Arial" w:cs="Arial"/>
              </w:rPr>
            </w:pPr>
            <w:r w:rsidRPr="00E47602">
              <w:rPr>
                <w:rFonts w:ascii="Arial" w:hAnsi="Arial" w:cs="Arial"/>
              </w:rPr>
              <w:t>No recommendations based on line of therapy (1</w:t>
            </w:r>
            <w:r w:rsidRPr="00E47602">
              <w:rPr>
                <w:rFonts w:ascii="Arial" w:hAnsi="Arial" w:cs="Arial"/>
                <w:vertAlign w:val="superscript"/>
              </w:rPr>
              <w:t>st</w:t>
            </w:r>
            <w:r w:rsidRPr="00E47602">
              <w:rPr>
                <w:rFonts w:ascii="Arial" w:hAnsi="Arial" w:cs="Arial"/>
              </w:rPr>
              <w:t xml:space="preserve"> line etc)</w:t>
            </w:r>
          </w:p>
        </w:tc>
      </w:tr>
      <w:tr w:rsidR="00601985" w:rsidRPr="009F466A" w14:paraId="06D467FA" w14:textId="77777777" w:rsidTr="00075CB2">
        <w:tc>
          <w:tcPr>
            <w:tcW w:w="1706" w:type="dxa"/>
          </w:tcPr>
          <w:p w14:paraId="799EF7B3" w14:textId="77777777" w:rsidR="002B3771" w:rsidRPr="00E47602" w:rsidRDefault="002B3771" w:rsidP="00C21496">
            <w:pPr>
              <w:ind w:left="57" w:right="57"/>
              <w:contextualSpacing/>
              <w:jc w:val="left"/>
              <w:rPr>
                <w:rFonts w:ascii="Arial" w:hAnsi="Arial" w:cs="Arial"/>
              </w:rPr>
            </w:pPr>
            <w:r w:rsidRPr="00E47602">
              <w:rPr>
                <w:rFonts w:ascii="Arial" w:hAnsi="Arial" w:cs="Arial"/>
              </w:rPr>
              <w:t>Prostanoids place in therapy</w:t>
            </w:r>
          </w:p>
        </w:tc>
        <w:tc>
          <w:tcPr>
            <w:tcW w:w="3364" w:type="dxa"/>
          </w:tcPr>
          <w:p w14:paraId="62917534" w14:textId="77777777" w:rsidR="00023A50" w:rsidRPr="00E47602" w:rsidRDefault="001951EA" w:rsidP="00C21496">
            <w:pPr>
              <w:ind w:left="57" w:right="57"/>
              <w:contextualSpacing/>
              <w:jc w:val="left"/>
              <w:rPr>
                <w:rFonts w:ascii="Arial" w:hAnsi="Arial" w:cs="Arial"/>
              </w:rPr>
            </w:pPr>
            <w:r w:rsidRPr="00E47602">
              <w:rPr>
                <w:rFonts w:ascii="Arial" w:hAnsi="Arial" w:cs="Arial"/>
              </w:rPr>
              <w:t>e</w:t>
            </w:r>
            <w:r w:rsidR="00023A50" w:rsidRPr="00E47602">
              <w:rPr>
                <w:rFonts w:ascii="Arial" w:hAnsi="Arial" w:cs="Arial"/>
              </w:rPr>
              <w:t xml:space="preserve">poprostenol - </w:t>
            </w:r>
            <w:r w:rsidR="002B3771" w:rsidRPr="00E47602">
              <w:rPr>
                <w:rFonts w:ascii="Arial" w:hAnsi="Arial" w:cs="Arial"/>
              </w:rPr>
              <w:t>2</w:t>
            </w:r>
            <w:r w:rsidR="002B3771" w:rsidRPr="00E47602">
              <w:rPr>
                <w:rFonts w:ascii="Arial" w:hAnsi="Arial" w:cs="Arial"/>
                <w:vertAlign w:val="superscript"/>
              </w:rPr>
              <w:t>nd</w:t>
            </w:r>
            <w:r w:rsidRPr="00E47602">
              <w:rPr>
                <w:rFonts w:ascii="Arial" w:hAnsi="Arial" w:cs="Arial"/>
              </w:rPr>
              <w:t xml:space="preserve"> line </w:t>
            </w:r>
            <w:r w:rsidR="002B3771" w:rsidRPr="00E47602">
              <w:rPr>
                <w:rFonts w:ascii="Arial" w:hAnsi="Arial" w:cs="Arial"/>
              </w:rPr>
              <w:t>WHO FC III</w:t>
            </w:r>
            <w:r w:rsidRPr="00E47602">
              <w:rPr>
                <w:rFonts w:ascii="Arial" w:hAnsi="Arial" w:cs="Arial"/>
              </w:rPr>
              <w:t>,</w:t>
            </w:r>
          </w:p>
          <w:p w14:paraId="014A2A61" w14:textId="77777777" w:rsidR="001951EA" w:rsidRPr="00E47602" w:rsidRDefault="001951EA" w:rsidP="00C21496">
            <w:pPr>
              <w:ind w:left="57" w:right="57"/>
              <w:contextualSpacing/>
              <w:jc w:val="left"/>
              <w:rPr>
                <w:rFonts w:ascii="Arial" w:hAnsi="Arial" w:cs="Arial"/>
              </w:rPr>
            </w:pPr>
            <w:r w:rsidRPr="00E47602">
              <w:rPr>
                <w:rFonts w:ascii="Arial" w:hAnsi="Arial" w:cs="Arial"/>
              </w:rPr>
              <w:t>1</w:t>
            </w:r>
            <w:r w:rsidRPr="00E47602">
              <w:rPr>
                <w:rFonts w:ascii="Arial" w:hAnsi="Arial" w:cs="Arial"/>
                <w:vertAlign w:val="superscript"/>
              </w:rPr>
              <w:t>st</w:t>
            </w:r>
            <w:r w:rsidRPr="00E47602">
              <w:rPr>
                <w:rFonts w:ascii="Arial" w:hAnsi="Arial" w:cs="Arial"/>
              </w:rPr>
              <w:t xml:space="preserve"> line in FC IV</w:t>
            </w:r>
          </w:p>
          <w:p w14:paraId="15488097" w14:textId="77777777" w:rsidR="001951EA" w:rsidRPr="00E47602" w:rsidRDefault="009567F6" w:rsidP="00C21496">
            <w:pPr>
              <w:ind w:left="57" w:right="57"/>
              <w:contextualSpacing/>
              <w:jc w:val="left"/>
              <w:rPr>
                <w:rFonts w:ascii="Arial" w:hAnsi="Arial" w:cs="Arial"/>
              </w:rPr>
            </w:pPr>
            <w:r w:rsidRPr="00E47602">
              <w:rPr>
                <w:rFonts w:ascii="Arial" w:hAnsi="Arial" w:cs="Arial"/>
              </w:rPr>
              <w:t>iloprost for PAH-DT FC III-IV and</w:t>
            </w:r>
          </w:p>
          <w:p w14:paraId="1979E0EC" w14:textId="77777777" w:rsidR="001951EA" w:rsidRPr="00E47602" w:rsidRDefault="001951EA" w:rsidP="00C21496">
            <w:pPr>
              <w:ind w:left="57" w:right="57"/>
              <w:contextualSpacing/>
              <w:jc w:val="left"/>
              <w:rPr>
                <w:rFonts w:ascii="Arial" w:hAnsi="Arial" w:cs="Arial"/>
              </w:rPr>
            </w:pPr>
            <w:r w:rsidRPr="00E47602">
              <w:rPr>
                <w:rFonts w:ascii="Arial" w:hAnsi="Arial" w:cs="Arial"/>
              </w:rPr>
              <w:t>FC IV.</w:t>
            </w:r>
          </w:p>
          <w:p w14:paraId="73B68853" w14:textId="77777777" w:rsidR="002B3771" w:rsidRPr="00E47602" w:rsidRDefault="009567F6" w:rsidP="00C21496">
            <w:pPr>
              <w:ind w:left="57" w:right="57"/>
              <w:contextualSpacing/>
              <w:jc w:val="left"/>
              <w:rPr>
                <w:rFonts w:ascii="Arial" w:hAnsi="Arial" w:cs="Arial"/>
                <w:i/>
              </w:rPr>
            </w:pPr>
            <w:r w:rsidRPr="00E47602">
              <w:rPr>
                <w:rFonts w:ascii="Arial" w:hAnsi="Arial" w:cs="Arial"/>
              </w:rPr>
              <w:t>No prostanoids listed</w:t>
            </w:r>
            <w:r w:rsidR="002B3771" w:rsidRPr="00E47602">
              <w:rPr>
                <w:rFonts w:ascii="Arial" w:hAnsi="Arial" w:cs="Arial"/>
              </w:rPr>
              <w:t xml:space="preserve"> for PAH-CHD</w:t>
            </w:r>
          </w:p>
        </w:tc>
        <w:tc>
          <w:tcPr>
            <w:tcW w:w="3827" w:type="dxa"/>
          </w:tcPr>
          <w:p w14:paraId="3C98BE64" w14:textId="77777777" w:rsidR="001951EA" w:rsidRPr="00E47602" w:rsidRDefault="001951EA" w:rsidP="00C21496">
            <w:pPr>
              <w:ind w:left="57" w:right="57"/>
              <w:contextualSpacing/>
              <w:jc w:val="left"/>
              <w:rPr>
                <w:rFonts w:ascii="Arial" w:hAnsi="Arial" w:cs="Arial"/>
              </w:rPr>
            </w:pPr>
            <w:r w:rsidRPr="00E47602">
              <w:rPr>
                <w:rFonts w:ascii="Arial" w:hAnsi="Arial" w:cs="Arial"/>
              </w:rPr>
              <w:t xml:space="preserve">epoprostenol registered for IPAH, HPAH, PAH-CTD </w:t>
            </w:r>
          </w:p>
          <w:p w14:paraId="4ACCE9A7" w14:textId="77777777" w:rsidR="002B3771" w:rsidRPr="00E47602" w:rsidRDefault="001951EA" w:rsidP="00C21496">
            <w:pPr>
              <w:ind w:left="57" w:right="57"/>
              <w:contextualSpacing/>
              <w:jc w:val="left"/>
              <w:rPr>
                <w:rFonts w:ascii="Arial" w:hAnsi="Arial" w:cs="Arial"/>
              </w:rPr>
            </w:pPr>
            <w:r w:rsidRPr="00E47602">
              <w:rPr>
                <w:rFonts w:ascii="Arial" w:hAnsi="Arial" w:cs="Arial"/>
              </w:rPr>
              <w:t>i</w:t>
            </w:r>
            <w:r w:rsidR="002B3771" w:rsidRPr="00E47602">
              <w:rPr>
                <w:rFonts w:ascii="Arial" w:hAnsi="Arial" w:cs="Arial"/>
              </w:rPr>
              <w:t>loprost registered for IPAH</w:t>
            </w:r>
            <w:r w:rsidR="00601985" w:rsidRPr="00E47602">
              <w:rPr>
                <w:rFonts w:ascii="Arial" w:hAnsi="Arial" w:cs="Arial"/>
              </w:rPr>
              <w:t>,</w:t>
            </w:r>
            <w:r w:rsidR="002B3771" w:rsidRPr="00E47602">
              <w:rPr>
                <w:rFonts w:ascii="Arial" w:hAnsi="Arial" w:cs="Arial"/>
              </w:rPr>
              <w:t xml:space="preserve"> PAH-CTD</w:t>
            </w:r>
            <w:r w:rsidR="00601985" w:rsidRPr="00E47602">
              <w:rPr>
                <w:rFonts w:ascii="Arial" w:hAnsi="Arial" w:cs="Arial"/>
              </w:rPr>
              <w:t xml:space="preserve"> and PAH-DT</w:t>
            </w:r>
          </w:p>
          <w:p w14:paraId="322C9804" w14:textId="77777777" w:rsidR="002B3771" w:rsidRPr="00E47602" w:rsidRDefault="009567F6" w:rsidP="00C21496">
            <w:pPr>
              <w:ind w:left="57" w:right="57"/>
              <w:contextualSpacing/>
              <w:jc w:val="left"/>
              <w:rPr>
                <w:rFonts w:ascii="Arial" w:hAnsi="Arial" w:cs="Arial"/>
              </w:rPr>
            </w:pPr>
            <w:r w:rsidRPr="00E47602">
              <w:rPr>
                <w:rFonts w:ascii="Arial" w:hAnsi="Arial" w:cs="Arial"/>
              </w:rPr>
              <w:t>No prostanoids approved for PAH-CHD.</w:t>
            </w:r>
          </w:p>
        </w:tc>
        <w:tc>
          <w:tcPr>
            <w:tcW w:w="5071" w:type="dxa"/>
          </w:tcPr>
          <w:p w14:paraId="73D09DF4" w14:textId="77777777" w:rsidR="002B3771" w:rsidRPr="00E47602" w:rsidRDefault="002B3771" w:rsidP="00C21496">
            <w:pPr>
              <w:ind w:left="57" w:right="57"/>
              <w:contextualSpacing/>
              <w:jc w:val="left"/>
              <w:rPr>
                <w:rFonts w:ascii="Arial" w:hAnsi="Arial" w:cs="Arial"/>
              </w:rPr>
            </w:pPr>
            <w:r w:rsidRPr="00E47602">
              <w:rPr>
                <w:rFonts w:ascii="Arial" w:hAnsi="Arial" w:cs="Arial"/>
              </w:rPr>
              <w:t>Recommended for WHO FC III (especially high risk) and WHO FC IV</w:t>
            </w:r>
          </w:p>
          <w:p w14:paraId="254884F1" w14:textId="77777777" w:rsidR="002B3771" w:rsidRPr="00E47602" w:rsidRDefault="002B3771" w:rsidP="00C21496">
            <w:pPr>
              <w:ind w:left="57" w:right="57"/>
              <w:contextualSpacing/>
              <w:jc w:val="left"/>
              <w:rPr>
                <w:rFonts w:ascii="Arial" w:hAnsi="Arial" w:cs="Arial"/>
              </w:rPr>
            </w:pPr>
            <w:r w:rsidRPr="00E47602">
              <w:rPr>
                <w:rFonts w:ascii="Arial" w:hAnsi="Arial" w:cs="Arial"/>
              </w:rPr>
              <w:t>No recommendations based on line of therapy</w:t>
            </w:r>
          </w:p>
          <w:p w14:paraId="6A20C938" w14:textId="77777777" w:rsidR="002B3771" w:rsidRPr="00E47602" w:rsidRDefault="002B3771" w:rsidP="00C21496">
            <w:pPr>
              <w:ind w:left="57" w:right="57"/>
              <w:contextualSpacing/>
              <w:jc w:val="left"/>
              <w:rPr>
                <w:rFonts w:ascii="Arial" w:hAnsi="Arial" w:cs="Arial"/>
              </w:rPr>
            </w:pPr>
            <w:r w:rsidRPr="00E47602">
              <w:rPr>
                <w:rFonts w:ascii="Arial" w:hAnsi="Arial" w:cs="Arial"/>
              </w:rPr>
              <w:t>Recommendations for PAH-CHD are consensus based but are otherwise consistent with WHO Group 1 conditions</w:t>
            </w:r>
          </w:p>
        </w:tc>
      </w:tr>
      <w:tr w:rsidR="00601985" w:rsidRPr="009F466A" w14:paraId="5517F224" w14:textId="77777777" w:rsidTr="00075CB2">
        <w:tc>
          <w:tcPr>
            <w:tcW w:w="1706" w:type="dxa"/>
          </w:tcPr>
          <w:p w14:paraId="1DA59440" w14:textId="77777777" w:rsidR="002B3771" w:rsidRPr="00E47602" w:rsidRDefault="002B3771" w:rsidP="00C21496">
            <w:pPr>
              <w:ind w:left="57" w:right="57"/>
              <w:contextualSpacing/>
              <w:jc w:val="left"/>
              <w:rPr>
                <w:rFonts w:ascii="Arial" w:hAnsi="Arial" w:cs="Arial"/>
              </w:rPr>
            </w:pPr>
            <w:r w:rsidRPr="00E47602">
              <w:rPr>
                <w:rFonts w:ascii="Arial" w:hAnsi="Arial" w:cs="Arial"/>
              </w:rPr>
              <w:t>PAH subtypes</w:t>
            </w:r>
          </w:p>
        </w:tc>
        <w:tc>
          <w:tcPr>
            <w:tcW w:w="3364" w:type="dxa"/>
          </w:tcPr>
          <w:p w14:paraId="74351817" w14:textId="77777777" w:rsidR="001951EA" w:rsidRPr="00E47602" w:rsidRDefault="001951EA" w:rsidP="00C21496">
            <w:pPr>
              <w:ind w:left="57" w:right="57"/>
              <w:contextualSpacing/>
              <w:jc w:val="left"/>
              <w:rPr>
                <w:rFonts w:ascii="Arial" w:hAnsi="Arial" w:cs="Arial"/>
              </w:rPr>
            </w:pPr>
            <w:r w:rsidRPr="00E47602">
              <w:rPr>
                <w:rFonts w:ascii="Arial" w:hAnsi="Arial" w:cs="Arial"/>
              </w:rPr>
              <w:t xml:space="preserve">Medicines are </w:t>
            </w:r>
            <w:r w:rsidR="009567F6" w:rsidRPr="00E47602">
              <w:rPr>
                <w:rFonts w:ascii="Arial" w:hAnsi="Arial" w:cs="Arial"/>
              </w:rPr>
              <w:t>PBS-</w:t>
            </w:r>
            <w:r w:rsidR="000253E9" w:rsidRPr="00E47602">
              <w:rPr>
                <w:rFonts w:ascii="Arial" w:hAnsi="Arial" w:cs="Arial"/>
              </w:rPr>
              <w:t xml:space="preserve">listed </w:t>
            </w:r>
            <w:r w:rsidRPr="00E47602">
              <w:rPr>
                <w:rFonts w:ascii="Arial" w:hAnsi="Arial" w:cs="Arial"/>
              </w:rPr>
              <w:t>by PAH subtype</w:t>
            </w:r>
          </w:p>
          <w:p w14:paraId="33EA1714" w14:textId="77777777" w:rsidR="002B3771" w:rsidRPr="00E47602" w:rsidRDefault="001951EA" w:rsidP="00C21496">
            <w:pPr>
              <w:ind w:left="57" w:right="57"/>
              <w:contextualSpacing/>
              <w:jc w:val="left"/>
              <w:rPr>
                <w:rFonts w:ascii="Arial" w:hAnsi="Arial" w:cs="Arial"/>
              </w:rPr>
            </w:pPr>
            <w:r w:rsidRPr="00E47602">
              <w:rPr>
                <w:rFonts w:ascii="Arial" w:hAnsi="Arial" w:cs="Arial"/>
              </w:rPr>
              <w:t>Tre</w:t>
            </w:r>
            <w:r w:rsidR="009567F6" w:rsidRPr="00E47602">
              <w:rPr>
                <w:rFonts w:ascii="Arial" w:hAnsi="Arial" w:cs="Arial"/>
              </w:rPr>
              <w:t>atment for IPAH, HPAH, PAH-CTD and</w:t>
            </w:r>
            <w:r w:rsidR="002B3771" w:rsidRPr="00E47602">
              <w:rPr>
                <w:rFonts w:ascii="Arial" w:hAnsi="Arial" w:cs="Arial"/>
              </w:rPr>
              <w:t xml:space="preserve"> PAH-DT</w:t>
            </w:r>
          </w:p>
          <w:p w14:paraId="36842352" w14:textId="77777777" w:rsidR="002B3771" w:rsidRPr="00E47602" w:rsidRDefault="009567F6" w:rsidP="00C21496">
            <w:pPr>
              <w:ind w:left="57" w:right="57"/>
              <w:contextualSpacing/>
              <w:jc w:val="left"/>
              <w:rPr>
                <w:rFonts w:ascii="Arial" w:hAnsi="Arial" w:cs="Arial"/>
              </w:rPr>
            </w:pPr>
            <w:r w:rsidRPr="00E47602">
              <w:rPr>
                <w:rFonts w:ascii="Arial" w:hAnsi="Arial" w:cs="Arial"/>
              </w:rPr>
              <w:t>Oral medicines</w:t>
            </w:r>
            <w:r w:rsidR="002B3771" w:rsidRPr="00E47602">
              <w:rPr>
                <w:rFonts w:ascii="Arial" w:hAnsi="Arial" w:cs="Arial"/>
              </w:rPr>
              <w:t xml:space="preserve"> </w:t>
            </w:r>
            <w:r w:rsidR="001951EA" w:rsidRPr="00E47602">
              <w:rPr>
                <w:rFonts w:ascii="Arial" w:hAnsi="Arial" w:cs="Arial"/>
              </w:rPr>
              <w:t>-</w:t>
            </w:r>
            <w:r w:rsidR="002B3771" w:rsidRPr="00E47602">
              <w:rPr>
                <w:rFonts w:ascii="Arial" w:hAnsi="Arial" w:cs="Arial"/>
              </w:rPr>
              <w:t xml:space="preserve"> PAH-CHD</w:t>
            </w:r>
          </w:p>
          <w:p w14:paraId="064BDE74" w14:textId="77777777" w:rsidR="002B3771" w:rsidRPr="00E47602" w:rsidRDefault="009567F6" w:rsidP="00C21496">
            <w:pPr>
              <w:ind w:left="57" w:right="57"/>
              <w:contextualSpacing/>
              <w:jc w:val="left"/>
              <w:rPr>
                <w:rFonts w:ascii="Arial" w:hAnsi="Arial" w:cs="Arial"/>
              </w:rPr>
            </w:pPr>
            <w:r w:rsidRPr="00E47602">
              <w:rPr>
                <w:rFonts w:ascii="Arial" w:hAnsi="Arial" w:cs="Arial"/>
              </w:rPr>
              <w:t>No listings</w:t>
            </w:r>
            <w:r w:rsidR="001951EA" w:rsidRPr="00E47602">
              <w:rPr>
                <w:rFonts w:ascii="Arial" w:hAnsi="Arial" w:cs="Arial"/>
              </w:rPr>
              <w:t xml:space="preserve"> for PAH-HIV + </w:t>
            </w:r>
            <w:r w:rsidR="002B3771" w:rsidRPr="00E47602">
              <w:rPr>
                <w:rFonts w:ascii="Arial" w:hAnsi="Arial" w:cs="Arial"/>
              </w:rPr>
              <w:t>PAH-PH</w:t>
            </w:r>
          </w:p>
        </w:tc>
        <w:tc>
          <w:tcPr>
            <w:tcW w:w="3827" w:type="dxa"/>
          </w:tcPr>
          <w:p w14:paraId="27A1BD91" w14:textId="77777777" w:rsidR="002B3771" w:rsidRPr="00E47602" w:rsidRDefault="000253E9" w:rsidP="00C21496">
            <w:pPr>
              <w:ind w:left="57" w:right="57"/>
              <w:contextualSpacing/>
              <w:jc w:val="left"/>
              <w:rPr>
                <w:rFonts w:ascii="Arial" w:hAnsi="Arial" w:cs="Arial"/>
              </w:rPr>
            </w:pPr>
            <w:r w:rsidRPr="00E47602">
              <w:rPr>
                <w:rFonts w:ascii="Arial" w:hAnsi="Arial" w:cs="Arial"/>
              </w:rPr>
              <w:t xml:space="preserve">Medicines are </w:t>
            </w:r>
            <w:r w:rsidR="009567F6" w:rsidRPr="00E47602">
              <w:rPr>
                <w:rFonts w:ascii="Arial" w:hAnsi="Arial" w:cs="Arial"/>
              </w:rPr>
              <w:t>approved</w:t>
            </w:r>
            <w:r w:rsidRPr="00E47602">
              <w:rPr>
                <w:rFonts w:ascii="Arial" w:hAnsi="Arial" w:cs="Arial"/>
              </w:rPr>
              <w:t xml:space="preserve"> by PAH subtype</w:t>
            </w:r>
          </w:p>
          <w:p w14:paraId="02F22AB6" w14:textId="77777777" w:rsidR="002B3771" w:rsidRPr="00E47602" w:rsidRDefault="00514D55" w:rsidP="00C21496">
            <w:pPr>
              <w:ind w:left="57" w:right="57"/>
              <w:contextualSpacing/>
              <w:jc w:val="left"/>
              <w:rPr>
                <w:rFonts w:ascii="Arial" w:hAnsi="Arial" w:cs="Arial"/>
              </w:rPr>
            </w:pPr>
            <w:r w:rsidRPr="00E47602">
              <w:rPr>
                <w:rFonts w:ascii="Arial" w:hAnsi="Arial" w:cs="Arial"/>
              </w:rPr>
              <w:t>s</w:t>
            </w:r>
            <w:r w:rsidR="002B3771" w:rsidRPr="00E47602">
              <w:rPr>
                <w:rFonts w:ascii="Arial" w:hAnsi="Arial" w:cs="Arial"/>
              </w:rPr>
              <w:t>ildenafil, tadalafil</w:t>
            </w:r>
            <w:r w:rsidR="000253E9" w:rsidRPr="00E47602">
              <w:rPr>
                <w:rFonts w:ascii="Arial" w:hAnsi="Arial" w:cs="Arial"/>
              </w:rPr>
              <w:t xml:space="preserve">, </w:t>
            </w:r>
            <w:r w:rsidR="002B3771" w:rsidRPr="00E47602">
              <w:rPr>
                <w:rFonts w:ascii="Arial" w:hAnsi="Arial" w:cs="Arial"/>
              </w:rPr>
              <w:t>ambrisentan</w:t>
            </w:r>
            <w:r w:rsidR="009567F6" w:rsidRPr="00E47602">
              <w:rPr>
                <w:rFonts w:ascii="Arial" w:hAnsi="Arial" w:cs="Arial"/>
              </w:rPr>
              <w:t xml:space="preserve"> </w:t>
            </w:r>
            <w:r w:rsidR="002B3771" w:rsidRPr="00E47602">
              <w:rPr>
                <w:rFonts w:ascii="Arial" w:hAnsi="Arial" w:cs="Arial"/>
              </w:rPr>
              <w:t>+</w:t>
            </w:r>
            <w:r w:rsidR="009567F6" w:rsidRPr="00E47602">
              <w:rPr>
                <w:rFonts w:ascii="Arial" w:hAnsi="Arial" w:cs="Arial"/>
              </w:rPr>
              <w:t xml:space="preserve"> </w:t>
            </w:r>
            <w:r w:rsidR="002B3771" w:rsidRPr="00E47602">
              <w:rPr>
                <w:rFonts w:ascii="Arial" w:hAnsi="Arial" w:cs="Arial"/>
              </w:rPr>
              <w:t>tadalafil comb</w:t>
            </w:r>
            <w:r w:rsidRPr="00E47602">
              <w:rPr>
                <w:rFonts w:ascii="Arial" w:hAnsi="Arial" w:cs="Arial"/>
              </w:rPr>
              <w:t>ination</w:t>
            </w:r>
            <w:r w:rsidR="002B3771" w:rsidRPr="00E47602">
              <w:rPr>
                <w:rFonts w:ascii="Arial" w:hAnsi="Arial" w:cs="Arial"/>
              </w:rPr>
              <w:t xml:space="preserve"> </w:t>
            </w:r>
            <w:r w:rsidRPr="00E47602">
              <w:rPr>
                <w:rFonts w:ascii="Arial" w:hAnsi="Arial" w:cs="Arial"/>
              </w:rPr>
              <w:t>are indicated</w:t>
            </w:r>
            <w:r w:rsidR="002B3771" w:rsidRPr="00E47602">
              <w:rPr>
                <w:rFonts w:ascii="Arial" w:hAnsi="Arial" w:cs="Arial"/>
              </w:rPr>
              <w:t xml:space="preserve"> for </w:t>
            </w:r>
            <w:r w:rsidR="009567F6" w:rsidRPr="00E47602">
              <w:rPr>
                <w:rFonts w:ascii="Arial" w:hAnsi="Arial" w:cs="Arial"/>
              </w:rPr>
              <w:t>Group I PAH</w:t>
            </w:r>
          </w:p>
          <w:p w14:paraId="1F5D4317" w14:textId="77777777" w:rsidR="002B3771" w:rsidRPr="00E47602" w:rsidRDefault="002B3771" w:rsidP="00C21496">
            <w:pPr>
              <w:ind w:left="57" w:right="57"/>
              <w:contextualSpacing/>
              <w:jc w:val="left"/>
              <w:rPr>
                <w:rFonts w:ascii="Arial" w:hAnsi="Arial" w:cs="Arial"/>
              </w:rPr>
            </w:pPr>
            <w:r w:rsidRPr="00E47602">
              <w:rPr>
                <w:rFonts w:ascii="Arial" w:hAnsi="Arial" w:cs="Arial"/>
              </w:rPr>
              <w:t>Only iloprost approved for PAH-DT</w:t>
            </w:r>
          </w:p>
          <w:p w14:paraId="57E37AF6" w14:textId="77777777" w:rsidR="002B3771" w:rsidRPr="00E47602" w:rsidRDefault="002B3771" w:rsidP="00C21496">
            <w:pPr>
              <w:ind w:left="57" w:right="57"/>
              <w:contextualSpacing/>
              <w:jc w:val="left"/>
              <w:rPr>
                <w:rFonts w:ascii="Arial" w:hAnsi="Arial" w:cs="Arial"/>
              </w:rPr>
            </w:pPr>
            <w:r w:rsidRPr="00E47602">
              <w:rPr>
                <w:rFonts w:ascii="Arial" w:hAnsi="Arial" w:cs="Arial"/>
              </w:rPr>
              <w:t>No p</w:t>
            </w:r>
            <w:r w:rsidR="000253E9" w:rsidRPr="00E47602">
              <w:rPr>
                <w:rFonts w:ascii="Arial" w:hAnsi="Arial" w:cs="Arial"/>
              </w:rPr>
              <w:t>rostanoids approved for PAH-CHD</w:t>
            </w:r>
            <w:r w:rsidRPr="00E47602">
              <w:rPr>
                <w:rFonts w:ascii="Arial" w:hAnsi="Arial" w:cs="Arial"/>
              </w:rPr>
              <w:t xml:space="preserve"> </w:t>
            </w:r>
          </w:p>
        </w:tc>
        <w:tc>
          <w:tcPr>
            <w:tcW w:w="5071" w:type="dxa"/>
          </w:tcPr>
          <w:p w14:paraId="4CF10349"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Treatment recommendations apply to all </w:t>
            </w:r>
            <w:r w:rsidR="009567F6" w:rsidRPr="00E47602">
              <w:rPr>
                <w:rFonts w:ascii="Arial" w:hAnsi="Arial" w:cs="Arial"/>
              </w:rPr>
              <w:t xml:space="preserve">WHO Group 1 </w:t>
            </w:r>
            <w:r w:rsidR="001951EA" w:rsidRPr="00E47602">
              <w:rPr>
                <w:rFonts w:ascii="Arial" w:hAnsi="Arial" w:cs="Arial"/>
              </w:rPr>
              <w:t xml:space="preserve">PAH </w:t>
            </w:r>
            <w:r w:rsidR="009567F6" w:rsidRPr="00E47602">
              <w:rPr>
                <w:rFonts w:ascii="Arial" w:hAnsi="Arial" w:cs="Arial"/>
              </w:rPr>
              <w:t>types</w:t>
            </w:r>
          </w:p>
        </w:tc>
      </w:tr>
      <w:tr w:rsidR="00601985" w:rsidRPr="009F466A" w14:paraId="7936ECFA" w14:textId="77777777" w:rsidTr="00075CB2">
        <w:tc>
          <w:tcPr>
            <w:tcW w:w="1706" w:type="dxa"/>
          </w:tcPr>
          <w:p w14:paraId="12B13B21" w14:textId="77777777" w:rsidR="002B3771" w:rsidRPr="00E47602" w:rsidRDefault="002B3771" w:rsidP="00C21496">
            <w:pPr>
              <w:ind w:left="57" w:right="57"/>
              <w:contextualSpacing/>
              <w:jc w:val="left"/>
              <w:rPr>
                <w:rFonts w:ascii="Arial" w:hAnsi="Arial" w:cs="Arial"/>
              </w:rPr>
            </w:pPr>
            <w:r w:rsidRPr="00E47602">
              <w:rPr>
                <w:rFonts w:ascii="Arial" w:hAnsi="Arial" w:cs="Arial"/>
              </w:rPr>
              <w:t>Monotherapy</w:t>
            </w:r>
          </w:p>
        </w:tc>
        <w:tc>
          <w:tcPr>
            <w:tcW w:w="3364" w:type="dxa"/>
          </w:tcPr>
          <w:p w14:paraId="3436119E" w14:textId="77777777" w:rsidR="002B3771" w:rsidRPr="00E47602" w:rsidRDefault="000253E9" w:rsidP="00C21496">
            <w:pPr>
              <w:ind w:left="57" w:right="57"/>
              <w:contextualSpacing/>
              <w:jc w:val="left"/>
              <w:rPr>
                <w:rFonts w:ascii="Arial" w:hAnsi="Arial" w:cs="Arial"/>
              </w:rPr>
            </w:pPr>
            <w:r w:rsidRPr="00E47602">
              <w:rPr>
                <w:rFonts w:ascii="Arial" w:hAnsi="Arial" w:cs="Arial"/>
              </w:rPr>
              <w:t>All PBS listings</w:t>
            </w:r>
          </w:p>
        </w:tc>
        <w:tc>
          <w:tcPr>
            <w:tcW w:w="3827" w:type="dxa"/>
          </w:tcPr>
          <w:p w14:paraId="194EAFD2" w14:textId="77777777" w:rsidR="002B3771" w:rsidRPr="00E47602" w:rsidRDefault="000253E9" w:rsidP="00C21496">
            <w:pPr>
              <w:ind w:left="57" w:right="57"/>
              <w:contextualSpacing/>
              <w:jc w:val="left"/>
              <w:rPr>
                <w:rFonts w:ascii="Arial" w:hAnsi="Arial" w:cs="Arial"/>
              </w:rPr>
            </w:pPr>
            <w:r w:rsidRPr="00E47602">
              <w:rPr>
                <w:rFonts w:ascii="Arial" w:hAnsi="Arial" w:cs="Arial"/>
              </w:rPr>
              <w:t>All TGA registrations</w:t>
            </w:r>
          </w:p>
        </w:tc>
        <w:tc>
          <w:tcPr>
            <w:tcW w:w="5071" w:type="dxa"/>
          </w:tcPr>
          <w:p w14:paraId="7ABBC175" w14:textId="77777777" w:rsidR="00345DA9" w:rsidRDefault="002B3771" w:rsidP="00C21496">
            <w:pPr>
              <w:ind w:left="57" w:right="57"/>
              <w:contextualSpacing/>
              <w:jc w:val="left"/>
              <w:rPr>
                <w:rFonts w:ascii="Arial" w:hAnsi="Arial" w:cs="Arial"/>
              </w:rPr>
            </w:pPr>
            <w:r w:rsidRPr="00E47602">
              <w:rPr>
                <w:rFonts w:ascii="Arial" w:hAnsi="Arial" w:cs="Arial"/>
              </w:rPr>
              <w:t>Initial monotherapy recommended for treatment naïve patients without high risk factors</w:t>
            </w:r>
            <w:r w:rsidR="0027270C">
              <w:rPr>
                <w:rFonts w:ascii="Arial" w:hAnsi="Arial" w:cs="Arial"/>
              </w:rPr>
              <w:t xml:space="preserve"> </w:t>
            </w:r>
          </w:p>
          <w:p w14:paraId="0FF9B239" w14:textId="77777777" w:rsidR="002B3771" w:rsidRPr="00E47602" w:rsidRDefault="002B3771" w:rsidP="00C21496">
            <w:pPr>
              <w:ind w:left="57" w:right="57"/>
              <w:contextualSpacing/>
              <w:jc w:val="left"/>
              <w:rPr>
                <w:rFonts w:ascii="Arial" w:hAnsi="Arial" w:cs="Arial"/>
              </w:rPr>
            </w:pPr>
            <w:r w:rsidRPr="00E47602">
              <w:rPr>
                <w:rFonts w:ascii="Arial" w:hAnsi="Arial" w:cs="Arial"/>
              </w:rPr>
              <w:t>(WHO FC II-III)</w:t>
            </w:r>
          </w:p>
        </w:tc>
      </w:tr>
      <w:tr w:rsidR="00601985" w:rsidRPr="009F466A" w14:paraId="7780B58D" w14:textId="77777777" w:rsidTr="00075CB2">
        <w:tc>
          <w:tcPr>
            <w:tcW w:w="1706" w:type="dxa"/>
          </w:tcPr>
          <w:p w14:paraId="4B2E1C78" w14:textId="77777777" w:rsidR="002B3771" w:rsidRPr="00E47602" w:rsidRDefault="002B3771" w:rsidP="00C21496">
            <w:pPr>
              <w:ind w:left="57" w:right="57"/>
              <w:contextualSpacing/>
              <w:jc w:val="left"/>
              <w:rPr>
                <w:rFonts w:ascii="Arial" w:hAnsi="Arial" w:cs="Arial"/>
              </w:rPr>
            </w:pPr>
            <w:r w:rsidRPr="00E47602">
              <w:rPr>
                <w:rFonts w:ascii="Arial" w:hAnsi="Arial" w:cs="Arial"/>
              </w:rPr>
              <w:t>Initial combination therapy</w:t>
            </w:r>
          </w:p>
        </w:tc>
        <w:tc>
          <w:tcPr>
            <w:tcW w:w="3364" w:type="dxa"/>
          </w:tcPr>
          <w:p w14:paraId="430705EE" w14:textId="77777777" w:rsidR="002B3771" w:rsidRPr="00E47602" w:rsidRDefault="002B3771" w:rsidP="00C21496">
            <w:pPr>
              <w:ind w:left="57" w:right="57"/>
              <w:contextualSpacing/>
              <w:jc w:val="left"/>
              <w:rPr>
                <w:rFonts w:ascii="Arial" w:hAnsi="Arial" w:cs="Arial"/>
              </w:rPr>
            </w:pPr>
            <w:r w:rsidRPr="00E47602">
              <w:rPr>
                <w:rFonts w:ascii="Arial" w:hAnsi="Arial" w:cs="Arial"/>
              </w:rPr>
              <w:t>Not permitted (treatment must be the sole PBS-subsidised PAH agent)</w:t>
            </w:r>
          </w:p>
        </w:tc>
        <w:tc>
          <w:tcPr>
            <w:tcW w:w="3827" w:type="dxa"/>
          </w:tcPr>
          <w:p w14:paraId="7F7B493C" w14:textId="77777777" w:rsidR="000253E9" w:rsidRPr="00E47602" w:rsidRDefault="000253E9" w:rsidP="00C21496">
            <w:pPr>
              <w:ind w:left="57" w:right="57"/>
              <w:contextualSpacing/>
              <w:jc w:val="left"/>
              <w:rPr>
                <w:rFonts w:ascii="Arial" w:hAnsi="Arial" w:cs="Arial"/>
              </w:rPr>
            </w:pPr>
            <w:r w:rsidRPr="00E47602">
              <w:rPr>
                <w:rFonts w:ascii="Arial" w:hAnsi="Arial" w:cs="Arial"/>
              </w:rPr>
              <w:t>PAH medicine combination registered for combination use:</w:t>
            </w:r>
          </w:p>
          <w:p w14:paraId="37B57178" w14:textId="77777777" w:rsidR="000253E9" w:rsidRPr="00E47602" w:rsidRDefault="000253E9" w:rsidP="00C21496">
            <w:pPr>
              <w:ind w:left="57" w:right="57"/>
              <w:contextualSpacing/>
              <w:jc w:val="left"/>
              <w:rPr>
                <w:rFonts w:ascii="Arial" w:hAnsi="Arial" w:cs="Arial"/>
              </w:rPr>
            </w:pPr>
            <w:r w:rsidRPr="00E47602">
              <w:rPr>
                <w:rFonts w:ascii="Arial" w:hAnsi="Arial" w:cs="Arial"/>
              </w:rPr>
              <w:t>• ambrisentan + tadalafil;</w:t>
            </w:r>
          </w:p>
          <w:p w14:paraId="46CEC702" w14:textId="77777777" w:rsidR="000253E9" w:rsidRPr="00E47602" w:rsidRDefault="000253E9" w:rsidP="00C21496">
            <w:pPr>
              <w:ind w:left="57" w:right="57"/>
              <w:contextualSpacing/>
              <w:jc w:val="left"/>
              <w:rPr>
                <w:rFonts w:ascii="Arial" w:hAnsi="Arial" w:cs="Arial"/>
              </w:rPr>
            </w:pPr>
            <w:r w:rsidRPr="00E47602">
              <w:rPr>
                <w:rFonts w:ascii="Arial" w:hAnsi="Arial" w:cs="Arial"/>
              </w:rPr>
              <w:t xml:space="preserve">• macitentan + PDE-5 inhibitor or iloprost; </w:t>
            </w:r>
          </w:p>
          <w:p w14:paraId="05B57D55" w14:textId="77777777" w:rsidR="002B3771" w:rsidRPr="00E47602" w:rsidRDefault="000253E9" w:rsidP="00C21496">
            <w:pPr>
              <w:ind w:left="57" w:right="57"/>
              <w:contextualSpacing/>
              <w:jc w:val="left"/>
              <w:rPr>
                <w:rFonts w:ascii="Arial" w:hAnsi="Arial" w:cs="Arial"/>
              </w:rPr>
            </w:pPr>
            <w:r w:rsidRPr="00E47602">
              <w:rPr>
                <w:rFonts w:ascii="Arial" w:hAnsi="Arial" w:cs="Arial"/>
              </w:rPr>
              <w:t>• riociguat + ERA or iloprost</w:t>
            </w:r>
          </w:p>
        </w:tc>
        <w:tc>
          <w:tcPr>
            <w:tcW w:w="5071" w:type="dxa"/>
          </w:tcPr>
          <w:p w14:paraId="1E95E50C" w14:textId="77777777" w:rsidR="002B3771" w:rsidRPr="00E47602" w:rsidRDefault="002B3771" w:rsidP="00C21496">
            <w:pPr>
              <w:ind w:left="57" w:right="57"/>
              <w:contextualSpacing/>
              <w:jc w:val="left"/>
              <w:rPr>
                <w:rFonts w:ascii="Arial" w:hAnsi="Arial" w:cs="Arial"/>
              </w:rPr>
            </w:pPr>
            <w:r w:rsidRPr="00E47602">
              <w:rPr>
                <w:rFonts w:ascii="Arial" w:hAnsi="Arial" w:cs="Arial"/>
              </w:rPr>
              <w:t>Recommended for WHO FC III and WHO FC IV with high risk factors</w:t>
            </w:r>
            <w:r w:rsidR="000253E9" w:rsidRPr="00E47602">
              <w:rPr>
                <w:rFonts w:ascii="Arial" w:hAnsi="Arial" w:cs="Arial"/>
              </w:rPr>
              <w:t xml:space="preserve">. The </w:t>
            </w:r>
            <w:r w:rsidR="00A43B3C">
              <w:rPr>
                <w:rFonts w:ascii="Arial" w:hAnsi="Arial" w:cs="Arial"/>
              </w:rPr>
              <w:t xml:space="preserve">2015 </w:t>
            </w:r>
            <w:r w:rsidRPr="00E47602">
              <w:rPr>
                <w:rFonts w:ascii="Arial" w:hAnsi="Arial" w:cs="Arial"/>
              </w:rPr>
              <w:t xml:space="preserve">ESC/ERS </w:t>
            </w:r>
            <w:r w:rsidR="009567F6" w:rsidRPr="00E47602">
              <w:rPr>
                <w:rFonts w:ascii="Arial" w:hAnsi="Arial" w:cs="Arial"/>
              </w:rPr>
              <w:t>guidelines also recommend</w:t>
            </w:r>
            <w:r w:rsidRPr="00E47602">
              <w:rPr>
                <w:rFonts w:ascii="Arial" w:hAnsi="Arial" w:cs="Arial"/>
              </w:rPr>
              <w:t xml:space="preserve"> initial oral combina</w:t>
            </w:r>
            <w:r w:rsidR="000253E9" w:rsidRPr="00E47602">
              <w:rPr>
                <w:rFonts w:ascii="Arial" w:hAnsi="Arial" w:cs="Arial"/>
              </w:rPr>
              <w:t>tion as an option for WHO FC II</w:t>
            </w:r>
            <w:r w:rsidR="009567F6" w:rsidRPr="00E47602">
              <w:rPr>
                <w:rFonts w:ascii="Arial" w:hAnsi="Arial" w:cs="Arial"/>
              </w:rPr>
              <w:t xml:space="preserve"> patients</w:t>
            </w:r>
            <w:r w:rsidR="000253E9" w:rsidRPr="00E47602">
              <w:rPr>
                <w:rFonts w:ascii="Arial" w:hAnsi="Arial" w:cs="Arial"/>
              </w:rPr>
              <w:t>.</w:t>
            </w:r>
          </w:p>
        </w:tc>
      </w:tr>
      <w:tr w:rsidR="00601985" w:rsidRPr="009F466A" w14:paraId="0985D86E" w14:textId="77777777" w:rsidTr="00075CB2">
        <w:trPr>
          <w:trHeight w:val="22"/>
        </w:trPr>
        <w:tc>
          <w:tcPr>
            <w:tcW w:w="1706" w:type="dxa"/>
          </w:tcPr>
          <w:p w14:paraId="1FC1EB45" w14:textId="77777777" w:rsidR="002B3771" w:rsidRPr="00E47602" w:rsidRDefault="002B3771" w:rsidP="00C21496">
            <w:pPr>
              <w:ind w:left="57" w:right="57"/>
              <w:contextualSpacing/>
              <w:jc w:val="left"/>
              <w:rPr>
                <w:rFonts w:ascii="Arial" w:hAnsi="Arial" w:cs="Arial"/>
              </w:rPr>
            </w:pPr>
            <w:r w:rsidRPr="00E47602">
              <w:rPr>
                <w:rFonts w:ascii="Arial" w:hAnsi="Arial" w:cs="Arial"/>
              </w:rPr>
              <w:t>Sequential combination therapy</w:t>
            </w:r>
          </w:p>
        </w:tc>
        <w:tc>
          <w:tcPr>
            <w:tcW w:w="3364" w:type="dxa"/>
          </w:tcPr>
          <w:p w14:paraId="6D6B7215" w14:textId="77777777" w:rsidR="002B3771" w:rsidRPr="00E47602" w:rsidRDefault="002B3771" w:rsidP="00C21496">
            <w:pPr>
              <w:ind w:left="57" w:right="57"/>
              <w:contextualSpacing/>
              <w:jc w:val="left"/>
              <w:rPr>
                <w:rFonts w:ascii="Arial" w:hAnsi="Arial" w:cs="Arial"/>
              </w:rPr>
            </w:pPr>
            <w:r w:rsidRPr="00E47602">
              <w:rPr>
                <w:rFonts w:ascii="Arial" w:hAnsi="Arial" w:cs="Arial"/>
              </w:rPr>
              <w:t>Not permitted</w:t>
            </w:r>
            <w:r w:rsidR="000253E9" w:rsidRPr="00E47602">
              <w:rPr>
                <w:rFonts w:ascii="Arial" w:hAnsi="Arial" w:cs="Arial"/>
              </w:rPr>
              <w:t xml:space="preserve">. </w:t>
            </w:r>
          </w:p>
        </w:tc>
        <w:tc>
          <w:tcPr>
            <w:tcW w:w="3827" w:type="dxa"/>
          </w:tcPr>
          <w:p w14:paraId="4E047C6D" w14:textId="77777777" w:rsidR="000253E9" w:rsidRPr="00E47602" w:rsidRDefault="000253E9" w:rsidP="00C21496">
            <w:pPr>
              <w:ind w:left="57" w:right="57"/>
              <w:contextualSpacing/>
              <w:jc w:val="left"/>
              <w:rPr>
                <w:rFonts w:ascii="Arial" w:hAnsi="Arial" w:cs="Arial"/>
              </w:rPr>
            </w:pPr>
            <w:r w:rsidRPr="00E47602">
              <w:rPr>
                <w:rFonts w:ascii="Arial" w:hAnsi="Arial" w:cs="Arial"/>
              </w:rPr>
              <w:t>PAH medicine combination</w:t>
            </w:r>
            <w:r w:rsidR="008D158C">
              <w:rPr>
                <w:rFonts w:ascii="Arial" w:hAnsi="Arial" w:cs="Arial"/>
              </w:rPr>
              <w:t xml:space="preserve"> </w:t>
            </w:r>
            <w:r w:rsidRPr="00E47602">
              <w:rPr>
                <w:rFonts w:ascii="Arial" w:hAnsi="Arial" w:cs="Arial"/>
              </w:rPr>
              <w:t>registered</w:t>
            </w:r>
            <w:r w:rsidR="008D158C">
              <w:rPr>
                <w:rFonts w:ascii="Arial" w:hAnsi="Arial" w:cs="Arial"/>
              </w:rPr>
              <w:t>:</w:t>
            </w:r>
            <w:r w:rsidRPr="00E47602">
              <w:rPr>
                <w:rFonts w:ascii="Arial" w:hAnsi="Arial" w:cs="Arial"/>
              </w:rPr>
              <w:t xml:space="preserve"> </w:t>
            </w:r>
          </w:p>
          <w:p w14:paraId="1D26318C" w14:textId="77777777" w:rsidR="000253E9" w:rsidRPr="00E47602" w:rsidRDefault="000253E9" w:rsidP="00C21496">
            <w:pPr>
              <w:ind w:left="57" w:right="57"/>
              <w:contextualSpacing/>
              <w:jc w:val="left"/>
              <w:rPr>
                <w:rFonts w:ascii="Arial" w:hAnsi="Arial" w:cs="Arial"/>
              </w:rPr>
            </w:pPr>
            <w:r w:rsidRPr="00E47602">
              <w:rPr>
                <w:rFonts w:ascii="Arial" w:hAnsi="Arial" w:cs="Arial"/>
              </w:rPr>
              <w:t>• ambrisentan + tadalafil;</w:t>
            </w:r>
          </w:p>
          <w:p w14:paraId="5D479A6E" w14:textId="77777777" w:rsidR="000253E9" w:rsidRPr="00E47602" w:rsidRDefault="000253E9" w:rsidP="00C21496">
            <w:pPr>
              <w:ind w:left="57" w:right="57"/>
              <w:contextualSpacing/>
              <w:jc w:val="left"/>
              <w:rPr>
                <w:rFonts w:ascii="Arial" w:hAnsi="Arial" w:cs="Arial"/>
              </w:rPr>
            </w:pPr>
            <w:r w:rsidRPr="00E47602">
              <w:rPr>
                <w:rFonts w:ascii="Arial" w:hAnsi="Arial" w:cs="Arial"/>
              </w:rPr>
              <w:t xml:space="preserve">• macitentan + PDE-5 inhibitor or iloprost; </w:t>
            </w:r>
          </w:p>
          <w:p w14:paraId="1EFC4E3F" w14:textId="77777777" w:rsidR="002B3771" w:rsidRPr="00E47602" w:rsidRDefault="000253E9" w:rsidP="00C21496">
            <w:pPr>
              <w:ind w:left="57" w:right="57"/>
              <w:contextualSpacing/>
              <w:jc w:val="left"/>
              <w:rPr>
                <w:rFonts w:ascii="Arial" w:hAnsi="Arial" w:cs="Arial"/>
              </w:rPr>
            </w:pPr>
            <w:r w:rsidRPr="00E47602">
              <w:rPr>
                <w:rFonts w:ascii="Arial" w:hAnsi="Arial" w:cs="Arial"/>
              </w:rPr>
              <w:lastRenderedPageBreak/>
              <w:t>• riociguat + ERA or iloprost</w:t>
            </w:r>
          </w:p>
        </w:tc>
        <w:tc>
          <w:tcPr>
            <w:tcW w:w="5071" w:type="dxa"/>
          </w:tcPr>
          <w:p w14:paraId="50528A06" w14:textId="77777777" w:rsidR="002B3771" w:rsidRPr="00E47602" w:rsidRDefault="002B3771" w:rsidP="00C21496">
            <w:pPr>
              <w:ind w:left="57" w:right="57"/>
              <w:contextualSpacing/>
              <w:jc w:val="left"/>
              <w:rPr>
                <w:rFonts w:ascii="Arial" w:hAnsi="Arial" w:cs="Arial"/>
              </w:rPr>
            </w:pPr>
            <w:r w:rsidRPr="00E47602">
              <w:rPr>
                <w:rFonts w:ascii="Arial" w:hAnsi="Arial" w:cs="Arial"/>
              </w:rPr>
              <w:lastRenderedPageBreak/>
              <w:t xml:space="preserve">SoC for patients WHO FC II-IV with inadequate response, up to a maximum of </w:t>
            </w:r>
            <w:r w:rsidR="009567F6" w:rsidRPr="00E47602">
              <w:rPr>
                <w:rFonts w:ascii="Arial" w:hAnsi="Arial" w:cs="Arial"/>
              </w:rPr>
              <w:t>three</w:t>
            </w:r>
            <w:r w:rsidRPr="00E47602">
              <w:rPr>
                <w:rFonts w:ascii="Arial" w:hAnsi="Arial" w:cs="Arial"/>
              </w:rPr>
              <w:t xml:space="preserve"> PAH medicines.</w:t>
            </w:r>
          </w:p>
        </w:tc>
      </w:tr>
      <w:tr w:rsidR="00601985" w:rsidRPr="00075CB2" w14:paraId="1FD4D581" w14:textId="77777777" w:rsidTr="00075CB2">
        <w:tc>
          <w:tcPr>
            <w:tcW w:w="1706" w:type="dxa"/>
          </w:tcPr>
          <w:p w14:paraId="6ECCBC0A" w14:textId="77777777" w:rsidR="002B3771" w:rsidRPr="00E47602" w:rsidRDefault="002B3771" w:rsidP="00C21496">
            <w:pPr>
              <w:ind w:left="57" w:right="57"/>
              <w:contextualSpacing/>
              <w:jc w:val="left"/>
              <w:rPr>
                <w:rFonts w:ascii="Arial" w:hAnsi="Arial" w:cs="Arial"/>
              </w:rPr>
            </w:pPr>
            <w:r w:rsidRPr="00E47602">
              <w:rPr>
                <w:rFonts w:ascii="Arial" w:hAnsi="Arial" w:cs="Arial"/>
              </w:rPr>
              <w:t>RHC</w:t>
            </w:r>
          </w:p>
        </w:tc>
        <w:tc>
          <w:tcPr>
            <w:tcW w:w="3364" w:type="dxa"/>
          </w:tcPr>
          <w:p w14:paraId="3F56C1CC"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One of 3 key assessments </w:t>
            </w:r>
            <w:r w:rsidR="00257F1A" w:rsidRPr="00E47602">
              <w:rPr>
                <w:rFonts w:ascii="Arial" w:hAnsi="Arial" w:cs="Arial"/>
              </w:rPr>
              <w:t xml:space="preserve">to provide a baseline measurement </w:t>
            </w:r>
            <w:r w:rsidRPr="00E47602">
              <w:rPr>
                <w:rFonts w:ascii="Arial" w:hAnsi="Arial" w:cs="Arial"/>
              </w:rPr>
              <w:t>– not always required (with justification)</w:t>
            </w:r>
          </w:p>
        </w:tc>
        <w:tc>
          <w:tcPr>
            <w:tcW w:w="3827" w:type="dxa"/>
          </w:tcPr>
          <w:p w14:paraId="7E5573D1"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2F49086C" w14:textId="77777777" w:rsidR="002B3771" w:rsidRPr="00E47602" w:rsidRDefault="002B3771" w:rsidP="00C21496">
            <w:pPr>
              <w:ind w:left="57" w:right="57"/>
              <w:contextualSpacing/>
              <w:jc w:val="left"/>
              <w:rPr>
                <w:rFonts w:ascii="Arial" w:hAnsi="Arial" w:cs="Arial"/>
              </w:rPr>
            </w:pPr>
            <w:r w:rsidRPr="00E47602">
              <w:rPr>
                <w:rFonts w:ascii="Arial" w:hAnsi="Arial" w:cs="Arial"/>
              </w:rPr>
              <w:t>RHC is gold standard for diagnosis of PAH – essential unless explicitly contraindicated. RHC relies on ECHO as preliminary test.</w:t>
            </w:r>
            <w:r w:rsidR="0027270C">
              <w:rPr>
                <w:rFonts w:ascii="Arial" w:hAnsi="Arial" w:cs="Arial"/>
              </w:rPr>
              <w:t xml:space="preserve"> </w:t>
            </w:r>
          </w:p>
        </w:tc>
      </w:tr>
      <w:tr w:rsidR="00601985" w:rsidRPr="00075CB2" w14:paraId="4088CA43" w14:textId="77777777" w:rsidTr="00075CB2">
        <w:tc>
          <w:tcPr>
            <w:tcW w:w="1706" w:type="dxa"/>
          </w:tcPr>
          <w:p w14:paraId="430F672B" w14:textId="77777777" w:rsidR="002B3771" w:rsidRPr="00E47602" w:rsidRDefault="002B3771" w:rsidP="00C21496">
            <w:pPr>
              <w:ind w:left="57" w:right="57"/>
              <w:contextualSpacing/>
              <w:jc w:val="left"/>
              <w:rPr>
                <w:rFonts w:ascii="Arial" w:hAnsi="Arial" w:cs="Arial"/>
              </w:rPr>
            </w:pPr>
            <w:r w:rsidRPr="00E47602">
              <w:rPr>
                <w:rFonts w:ascii="Arial" w:hAnsi="Arial" w:cs="Arial"/>
              </w:rPr>
              <w:t>ECHO</w:t>
            </w:r>
          </w:p>
        </w:tc>
        <w:tc>
          <w:tcPr>
            <w:tcW w:w="3364" w:type="dxa"/>
          </w:tcPr>
          <w:p w14:paraId="40F5A407"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One of 3 key assessments </w:t>
            </w:r>
            <w:r w:rsidR="00257F1A" w:rsidRPr="00E47602">
              <w:rPr>
                <w:rFonts w:ascii="Arial" w:hAnsi="Arial" w:cs="Arial"/>
              </w:rPr>
              <w:t xml:space="preserve">to provide a baseline measurement </w:t>
            </w:r>
            <w:r w:rsidRPr="00E47602">
              <w:rPr>
                <w:rFonts w:ascii="Arial" w:hAnsi="Arial" w:cs="Arial"/>
              </w:rPr>
              <w:t>– not always required (with justification)</w:t>
            </w:r>
          </w:p>
        </w:tc>
        <w:tc>
          <w:tcPr>
            <w:tcW w:w="3827" w:type="dxa"/>
          </w:tcPr>
          <w:p w14:paraId="2AA27E5B"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36D62C6C" w14:textId="77777777" w:rsidR="002B3771" w:rsidRPr="00E47602" w:rsidRDefault="002B3771" w:rsidP="00C21496">
            <w:pPr>
              <w:ind w:left="57" w:right="57"/>
              <w:contextualSpacing/>
              <w:jc w:val="left"/>
              <w:rPr>
                <w:rFonts w:ascii="Arial" w:hAnsi="Arial" w:cs="Arial"/>
              </w:rPr>
            </w:pPr>
            <w:r w:rsidRPr="00E47602">
              <w:rPr>
                <w:rFonts w:ascii="Arial" w:hAnsi="Arial" w:cs="Arial"/>
              </w:rPr>
              <w:t>ECHO not recommended for diagnosis of PAH.</w:t>
            </w:r>
          </w:p>
          <w:p w14:paraId="5172EA06" w14:textId="77777777" w:rsidR="002B3771" w:rsidRPr="00E47602" w:rsidRDefault="002B3771" w:rsidP="00C21496">
            <w:pPr>
              <w:ind w:left="57" w:right="57"/>
              <w:contextualSpacing/>
              <w:jc w:val="left"/>
              <w:rPr>
                <w:rFonts w:ascii="Arial" w:hAnsi="Arial" w:cs="Arial"/>
              </w:rPr>
            </w:pPr>
            <w:r w:rsidRPr="00E47602">
              <w:rPr>
                <w:rFonts w:ascii="Arial" w:hAnsi="Arial" w:cs="Arial"/>
              </w:rPr>
              <w:t>Recommended as essential part of work-up and decision to proceed to RHC. If RHC is available it is likely that ECHO has been done.</w:t>
            </w:r>
          </w:p>
        </w:tc>
      </w:tr>
      <w:tr w:rsidR="00601985" w:rsidRPr="00075CB2" w14:paraId="4AC9FF58" w14:textId="77777777" w:rsidTr="00075CB2">
        <w:tc>
          <w:tcPr>
            <w:tcW w:w="1706" w:type="dxa"/>
          </w:tcPr>
          <w:p w14:paraId="5AC43D43" w14:textId="77777777" w:rsidR="002B3771" w:rsidRPr="00E47602" w:rsidRDefault="002B3771" w:rsidP="00C21496">
            <w:pPr>
              <w:ind w:left="57" w:right="57"/>
              <w:contextualSpacing/>
              <w:jc w:val="left"/>
              <w:rPr>
                <w:rFonts w:ascii="Arial" w:hAnsi="Arial" w:cs="Arial"/>
              </w:rPr>
            </w:pPr>
            <w:r w:rsidRPr="00E47602">
              <w:rPr>
                <w:rFonts w:ascii="Arial" w:hAnsi="Arial" w:cs="Arial"/>
              </w:rPr>
              <w:t>If no RHC</w:t>
            </w:r>
          </w:p>
        </w:tc>
        <w:tc>
          <w:tcPr>
            <w:tcW w:w="3364" w:type="dxa"/>
          </w:tcPr>
          <w:p w14:paraId="356F13C6" w14:textId="77777777" w:rsidR="002B3771" w:rsidRPr="00E47602" w:rsidRDefault="002B3771" w:rsidP="00C21496">
            <w:pPr>
              <w:ind w:left="57" w:right="57"/>
              <w:contextualSpacing/>
              <w:jc w:val="left"/>
              <w:rPr>
                <w:rFonts w:ascii="Arial" w:hAnsi="Arial" w:cs="Arial"/>
              </w:rPr>
            </w:pPr>
            <w:r w:rsidRPr="00E47602">
              <w:rPr>
                <w:rFonts w:ascii="Arial" w:hAnsi="Arial" w:cs="Arial"/>
              </w:rPr>
              <w:t>RVSP &lt;40 mmHg by ECHO, with normal LVF</w:t>
            </w:r>
          </w:p>
        </w:tc>
        <w:tc>
          <w:tcPr>
            <w:tcW w:w="3827" w:type="dxa"/>
          </w:tcPr>
          <w:p w14:paraId="01566402"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6A47425E"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Likelihood of PAH to be based on features suggestive of PAH by ECHO, described in </w:t>
            </w:r>
            <w:r w:rsidR="00DA7FD1" w:rsidRPr="00E47602">
              <w:rPr>
                <w:rFonts w:ascii="Arial" w:hAnsi="Arial" w:cs="Arial"/>
              </w:rPr>
              <w:t>ToR 1 Table 1.10. They</w:t>
            </w:r>
            <w:r w:rsidR="0038388A">
              <w:rPr>
                <w:rFonts w:ascii="Arial" w:hAnsi="Arial" w:cs="Arial"/>
              </w:rPr>
              <w:t xml:space="preserve"> do</w:t>
            </w:r>
            <w:r w:rsidRPr="00E47602">
              <w:rPr>
                <w:rFonts w:ascii="Arial" w:hAnsi="Arial" w:cs="Arial"/>
              </w:rPr>
              <w:t xml:space="preserve"> not include RVSP or PASP).</w:t>
            </w:r>
          </w:p>
        </w:tc>
      </w:tr>
      <w:tr w:rsidR="00601985" w:rsidRPr="00075CB2" w14:paraId="5BDE2E70" w14:textId="77777777" w:rsidTr="00075CB2">
        <w:tc>
          <w:tcPr>
            <w:tcW w:w="1706" w:type="dxa"/>
          </w:tcPr>
          <w:p w14:paraId="4255A730" w14:textId="77777777" w:rsidR="002B3771" w:rsidRPr="00E47602" w:rsidRDefault="002B3771" w:rsidP="00C21496">
            <w:pPr>
              <w:ind w:left="57" w:right="57"/>
              <w:contextualSpacing/>
              <w:jc w:val="left"/>
              <w:rPr>
                <w:rFonts w:ascii="Arial" w:hAnsi="Arial" w:cs="Arial"/>
              </w:rPr>
            </w:pPr>
            <w:r w:rsidRPr="00E47602">
              <w:rPr>
                <w:rFonts w:ascii="Arial" w:hAnsi="Arial" w:cs="Arial"/>
              </w:rPr>
              <w:t>6MWD</w:t>
            </w:r>
          </w:p>
        </w:tc>
        <w:tc>
          <w:tcPr>
            <w:tcW w:w="3364" w:type="dxa"/>
          </w:tcPr>
          <w:p w14:paraId="6AFBBC91" w14:textId="77777777" w:rsidR="002B3771" w:rsidRPr="00E47602" w:rsidRDefault="002B3771" w:rsidP="00C21496">
            <w:pPr>
              <w:ind w:left="57" w:right="57"/>
              <w:contextualSpacing/>
              <w:jc w:val="left"/>
              <w:rPr>
                <w:rFonts w:ascii="Arial" w:hAnsi="Arial" w:cs="Arial"/>
              </w:rPr>
            </w:pPr>
            <w:r w:rsidRPr="00E47602">
              <w:rPr>
                <w:rFonts w:ascii="Arial" w:hAnsi="Arial" w:cs="Arial"/>
              </w:rPr>
              <w:t>One of 3 key assessments</w:t>
            </w:r>
            <w:r w:rsidR="00DE3FC3" w:rsidRPr="00E47602">
              <w:rPr>
                <w:rFonts w:ascii="Arial" w:hAnsi="Arial" w:cs="Arial"/>
              </w:rPr>
              <w:t xml:space="preserve"> to provide a baseline measurement</w:t>
            </w:r>
            <w:r w:rsidRPr="00E47602">
              <w:rPr>
                <w:rFonts w:ascii="Arial" w:hAnsi="Arial" w:cs="Arial"/>
              </w:rPr>
              <w:t xml:space="preserve"> – not always required (with justification)</w:t>
            </w:r>
          </w:p>
        </w:tc>
        <w:tc>
          <w:tcPr>
            <w:tcW w:w="3827" w:type="dxa"/>
          </w:tcPr>
          <w:p w14:paraId="567E089A"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3C1CD496"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Not diagnostic of PAH. </w:t>
            </w:r>
          </w:p>
          <w:p w14:paraId="391453C3" w14:textId="77777777" w:rsidR="002B3771" w:rsidRPr="00E47602" w:rsidRDefault="002B3771" w:rsidP="00C21496">
            <w:pPr>
              <w:ind w:left="57" w:right="57"/>
              <w:contextualSpacing/>
              <w:jc w:val="left"/>
              <w:rPr>
                <w:rFonts w:ascii="Arial" w:hAnsi="Arial" w:cs="Arial"/>
              </w:rPr>
            </w:pPr>
            <w:r w:rsidRPr="00E47602">
              <w:rPr>
                <w:rFonts w:ascii="Arial" w:hAnsi="Arial" w:cs="Arial"/>
              </w:rPr>
              <w:t>One of a panel of baseline assessments to assess disease status and patient risk of PAH clinical worsening.</w:t>
            </w:r>
            <w:r w:rsidR="0027270C">
              <w:rPr>
                <w:rFonts w:ascii="Arial" w:hAnsi="Arial" w:cs="Arial"/>
              </w:rPr>
              <w:t xml:space="preserve"> </w:t>
            </w:r>
          </w:p>
        </w:tc>
      </w:tr>
      <w:tr w:rsidR="00601985" w:rsidRPr="00075CB2" w14:paraId="37EDDA44" w14:textId="77777777" w:rsidTr="00075CB2">
        <w:tc>
          <w:tcPr>
            <w:tcW w:w="1706" w:type="dxa"/>
          </w:tcPr>
          <w:p w14:paraId="75A86D47" w14:textId="77777777" w:rsidR="002B3771" w:rsidRPr="00E47602" w:rsidRDefault="002B3771" w:rsidP="00C21496">
            <w:pPr>
              <w:ind w:left="57" w:right="57"/>
              <w:contextualSpacing/>
              <w:jc w:val="left"/>
              <w:rPr>
                <w:rFonts w:ascii="Arial" w:hAnsi="Arial" w:cs="Arial"/>
              </w:rPr>
            </w:pPr>
            <w:r w:rsidRPr="00E47602">
              <w:rPr>
                <w:rFonts w:ascii="Arial" w:hAnsi="Arial" w:cs="Arial"/>
              </w:rPr>
              <w:t>Patient risk category</w:t>
            </w:r>
          </w:p>
        </w:tc>
        <w:tc>
          <w:tcPr>
            <w:tcW w:w="3364" w:type="dxa"/>
          </w:tcPr>
          <w:p w14:paraId="597540E4" w14:textId="77777777" w:rsidR="002B3771" w:rsidRPr="00E47602" w:rsidRDefault="002B3771" w:rsidP="00C21496">
            <w:pPr>
              <w:ind w:left="57" w:right="57"/>
              <w:contextualSpacing/>
              <w:jc w:val="left"/>
              <w:rPr>
                <w:rFonts w:ascii="Arial" w:hAnsi="Arial" w:cs="Arial"/>
              </w:rPr>
            </w:pPr>
            <w:r w:rsidRPr="00E47602">
              <w:rPr>
                <w:rFonts w:ascii="Arial" w:hAnsi="Arial" w:cs="Arial"/>
              </w:rPr>
              <w:t>Not mentioned.</w:t>
            </w:r>
          </w:p>
        </w:tc>
        <w:tc>
          <w:tcPr>
            <w:tcW w:w="3827" w:type="dxa"/>
          </w:tcPr>
          <w:p w14:paraId="02474DAA" w14:textId="77777777" w:rsidR="002B3771" w:rsidRPr="00E47602" w:rsidRDefault="002B3771" w:rsidP="00C21496">
            <w:pPr>
              <w:ind w:left="57" w:right="57"/>
              <w:contextualSpacing/>
              <w:jc w:val="left"/>
              <w:rPr>
                <w:rFonts w:ascii="Arial" w:hAnsi="Arial" w:cs="Arial"/>
              </w:rPr>
            </w:pPr>
            <w:r w:rsidRPr="00E47602">
              <w:rPr>
                <w:rFonts w:ascii="Arial" w:hAnsi="Arial" w:cs="Arial"/>
              </w:rPr>
              <w:t>Not a feature of approved indications.</w:t>
            </w:r>
          </w:p>
        </w:tc>
        <w:tc>
          <w:tcPr>
            <w:tcW w:w="5071" w:type="dxa"/>
          </w:tcPr>
          <w:p w14:paraId="047B1647" w14:textId="77777777" w:rsidR="002B3771" w:rsidRPr="00E47602" w:rsidRDefault="002B3771" w:rsidP="00C21496">
            <w:pPr>
              <w:ind w:left="57" w:right="57"/>
              <w:contextualSpacing/>
              <w:jc w:val="left"/>
              <w:rPr>
                <w:rFonts w:ascii="Arial" w:hAnsi="Arial" w:cs="Arial"/>
              </w:rPr>
            </w:pPr>
            <w:r w:rsidRPr="00E47602">
              <w:rPr>
                <w:rFonts w:ascii="Arial" w:hAnsi="Arial" w:cs="Arial"/>
              </w:rPr>
              <w:t>A key assessment for determination of clinical management, treatment decisions and monitoring.</w:t>
            </w:r>
            <w:r w:rsidR="0027270C">
              <w:rPr>
                <w:rFonts w:ascii="Arial" w:hAnsi="Arial" w:cs="Arial"/>
              </w:rPr>
              <w:t xml:space="preserve"> </w:t>
            </w:r>
          </w:p>
          <w:p w14:paraId="01125906" w14:textId="77777777" w:rsidR="002B3771" w:rsidRPr="00E47602" w:rsidRDefault="002B3771" w:rsidP="00C21496">
            <w:pPr>
              <w:ind w:left="57" w:right="57"/>
              <w:contextualSpacing/>
              <w:jc w:val="left"/>
              <w:rPr>
                <w:rFonts w:ascii="Arial" w:hAnsi="Arial" w:cs="Arial"/>
              </w:rPr>
            </w:pPr>
            <w:r w:rsidRPr="00E47602">
              <w:rPr>
                <w:rFonts w:ascii="Arial" w:hAnsi="Arial" w:cs="Arial"/>
              </w:rPr>
              <w:t>There is no definitive set of parameters for patient risk.</w:t>
            </w:r>
          </w:p>
        </w:tc>
      </w:tr>
      <w:tr w:rsidR="00601985" w:rsidRPr="00075CB2" w14:paraId="4D416D5A" w14:textId="77777777" w:rsidTr="00075CB2">
        <w:tc>
          <w:tcPr>
            <w:tcW w:w="1706" w:type="dxa"/>
          </w:tcPr>
          <w:p w14:paraId="3ADB3BE6" w14:textId="77777777" w:rsidR="002B3771" w:rsidRPr="00E47602" w:rsidRDefault="002B3771" w:rsidP="00C21496">
            <w:pPr>
              <w:ind w:left="57" w:right="57"/>
              <w:contextualSpacing/>
              <w:jc w:val="left"/>
              <w:rPr>
                <w:rFonts w:ascii="Arial" w:hAnsi="Arial" w:cs="Arial"/>
              </w:rPr>
            </w:pPr>
            <w:r w:rsidRPr="00E47602">
              <w:rPr>
                <w:rFonts w:ascii="Arial" w:hAnsi="Arial" w:cs="Arial"/>
              </w:rPr>
              <w:t>Response to treatment</w:t>
            </w:r>
          </w:p>
        </w:tc>
        <w:tc>
          <w:tcPr>
            <w:tcW w:w="3364" w:type="dxa"/>
          </w:tcPr>
          <w:p w14:paraId="0795B2C3" w14:textId="77777777" w:rsidR="002B3771" w:rsidRPr="00E47602" w:rsidRDefault="002B3771" w:rsidP="00C21496">
            <w:pPr>
              <w:ind w:left="57" w:right="57"/>
              <w:contextualSpacing/>
              <w:jc w:val="left"/>
              <w:rPr>
                <w:rFonts w:ascii="Arial" w:hAnsi="Arial" w:cs="Arial"/>
              </w:rPr>
            </w:pPr>
            <w:r w:rsidRPr="00E47602">
              <w:rPr>
                <w:rFonts w:ascii="Arial" w:hAnsi="Arial" w:cs="Arial"/>
              </w:rPr>
              <w:t>Response defined as stability or improvement of disease.</w:t>
            </w:r>
          </w:p>
          <w:p w14:paraId="14F78BE7" w14:textId="77777777" w:rsidR="002B3771" w:rsidRPr="00E47602" w:rsidRDefault="002B3771" w:rsidP="00C21496">
            <w:pPr>
              <w:ind w:left="57" w:right="57"/>
              <w:contextualSpacing/>
              <w:jc w:val="left"/>
              <w:rPr>
                <w:rFonts w:ascii="Arial" w:hAnsi="Arial" w:cs="Arial"/>
              </w:rPr>
            </w:pPr>
            <w:r w:rsidRPr="00E47602">
              <w:rPr>
                <w:rFonts w:ascii="Arial" w:hAnsi="Arial" w:cs="Arial"/>
              </w:rPr>
              <w:t>Patients who fail to demonstrate a response must cease therapy with that agent.</w:t>
            </w:r>
          </w:p>
        </w:tc>
        <w:tc>
          <w:tcPr>
            <w:tcW w:w="3827" w:type="dxa"/>
          </w:tcPr>
          <w:p w14:paraId="77BEE512"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7166E0AB"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Response defined as clinical improvement and/or progress towards therapeutic goals. Unless disease is severe, maintaining clinical status may still be an inadequate response. </w:t>
            </w:r>
          </w:p>
          <w:p w14:paraId="12C5E727" w14:textId="77777777" w:rsidR="002B3771" w:rsidRPr="00E47602" w:rsidRDefault="002B3771" w:rsidP="00C21496">
            <w:pPr>
              <w:ind w:left="57" w:right="57"/>
              <w:contextualSpacing/>
              <w:jc w:val="left"/>
              <w:rPr>
                <w:rFonts w:ascii="Arial" w:hAnsi="Arial" w:cs="Arial"/>
              </w:rPr>
            </w:pPr>
            <w:r w:rsidRPr="00E47602">
              <w:rPr>
                <w:rFonts w:ascii="Arial" w:hAnsi="Arial" w:cs="Arial"/>
              </w:rPr>
              <w:t xml:space="preserve">Patients with inadequate clinical response recommended to continue on current therapy and </w:t>
            </w:r>
            <w:r w:rsidR="00DE3FC3" w:rsidRPr="00E47602">
              <w:rPr>
                <w:rFonts w:ascii="Arial" w:hAnsi="Arial" w:cs="Arial"/>
              </w:rPr>
              <w:t xml:space="preserve">to </w:t>
            </w:r>
            <w:r w:rsidRPr="00E47602">
              <w:rPr>
                <w:rFonts w:ascii="Arial" w:hAnsi="Arial" w:cs="Arial"/>
              </w:rPr>
              <w:t>add a further agent from a different class.</w:t>
            </w:r>
          </w:p>
        </w:tc>
      </w:tr>
      <w:tr w:rsidR="00601985" w:rsidRPr="00075CB2" w14:paraId="6DB58F5C" w14:textId="77777777" w:rsidTr="00075CB2">
        <w:tc>
          <w:tcPr>
            <w:tcW w:w="1706" w:type="dxa"/>
          </w:tcPr>
          <w:p w14:paraId="620CF9A6" w14:textId="77777777" w:rsidR="002B3771" w:rsidRPr="00E47602" w:rsidRDefault="002B3771" w:rsidP="00C21496">
            <w:pPr>
              <w:ind w:left="57" w:right="57"/>
              <w:contextualSpacing/>
              <w:jc w:val="left"/>
              <w:rPr>
                <w:rFonts w:ascii="Arial" w:hAnsi="Arial" w:cs="Arial"/>
              </w:rPr>
            </w:pPr>
            <w:r w:rsidRPr="00E47602">
              <w:rPr>
                <w:rFonts w:ascii="Arial" w:hAnsi="Arial" w:cs="Arial"/>
              </w:rPr>
              <w:t>Timing of follow-up</w:t>
            </w:r>
          </w:p>
        </w:tc>
        <w:tc>
          <w:tcPr>
            <w:tcW w:w="3364" w:type="dxa"/>
          </w:tcPr>
          <w:p w14:paraId="26D23AFC" w14:textId="77777777" w:rsidR="002B3771" w:rsidRPr="00E47602" w:rsidRDefault="002B3771" w:rsidP="00C21496">
            <w:pPr>
              <w:ind w:left="57" w:right="57"/>
              <w:contextualSpacing/>
              <w:jc w:val="left"/>
              <w:rPr>
                <w:rFonts w:ascii="Arial" w:hAnsi="Arial" w:cs="Arial"/>
              </w:rPr>
            </w:pPr>
            <w:r w:rsidRPr="00E47602">
              <w:rPr>
                <w:rFonts w:ascii="Arial" w:hAnsi="Arial" w:cs="Arial"/>
              </w:rPr>
              <w:t>Each authority approval should provide 6 months</w:t>
            </w:r>
            <w:r w:rsidR="00DE3FC3" w:rsidRPr="00E47602">
              <w:rPr>
                <w:rFonts w:ascii="Arial" w:hAnsi="Arial" w:cs="Arial"/>
              </w:rPr>
              <w:t xml:space="preserve"> of</w:t>
            </w:r>
            <w:r w:rsidRPr="00E47602">
              <w:rPr>
                <w:rFonts w:ascii="Arial" w:hAnsi="Arial" w:cs="Arial"/>
              </w:rPr>
              <w:t xml:space="preserve"> treatment; follow-up required at 5 months to make next application.  </w:t>
            </w:r>
          </w:p>
        </w:tc>
        <w:tc>
          <w:tcPr>
            <w:tcW w:w="3827" w:type="dxa"/>
          </w:tcPr>
          <w:p w14:paraId="6A2D9BAD"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72BA3CA6" w14:textId="77777777" w:rsidR="002B3771" w:rsidRPr="00E47602" w:rsidRDefault="002B3771" w:rsidP="00C21496">
            <w:pPr>
              <w:ind w:left="57" w:right="57"/>
              <w:contextualSpacing/>
              <w:jc w:val="left"/>
              <w:rPr>
                <w:rFonts w:ascii="Arial" w:hAnsi="Arial" w:cs="Arial"/>
              </w:rPr>
            </w:pPr>
            <w:r w:rsidRPr="00E47602">
              <w:rPr>
                <w:rFonts w:ascii="Arial" w:hAnsi="Arial" w:cs="Arial"/>
              </w:rPr>
              <w:t>Follow-up at 3-6 months after change in therapy; or on clinical worsening</w:t>
            </w:r>
          </w:p>
        </w:tc>
      </w:tr>
      <w:tr w:rsidR="00601985" w:rsidRPr="00075CB2" w14:paraId="7A16DCD3" w14:textId="77777777" w:rsidTr="00075CB2">
        <w:tc>
          <w:tcPr>
            <w:tcW w:w="1706" w:type="dxa"/>
            <w:tcBorders>
              <w:bottom w:val="single" w:sz="4" w:space="0" w:color="auto"/>
            </w:tcBorders>
          </w:tcPr>
          <w:p w14:paraId="69499B5B" w14:textId="77777777" w:rsidR="002B3771" w:rsidRPr="00E47602" w:rsidRDefault="002B3771" w:rsidP="00C21496">
            <w:pPr>
              <w:ind w:left="57" w:right="57"/>
              <w:contextualSpacing/>
              <w:jc w:val="left"/>
              <w:rPr>
                <w:rFonts w:ascii="Arial" w:hAnsi="Arial" w:cs="Arial"/>
              </w:rPr>
            </w:pPr>
            <w:r w:rsidRPr="00E47602">
              <w:rPr>
                <w:rFonts w:ascii="Arial" w:hAnsi="Arial" w:cs="Arial"/>
              </w:rPr>
              <w:t>Patient age group</w:t>
            </w:r>
          </w:p>
        </w:tc>
        <w:tc>
          <w:tcPr>
            <w:tcW w:w="3364" w:type="dxa"/>
            <w:tcBorders>
              <w:bottom w:val="single" w:sz="4" w:space="0" w:color="auto"/>
            </w:tcBorders>
          </w:tcPr>
          <w:p w14:paraId="47D9D14B" w14:textId="77777777" w:rsidR="002B3771" w:rsidRPr="00E47602" w:rsidRDefault="002B3771" w:rsidP="00C21496">
            <w:pPr>
              <w:ind w:left="57" w:right="57"/>
              <w:contextualSpacing/>
              <w:jc w:val="left"/>
              <w:rPr>
                <w:rFonts w:ascii="Arial" w:hAnsi="Arial" w:cs="Arial"/>
              </w:rPr>
            </w:pPr>
            <w:r w:rsidRPr="00E47602">
              <w:rPr>
                <w:rFonts w:ascii="Arial" w:hAnsi="Arial" w:cs="Arial"/>
              </w:rPr>
              <w:t>Restrictions silent on age group</w:t>
            </w:r>
          </w:p>
        </w:tc>
        <w:tc>
          <w:tcPr>
            <w:tcW w:w="3827" w:type="dxa"/>
            <w:tcBorders>
              <w:bottom w:val="single" w:sz="4" w:space="0" w:color="auto"/>
            </w:tcBorders>
          </w:tcPr>
          <w:p w14:paraId="0A3EFEEB" w14:textId="77777777" w:rsidR="002B3771" w:rsidRPr="00E47602" w:rsidRDefault="002B3771" w:rsidP="00C21496">
            <w:pPr>
              <w:ind w:left="57" w:right="57"/>
              <w:contextualSpacing/>
              <w:jc w:val="left"/>
              <w:rPr>
                <w:rFonts w:ascii="Arial" w:hAnsi="Arial" w:cs="Arial"/>
              </w:rPr>
            </w:pPr>
            <w:r w:rsidRPr="00E47602">
              <w:rPr>
                <w:rFonts w:ascii="Arial" w:hAnsi="Arial" w:cs="Arial"/>
              </w:rPr>
              <w:t>Only bosentan approved for use in children.</w:t>
            </w:r>
          </w:p>
          <w:p w14:paraId="2DC63A97" w14:textId="77777777" w:rsidR="002B3771" w:rsidRPr="00E47602" w:rsidRDefault="002B3771" w:rsidP="00C21496">
            <w:pPr>
              <w:ind w:left="57" w:right="57"/>
              <w:contextualSpacing/>
              <w:jc w:val="left"/>
              <w:rPr>
                <w:rFonts w:ascii="Arial" w:hAnsi="Arial" w:cs="Arial"/>
              </w:rPr>
            </w:pPr>
          </w:p>
        </w:tc>
        <w:tc>
          <w:tcPr>
            <w:tcW w:w="5071" w:type="dxa"/>
            <w:tcBorders>
              <w:bottom w:val="single" w:sz="4" w:space="0" w:color="auto"/>
            </w:tcBorders>
          </w:tcPr>
          <w:p w14:paraId="28C275B1" w14:textId="77777777" w:rsidR="002B3771" w:rsidRPr="00E47602" w:rsidRDefault="002B3771" w:rsidP="00C21496">
            <w:pPr>
              <w:ind w:left="57" w:right="57"/>
              <w:contextualSpacing/>
              <w:jc w:val="left"/>
              <w:rPr>
                <w:rFonts w:ascii="Arial" w:hAnsi="Arial" w:cs="Arial"/>
              </w:rPr>
            </w:pPr>
            <w:r w:rsidRPr="00E47602">
              <w:rPr>
                <w:rFonts w:ascii="Arial" w:hAnsi="Arial" w:cs="Arial"/>
              </w:rPr>
              <w:t>Treatment and diagnostic recommendations broadly the same in children as for adults.</w:t>
            </w:r>
          </w:p>
          <w:p w14:paraId="4729E20A" w14:textId="77777777" w:rsidR="002B3771" w:rsidRPr="00E47602" w:rsidRDefault="002B3771" w:rsidP="00C21496">
            <w:pPr>
              <w:ind w:left="57" w:right="57"/>
              <w:contextualSpacing/>
              <w:jc w:val="left"/>
              <w:rPr>
                <w:rFonts w:ascii="Arial" w:hAnsi="Arial" w:cs="Arial"/>
              </w:rPr>
            </w:pPr>
            <w:r w:rsidRPr="00E47602">
              <w:rPr>
                <w:rFonts w:ascii="Arial" w:hAnsi="Arial" w:cs="Arial"/>
              </w:rPr>
              <w:t>6MWD not prognostic for PAH in children.</w:t>
            </w:r>
          </w:p>
          <w:p w14:paraId="2CD17233" w14:textId="77777777" w:rsidR="002B3771" w:rsidRPr="00E47602" w:rsidRDefault="002B3771" w:rsidP="00C21496">
            <w:pPr>
              <w:ind w:left="57" w:right="57"/>
              <w:contextualSpacing/>
              <w:jc w:val="left"/>
              <w:rPr>
                <w:rFonts w:ascii="Arial" w:hAnsi="Arial" w:cs="Arial"/>
              </w:rPr>
            </w:pPr>
            <w:r w:rsidRPr="00E47602">
              <w:rPr>
                <w:rFonts w:ascii="Arial" w:hAnsi="Arial" w:cs="Arial"/>
              </w:rPr>
              <w:t>Dose adjustment required for sildenafil in children.</w:t>
            </w:r>
          </w:p>
        </w:tc>
      </w:tr>
      <w:tr w:rsidR="00601985" w:rsidRPr="00075CB2" w14:paraId="3CFC18F5" w14:textId="77777777" w:rsidTr="00075CB2">
        <w:tc>
          <w:tcPr>
            <w:tcW w:w="1706" w:type="dxa"/>
            <w:tcBorders>
              <w:bottom w:val="nil"/>
            </w:tcBorders>
          </w:tcPr>
          <w:p w14:paraId="5A2283BC" w14:textId="77777777" w:rsidR="002B3771" w:rsidRPr="004A0E15" w:rsidRDefault="002B3771" w:rsidP="00CE4D79">
            <w:pPr>
              <w:ind w:left="57" w:right="57"/>
              <w:contextualSpacing/>
              <w:jc w:val="left"/>
              <w:rPr>
                <w:rFonts w:ascii="Arial" w:hAnsi="Arial" w:cs="Arial"/>
              </w:rPr>
            </w:pPr>
            <w:r w:rsidRPr="004A0E15">
              <w:rPr>
                <w:rFonts w:ascii="Arial" w:hAnsi="Arial" w:cs="Arial"/>
              </w:rPr>
              <w:t xml:space="preserve">Trial of </w:t>
            </w:r>
            <w:r w:rsidR="0088227B">
              <w:rPr>
                <w:rFonts w:ascii="Arial" w:hAnsi="Arial" w:cs="Arial"/>
              </w:rPr>
              <w:t>CCBs</w:t>
            </w:r>
            <w:r w:rsidR="0027270C">
              <w:rPr>
                <w:rFonts w:ascii="Arial" w:hAnsi="Arial" w:cs="Arial"/>
              </w:rPr>
              <w:t xml:space="preserve"> </w:t>
            </w:r>
            <w:r w:rsidRPr="004A0E15">
              <w:rPr>
                <w:rFonts w:ascii="Arial" w:hAnsi="Arial" w:cs="Arial"/>
              </w:rPr>
              <w:t xml:space="preserve">– patients </w:t>
            </w:r>
          </w:p>
        </w:tc>
        <w:tc>
          <w:tcPr>
            <w:tcW w:w="3364" w:type="dxa"/>
            <w:tcBorders>
              <w:bottom w:val="nil"/>
            </w:tcBorders>
          </w:tcPr>
          <w:p w14:paraId="7924B183" w14:textId="77777777" w:rsidR="002B3771" w:rsidRPr="004A0E15" w:rsidRDefault="002B3771" w:rsidP="00C21496">
            <w:pPr>
              <w:ind w:left="57" w:right="57"/>
              <w:contextualSpacing/>
              <w:jc w:val="left"/>
              <w:rPr>
                <w:rFonts w:ascii="Arial" w:hAnsi="Arial" w:cs="Arial"/>
              </w:rPr>
            </w:pPr>
            <w:r w:rsidRPr="004A0E15">
              <w:rPr>
                <w:rFonts w:ascii="Arial" w:hAnsi="Arial" w:cs="Arial"/>
              </w:rPr>
              <w:t>Required for WHO FC III – IPAH, HPAH, PAH and PAH-CTD</w:t>
            </w:r>
          </w:p>
          <w:p w14:paraId="0FBAF637" w14:textId="77777777" w:rsidR="002B3771" w:rsidRPr="004A0E15" w:rsidRDefault="002B3771" w:rsidP="00C21496">
            <w:pPr>
              <w:ind w:left="57" w:right="57"/>
              <w:contextualSpacing/>
              <w:jc w:val="left"/>
              <w:rPr>
                <w:rFonts w:ascii="Arial" w:hAnsi="Arial" w:cs="Arial"/>
              </w:rPr>
            </w:pPr>
            <w:r w:rsidRPr="004A0E15">
              <w:rPr>
                <w:rFonts w:ascii="Arial" w:hAnsi="Arial" w:cs="Arial"/>
              </w:rPr>
              <w:t>Not required for PAH-CHD</w:t>
            </w:r>
          </w:p>
        </w:tc>
        <w:tc>
          <w:tcPr>
            <w:tcW w:w="3827" w:type="dxa"/>
            <w:tcBorders>
              <w:bottom w:val="nil"/>
            </w:tcBorders>
          </w:tcPr>
          <w:p w14:paraId="128446C5" w14:textId="77777777" w:rsidR="002B3771" w:rsidRDefault="002B3771" w:rsidP="00C21496">
            <w:pPr>
              <w:ind w:left="57" w:right="57"/>
              <w:contextualSpacing/>
              <w:jc w:val="left"/>
              <w:rPr>
                <w:rFonts w:ascii="Arial" w:hAnsi="Arial" w:cs="Arial"/>
              </w:rPr>
            </w:pPr>
            <w:r w:rsidRPr="004A0E15">
              <w:rPr>
                <w:rFonts w:ascii="Arial" w:hAnsi="Arial" w:cs="Arial"/>
              </w:rPr>
              <w:t>Dosing and safety not included in PI for CCBs (diltiazem, nifedipine, amlodipine)</w:t>
            </w:r>
          </w:p>
          <w:p w14:paraId="779B9C2D" w14:textId="77777777" w:rsidR="00734F50" w:rsidRDefault="00734F50" w:rsidP="00C21496">
            <w:pPr>
              <w:ind w:left="57" w:right="57"/>
              <w:contextualSpacing/>
              <w:jc w:val="left"/>
              <w:rPr>
                <w:rFonts w:ascii="Arial" w:hAnsi="Arial" w:cs="Arial"/>
                <w:sz w:val="14"/>
                <w:szCs w:val="14"/>
              </w:rPr>
            </w:pPr>
          </w:p>
          <w:p w14:paraId="27C3556C" w14:textId="77777777" w:rsidR="00734F50" w:rsidRPr="005719C2" w:rsidRDefault="00734F50" w:rsidP="005719C2">
            <w:pPr>
              <w:ind w:left="57" w:right="57"/>
              <w:contextualSpacing/>
              <w:jc w:val="left"/>
              <w:rPr>
                <w:rFonts w:ascii="Arial" w:hAnsi="Arial" w:cs="Arial"/>
              </w:rPr>
            </w:pPr>
            <w:r w:rsidRPr="00DE066C">
              <w:rPr>
                <w:rFonts w:ascii="Arial" w:hAnsi="Arial" w:cs="Arial"/>
              </w:rPr>
              <w:t xml:space="preserve">However, </w:t>
            </w:r>
            <w:r w:rsidR="005719C2" w:rsidRPr="00DE066C">
              <w:rPr>
                <w:rFonts w:ascii="Arial" w:hAnsi="Arial" w:cs="Arial"/>
              </w:rPr>
              <w:t>a</w:t>
            </w:r>
            <w:r w:rsidRPr="00DE066C">
              <w:rPr>
                <w:rFonts w:ascii="Arial" w:hAnsi="Arial" w:cs="Arial"/>
              </w:rPr>
              <w:t>mlodipine, diltiazem and nifedipine h</w:t>
            </w:r>
            <w:r w:rsidR="005719C2" w:rsidRPr="00DE066C">
              <w:rPr>
                <w:rFonts w:ascii="Arial" w:hAnsi="Arial" w:cs="Arial"/>
              </w:rPr>
              <w:t>a</w:t>
            </w:r>
            <w:r w:rsidRPr="00DE066C">
              <w:rPr>
                <w:rFonts w:ascii="Arial" w:hAnsi="Arial" w:cs="Arial"/>
              </w:rPr>
              <w:t>ve</w:t>
            </w:r>
            <w:r w:rsidR="005719C2" w:rsidRPr="00DE066C">
              <w:rPr>
                <w:rFonts w:ascii="Arial" w:hAnsi="Arial" w:cs="Arial"/>
              </w:rPr>
              <w:t xml:space="preserve"> specific TGA registered indications for hypertension and</w:t>
            </w:r>
            <w:r w:rsidRPr="00DE066C">
              <w:rPr>
                <w:rFonts w:ascii="Arial" w:hAnsi="Arial" w:cs="Arial"/>
              </w:rPr>
              <w:t xml:space="preserve"> angina.</w:t>
            </w:r>
          </w:p>
        </w:tc>
        <w:tc>
          <w:tcPr>
            <w:tcW w:w="5071" w:type="dxa"/>
            <w:tcBorders>
              <w:bottom w:val="nil"/>
            </w:tcBorders>
          </w:tcPr>
          <w:p w14:paraId="0BB0D971" w14:textId="77777777" w:rsidR="002B3771" w:rsidRPr="004A0E15" w:rsidRDefault="002B3771" w:rsidP="00C21496">
            <w:pPr>
              <w:ind w:left="57" w:right="57"/>
              <w:contextualSpacing/>
              <w:jc w:val="left"/>
              <w:rPr>
                <w:rFonts w:ascii="Arial" w:hAnsi="Arial" w:cs="Arial"/>
              </w:rPr>
            </w:pPr>
            <w:r w:rsidRPr="004A0E15">
              <w:rPr>
                <w:rFonts w:ascii="Arial" w:hAnsi="Arial" w:cs="Arial"/>
              </w:rPr>
              <w:lastRenderedPageBreak/>
              <w:t>Recommended for IPAH, HPAH and PAH-DT patients only.</w:t>
            </w:r>
          </w:p>
          <w:p w14:paraId="1A92894A" w14:textId="77777777" w:rsidR="002B3771" w:rsidRPr="004A0E15" w:rsidRDefault="002B3771" w:rsidP="00C21496">
            <w:pPr>
              <w:ind w:left="57" w:right="57"/>
              <w:contextualSpacing/>
              <w:jc w:val="left"/>
              <w:rPr>
                <w:rFonts w:ascii="Arial" w:hAnsi="Arial" w:cs="Arial"/>
              </w:rPr>
            </w:pPr>
            <w:r w:rsidRPr="004A0E15">
              <w:rPr>
                <w:rFonts w:ascii="Arial" w:hAnsi="Arial" w:cs="Arial"/>
              </w:rPr>
              <w:lastRenderedPageBreak/>
              <w:t>Patients not showing acute vasoreactivity response unsuited to CCBs due to safety concerns and lack of benefit</w:t>
            </w:r>
          </w:p>
          <w:p w14:paraId="02A98912" w14:textId="77777777" w:rsidR="002B3771" w:rsidRPr="004A0E15" w:rsidRDefault="002B3771" w:rsidP="00C21496">
            <w:pPr>
              <w:ind w:left="57" w:right="57"/>
              <w:contextualSpacing/>
              <w:jc w:val="left"/>
              <w:rPr>
                <w:rFonts w:ascii="Arial" w:hAnsi="Arial" w:cs="Arial"/>
              </w:rPr>
            </w:pPr>
            <w:r w:rsidRPr="004A0E15">
              <w:rPr>
                <w:rFonts w:ascii="Arial" w:hAnsi="Arial" w:cs="Arial"/>
              </w:rPr>
              <w:t>Not recommended: PAH-CTD or PAH-CHD</w:t>
            </w:r>
          </w:p>
        </w:tc>
      </w:tr>
      <w:tr w:rsidR="00601985" w:rsidRPr="00075CB2" w14:paraId="0F5DE982" w14:textId="77777777" w:rsidTr="00075CB2">
        <w:tc>
          <w:tcPr>
            <w:tcW w:w="1706" w:type="dxa"/>
          </w:tcPr>
          <w:p w14:paraId="2E56494C" w14:textId="77777777" w:rsidR="002B3771" w:rsidRPr="00E47602" w:rsidRDefault="002B3771" w:rsidP="00CE4D79">
            <w:pPr>
              <w:ind w:left="57" w:right="57"/>
              <w:contextualSpacing/>
              <w:jc w:val="left"/>
              <w:rPr>
                <w:rFonts w:ascii="Arial" w:hAnsi="Arial" w:cs="Arial"/>
              </w:rPr>
            </w:pPr>
            <w:r w:rsidRPr="00E47602">
              <w:rPr>
                <w:rFonts w:ascii="Arial" w:hAnsi="Arial" w:cs="Arial"/>
              </w:rPr>
              <w:lastRenderedPageBreak/>
              <w:t xml:space="preserve">Trial of </w:t>
            </w:r>
            <w:r w:rsidR="0088227B">
              <w:rPr>
                <w:rFonts w:ascii="Arial" w:hAnsi="Arial" w:cs="Arial"/>
              </w:rPr>
              <w:t>CCBs</w:t>
            </w:r>
            <w:r w:rsidR="0088227B" w:rsidRPr="00E47602">
              <w:rPr>
                <w:rFonts w:ascii="Arial" w:hAnsi="Arial" w:cs="Arial"/>
              </w:rPr>
              <w:t xml:space="preserve"> </w:t>
            </w:r>
            <w:r w:rsidRPr="00E47602">
              <w:rPr>
                <w:rFonts w:ascii="Arial" w:hAnsi="Arial" w:cs="Arial"/>
              </w:rPr>
              <w:t>– test criterion</w:t>
            </w:r>
          </w:p>
        </w:tc>
        <w:tc>
          <w:tcPr>
            <w:tcW w:w="3364" w:type="dxa"/>
          </w:tcPr>
          <w:p w14:paraId="3F46AE5E" w14:textId="77777777" w:rsidR="002B3771" w:rsidRPr="00E47602" w:rsidRDefault="002B3771" w:rsidP="00C21496">
            <w:pPr>
              <w:ind w:left="57" w:right="57"/>
              <w:contextualSpacing/>
              <w:jc w:val="left"/>
              <w:rPr>
                <w:rFonts w:ascii="Arial" w:hAnsi="Arial" w:cs="Arial"/>
              </w:rPr>
            </w:pPr>
            <w:r w:rsidRPr="00E47602">
              <w:rPr>
                <w:rFonts w:ascii="Arial" w:hAnsi="Arial" w:cs="Arial"/>
              </w:rPr>
              <w:t>mRAP 8mm Hg or below, by RHC</w:t>
            </w:r>
          </w:p>
        </w:tc>
        <w:tc>
          <w:tcPr>
            <w:tcW w:w="3827" w:type="dxa"/>
          </w:tcPr>
          <w:p w14:paraId="159C2A1D"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23084579" w14:textId="77777777" w:rsidR="002B3771" w:rsidRPr="00E47602" w:rsidRDefault="002B3771" w:rsidP="00C21496">
            <w:pPr>
              <w:ind w:left="57" w:right="57"/>
              <w:contextualSpacing/>
              <w:jc w:val="left"/>
              <w:rPr>
                <w:rFonts w:ascii="Arial" w:hAnsi="Arial" w:cs="Arial"/>
              </w:rPr>
            </w:pPr>
            <w:r w:rsidRPr="00E47602">
              <w:rPr>
                <w:rFonts w:ascii="Arial" w:hAnsi="Arial" w:cs="Arial"/>
              </w:rPr>
              <w:t>Positive response to acute vasoreactivity test during RHC defined as decrease in mPAP &gt;10 mm Hg, to an mPAP &lt;40 mm Hg, with no worsening of cardiac output</w:t>
            </w:r>
          </w:p>
        </w:tc>
      </w:tr>
      <w:tr w:rsidR="00601985" w:rsidRPr="00075CB2" w14:paraId="1E0F57A3" w14:textId="77777777" w:rsidTr="00075CB2">
        <w:tc>
          <w:tcPr>
            <w:tcW w:w="1706" w:type="dxa"/>
          </w:tcPr>
          <w:p w14:paraId="20D3DCB2" w14:textId="77777777" w:rsidR="002B3771" w:rsidRPr="00E47602" w:rsidRDefault="002B3771" w:rsidP="00CE4D79">
            <w:pPr>
              <w:ind w:left="57" w:right="57"/>
              <w:contextualSpacing/>
              <w:jc w:val="left"/>
              <w:rPr>
                <w:rFonts w:ascii="Arial" w:hAnsi="Arial" w:cs="Arial"/>
              </w:rPr>
            </w:pPr>
            <w:r w:rsidRPr="00E47602">
              <w:rPr>
                <w:rFonts w:ascii="Arial" w:hAnsi="Arial" w:cs="Arial"/>
              </w:rPr>
              <w:t xml:space="preserve">Trial of </w:t>
            </w:r>
            <w:r w:rsidR="0088227B">
              <w:rPr>
                <w:rFonts w:ascii="Arial" w:hAnsi="Arial" w:cs="Arial"/>
              </w:rPr>
              <w:t>CCBs</w:t>
            </w:r>
            <w:r w:rsidR="0088227B" w:rsidRPr="00E47602">
              <w:rPr>
                <w:rFonts w:ascii="Arial" w:hAnsi="Arial" w:cs="Arial"/>
              </w:rPr>
              <w:t xml:space="preserve"> </w:t>
            </w:r>
            <w:r w:rsidRPr="00E47602">
              <w:rPr>
                <w:rFonts w:ascii="Arial" w:hAnsi="Arial" w:cs="Arial"/>
              </w:rPr>
              <w:t>– response</w:t>
            </w:r>
          </w:p>
        </w:tc>
        <w:tc>
          <w:tcPr>
            <w:tcW w:w="3364" w:type="dxa"/>
          </w:tcPr>
          <w:p w14:paraId="7AC6628A" w14:textId="77777777" w:rsidR="002B3771" w:rsidRPr="00E47602" w:rsidRDefault="002B3771" w:rsidP="00C21496">
            <w:pPr>
              <w:ind w:left="57" w:right="57"/>
              <w:contextualSpacing/>
              <w:jc w:val="left"/>
              <w:rPr>
                <w:rFonts w:ascii="Arial" w:hAnsi="Arial" w:cs="Arial"/>
              </w:rPr>
            </w:pPr>
            <w:r w:rsidRPr="00E47602">
              <w:rPr>
                <w:rFonts w:ascii="Arial" w:hAnsi="Arial" w:cs="Arial"/>
              </w:rPr>
              <w:t>Minimum trial of 6 weeks required.</w:t>
            </w:r>
          </w:p>
          <w:p w14:paraId="27BF4C15" w14:textId="77777777" w:rsidR="002B3771" w:rsidRPr="00E47602" w:rsidRDefault="002B3771" w:rsidP="00C21496">
            <w:pPr>
              <w:ind w:left="57" w:right="57"/>
              <w:contextualSpacing/>
              <w:jc w:val="left"/>
              <w:rPr>
                <w:rFonts w:ascii="Arial" w:hAnsi="Arial" w:cs="Arial"/>
              </w:rPr>
            </w:pPr>
            <w:r w:rsidRPr="00E47602">
              <w:rPr>
                <w:rFonts w:ascii="Arial" w:hAnsi="Arial" w:cs="Arial"/>
              </w:rPr>
              <w:t>Same definition as for response to PAH agents</w:t>
            </w:r>
          </w:p>
        </w:tc>
        <w:tc>
          <w:tcPr>
            <w:tcW w:w="3827" w:type="dxa"/>
          </w:tcPr>
          <w:p w14:paraId="70D69685"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735964CC" w14:textId="77777777" w:rsidR="002B3771" w:rsidRPr="00E47602" w:rsidRDefault="002B3771" w:rsidP="00C21496">
            <w:pPr>
              <w:ind w:left="57" w:right="57"/>
              <w:contextualSpacing/>
              <w:jc w:val="left"/>
              <w:rPr>
                <w:rFonts w:ascii="Arial" w:hAnsi="Arial" w:cs="Arial"/>
              </w:rPr>
            </w:pPr>
            <w:r w:rsidRPr="00E47602">
              <w:rPr>
                <w:rFonts w:ascii="Arial" w:hAnsi="Arial" w:cs="Arial"/>
              </w:rPr>
              <w:t>Follow-up at ~3 months.</w:t>
            </w:r>
          </w:p>
          <w:p w14:paraId="477CE94F" w14:textId="77777777" w:rsidR="002B3771" w:rsidRPr="00E47602" w:rsidRDefault="002B3771" w:rsidP="00C21496">
            <w:pPr>
              <w:ind w:left="57" w:right="57"/>
              <w:contextualSpacing/>
              <w:jc w:val="left"/>
              <w:rPr>
                <w:rFonts w:ascii="Arial" w:hAnsi="Arial" w:cs="Arial"/>
              </w:rPr>
            </w:pPr>
            <w:r w:rsidRPr="00E47602">
              <w:rPr>
                <w:rFonts w:ascii="Arial" w:hAnsi="Arial" w:cs="Arial"/>
              </w:rPr>
              <w:t>Response should show a dramatic improvement or near normalisation to ~WHO FC I</w:t>
            </w:r>
          </w:p>
        </w:tc>
      </w:tr>
      <w:tr w:rsidR="00601985" w:rsidRPr="00075CB2" w14:paraId="0D5ACF25" w14:textId="77777777" w:rsidTr="00075CB2">
        <w:tc>
          <w:tcPr>
            <w:tcW w:w="1706" w:type="dxa"/>
          </w:tcPr>
          <w:p w14:paraId="4DA1DD2F" w14:textId="77777777" w:rsidR="002B3771" w:rsidRPr="00E47602" w:rsidRDefault="002B3771" w:rsidP="00C21496">
            <w:pPr>
              <w:ind w:left="57" w:right="57"/>
              <w:contextualSpacing/>
              <w:jc w:val="left"/>
              <w:rPr>
                <w:rFonts w:ascii="Arial" w:hAnsi="Arial" w:cs="Arial"/>
              </w:rPr>
            </w:pPr>
            <w:r w:rsidRPr="00E47602">
              <w:rPr>
                <w:rFonts w:ascii="Arial" w:hAnsi="Arial" w:cs="Arial"/>
              </w:rPr>
              <w:t>Designated hospitals</w:t>
            </w:r>
          </w:p>
        </w:tc>
        <w:tc>
          <w:tcPr>
            <w:tcW w:w="3364" w:type="dxa"/>
          </w:tcPr>
          <w:p w14:paraId="55AF2D2A" w14:textId="77777777" w:rsidR="002B3771" w:rsidRPr="00E47602" w:rsidRDefault="002B3771" w:rsidP="00A43B3C">
            <w:pPr>
              <w:ind w:left="57" w:right="57"/>
              <w:contextualSpacing/>
              <w:jc w:val="left"/>
              <w:rPr>
                <w:rFonts w:ascii="Arial" w:hAnsi="Arial" w:cs="Arial"/>
              </w:rPr>
            </w:pPr>
            <w:r w:rsidRPr="00E47602">
              <w:rPr>
                <w:rFonts w:ascii="Arial" w:hAnsi="Arial" w:cs="Arial"/>
              </w:rPr>
              <w:t xml:space="preserve">&gt;60 centres listed by </w:t>
            </w:r>
            <w:r w:rsidR="00A43B3C">
              <w:rPr>
                <w:rFonts w:ascii="Arial" w:hAnsi="Arial" w:cs="Arial"/>
              </w:rPr>
              <w:t>Services Australia</w:t>
            </w:r>
          </w:p>
        </w:tc>
        <w:tc>
          <w:tcPr>
            <w:tcW w:w="3827" w:type="dxa"/>
          </w:tcPr>
          <w:p w14:paraId="3C647CF9" w14:textId="77777777" w:rsidR="002B3771" w:rsidRPr="00E47602" w:rsidRDefault="002B3771" w:rsidP="00B45FB2">
            <w:pPr>
              <w:ind w:left="57" w:right="57"/>
              <w:contextualSpacing/>
              <w:jc w:val="center"/>
              <w:rPr>
                <w:rFonts w:ascii="Arial" w:hAnsi="Arial" w:cs="Arial"/>
              </w:rPr>
            </w:pPr>
            <w:r w:rsidRPr="00E47602">
              <w:rPr>
                <w:rFonts w:ascii="Arial" w:hAnsi="Arial" w:cs="Arial"/>
              </w:rPr>
              <w:t>—</w:t>
            </w:r>
          </w:p>
        </w:tc>
        <w:tc>
          <w:tcPr>
            <w:tcW w:w="5071" w:type="dxa"/>
          </w:tcPr>
          <w:p w14:paraId="761B38B1" w14:textId="77777777" w:rsidR="002B3771" w:rsidRPr="00E47602" w:rsidRDefault="002B3771" w:rsidP="00C21496">
            <w:pPr>
              <w:ind w:left="57" w:right="57"/>
              <w:contextualSpacing/>
              <w:jc w:val="left"/>
              <w:rPr>
                <w:rFonts w:ascii="Arial" w:hAnsi="Arial" w:cs="Arial"/>
              </w:rPr>
            </w:pPr>
            <w:r w:rsidRPr="00E47602">
              <w:rPr>
                <w:rFonts w:ascii="Arial" w:hAnsi="Arial" w:cs="Arial"/>
              </w:rPr>
              <w:t>PAH treatment centres should see at least 300 referred patients per year; 50 RHC procedures per year</w:t>
            </w:r>
          </w:p>
        </w:tc>
      </w:tr>
    </w:tbl>
    <w:p w14:paraId="6FC98732" w14:textId="77777777" w:rsidR="002B3771" w:rsidRPr="00E47602" w:rsidRDefault="002B3771" w:rsidP="00B565EE">
      <w:pPr>
        <w:pStyle w:val="Tablenote"/>
        <w:jc w:val="left"/>
      </w:pPr>
      <w:r w:rsidRPr="00E47602">
        <w:t xml:space="preserve">PBS=Pharmaceutical Benefits Scheme; </w:t>
      </w:r>
      <w:r w:rsidR="0088227B">
        <w:t>CCBs=calcium channel blockers;</w:t>
      </w:r>
      <w:r w:rsidR="00B565EE">
        <w:t xml:space="preserve"> </w:t>
      </w:r>
      <w:r w:rsidRPr="00E47602">
        <w:t>TGA=Therapeutic Goods Administration; PAH=pulmonary arterial hypertension; WHO=World Health Organization; FC=functional class; PDE</w:t>
      </w:r>
      <w:r w:rsidRPr="00E47602">
        <w:noBreakHyphen/>
        <w:t xml:space="preserve">5i=phosphodiesterase type 5 inhibitor; ERA=endothelin receptor antagonist; ESC=European Society of Cardiology; ERS=European Respiratory Society; FC=functional class, SoC=standard of care; PAH-‘XXX’=PAH due to (CHD=congenital heart disease; DT=drug or toxin induced; CTD=connective tissue disease; HIV=Human Immunodeficiency Virus; or, PH=portal hypertension); IPAH=idiopathic PAH; HPAH=heritable PAH; RHC=right heart catheterisation; ECHO=echocardiography; RVSP=right ventricular systolic pressure; LVF=left ventricular function; PASP=pulmonary artery systolic pressure; 6MWD=6 minute walk distance; CCB=calcium channel blocker; PI=product information; mRAP=mean right atrial </w:t>
      </w:r>
      <w:r w:rsidR="00406F77">
        <w:t>pressure</w:t>
      </w:r>
    </w:p>
    <w:p w14:paraId="21547151" w14:textId="77777777" w:rsidR="002B3771" w:rsidRPr="00E47602" w:rsidRDefault="002B3771" w:rsidP="00B565EE">
      <w:pPr>
        <w:pStyle w:val="Tablenote"/>
        <w:jc w:val="left"/>
        <w:sectPr w:rsidR="002B3771" w:rsidRPr="00E47602" w:rsidSect="002B3771">
          <w:headerReference w:type="first" r:id="rId14"/>
          <w:endnotePr>
            <w:numFmt w:val="decimal"/>
          </w:endnotePr>
          <w:pgSz w:w="16838" w:h="11906" w:orient="landscape"/>
          <w:pgMar w:top="1134" w:right="1134" w:bottom="1134" w:left="1134" w:header="709" w:footer="709" w:gutter="0"/>
          <w:cols w:space="708"/>
          <w:titlePg/>
          <w:docGrid w:linePitch="360"/>
        </w:sectPr>
      </w:pPr>
    </w:p>
    <w:p w14:paraId="3F8BF67C" w14:textId="77777777" w:rsidR="003E2066" w:rsidRDefault="003E2066" w:rsidP="00C21496">
      <w:pPr>
        <w:pStyle w:val="Heading3"/>
        <w:jc w:val="left"/>
      </w:pPr>
      <w:bookmarkStart w:id="36" w:name="_Toc511047267"/>
      <w:bookmarkStart w:id="37" w:name="_Toc526943995"/>
      <w:r w:rsidRPr="003E2066">
        <w:lastRenderedPageBreak/>
        <w:t>Stakeholder</w:t>
      </w:r>
      <w:r>
        <w:t xml:space="preserve"> Views</w:t>
      </w:r>
      <w:bookmarkEnd w:id="36"/>
      <w:bookmarkEnd w:id="37"/>
    </w:p>
    <w:p w14:paraId="777BC684" w14:textId="77777777" w:rsidR="003E2066" w:rsidRPr="00112C29" w:rsidRDefault="003E2066" w:rsidP="001960CE">
      <w:pPr>
        <w:pStyle w:val="ListParagraph"/>
        <w:numPr>
          <w:ilvl w:val="0"/>
          <w:numId w:val="33"/>
        </w:numPr>
        <w:jc w:val="left"/>
      </w:pPr>
      <w:r w:rsidRPr="00112C29">
        <w:t xml:space="preserve">Stakeholders consider the </w:t>
      </w:r>
      <w:r w:rsidR="00A43B3C">
        <w:t xml:space="preserve">2015 </w:t>
      </w:r>
      <w:r w:rsidRPr="00112C29">
        <w:t>ESC/ERS guidelines to be the most relevant to Australian practice and note they incorporate the latest evidence for combination therapy.</w:t>
      </w:r>
    </w:p>
    <w:p w14:paraId="627B9D21" w14:textId="77777777" w:rsidR="003E2066" w:rsidRPr="00112C29" w:rsidRDefault="003E2066" w:rsidP="001960CE">
      <w:pPr>
        <w:pStyle w:val="ListParagraph"/>
        <w:numPr>
          <w:ilvl w:val="0"/>
          <w:numId w:val="33"/>
        </w:numPr>
        <w:jc w:val="left"/>
      </w:pPr>
      <w:r w:rsidRPr="00112C29">
        <w:t xml:space="preserve">Stakeholders are concerned that Australians do not have the same access to the range or combination of PAH </w:t>
      </w:r>
      <w:r w:rsidR="00B66044">
        <w:t>medicines</w:t>
      </w:r>
      <w:r w:rsidRPr="00112C29">
        <w:t xml:space="preserve"> at an affordable cost, compared to international patients.</w:t>
      </w:r>
    </w:p>
    <w:p w14:paraId="3B47D979" w14:textId="77777777" w:rsidR="003E2066" w:rsidRPr="00112C29" w:rsidRDefault="003E2066" w:rsidP="001960CE">
      <w:pPr>
        <w:pStyle w:val="ListParagraph"/>
        <w:numPr>
          <w:ilvl w:val="0"/>
          <w:numId w:val="33"/>
        </w:numPr>
        <w:jc w:val="left"/>
      </w:pPr>
      <w:r w:rsidRPr="00112C29">
        <w:t>Stakeholders consider that PAH medicines should not be reimbursed based on the cause of PAH or FC, and suggests PAH medicines should be available to all PAH patients regardless of what type, FC or severity of PAH disease.</w:t>
      </w:r>
    </w:p>
    <w:p w14:paraId="4E6ED2AB" w14:textId="77777777" w:rsidR="003E2066" w:rsidRPr="00112C29" w:rsidRDefault="003E2066" w:rsidP="001960CE">
      <w:pPr>
        <w:pStyle w:val="ListParagraph"/>
        <w:numPr>
          <w:ilvl w:val="0"/>
          <w:numId w:val="33"/>
        </w:numPr>
        <w:jc w:val="left"/>
      </w:pPr>
      <w:r w:rsidRPr="00112C29">
        <w:t xml:space="preserve">Stakeholders suggest the PAH treatment approach should be one of ‘disease </w:t>
      </w:r>
      <w:r w:rsidR="000D5E22">
        <w:t>manag</w:t>
      </w:r>
      <w:r w:rsidR="00B565EE">
        <w:t>e</w:t>
      </w:r>
      <w:r w:rsidR="000D5E22">
        <w:t>ment</w:t>
      </w:r>
      <w:r w:rsidRPr="00112C29">
        <w:t>’ so that patients can achieve a reasonable quality of life for a period before disease progression and that all patients in WHO FC I should have access to medication, irrespective of the triggering event.</w:t>
      </w:r>
    </w:p>
    <w:p w14:paraId="0C94D08D" w14:textId="77777777" w:rsidR="003E2066" w:rsidRPr="00112C29" w:rsidRDefault="003E2066" w:rsidP="001960CE">
      <w:pPr>
        <w:pStyle w:val="ListParagraph"/>
        <w:numPr>
          <w:ilvl w:val="0"/>
          <w:numId w:val="33"/>
        </w:numPr>
        <w:jc w:val="left"/>
      </w:pPr>
      <w:r w:rsidRPr="00112C29">
        <w:t>Stakeholders suggested a review of PAH in designated Pulmonary Hypertension centres in Australia and note variations in clinical expertise are leading to a variation in treatment and outcomes</w:t>
      </w:r>
      <w:r w:rsidR="000D5E22">
        <w:t xml:space="preserve">. </w:t>
      </w:r>
      <w:r w:rsidRPr="00112C29">
        <w:t>Stakeholders suggested collaboration between centres to improve equity of utilisation of PAH medicines.</w:t>
      </w:r>
    </w:p>
    <w:p w14:paraId="44117050" w14:textId="77777777" w:rsidR="003E2066" w:rsidRDefault="003E2066" w:rsidP="00C21496">
      <w:pPr>
        <w:pStyle w:val="Heading3"/>
        <w:jc w:val="left"/>
      </w:pPr>
      <w:bookmarkStart w:id="38" w:name="_Toc511047268"/>
      <w:bookmarkStart w:id="39" w:name="_Toc526943996"/>
      <w:r>
        <w:t xml:space="preserve">Consumer </w:t>
      </w:r>
      <w:r w:rsidRPr="003E2066">
        <w:t>Views</w:t>
      </w:r>
      <w:bookmarkEnd w:id="38"/>
      <w:bookmarkEnd w:id="39"/>
    </w:p>
    <w:p w14:paraId="6C0E84A7" w14:textId="77777777" w:rsidR="003E2066" w:rsidRPr="00112C29" w:rsidRDefault="003E2066" w:rsidP="001960CE">
      <w:pPr>
        <w:pStyle w:val="ListParagraph"/>
        <w:numPr>
          <w:ilvl w:val="0"/>
          <w:numId w:val="33"/>
        </w:numPr>
        <w:jc w:val="left"/>
      </w:pPr>
      <w:r w:rsidRPr="00112C29">
        <w:t>Consumers understood that they can currently access only one PAH medicine at any one time through the PBS. Consumers were also aware of the requirement to provide test results to support their ongoing treatment with PBS medicines.</w:t>
      </w:r>
    </w:p>
    <w:p w14:paraId="0403E179" w14:textId="77777777" w:rsidR="003E2066" w:rsidRPr="00112C29" w:rsidRDefault="003E2066" w:rsidP="001960CE">
      <w:pPr>
        <w:pStyle w:val="ListParagraph"/>
        <w:numPr>
          <w:ilvl w:val="0"/>
          <w:numId w:val="33"/>
        </w:numPr>
        <w:jc w:val="left"/>
      </w:pPr>
      <w:r w:rsidRPr="00112C29">
        <w:t>Consumers noted that there are no specific medicines listed on the PBS for children</w:t>
      </w:r>
      <w:r w:rsidR="000D5E22">
        <w:t>.</w:t>
      </w:r>
      <w:r w:rsidRPr="00112C29">
        <w:t xml:space="preserve"> </w:t>
      </w:r>
    </w:p>
    <w:p w14:paraId="23ED9A87" w14:textId="77777777" w:rsidR="003E2066" w:rsidRPr="00112C29" w:rsidRDefault="003E2066" w:rsidP="001960CE">
      <w:pPr>
        <w:pStyle w:val="ListParagraph"/>
        <w:numPr>
          <w:ilvl w:val="0"/>
          <w:numId w:val="33"/>
        </w:numPr>
        <w:spacing w:after="0"/>
        <w:ind w:left="357" w:hanging="357"/>
        <w:jc w:val="left"/>
      </w:pPr>
      <w:r w:rsidRPr="00112C29">
        <w:t>Consumers considered it a priority to get access to:</w:t>
      </w:r>
    </w:p>
    <w:p w14:paraId="6D4DF007" w14:textId="77777777" w:rsidR="003E2066" w:rsidRPr="00112C29" w:rsidRDefault="003E2066" w:rsidP="00C21496">
      <w:pPr>
        <w:pStyle w:val="08Bulletsseriesofsentences"/>
        <w:numPr>
          <w:ilvl w:val="1"/>
          <w:numId w:val="7"/>
        </w:numPr>
        <w:spacing w:before="60"/>
        <w:ind w:left="1077" w:hanging="357"/>
      </w:pPr>
      <w:r w:rsidRPr="00112C29">
        <w:t>multiple PBS-listed medicines at one time;</w:t>
      </w:r>
    </w:p>
    <w:p w14:paraId="61FE2537" w14:textId="77777777" w:rsidR="003E2066" w:rsidRPr="00112C29" w:rsidRDefault="003E2066" w:rsidP="00C21496">
      <w:pPr>
        <w:pStyle w:val="08Bulletsseriesofsentences"/>
        <w:numPr>
          <w:ilvl w:val="1"/>
          <w:numId w:val="7"/>
        </w:numPr>
        <w:spacing w:before="60"/>
        <w:ind w:left="1077" w:hanging="357"/>
      </w:pPr>
      <w:r w:rsidRPr="00112C29">
        <w:t>medicines for FC II to coincide with early diagnosis; and</w:t>
      </w:r>
    </w:p>
    <w:p w14:paraId="6DE6A5BD" w14:textId="77777777" w:rsidR="003E2066" w:rsidRPr="00112C29" w:rsidRDefault="003E2066" w:rsidP="00C21496">
      <w:pPr>
        <w:pStyle w:val="08Bulletsseriesofsentences"/>
        <w:numPr>
          <w:ilvl w:val="1"/>
          <w:numId w:val="7"/>
        </w:numPr>
        <w:spacing w:before="60"/>
        <w:ind w:left="1077" w:hanging="357"/>
      </w:pPr>
      <w:r w:rsidRPr="00112C29">
        <w:t>a broad</w:t>
      </w:r>
      <w:r w:rsidR="000D5E22">
        <w:t>er</w:t>
      </w:r>
      <w:r w:rsidRPr="00112C29">
        <w:t xml:space="preserve"> range of PAH medicines.</w:t>
      </w:r>
    </w:p>
    <w:p w14:paraId="4471400B" w14:textId="77777777" w:rsidR="00DB4D3A" w:rsidRDefault="003E2066" w:rsidP="003A765E">
      <w:pPr>
        <w:pStyle w:val="ListParagraph"/>
        <w:numPr>
          <w:ilvl w:val="0"/>
          <w:numId w:val="33"/>
        </w:numPr>
        <w:jc w:val="left"/>
      </w:pPr>
      <w:r w:rsidRPr="00112C29">
        <w:t>Some consumers suggested that earlier treatment and combination therapy led to better health outcomes and questioned why treatment is not available for FC II patients whose healt</w:t>
      </w:r>
      <w:r w:rsidR="005F2F5B">
        <w:t>h is only going to deteriorate.</w:t>
      </w:r>
    </w:p>
    <w:p w14:paraId="47B2AD8D" w14:textId="77777777" w:rsidR="003E2066" w:rsidRPr="00112C29" w:rsidRDefault="003E2066" w:rsidP="003A765E">
      <w:pPr>
        <w:pStyle w:val="ListParagraph"/>
        <w:numPr>
          <w:ilvl w:val="0"/>
          <w:numId w:val="33"/>
        </w:numPr>
        <w:jc w:val="left"/>
      </w:pPr>
      <w:r w:rsidRPr="00112C29">
        <w:t>Many consumers were unaware of the international guidelines for the treatment of PAH, but some understood that the guidelines provided information on the classification of PAH and treatments.</w:t>
      </w:r>
    </w:p>
    <w:p w14:paraId="2CB8E5F9" w14:textId="77777777" w:rsidR="00DE5CA2" w:rsidRDefault="006B7E87" w:rsidP="00C21496">
      <w:pPr>
        <w:pStyle w:val="Heading2"/>
        <w:jc w:val="left"/>
      </w:pPr>
      <w:bookmarkStart w:id="40" w:name="_Toc526943997"/>
      <w:r>
        <w:t xml:space="preserve">Key findings for </w:t>
      </w:r>
      <w:r w:rsidR="00DE5CA2" w:rsidRPr="009F466A">
        <w:t xml:space="preserve">ToR 2: </w:t>
      </w:r>
      <w:r w:rsidR="002C47CE">
        <w:t>U</w:t>
      </w:r>
      <w:r w:rsidR="00DE5CA2" w:rsidRPr="009F466A">
        <w:t>tilisation of PAH medicines</w:t>
      </w:r>
      <w:bookmarkEnd w:id="40"/>
      <w:r w:rsidR="00DE5CA2" w:rsidRPr="009F466A">
        <w:t xml:space="preserve"> </w:t>
      </w:r>
    </w:p>
    <w:p w14:paraId="4C5B3C93" w14:textId="77777777" w:rsidR="002C3B52" w:rsidRPr="0073496D" w:rsidRDefault="002C3B52" w:rsidP="00C21496">
      <w:pPr>
        <w:jc w:val="left"/>
      </w:pPr>
      <w:r w:rsidRPr="0073496D">
        <w:t xml:space="preserve">An analysis of the utilisation of PAH medicines was undertaken using prescription data </w:t>
      </w:r>
      <w:r w:rsidR="001658D7">
        <w:t>and</w:t>
      </w:r>
      <w:r>
        <w:t xml:space="preserve"> date of death data </w:t>
      </w:r>
      <w:r w:rsidRPr="0073496D">
        <w:t xml:space="preserve">from the </w:t>
      </w:r>
      <w:r w:rsidR="00A43B3C">
        <w:t>-Services Australia</w:t>
      </w:r>
      <w:r w:rsidRPr="0073496D">
        <w:t xml:space="preserve"> </w:t>
      </w:r>
      <w:r w:rsidR="000D5E22">
        <w:t>PBS</w:t>
      </w:r>
      <w:r w:rsidRPr="0073496D">
        <w:t xml:space="preserve"> Prescriptions Database. Dispensed prescription data for PAH medicines listed on the PBS</w:t>
      </w:r>
      <w:r w:rsidR="009F611D">
        <w:t>/</w:t>
      </w:r>
      <w:r w:rsidR="009F611D" w:rsidRPr="009F611D">
        <w:t xml:space="preserve">RPBS (Repatriation Schedule of </w:t>
      </w:r>
      <w:r w:rsidR="009F611D" w:rsidRPr="009F611D">
        <w:lastRenderedPageBreak/>
        <w:t>Pharmaceutical Benefits)</w:t>
      </w:r>
      <w:r w:rsidRPr="0073496D">
        <w:t xml:space="preserve"> were exacted for</w:t>
      </w:r>
      <w:r w:rsidRPr="00A17BBF">
        <w:t xml:space="preserve"> </w:t>
      </w:r>
      <w:r w:rsidRPr="0073496D">
        <w:t xml:space="preserve">the period from </w:t>
      </w:r>
      <w:r w:rsidR="009F3FA8">
        <w:t>1 </w:t>
      </w:r>
      <w:r w:rsidRPr="0073496D">
        <w:t xml:space="preserve">July 2013 to 31 December 2016 based on the date of dispensing. The data were </w:t>
      </w:r>
      <w:r w:rsidRPr="002C3B52">
        <w:t>extracted in August 2017.</w:t>
      </w:r>
    </w:p>
    <w:p w14:paraId="632FB94E" w14:textId="77777777" w:rsidR="00FB060F" w:rsidRPr="00CC1D29" w:rsidRDefault="00FB060F" w:rsidP="00C21496">
      <w:pPr>
        <w:pStyle w:val="Heading3"/>
        <w:jc w:val="left"/>
      </w:pPr>
      <w:bookmarkStart w:id="41" w:name="_Toc526943998"/>
      <w:r w:rsidRPr="00CC1D29">
        <w:t xml:space="preserve">PBS/RPBS </w:t>
      </w:r>
      <w:r>
        <w:t>Claims Data</w:t>
      </w:r>
      <w:bookmarkEnd w:id="41"/>
      <w:r>
        <w:t xml:space="preserve"> </w:t>
      </w:r>
    </w:p>
    <w:p w14:paraId="38E4C060" w14:textId="77777777" w:rsidR="00CD4132" w:rsidRPr="00CD4132" w:rsidRDefault="00CD4132" w:rsidP="001960CE">
      <w:pPr>
        <w:pStyle w:val="ListParagraph"/>
        <w:numPr>
          <w:ilvl w:val="0"/>
          <w:numId w:val="33"/>
        </w:numPr>
        <w:jc w:val="left"/>
      </w:pPr>
      <w:r w:rsidRPr="00CD4132">
        <w:t>The annual number of PAH medicine dispensings increased from 20,454 in 2014 to 23,375 in 2016; the corresponding PBS benefit paid increased from $53.22 million to $58.75 million.</w:t>
      </w:r>
    </w:p>
    <w:p w14:paraId="3AB4F0F3" w14:textId="77777777" w:rsidR="00CD4132" w:rsidRPr="00CD4132" w:rsidRDefault="00CD4132" w:rsidP="001960CE">
      <w:pPr>
        <w:pStyle w:val="ListParagraph"/>
        <w:numPr>
          <w:ilvl w:val="0"/>
          <w:numId w:val="33"/>
        </w:numPr>
        <w:jc w:val="left"/>
      </w:pPr>
      <w:r w:rsidRPr="00CD4132">
        <w:t>Endothelin receptor antagonists (ERAs) were the most commonly dispensed medicine class, accounting for 77% of all PBS PAH dispensings in 2016.</w:t>
      </w:r>
    </w:p>
    <w:p w14:paraId="4A8C7E75" w14:textId="77777777" w:rsidR="00CD4132" w:rsidRPr="00CD4132" w:rsidRDefault="00CD4132" w:rsidP="001960CE">
      <w:pPr>
        <w:pStyle w:val="ListParagraph"/>
        <w:numPr>
          <w:ilvl w:val="0"/>
          <w:numId w:val="33"/>
        </w:numPr>
        <w:jc w:val="left"/>
      </w:pPr>
      <w:r w:rsidRPr="00CD4132">
        <w:t>Bosentan was the most commonly dispensed PBS PAH medicine in 2015 and macitentan was the most commonly dispensed PAH medicine in 2016.</w:t>
      </w:r>
    </w:p>
    <w:p w14:paraId="0ADC22BA" w14:textId="77777777" w:rsidR="00CD4132" w:rsidRPr="00CD4132" w:rsidRDefault="00CD4132" w:rsidP="001960CE">
      <w:pPr>
        <w:pStyle w:val="ListParagraph"/>
        <w:numPr>
          <w:ilvl w:val="0"/>
          <w:numId w:val="33"/>
        </w:numPr>
        <w:jc w:val="left"/>
      </w:pPr>
      <w:r w:rsidRPr="00CD4132">
        <w:t>The majority of prevalent patients treated with PAH medicines were female (73% in 2016).</w:t>
      </w:r>
    </w:p>
    <w:p w14:paraId="3A2CF357" w14:textId="77777777" w:rsidR="00CD4132" w:rsidRPr="00CD4132" w:rsidRDefault="00CD4132" w:rsidP="001960CE">
      <w:pPr>
        <w:pStyle w:val="ListParagraph"/>
        <w:numPr>
          <w:ilvl w:val="0"/>
          <w:numId w:val="33"/>
        </w:numPr>
        <w:jc w:val="left"/>
      </w:pPr>
      <w:r w:rsidRPr="00CD4132">
        <w:t>The incident rate for patients newly treated with PAH medicines remained relatively stable across the study period.</w:t>
      </w:r>
    </w:p>
    <w:p w14:paraId="69802C2A" w14:textId="77777777" w:rsidR="00E83969" w:rsidRDefault="00CD4132" w:rsidP="00E83969">
      <w:pPr>
        <w:pStyle w:val="ListParagraph"/>
        <w:numPr>
          <w:ilvl w:val="0"/>
          <w:numId w:val="33"/>
        </w:numPr>
        <w:jc w:val="left"/>
      </w:pPr>
      <w:r w:rsidRPr="00CD4132">
        <w:t xml:space="preserve">The highest treated incidence rate with PAH medicines (2014-2016) was in females </w:t>
      </w:r>
      <w:r w:rsidR="006F6458">
        <w:br/>
      </w:r>
      <w:r w:rsidRPr="00CD4132">
        <w:t xml:space="preserve">75-84 year old, followed by females 65-74 year old. </w:t>
      </w:r>
    </w:p>
    <w:p w14:paraId="752B461C" w14:textId="77777777" w:rsidR="00E83969" w:rsidRDefault="00CD4132" w:rsidP="00E83969">
      <w:pPr>
        <w:pStyle w:val="ListParagraph"/>
        <w:numPr>
          <w:ilvl w:val="0"/>
          <w:numId w:val="33"/>
        </w:numPr>
        <w:jc w:val="left"/>
      </w:pPr>
      <w:r w:rsidRPr="00CD4132">
        <w:t>The majority of incident patients started</w:t>
      </w:r>
      <w:r w:rsidR="000D5E22">
        <w:t xml:space="preserve"> PBS subsidised</w:t>
      </w:r>
      <w:r w:rsidRPr="00CD4132">
        <w:t xml:space="preserve"> treatment with 10 mg macitentan (57% of new patients in 2016), followed by 20 mg sildenafil (18.7% of new patients in 2016).</w:t>
      </w:r>
    </w:p>
    <w:p w14:paraId="182D8DDF" w14:textId="77777777" w:rsidR="00CD4132" w:rsidRPr="00CD4132" w:rsidRDefault="00CD4132" w:rsidP="00E83969">
      <w:pPr>
        <w:pStyle w:val="ListParagraph"/>
        <w:numPr>
          <w:ilvl w:val="0"/>
          <w:numId w:val="33"/>
        </w:numPr>
        <w:jc w:val="left"/>
      </w:pPr>
      <w:r w:rsidRPr="00CD4132">
        <w:t>Switching between PBS-listed PAH medicines was not common. Among a total of 3187 treated patients, 418 (13%) switched medicines between 2013 and 2016. Patients most commonly switched from phosphodiesterase-5 (PDE</w:t>
      </w:r>
      <w:r w:rsidR="00ED7E44">
        <w:t>-</w:t>
      </w:r>
      <w:r w:rsidRPr="00CD4132">
        <w:t>5) inhibitors to ERAs.</w:t>
      </w:r>
    </w:p>
    <w:p w14:paraId="26A8547E" w14:textId="77777777" w:rsidR="00AE740F" w:rsidRDefault="00CD4132" w:rsidP="00E83969">
      <w:pPr>
        <w:pStyle w:val="ListParagraph"/>
        <w:numPr>
          <w:ilvl w:val="0"/>
          <w:numId w:val="33"/>
        </w:numPr>
        <w:jc w:val="left"/>
      </w:pPr>
      <w:r w:rsidRPr="00CD4132">
        <w:t>Combination treatment with PBS-listed PAH medicines was very rare</w:t>
      </w:r>
      <w:r w:rsidR="00AE740F">
        <w:t>.</w:t>
      </w:r>
    </w:p>
    <w:p w14:paraId="22BE2D42" w14:textId="77777777" w:rsidR="00FB060F" w:rsidRPr="00F36FF4" w:rsidRDefault="00FB060F" w:rsidP="00AE740F">
      <w:pPr>
        <w:jc w:val="left"/>
        <w:rPr>
          <w:rFonts w:eastAsiaTheme="minorEastAsia"/>
          <w:szCs w:val="30"/>
        </w:rPr>
      </w:pPr>
      <w:r w:rsidRPr="00AE740F">
        <w:rPr>
          <w:rFonts w:eastAsiaTheme="minorEastAsia"/>
          <w:b/>
          <w:i/>
          <w:sz w:val="30"/>
          <w:szCs w:val="30"/>
        </w:rPr>
        <w:t>Pulmonary Hypertension Society of Australia and New Zealand (PHSANZ) Registry</w:t>
      </w:r>
    </w:p>
    <w:p w14:paraId="74DAFB64" w14:textId="77777777" w:rsidR="00CD4132" w:rsidRDefault="00CD4132" w:rsidP="001960CE">
      <w:pPr>
        <w:pStyle w:val="ListParagraph"/>
        <w:numPr>
          <w:ilvl w:val="0"/>
          <w:numId w:val="33"/>
        </w:numPr>
        <w:jc w:val="left"/>
      </w:pPr>
      <w:r>
        <w:t xml:space="preserve">The mean age of all PAH patients </w:t>
      </w:r>
      <w:r w:rsidRPr="00D330E3">
        <w:t xml:space="preserve">at </w:t>
      </w:r>
      <w:r>
        <w:t>time of diagnosis</w:t>
      </w:r>
      <w:r w:rsidRPr="00D330E3">
        <w:t xml:space="preserve"> in</w:t>
      </w:r>
      <w:r>
        <w:t xml:space="preserve"> the PHSANZ cohort (n=1071) was 49.9±20.4 years and 7.8% were aged under</w:t>
      </w:r>
      <w:r w:rsidR="00E83969">
        <w:t xml:space="preserve"> </w:t>
      </w:r>
      <w:r>
        <w:t>18 years.</w:t>
      </w:r>
    </w:p>
    <w:p w14:paraId="0FEB10EF" w14:textId="77777777" w:rsidR="00CD4132" w:rsidRDefault="00CD4132" w:rsidP="001960CE">
      <w:pPr>
        <w:pStyle w:val="ListParagraph"/>
        <w:numPr>
          <w:ilvl w:val="0"/>
          <w:numId w:val="33"/>
        </w:numPr>
        <w:jc w:val="left"/>
      </w:pPr>
      <w:r>
        <w:t>More than two thirds of patients were female.</w:t>
      </w:r>
    </w:p>
    <w:p w14:paraId="47F55FFD" w14:textId="77777777" w:rsidR="00CD4132" w:rsidRDefault="00CD4132" w:rsidP="001960CE">
      <w:pPr>
        <w:pStyle w:val="ListParagraph"/>
        <w:numPr>
          <w:ilvl w:val="0"/>
          <w:numId w:val="33"/>
        </w:numPr>
        <w:jc w:val="left"/>
      </w:pPr>
      <w:r>
        <w:t>Overall 49.8%, 39.8% and 10.4% of patients were prescribed monotherapy, dual therapy and triple therapy respectively.</w:t>
      </w:r>
    </w:p>
    <w:p w14:paraId="2B704B79" w14:textId="77777777" w:rsidR="00CD4132" w:rsidRDefault="00CD4132" w:rsidP="001960CE">
      <w:pPr>
        <w:pStyle w:val="ListParagraph"/>
        <w:numPr>
          <w:ilvl w:val="0"/>
          <w:numId w:val="33"/>
        </w:numPr>
        <w:jc w:val="left"/>
      </w:pPr>
      <w:r>
        <w:t>ERAs were the most commonly prescribed medicine class amongst monotherapy patients (76.55%).</w:t>
      </w:r>
    </w:p>
    <w:p w14:paraId="0E0C1D47" w14:textId="77777777" w:rsidR="00CD4132" w:rsidRDefault="00CD4132" w:rsidP="001960CE">
      <w:pPr>
        <w:pStyle w:val="ListParagraph"/>
        <w:numPr>
          <w:ilvl w:val="0"/>
          <w:numId w:val="33"/>
        </w:numPr>
        <w:jc w:val="left"/>
      </w:pPr>
      <w:r>
        <w:t>ERA + PDE</w:t>
      </w:r>
      <w:r w:rsidR="00ED7E44">
        <w:t>-</w:t>
      </w:r>
      <w:r>
        <w:t xml:space="preserve">5 inhibitors accounted for 91% of all dual therapy combinations, with the addition of a </w:t>
      </w:r>
      <w:r w:rsidR="00A33DE8">
        <w:t xml:space="preserve">prostanoid </w:t>
      </w:r>
      <w:r>
        <w:t>the most common regimen for triple therapy.</w:t>
      </w:r>
    </w:p>
    <w:p w14:paraId="01CBE8BD" w14:textId="77777777" w:rsidR="00CD4132" w:rsidRDefault="00CD4132" w:rsidP="001960CE">
      <w:pPr>
        <w:pStyle w:val="ListParagraph"/>
        <w:numPr>
          <w:ilvl w:val="0"/>
          <w:numId w:val="33"/>
        </w:numPr>
        <w:jc w:val="left"/>
      </w:pPr>
      <w:r>
        <w:t xml:space="preserve">PHSANZ registry data indicates that approximately 20% of patients in the PAH cohort (those alive and receiving medication in 2017) were diagnosed or presented to PAH centres with symptoms classified in WHO FC II. The majority (67%) of patients entered </w:t>
      </w:r>
      <w:r>
        <w:lastRenderedPageBreak/>
        <w:t>the cohort with WHO FC III symptoms and 6% with WHO FC IV symptoms. Information on WHO FC at time of cohort entry was not available in 6.8% of patients.</w:t>
      </w:r>
    </w:p>
    <w:p w14:paraId="06AC5A21" w14:textId="77777777" w:rsidR="00FB060F" w:rsidRDefault="00FB060F" w:rsidP="00C21496">
      <w:pPr>
        <w:pStyle w:val="Heading3"/>
        <w:jc w:val="left"/>
        <w:rPr>
          <w:rFonts w:eastAsiaTheme="minorEastAsia"/>
        </w:rPr>
      </w:pPr>
      <w:bookmarkStart w:id="42" w:name="_Toc526943999"/>
      <w:r w:rsidRPr="00CC1D29">
        <w:rPr>
          <w:rFonts w:eastAsiaTheme="minorEastAsia"/>
        </w:rPr>
        <w:t>Australian Scleroderma Interest Group</w:t>
      </w:r>
      <w:r>
        <w:rPr>
          <w:rFonts w:eastAsiaTheme="minorEastAsia"/>
        </w:rPr>
        <w:t xml:space="preserve"> Registry</w:t>
      </w:r>
      <w:r w:rsidRPr="00CC1D29">
        <w:rPr>
          <w:rFonts w:eastAsiaTheme="minorEastAsia"/>
        </w:rPr>
        <w:t xml:space="preserve"> (ASIG)</w:t>
      </w:r>
      <w:bookmarkEnd w:id="42"/>
    </w:p>
    <w:p w14:paraId="1D0A51B3" w14:textId="77777777" w:rsidR="00CD4132" w:rsidRPr="004C3845" w:rsidRDefault="00CD4132" w:rsidP="001960CE">
      <w:pPr>
        <w:pStyle w:val="ListParagraph"/>
        <w:numPr>
          <w:ilvl w:val="0"/>
          <w:numId w:val="33"/>
        </w:numPr>
        <w:jc w:val="left"/>
      </w:pPr>
      <w:r>
        <w:t xml:space="preserve">The mean age of all patients with connective tissue disease associated PAH (CTD-PAH) in </w:t>
      </w:r>
      <w:r w:rsidRPr="004C3845">
        <w:t xml:space="preserve">the </w:t>
      </w:r>
      <w:r>
        <w:t>Australian Scleroderma Cohort Study (ASCS)</w:t>
      </w:r>
      <w:r w:rsidRPr="004C3845">
        <w:t xml:space="preserve"> </w:t>
      </w:r>
      <w:r w:rsidRPr="003C6C7B">
        <w:t xml:space="preserve">cohort </w:t>
      </w:r>
      <w:r>
        <w:t xml:space="preserve">(n=104) at time of last assessment (index visit) was </w:t>
      </w:r>
      <w:r w:rsidRPr="00146D94">
        <w:t>67 years</w:t>
      </w:r>
      <w:r>
        <w:t xml:space="preserve"> and 82% of patients </w:t>
      </w:r>
      <w:r w:rsidRPr="003C6C7B">
        <w:t>w</w:t>
      </w:r>
      <w:r>
        <w:t>ere</w:t>
      </w:r>
      <w:r w:rsidRPr="004C3845">
        <w:t xml:space="preserve"> female.</w:t>
      </w:r>
    </w:p>
    <w:p w14:paraId="2FED02DB" w14:textId="77777777" w:rsidR="00CD4132" w:rsidRDefault="00CD4132" w:rsidP="001960CE">
      <w:pPr>
        <w:pStyle w:val="ListParagraph"/>
        <w:numPr>
          <w:ilvl w:val="0"/>
          <w:numId w:val="33"/>
        </w:numPr>
        <w:jc w:val="left"/>
      </w:pPr>
      <w:r>
        <w:t>Monotherapy, dual therapy and triple therapy was used by 53%, 41% and 6% of patients respectively.</w:t>
      </w:r>
    </w:p>
    <w:p w14:paraId="3293570D" w14:textId="77777777" w:rsidR="00CD4132" w:rsidRDefault="00CD4132" w:rsidP="001960CE">
      <w:pPr>
        <w:pStyle w:val="ListParagraph"/>
        <w:numPr>
          <w:ilvl w:val="0"/>
          <w:numId w:val="33"/>
        </w:numPr>
        <w:jc w:val="left"/>
      </w:pPr>
      <w:r>
        <w:t>Macitentan was the most commonly used ERA, used by 55% (57/104) of patients included in the study.</w:t>
      </w:r>
    </w:p>
    <w:p w14:paraId="597F547E" w14:textId="77777777" w:rsidR="00FB060F" w:rsidRPr="004C3845" w:rsidRDefault="00FB060F" w:rsidP="00C21496">
      <w:pPr>
        <w:pStyle w:val="Heading3"/>
        <w:jc w:val="left"/>
      </w:pPr>
      <w:bookmarkStart w:id="43" w:name="_Toc526944000"/>
      <w:r w:rsidRPr="009F0C29">
        <w:t>Overall conclusions</w:t>
      </w:r>
      <w:bookmarkEnd w:id="43"/>
    </w:p>
    <w:p w14:paraId="04D941E7" w14:textId="77777777" w:rsidR="00CD4132" w:rsidRDefault="00CD4132" w:rsidP="001960CE">
      <w:pPr>
        <w:pStyle w:val="ListParagraph"/>
        <w:numPr>
          <w:ilvl w:val="0"/>
          <w:numId w:val="33"/>
        </w:numPr>
        <w:jc w:val="left"/>
      </w:pPr>
      <w:bookmarkStart w:id="44" w:name="_Toc511114864"/>
      <w:bookmarkStart w:id="45" w:name="_Toc511119524"/>
      <w:bookmarkStart w:id="46" w:name="_Toc511144823"/>
      <w:r>
        <w:t>Across all th</w:t>
      </w:r>
      <w:r w:rsidR="00ED7E44">
        <w:t>ree datasets analysed, ERA</w:t>
      </w:r>
      <w:r>
        <w:t>s were the most commonly used class of PAH medicines followed by PDE</w:t>
      </w:r>
      <w:r w:rsidR="00ED7E44">
        <w:t>-</w:t>
      </w:r>
      <w:r>
        <w:t>5 inhibitors.</w:t>
      </w:r>
    </w:p>
    <w:p w14:paraId="1DC1E7BA" w14:textId="77777777" w:rsidR="00CD4132" w:rsidRDefault="00CD4132" w:rsidP="001960CE">
      <w:pPr>
        <w:pStyle w:val="ListParagraph"/>
        <w:numPr>
          <w:ilvl w:val="0"/>
          <w:numId w:val="33"/>
        </w:numPr>
        <w:jc w:val="left"/>
      </w:pPr>
      <w:r>
        <w:t xml:space="preserve">In both </w:t>
      </w:r>
      <w:r w:rsidR="00ED7E44">
        <w:t>registries,</w:t>
      </w:r>
      <w:r>
        <w:t xml:space="preserve"> approximately 50% of patients were prescribed monotherapy, 40% dual therapy and 10% triple therapy.</w:t>
      </w:r>
    </w:p>
    <w:p w14:paraId="32E395E0" w14:textId="77777777" w:rsidR="00CD4132" w:rsidRDefault="00CD4132" w:rsidP="001960CE">
      <w:pPr>
        <w:pStyle w:val="ListParagraph"/>
        <w:numPr>
          <w:ilvl w:val="0"/>
          <w:numId w:val="33"/>
        </w:numPr>
        <w:jc w:val="left"/>
      </w:pPr>
      <w:r>
        <w:t>The utilisation of PBS medicines cannot be determined according to WHO FC and the both registry data analyses did not provide specific information on the extent of patients being initiated to PAH therapy in FC II.</w:t>
      </w:r>
    </w:p>
    <w:p w14:paraId="5FF97AE7" w14:textId="77777777" w:rsidR="00CD4132" w:rsidRDefault="00CD4132" w:rsidP="001960CE">
      <w:pPr>
        <w:pStyle w:val="ListParagraph"/>
        <w:numPr>
          <w:ilvl w:val="0"/>
          <w:numId w:val="33"/>
        </w:numPr>
        <w:jc w:val="left"/>
      </w:pPr>
      <w:r>
        <w:t>ERA was the most commonly prescribed monotherapy, ERA plus PDE</w:t>
      </w:r>
      <w:r w:rsidR="00ED7E44">
        <w:t>-</w:t>
      </w:r>
      <w:r>
        <w:t>5 inhibitor was the most commonly prescribed dual therapy combination and ERA plus PDE</w:t>
      </w:r>
      <w:r w:rsidR="00ED7E44">
        <w:t>-</w:t>
      </w:r>
      <w:r>
        <w:t xml:space="preserve">5 inhibitor plus </w:t>
      </w:r>
      <w:r w:rsidR="009F3FA8">
        <w:t>prostanoid</w:t>
      </w:r>
      <w:r w:rsidRPr="00CD4132">
        <w:t xml:space="preserve"> </w:t>
      </w:r>
      <w:r>
        <w:t>was the most commonly prescribed form of triple therapy.</w:t>
      </w:r>
    </w:p>
    <w:p w14:paraId="00ECE988" w14:textId="77777777" w:rsidR="00FB060F" w:rsidRPr="00E83BDB" w:rsidRDefault="00FB060F" w:rsidP="00C21496">
      <w:pPr>
        <w:pStyle w:val="Heading3"/>
        <w:jc w:val="left"/>
        <w:rPr>
          <w:rFonts w:eastAsia="Times New Roman"/>
        </w:rPr>
      </w:pPr>
      <w:bookmarkStart w:id="47" w:name="_Toc526944001"/>
      <w:r w:rsidRPr="00E83BDB">
        <w:rPr>
          <w:rFonts w:eastAsia="Times New Roman"/>
        </w:rPr>
        <w:t>Stakeholder views</w:t>
      </w:r>
      <w:bookmarkEnd w:id="44"/>
      <w:bookmarkEnd w:id="45"/>
      <w:bookmarkEnd w:id="46"/>
      <w:bookmarkEnd w:id="47"/>
    </w:p>
    <w:p w14:paraId="1BC7B251" w14:textId="77777777" w:rsidR="00FB060F" w:rsidRPr="00FB060F" w:rsidRDefault="00FB060F" w:rsidP="00C07B38">
      <w:pPr>
        <w:pStyle w:val="ListParagraph"/>
        <w:numPr>
          <w:ilvl w:val="0"/>
          <w:numId w:val="33"/>
        </w:numPr>
        <w:jc w:val="left"/>
      </w:pPr>
      <w:r>
        <w:t>Stakeholders suggested methods for ensuring efficient and effective data capture of PAH medicine utilisation and outcomes, noting PBS prescriptions alone do not reflect the full utilisation of PAH medicines</w:t>
      </w:r>
      <w:r w:rsidR="00C07B38">
        <w:t xml:space="preserve">. </w:t>
      </w:r>
      <w:r>
        <w:t xml:space="preserve">Stakeholders recommend ongoing post-market surveillance </w:t>
      </w:r>
      <w:r w:rsidR="00C07B38">
        <w:t>and analysis of</w:t>
      </w:r>
      <w:r>
        <w:t xml:space="preserve"> registry </w:t>
      </w:r>
      <w:r w:rsidR="00C07B38">
        <w:t>data</w:t>
      </w:r>
      <w:r>
        <w:t xml:space="preserve"> to support evidence-based decision making for PAH.</w:t>
      </w:r>
    </w:p>
    <w:p w14:paraId="571091D6" w14:textId="77777777" w:rsidR="00FB060F" w:rsidRDefault="00CD4132" w:rsidP="001960CE">
      <w:pPr>
        <w:pStyle w:val="ListParagraph"/>
        <w:numPr>
          <w:ilvl w:val="0"/>
          <w:numId w:val="33"/>
        </w:numPr>
        <w:jc w:val="left"/>
      </w:pPr>
      <w:r>
        <w:t>Some patients and prescribers</w:t>
      </w:r>
      <w:r w:rsidR="00FB060F">
        <w:t xml:space="preserve"> noted the considerable variation in decision making across Drug Therapeutic Committees, making access to PAH medicines potentially inequitable, and dependant on the patients’ location for treatment.</w:t>
      </w:r>
    </w:p>
    <w:p w14:paraId="31B79DDD" w14:textId="77777777" w:rsidR="00CD4132" w:rsidRDefault="00CD4132" w:rsidP="001960CE">
      <w:pPr>
        <w:pStyle w:val="ListParagraph"/>
        <w:numPr>
          <w:ilvl w:val="0"/>
          <w:numId w:val="33"/>
        </w:numPr>
        <w:jc w:val="left"/>
      </w:pPr>
      <w:r>
        <w:t>Riociguat</w:t>
      </w:r>
      <w:r w:rsidR="00ED7E44">
        <w:t>,</w:t>
      </w:r>
      <w:r>
        <w:t xml:space="preserve"> which was recently PBS listed, is not </w:t>
      </w:r>
      <w:r w:rsidR="00C07B38">
        <w:t xml:space="preserve">listed in </w:t>
      </w:r>
      <w:r>
        <w:t>formular</w:t>
      </w:r>
      <w:r w:rsidR="00C07B38">
        <w:t>ies</w:t>
      </w:r>
      <w:r>
        <w:t xml:space="preserve"> in any of the jurisdictions which responded to the request by the Council of Australian Therapeutic Advisory Groups (CATAG), nor have there been individual patient requests in those jurisdictions.</w:t>
      </w:r>
    </w:p>
    <w:p w14:paraId="6C3004A5" w14:textId="77777777" w:rsidR="00FB060F" w:rsidRPr="00E83BDB" w:rsidRDefault="00FB060F" w:rsidP="00C21496">
      <w:pPr>
        <w:pStyle w:val="Heading3"/>
        <w:jc w:val="left"/>
        <w:rPr>
          <w:rFonts w:eastAsia="Times New Roman"/>
        </w:rPr>
      </w:pPr>
      <w:bookmarkStart w:id="48" w:name="_Toc511114865"/>
      <w:bookmarkStart w:id="49" w:name="_Toc511119525"/>
      <w:bookmarkStart w:id="50" w:name="_Toc511144824"/>
      <w:bookmarkStart w:id="51" w:name="_Toc526944002"/>
      <w:r w:rsidRPr="00E83BDB">
        <w:rPr>
          <w:rFonts w:eastAsia="Times New Roman"/>
        </w:rPr>
        <w:lastRenderedPageBreak/>
        <w:t>Consumer views</w:t>
      </w:r>
      <w:bookmarkEnd w:id="48"/>
      <w:bookmarkEnd w:id="49"/>
      <w:bookmarkEnd w:id="50"/>
      <w:bookmarkEnd w:id="51"/>
    </w:p>
    <w:p w14:paraId="092F1439" w14:textId="77777777" w:rsidR="00FB060F" w:rsidRPr="00E83BDB" w:rsidRDefault="00FB060F" w:rsidP="001960CE">
      <w:pPr>
        <w:pStyle w:val="ListParagraph"/>
        <w:numPr>
          <w:ilvl w:val="0"/>
          <w:numId w:val="33"/>
        </w:numPr>
        <w:jc w:val="left"/>
      </w:pPr>
      <w:r w:rsidRPr="00E83BDB">
        <w:t>Consumers noted</w:t>
      </w:r>
      <w:r>
        <w:t xml:space="preserve"> that</w:t>
      </w:r>
      <w:r w:rsidRPr="00E83BDB">
        <w:t xml:space="preserve"> they accessed medicines through a range (and combination) of avenues, including through the PBS, hospitals, drug trials, compassionate access programs or private funding (often sildenafil).</w:t>
      </w:r>
    </w:p>
    <w:p w14:paraId="6E277FEF" w14:textId="77777777" w:rsidR="00FB060F" w:rsidRPr="00E83BDB" w:rsidRDefault="00FB060F" w:rsidP="001960CE">
      <w:pPr>
        <w:pStyle w:val="ListParagraph"/>
        <w:numPr>
          <w:ilvl w:val="0"/>
          <w:numId w:val="33"/>
        </w:numPr>
        <w:jc w:val="left"/>
      </w:pPr>
      <w:r w:rsidRPr="00E83BDB">
        <w:t>Consumers noted the financial burden for themselves, family and friends including cost of PBS co-payments, cos</w:t>
      </w:r>
      <w:r>
        <w:t>t of privately funded medicines and</w:t>
      </w:r>
      <w:r w:rsidRPr="00E83BDB">
        <w:t xml:space="preserve"> incidental health care items and tests. This is exacerbated by reduced income </w:t>
      </w:r>
      <w:r>
        <w:t>due to</w:t>
      </w:r>
      <w:r w:rsidRPr="00E83BDB">
        <w:t xml:space="preserve"> an inability to work.</w:t>
      </w:r>
    </w:p>
    <w:p w14:paraId="7C63DA9F" w14:textId="77777777" w:rsidR="00DE5CA2" w:rsidRPr="009F466A" w:rsidRDefault="002C3B52" w:rsidP="00C21496">
      <w:pPr>
        <w:pStyle w:val="Heading2"/>
        <w:jc w:val="left"/>
      </w:pPr>
      <w:bookmarkStart w:id="52" w:name="_Toc526944003"/>
      <w:r>
        <w:t xml:space="preserve">Key findings for </w:t>
      </w:r>
      <w:r w:rsidR="00DE5CA2" w:rsidRPr="009F466A">
        <w:t xml:space="preserve">ToR 3: </w:t>
      </w:r>
      <w:r w:rsidR="00623B3D" w:rsidRPr="009F466A">
        <w:t>C</w:t>
      </w:r>
      <w:r w:rsidR="00DE5CA2" w:rsidRPr="009F466A">
        <w:t xml:space="preserve">linical outcomes relevant to patients </w:t>
      </w:r>
      <w:r w:rsidR="00DA60DB" w:rsidRPr="009F466A">
        <w:t>and</w:t>
      </w:r>
      <w:r w:rsidR="00623B3D" w:rsidRPr="009F466A">
        <w:t xml:space="preserve"> </w:t>
      </w:r>
      <w:r w:rsidR="00DE5CA2" w:rsidRPr="009F466A">
        <w:t>evidence</w:t>
      </w:r>
      <w:r w:rsidR="00D23B93" w:rsidRPr="009F466A">
        <w:t xml:space="preserve"> considered by PBAC</w:t>
      </w:r>
      <w:bookmarkEnd w:id="52"/>
    </w:p>
    <w:p w14:paraId="1DC70E0F" w14:textId="77777777" w:rsidR="00025F4E" w:rsidRPr="00FB060F" w:rsidRDefault="00025F4E" w:rsidP="001960CE">
      <w:pPr>
        <w:pStyle w:val="ListParagraph"/>
        <w:numPr>
          <w:ilvl w:val="0"/>
          <w:numId w:val="33"/>
        </w:numPr>
        <w:jc w:val="left"/>
      </w:pPr>
      <w:r w:rsidRPr="00FB060F">
        <w:t>Historically, the Pharmaceutical Benefits Advisory Committee (PBAC) has primarily considered studies that present Six Minute Walk Test (6MWT) results as the main surrogate outcome when assessing PAH (pulmonary arterial hypertension) medicines.</w:t>
      </w:r>
    </w:p>
    <w:p w14:paraId="78731882" w14:textId="77777777" w:rsidR="00A04228" w:rsidRPr="00FB060F" w:rsidRDefault="00A04228" w:rsidP="001960CE">
      <w:pPr>
        <w:pStyle w:val="ListParagraph"/>
        <w:numPr>
          <w:ilvl w:val="0"/>
          <w:numId w:val="33"/>
        </w:numPr>
        <w:jc w:val="left"/>
      </w:pPr>
      <w:r w:rsidRPr="00FB060F">
        <w:t>Clinical trials for PAH medicines may also measure a range of other clinical outcomes such as changes in WHO FC (functional class), clinical worsening, haemodynamic parameters, adverse events and survival.</w:t>
      </w:r>
    </w:p>
    <w:p w14:paraId="728022DE" w14:textId="77777777" w:rsidR="00A04228" w:rsidRPr="00FB060F" w:rsidRDefault="00A04228" w:rsidP="001960CE">
      <w:pPr>
        <w:pStyle w:val="ListParagraph"/>
        <w:numPr>
          <w:ilvl w:val="0"/>
          <w:numId w:val="33"/>
        </w:numPr>
        <w:jc w:val="left"/>
      </w:pPr>
      <w:r w:rsidRPr="00FB060F">
        <w:t xml:space="preserve">Treatment goals for PAH patients have evolved over time to become more patient centred and can include attaining an improved FC status, an improved six minute walk distance (6MWD) and exercise capacity, and haemodynamic parameter improvements. </w:t>
      </w:r>
    </w:p>
    <w:p w14:paraId="38C6915D" w14:textId="77777777" w:rsidR="00A04228" w:rsidRPr="00FB060F" w:rsidRDefault="00A04228" w:rsidP="001960CE">
      <w:pPr>
        <w:pStyle w:val="ListParagraph"/>
        <w:numPr>
          <w:ilvl w:val="0"/>
          <w:numId w:val="33"/>
        </w:numPr>
        <w:jc w:val="left"/>
      </w:pPr>
      <w:r w:rsidRPr="00FB060F">
        <w:t xml:space="preserve">Patient relevant outcomes are reflected only in part in the evidence which the PBAC has considered in relation to submissions for PAH medicines. The key clinical outcome of relevance and significance to PAH patients is their quality of life, as reflected in their ability to function and complete everyday activities and live as </w:t>
      </w:r>
      <w:r w:rsidR="009F3FA8">
        <w:t>normal a life as possible.</w:t>
      </w:r>
    </w:p>
    <w:p w14:paraId="34C37A39" w14:textId="77777777" w:rsidR="00A04228" w:rsidRPr="00FB060F" w:rsidRDefault="00A04228" w:rsidP="001960CE">
      <w:pPr>
        <w:pStyle w:val="ListParagraph"/>
        <w:numPr>
          <w:ilvl w:val="0"/>
          <w:numId w:val="33"/>
        </w:numPr>
        <w:jc w:val="left"/>
      </w:pPr>
      <w:r w:rsidRPr="00FB060F">
        <w:t>Patients do relate improvement in their 6MWD results with their treatment efficacy but note that the results are subjective and not fully reflective of their health status.</w:t>
      </w:r>
    </w:p>
    <w:p w14:paraId="4A34A397" w14:textId="77777777" w:rsidR="00A04228" w:rsidRPr="00FB060F" w:rsidRDefault="00A04228" w:rsidP="001960CE">
      <w:pPr>
        <w:pStyle w:val="ListParagraph"/>
        <w:numPr>
          <w:ilvl w:val="0"/>
          <w:numId w:val="33"/>
        </w:numPr>
        <w:jc w:val="left"/>
      </w:pPr>
      <w:r w:rsidRPr="00FB060F">
        <w:t>Patients considered that other measures, including quality of life assessments, assessments of everyday functional ability, right heart catheterisation (RHC) measurement, echo results, and use of supplemental oxygen could also be considered as clinically relevant outcomes.</w:t>
      </w:r>
    </w:p>
    <w:p w14:paraId="6074AB40" w14:textId="77777777" w:rsidR="00A04228" w:rsidRPr="00FB060F" w:rsidRDefault="00A04228" w:rsidP="001960CE">
      <w:pPr>
        <w:pStyle w:val="ListParagraph"/>
        <w:numPr>
          <w:ilvl w:val="0"/>
          <w:numId w:val="33"/>
        </w:numPr>
        <w:jc w:val="left"/>
      </w:pPr>
      <w:r w:rsidRPr="00FB060F">
        <w:t>The use of composite outcomes to assess the clinical and cost-effectiveness of PAH medicine is increasing in clinical trials</w:t>
      </w:r>
      <w:r w:rsidR="001658D7">
        <w:t>.</w:t>
      </w:r>
    </w:p>
    <w:p w14:paraId="76DA9674" w14:textId="77777777" w:rsidR="00DE5CA2" w:rsidRPr="009F466A" w:rsidRDefault="00DE5CA2" w:rsidP="00C21496">
      <w:pPr>
        <w:pStyle w:val="Heading3"/>
        <w:jc w:val="left"/>
      </w:pPr>
      <w:bookmarkStart w:id="53" w:name="_Toc526944004"/>
      <w:r w:rsidRPr="009F466A">
        <w:t>Stakeholder views</w:t>
      </w:r>
      <w:bookmarkEnd w:id="53"/>
    </w:p>
    <w:p w14:paraId="3ACAE909" w14:textId="77777777" w:rsidR="00FC36B2" w:rsidRPr="00FB060F" w:rsidRDefault="00DA32F8" w:rsidP="001960CE">
      <w:pPr>
        <w:pStyle w:val="ListParagraph"/>
        <w:numPr>
          <w:ilvl w:val="0"/>
          <w:numId w:val="33"/>
        </w:numPr>
        <w:jc w:val="left"/>
      </w:pPr>
      <w:r w:rsidRPr="00FB060F">
        <w:t>The Reference Group has noted the usefulness of health related quality of life measures (HRQOL) and their potential value in capturing benefits associated with medicines for PAH. HRQOL measures could include the EQ5, SF36 and the PAH specific Cambridge Pulmonary Hypertension Outcome Review (CAMPHOR).</w:t>
      </w:r>
    </w:p>
    <w:p w14:paraId="155AD2B7" w14:textId="77777777" w:rsidR="00A714A0" w:rsidRDefault="00A714A0" w:rsidP="001960CE">
      <w:pPr>
        <w:pStyle w:val="ListParagraph"/>
        <w:numPr>
          <w:ilvl w:val="0"/>
          <w:numId w:val="33"/>
        </w:numPr>
        <w:jc w:val="left"/>
      </w:pPr>
      <w:r w:rsidRPr="00FB060F">
        <w:lastRenderedPageBreak/>
        <w:t>The Pulmonary Hypertension Association Australia (PHAA) notes that most studies have assessed clinical outcomes through changes in exercise capacity, however, PHAA members also consider how patients feel, daily function, prevention of hospitalisation, and survival as patient relevant outcomes.</w:t>
      </w:r>
    </w:p>
    <w:p w14:paraId="58528527" w14:textId="77777777" w:rsidR="00070850" w:rsidRDefault="00070850" w:rsidP="00C21496">
      <w:pPr>
        <w:jc w:val="left"/>
        <w:rPr>
          <w:rFonts w:eastAsiaTheme="majorEastAsia" w:cstheme="majorBidi"/>
          <w:b/>
          <w:bCs/>
          <w:color w:val="4F81BD" w:themeColor="accent1"/>
          <w:sz w:val="32"/>
          <w:szCs w:val="26"/>
        </w:rPr>
      </w:pPr>
      <w:r>
        <w:br w:type="page"/>
      </w:r>
    </w:p>
    <w:p w14:paraId="70CB1EBA" w14:textId="77777777" w:rsidR="00DE5CA2" w:rsidRPr="009F466A" w:rsidRDefault="002C3B52" w:rsidP="00C21496">
      <w:pPr>
        <w:pStyle w:val="Heading2"/>
        <w:jc w:val="left"/>
      </w:pPr>
      <w:bookmarkStart w:id="54" w:name="_Toc526944005"/>
      <w:r>
        <w:lastRenderedPageBreak/>
        <w:t xml:space="preserve">Key findings for </w:t>
      </w:r>
      <w:r w:rsidR="00DE5CA2" w:rsidRPr="009F466A">
        <w:t xml:space="preserve">ToR 4: </w:t>
      </w:r>
      <w:r w:rsidR="00DA60DB" w:rsidRPr="009F466A">
        <w:t>Review of</w:t>
      </w:r>
      <w:r w:rsidR="00DE5CA2" w:rsidRPr="009F466A">
        <w:t xml:space="preserve"> effectiveness </w:t>
      </w:r>
      <w:r w:rsidR="00DA60DB" w:rsidRPr="009F466A">
        <w:t>and safety</w:t>
      </w:r>
      <w:bookmarkEnd w:id="54"/>
      <w:r w:rsidR="00DE5CA2" w:rsidRPr="009F466A">
        <w:t xml:space="preserve"> </w:t>
      </w:r>
    </w:p>
    <w:p w14:paraId="3B66C58C" w14:textId="77777777" w:rsidR="00532B79" w:rsidRPr="00D228A6" w:rsidRDefault="00532B79" w:rsidP="00C21496">
      <w:pPr>
        <w:pStyle w:val="ToRText"/>
        <w:shd w:val="clear" w:color="auto" w:fill="F2F2F2" w:themeFill="background1" w:themeFillShade="F2"/>
        <w:rPr>
          <w:b w:val="0"/>
          <w:color w:val="auto"/>
        </w:rPr>
      </w:pPr>
      <w:bookmarkStart w:id="55" w:name="_Toc508396548"/>
      <w:bookmarkStart w:id="56" w:name="_Toc486853624"/>
      <w:r w:rsidRPr="00532B79">
        <w:rPr>
          <w:b w:val="0"/>
          <w:color w:val="auto"/>
          <w:shd w:val="clear" w:color="auto" w:fill="F2F2F2" w:themeFill="background1" w:themeFillShade="F2"/>
        </w:rPr>
        <w:t>Q1.</w:t>
      </w:r>
      <w:r w:rsidRPr="00532B79">
        <w:rPr>
          <w:b w:val="0"/>
          <w:color w:val="auto"/>
          <w:shd w:val="clear" w:color="auto" w:fill="F2F2F2" w:themeFill="background1" w:themeFillShade="F2"/>
        </w:rPr>
        <w:tab/>
        <w:t>What is the effectiveness and safety of monotherapy with a PAH medicine, compared to placebo/no treatment or another PAH medicine listed on the PBS, in patients with WHO FC I or II PAH?</w:t>
      </w:r>
    </w:p>
    <w:p w14:paraId="70B56EFD" w14:textId="77777777" w:rsidR="00321DBE" w:rsidRPr="009F466A" w:rsidRDefault="00321DBE" w:rsidP="00C21496">
      <w:pPr>
        <w:pStyle w:val="Heading3"/>
        <w:jc w:val="left"/>
      </w:pPr>
      <w:bookmarkStart w:id="57" w:name="_Toc526944006"/>
      <w:r w:rsidRPr="009F466A">
        <w:t>Effectiveness and safety of monotherapy in WHO FC I or II PAH</w:t>
      </w:r>
      <w:bookmarkEnd w:id="55"/>
      <w:bookmarkEnd w:id="57"/>
    </w:p>
    <w:p w14:paraId="7B6FC5A9" w14:textId="77777777" w:rsidR="00321DBE" w:rsidRPr="009F466A" w:rsidRDefault="00321DBE" w:rsidP="00C21496">
      <w:pPr>
        <w:pStyle w:val="Heading4"/>
      </w:pPr>
      <w:r w:rsidRPr="009F466A">
        <w:t>ERA versus placebo</w:t>
      </w:r>
    </w:p>
    <w:p w14:paraId="09FED803" w14:textId="77777777" w:rsidR="004C6955" w:rsidRPr="00C10642" w:rsidRDefault="004C6955" w:rsidP="00C21496">
      <w:pPr>
        <w:pStyle w:val="Heading5"/>
        <w:keepLines w:val="0"/>
        <w:numPr>
          <w:ilvl w:val="0"/>
          <w:numId w:val="0"/>
        </w:numPr>
        <w:spacing w:before="240"/>
        <w:jc w:val="left"/>
        <w:rPr>
          <w:color w:val="auto"/>
          <w:u w:val="single"/>
        </w:rPr>
      </w:pPr>
      <w:r w:rsidRPr="00C10642">
        <w:rPr>
          <w:color w:val="auto"/>
          <w:u w:val="single"/>
        </w:rPr>
        <w:t>Clinical effectiveness</w:t>
      </w:r>
    </w:p>
    <w:p w14:paraId="10B1A90F" w14:textId="77777777" w:rsidR="004C6955" w:rsidRPr="00C10642" w:rsidRDefault="004C6955" w:rsidP="00C21496">
      <w:pPr>
        <w:jc w:val="left"/>
      </w:pPr>
      <w:r w:rsidRPr="00C10642">
        <w:t>Four RCTs reported on the effectiveness of an ERA in treating PAH compared with placebo in patients with WHO FC I/II PAH:</w:t>
      </w:r>
    </w:p>
    <w:p w14:paraId="0AAF603F" w14:textId="77777777" w:rsidR="004C6955" w:rsidRPr="00C10642" w:rsidRDefault="004C6955" w:rsidP="00C21496">
      <w:pPr>
        <w:pStyle w:val="Bullettext"/>
        <w:ind w:left="720"/>
      </w:pPr>
      <w:r w:rsidRPr="00C10642">
        <w:t>ARIES-1&amp;2 used ambrisentan</w:t>
      </w:r>
    </w:p>
    <w:p w14:paraId="050C026B" w14:textId="77777777" w:rsidR="004C6955" w:rsidRPr="00C10642" w:rsidRDefault="004C6955" w:rsidP="00C21496">
      <w:pPr>
        <w:pStyle w:val="Bullettext"/>
        <w:ind w:left="720"/>
      </w:pPr>
      <w:r w:rsidRPr="00C10642">
        <w:t>EARLY used bosentan</w:t>
      </w:r>
    </w:p>
    <w:p w14:paraId="38C578D2" w14:textId="77777777" w:rsidR="004C6955" w:rsidRPr="00C10642" w:rsidRDefault="004C6955" w:rsidP="00C21496">
      <w:pPr>
        <w:pStyle w:val="Bullettext"/>
        <w:ind w:left="720"/>
      </w:pPr>
      <w:r w:rsidRPr="00C10642">
        <w:t>SERAPHIN used macitentan.</w:t>
      </w:r>
    </w:p>
    <w:p w14:paraId="0AB8E1BD" w14:textId="77777777" w:rsidR="004C6955" w:rsidRPr="00C10642" w:rsidRDefault="004C6955" w:rsidP="00C21496">
      <w:pPr>
        <w:jc w:val="left"/>
      </w:pPr>
      <w:r w:rsidRPr="00C10642">
        <w:t xml:space="preserve">The evidence provided by these trials is summarised in </w:t>
      </w:r>
      <w:r w:rsidR="00CC79E1">
        <w:t>Table ES.</w:t>
      </w:r>
      <w:r w:rsidR="00CC79E1">
        <w:rPr>
          <w:noProof/>
        </w:rPr>
        <w:t>5</w:t>
      </w:r>
      <w:r w:rsidRPr="00C10642">
        <w:t>.</w:t>
      </w:r>
    </w:p>
    <w:p w14:paraId="71B8D424" w14:textId="77777777" w:rsidR="00321DBE" w:rsidRPr="00C10642" w:rsidRDefault="004C6955" w:rsidP="00C21496">
      <w:pPr>
        <w:jc w:val="left"/>
      </w:pPr>
      <w:r w:rsidRPr="00C10642">
        <w:t>Overall,</w:t>
      </w:r>
      <w:r w:rsidR="00321DBE" w:rsidRPr="00C10642">
        <w:t xml:space="preserve"> the use of an ERA medicatio</w:t>
      </w:r>
      <w:r w:rsidR="009F466A" w:rsidRPr="00C10642">
        <w:t>n to treat patients with WHO FC </w:t>
      </w:r>
      <w:r w:rsidR="00321DBE" w:rsidRPr="00C10642">
        <w:t>I/II PAH is likely to be beneficial.</w:t>
      </w:r>
    </w:p>
    <w:p w14:paraId="5AAF6A07" w14:textId="77777777" w:rsidR="00E30026" w:rsidRPr="009F466A" w:rsidRDefault="00E30026" w:rsidP="00C21496">
      <w:pPr>
        <w:pStyle w:val="Caption"/>
        <w:jc w:val="left"/>
      </w:pPr>
      <w:bookmarkStart w:id="58" w:name="_Ref511118714"/>
      <w:bookmarkStart w:id="59" w:name="_Toc38372125"/>
      <w:r>
        <w:t>Table ES.</w:t>
      </w:r>
      <w:r w:rsidR="00CC79E1">
        <w:rPr>
          <w:noProof/>
        </w:rPr>
        <w:t>5</w:t>
      </w:r>
      <w:bookmarkEnd w:id="58"/>
      <w:r>
        <w:tab/>
      </w:r>
      <w:r w:rsidRPr="009F466A">
        <w:t>Summary of the evidence for the clinical effectiveness of an ERA compared with placebo in patients with WHO FC I/II PAH</w:t>
      </w:r>
      <w:bookmarkEnd w:id="59"/>
    </w:p>
    <w:tbl>
      <w:tblPr>
        <w:tblStyle w:val="TableGrid"/>
        <w:tblW w:w="9634" w:type="dxa"/>
        <w:tblLook w:val="04A0" w:firstRow="1" w:lastRow="0" w:firstColumn="1" w:lastColumn="0" w:noHBand="0" w:noVBand="1"/>
        <w:tblCaption w:val="Summary of the evidence for the clinical effectiveness of an ERA compared with placebo in patients with WHO FC I/II PAH"/>
      </w:tblPr>
      <w:tblGrid>
        <w:gridCol w:w="1573"/>
        <w:gridCol w:w="1982"/>
        <w:gridCol w:w="6079"/>
      </w:tblGrid>
      <w:tr w:rsidR="00321DBE" w:rsidRPr="009F466A" w14:paraId="54A0C118" w14:textId="77777777" w:rsidTr="00FF6202">
        <w:trPr>
          <w:tblHeader/>
        </w:trPr>
        <w:tc>
          <w:tcPr>
            <w:tcW w:w="1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837F9D" w14:textId="77777777" w:rsidR="00321DBE" w:rsidRPr="00532B79" w:rsidRDefault="00321DBE" w:rsidP="00C21496">
            <w:pPr>
              <w:pStyle w:val="Tabletext"/>
              <w:rPr>
                <w:b/>
              </w:rPr>
            </w:pPr>
            <w:r w:rsidRPr="00532B79">
              <w:rPr>
                <w:b/>
              </w:rPr>
              <w:t>Outcome</w:t>
            </w:r>
          </w:p>
        </w:tc>
        <w:tc>
          <w:tcPr>
            <w:tcW w:w="19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C3612F" w14:textId="77777777" w:rsidR="00321DBE" w:rsidRPr="00532B79" w:rsidRDefault="00321DBE" w:rsidP="00C21496">
            <w:pPr>
              <w:pStyle w:val="Tabletext"/>
              <w:rPr>
                <w:b/>
              </w:rPr>
            </w:pPr>
            <w:r w:rsidRPr="00532B79">
              <w:rPr>
                <w:b/>
              </w:rPr>
              <w:t xml:space="preserve">Included trials </w:t>
            </w:r>
          </w:p>
          <w:p w14:paraId="5B7415EC" w14:textId="77777777" w:rsidR="00321DBE" w:rsidRPr="00532B79" w:rsidRDefault="00321DBE" w:rsidP="00C21496">
            <w:pPr>
              <w:pStyle w:val="Tabletext"/>
              <w:rPr>
                <w:b/>
              </w:rPr>
            </w:pPr>
            <w:r w:rsidRPr="00532B79">
              <w:rPr>
                <w:b/>
              </w:rPr>
              <w:t>No. of patients</w:t>
            </w:r>
          </w:p>
        </w:tc>
        <w:tc>
          <w:tcPr>
            <w:tcW w:w="60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9F460" w14:textId="77777777" w:rsidR="00321DBE" w:rsidRPr="00532B79" w:rsidRDefault="00321DBE" w:rsidP="00C21496">
            <w:pPr>
              <w:pStyle w:val="Tabletext"/>
              <w:rPr>
                <w:b/>
              </w:rPr>
            </w:pPr>
            <w:r w:rsidRPr="00532B79">
              <w:rPr>
                <w:b/>
              </w:rPr>
              <w:t>Summary of evidence</w:t>
            </w:r>
          </w:p>
        </w:tc>
      </w:tr>
      <w:tr w:rsidR="00321DBE" w:rsidRPr="00870A3E" w14:paraId="0A76FD93" w14:textId="77777777" w:rsidTr="00E30026">
        <w:tc>
          <w:tcPr>
            <w:tcW w:w="1573" w:type="dxa"/>
            <w:tcBorders>
              <w:top w:val="single" w:sz="4" w:space="0" w:color="auto"/>
              <w:left w:val="single" w:sz="4" w:space="0" w:color="auto"/>
              <w:bottom w:val="single" w:sz="4" w:space="0" w:color="auto"/>
              <w:right w:val="single" w:sz="4" w:space="0" w:color="auto"/>
            </w:tcBorders>
          </w:tcPr>
          <w:p w14:paraId="361C94BB" w14:textId="77777777" w:rsidR="00321DBE" w:rsidRPr="00870A3E" w:rsidRDefault="00321DBE" w:rsidP="00C21496">
            <w:pPr>
              <w:pStyle w:val="Tabletext"/>
            </w:pPr>
            <w:r w:rsidRPr="00870A3E">
              <w:t>Clinical worsening</w:t>
            </w:r>
          </w:p>
        </w:tc>
        <w:tc>
          <w:tcPr>
            <w:tcW w:w="1982" w:type="dxa"/>
            <w:tcBorders>
              <w:top w:val="single" w:sz="4" w:space="0" w:color="auto"/>
              <w:left w:val="single" w:sz="4" w:space="0" w:color="auto"/>
              <w:bottom w:val="single" w:sz="4" w:space="0" w:color="auto"/>
              <w:right w:val="single" w:sz="4" w:space="0" w:color="auto"/>
            </w:tcBorders>
          </w:tcPr>
          <w:p w14:paraId="018289B4" w14:textId="77777777" w:rsidR="00321DBE" w:rsidRPr="00870A3E" w:rsidRDefault="00321DBE" w:rsidP="00C21496">
            <w:pPr>
              <w:pStyle w:val="Tabletext"/>
            </w:pPr>
            <w:r w:rsidRPr="00870A3E">
              <w:t>EARLY (bosentan)</w:t>
            </w:r>
          </w:p>
          <w:p w14:paraId="07E9619C" w14:textId="77777777" w:rsidR="00321DBE" w:rsidRPr="00870A3E" w:rsidRDefault="00321DBE" w:rsidP="00C21496">
            <w:pPr>
              <w:pStyle w:val="Tabletext"/>
            </w:pPr>
            <w:r w:rsidRPr="00870A3E">
              <w:t>ARIES-1&amp;2 (ambrisentan)</w:t>
            </w:r>
          </w:p>
          <w:p w14:paraId="1F525F63" w14:textId="77777777" w:rsidR="00321DBE" w:rsidRPr="00870A3E" w:rsidRDefault="00321DBE" w:rsidP="00C21496">
            <w:pPr>
              <w:pStyle w:val="Tabletext"/>
            </w:pPr>
            <w:r w:rsidRPr="00870A3E">
              <w:t>SERAPHIN (macitentan)</w:t>
            </w:r>
          </w:p>
          <w:p w14:paraId="36222368" w14:textId="77777777" w:rsidR="00321DBE" w:rsidRPr="00870A3E" w:rsidRDefault="00321DBE" w:rsidP="00C21496">
            <w:pPr>
              <w:pStyle w:val="Tabletext"/>
            </w:pPr>
            <w:r w:rsidRPr="00870A3E">
              <w:t>N=375</w:t>
            </w:r>
          </w:p>
        </w:tc>
        <w:tc>
          <w:tcPr>
            <w:tcW w:w="6079" w:type="dxa"/>
            <w:tcBorders>
              <w:top w:val="single" w:sz="4" w:space="0" w:color="auto"/>
              <w:left w:val="single" w:sz="4" w:space="0" w:color="auto"/>
              <w:bottom w:val="single" w:sz="4" w:space="0" w:color="auto"/>
              <w:right w:val="single" w:sz="4" w:space="0" w:color="auto"/>
            </w:tcBorders>
          </w:tcPr>
          <w:p w14:paraId="56B52515" w14:textId="513238A9" w:rsidR="00321DBE" w:rsidRPr="00870A3E" w:rsidRDefault="00321DBE" w:rsidP="00C21496">
            <w:pPr>
              <w:pStyle w:val="Tabletext"/>
            </w:pPr>
            <w:r w:rsidRPr="00870A3E">
              <w:t xml:space="preserve">High quality evidence (GRADE </w:t>
            </w:r>
            <w:r w:rsidR="00C220DD" w:rsidRPr="00C220DD">
              <w:rPr>
                <w:rFonts w:ascii="Cambria Math" w:hAnsi="Cambria Math" w:cs="Cambria Math"/>
                <w:color w:val="00B050"/>
              </w:rPr>
              <w:t>⨁⨁⨁⨁</w:t>
            </w:r>
            <w:r w:rsidRPr="00870A3E">
              <w:t>)</w:t>
            </w:r>
          </w:p>
          <w:p w14:paraId="7E5C861E" w14:textId="77777777" w:rsidR="00321DBE" w:rsidRPr="00C07794" w:rsidRDefault="00C07794" w:rsidP="00C21496">
            <w:pPr>
              <w:pStyle w:val="Tabletext"/>
              <w:rPr>
                <w:highlight w:val="black"/>
              </w:rPr>
            </w:pPr>
            <w:r>
              <w:rPr>
                <w:noProof/>
                <w:color w:val="000000"/>
                <w:highlight w:val="black"/>
              </w:rPr>
              <w:t>''''''''''''''''''''''''''''' ''''''''''''' ''''''''''''''''' '''''''''''''''''''''''''''' '''''''''''''''' ''''''''''''''''''''''' ''''''''' ''''''''''' '''''''''''''''''''''' '''''''''' '''''''''''''''''''' '''''''''''''''''''' '''''''' ''' ''''''''''''' '''''''''''' '''''' ''''''''''''' '''''''''''''</w:t>
            </w:r>
          </w:p>
          <w:p w14:paraId="3E9237E4" w14:textId="77777777" w:rsidR="00321DBE" w:rsidRPr="00C07794" w:rsidRDefault="00C07794" w:rsidP="00C21496">
            <w:pPr>
              <w:pStyle w:val="Tabletext"/>
              <w:rPr>
                <w:highlight w:val="black"/>
              </w:rPr>
            </w:pPr>
            <w:r>
              <w:rPr>
                <w:noProof/>
                <w:color w:val="000000"/>
                <w:highlight w:val="black"/>
              </w:rPr>
              <w:t>''''''''''''''' ''''''''' '''''' '''''''''''''''''''''''''' '''''''''''''''''''''' ''''' ''''''' ''''''''''''''''''''''''''''''''' ''''' ''''''''''''''''''''' ''''''''''' '''''''''''''''''''''''''''</w:t>
            </w:r>
          </w:p>
        </w:tc>
      </w:tr>
      <w:tr w:rsidR="00321DBE" w:rsidRPr="009F466A" w14:paraId="57E3B4A1" w14:textId="77777777" w:rsidTr="00E30026">
        <w:tc>
          <w:tcPr>
            <w:tcW w:w="1573" w:type="dxa"/>
            <w:tcBorders>
              <w:top w:val="single" w:sz="4" w:space="0" w:color="auto"/>
              <w:left w:val="single" w:sz="4" w:space="0" w:color="auto"/>
              <w:bottom w:val="single" w:sz="4" w:space="0" w:color="auto"/>
              <w:right w:val="single" w:sz="4" w:space="0" w:color="auto"/>
            </w:tcBorders>
          </w:tcPr>
          <w:p w14:paraId="11EA986B" w14:textId="77777777" w:rsidR="00321DBE" w:rsidRPr="00870A3E" w:rsidRDefault="00321DBE" w:rsidP="00C21496">
            <w:pPr>
              <w:pStyle w:val="Tabletext"/>
            </w:pPr>
            <w:r w:rsidRPr="00870A3E">
              <w:t>All-cause mortality</w:t>
            </w:r>
          </w:p>
        </w:tc>
        <w:tc>
          <w:tcPr>
            <w:tcW w:w="1982" w:type="dxa"/>
            <w:tcBorders>
              <w:top w:val="single" w:sz="4" w:space="0" w:color="auto"/>
              <w:left w:val="single" w:sz="4" w:space="0" w:color="auto"/>
              <w:bottom w:val="single" w:sz="4" w:space="0" w:color="auto"/>
              <w:right w:val="single" w:sz="4" w:space="0" w:color="auto"/>
            </w:tcBorders>
          </w:tcPr>
          <w:p w14:paraId="6FE5F432" w14:textId="77777777" w:rsidR="00321DBE" w:rsidRPr="00870A3E" w:rsidRDefault="00321DBE" w:rsidP="00C21496">
            <w:pPr>
              <w:pStyle w:val="Tabletext"/>
            </w:pPr>
            <w:r w:rsidRPr="00870A3E">
              <w:t>EARLY (bosentan)</w:t>
            </w:r>
          </w:p>
          <w:p w14:paraId="63D60C43" w14:textId="77777777" w:rsidR="00321DBE" w:rsidRPr="00870A3E" w:rsidRDefault="00321DBE" w:rsidP="00C21496">
            <w:pPr>
              <w:pStyle w:val="Tabletext"/>
            </w:pPr>
            <w:r w:rsidRPr="00870A3E">
              <w:t>SERAPHIN (macitentan)</w:t>
            </w:r>
          </w:p>
          <w:p w14:paraId="25A147F9" w14:textId="77777777" w:rsidR="00321DBE" w:rsidRPr="00870A3E" w:rsidRDefault="00321DBE" w:rsidP="00C21496">
            <w:pPr>
              <w:pStyle w:val="Tabletext"/>
            </w:pPr>
            <w:r w:rsidRPr="00870A3E">
              <w:t>N=256</w:t>
            </w:r>
          </w:p>
        </w:tc>
        <w:tc>
          <w:tcPr>
            <w:tcW w:w="6079" w:type="dxa"/>
            <w:tcBorders>
              <w:top w:val="single" w:sz="4" w:space="0" w:color="auto"/>
              <w:left w:val="single" w:sz="4" w:space="0" w:color="auto"/>
              <w:bottom w:val="single" w:sz="4" w:space="0" w:color="auto"/>
              <w:right w:val="single" w:sz="4" w:space="0" w:color="auto"/>
            </w:tcBorders>
          </w:tcPr>
          <w:p w14:paraId="3752E8EF" w14:textId="776A31CB" w:rsidR="00321DBE" w:rsidRPr="00870A3E" w:rsidRDefault="00321DBE" w:rsidP="00C21496">
            <w:pPr>
              <w:pStyle w:val="Tabletext"/>
            </w:pPr>
            <w:r w:rsidRPr="00870A3E">
              <w:t xml:space="preserve">High quality evidence (GRADE </w:t>
            </w:r>
            <w:r w:rsidR="00C220DD" w:rsidRPr="00C220DD">
              <w:rPr>
                <w:rFonts w:ascii="Cambria Math" w:hAnsi="Cambria Math" w:cs="Cambria Math"/>
                <w:color w:val="00B050"/>
              </w:rPr>
              <w:t>⨁⨁⨁⨁</w:t>
            </w:r>
            <w:r w:rsidRPr="00870A3E">
              <w:t>)</w:t>
            </w:r>
          </w:p>
          <w:p w14:paraId="02BEEBA0" w14:textId="77777777" w:rsidR="00321DBE" w:rsidRPr="00C07794" w:rsidRDefault="00C07794" w:rsidP="00C21496">
            <w:pPr>
              <w:pStyle w:val="Tabletext"/>
              <w:rPr>
                <w:highlight w:val="black"/>
              </w:rPr>
            </w:pPr>
            <w:r>
              <w:rPr>
                <w:noProof/>
                <w:color w:val="000000"/>
                <w:highlight w:val="black"/>
              </w:rPr>
              <w:t>'''''''''''''''' ''''''''''''''''' '''''''''' '''''''''' ''''''''''''''''''''' '''''''''' '''''' ''''''''''' ''''''''''''' '''''''''''''''''''''''' ''''''''' '''''''''''''''''''''' ''' ''''''''''''''''''' '''''''' ''''''' '''''''''''' '''''' ''''''''''''''''''''''' ''''''''' ''''''''''''' '''''''''' ''''''''''' ''''''' '''''' ''''''''''''' ''''''''''''''''''' '''''''' ''' '''''''''''' '''''''''' '''''' ''''''''''''' ''''''''''''</w:t>
            </w:r>
          </w:p>
          <w:p w14:paraId="71620195" w14:textId="77777777" w:rsidR="00321DBE" w:rsidRPr="00C07794" w:rsidRDefault="00C07794" w:rsidP="00C21496">
            <w:pPr>
              <w:pStyle w:val="Tabletext"/>
              <w:rPr>
                <w:highlight w:val="black"/>
              </w:rPr>
            </w:pPr>
            <w:r>
              <w:rPr>
                <w:noProof/>
                <w:color w:val="000000"/>
                <w:highlight w:val="black"/>
              </w:rPr>
              <w:t>''''''''''''' ''''''''' '''''' ''''''''''''''''''''''''' ''''''''''''''''''''''' '''' ''''''' ''''''''''''''''''''''''''''''' ''''' ''''''''''''''''''' '''''''''''' ''''''''''''''''''''''''''''''</w:t>
            </w:r>
          </w:p>
        </w:tc>
      </w:tr>
      <w:tr w:rsidR="00321DBE" w:rsidRPr="009F466A" w14:paraId="1880AC9F" w14:textId="77777777" w:rsidTr="00E30026">
        <w:tc>
          <w:tcPr>
            <w:tcW w:w="1573" w:type="dxa"/>
            <w:tcBorders>
              <w:top w:val="single" w:sz="4" w:space="0" w:color="auto"/>
              <w:left w:val="single" w:sz="4" w:space="0" w:color="auto"/>
              <w:bottom w:val="single" w:sz="4" w:space="0" w:color="auto"/>
              <w:right w:val="single" w:sz="4" w:space="0" w:color="auto"/>
            </w:tcBorders>
          </w:tcPr>
          <w:p w14:paraId="55956CDD" w14:textId="77777777" w:rsidR="00321DBE" w:rsidRPr="00532B79" w:rsidRDefault="00321DBE" w:rsidP="00C21496">
            <w:pPr>
              <w:pStyle w:val="Tabletext"/>
            </w:pPr>
            <w:r w:rsidRPr="00532B79">
              <w:t>Improved WHO FC</w:t>
            </w:r>
          </w:p>
        </w:tc>
        <w:tc>
          <w:tcPr>
            <w:tcW w:w="1982" w:type="dxa"/>
            <w:tcBorders>
              <w:top w:val="single" w:sz="4" w:space="0" w:color="auto"/>
              <w:left w:val="single" w:sz="4" w:space="0" w:color="auto"/>
              <w:bottom w:val="single" w:sz="4" w:space="0" w:color="auto"/>
              <w:right w:val="single" w:sz="4" w:space="0" w:color="auto"/>
            </w:tcBorders>
          </w:tcPr>
          <w:p w14:paraId="607E3519" w14:textId="77777777" w:rsidR="00321DBE" w:rsidRPr="00532B79" w:rsidRDefault="00321DBE" w:rsidP="00C21496">
            <w:pPr>
              <w:pStyle w:val="Tabletext"/>
            </w:pPr>
            <w:r w:rsidRPr="00532B79">
              <w:t>ARIES-1&amp;2 (ambrisentan)</w:t>
            </w:r>
          </w:p>
          <w:p w14:paraId="64C7DF9D" w14:textId="77777777" w:rsidR="00321DBE" w:rsidRPr="00532B79" w:rsidRDefault="00321DBE" w:rsidP="00C21496">
            <w:pPr>
              <w:pStyle w:val="Tabletext"/>
            </w:pPr>
            <w:r w:rsidRPr="00532B79">
              <w:t>N=101</w:t>
            </w:r>
          </w:p>
        </w:tc>
        <w:tc>
          <w:tcPr>
            <w:tcW w:w="6079" w:type="dxa"/>
            <w:tcBorders>
              <w:top w:val="single" w:sz="4" w:space="0" w:color="auto"/>
              <w:left w:val="single" w:sz="4" w:space="0" w:color="auto"/>
              <w:bottom w:val="single" w:sz="4" w:space="0" w:color="auto"/>
              <w:right w:val="single" w:sz="4" w:space="0" w:color="auto"/>
            </w:tcBorders>
          </w:tcPr>
          <w:p w14:paraId="62DA7A93" w14:textId="0FCE677A" w:rsidR="00321DBE" w:rsidRPr="00532B79" w:rsidRDefault="00321DBE" w:rsidP="00C21496">
            <w:pPr>
              <w:pStyle w:val="Tabletext"/>
            </w:pPr>
            <w:r w:rsidRPr="00532B79">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729D52DC" w14:textId="77777777" w:rsidR="00321DBE" w:rsidRPr="00532B79" w:rsidRDefault="00321DBE" w:rsidP="00C21496">
            <w:pPr>
              <w:pStyle w:val="Tabletext"/>
            </w:pPr>
            <w:r w:rsidRPr="00532B79">
              <w:t>Significantly more patients improved their WHO FC after being treated with an ERA compared with receiving a placebo (ARD = 14.0%; 95% CI 4.4, 23.6)</w:t>
            </w:r>
          </w:p>
        </w:tc>
      </w:tr>
      <w:tr w:rsidR="00321DBE" w:rsidRPr="009F466A" w14:paraId="7AC2FAEE" w14:textId="77777777" w:rsidTr="00E30026">
        <w:tc>
          <w:tcPr>
            <w:tcW w:w="1573" w:type="dxa"/>
          </w:tcPr>
          <w:p w14:paraId="1B6B1C6A" w14:textId="77777777" w:rsidR="00321DBE" w:rsidRPr="00532B79" w:rsidRDefault="00321DBE" w:rsidP="00C21496">
            <w:pPr>
              <w:pStyle w:val="Tabletext"/>
            </w:pPr>
            <w:r w:rsidRPr="00532B79">
              <w:t>Worsened WHO FC</w:t>
            </w:r>
          </w:p>
        </w:tc>
        <w:tc>
          <w:tcPr>
            <w:tcW w:w="1982" w:type="dxa"/>
          </w:tcPr>
          <w:p w14:paraId="772DE160" w14:textId="77777777" w:rsidR="00321DBE" w:rsidRPr="00532B79" w:rsidRDefault="00321DBE" w:rsidP="00C21496">
            <w:pPr>
              <w:pStyle w:val="Tabletext"/>
            </w:pPr>
            <w:r w:rsidRPr="00532B79">
              <w:t>ARIES-1&amp;2 (ambrisentan)</w:t>
            </w:r>
          </w:p>
          <w:p w14:paraId="362C1C08" w14:textId="77777777" w:rsidR="00321DBE" w:rsidRPr="00532B79" w:rsidRDefault="00321DBE" w:rsidP="00C21496">
            <w:pPr>
              <w:pStyle w:val="Tabletext"/>
            </w:pPr>
            <w:r w:rsidRPr="00532B79">
              <w:t>N=101</w:t>
            </w:r>
          </w:p>
        </w:tc>
        <w:tc>
          <w:tcPr>
            <w:tcW w:w="6079" w:type="dxa"/>
          </w:tcPr>
          <w:p w14:paraId="553C37FF" w14:textId="05A71D1C"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023D0A5B" w14:textId="77777777" w:rsidR="00321DBE" w:rsidRPr="00532B79" w:rsidRDefault="00321DBE" w:rsidP="00C21496">
            <w:pPr>
              <w:pStyle w:val="Tabletext"/>
            </w:pPr>
            <w:r w:rsidRPr="00532B79">
              <w:t>Fewer patients taking an ERA had worsening of their WHO FC when compared with receiving a placebo but the 95% CI indicates that there may also be an effect in the opposite direction (RR = 0.25; 95% CI 0.03, 2.20)</w:t>
            </w:r>
          </w:p>
        </w:tc>
      </w:tr>
      <w:tr w:rsidR="00321DBE" w:rsidRPr="009F466A" w14:paraId="20214758" w14:textId="77777777" w:rsidTr="00E30026">
        <w:trPr>
          <w:trHeight w:val="815"/>
        </w:trPr>
        <w:tc>
          <w:tcPr>
            <w:tcW w:w="1573" w:type="dxa"/>
          </w:tcPr>
          <w:p w14:paraId="25216D4F" w14:textId="77777777" w:rsidR="00321DBE" w:rsidRPr="00532B79" w:rsidRDefault="00321DBE" w:rsidP="00C21496">
            <w:pPr>
              <w:pStyle w:val="Tabletext"/>
            </w:pPr>
            <w:r w:rsidRPr="00532B79">
              <w:lastRenderedPageBreak/>
              <w:t>Change in 6MWD from baseline</w:t>
            </w:r>
          </w:p>
        </w:tc>
        <w:tc>
          <w:tcPr>
            <w:tcW w:w="1982" w:type="dxa"/>
          </w:tcPr>
          <w:p w14:paraId="0E6B2906" w14:textId="77777777" w:rsidR="00321DBE" w:rsidRPr="00532B79" w:rsidRDefault="00321DBE" w:rsidP="00C21496">
            <w:pPr>
              <w:pStyle w:val="Tabletext"/>
            </w:pPr>
            <w:r w:rsidRPr="00532B79">
              <w:t>EARLY (bosentan)</w:t>
            </w:r>
          </w:p>
          <w:p w14:paraId="40117CEF" w14:textId="77777777" w:rsidR="00321DBE" w:rsidRPr="00532B79" w:rsidRDefault="00321DBE" w:rsidP="00C21496">
            <w:pPr>
              <w:pStyle w:val="Tabletext"/>
            </w:pPr>
            <w:r w:rsidRPr="00532B79">
              <w:t>ARIES-1&amp;2 (ambrisentan)</w:t>
            </w:r>
          </w:p>
          <w:p w14:paraId="79F2A7AD" w14:textId="77777777" w:rsidR="00321DBE" w:rsidRPr="00532B79" w:rsidRDefault="00321DBE" w:rsidP="00C21496">
            <w:pPr>
              <w:pStyle w:val="Tabletext"/>
            </w:pPr>
            <w:r w:rsidRPr="00532B79">
              <w:t>N=154</w:t>
            </w:r>
          </w:p>
        </w:tc>
        <w:tc>
          <w:tcPr>
            <w:tcW w:w="6079" w:type="dxa"/>
          </w:tcPr>
          <w:p w14:paraId="6D17834B" w14:textId="65A0AB14" w:rsidR="00321DBE" w:rsidRPr="00532B79" w:rsidRDefault="00321DBE" w:rsidP="00C21496">
            <w:pPr>
              <w:pStyle w:val="Tabletext"/>
            </w:pPr>
            <w:r w:rsidRPr="00532B79">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3A14C05E" w14:textId="77777777" w:rsidR="00321DBE" w:rsidRPr="00532B79" w:rsidRDefault="00321DBE" w:rsidP="00C21496">
            <w:pPr>
              <w:pStyle w:val="Tabletext"/>
            </w:pPr>
            <w:r w:rsidRPr="00532B79">
              <w:t>Patients taking an ERA had a larger mean improvement in their 6MWD than those taking a placebo, and the difference was clinically important in 2 out of 3 studies (range 25.7−40.0 m walked further)</w:t>
            </w:r>
          </w:p>
          <w:p w14:paraId="4924B42F" w14:textId="77777777" w:rsidR="00321DBE" w:rsidRPr="00532B79" w:rsidRDefault="00321DBE" w:rsidP="00C21496">
            <w:pPr>
              <w:pStyle w:val="Tabletext"/>
            </w:pPr>
            <w:r w:rsidRPr="00532B79">
              <w:t>There was no significant difference in the effectiveness of different ERA medications</w:t>
            </w:r>
          </w:p>
        </w:tc>
      </w:tr>
      <w:tr w:rsidR="00321DBE" w:rsidRPr="009F466A" w14:paraId="08E22F38" w14:textId="77777777" w:rsidTr="00E30026">
        <w:tc>
          <w:tcPr>
            <w:tcW w:w="1573" w:type="dxa"/>
            <w:tcBorders>
              <w:top w:val="single" w:sz="4" w:space="0" w:color="auto"/>
              <w:left w:val="single" w:sz="4" w:space="0" w:color="auto"/>
              <w:bottom w:val="single" w:sz="4" w:space="0" w:color="auto"/>
              <w:right w:val="single" w:sz="4" w:space="0" w:color="auto"/>
            </w:tcBorders>
          </w:tcPr>
          <w:p w14:paraId="37BAAD65" w14:textId="77777777" w:rsidR="00321DBE" w:rsidRPr="00532B79" w:rsidRDefault="00321DBE" w:rsidP="00C21496">
            <w:pPr>
              <w:pStyle w:val="Tabletext"/>
            </w:pPr>
            <w:r w:rsidRPr="00532B79">
              <w:t>Change in haemodynamic parameter from baseline:</w:t>
            </w:r>
          </w:p>
          <w:p w14:paraId="0F9ADEE6" w14:textId="77777777" w:rsidR="00321DBE" w:rsidRPr="00532B79" w:rsidRDefault="00321DBE" w:rsidP="00C21496">
            <w:pPr>
              <w:pStyle w:val="Tabletext"/>
            </w:pPr>
            <w:r w:rsidRPr="00532B79">
              <w:t>PVR</w:t>
            </w:r>
          </w:p>
        </w:tc>
        <w:tc>
          <w:tcPr>
            <w:tcW w:w="1982" w:type="dxa"/>
            <w:tcBorders>
              <w:top w:val="single" w:sz="4" w:space="0" w:color="auto"/>
              <w:left w:val="single" w:sz="4" w:space="0" w:color="auto"/>
              <w:bottom w:val="single" w:sz="4" w:space="0" w:color="auto"/>
              <w:right w:val="single" w:sz="4" w:space="0" w:color="auto"/>
            </w:tcBorders>
          </w:tcPr>
          <w:p w14:paraId="4365E3EA" w14:textId="77777777" w:rsidR="00321DBE" w:rsidRPr="00532B79" w:rsidRDefault="00321DBE" w:rsidP="00C21496">
            <w:pPr>
              <w:pStyle w:val="Tabletext"/>
            </w:pPr>
            <w:r w:rsidRPr="00532B79">
              <w:t>EARLY (bosentan)</w:t>
            </w:r>
          </w:p>
          <w:p w14:paraId="36E550FD" w14:textId="77777777" w:rsidR="00321DBE" w:rsidRPr="00532B79" w:rsidRDefault="00321DBE" w:rsidP="00C21496">
            <w:pPr>
              <w:pStyle w:val="Tabletext"/>
            </w:pPr>
            <w:r w:rsidRPr="00532B79">
              <w:t>N=156</w:t>
            </w:r>
          </w:p>
        </w:tc>
        <w:tc>
          <w:tcPr>
            <w:tcW w:w="6079" w:type="dxa"/>
          </w:tcPr>
          <w:p w14:paraId="1660D09B" w14:textId="345EA756"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1B2F83DB" w14:textId="77777777" w:rsidR="00321DBE" w:rsidRPr="00532B79" w:rsidRDefault="00321DBE" w:rsidP="00C21496">
            <w:pPr>
              <w:pStyle w:val="Tabletext"/>
            </w:pPr>
            <w:r w:rsidRPr="00532B79">
              <w:t>Patients taking an ERA had a larger mean improvement in their PVR than those taking a placebo (MD = 23.1% improvement was a clinically important difference)</w:t>
            </w:r>
          </w:p>
        </w:tc>
      </w:tr>
    </w:tbl>
    <w:p w14:paraId="683A35D5" w14:textId="77777777" w:rsidR="00321DBE" w:rsidRPr="00532B79" w:rsidRDefault="00321DBE" w:rsidP="00C21496">
      <w:pPr>
        <w:pStyle w:val="Tablenote"/>
        <w:jc w:val="left"/>
      </w:pPr>
      <w:r w:rsidRPr="00532B79">
        <w:t>6MWD = 6-minute walk distance; ARD = absolute risk difference; CI = confidence interval; ERA = endothelin receptor antagonist; FC = functional class; GRADE = grading of recommendations assessment, development and evaluation1; MD = mean difference; PAH = pulmonary arterial hypertension; PVR = pulmonary vascular resistance; RCT = randomised controlled trial; RR = relative risk; WHO = World Health Organization</w:t>
      </w:r>
    </w:p>
    <w:p w14:paraId="1C3018F4" w14:textId="77777777" w:rsidR="004C6955" w:rsidRPr="004C6955" w:rsidRDefault="004C6955" w:rsidP="00C21496">
      <w:pPr>
        <w:pStyle w:val="Heading5"/>
        <w:keepLines w:val="0"/>
        <w:numPr>
          <w:ilvl w:val="0"/>
          <w:numId w:val="0"/>
        </w:numPr>
        <w:spacing w:before="240"/>
        <w:jc w:val="left"/>
        <w:rPr>
          <w:color w:val="auto"/>
          <w:u w:val="single"/>
        </w:rPr>
      </w:pPr>
      <w:r w:rsidRPr="004C6955">
        <w:rPr>
          <w:color w:val="auto"/>
          <w:u w:val="single"/>
        </w:rPr>
        <w:t>Safety</w:t>
      </w:r>
    </w:p>
    <w:p w14:paraId="7C3A03AE" w14:textId="77777777" w:rsidR="00321DBE" w:rsidRPr="009F466A" w:rsidRDefault="00321DBE" w:rsidP="00C21496">
      <w:pPr>
        <w:jc w:val="left"/>
      </w:pPr>
      <w:r w:rsidRPr="009F466A">
        <w:t>There is no evidence to evaluate the comparative safety of an ERA medication versus placebo when used to treat patients with WHO FC I/II PAH.</w:t>
      </w:r>
    </w:p>
    <w:p w14:paraId="58AC2F82" w14:textId="77777777" w:rsidR="00321DBE" w:rsidRPr="009F466A" w:rsidRDefault="00321DBE" w:rsidP="00C21496">
      <w:pPr>
        <w:pStyle w:val="Heading4"/>
      </w:pPr>
      <w:r w:rsidRPr="009F466A">
        <w:t>PDE-5 inhibitor versus placebo</w:t>
      </w:r>
    </w:p>
    <w:p w14:paraId="60A76D75" w14:textId="77777777" w:rsidR="004C6955" w:rsidRPr="00A601D3" w:rsidRDefault="004C6955" w:rsidP="00C21496">
      <w:pPr>
        <w:pStyle w:val="Heading5"/>
        <w:keepLines w:val="0"/>
        <w:numPr>
          <w:ilvl w:val="0"/>
          <w:numId w:val="0"/>
        </w:numPr>
        <w:spacing w:before="240"/>
        <w:jc w:val="left"/>
        <w:rPr>
          <w:color w:val="auto"/>
          <w:u w:val="single"/>
        </w:rPr>
      </w:pPr>
      <w:bookmarkStart w:id="60" w:name="_Ref506281939"/>
      <w:bookmarkStart w:id="61" w:name="_Toc508396835"/>
      <w:r w:rsidRPr="00A601D3">
        <w:rPr>
          <w:color w:val="auto"/>
          <w:u w:val="single"/>
        </w:rPr>
        <w:t>Clinical effectiveness</w:t>
      </w:r>
    </w:p>
    <w:p w14:paraId="121F1C8A" w14:textId="77777777" w:rsidR="004C6955" w:rsidRDefault="004C6955" w:rsidP="00C21496">
      <w:pPr>
        <w:jc w:val="left"/>
      </w:pPr>
      <w:r w:rsidRPr="0042195A">
        <w:t xml:space="preserve">Three RCTs were identified that reported on the effectiveness of </w:t>
      </w:r>
      <w:r>
        <w:t>a PDE-5 inhibitor, as monotherapy,</w:t>
      </w:r>
      <w:r w:rsidRPr="0042195A">
        <w:t xml:space="preserve"> </w:t>
      </w:r>
      <w:r>
        <w:t>when compared to</w:t>
      </w:r>
      <w:r w:rsidRPr="0042195A">
        <w:t xml:space="preserve"> placebo in patients with WHO FC I/II PAH</w:t>
      </w:r>
      <w:r>
        <w:t>:</w:t>
      </w:r>
    </w:p>
    <w:p w14:paraId="4E969759" w14:textId="77777777" w:rsidR="004C6955" w:rsidRPr="00CF209C" w:rsidRDefault="004C6955" w:rsidP="00C21496">
      <w:pPr>
        <w:pStyle w:val="Bullettext"/>
        <w:ind w:left="720"/>
      </w:pPr>
      <w:r w:rsidRPr="00CF209C">
        <w:t>The PHIRST and Mukhopadhyay 2011 trials used tadalafil</w:t>
      </w:r>
    </w:p>
    <w:p w14:paraId="02391A89" w14:textId="77777777" w:rsidR="004C6955" w:rsidRPr="00CF209C" w:rsidRDefault="004C6955" w:rsidP="00C21496">
      <w:pPr>
        <w:pStyle w:val="Bullettext"/>
        <w:ind w:left="720"/>
      </w:pPr>
      <w:r w:rsidRPr="00CF209C">
        <w:t>The SUPER-1 trial used sildenafil</w:t>
      </w:r>
      <w:r>
        <w:t>.</w:t>
      </w:r>
    </w:p>
    <w:p w14:paraId="63BBAE24" w14:textId="77777777" w:rsidR="004C6955" w:rsidRDefault="004C6955" w:rsidP="00C21496">
      <w:pPr>
        <w:jc w:val="left"/>
      </w:pPr>
      <w:r>
        <w:t xml:space="preserve">Neither </w:t>
      </w:r>
      <w:r w:rsidRPr="006316DF">
        <w:t>of these trials reported on all-cause mortality for the subgroup of patients with WHO FC I/II PAH</w:t>
      </w:r>
      <w:r>
        <w:t xml:space="preserve">. Two </w:t>
      </w:r>
      <w:r w:rsidRPr="006316DF">
        <w:t>cohort stud</w:t>
      </w:r>
      <w:r>
        <w:t>ies</w:t>
      </w:r>
      <w:r w:rsidRPr="006316DF">
        <w:t xml:space="preserve"> </w:t>
      </w:r>
      <w:r>
        <w:t>were identified</w:t>
      </w:r>
      <w:r w:rsidRPr="006316DF">
        <w:t xml:space="preserve"> </w:t>
      </w:r>
      <w:r>
        <w:t xml:space="preserve">that </w:t>
      </w:r>
      <w:r w:rsidRPr="006316DF">
        <w:t xml:space="preserve">reported on the mortality </w:t>
      </w:r>
      <w:r>
        <w:t xml:space="preserve">of </w:t>
      </w:r>
      <w:r w:rsidRPr="006316DF">
        <w:t>patients with WHO FC I/II PAH who were treated with either sildenafil or conventional therapy</w:t>
      </w:r>
      <w:r>
        <w:t>:</w:t>
      </w:r>
    </w:p>
    <w:p w14:paraId="32149A03" w14:textId="77777777" w:rsidR="004C6955" w:rsidRPr="00542902" w:rsidRDefault="004C6955" w:rsidP="00C21496">
      <w:pPr>
        <w:pStyle w:val="Bullettext"/>
        <w:ind w:left="720"/>
      </w:pPr>
      <w:r w:rsidRPr="00542902">
        <w:t>Sun 2013 enrolled patients with Eisenmenger syndrome</w:t>
      </w:r>
      <w:r>
        <w:t xml:space="preserve"> who were followed for up to 2 </w:t>
      </w:r>
      <w:r w:rsidRPr="00542902">
        <w:t>years</w:t>
      </w:r>
    </w:p>
    <w:p w14:paraId="5B652407" w14:textId="77777777" w:rsidR="004C6955" w:rsidRPr="00542902" w:rsidRDefault="004C6955" w:rsidP="00C21496">
      <w:pPr>
        <w:pStyle w:val="Bullettext"/>
        <w:ind w:left="720"/>
      </w:pPr>
      <w:r w:rsidRPr="00542902">
        <w:t>Sastry 2007 collected prospectively</w:t>
      </w:r>
      <w:r>
        <w:t xml:space="preserve"> acquired</w:t>
      </w:r>
      <w:r w:rsidRPr="00542902">
        <w:t xml:space="preserve"> survival data from a h</w:t>
      </w:r>
      <w:r>
        <w:t>ospital registry for five years</w:t>
      </w:r>
      <w:r w:rsidRPr="00542902">
        <w:t xml:space="preserve"> f</w:t>
      </w:r>
      <w:r>
        <w:t>or</w:t>
      </w:r>
      <w:r w:rsidRPr="00542902">
        <w:t xml:space="preserve"> patients with IPAH of WHO FC II-I</w:t>
      </w:r>
      <w:r>
        <w:t>V being treated with sildenafil.</w:t>
      </w:r>
    </w:p>
    <w:p w14:paraId="5224108F" w14:textId="77777777" w:rsidR="004C6955" w:rsidRPr="0042195A" w:rsidRDefault="004C6955" w:rsidP="00C21496">
      <w:pPr>
        <w:jc w:val="left"/>
      </w:pPr>
      <w:r>
        <w:t xml:space="preserve">The evidence provided by these studies is summarised in </w:t>
      </w:r>
      <w:r w:rsidR="00CC79E1">
        <w:t>Table ES.</w:t>
      </w:r>
      <w:r w:rsidR="00CC79E1">
        <w:rPr>
          <w:noProof/>
        </w:rPr>
        <w:t>6</w:t>
      </w:r>
      <w:r>
        <w:t>.</w:t>
      </w:r>
    </w:p>
    <w:p w14:paraId="4C9C2CFE" w14:textId="77777777" w:rsidR="004C6955" w:rsidRDefault="004C6955" w:rsidP="00C21496">
      <w:pPr>
        <w:jc w:val="left"/>
      </w:pPr>
      <w:r w:rsidRPr="0042195A">
        <w:t xml:space="preserve">Overall, </w:t>
      </w:r>
      <w:r w:rsidRPr="00843DF8">
        <w:t>there is considerable uncertainty as to whether the use of PDE-5 inhibitor medication to treat patients with WHO FC I/II PAH would be beneficial</w:t>
      </w:r>
      <w:r w:rsidR="009F3FA8">
        <w:t>.</w:t>
      </w:r>
    </w:p>
    <w:bookmarkEnd w:id="60"/>
    <w:bookmarkEnd w:id="61"/>
    <w:p w14:paraId="1E76ED75" w14:textId="77777777" w:rsidR="00E30026" w:rsidRDefault="00E30026" w:rsidP="00C21496">
      <w:pPr>
        <w:jc w:val="left"/>
        <w:rPr>
          <w:rFonts w:eastAsia="Times New Roman" w:cs="Times New Roman"/>
          <w:b/>
          <w:bCs/>
          <w:szCs w:val="18"/>
        </w:rPr>
      </w:pPr>
      <w:r>
        <w:br w:type="page"/>
      </w:r>
    </w:p>
    <w:p w14:paraId="53806B88" w14:textId="77777777" w:rsidR="00E30026" w:rsidRPr="00E30026" w:rsidRDefault="004A1130" w:rsidP="00C21496">
      <w:pPr>
        <w:pStyle w:val="Caption"/>
        <w:jc w:val="left"/>
      </w:pPr>
      <w:bookmarkStart w:id="62" w:name="_Ref511118726"/>
      <w:bookmarkStart w:id="63" w:name="_Toc38372126"/>
      <w:r>
        <w:lastRenderedPageBreak/>
        <w:t>Table ES.</w:t>
      </w:r>
      <w:r w:rsidR="00CC79E1">
        <w:rPr>
          <w:noProof/>
        </w:rPr>
        <w:t>6</w:t>
      </w:r>
      <w:bookmarkEnd w:id="62"/>
      <w:r w:rsidR="00E30026">
        <w:tab/>
      </w:r>
      <w:r w:rsidR="00E30026" w:rsidRPr="009F466A">
        <w:t>Summary of the evidence for the clinical effectiveness of a PDE-5 inhibitor versus placebo in patients with WHO FC I/II PAH</w:t>
      </w:r>
      <w:bookmarkEnd w:id="63"/>
    </w:p>
    <w:tbl>
      <w:tblPr>
        <w:tblStyle w:val="TableGrid"/>
        <w:tblW w:w="9634" w:type="dxa"/>
        <w:tblLook w:val="04A0" w:firstRow="1" w:lastRow="0" w:firstColumn="1" w:lastColumn="0" w:noHBand="0" w:noVBand="1"/>
        <w:tblCaption w:val="Summary of the evidence for the clinical effectiveness of a PDE-5 inhibitor versus placebo in patients with WHO FC I/II PAH"/>
      </w:tblPr>
      <w:tblGrid>
        <w:gridCol w:w="1555"/>
        <w:gridCol w:w="1984"/>
        <w:gridCol w:w="6095"/>
      </w:tblGrid>
      <w:tr w:rsidR="00321DBE" w:rsidRPr="009F466A" w14:paraId="0922DC54"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A2BEF" w14:textId="77777777" w:rsidR="00321DBE" w:rsidRPr="00532B79" w:rsidRDefault="00321DBE" w:rsidP="00C21496">
            <w:pPr>
              <w:pStyle w:val="Tabletext"/>
              <w:rPr>
                <w:b/>
              </w:rPr>
            </w:pPr>
            <w:r w:rsidRPr="00532B79">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64160A" w14:textId="77777777" w:rsidR="00321DBE" w:rsidRPr="00532B79" w:rsidRDefault="00321DBE" w:rsidP="00C21496">
            <w:pPr>
              <w:pStyle w:val="Tabletext"/>
              <w:rPr>
                <w:b/>
              </w:rPr>
            </w:pPr>
            <w:r w:rsidRPr="00532B79">
              <w:rPr>
                <w:b/>
              </w:rPr>
              <w:t xml:space="preserve">Included trials </w:t>
            </w:r>
          </w:p>
          <w:p w14:paraId="69AE4989" w14:textId="77777777" w:rsidR="00321DBE" w:rsidRPr="00532B79" w:rsidRDefault="00321DBE" w:rsidP="00C21496">
            <w:pPr>
              <w:pStyle w:val="Tabletext"/>
              <w:rPr>
                <w:b/>
              </w:rPr>
            </w:pPr>
            <w:r w:rsidRPr="00532B79">
              <w:rPr>
                <w:b/>
              </w:rPr>
              <w:t>No. of patients</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7F22F" w14:textId="77777777" w:rsidR="00321DBE" w:rsidRPr="00532B79" w:rsidRDefault="00321DBE" w:rsidP="00C21496">
            <w:pPr>
              <w:pStyle w:val="Tabletext"/>
              <w:rPr>
                <w:b/>
              </w:rPr>
            </w:pPr>
            <w:r w:rsidRPr="00532B79">
              <w:rPr>
                <w:b/>
              </w:rPr>
              <w:t>Summary of evidence</w:t>
            </w:r>
          </w:p>
        </w:tc>
      </w:tr>
      <w:tr w:rsidR="00321DBE" w:rsidRPr="009F466A" w14:paraId="429E25B5" w14:textId="77777777" w:rsidTr="00321DBE">
        <w:tc>
          <w:tcPr>
            <w:tcW w:w="1555" w:type="dxa"/>
            <w:tcBorders>
              <w:top w:val="single" w:sz="4" w:space="0" w:color="auto"/>
              <w:left w:val="single" w:sz="4" w:space="0" w:color="auto"/>
              <w:bottom w:val="single" w:sz="4" w:space="0" w:color="auto"/>
              <w:right w:val="single" w:sz="4" w:space="0" w:color="auto"/>
            </w:tcBorders>
          </w:tcPr>
          <w:p w14:paraId="196B4188" w14:textId="77777777" w:rsidR="00321DBE" w:rsidRPr="00532B79" w:rsidRDefault="00321DBE" w:rsidP="00C21496">
            <w:pPr>
              <w:pStyle w:val="Tabletext"/>
            </w:pPr>
            <w:r w:rsidRPr="00532B79">
              <w:t>All-cause mortality</w:t>
            </w:r>
          </w:p>
        </w:tc>
        <w:tc>
          <w:tcPr>
            <w:tcW w:w="1984" w:type="dxa"/>
            <w:tcBorders>
              <w:top w:val="single" w:sz="4" w:space="0" w:color="auto"/>
              <w:left w:val="single" w:sz="4" w:space="0" w:color="auto"/>
              <w:bottom w:val="single" w:sz="4" w:space="0" w:color="auto"/>
              <w:right w:val="single" w:sz="4" w:space="0" w:color="auto"/>
            </w:tcBorders>
          </w:tcPr>
          <w:p w14:paraId="42BDCF07" w14:textId="77777777" w:rsidR="00321DBE" w:rsidRPr="00532B79" w:rsidRDefault="00321DBE" w:rsidP="00C21496">
            <w:pPr>
              <w:pStyle w:val="Tabletext"/>
            </w:pPr>
            <w:r w:rsidRPr="00532B79">
              <w:t>Sun 2013 cohort study (sildenafil)</w:t>
            </w:r>
          </w:p>
          <w:p w14:paraId="06BC2A78" w14:textId="77777777" w:rsidR="00321DBE" w:rsidRPr="00532B79" w:rsidRDefault="00321DBE" w:rsidP="00C21496">
            <w:pPr>
              <w:pStyle w:val="Tabletext"/>
            </w:pPr>
            <w:r w:rsidRPr="00532B79">
              <w:t>Sastry 2007 cohort study (sildenafil)</w:t>
            </w:r>
          </w:p>
          <w:p w14:paraId="7BB5F8C9" w14:textId="77777777" w:rsidR="00321DBE" w:rsidRPr="00532B79" w:rsidRDefault="00321DBE" w:rsidP="00C21496">
            <w:pPr>
              <w:pStyle w:val="Tabletext"/>
            </w:pPr>
            <w:r w:rsidRPr="00532B79">
              <w:t>N=76</w:t>
            </w:r>
          </w:p>
        </w:tc>
        <w:tc>
          <w:tcPr>
            <w:tcW w:w="6095" w:type="dxa"/>
            <w:tcBorders>
              <w:top w:val="single" w:sz="4" w:space="0" w:color="auto"/>
              <w:left w:val="single" w:sz="4" w:space="0" w:color="auto"/>
              <w:bottom w:val="single" w:sz="4" w:space="0" w:color="auto"/>
              <w:right w:val="single" w:sz="4" w:space="0" w:color="auto"/>
            </w:tcBorders>
          </w:tcPr>
          <w:p w14:paraId="0F1623E5" w14:textId="1918BCAF"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5F6BB8D1" w14:textId="77777777" w:rsidR="00321DBE" w:rsidRPr="00532B79" w:rsidRDefault="00321DBE" w:rsidP="00C21496">
            <w:pPr>
              <w:pStyle w:val="Tabletext"/>
            </w:pPr>
            <w:r w:rsidRPr="00532B79">
              <w:t>Fewer patients died after treatment with a PDE-5 inhibitor compared with placebo, but the 95% CI indicates that there may also be an effect in the opposite direction (pooled RR = 0.32; 95% CI 0.05, 1.90)</w:t>
            </w:r>
          </w:p>
        </w:tc>
      </w:tr>
      <w:tr w:rsidR="00321DBE" w:rsidRPr="009F466A" w14:paraId="00DCAC5C" w14:textId="77777777" w:rsidTr="00321DBE">
        <w:tc>
          <w:tcPr>
            <w:tcW w:w="1555" w:type="dxa"/>
            <w:tcBorders>
              <w:top w:val="single" w:sz="4" w:space="0" w:color="auto"/>
              <w:left w:val="single" w:sz="4" w:space="0" w:color="auto"/>
              <w:bottom w:val="single" w:sz="4" w:space="0" w:color="auto"/>
              <w:right w:val="single" w:sz="4" w:space="0" w:color="auto"/>
            </w:tcBorders>
          </w:tcPr>
          <w:p w14:paraId="48196D4A" w14:textId="77777777" w:rsidR="00321DBE" w:rsidRPr="00532B79" w:rsidRDefault="00321DBE" w:rsidP="00C21496">
            <w:pPr>
              <w:pStyle w:val="Tabletext"/>
            </w:pPr>
            <w:r w:rsidRPr="00532B79">
              <w:t>Improved WHO FC</w:t>
            </w:r>
          </w:p>
        </w:tc>
        <w:tc>
          <w:tcPr>
            <w:tcW w:w="1984" w:type="dxa"/>
            <w:tcBorders>
              <w:top w:val="single" w:sz="4" w:space="0" w:color="auto"/>
              <w:left w:val="single" w:sz="4" w:space="0" w:color="auto"/>
              <w:bottom w:val="single" w:sz="4" w:space="0" w:color="auto"/>
              <w:right w:val="single" w:sz="4" w:space="0" w:color="auto"/>
            </w:tcBorders>
          </w:tcPr>
          <w:p w14:paraId="1282963D" w14:textId="77777777" w:rsidR="00321DBE" w:rsidRPr="00532B79" w:rsidRDefault="00321DBE" w:rsidP="00C21496">
            <w:pPr>
              <w:pStyle w:val="Tabletext"/>
            </w:pPr>
            <w:r w:rsidRPr="00532B79">
              <w:t>Mukhopadhyay 2011 (tadalafil)</w:t>
            </w:r>
          </w:p>
          <w:p w14:paraId="36CA5A48" w14:textId="77777777" w:rsidR="00321DBE" w:rsidRPr="00532B79" w:rsidRDefault="00321DBE" w:rsidP="00C21496">
            <w:pPr>
              <w:pStyle w:val="Tabletext"/>
            </w:pPr>
            <w:r w:rsidRPr="00532B79">
              <w:t>N=22</w:t>
            </w:r>
          </w:p>
        </w:tc>
        <w:tc>
          <w:tcPr>
            <w:tcW w:w="6095" w:type="dxa"/>
            <w:tcBorders>
              <w:top w:val="single" w:sz="4" w:space="0" w:color="auto"/>
              <w:left w:val="single" w:sz="4" w:space="0" w:color="auto"/>
              <w:bottom w:val="single" w:sz="4" w:space="0" w:color="auto"/>
              <w:right w:val="single" w:sz="4" w:space="0" w:color="auto"/>
            </w:tcBorders>
          </w:tcPr>
          <w:p w14:paraId="0BF657DF" w14:textId="7CFCF592"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0495C614" w14:textId="77777777" w:rsidR="00321DBE" w:rsidRPr="00532B79" w:rsidRDefault="00321DBE" w:rsidP="00C21496">
            <w:pPr>
              <w:pStyle w:val="Tabletext"/>
            </w:pPr>
            <w:r w:rsidRPr="00532B79">
              <w:t>The same proportion of patients improved their WHO FC taking a PDE-5 inhibitor compared with placebo, but the wide 95% CI indicates that the study was underpowered for this outcome (RR = 1.00; 95% CI 0.07, 15.00)</w:t>
            </w:r>
          </w:p>
        </w:tc>
      </w:tr>
      <w:tr w:rsidR="00321DBE" w:rsidRPr="009F466A" w14:paraId="65A4BECF" w14:textId="77777777" w:rsidTr="00321DBE">
        <w:tc>
          <w:tcPr>
            <w:tcW w:w="1555" w:type="dxa"/>
          </w:tcPr>
          <w:p w14:paraId="2CCCF6A7" w14:textId="77777777" w:rsidR="00321DBE" w:rsidRPr="00532B79" w:rsidRDefault="00321DBE" w:rsidP="00C21496">
            <w:pPr>
              <w:pStyle w:val="Tabletext"/>
            </w:pPr>
            <w:r w:rsidRPr="00532B79">
              <w:t>Worsened WHO FC</w:t>
            </w:r>
          </w:p>
        </w:tc>
        <w:tc>
          <w:tcPr>
            <w:tcW w:w="1984" w:type="dxa"/>
          </w:tcPr>
          <w:p w14:paraId="4E1F251B" w14:textId="77777777" w:rsidR="00321DBE" w:rsidRPr="00532B79" w:rsidRDefault="00321DBE" w:rsidP="00C21496">
            <w:pPr>
              <w:pStyle w:val="Tabletext"/>
            </w:pPr>
            <w:r w:rsidRPr="00532B79">
              <w:t>Mukhopadhyay 2011 (tadalafil)</w:t>
            </w:r>
          </w:p>
          <w:p w14:paraId="1BDF6A3E" w14:textId="77777777" w:rsidR="00321DBE" w:rsidRPr="00532B79" w:rsidRDefault="00321DBE" w:rsidP="00C21496">
            <w:pPr>
              <w:pStyle w:val="Tabletext"/>
            </w:pPr>
            <w:r w:rsidRPr="00532B79">
              <w:t>N=22</w:t>
            </w:r>
          </w:p>
        </w:tc>
        <w:tc>
          <w:tcPr>
            <w:tcW w:w="6095" w:type="dxa"/>
          </w:tcPr>
          <w:p w14:paraId="64FB9E31" w14:textId="5129E226"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23F0BD8E" w14:textId="77777777" w:rsidR="00321DBE" w:rsidRPr="00532B79" w:rsidRDefault="00321DBE" w:rsidP="00C21496">
            <w:pPr>
              <w:pStyle w:val="Tabletext"/>
            </w:pPr>
            <w:r w:rsidRPr="00532B79">
              <w:t>No patients had worsening of their WHO FC during the study period.</w:t>
            </w:r>
          </w:p>
        </w:tc>
      </w:tr>
      <w:tr w:rsidR="00321DBE" w:rsidRPr="009F466A" w14:paraId="48EC6E20" w14:textId="77777777" w:rsidTr="00321DBE">
        <w:trPr>
          <w:trHeight w:val="795"/>
        </w:trPr>
        <w:tc>
          <w:tcPr>
            <w:tcW w:w="1555" w:type="dxa"/>
          </w:tcPr>
          <w:p w14:paraId="7C38FD50" w14:textId="77777777" w:rsidR="00321DBE" w:rsidRPr="00870A3E" w:rsidRDefault="00321DBE" w:rsidP="00C21496">
            <w:pPr>
              <w:pStyle w:val="Tabletext"/>
            </w:pPr>
            <w:r w:rsidRPr="00870A3E">
              <w:t>Change in 6MWD from baseline</w:t>
            </w:r>
          </w:p>
        </w:tc>
        <w:tc>
          <w:tcPr>
            <w:tcW w:w="1984" w:type="dxa"/>
          </w:tcPr>
          <w:p w14:paraId="315AD868" w14:textId="77777777" w:rsidR="00321DBE" w:rsidRPr="00870A3E" w:rsidRDefault="00321DBE" w:rsidP="00C21496">
            <w:pPr>
              <w:pStyle w:val="Tabletext"/>
            </w:pPr>
            <w:r w:rsidRPr="00870A3E">
              <w:t>PHIRST (tadalafil)</w:t>
            </w:r>
          </w:p>
          <w:p w14:paraId="052CC874" w14:textId="77777777" w:rsidR="00321DBE" w:rsidRPr="00870A3E" w:rsidRDefault="00321DBE" w:rsidP="00C21496">
            <w:pPr>
              <w:pStyle w:val="Tabletext"/>
            </w:pPr>
            <w:r w:rsidRPr="00870A3E">
              <w:t>SUPER-1 (sildenafil)</w:t>
            </w:r>
          </w:p>
          <w:p w14:paraId="2212C63C" w14:textId="77777777" w:rsidR="00321DBE" w:rsidRPr="00870A3E" w:rsidRDefault="00321DBE" w:rsidP="00C21496">
            <w:pPr>
              <w:pStyle w:val="Tabletext"/>
            </w:pPr>
            <w:r w:rsidRPr="00870A3E">
              <w:t>N=73</w:t>
            </w:r>
          </w:p>
        </w:tc>
        <w:tc>
          <w:tcPr>
            <w:tcW w:w="6095" w:type="dxa"/>
          </w:tcPr>
          <w:p w14:paraId="454BB933" w14:textId="5CB45569" w:rsidR="00321DBE" w:rsidRPr="00870A3E" w:rsidRDefault="00321DBE" w:rsidP="00C21496">
            <w:pPr>
              <w:pStyle w:val="Tabletext"/>
            </w:pPr>
            <w:r w:rsidRPr="00870A3E">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870A3E">
              <w:t>)</w:t>
            </w:r>
          </w:p>
          <w:p w14:paraId="050CA55C" w14:textId="77777777" w:rsidR="00321DBE" w:rsidRPr="00870A3E" w:rsidRDefault="00321DBE" w:rsidP="00C21496">
            <w:pPr>
              <w:pStyle w:val="Tabletext"/>
            </w:pPr>
            <w:r w:rsidRPr="00870A3E">
              <w:t xml:space="preserve">Patients taking a PDE-5 inhibitor had a larger mean improvement in their 6MWD than those taking a placebo, and the difference was clinically important in </w:t>
            </w:r>
            <w:r w:rsidR="00C07794">
              <w:rPr>
                <w:noProof/>
                <w:color w:val="000000"/>
                <w:highlight w:val="black"/>
              </w:rPr>
              <w:t>'''' ''''''''''''''</w:t>
            </w:r>
            <w:r w:rsidRPr="00870A3E">
              <w:t xml:space="preserve"> (range </w:t>
            </w:r>
            <w:r w:rsidR="00C07794">
              <w:rPr>
                <w:noProof/>
                <w:color w:val="000000"/>
                <w:highlight w:val="black"/>
              </w:rPr>
              <w:t>''''''''''''''''''''''' '''''</w:t>
            </w:r>
            <w:r w:rsidRPr="00870A3E">
              <w:t xml:space="preserve"> walked further)</w:t>
            </w:r>
          </w:p>
          <w:p w14:paraId="51306701" w14:textId="77777777" w:rsidR="00321DBE" w:rsidRPr="00532B79" w:rsidRDefault="00321DBE" w:rsidP="00C21496">
            <w:pPr>
              <w:pStyle w:val="Tabletext"/>
            </w:pPr>
            <w:r w:rsidRPr="00870A3E">
              <w:t>No significant difference in the effectiveness of different PDE-5 inhibitors</w:t>
            </w:r>
          </w:p>
        </w:tc>
      </w:tr>
    </w:tbl>
    <w:p w14:paraId="31499685" w14:textId="77777777" w:rsidR="00321DBE" w:rsidRPr="00532B79" w:rsidRDefault="00321DBE" w:rsidP="00C21496">
      <w:pPr>
        <w:pStyle w:val="Tablenote"/>
        <w:jc w:val="left"/>
      </w:pPr>
      <w:r w:rsidRPr="00532B79">
        <w:t>6MWD = 6-minute walk distance; CI = confidence interval; FC = functional class; GRADE = grading of recommendations assessment, development and evaluation1; PAH = pulmonary arterial hypertension; PDE-5 = phosphodiesterase type 5; RCT = randomised controlled trial; RR = relative risk; WHO = World Health Organization</w:t>
      </w:r>
    </w:p>
    <w:p w14:paraId="6F203E6F" w14:textId="77777777" w:rsidR="004C6955" w:rsidRPr="004C6955" w:rsidRDefault="004C6955" w:rsidP="00C21496">
      <w:pPr>
        <w:pStyle w:val="Heading5"/>
        <w:keepLines w:val="0"/>
        <w:numPr>
          <w:ilvl w:val="0"/>
          <w:numId w:val="0"/>
        </w:numPr>
        <w:spacing w:before="240"/>
        <w:jc w:val="left"/>
        <w:rPr>
          <w:color w:val="auto"/>
          <w:u w:val="single"/>
        </w:rPr>
      </w:pPr>
      <w:r w:rsidRPr="004C6955">
        <w:rPr>
          <w:color w:val="auto"/>
          <w:u w:val="single"/>
        </w:rPr>
        <w:t>Safety</w:t>
      </w:r>
    </w:p>
    <w:p w14:paraId="43082B86" w14:textId="77777777" w:rsidR="00321DBE" w:rsidRPr="009F466A" w:rsidRDefault="00321DBE" w:rsidP="00C21496">
      <w:pPr>
        <w:jc w:val="left"/>
      </w:pPr>
      <w:r w:rsidRPr="009F466A">
        <w:t>There was no evidence available to evaluate the comparative safety of PDE-5 inhibitors versus placebo when used to treat patients with WHO FC I/II PAH.</w:t>
      </w:r>
    </w:p>
    <w:p w14:paraId="2B7A8F9E" w14:textId="77777777" w:rsidR="00321DBE" w:rsidRPr="009F466A" w:rsidRDefault="00321DBE" w:rsidP="00C21496">
      <w:pPr>
        <w:pStyle w:val="Heading4"/>
      </w:pPr>
      <w:r w:rsidRPr="009F466A">
        <w:t>Prostanoid versus placebo</w:t>
      </w:r>
    </w:p>
    <w:p w14:paraId="17E4755F" w14:textId="77777777" w:rsidR="00321DBE" w:rsidRPr="009F466A" w:rsidRDefault="00321DBE" w:rsidP="00C21496">
      <w:pPr>
        <w:jc w:val="left"/>
      </w:pPr>
      <w:r w:rsidRPr="009F466A">
        <w:t>There was no evidence available to determine the safety and effectiveness of prostanoids in treating patients with WHO FC I/II PAH.</w:t>
      </w:r>
    </w:p>
    <w:p w14:paraId="3277703D" w14:textId="77777777" w:rsidR="00321DBE" w:rsidRPr="009F466A" w:rsidRDefault="00321DBE" w:rsidP="00C21496">
      <w:pPr>
        <w:pStyle w:val="Heading4"/>
      </w:pPr>
      <w:r w:rsidRPr="009F466A">
        <w:t>sGC stimulator versus placebo</w:t>
      </w:r>
    </w:p>
    <w:p w14:paraId="2B19ACE0" w14:textId="77777777" w:rsidR="004C6955" w:rsidRPr="004C6955" w:rsidRDefault="004C6955" w:rsidP="00C21496">
      <w:pPr>
        <w:pStyle w:val="Heading5"/>
        <w:keepLines w:val="0"/>
        <w:numPr>
          <w:ilvl w:val="0"/>
          <w:numId w:val="0"/>
        </w:numPr>
        <w:spacing w:before="240"/>
        <w:jc w:val="left"/>
        <w:rPr>
          <w:color w:val="auto"/>
          <w:u w:val="single"/>
        </w:rPr>
      </w:pPr>
      <w:bookmarkStart w:id="64" w:name="_Ref506282992"/>
      <w:bookmarkStart w:id="65" w:name="_Toc508396836"/>
      <w:r w:rsidRPr="004C6955">
        <w:rPr>
          <w:color w:val="auto"/>
          <w:u w:val="single"/>
        </w:rPr>
        <w:t>Clinical effectiveness</w:t>
      </w:r>
    </w:p>
    <w:p w14:paraId="1309E99D" w14:textId="77777777" w:rsidR="004C6955" w:rsidRDefault="004C6955" w:rsidP="00C21496">
      <w:pPr>
        <w:jc w:val="left"/>
      </w:pPr>
      <w:r w:rsidRPr="0042195A">
        <w:t xml:space="preserve">Only one RCT was identified that reported on the effectiveness of </w:t>
      </w:r>
      <w:r>
        <w:t>monotherapy with a</w:t>
      </w:r>
      <w:r w:rsidRPr="0042195A">
        <w:t xml:space="preserve"> </w:t>
      </w:r>
      <w:r>
        <w:t xml:space="preserve">sGC stimulator </w:t>
      </w:r>
      <w:r w:rsidRPr="0042195A">
        <w:t>in treating PAH compared with placebo in patients with WHO FC I/II PAH</w:t>
      </w:r>
      <w:r>
        <w:t>:</w:t>
      </w:r>
    </w:p>
    <w:p w14:paraId="7E53F683" w14:textId="77777777" w:rsidR="004C6955" w:rsidRPr="00542902" w:rsidRDefault="004C6955" w:rsidP="00C21496">
      <w:pPr>
        <w:pStyle w:val="Bullettext"/>
        <w:ind w:left="720"/>
      </w:pPr>
      <w:r w:rsidRPr="00542902">
        <w:t>The</w:t>
      </w:r>
      <w:r>
        <w:t xml:space="preserve"> PATENT-1 trial used riociguat.</w:t>
      </w:r>
    </w:p>
    <w:p w14:paraId="7624EE8E" w14:textId="77777777" w:rsidR="004C6955" w:rsidRPr="0042195A" w:rsidRDefault="004C6955" w:rsidP="00C21496">
      <w:pPr>
        <w:jc w:val="left"/>
      </w:pPr>
      <w:r>
        <w:t xml:space="preserve">The evidence provided by this trial is summarised in </w:t>
      </w:r>
      <w:r w:rsidR="00CC79E1">
        <w:t>Table ES.</w:t>
      </w:r>
      <w:r w:rsidR="00CC79E1">
        <w:rPr>
          <w:noProof/>
        </w:rPr>
        <w:t>7</w:t>
      </w:r>
      <w:r>
        <w:t>.</w:t>
      </w:r>
    </w:p>
    <w:p w14:paraId="01E0BE3E" w14:textId="77777777" w:rsidR="004C6955" w:rsidRDefault="004C6955" w:rsidP="00C21496">
      <w:pPr>
        <w:jc w:val="left"/>
      </w:pPr>
      <w:r w:rsidRPr="00870A3E">
        <w:t xml:space="preserve">Overall, there is </w:t>
      </w:r>
      <w:r w:rsidR="00C07794">
        <w:rPr>
          <w:noProof/>
          <w:color w:val="000000"/>
          <w:highlight w:val="black"/>
        </w:rPr>
        <w:t>''''''''''''''''''''''''''' '''''''''''''''''''''''</w:t>
      </w:r>
      <w:r w:rsidRPr="00870A3E">
        <w:t xml:space="preserve"> as to whether the use of sGC stimulator medication to treat patients with WHO FC I/II PAH </w:t>
      </w:r>
      <w:r w:rsidR="00C07794">
        <w:rPr>
          <w:noProof/>
          <w:color w:val="000000"/>
          <w:highlight w:val="black"/>
        </w:rPr>
        <w:t>'''' ''''''''''''''''''</w:t>
      </w:r>
      <w:r w:rsidRPr="00870A3E">
        <w:t>.</w:t>
      </w:r>
    </w:p>
    <w:p w14:paraId="25EEFF5B" w14:textId="77777777" w:rsidR="00E30026" w:rsidRPr="00E30026" w:rsidRDefault="00E30026" w:rsidP="00C21496">
      <w:pPr>
        <w:pStyle w:val="Caption"/>
        <w:jc w:val="left"/>
      </w:pPr>
      <w:bookmarkStart w:id="66" w:name="_Ref511118742"/>
      <w:bookmarkStart w:id="67" w:name="_Toc38372127"/>
      <w:bookmarkEnd w:id="64"/>
      <w:bookmarkEnd w:id="65"/>
      <w:r>
        <w:lastRenderedPageBreak/>
        <w:t>Table ES.</w:t>
      </w:r>
      <w:r w:rsidR="00CC79E1">
        <w:rPr>
          <w:noProof/>
        </w:rPr>
        <w:t>7</w:t>
      </w:r>
      <w:bookmarkEnd w:id="66"/>
      <w:r>
        <w:tab/>
      </w:r>
      <w:r w:rsidRPr="009F466A">
        <w:t>Summary of the evidence for the clinical effectiveness of a sGC stimulator versus placebo in patients with WHO FC I/II PAH</w:t>
      </w:r>
      <w:bookmarkEnd w:id="67"/>
    </w:p>
    <w:tbl>
      <w:tblPr>
        <w:tblStyle w:val="TableGrid"/>
        <w:tblW w:w="9634" w:type="dxa"/>
        <w:tblLook w:val="04A0" w:firstRow="1" w:lastRow="0" w:firstColumn="1" w:lastColumn="0" w:noHBand="0" w:noVBand="1"/>
        <w:tblCaption w:val="Summary of the evidence for the clinical effectiveness of a sGC stimulator versus placebo in patients with WHO FC I/II PAH"/>
      </w:tblPr>
      <w:tblGrid>
        <w:gridCol w:w="1573"/>
        <w:gridCol w:w="1981"/>
        <w:gridCol w:w="6080"/>
      </w:tblGrid>
      <w:tr w:rsidR="00321DBE" w:rsidRPr="009F466A" w14:paraId="2652A30E"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C70DB1" w14:textId="77777777" w:rsidR="00321DBE" w:rsidRPr="00532B79" w:rsidRDefault="00321DBE" w:rsidP="00C21496">
            <w:pPr>
              <w:pStyle w:val="Tabletext"/>
              <w:rPr>
                <w:b/>
              </w:rPr>
            </w:pPr>
            <w:r w:rsidRPr="00532B79">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6522A8" w14:textId="77777777" w:rsidR="00321DBE" w:rsidRPr="00532B79" w:rsidRDefault="00321DBE" w:rsidP="00C21496">
            <w:pPr>
              <w:pStyle w:val="Tabletext"/>
              <w:rPr>
                <w:b/>
              </w:rPr>
            </w:pPr>
            <w:r w:rsidRPr="00532B79">
              <w:rPr>
                <w:b/>
              </w:rPr>
              <w:t xml:space="preserve">Included trials </w:t>
            </w:r>
          </w:p>
          <w:p w14:paraId="51EF5B53" w14:textId="77777777" w:rsidR="00321DBE" w:rsidRPr="00532B79" w:rsidRDefault="00321DBE" w:rsidP="00C21496">
            <w:pPr>
              <w:pStyle w:val="Tabletext"/>
              <w:rPr>
                <w:b/>
              </w:rPr>
            </w:pPr>
            <w:r w:rsidRPr="00532B79">
              <w:rPr>
                <w:b/>
              </w:rPr>
              <w:t>No. of patients</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8F6640" w14:textId="77777777" w:rsidR="00321DBE" w:rsidRPr="00532B79" w:rsidRDefault="00321DBE" w:rsidP="00C21496">
            <w:pPr>
              <w:pStyle w:val="Tabletext"/>
              <w:rPr>
                <w:b/>
              </w:rPr>
            </w:pPr>
            <w:r w:rsidRPr="00532B79">
              <w:rPr>
                <w:b/>
              </w:rPr>
              <w:t>Summary of evidence</w:t>
            </w:r>
          </w:p>
        </w:tc>
      </w:tr>
      <w:tr w:rsidR="00321DBE" w:rsidRPr="00870A3E" w14:paraId="12FF6BA2" w14:textId="77777777" w:rsidTr="00321DBE">
        <w:tc>
          <w:tcPr>
            <w:tcW w:w="1555" w:type="dxa"/>
            <w:tcBorders>
              <w:top w:val="single" w:sz="4" w:space="0" w:color="auto"/>
              <w:left w:val="single" w:sz="4" w:space="0" w:color="auto"/>
              <w:bottom w:val="single" w:sz="4" w:space="0" w:color="auto"/>
              <w:right w:val="single" w:sz="4" w:space="0" w:color="auto"/>
            </w:tcBorders>
          </w:tcPr>
          <w:p w14:paraId="4B4628F3" w14:textId="77777777" w:rsidR="00321DBE" w:rsidRPr="00870A3E" w:rsidRDefault="00321DBE" w:rsidP="00C21496">
            <w:pPr>
              <w:pStyle w:val="Tabletext"/>
            </w:pPr>
            <w:r w:rsidRPr="00870A3E">
              <w:t>Clinical worsening</w:t>
            </w:r>
          </w:p>
        </w:tc>
        <w:tc>
          <w:tcPr>
            <w:tcW w:w="1984" w:type="dxa"/>
            <w:tcBorders>
              <w:top w:val="single" w:sz="4" w:space="0" w:color="auto"/>
              <w:left w:val="single" w:sz="4" w:space="0" w:color="auto"/>
              <w:bottom w:val="single" w:sz="4" w:space="0" w:color="auto"/>
              <w:right w:val="single" w:sz="4" w:space="0" w:color="auto"/>
            </w:tcBorders>
          </w:tcPr>
          <w:p w14:paraId="5D9DDC73" w14:textId="77777777" w:rsidR="00321DBE" w:rsidRPr="00870A3E" w:rsidRDefault="00321DBE" w:rsidP="00C21496">
            <w:pPr>
              <w:pStyle w:val="Tabletext"/>
            </w:pPr>
            <w:r w:rsidRPr="00870A3E">
              <w:t>PATENT-1 (riociguat)</w:t>
            </w:r>
          </w:p>
          <w:p w14:paraId="0C1F1061" w14:textId="77777777" w:rsidR="00321DBE" w:rsidRPr="00870A3E" w:rsidRDefault="00321DBE" w:rsidP="00C21496">
            <w:pPr>
              <w:pStyle w:val="Tabletext"/>
            </w:pPr>
            <w:r w:rsidRPr="00870A3E">
              <w:t>N=107</w:t>
            </w:r>
          </w:p>
        </w:tc>
        <w:tc>
          <w:tcPr>
            <w:tcW w:w="6095" w:type="dxa"/>
            <w:tcBorders>
              <w:top w:val="single" w:sz="4" w:space="0" w:color="auto"/>
              <w:left w:val="single" w:sz="4" w:space="0" w:color="auto"/>
              <w:bottom w:val="single" w:sz="4" w:space="0" w:color="auto"/>
              <w:right w:val="single" w:sz="4" w:space="0" w:color="auto"/>
            </w:tcBorders>
          </w:tcPr>
          <w:p w14:paraId="1EC42298" w14:textId="2350E0C1" w:rsidR="00321DBE" w:rsidRPr="00870A3E" w:rsidRDefault="00321DBE" w:rsidP="00C21496">
            <w:pPr>
              <w:pStyle w:val="Tabletext"/>
            </w:pPr>
            <w:r w:rsidRPr="00870A3E">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870A3E">
              <w:t>)</w:t>
            </w:r>
          </w:p>
          <w:p w14:paraId="656FF463" w14:textId="77777777" w:rsidR="00321DBE" w:rsidRPr="00C07794" w:rsidRDefault="00C07794" w:rsidP="00C21496">
            <w:pPr>
              <w:pStyle w:val="Tabletext"/>
              <w:rPr>
                <w:highlight w:val="black"/>
              </w:rPr>
            </w:pPr>
            <w:r>
              <w:rPr>
                <w:noProof/>
                <w:color w:val="000000"/>
                <w:highlight w:val="black"/>
              </w:rPr>
              <w:t>'''''''''''''''' ''''''''''''''''''' '''''''''''''''''''''''''''' '''''''''''''''''' ''''''''''''''''''''''' '''''''''' ''' '''''''''''' ''''''''''''''''''''' ''''''''''''''''''''' '''''''''' ''''''''''''''''''' '''''''' ''''''''' ''''''''''' '''''' ''''''''''''''''''''' '''''''''''''' ''''''''''''' '''''''''' ''''' '''''' ''''''''''''' ''''' '''''''' ''''''''''''''''''''' '''''''''''''''''''' '''''''''' ''' ''''''''''' '''''''''' '''''' ''''''''''''' '''''''''''</w:t>
            </w:r>
          </w:p>
        </w:tc>
      </w:tr>
      <w:tr w:rsidR="00321DBE" w:rsidRPr="00870A3E" w14:paraId="13F2AFB0" w14:textId="77777777" w:rsidTr="00321DBE">
        <w:tc>
          <w:tcPr>
            <w:tcW w:w="1555" w:type="dxa"/>
          </w:tcPr>
          <w:p w14:paraId="6BD0EE61" w14:textId="77777777" w:rsidR="00321DBE" w:rsidRPr="00870A3E" w:rsidRDefault="00321DBE" w:rsidP="00C21496">
            <w:pPr>
              <w:pStyle w:val="Tabletext"/>
            </w:pPr>
            <w:r w:rsidRPr="00870A3E">
              <w:t>All-cause mortality</w:t>
            </w:r>
          </w:p>
        </w:tc>
        <w:tc>
          <w:tcPr>
            <w:tcW w:w="1984" w:type="dxa"/>
          </w:tcPr>
          <w:p w14:paraId="4955F8D9" w14:textId="77777777" w:rsidR="00321DBE" w:rsidRPr="00870A3E" w:rsidRDefault="00321DBE" w:rsidP="00C21496">
            <w:pPr>
              <w:pStyle w:val="Tabletext"/>
            </w:pPr>
            <w:r w:rsidRPr="00870A3E">
              <w:t xml:space="preserve">PATENT-1 (riociguat) </w:t>
            </w:r>
          </w:p>
          <w:p w14:paraId="02386F2F" w14:textId="77777777" w:rsidR="00321DBE" w:rsidRPr="00870A3E" w:rsidRDefault="00321DBE" w:rsidP="00C21496">
            <w:pPr>
              <w:pStyle w:val="Tabletext"/>
            </w:pPr>
            <w:r w:rsidRPr="00870A3E">
              <w:t>N=107</w:t>
            </w:r>
          </w:p>
        </w:tc>
        <w:tc>
          <w:tcPr>
            <w:tcW w:w="6095" w:type="dxa"/>
          </w:tcPr>
          <w:p w14:paraId="4A0E0317" w14:textId="33CDC2DA" w:rsidR="00321DBE" w:rsidRPr="00870A3E" w:rsidRDefault="00321DBE" w:rsidP="00C21496">
            <w:pPr>
              <w:pStyle w:val="Tabletext"/>
            </w:pPr>
            <w:r w:rsidRPr="00870A3E">
              <w:t xml:space="preserve">High quality evidence (GRADE </w:t>
            </w:r>
            <w:r w:rsidR="00C220DD" w:rsidRPr="00C220DD">
              <w:rPr>
                <w:rFonts w:ascii="Cambria Math" w:hAnsi="Cambria Math" w:cs="Cambria Math"/>
                <w:color w:val="00B050"/>
              </w:rPr>
              <w:t>⨁⨁⨁⨁</w:t>
            </w:r>
            <w:r w:rsidRPr="00870A3E">
              <w:t>)</w:t>
            </w:r>
          </w:p>
          <w:p w14:paraId="169958DC" w14:textId="77777777" w:rsidR="00321DBE" w:rsidRPr="00C07794" w:rsidRDefault="00C07794" w:rsidP="00C21496">
            <w:pPr>
              <w:pStyle w:val="Tabletext"/>
              <w:rPr>
                <w:highlight w:val="black"/>
              </w:rPr>
            </w:pPr>
            <w:r>
              <w:rPr>
                <w:noProof/>
                <w:color w:val="000000"/>
                <w:highlight w:val="black"/>
              </w:rPr>
              <w:t>''''''''''' ''''''''' '''''''''''''''' ''''' '''''''' '''''''''''' '''''''''''''''''''''' ''''''''''''''''''''' ''''''''''''''' '''''''''' '''''''''''''''' ''''''' ''''''''''''' '''''''''''''''' ''''''''' '''''''' ''''''''''''''''''''''''' ''''''''' '''''''' '''''''''''''''''''''''' '''''''''''''''''''''' ''''''''''''' '''' ''''''''''''' ''''''''''' '''''' '''''''''''' '''''''''</w:t>
            </w:r>
          </w:p>
        </w:tc>
      </w:tr>
      <w:tr w:rsidR="00321DBE" w:rsidRPr="00870A3E" w14:paraId="4890F6B0" w14:textId="77777777" w:rsidTr="00321DBE">
        <w:tc>
          <w:tcPr>
            <w:tcW w:w="1555" w:type="dxa"/>
            <w:tcBorders>
              <w:top w:val="single" w:sz="4" w:space="0" w:color="auto"/>
              <w:left w:val="single" w:sz="4" w:space="0" w:color="auto"/>
              <w:bottom w:val="single" w:sz="4" w:space="0" w:color="auto"/>
              <w:right w:val="single" w:sz="4" w:space="0" w:color="auto"/>
            </w:tcBorders>
          </w:tcPr>
          <w:p w14:paraId="604ABC84" w14:textId="77777777" w:rsidR="00321DBE" w:rsidRPr="00870A3E" w:rsidRDefault="00321DBE" w:rsidP="00C21496">
            <w:pPr>
              <w:pStyle w:val="Tabletext"/>
            </w:pPr>
            <w:r w:rsidRPr="00870A3E">
              <w:t>Hospitalisation due to worsening PAH</w:t>
            </w:r>
          </w:p>
        </w:tc>
        <w:tc>
          <w:tcPr>
            <w:tcW w:w="1984" w:type="dxa"/>
            <w:tcBorders>
              <w:top w:val="single" w:sz="4" w:space="0" w:color="auto"/>
              <w:left w:val="single" w:sz="4" w:space="0" w:color="auto"/>
              <w:bottom w:val="single" w:sz="4" w:space="0" w:color="auto"/>
              <w:right w:val="single" w:sz="4" w:space="0" w:color="auto"/>
            </w:tcBorders>
          </w:tcPr>
          <w:p w14:paraId="2E2EFC08" w14:textId="77777777" w:rsidR="00321DBE" w:rsidRPr="00870A3E" w:rsidRDefault="00321DBE" w:rsidP="00C21496">
            <w:pPr>
              <w:pStyle w:val="Tabletext"/>
            </w:pPr>
            <w:r w:rsidRPr="00870A3E">
              <w:t xml:space="preserve">PATENT-1 (riociguat) </w:t>
            </w:r>
          </w:p>
          <w:p w14:paraId="5B877DD8" w14:textId="77777777" w:rsidR="00321DBE" w:rsidRPr="00870A3E" w:rsidRDefault="00321DBE" w:rsidP="00C21496">
            <w:pPr>
              <w:pStyle w:val="Tabletext"/>
            </w:pPr>
            <w:r w:rsidRPr="00870A3E">
              <w:t>N=107</w:t>
            </w:r>
          </w:p>
        </w:tc>
        <w:tc>
          <w:tcPr>
            <w:tcW w:w="6095" w:type="dxa"/>
            <w:tcBorders>
              <w:top w:val="single" w:sz="4" w:space="0" w:color="auto"/>
              <w:left w:val="single" w:sz="4" w:space="0" w:color="auto"/>
              <w:bottom w:val="single" w:sz="4" w:space="0" w:color="auto"/>
              <w:right w:val="single" w:sz="4" w:space="0" w:color="auto"/>
            </w:tcBorders>
          </w:tcPr>
          <w:p w14:paraId="77F3B77C" w14:textId="394754CE" w:rsidR="00321DBE" w:rsidRPr="00870A3E" w:rsidRDefault="00321DBE" w:rsidP="00C21496">
            <w:pPr>
              <w:pStyle w:val="Tabletext"/>
            </w:pPr>
            <w:r w:rsidRPr="00870A3E">
              <w:t xml:space="preserve">High quality evidence (GRADE </w:t>
            </w:r>
            <w:r w:rsidR="00C220DD" w:rsidRPr="00C220DD">
              <w:rPr>
                <w:rFonts w:ascii="Cambria Math" w:hAnsi="Cambria Math" w:cs="Cambria Math"/>
                <w:color w:val="00B050"/>
              </w:rPr>
              <w:t>⨁⨁⨁⨁</w:t>
            </w:r>
            <w:r w:rsidRPr="00870A3E">
              <w:t>)</w:t>
            </w:r>
          </w:p>
          <w:p w14:paraId="5BD2FF17" w14:textId="77777777" w:rsidR="00321DBE" w:rsidRPr="00C07794" w:rsidRDefault="00C07794" w:rsidP="00C21496">
            <w:pPr>
              <w:pStyle w:val="Tabletext"/>
              <w:rPr>
                <w:highlight w:val="black"/>
              </w:rPr>
            </w:pPr>
            <w:r>
              <w:rPr>
                <w:noProof/>
                <w:color w:val="000000"/>
                <w:highlight w:val="black"/>
              </w:rPr>
              <w:t>''''''' '''''''''''''''''''' ''''''''''' '''''''''''''''''''''''''''''' '''''''''''''' ''''''' '''''''''''' ''''''''''''''</w:t>
            </w:r>
          </w:p>
        </w:tc>
      </w:tr>
      <w:tr w:rsidR="00321DBE" w:rsidRPr="00870A3E" w14:paraId="38B463DA" w14:textId="77777777" w:rsidTr="00321DBE">
        <w:tc>
          <w:tcPr>
            <w:tcW w:w="1555" w:type="dxa"/>
            <w:tcBorders>
              <w:top w:val="single" w:sz="4" w:space="0" w:color="auto"/>
              <w:left w:val="single" w:sz="4" w:space="0" w:color="auto"/>
              <w:bottom w:val="single" w:sz="4" w:space="0" w:color="auto"/>
              <w:right w:val="single" w:sz="4" w:space="0" w:color="auto"/>
            </w:tcBorders>
          </w:tcPr>
          <w:p w14:paraId="7C5495E6" w14:textId="77777777" w:rsidR="00321DBE" w:rsidRPr="00870A3E" w:rsidRDefault="00321DBE" w:rsidP="00C21496">
            <w:pPr>
              <w:pStyle w:val="Tabletext"/>
            </w:pPr>
            <w:r w:rsidRPr="00870A3E">
              <w:t>Improved WHO FC</w:t>
            </w:r>
          </w:p>
        </w:tc>
        <w:tc>
          <w:tcPr>
            <w:tcW w:w="1984" w:type="dxa"/>
            <w:tcBorders>
              <w:top w:val="single" w:sz="4" w:space="0" w:color="auto"/>
              <w:left w:val="single" w:sz="4" w:space="0" w:color="auto"/>
              <w:bottom w:val="single" w:sz="4" w:space="0" w:color="auto"/>
              <w:right w:val="single" w:sz="4" w:space="0" w:color="auto"/>
            </w:tcBorders>
          </w:tcPr>
          <w:p w14:paraId="5407A232" w14:textId="77777777" w:rsidR="00321DBE" w:rsidRPr="00870A3E" w:rsidRDefault="00321DBE" w:rsidP="00C21496">
            <w:pPr>
              <w:pStyle w:val="Tabletext"/>
            </w:pPr>
            <w:r w:rsidRPr="00870A3E">
              <w:t xml:space="preserve">PATENT-1 (riociguat) </w:t>
            </w:r>
          </w:p>
          <w:p w14:paraId="43E64BEE" w14:textId="77777777" w:rsidR="00321DBE" w:rsidRPr="00870A3E" w:rsidRDefault="00321DBE" w:rsidP="00C21496">
            <w:pPr>
              <w:pStyle w:val="Tabletext"/>
            </w:pPr>
            <w:r w:rsidRPr="00870A3E">
              <w:t>N=107</w:t>
            </w:r>
          </w:p>
        </w:tc>
        <w:tc>
          <w:tcPr>
            <w:tcW w:w="6095" w:type="dxa"/>
            <w:tcBorders>
              <w:top w:val="single" w:sz="4" w:space="0" w:color="auto"/>
              <w:left w:val="single" w:sz="4" w:space="0" w:color="auto"/>
              <w:bottom w:val="single" w:sz="4" w:space="0" w:color="auto"/>
              <w:right w:val="single" w:sz="4" w:space="0" w:color="auto"/>
            </w:tcBorders>
          </w:tcPr>
          <w:p w14:paraId="74FBB549" w14:textId="3A510C46" w:rsidR="00321DBE" w:rsidRPr="00870A3E" w:rsidRDefault="00321DBE" w:rsidP="00C21496">
            <w:pPr>
              <w:pStyle w:val="Tabletext"/>
            </w:pPr>
            <w:r w:rsidRPr="00870A3E">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870A3E">
              <w:t>)</w:t>
            </w:r>
          </w:p>
          <w:p w14:paraId="7766AAD3" w14:textId="77777777" w:rsidR="00321DBE" w:rsidRPr="00C07794" w:rsidRDefault="00C07794" w:rsidP="00C21496">
            <w:pPr>
              <w:pStyle w:val="Tabletext"/>
              <w:rPr>
                <w:highlight w:val="black"/>
              </w:rPr>
            </w:pPr>
            <w:r>
              <w:rPr>
                <w:noProof/>
                <w:color w:val="000000"/>
                <w:highlight w:val="black"/>
              </w:rPr>
              <w:t>'''''''''''''' ''''''''''''''''' ''''''''''''''''''''' ''''''''''' '''''''''''''' ''''''' ''''''''' '''' ''''''''''' '''''''''''''''''''''' '''''''''''''''''''''' '''''''''' ''''''''''''''''' '''''''' '''''''' ''''''''''' '''''' ''''''''''''''''''' '''''''' '''''''''''' ''''''''''' '''''''''' '''''' '''''' ''''''''''''' ''''' ''''''''' ''''''''''''''''''' ''''''''''''''''''''' '''''''''' '''' ''''''''''''' ''''''''''' '''''' ''''''''''' '''''''''''</w:t>
            </w:r>
          </w:p>
        </w:tc>
      </w:tr>
      <w:tr w:rsidR="00321DBE" w:rsidRPr="00870A3E" w14:paraId="24265720" w14:textId="77777777" w:rsidTr="00321DBE">
        <w:tc>
          <w:tcPr>
            <w:tcW w:w="1555" w:type="dxa"/>
          </w:tcPr>
          <w:p w14:paraId="7B677E21" w14:textId="77777777" w:rsidR="00321DBE" w:rsidRPr="00870A3E" w:rsidRDefault="00321DBE" w:rsidP="00C21496">
            <w:pPr>
              <w:pStyle w:val="Tabletext"/>
            </w:pPr>
            <w:r w:rsidRPr="00870A3E">
              <w:t>Worsened WHO FC</w:t>
            </w:r>
          </w:p>
        </w:tc>
        <w:tc>
          <w:tcPr>
            <w:tcW w:w="1984" w:type="dxa"/>
            <w:tcBorders>
              <w:top w:val="single" w:sz="4" w:space="0" w:color="auto"/>
              <w:left w:val="single" w:sz="4" w:space="0" w:color="auto"/>
              <w:bottom w:val="single" w:sz="4" w:space="0" w:color="auto"/>
              <w:right w:val="single" w:sz="4" w:space="0" w:color="auto"/>
            </w:tcBorders>
          </w:tcPr>
          <w:p w14:paraId="4C5EB352" w14:textId="77777777" w:rsidR="00321DBE" w:rsidRPr="00870A3E" w:rsidRDefault="00321DBE" w:rsidP="00C21496">
            <w:pPr>
              <w:pStyle w:val="Tabletext"/>
            </w:pPr>
            <w:r w:rsidRPr="00870A3E">
              <w:t xml:space="preserve">PATENT-1 (riociguat) </w:t>
            </w:r>
          </w:p>
          <w:p w14:paraId="68122A07" w14:textId="77777777" w:rsidR="00321DBE" w:rsidRPr="00870A3E" w:rsidRDefault="00321DBE" w:rsidP="00C21496">
            <w:pPr>
              <w:pStyle w:val="Tabletext"/>
            </w:pPr>
            <w:r w:rsidRPr="00870A3E">
              <w:t>N=107</w:t>
            </w:r>
          </w:p>
        </w:tc>
        <w:tc>
          <w:tcPr>
            <w:tcW w:w="6095" w:type="dxa"/>
          </w:tcPr>
          <w:p w14:paraId="1BE33532" w14:textId="4D59482A" w:rsidR="00321DBE" w:rsidRPr="00870A3E" w:rsidRDefault="00321DBE" w:rsidP="00C21496">
            <w:pPr>
              <w:pStyle w:val="Tabletext"/>
            </w:pPr>
            <w:r w:rsidRPr="00870A3E">
              <w:t xml:space="preserve">High quality evidence (GRADE </w:t>
            </w:r>
            <w:r w:rsidR="00C220DD" w:rsidRPr="00C220DD">
              <w:rPr>
                <w:rFonts w:ascii="Cambria Math" w:hAnsi="Cambria Math" w:cs="Cambria Math"/>
                <w:color w:val="00B050"/>
              </w:rPr>
              <w:t>⨁⨁⨁⨁</w:t>
            </w:r>
            <w:r w:rsidRPr="00870A3E">
              <w:t>)</w:t>
            </w:r>
          </w:p>
          <w:p w14:paraId="767C9328" w14:textId="77777777" w:rsidR="00321DBE" w:rsidRPr="00C07794" w:rsidRDefault="00C07794" w:rsidP="00C21496">
            <w:pPr>
              <w:pStyle w:val="Tabletext"/>
              <w:rPr>
                <w:highlight w:val="black"/>
              </w:rPr>
            </w:pPr>
            <w:r>
              <w:rPr>
                <w:noProof/>
                <w:color w:val="000000"/>
                <w:highlight w:val="black"/>
              </w:rPr>
              <w:t>'''''''''''''''''''''''''''''' ''''''''''''' ''''''''''''''''''' ''''''''''''''' ''' ''''''''''' ''''''''''''''''''''''''' '''''''' ''''''''''''''''''''''' ''''' '''''''''' ''''''''''''' '''''' ''''''''''''''''''''''''' ''''''''' ''''''''''''''''' ''''''''''' ''' '''''''''''' '''''''''''' '''''' ''''''''''''' '''''''''''</w:t>
            </w:r>
          </w:p>
        </w:tc>
      </w:tr>
      <w:tr w:rsidR="00321DBE" w:rsidRPr="00870A3E" w14:paraId="56B1F9E4" w14:textId="77777777" w:rsidTr="00321DBE">
        <w:tc>
          <w:tcPr>
            <w:tcW w:w="1555" w:type="dxa"/>
          </w:tcPr>
          <w:p w14:paraId="6DE9282F" w14:textId="77777777" w:rsidR="00321DBE" w:rsidRPr="00870A3E" w:rsidRDefault="00321DBE" w:rsidP="00C21496">
            <w:pPr>
              <w:pStyle w:val="Tabletext"/>
            </w:pPr>
            <w:r w:rsidRPr="00870A3E">
              <w:t>Change in 6MWD from baseline</w:t>
            </w:r>
          </w:p>
        </w:tc>
        <w:tc>
          <w:tcPr>
            <w:tcW w:w="1984" w:type="dxa"/>
          </w:tcPr>
          <w:p w14:paraId="24B790CE" w14:textId="77777777" w:rsidR="00321DBE" w:rsidRPr="00870A3E" w:rsidRDefault="00321DBE" w:rsidP="00C21496">
            <w:pPr>
              <w:pStyle w:val="Tabletext"/>
            </w:pPr>
            <w:r w:rsidRPr="00870A3E">
              <w:t xml:space="preserve">PATENT-1 (riociguat) </w:t>
            </w:r>
          </w:p>
          <w:p w14:paraId="313B00E2" w14:textId="77777777" w:rsidR="00321DBE" w:rsidRPr="00870A3E" w:rsidRDefault="00321DBE" w:rsidP="00C21496">
            <w:pPr>
              <w:pStyle w:val="Tabletext"/>
            </w:pPr>
            <w:r w:rsidRPr="00870A3E">
              <w:t>N=107</w:t>
            </w:r>
          </w:p>
        </w:tc>
        <w:tc>
          <w:tcPr>
            <w:tcW w:w="6095" w:type="dxa"/>
          </w:tcPr>
          <w:p w14:paraId="3F9DB3F8" w14:textId="7B620219" w:rsidR="00321DBE" w:rsidRPr="00870A3E" w:rsidRDefault="00321DBE" w:rsidP="00C21496">
            <w:pPr>
              <w:pStyle w:val="Tabletext"/>
            </w:pPr>
            <w:r w:rsidRPr="00870A3E">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870A3E">
              <w:t>)</w:t>
            </w:r>
          </w:p>
          <w:p w14:paraId="200E1114" w14:textId="77777777" w:rsidR="00321DBE" w:rsidRPr="00C07794" w:rsidRDefault="00C07794" w:rsidP="00C21496">
            <w:pPr>
              <w:pStyle w:val="Tabletext"/>
              <w:rPr>
                <w:highlight w:val="black"/>
              </w:rPr>
            </w:pPr>
            <w:r>
              <w:rPr>
                <w:noProof/>
                <w:color w:val="000000"/>
                <w:highlight w:val="black"/>
              </w:rPr>
              <w:t>''''''''''''''''''''' '''''''''''''' ''' ''''''''''' '''''''''''''''''''''''' '''''''''' '''' ''''''''''''''' '''''''''''''' ''''''''''''''''''''''''''''' ''''' ''''''''''' '''''''''''''''' ''''''''''' '''''''''''''' '''''''''''''''' ''' '''''''''''''''''''''' '''''''' '''''''' ''''''''''''''''''''''''' ''''''''''' '''''''' ''''''''''''''''''' ''''''''''''''''''''' ''''''''''' '''' ''''''''''' ''''' ''''''''''''''''' ''''''''''''''''' '''''''''''' ''''' ''''''''''''''' '''''''''''''</w:t>
            </w:r>
          </w:p>
        </w:tc>
      </w:tr>
      <w:tr w:rsidR="00321DBE" w:rsidRPr="00870A3E" w14:paraId="7BF1E827" w14:textId="77777777" w:rsidTr="00321DBE">
        <w:trPr>
          <w:trHeight w:val="567"/>
        </w:trPr>
        <w:tc>
          <w:tcPr>
            <w:tcW w:w="1555" w:type="dxa"/>
          </w:tcPr>
          <w:p w14:paraId="04CC8091" w14:textId="77777777" w:rsidR="00321DBE" w:rsidRPr="00870A3E" w:rsidRDefault="00321DBE" w:rsidP="00C21496">
            <w:pPr>
              <w:pStyle w:val="Tabletext"/>
            </w:pPr>
            <w:r w:rsidRPr="00870A3E">
              <w:t>Change in QoL from baseline:</w:t>
            </w:r>
          </w:p>
          <w:p w14:paraId="346CDAE5" w14:textId="77777777" w:rsidR="00321DBE" w:rsidRPr="00870A3E" w:rsidRDefault="00321DBE" w:rsidP="00C21496">
            <w:pPr>
              <w:pStyle w:val="Tabletext"/>
            </w:pPr>
            <w:r w:rsidRPr="00870A3E">
              <w:t>EQ-5Da, LPHb</w:t>
            </w:r>
          </w:p>
        </w:tc>
        <w:tc>
          <w:tcPr>
            <w:tcW w:w="1984" w:type="dxa"/>
          </w:tcPr>
          <w:p w14:paraId="4F166113" w14:textId="77777777" w:rsidR="00321DBE" w:rsidRPr="00870A3E" w:rsidRDefault="00321DBE" w:rsidP="00C21496">
            <w:pPr>
              <w:pStyle w:val="Tabletext"/>
            </w:pPr>
            <w:r w:rsidRPr="00870A3E">
              <w:t xml:space="preserve">PATENT-1 (riociguat) </w:t>
            </w:r>
          </w:p>
          <w:p w14:paraId="28970699" w14:textId="77777777" w:rsidR="00321DBE" w:rsidRPr="00870A3E" w:rsidRDefault="00321DBE" w:rsidP="00C21496">
            <w:pPr>
              <w:pStyle w:val="Tabletext"/>
            </w:pPr>
            <w:r w:rsidRPr="00870A3E">
              <w:t>N=107</w:t>
            </w:r>
          </w:p>
        </w:tc>
        <w:tc>
          <w:tcPr>
            <w:tcW w:w="6095" w:type="dxa"/>
          </w:tcPr>
          <w:p w14:paraId="44E4D640" w14:textId="11719523" w:rsidR="00321DBE" w:rsidRPr="00870A3E" w:rsidRDefault="00321DBE" w:rsidP="00C21496">
            <w:pPr>
              <w:pStyle w:val="Tabletext"/>
            </w:pPr>
            <w:r w:rsidRPr="00870A3E">
              <w:t xml:space="preserve">High quality evidence (GRADE </w:t>
            </w:r>
            <w:r w:rsidR="00C220DD" w:rsidRPr="00C220DD">
              <w:rPr>
                <w:rFonts w:ascii="Cambria Math" w:hAnsi="Cambria Math" w:cs="Cambria Math"/>
                <w:color w:val="00B050"/>
              </w:rPr>
              <w:t>⨁⨁⨁⨁</w:t>
            </w:r>
            <w:r w:rsidRPr="00870A3E">
              <w:t>)</w:t>
            </w:r>
          </w:p>
          <w:p w14:paraId="19FC37B5" w14:textId="77777777" w:rsidR="00321DBE" w:rsidRPr="00C07794" w:rsidRDefault="00C07794" w:rsidP="00C21496">
            <w:pPr>
              <w:pStyle w:val="Tabletext"/>
              <w:rPr>
                <w:highlight w:val="black"/>
              </w:rPr>
            </w:pPr>
            <w:r>
              <w:rPr>
                <w:noProof/>
                <w:color w:val="000000"/>
                <w:highlight w:val="black"/>
              </w:rPr>
              <w:t>''''''''''''''''''''' '''''''''''''' '''' '''''''''''' ''''''''''''''''''''''' '''''''' ''' ''''''''''''' '''''''''''''' ''''''''''''''''''''''''''''''' ''''' ''''''''''' ''''''''' ''''''''''' ''''''''''''' '''''''''''''' '''' ''''''''''''''''' '''''''''''''''''' '''''''' '''' ''''''''''''' ''''''''''' '''''''''''''''''''''''''''''''' ''''''''''' '''''''' '''' '''''''''''' '''''''''''' ''''''''''''''''''''''''''''''''''</w:t>
            </w:r>
          </w:p>
        </w:tc>
      </w:tr>
      <w:tr w:rsidR="00321DBE" w:rsidRPr="009F466A" w14:paraId="271A04A4" w14:textId="77777777" w:rsidTr="00321DBE">
        <w:trPr>
          <w:trHeight w:val="726"/>
        </w:trPr>
        <w:tc>
          <w:tcPr>
            <w:tcW w:w="1555" w:type="dxa"/>
            <w:tcBorders>
              <w:top w:val="single" w:sz="4" w:space="0" w:color="auto"/>
              <w:left w:val="single" w:sz="4" w:space="0" w:color="auto"/>
              <w:bottom w:val="single" w:sz="4" w:space="0" w:color="auto"/>
              <w:right w:val="single" w:sz="4" w:space="0" w:color="auto"/>
            </w:tcBorders>
          </w:tcPr>
          <w:p w14:paraId="0A64125D" w14:textId="77777777" w:rsidR="00321DBE" w:rsidRPr="00870A3E" w:rsidRDefault="00321DBE" w:rsidP="00C21496">
            <w:pPr>
              <w:pStyle w:val="Tabletext"/>
            </w:pPr>
            <w:r w:rsidRPr="00870A3E">
              <w:t>Change in haemodynamic parameters from baseline:</w:t>
            </w:r>
          </w:p>
          <w:p w14:paraId="3C21265E" w14:textId="77777777" w:rsidR="00321DBE" w:rsidRPr="00870A3E" w:rsidRDefault="00321DBE" w:rsidP="00C21496">
            <w:pPr>
              <w:pStyle w:val="Tabletext"/>
            </w:pPr>
            <w:r w:rsidRPr="00870A3E">
              <w:t>PVR</w:t>
            </w:r>
          </w:p>
        </w:tc>
        <w:tc>
          <w:tcPr>
            <w:tcW w:w="1984" w:type="dxa"/>
            <w:tcBorders>
              <w:top w:val="single" w:sz="4" w:space="0" w:color="auto"/>
              <w:left w:val="single" w:sz="4" w:space="0" w:color="auto"/>
              <w:bottom w:val="single" w:sz="4" w:space="0" w:color="auto"/>
              <w:right w:val="single" w:sz="4" w:space="0" w:color="auto"/>
            </w:tcBorders>
          </w:tcPr>
          <w:p w14:paraId="5EC9C0E8" w14:textId="77777777" w:rsidR="00321DBE" w:rsidRPr="00870A3E" w:rsidRDefault="00321DBE" w:rsidP="00C21496">
            <w:pPr>
              <w:pStyle w:val="Tabletext"/>
            </w:pPr>
            <w:r w:rsidRPr="00870A3E">
              <w:t xml:space="preserve">PATENT-1 (riociguat) </w:t>
            </w:r>
          </w:p>
          <w:p w14:paraId="7CFA7F89" w14:textId="77777777" w:rsidR="00321DBE" w:rsidRPr="00870A3E" w:rsidRDefault="00321DBE" w:rsidP="00C21496">
            <w:pPr>
              <w:pStyle w:val="Tabletext"/>
            </w:pPr>
            <w:r w:rsidRPr="00870A3E">
              <w:t>N=107</w:t>
            </w:r>
          </w:p>
        </w:tc>
        <w:tc>
          <w:tcPr>
            <w:tcW w:w="6095" w:type="dxa"/>
          </w:tcPr>
          <w:p w14:paraId="30FBA341" w14:textId="2759273B" w:rsidR="00321DBE" w:rsidRPr="00870A3E" w:rsidRDefault="00321DBE" w:rsidP="00C21496">
            <w:pPr>
              <w:pStyle w:val="Tabletext"/>
            </w:pPr>
            <w:r w:rsidRPr="00870A3E">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870A3E">
              <w:t>)</w:t>
            </w:r>
          </w:p>
          <w:p w14:paraId="40B2D173" w14:textId="77777777" w:rsidR="00321DBE" w:rsidRPr="00C07794" w:rsidRDefault="00C07794" w:rsidP="00C21496">
            <w:pPr>
              <w:pStyle w:val="Tabletext"/>
              <w:rPr>
                <w:highlight w:val="black"/>
              </w:rPr>
            </w:pPr>
            <w:r>
              <w:rPr>
                <w:noProof/>
                <w:color w:val="000000"/>
                <w:highlight w:val="black"/>
              </w:rPr>
              <w:t>''''''''''''''''''' '''''''''''''' '''' '''''''''''' ''''''''''''''''''''''''' ''''''''' '''' '''''''''''''' ''''''''''''' ''''''''''''''''''''''''''''''''' ''''' '''''''''' '''''''''' '''''''''''' '''''''''''' '''''''''''''''' ''' ''''''''''''''''''' ''''''''' ''' ''''''''''''''''' '''''''''''''''''''''''''''''''' ''''''''''' '''' ''''''''''''''''''' ''''''''''''''''''''' '''''''''''''''''''''''''''</w:t>
            </w:r>
          </w:p>
        </w:tc>
      </w:tr>
    </w:tbl>
    <w:p w14:paraId="2C30D594" w14:textId="77777777" w:rsidR="00321DBE" w:rsidRPr="00532B79" w:rsidRDefault="00321DBE" w:rsidP="00C21496">
      <w:pPr>
        <w:pStyle w:val="Tablenote"/>
        <w:jc w:val="left"/>
      </w:pPr>
      <w:r w:rsidRPr="00532B79">
        <w:t>a EQ-5D utility scores range from −0.59 to 1.00. A higher score represents better QoL.</w:t>
      </w:r>
    </w:p>
    <w:p w14:paraId="687E6BF9" w14:textId="77777777" w:rsidR="00321DBE" w:rsidRPr="00532B79" w:rsidRDefault="00321DBE" w:rsidP="00C21496">
      <w:pPr>
        <w:pStyle w:val="Tablenote"/>
        <w:jc w:val="left"/>
      </w:pPr>
      <w:r w:rsidRPr="00532B79">
        <w:t>b LPH total scores range from 0 to 105. A higher score indicates poorer QoL.</w:t>
      </w:r>
    </w:p>
    <w:p w14:paraId="55012E29" w14:textId="77777777" w:rsidR="00321DBE" w:rsidRPr="00532B79" w:rsidRDefault="00321DBE" w:rsidP="00C21496">
      <w:pPr>
        <w:pStyle w:val="Tablenote"/>
        <w:jc w:val="left"/>
      </w:pPr>
      <w:r w:rsidRPr="00532B79">
        <w:t>6MWD = 6-minute walk distance; ARD = absolute risk difference; CI = confidence interval; EQ-5D = EuroQol 5dimension; ERA = endothelin receptor antagonist; FC = functional class; GRADE = grading of recommendations assessment, development and evaluation</w:t>
      </w:r>
      <w:r w:rsidRPr="009F3FA8">
        <w:rPr>
          <w:vertAlign w:val="superscript"/>
        </w:rPr>
        <w:t>1</w:t>
      </w:r>
      <w:r w:rsidRPr="00532B79">
        <w:t>; LPH = living with pulmonary hypertension; MD = mean difference; PVR = pulmonary vascular resistance; QoL = quality of life; RR = relative risk; sGC = soluble guanylate cyclase; WHO = World Health Organization</w:t>
      </w:r>
    </w:p>
    <w:p w14:paraId="2954BAA8" w14:textId="77777777" w:rsidR="0016033A" w:rsidRPr="0016033A" w:rsidRDefault="0016033A" w:rsidP="00C21496">
      <w:pPr>
        <w:pStyle w:val="Heading5"/>
        <w:keepLines w:val="0"/>
        <w:numPr>
          <w:ilvl w:val="0"/>
          <w:numId w:val="0"/>
        </w:numPr>
        <w:spacing w:before="240"/>
        <w:jc w:val="left"/>
        <w:rPr>
          <w:color w:val="auto"/>
          <w:u w:val="single"/>
        </w:rPr>
      </w:pPr>
      <w:r w:rsidRPr="0016033A">
        <w:rPr>
          <w:color w:val="auto"/>
          <w:u w:val="single"/>
        </w:rPr>
        <w:t>Safety</w:t>
      </w:r>
    </w:p>
    <w:p w14:paraId="328977C1" w14:textId="77777777" w:rsidR="00321DBE" w:rsidRPr="009F466A" w:rsidRDefault="00321DBE" w:rsidP="00C21496">
      <w:pPr>
        <w:jc w:val="left"/>
      </w:pPr>
      <w:r w:rsidRPr="009F466A">
        <w:t>There was no evidence available to evaluate the comparative safety of a sGC stimulator versus placebo when used to treat patients with WHO FC I/II PAH.</w:t>
      </w:r>
    </w:p>
    <w:p w14:paraId="5EC3EDD8" w14:textId="77777777" w:rsidR="00532B79" w:rsidRPr="00D228A6" w:rsidRDefault="00532B79" w:rsidP="00C21496">
      <w:pPr>
        <w:pStyle w:val="ToRText"/>
        <w:shd w:val="clear" w:color="auto" w:fill="F2F2F2" w:themeFill="background1" w:themeFillShade="F2"/>
        <w:rPr>
          <w:b w:val="0"/>
          <w:color w:val="auto"/>
        </w:rPr>
      </w:pPr>
      <w:bookmarkStart w:id="68" w:name="_Toc508396549"/>
      <w:r w:rsidRPr="00532B79">
        <w:rPr>
          <w:b w:val="0"/>
          <w:color w:val="auto"/>
          <w:shd w:val="clear" w:color="auto" w:fill="F2F2F2" w:themeFill="background1" w:themeFillShade="F2"/>
        </w:rPr>
        <w:lastRenderedPageBreak/>
        <w:t>Q2.</w:t>
      </w:r>
      <w:r w:rsidRPr="00532B79">
        <w:rPr>
          <w:b w:val="0"/>
          <w:color w:val="auto"/>
          <w:shd w:val="clear" w:color="auto" w:fill="F2F2F2" w:themeFill="background1" w:themeFillShade="F2"/>
        </w:rPr>
        <w:tab/>
        <w:t>What is the new evidence concerning the effectiveness and safety of monotherapy with a PAH medicine, compared to the main comparator accepted by the PBAC, in patients with WHO FC III or IV PAH, that has not previously been considered by the PBAC?</w:t>
      </w:r>
    </w:p>
    <w:p w14:paraId="1D88634B" w14:textId="77777777" w:rsidR="00321DBE" w:rsidRPr="009F466A" w:rsidRDefault="00321DBE" w:rsidP="00C21496">
      <w:pPr>
        <w:pStyle w:val="Heading3"/>
        <w:jc w:val="left"/>
      </w:pPr>
      <w:bookmarkStart w:id="69" w:name="_Toc526944007"/>
      <w:r w:rsidRPr="009F466A">
        <w:t>Evidence of effectiveness and safety of monotherapy in WHO FC III or IV PAH not previously considered by the PBAC</w:t>
      </w:r>
      <w:bookmarkEnd w:id="68"/>
      <w:bookmarkEnd w:id="69"/>
    </w:p>
    <w:p w14:paraId="1455F656" w14:textId="77777777" w:rsidR="00321DBE" w:rsidRDefault="00321DBE" w:rsidP="00C21496">
      <w:pPr>
        <w:jc w:val="left"/>
      </w:pPr>
      <w:r w:rsidRPr="009F466A">
        <w:t xml:space="preserve">There was no new evidence concerning the effectiveness or safety of monotherapy with a PAH medicine, compared to the main comparator accepted by the PBAC, in patients with WHO FC III or IV PAH. </w:t>
      </w:r>
      <w:r w:rsidRPr="005E71F8">
        <w:t>The evidentiary basis for PBAC’s positive recommendation of the listing of these PAH medicines is summarised in</w:t>
      </w:r>
      <w:r w:rsidR="005E71F8">
        <w:t xml:space="preserve"> </w:t>
      </w:r>
      <w:r w:rsidR="00CC79E1">
        <w:t>Table ES.</w:t>
      </w:r>
      <w:r w:rsidR="00CC79E1">
        <w:rPr>
          <w:noProof/>
        </w:rPr>
        <w:t>8</w:t>
      </w:r>
      <w:r w:rsidR="009F3FA8">
        <w:t>.</w:t>
      </w:r>
    </w:p>
    <w:p w14:paraId="40D7FCA9" w14:textId="77777777" w:rsidR="00EE3506" w:rsidRPr="00925895" w:rsidRDefault="00EE3506" w:rsidP="00925895">
      <w:pPr>
        <w:pStyle w:val="Caption"/>
      </w:pPr>
      <w:bookmarkStart w:id="70" w:name="_Ref505872617"/>
      <w:bookmarkStart w:id="71" w:name="_Toc512855408"/>
      <w:r w:rsidRPr="00925895">
        <w:t xml:space="preserve">Table </w:t>
      </w:r>
      <w:r w:rsidR="0024496B" w:rsidRPr="00925895">
        <w:t>ES</w:t>
      </w:r>
      <w:r w:rsidRPr="00925895">
        <w:t>.</w:t>
      </w:r>
      <w:bookmarkEnd w:id="70"/>
      <w:r w:rsidR="0024496B" w:rsidRPr="00925895">
        <w:t>8</w:t>
      </w:r>
      <w:r w:rsidRPr="00925895">
        <w:tab/>
        <w:t>Summary of evidence for monotherapy in patients with PAH in WHO FC III or IV</w:t>
      </w:r>
      <w:bookmarkEnd w:id="71"/>
    </w:p>
    <w:tbl>
      <w:tblPr>
        <w:tblStyle w:val="TableGrid"/>
        <w:tblW w:w="9634" w:type="dxa"/>
        <w:tblLayout w:type="fixed"/>
        <w:tblLook w:val="04A0" w:firstRow="1" w:lastRow="0" w:firstColumn="1" w:lastColumn="0" w:noHBand="0" w:noVBand="1"/>
        <w:tblCaption w:val="Summary of evidence for monotherapy in patients with PAH in WHO FC III or IV"/>
      </w:tblPr>
      <w:tblGrid>
        <w:gridCol w:w="1242"/>
        <w:gridCol w:w="88"/>
        <w:gridCol w:w="338"/>
        <w:gridCol w:w="141"/>
        <w:gridCol w:w="851"/>
        <w:gridCol w:w="2359"/>
        <w:gridCol w:w="1417"/>
        <w:gridCol w:w="3198"/>
      </w:tblGrid>
      <w:tr w:rsidR="00EE3506" w:rsidRPr="00EB1471" w14:paraId="31EF1597" w14:textId="77777777" w:rsidTr="001F2E47">
        <w:trPr>
          <w:tblHeader/>
        </w:trPr>
        <w:tc>
          <w:tcPr>
            <w:tcW w:w="1242" w:type="dxa"/>
            <w:tcBorders>
              <w:bottom w:val="single" w:sz="4" w:space="0" w:color="auto"/>
            </w:tcBorders>
          </w:tcPr>
          <w:p w14:paraId="3904BACF" w14:textId="77777777" w:rsidR="00EE3506" w:rsidRPr="00EB1471" w:rsidRDefault="00EE3506" w:rsidP="00644E07">
            <w:pPr>
              <w:pStyle w:val="Tabletext"/>
              <w:rPr>
                <w:b/>
                <w:szCs w:val="18"/>
              </w:rPr>
            </w:pPr>
            <w:r w:rsidRPr="00EB1471">
              <w:rPr>
                <w:b/>
                <w:szCs w:val="18"/>
              </w:rPr>
              <w:t>PBAC meeting</w:t>
            </w:r>
          </w:p>
        </w:tc>
        <w:tc>
          <w:tcPr>
            <w:tcW w:w="1418" w:type="dxa"/>
            <w:gridSpan w:val="4"/>
            <w:tcBorders>
              <w:bottom w:val="single" w:sz="4" w:space="0" w:color="auto"/>
            </w:tcBorders>
          </w:tcPr>
          <w:p w14:paraId="057F61C2" w14:textId="77777777" w:rsidR="00EE3506" w:rsidRDefault="00EE3506" w:rsidP="00644E07">
            <w:pPr>
              <w:pStyle w:val="Tabletext"/>
              <w:rPr>
                <w:b/>
                <w:szCs w:val="18"/>
              </w:rPr>
            </w:pPr>
            <w:r w:rsidRPr="008D1AEA">
              <w:rPr>
                <w:b/>
                <w:szCs w:val="18"/>
              </w:rPr>
              <w:t>PBS res</w:t>
            </w:r>
            <w:r>
              <w:rPr>
                <w:b/>
                <w:szCs w:val="18"/>
              </w:rPr>
              <w:t>t</w:t>
            </w:r>
            <w:r w:rsidRPr="008D1AEA">
              <w:rPr>
                <w:b/>
                <w:szCs w:val="18"/>
              </w:rPr>
              <w:t>rictions</w:t>
            </w:r>
          </w:p>
        </w:tc>
        <w:tc>
          <w:tcPr>
            <w:tcW w:w="2359" w:type="dxa"/>
            <w:tcBorders>
              <w:bottom w:val="single" w:sz="4" w:space="0" w:color="auto"/>
            </w:tcBorders>
          </w:tcPr>
          <w:p w14:paraId="02D5F8B1" w14:textId="77777777" w:rsidR="00EE3506" w:rsidRPr="00EB1471" w:rsidRDefault="00EE3506" w:rsidP="00644E07">
            <w:pPr>
              <w:pStyle w:val="Tabletext"/>
              <w:rPr>
                <w:b/>
                <w:szCs w:val="18"/>
              </w:rPr>
            </w:pPr>
            <w:r>
              <w:rPr>
                <w:b/>
                <w:szCs w:val="18"/>
              </w:rPr>
              <w:t>Head-to-head trials / Indirect comparison</w:t>
            </w:r>
          </w:p>
        </w:tc>
        <w:tc>
          <w:tcPr>
            <w:tcW w:w="1417" w:type="dxa"/>
            <w:tcBorders>
              <w:bottom w:val="single" w:sz="4" w:space="0" w:color="auto"/>
            </w:tcBorders>
          </w:tcPr>
          <w:p w14:paraId="65B24E07" w14:textId="77777777" w:rsidR="00EE3506" w:rsidRPr="00EB1471" w:rsidRDefault="00EE3506" w:rsidP="00644E07">
            <w:pPr>
              <w:pStyle w:val="Tabletext"/>
              <w:rPr>
                <w:b/>
                <w:szCs w:val="18"/>
              </w:rPr>
            </w:pPr>
            <w:r>
              <w:rPr>
                <w:b/>
                <w:szCs w:val="18"/>
              </w:rPr>
              <w:t>Comparison</w:t>
            </w:r>
          </w:p>
        </w:tc>
        <w:tc>
          <w:tcPr>
            <w:tcW w:w="3198" w:type="dxa"/>
            <w:tcBorders>
              <w:bottom w:val="single" w:sz="4" w:space="0" w:color="auto"/>
            </w:tcBorders>
          </w:tcPr>
          <w:p w14:paraId="04685770" w14:textId="77777777" w:rsidR="00EE3506" w:rsidRPr="00EB1471" w:rsidRDefault="00EE3506" w:rsidP="00644E07">
            <w:pPr>
              <w:pStyle w:val="Tabletext"/>
              <w:rPr>
                <w:b/>
                <w:szCs w:val="18"/>
              </w:rPr>
            </w:pPr>
            <w:r>
              <w:rPr>
                <w:b/>
                <w:szCs w:val="18"/>
              </w:rPr>
              <w:t>Summary of evidence</w:t>
            </w:r>
          </w:p>
        </w:tc>
      </w:tr>
      <w:tr w:rsidR="00406F77" w:rsidRPr="00025547" w14:paraId="371CA82E" w14:textId="77777777" w:rsidTr="005F2F5B">
        <w:tc>
          <w:tcPr>
            <w:tcW w:w="1330" w:type="dxa"/>
            <w:gridSpan w:val="2"/>
            <w:shd w:val="clear" w:color="auto" w:fill="000000" w:themeFill="text1"/>
          </w:tcPr>
          <w:p w14:paraId="3C1C1AA5" w14:textId="77777777" w:rsidR="00406F77" w:rsidRPr="00025547" w:rsidRDefault="00406F77" w:rsidP="00644E07">
            <w:pPr>
              <w:pStyle w:val="Tabletext"/>
              <w:rPr>
                <w:b/>
                <w:color w:val="FFFFFF" w:themeColor="background1"/>
                <w:szCs w:val="18"/>
              </w:rPr>
            </w:pPr>
            <w:r>
              <w:rPr>
                <w:b/>
                <w:color w:val="FFFFFF" w:themeColor="background1"/>
                <w:szCs w:val="18"/>
              </w:rPr>
              <w:t>Bosentan</w:t>
            </w:r>
          </w:p>
        </w:tc>
        <w:tc>
          <w:tcPr>
            <w:tcW w:w="1330" w:type="dxa"/>
            <w:gridSpan w:val="3"/>
            <w:shd w:val="clear" w:color="auto" w:fill="000000" w:themeFill="text1"/>
          </w:tcPr>
          <w:p w14:paraId="1D370F26" w14:textId="77777777" w:rsidR="00406F77" w:rsidRPr="00406F77" w:rsidRDefault="00406F77" w:rsidP="00644E07">
            <w:pPr>
              <w:pStyle w:val="Tabletext"/>
              <w:rPr>
                <w:b/>
                <w:color w:val="FFFFFF" w:themeColor="background1"/>
                <w:szCs w:val="18"/>
                <w:highlight w:val="black"/>
              </w:rPr>
            </w:pPr>
          </w:p>
        </w:tc>
        <w:tc>
          <w:tcPr>
            <w:tcW w:w="2359" w:type="dxa"/>
            <w:shd w:val="clear" w:color="auto" w:fill="000000" w:themeFill="text1"/>
          </w:tcPr>
          <w:p w14:paraId="644CEB29" w14:textId="77777777" w:rsidR="00406F77" w:rsidRPr="00406F77" w:rsidRDefault="00406F77" w:rsidP="00644E07">
            <w:pPr>
              <w:pStyle w:val="Tabletext"/>
              <w:rPr>
                <w:b/>
                <w:color w:val="FFFFFF" w:themeColor="background1"/>
                <w:szCs w:val="18"/>
                <w:highlight w:val="black"/>
              </w:rPr>
            </w:pPr>
          </w:p>
        </w:tc>
        <w:tc>
          <w:tcPr>
            <w:tcW w:w="1417" w:type="dxa"/>
            <w:shd w:val="clear" w:color="auto" w:fill="000000" w:themeFill="text1"/>
          </w:tcPr>
          <w:p w14:paraId="75E6733C" w14:textId="77777777" w:rsidR="00406F77" w:rsidRPr="00025547" w:rsidRDefault="00406F77" w:rsidP="00644E07">
            <w:pPr>
              <w:pStyle w:val="Tabletext"/>
              <w:rPr>
                <w:b/>
                <w:color w:val="FFFFFF" w:themeColor="background1"/>
                <w:szCs w:val="18"/>
              </w:rPr>
            </w:pPr>
          </w:p>
        </w:tc>
        <w:tc>
          <w:tcPr>
            <w:tcW w:w="3198" w:type="dxa"/>
            <w:shd w:val="clear" w:color="auto" w:fill="000000" w:themeFill="text1"/>
          </w:tcPr>
          <w:p w14:paraId="24DFC1DB" w14:textId="77777777" w:rsidR="00406F77" w:rsidRPr="00025547" w:rsidRDefault="00406F77" w:rsidP="00644E07">
            <w:pPr>
              <w:pStyle w:val="Tabletext"/>
              <w:rPr>
                <w:b/>
                <w:color w:val="FFFFFF" w:themeColor="background1"/>
                <w:szCs w:val="18"/>
              </w:rPr>
            </w:pPr>
          </w:p>
        </w:tc>
      </w:tr>
      <w:tr w:rsidR="00EE3506" w:rsidRPr="00EB1471" w14:paraId="11D94A0F" w14:textId="77777777" w:rsidTr="001F2E47">
        <w:tc>
          <w:tcPr>
            <w:tcW w:w="1242" w:type="dxa"/>
          </w:tcPr>
          <w:p w14:paraId="616CBA56" w14:textId="77777777" w:rsidR="00EE3506" w:rsidRPr="0049771F" w:rsidRDefault="00EE3506" w:rsidP="00644E07">
            <w:pPr>
              <w:pStyle w:val="Tabletext"/>
              <w:rPr>
                <w:szCs w:val="18"/>
              </w:rPr>
            </w:pPr>
            <w:r w:rsidRPr="0049771F">
              <w:rPr>
                <w:szCs w:val="18"/>
              </w:rPr>
              <w:t>December 2003</w:t>
            </w:r>
          </w:p>
        </w:tc>
        <w:tc>
          <w:tcPr>
            <w:tcW w:w="1418" w:type="dxa"/>
            <w:gridSpan w:val="4"/>
          </w:tcPr>
          <w:p w14:paraId="233555FA" w14:textId="77777777" w:rsidR="00EE3506" w:rsidRPr="0049771F" w:rsidRDefault="00EE3506" w:rsidP="00644E07">
            <w:pPr>
              <w:pStyle w:val="Tabletext"/>
              <w:rPr>
                <w:szCs w:val="18"/>
              </w:rPr>
            </w:pPr>
            <w:r w:rsidRPr="0049771F">
              <w:t>WHO FC III/IV IPAH and PAH associated with scleroderma</w:t>
            </w:r>
          </w:p>
        </w:tc>
        <w:tc>
          <w:tcPr>
            <w:tcW w:w="2359" w:type="dxa"/>
          </w:tcPr>
          <w:p w14:paraId="50301E67" w14:textId="77777777" w:rsidR="00EE3506" w:rsidRPr="00C07794" w:rsidRDefault="00C07794" w:rsidP="00644E07">
            <w:pPr>
              <w:pStyle w:val="Tabletext"/>
              <w:rPr>
                <w:szCs w:val="18"/>
                <w:highlight w:val="black"/>
              </w:rPr>
            </w:pPr>
            <w:r>
              <w:rPr>
                <w:noProof/>
                <w:color w:val="000000"/>
                <w:szCs w:val="18"/>
                <w:highlight w:val="black"/>
              </w:rPr>
              <w:t>'''' ''''''''''''''''''''''''''''''''''' ''''''''''''''' '''''''''''''''''''''''''' '''''''''''''''''''''''' ''''''''' '''''''''''''''''''</w:t>
            </w:r>
          </w:p>
          <w:p w14:paraId="610B334D" w14:textId="77777777" w:rsidR="00EE3506" w:rsidRPr="00C07794" w:rsidRDefault="00C07794" w:rsidP="00C07794">
            <w:pPr>
              <w:pStyle w:val="Tabletext"/>
              <w:spacing w:before="20" w:after="20"/>
              <w:ind w:left="425" w:hanging="283"/>
              <w:rPr>
                <w:szCs w:val="18"/>
                <w:highlight w:val="black"/>
              </w:rPr>
            </w:pP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p>
          <w:p w14:paraId="05BC01AB" w14:textId="77777777" w:rsidR="00EE3506" w:rsidRPr="00C07794" w:rsidRDefault="00C07794" w:rsidP="00C07794">
            <w:pPr>
              <w:pStyle w:val="Tabletext"/>
              <w:spacing w:before="20" w:after="20"/>
              <w:ind w:left="425" w:hanging="283"/>
              <w:rPr>
                <w:szCs w:val="18"/>
                <w:highlight w:val="black"/>
                <w:u w:val="single"/>
              </w:rPr>
            </w:pP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r>
              <w:rPr>
                <w:rFonts w:ascii="Symbol" w:hAnsi="Symbol"/>
                <w:noProof/>
                <w:color w:val="000000"/>
                <w:szCs w:val="18"/>
                <w:highlight w:val="black"/>
              </w:rPr>
              <w:t></w:t>
            </w:r>
          </w:p>
        </w:tc>
        <w:tc>
          <w:tcPr>
            <w:tcW w:w="1417" w:type="dxa"/>
          </w:tcPr>
          <w:p w14:paraId="1898B7CB" w14:textId="77777777" w:rsidR="00EE3506" w:rsidRPr="00C07794" w:rsidRDefault="00C07794" w:rsidP="00644E07">
            <w:pPr>
              <w:pStyle w:val="Tabletext"/>
              <w:rPr>
                <w:szCs w:val="18"/>
                <w:highlight w:val="black"/>
              </w:rPr>
            </w:pPr>
            <w:r>
              <w:rPr>
                <w:noProof/>
                <w:color w:val="000000"/>
                <w:szCs w:val="18"/>
                <w:highlight w:val="black"/>
              </w:rPr>
              <w:t>'''''''''''''''''''''''' '''''' ''''''''''''''''''''</w:t>
            </w:r>
          </w:p>
        </w:tc>
        <w:tc>
          <w:tcPr>
            <w:tcW w:w="3198" w:type="dxa"/>
          </w:tcPr>
          <w:p w14:paraId="35CFA2D7" w14:textId="77777777" w:rsidR="00EE3506" w:rsidRPr="00C07794" w:rsidRDefault="00C07794" w:rsidP="00C07794">
            <w:pPr>
              <w:pStyle w:val="Tabletext"/>
              <w:spacing w:before="20" w:after="20"/>
              <w:ind w:left="227" w:hanging="227"/>
              <w:rPr>
                <w:sz w:val="12"/>
                <w:szCs w:val="12"/>
                <w:highlight w:val="black"/>
              </w:rPr>
            </w:pP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p>
          <w:p w14:paraId="79A6DF81" w14:textId="77777777" w:rsidR="00EE3506" w:rsidRPr="00C07794" w:rsidRDefault="00C07794" w:rsidP="00C07794">
            <w:pPr>
              <w:pStyle w:val="Tabletext"/>
              <w:spacing w:before="20" w:after="20"/>
              <w:ind w:left="227" w:hanging="227"/>
              <w:rPr>
                <w:sz w:val="12"/>
                <w:szCs w:val="12"/>
                <w:highlight w:val="black"/>
              </w:rPr>
            </w:pP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r w:rsidRPr="00C07794">
              <w:rPr>
                <w:rFonts w:ascii="Symbol" w:hAnsi="Symbol"/>
                <w:noProof/>
                <w:color w:val="000000"/>
                <w:sz w:val="12"/>
                <w:szCs w:val="12"/>
                <w:highlight w:val="black"/>
              </w:rPr>
              <w:t></w:t>
            </w:r>
          </w:p>
        </w:tc>
      </w:tr>
      <w:tr w:rsidR="00EE3506" w:rsidRPr="00EB1471" w14:paraId="595D0CD0" w14:textId="77777777" w:rsidTr="001F2E47">
        <w:tc>
          <w:tcPr>
            <w:tcW w:w="1242" w:type="dxa"/>
            <w:tcBorders>
              <w:bottom w:val="single" w:sz="4" w:space="0" w:color="auto"/>
            </w:tcBorders>
          </w:tcPr>
          <w:p w14:paraId="57FACE08" w14:textId="77777777" w:rsidR="00EE3506" w:rsidRPr="00EB1471" w:rsidRDefault="00EE3506" w:rsidP="00644E07">
            <w:pPr>
              <w:pStyle w:val="Tabletext"/>
              <w:rPr>
                <w:szCs w:val="18"/>
              </w:rPr>
            </w:pPr>
            <w:r w:rsidRPr="00EB1471">
              <w:rPr>
                <w:szCs w:val="18"/>
              </w:rPr>
              <w:t>March 2008</w:t>
            </w:r>
          </w:p>
        </w:tc>
        <w:tc>
          <w:tcPr>
            <w:tcW w:w="1418" w:type="dxa"/>
            <w:gridSpan w:val="4"/>
            <w:tcBorders>
              <w:bottom w:val="single" w:sz="4" w:space="0" w:color="auto"/>
            </w:tcBorders>
          </w:tcPr>
          <w:p w14:paraId="4BBEE5AB" w14:textId="77777777" w:rsidR="00EE3506" w:rsidRPr="00EB1471" w:rsidRDefault="00EE3506" w:rsidP="00644E07">
            <w:pPr>
              <w:pStyle w:val="Tabletext"/>
              <w:rPr>
                <w:szCs w:val="18"/>
              </w:rPr>
            </w:pPr>
            <w:r>
              <w:t xml:space="preserve">WHO FC III/IV </w:t>
            </w:r>
            <w:r w:rsidRPr="00987BC5">
              <w:t>PAH</w:t>
            </w:r>
            <w:r>
              <w:t>-CHD</w:t>
            </w:r>
          </w:p>
        </w:tc>
        <w:tc>
          <w:tcPr>
            <w:tcW w:w="2359" w:type="dxa"/>
            <w:tcBorders>
              <w:bottom w:val="single" w:sz="4" w:space="0" w:color="auto"/>
            </w:tcBorders>
          </w:tcPr>
          <w:p w14:paraId="757DA603" w14:textId="77777777" w:rsidR="00EE3506" w:rsidRPr="00EB1471" w:rsidRDefault="00EE3506" w:rsidP="00644E07">
            <w:pPr>
              <w:pStyle w:val="Tabletext"/>
              <w:rPr>
                <w:szCs w:val="18"/>
              </w:rPr>
            </w:pPr>
            <w:r w:rsidRPr="00EB1471">
              <w:rPr>
                <w:szCs w:val="18"/>
              </w:rPr>
              <w:t xml:space="preserve">1 </w:t>
            </w:r>
            <w:r>
              <w:rPr>
                <w:szCs w:val="18"/>
              </w:rPr>
              <w:t xml:space="preserve">head-to-head </w:t>
            </w:r>
            <w:r w:rsidRPr="00EB1471">
              <w:rPr>
                <w:szCs w:val="18"/>
              </w:rPr>
              <w:t xml:space="preserve">RCT comparing </w:t>
            </w:r>
            <w:r w:rsidRPr="001A5334">
              <w:rPr>
                <w:szCs w:val="18"/>
              </w:rPr>
              <w:t>bosentan with placebo</w:t>
            </w:r>
            <w:r w:rsidRPr="00EB1471">
              <w:rPr>
                <w:szCs w:val="18"/>
              </w:rPr>
              <w:t>:</w:t>
            </w:r>
          </w:p>
          <w:p w14:paraId="7056B992" w14:textId="77777777" w:rsidR="00EE3506" w:rsidRPr="00EB1471" w:rsidRDefault="00EE3506" w:rsidP="00EE3506">
            <w:pPr>
              <w:pStyle w:val="Tabletext"/>
              <w:numPr>
                <w:ilvl w:val="0"/>
                <w:numId w:val="59"/>
              </w:numPr>
              <w:spacing w:before="20" w:after="20"/>
              <w:ind w:left="425" w:hanging="283"/>
              <w:rPr>
                <w:caps/>
                <w:color w:val="000000"/>
                <w:spacing w:val="5"/>
                <w:kern w:val="28"/>
                <w:szCs w:val="18"/>
                <w:u w:val="single"/>
              </w:rPr>
            </w:pPr>
            <w:r w:rsidRPr="00EB1471">
              <w:rPr>
                <w:szCs w:val="18"/>
              </w:rPr>
              <w:t xml:space="preserve">BREATHE-5 </w:t>
            </w:r>
            <w:r w:rsidRPr="001D34EE">
              <w:rPr>
                <w:noProof/>
                <w:szCs w:val="18"/>
                <w:vertAlign w:val="superscript"/>
              </w:rPr>
              <w:t>5</w:t>
            </w:r>
          </w:p>
        </w:tc>
        <w:tc>
          <w:tcPr>
            <w:tcW w:w="1417" w:type="dxa"/>
            <w:tcBorders>
              <w:bottom w:val="single" w:sz="4" w:space="0" w:color="auto"/>
            </w:tcBorders>
          </w:tcPr>
          <w:p w14:paraId="4A1A193D" w14:textId="77777777" w:rsidR="00EE3506" w:rsidRPr="00EB1471" w:rsidRDefault="00EE3506" w:rsidP="00644E07">
            <w:pPr>
              <w:pStyle w:val="Tabletext"/>
              <w:rPr>
                <w:szCs w:val="18"/>
              </w:rPr>
            </w:pPr>
            <w:r>
              <w:rPr>
                <w:szCs w:val="18"/>
              </w:rPr>
              <w:t>Bosentan vs placebo</w:t>
            </w:r>
          </w:p>
        </w:tc>
        <w:tc>
          <w:tcPr>
            <w:tcW w:w="3198" w:type="dxa"/>
            <w:tcBorders>
              <w:bottom w:val="single" w:sz="4" w:space="0" w:color="auto"/>
            </w:tcBorders>
          </w:tcPr>
          <w:p w14:paraId="66471518" w14:textId="77777777" w:rsidR="00EE3506" w:rsidRPr="00667F12" w:rsidRDefault="00EE3506" w:rsidP="00EE3506">
            <w:pPr>
              <w:pStyle w:val="Tabletext"/>
              <w:numPr>
                <w:ilvl w:val="0"/>
                <w:numId w:val="60"/>
              </w:numPr>
              <w:spacing w:before="20" w:after="20"/>
              <w:ind w:left="227" w:hanging="227"/>
              <w:rPr>
                <w:szCs w:val="18"/>
              </w:rPr>
            </w:pPr>
            <w:r>
              <w:rPr>
                <w:szCs w:val="18"/>
              </w:rPr>
              <w:t>Bosentan was superior in terms of effectiveness but inferior in terms of safety, compared with placebo</w:t>
            </w:r>
          </w:p>
          <w:p w14:paraId="5001350D" w14:textId="77777777" w:rsidR="00EE3506" w:rsidRPr="00EB1471" w:rsidRDefault="00EE3506" w:rsidP="00EE3506">
            <w:pPr>
              <w:pStyle w:val="Tabletext"/>
              <w:numPr>
                <w:ilvl w:val="0"/>
                <w:numId w:val="60"/>
              </w:numPr>
              <w:spacing w:before="20" w:after="20"/>
              <w:ind w:left="227" w:hanging="227"/>
              <w:rPr>
                <w:szCs w:val="18"/>
              </w:rPr>
            </w:pPr>
            <w:r>
              <w:t>B</w:t>
            </w:r>
            <w:r w:rsidRPr="001A5334">
              <w:t xml:space="preserve">osentan </w:t>
            </w:r>
            <w:r>
              <w:t xml:space="preserve">was </w:t>
            </w:r>
            <w:r w:rsidRPr="001A5334">
              <w:t>equivalent</w:t>
            </w:r>
            <w:r>
              <w:t>,</w:t>
            </w:r>
            <w:r w:rsidRPr="001A5334">
              <w:t xml:space="preserve"> in terms of comparative effective</w:t>
            </w:r>
            <w:r>
              <w:t xml:space="preserve">ness and comparative safety in </w:t>
            </w:r>
            <w:r w:rsidRPr="001A5334">
              <w:t>PAH-CHD</w:t>
            </w:r>
            <w:r>
              <w:t>,</w:t>
            </w:r>
            <w:r w:rsidRPr="001A5334">
              <w:t xml:space="preserve"> to other </w:t>
            </w:r>
            <w:r>
              <w:t>PBS-listed PAH aetiology groups, eg IPAH and PAH-CTD</w:t>
            </w:r>
          </w:p>
        </w:tc>
      </w:tr>
      <w:tr w:rsidR="00406F77" w:rsidRPr="00025547" w14:paraId="7DEED9C3" w14:textId="77777777" w:rsidTr="00406F77">
        <w:tc>
          <w:tcPr>
            <w:tcW w:w="1668" w:type="dxa"/>
            <w:gridSpan w:val="3"/>
            <w:shd w:val="clear" w:color="auto" w:fill="000000" w:themeFill="text1"/>
          </w:tcPr>
          <w:p w14:paraId="61C16047" w14:textId="77777777" w:rsidR="00406F77" w:rsidRPr="00025547" w:rsidRDefault="00406F77" w:rsidP="00644E07">
            <w:pPr>
              <w:pStyle w:val="Tabletext"/>
              <w:rPr>
                <w:b/>
                <w:color w:val="FFFFFF" w:themeColor="background1"/>
                <w:szCs w:val="18"/>
              </w:rPr>
            </w:pPr>
            <w:r w:rsidRPr="00025547">
              <w:rPr>
                <w:b/>
                <w:color w:val="FFFFFF" w:themeColor="background1"/>
                <w:szCs w:val="18"/>
              </w:rPr>
              <w:t>Ambrisentan</w:t>
            </w:r>
          </w:p>
        </w:tc>
        <w:tc>
          <w:tcPr>
            <w:tcW w:w="992" w:type="dxa"/>
            <w:gridSpan w:val="2"/>
            <w:shd w:val="clear" w:color="auto" w:fill="000000" w:themeFill="text1"/>
          </w:tcPr>
          <w:p w14:paraId="52976007" w14:textId="77777777" w:rsidR="00406F77" w:rsidRPr="00025547" w:rsidRDefault="00406F77" w:rsidP="00644E07">
            <w:pPr>
              <w:pStyle w:val="Tabletext"/>
              <w:rPr>
                <w:b/>
                <w:color w:val="FFFFFF" w:themeColor="background1"/>
                <w:szCs w:val="18"/>
              </w:rPr>
            </w:pPr>
          </w:p>
        </w:tc>
        <w:tc>
          <w:tcPr>
            <w:tcW w:w="2359" w:type="dxa"/>
            <w:shd w:val="clear" w:color="auto" w:fill="000000" w:themeFill="text1"/>
          </w:tcPr>
          <w:p w14:paraId="144BDD63" w14:textId="77777777" w:rsidR="00406F77" w:rsidRPr="00025547" w:rsidRDefault="00406F77" w:rsidP="00644E07">
            <w:pPr>
              <w:pStyle w:val="Tabletext"/>
              <w:rPr>
                <w:b/>
                <w:color w:val="FFFFFF" w:themeColor="background1"/>
                <w:szCs w:val="18"/>
              </w:rPr>
            </w:pPr>
          </w:p>
        </w:tc>
        <w:tc>
          <w:tcPr>
            <w:tcW w:w="1417" w:type="dxa"/>
            <w:shd w:val="clear" w:color="auto" w:fill="000000" w:themeFill="text1"/>
          </w:tcPr>
          <w:p w14:paraId="3D78E792" w14:textId="77777777" w:rsidR="00406F77" w:rsidRPr="00025547" w:rsidRDefault="00406F77" w:rsidP="00644E07">
            <w:pPr>
              <w:pStyle w:val="Tabletext"/>
              <w:rPr>
                <w:b/>
                <w:color w:val="FFFFFF" w:themeColor="background1"/>
                <w:szCs w:val="18"/>
              </w:rPr>
            </w:pPr>
          </w:p>
        </w:tc>
        <w:tc>
          <w:tcPr>
            <w:tcW w:w="3198" w:type="dxa"/>
            <w:shd w:val="clear" w:color="auto" w:fill="000000" w:themeFill="text1"/>
          </w:tcPr>
          <w:p w14:paraId="6258A640" w14:textId="77777777" w:rsidR="00406F77" w:rsidRPr="00025547" w:rsidRDefault="00406F77" w:rsidP="00644E07">
            <w:pPr>
              <w:pStyle w:val="Tabletext"/>
              <w:rPr>
                <w:b/>
                <w:color w:val="FFFFFF" w:themeColor="background1"/>
                <w:szCs w:val="18"/>
              </w:rPr>
            </w:pPr>
          </w:p>
        </w:tc>
      </w:tr>
      <w:tr w:rsidR="00EE3506" w:rsidRPr="00EB1471" w14:paraId="3727549E" w14:textId="77777777" w:rsidTr="001F2E47">
        <w:tc>
          <w:tcPr>
            <w:tcW w:w="1242" w:type="dxa"/>
            <w:tcBorders>
              <w:bottom w:val="single" w:sz="4" w:space="0" w:color="auto"/>
            </w:tcBorders>
          </w:tcPr>
          <w:p w14:paraId="4F24F8FD" w14:textId="77777777" w:rsidR="00EE3506" w:rsidRPr="00EB1471" w:rsidRDefault="00EE3506" w:rsidP="00644E07">
            <w:pPr>
              <w:pStyle w:val="Tabletext"/>
              <w:rPr>
                <w:szCs w:val="18"/>
              </w:rPr>
            </w:pPr>
            <w:r w:rsidRPr="00EB1471">
              <w:rPr>
                <w:szCs w:val="18"/>
              </w:rPr>
              <w:t>July 2009</w:t>
            </w:r>
          </w:p>
        </w:tc>
        <w:tc>
          <w:tcPr>
            <w:tcW w:w="1418" w:type="dxa"/>
            <w:gridSpan w:val="4"/>
            <w:tcBorders>
              <w:bottom w:val="single" w:sz="4" w:space="0" w:color="auto"/>
            </w:tcBorders>
          </w:tcPr>
          <w:p w14:paraId="5870D228" w14:textId="77777777" w:rsidR="00EE3506" w:rsidRPr="001A5334" w:rsidRDefault="00EE3506" w:rsidP="00644E07">
            <w:pPr>
              <w:pStyle w:val="Tabletext"/>
              <w:rPr>
                <w:szCs w:val="18"/>
              </w:rPr>
            </w:pPr>
            <w:r>
              <w:t xml:space="preserve">WHO FC III/IV </w:t>
            </w:r>
            <w:r w:rsidRPr="00987BC5">
              <w:t xml:space="preserve">IPAH </w:t>
            </w:r>
            <w:r>
              <w:t xml:space="preserve">and </w:t>
            </w:r>
            <w:r w:rsidRPr="00987BC5">
              <w:t>PAH-CTD</w:t>
            </w:r>
          </w:p>
        </w:tc>
        <w:tc>
          <w:tcPr>
            <w:tcW w:w="2359" w:type="dxa"/>
            <w:tcBorders>
              <w:bottom w:val="single" w:sz="4" w:space="0" w:color="auto"/>
            </w:tcBorders>
          </w:tcPr>
          <w:p w14:paraId="7B3B36F9" w14:textId="77777777" w:rsidR="00EE3506" w:rsidRPr="001A5334" w:rsidRDefault="00EE3506" w:rsidP="00644E07">
            <w:pPr>
              <w:pStyle w:val="Tabletext"/>
              <w:rPr>
                <w:szCs w:val="18"/>
              </w:rPr>
            </w:pPr>
            <w:r w:rsidRPr="001A5334">
              <w:rPr>
                <w:szCs w:val="18"/>
              </w:rPr>
              <w:t>Indirect comparison of 2 RCTs comparing ambrisentan with placebo:</w:t>
            </w:r>
          </w:p>
          <w:p w14:paraId="29B8E49F" w14:textId="77777777" w:rsidR="00EE3506" w:rsidRPr="001A5334" w:rsidRDefault="00EE3506" w:rsidP="00EE3506">
            <w:pPr>
              <w:pStyle w:val="Tabletext"/>
              <w:numPr>
                <w:ilvl w:val="0"/>
                <w:numId w:val="59"/>
              </w:numPr>
              <w:spacing w:before="20" w:after="20"/>
              <w:ind w:left="425" w:hanging="283"/>
              <w:rPr>
                <w:szCs w:val="18"/>
              </w:rPr>
            </w:pPr>
            <w:r w:rsidRPr="001A5334">
              <w:rPr>
                <w:szCs w:val="18"/>
              </w:rPr>
              <w:t xml:space="preserve">ARIES-1 </w:t>
            </w:r>
            <w:r w:rsidRPr="001D34EE">
              <w:rPr>
                <w:noProof/>
                <w:szCs w:val="18"/>
                <w:vertAlign w:val="superscript"/>
              </w:rPr>
              <w:t>6</w:t>
            </w:r>
            <w:r w:rsidRPr="001A5334">
              <w:rPr>
                <w:szCs w:val="18"/>
              </w:rPr>
              <w:t xml:space="preserve"> (WHO FC III/IV subgroup)</w:t>
            </w:r>
          </w:p>
          <w:p w14:paraId="35276C79" w14:textId="77777777" w:rsidR="00EE3506" w:rsidRPr="001A5334" w:rsidRDefault="00EE3506" w:rsidP="00EE3506">
            <w:pPr>
              <w:pStyle w:val="Tabletext"/>
              <w:numPr>
                <w:ilvl w:val="0"/>
                <w:numId w:val="59"/>
              </w:numPr>
              <w:spacing w:before="20" w:after="20"/>
              <w:ind w:left="425" w:hanging="283"/>
              <w:rPr>
                <w:szCs w:val="18"/>
              </w:rPr>
            </w:pPr>
            <w:r w:rsidRPr="001A5334">
              <w:rPr>
                <w:szCs w:val="18"/>
              </w:rPr>
              <w:t xml:space="preserve">ARIES-2 </w:t>
            </w:r>
            <w:r w:rsidRPr="001D34EE">
              <w:rPr>
                <w:noProof/>
                <w:szCs w:val="18"/>
                <w:vertAlign w:val="superscript"/>
              </w:rPr>
              <w:t>6</w:t>
            </w:r>
            <w:r w:rsidRPr="001A5334">
              <w:rPr>
                <w:szCs w:val="18"/>
              </w:rPr>
              <w:t xml:space="preserve"> (WHO FC III/IV subgroup)</w:t>
            </w:r>
          </w:p>
          <w:p w14:paraId="44792716" w14:textId="77777777" w:rsidR="00EE3506" w:rsidRPr="001A5334" w:rsidRDefault="00EE3506" w:rsidP="00644E07">
            <w:pPr>
              <w:pStyle w:val="Tabletext"/>
              <w:rPr>
                <w:szCs w:val="18"/>
              </w:rPr>
            </w:pPr>
            <w:r w:rsidRPr="001A5334">
              <w:rPr>
                <w:szCs w:val="18"/>
              </w:rPr>
              <w:t>with 2 RCTs comparing bosentan with placebo:</w:t>
            </w:r>
          </w:p>
          <w:p w14:paraId="76DD5B9E" w14:textId="77777777" w:rsidR="00EE3506" w:rsidRPr="001A5334" w:rsidRDefault="00EE3506" w:rsidP="00EE3506">
            <w:pPr>
              <w:pStyle w:val="Tabletext"/>
              <w:numPr>
                <w:ilvl w:val="0"/>
                <w:numId w:val="59"/>
              </w:numPr>
              <w:spacing w:before="20" w:after="20"/>
              <w:ind w:left="425" w:hanging="283"/>
              <w:rPr>
                <w:szCs w:val="18"/>
              </w:rPr>
            </w:pPr>
            <w:r w:rsidRPr="001A5334">
              <w:rPr>
                <w:szCs w:val="18"/>
              </w:rPr>
              <w:t xml:space="preserve">BREATHE-1 </w:t>
            </w:r>
            <w:r w:rsidRPr="001D34EE">
              <w:rPr>
                <w:noProof/>
                <w:szCs w:val="18"/>
                <w:vertAlign w:val="superscript"/>
              </w:rPr>
              <w:t>2</w:t>
            </w:r>
          </w:p>
          <w:p w14:paraId="2510BA6E" w14:textId="77777777" w:rsidR="00EE3506" w:rsidRPr="0064129B" w:rsidRDefault="00EE3506" w:rsidP="00EE3506">
            <w:pPr>
              <w:pStyle w:val="Tabletext"/>
              <w:numPr>
                <w:ilvl w:val="0"/>
                <w:numId w:val="59"/>
              </w:numPr>
              <w:spacing w:before="20" w:after="20"/>
              <w:ind w:left="425" w:hanging="283"/>
              <w:rPr>
                <w:caps/>
                <w:color w:val="000000"/>
                <w:spacing w:val="5"/>
                <w:kern w:val="28"/>
                <w:szCs w:val="18"/>
                <w:u w:val="single"/>
              </w:rPr>
            </w:pPr>
            <w:r w:rsidRPr="001A5334">
              <w:rPr>
                <w:szCs w:val="18"/>
              </w:rPr>
              <w:t xml:space="preserve">AC-052-351 </w:t>
            </w:r>
            <w:r w:rsidRPr="001D34EE">
              <w:rPr>
                <w:noProof/>
                <w:szCs w:val="18"/>
                <w:vertAlign w:val="superscript"/>
              </w:rPr>
              <w:t>4</w:t>
            </w:r>
          </w:p>
          <w:p w14:paraId="0DCCD585" w14:textId="77777777" w:rsidR="00EE3506" w:rsidRPr="00EB1471" w:rsidRDefault="00EE3506" w:rsidP="00644E07">
            <w:pPr>
              <w:pStyle w:val="Tabletext"/>
              <w:rPr>
                <w:caps/>
                <w:color w:val="000000"/>
                <w:spacing w:val="5"/>
                <w:kern w:val="28"/>
                <w:szCs w:val="18"/>
                <w:u w:val="single"/>
              </w:rPr>
            </w:pPr>
            <w:r>
              <w:rPr>
                <w:szCs w:val="18"/>
              </w:rPr>
              <w:t>via placebo as the common reference</w:t>
            </w:r>
          </w:p>
        </w:tc>
        <w:tc>
          <w:tcPr>
            <w:tcW w:w="1417" w:type="dxa"/>
            <w:tcBorders>
              <w:bottom w:val="single" w:sz="4" w:space="0" w:color="auto"/>
            </w:tcBorders>
          </w:tcPr>
          <w:p w14:paraId="062814B4" w14:textId="77777777" w:rsidR="00EE3506" w:rsidRPr="0027270C" w:rsidRDefault="00EE3506" w:rsidP="0027270C">
            <w:pPr>
              <w:pStyle w:val="Tabletext"/>
              <w:rPr>
                <w:szCs w:val="18"/>
              </w:rPr>
            </w:pPr>
            <w:r>
              <w:rPr>
                <w:szCs w:val="18"/>
              </w:rPr>
              <w:t>Ambrisentan vs bosentan</w:t>
            </w:r>
          </w:p>
        </w:tc>
        <w:tc>
          <w:tcPr>
            <w:tcW w:w="3198" w:type="dxa"/>
            <w:tcBorders>
              <w:bottom w:val="single" w:sz="4" w:space="0" w:color="auto"/>
            </w:tcBorders>
          </w:tcPr>
          <w:p w14:paraId="4AAEF882" w14:textId="77777777" w:rsidR="00EE3506" w:rsidRPr="00E86EBC" w:rsidRDefault="00EE3506" w:rsidP="00EE3506">
            <w:pPr>
              <w:pStyle w:val="Tabletext"/>
              <w:numPr>
                <w:ilvl w:val="0"/>
                <w:numId w:val="60"/>
              </w:numPr>
              <w:spacing w:before="20" w:after="20"/>
              <w:ind w:left="227" w:hanging="227"/>
            </w:pPr>
            <w:r>
              <w:t>Ambrisentan was non-inferior to bosentan in terms of change in 6MWD</w:t>
            </w:r>
          </w:p>
          <w:p w14:paraId="35807921" w14:textId="77777777" w:rsidR="00EE3506" w:rsidRPr="00E86EBC" w:rsidRDefault="00EE3506" w:rsidP="00EE3506">
            <w:pPr>
              <w:pStyle w:val="Tabletext"/>
              <w:numPr>
                <w:ilvl w:val="0"/>
                <w:numId w:val="60"/>
              </w:numPr>
              <w:spacing w:before="20" w:after="20"/>
              <w:ind w:left="227" w:hanging="227"/>
            </w:pPr>
            <w:r>
              <w:t>There was no statistically significant difference between ambrisentan and bosentan with respect to change in BDI, WHO FC and clinical worsening</w:t>
            </w:r>
          </w:p>
          <w:p w14:paraId="1CB3C207" w14:textId="77777777" w:rsidR="00EE3506" w:rsidRPr="00EB1471" w:rsidRDefault="00EE3506" w:rsidP="00EE3506">
            <w:pPr>
              <w:pStyle w:val="Tabletext"/>
              <w:numPr>
                <w:ilvl w:val="0"/>
                <w:numId w:val="60"/>
              </w:numPr>
              <w:spacing w:before="20" w:after="20"/>
              <w:ind w:left="227" w:hanging="227"/>
              <w:rPr>
                <w:szCs w:val="18"/>
              </w:rPr>
            </w:pPr>
            <w:r>
              <w:t>T</w:t>
            </w:r>
            <w:r w:rsidRPr="00E86EBC">
              <w:t>he toxicity of ambrisentan appeared non-inferior to bosentan</w:t>
            </w:r>
          </w:p>
        </w:tc>
      </w:tr>
      <w:tr w:rsidR="00406F77" w:rsidRPr="003718FE" w14:paraId="3C2B3991" w14:textId="77777777" w:rsidTr="00406F77">
        <w:tc>
          <w:tcPr>
            <w:tcW w:w="1809" w:type="dxa"/>
            <w:gridSpan w:val="4"/>
            <w:shd w:val="clear" w:color="auto" w:fill="000000" w:themeFill="text1"/>
          </w:tcPr>
          <w:p w14:paraId="7AE61593" w14:textId="77777777" w:rsidR="00406F77" w:rsidRPr="003718FE" w:rsidRDefault="00406F77" w:rsidP="00644E07">
            <w:pPr>
              <w:pStyle w:val="Tabletext"/>
              <w:rPr>
                <w:b/>
                <w:color w:val="FFFFFF" w:themeColor="background1"/>
                <w:szCs w:val="18"/>
              </w:rPr>
            </w:pPr>
            <w:r w:rsidRPr="003718FE">
              <w:rPr>
                <w:b/>
                <w:color w:val="FFFFFF" w:themeColor="background1"/>
                <w:szCs w:val="18"/>
              </w:rPr>
              <w:lastRenderedPageBreak/>
              <w:t>Macitentan</w:t>
            </w:r>
          </w:p>
        </w:tc>
        <w:tc>
          <w:tcPr>
            <w:tcW w:w="851" w:type="dxa"/>
            <w:shd w:val="clear" w:color="auto" w:fill="000000" w:themeFill="text1"/>
          </w:tcPr>
          <w:p w14:paraId="67D6A2FC" w14:textId="77777777" w:rsidR="00406F77" w:rsidRPr="003718FE" w:rsidRDefault="00406F77" w:rsidP="00644E07">
            <w:pPr>
              <w:pStyle w:val="Tabletext"/>
              <w:rPr>
                <w:b/>
                <w:color w:val="FFFFFF" w:themeColor="background1"/>
                <w:szCs w:val="18"/>
              </w:rPr>
            </w:pPr>
          </w:p>
        </w:tc>
        <w:tc>
          <w:tcPr>
            <w:tcW w:w="2359" w:type="dxa"/>
            <w:shd w:val="clear" w:color="auto" w:fill="000000" w:themeFill="text1"/>
          </w:tcPr>
          <w:p w14:paraId="30377DAE" w14:textId="77777777" w:rsidR="00406F77" w:rsidRPr="003718FE" w:rsidRDefault="00406F77" w:rsidP="00644E07">
            <w:pPr>
              <w:pStyle w:val="Tabletext"/>
              <w:rPr>
                <w:b/>
                <w:color w:val="FFFFFF" w:themeColor="background1"/>
                <w:szCs w:val="18"/>
              </w:rPr>
            </w:pPr>
          </w:p>
        </w:tc>
        <w:tc>
          <w:tcPr>
            <w:tcW w:w="1417" w:type="dxa"/>
            <w:shd w:val="clear" w:color="auto" w:fill="000000" w:themeFill="text1"/>
          </w:tcPr>
          <w:p w14:paraId="5BDD57C6" w14:textId="77777777" w:rsidR="00406F77" w:rsidRPr="003718FE" w:rsidRDefault="00406F77" w:rsidP="00644E07">
            <w:pPr>
              <w:pStyle w:val="Tabletext"/>
              <w:rPr>
                <w:color w:val="FFFFFF" w:themeColor="background1"/>
                <w:szCs w:val="18"/>
              </w:rPr>
            </w:pPr>
          </w:p>
        </w:tc>
        <w:tc>
          <w:tcPr>
            <w:tcW w:w="3198" w:type="dxa"/>
            <w:shd w:val="clear" w:color="auto" w:fill="000000" w:themeFill="text1"/>
          </w:tcPr>
          <w:p w14:paraId="557D1F6B" w14:textId="77777777" w:rsidR="00406F77" w:rsidRPr="003718FE" w:rsidRDefault="00406F77" w:rsidP="00644E07">
            <w:pPr>
              <w:pStyle w:val="Tabletext"/>
              <w:rPr>
                <w:color w:val="FFFFFF" w:themeColor="background1"/>
                <w:szCs w:val="18"/>
              </w:rPr>
            </w:pPr>
          </w:p>
        </w:tc>
      </w:tr>
      <w:tr w:rsidR="00EE3506" w:rsidRPr="00EB1471" w14:paraId="4E1FBE6C" w14:textId="77777777" w:rsidTr="001F2E47">
        <w:tc>
          <w:tcPr>
            <w:tcW w:w="1242" w:type="dxa"/>
            <w:tcBorders>
              <w:bottom w:val="single" w:sz="4" w:space="0" w:color="auto"/>
            </w:tcBorders>
          </w:tcPr>
          <w:p w14:paraId="614C4684" w14:textId="77777777" w:rsidR="00EE3506" w:rsidRPr="00EB1471" w:rsidRDefault="00EE3506" w:rsidP="00644E07">
            <w:pPr>
              <w:pStyle w:val="Tabletext"/>
              <w:rPr>
                <w:szCs w:val="18"/>
              </w:rPr>
            </w:pPr>
            <w:r w:rsidRPr="00EB1471">
              <w:rPr>
                <w:szCs w:val="18"/>
              </w:rPr>
              <w:t>March 2014</w:t>
            </w:r>
          </w:p>
        </w:tc>
        <w:tc>
          <w:tcPr>
            <w:tcW w:w="1418" w:type="dxa"/>
            <w:gridSpan w:val="4"/>
            <w:tcBorders>
              <w:bottom w:val="single" w:sz="4" w:space="0" w:color="auto"/>
            </w:tcBorders>
          </w:tcPr>
          <w:p w14:paraId="463A23CC" w14:textId="77777777" w:rsidR="00EE3506" w:rsidRDefault="00EE3506" w:rsidP="00644E07">
            <w:pPr>
              <w:pStyle w:val="Tabletext"/>
            </w:pPr>
            <w:r>
              <w:t>WHO FC III/IV</w:t>
            </w:r>
            <w:r w:rsidRPr="00987BC5">
              <w:t xml:space="preserve"> </w:t>
            </w:r>
            <w:r w:rsidRPr="009165A0">
              <w:t xml:space="preserve">IPAH, PAH-CTD and </w:t>
            </w:r>
            <w:r>
              <w:t>PAH-CHD</w:t>
            </w:r>
          </w:p>
          <w:p w14:paraId="3F7C2DE3" w14:textId="77777777" w:rsidR="00EE3506" w:rsidRPr="00564A78" w:rsidRDefault="00EE3506" w:rsidP="00644E07">
            <w:pPr>
              <w:pStyle w:val="Tabletext"/>
              <w:rPr>
                <w:szCs w:val="18"/>
              </w:rPr>
            </w:pPr>
          </w:p>
        </w:tc>
        <w:tc>
          <w:tcPr>
            <w:tcW w:w="2359" w:type="dxa"/>
            <w:tcBorders>
              <w:bottom w:val="single" w:sz="4" w:space="0" w:color="auto"/>
            </w:tcBorders>
          </w:tcPr>
          <w:p w14:paraId="19F94312" w14:textId="77777777" w:rsidR="00EE3506" w:rsidRPr="00564A78" w:rsidRDefault="00EE3506" w:rsidP="00644E07">
            <w:pPr>
              <w:pStyle w:val="Tabletext"/>
              <w:rPr>
                <w:szCs w:val="18"/>
              </w:rPr>
            </w:pPr>
            <w:r w:rsidRPr="00564A78">
              <w:rPr>
                <w:szCs w:val="18"/>
              </w:rPr>
              <w:t xml:space="preserve">Indirect comparison of 1 RCT comparing macitentan with placebo: </w:t>
            </w:r>
          </w:p>
          <w:p w14:paraId="0A8EC8B5" w14:textId="77777777" w:rsidR="00EE3506" w:rsidRPr="00564A78" w:rsidRDefault="00EE3506" w:rsidP="00EE3506">
            <w:pPr>
              <w:pStyle w:val="Tabletext"/>
              <w:numPr>
                <w:ilvl w:val="0"/>
                <w:numId w:val="59"/>
              </w:numPr>
              <w:spacing w:before="20" w:after="20"/>
              <w:ind w:left="425" w:hanging="283"/>
              <w:rPr>
                <w:szCs w:val="18"/>
              </w:rPr>
            </w:pPr>
            <w:r w:rsidRPr="00564A78">
              <w:rPr>
                <w:szCs w:val="18"/>
              </w:rPr>
              <w:t xml:space="preserve">SERAPHIN </w:t>
            </w:r>
            <w:r w:rsidRPr="001D34EE">
              <w:rPr>
                <w:noProof/>
                <w:szCs w:val="18"/>
                <w:vertAlign w:val="superscript"/>
              </w:rPr>
              <w:t>7</w:t>
            </w:r>
            <w:r>
              <w:rPr>
                <w:szCs w:val="18"/>
              </w:rPr>
              <w:t xml:space="preserve"> (overall population (i</w:t>
            </w:r>
            <w:r w:rsidRPr="00564A78">
              <w:rPr>
                <w:szCs w:val="18"/>
              </w:rPr>
              <w:t xml:space="preserve">e with or without background therapy consisting of other </w:t>
            </w:r>
            <w:r>
              <w:rPr>
                <w:szCs w:val="18"/>
              </w:rPr>
              <w:t>PAH medicine</w:t>
            </w:r>
            <w:r w:rsidRPr="00564A78">
              <w:rPr>
                <w:szCs w:val="18"/>
              </w:rPr>
              <w:t>s, regardless of WHO FC) and treatment-naïve WHO FC III/IV subgroup)</w:t>
            </w:r>
          </w:p>
          <w:p w14:paraId="22B67FF4" w14:textId="77777777" w:rsidR="00EE3506" w:rsidRPr="00EB1471" w:rsidRDefault="00EE3506" w:rsidP="00644E07">
            <w:pPr>
              <w:pStyle w:val="Tabletext"/>
              <w:rPr>
                <w:szCs w:val="18"/>
              </w:rPr>
            </w:pPr>
            <w:r w:rsidRPr="00564A78">
              <w:rPr>
                <w:szCs w:val="18"/>
              </w:rPr>
              <w:t>with 4 RCTs comparing bosentan with</w:t>
            </w:r>
            <w:r w:rsidRPr="00EB1471">
              <w:rPr>
                <w:szCs w:val="18"/>
              </w:rPr>
              <w:t xml:space="preserve"> placebo:</w:t>
            </w:r>
          </w:p>
          <w:p w14:paraId="4E576FF5"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BREATHE-1 </w:t>
            </w:r>
            <w:r w:rsidRPr="001D34EE">
              <w:rPr>
                <w:noProof/>
                <w:szCs w:val="18"/>
                <w:vertAlign w:val="superscript"/>
              </w:rPr>
              <w:t>2, 8</w:t>
            </w:r>
          </w:p>
          <w:p w14:paraId="0B6EEC50"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AC-052-351 </w:t>
            </w:r>
            <w:r w:rsidRPr="001D34EE">
              <w:rPr>
                <w:noProof/>
                <w:szCs w:val="18"/>
                <w:vertAlign w:val="superscript"/>
              </w:rPr>
              <w:t>3, 4</w:t>
            </w:r>
          </w:p>
          <w:p w14:paraId="396C7887"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EARLY </w:t>
            </w:r>
            <w:r w:rsidRPr="001D34EE">
              <w:rPr>
                <w:noProof/>
                <w:szCs w:val="18"/>
                <w:vertAlign w:val="superscript"/>
              </w:rPr>
              <w:t>9</w:t>
            </w:r>
          </w:p>
          <w:p w14:paraId="1158A71E" w14:textId="77777777" w:rsidR="00EE3506" w:rsidRPr="0064129B" w:rsidRDefault="00EE3506" w:rsidP="00EE3506">
            <w:pPr>
              <w:pStyle w:val="Tabletext"/>
              <w:numPr>
                <w:ilvl w:val="0"/>
                <w:numId w:val="59"/>
              </w:numPr>
              <w:spacing w:before="20" w:after="20"/>
              <w:ind w:left="425" w:hanging="283"/>
              <w:rPr>
                <w:b/>
                <w:caps/>
                <w:color w:val="000000"/>
                <w:spacing w:val="5"/>
                <w:kern w:val="28"/>
                <w:szCs w:val="18"/>
                <w:u w:val="single"/>
              </w:rPr>
            </w:pPr>
            <w:r w:rsidRPr="00EB1471">
              <w:rPr>
                <w:szCs w:val="18"/>
              </w:rPr>
              <w:t xml:space="preserve">STRIDE-2 </w:t>
            </w:r>
            <w:r w:rsidRPr="001D34EE">
              <w:rPr>
                <w:noProof/>
                <w:szCs w:val="18"/>
                <w:vertAlign w:val="superscript"/>
              </w:rPr>
              <w:t>10</w:t>
            </w:r>
          </w:p>
          <w:p w14:paraId="110FD5BC" w14:textId="77777777" w:rsidR="00EE3506" w:rsidRPr="0064129B" w:rsidRDefault="00EE3506" w:rsidP="00644E07">
            <w:pPr>
              <w:pStyle w:val="Tabletext"/>
              <w:rPr>
                <w:szCs w:val="18"/>
              </w:rPr>
            </w:pPr>
            <w:r w:rsidRPr="0064129B">
              <w:rPr>
                <w:szCs w:val="18"/>
              </w:rPr>
              <w:t>via placebo as the common reference</w:t>
            </w:r>
          </w:p>
        </w:tc>
        <w:tc>
          <w:tcPr>
            <w:tcW w:w="1417" w:type="dxa"/>
            <w:tcBorders>
              <w:bottom w:val="single" w:sz="4" w:space="0" w:color="auto"/>
            </w:tcBorders>
          </w:tcPr>
          <w:p w14:paraId="27874ABD" w14:textId="77777777" w:rsidR="00EE3506" w:rsidRPr="00EB1471" w:rsidRDefault="00EE3506" w:rsidP="00644E07">
            <w:pPr>
              <w:pStyle w:val="Tabletext"/>
              <w:rPr>
                <w:szCs w:val="18"/>
              </w:rPr>
            </w:pPr>
            <w:r>
              <w:rPr>
                <w:szCs w:val="18"/>
              </w:rPr>
              <w:t>Macitentan vs bosentan</w:t>
            </w:r>
          </w:p>
          <w:p w14:paraId="0C4B0C68" w14:textId="77777777" w:rsidR="00EE3506" w:rsidRPr="00EB1471" w:rsidRDefault="00EE3506" w:rsidP="00644E07">
            <w:pPr>
              <w:pStyle w:val="Tabletext"/>
              <w:rPr>
                <w:szCs w:val="18"/>
              </w:rPr>
            </w:pPr>
          </w:p>
        </w:tc>
        <w:tc>
          <w:tcPr>
            <w:tcW w:w="3198" w:type="dxa"/>
            <w:tcBorders>
              <w:bottom w:val="single" w:sz="4" w:space="0" w:color="auto"/>
            </w:tcBorders>
          </w:tcPr>
          <w:p w14:paraId="362799CB" w14:textId="77777777" w:rsidR="00EE3506" w:rsidRPr="00564A78" w:rsidRDefault="00EE3506" w:rsidP="00EE3506">
            <w:pPr>
              <w:pStyle w:val="Tabletext"/>
              <w:numPr>
                <w:ilvl w:val="0"/>
                <w:numId w:val="60"/>
              </w:numPr>
              <w:spacing w:before="20" w:after="20"/>
              <w:ind w:left="227" w:hanging="227"/>
            </w:pPr>
            <w:r>
              <w:t xml:space="preserve">Macitentan was non-inferior to bosentan in terms of improvement in </w:t>
            </w:r>
            <w:r w:rsidR="00F836D6">
              <w:t>6MWD</w:t>
            </w:r>
          </w:p>
          <w:p w14:paraId="2843DA70" w14:textId="77777777" w:rsidR="00EE3506" w:rsidRPr="00564A78" w:rsidRDefault="00EE3506" w:rsidP="00EE3506">
            <w:pPr>
              <w:pStyle w:val="Tabletext"/>
              <w:numPr>
                <w:ilvl w:val="0"/>
                <w:numId w:val="60"/>
              </w:numPr>
              <w:spacing w:before="20" w:after="20"/>
              <w:ind w:left="227" w:hanging="227"/>
            </w:pPr>
            <w:r>
              <w:t>M</w:t>
            </w:r>
            <w:r w:rsidRPr="00564A78">
              <w:t>acitentan was non-inferior in terms of saf</w:t>
            </w:r>
            <w:r w:rsidR="00F836D6">
              <w:t>ety when compared to bosentan</w:t>
            </w:r>
          </w:p>
        </w:tc>
      </w:tr>
      <w:tr w:rsidR="00EE3506" w:rsidRPr="003718FE" w14:paraId="5DD1C095" w14:textId="77777777" w:rsidTr="001F2E47">
        <w:tc>
          <w:tcPr>
            <w:tcW w:w="2660" w:type="dxa"/>
            <w:gridSpan w:val="5"/>
            <w:shd w:val="clear" w:color="auto" w:fill="000000" w:themeFill="text1"/>
          </w:tcPr>
          <w:p w14:paraId="32D916DE" w14:textId="77777777" w:rsidR="00EE3506" w:rsidRPr="003718FE" w:rsidRDefault="00EE3506" w:rsidP="00644E07">
            <w:pPr>
              <w:pStyle w:val="Tabletext"/>
              <w:rPr>
                <w:b/>
                <w:color w:val="FFFFFF" w:themeColor="background1"/>
                <w:szCs w:val="18"/>
              </w:rPr>
            </w:pPr>
            <w:r w:rsidRPr="003718FE">
              <w:rPr>
                <w:b/>
                <w:color w:val="FFFFFF" w:themeColor="background1"/>
                <w:szCs w:val="18"/>
              </w:rPr>
              <w:t>Sildenafil</w:t>
            </w:r>
          </w:p>
        </w:tc>
        <w:tc>
          <w:tcPr>
            <w:tcW w:w="2359" w:type="dxa"/>
            <w:shd w:val="clear" w:color="auto" w:fill="000000" w:themeFill="text1"/>
          </w:tcPr>
          <w:p w14:paraId="4D4F1020" w14:textId="77777777" w:rsidR="00EE3506" w:rsidRPr="003718FE" w:rsidRDefault="00EE3506" w:rsidP="00644E07">
            <w:pPr>
              <w:pStyle w:val="Tabletext"/>
              <w:rPr>
                <w:b/>
                <w:color w:val="FFFFFF" w:themeColor="background1"/>
                <w:szCs w:val="18"/>
              </w:rPr>
            </w:pPr>
          </w:p>
        </w:tc>
        <w:tc>
          <w:tcPr>
            <w:tcW w:w="1417" w:type="dxa"/>
            <w:shd w:val="clear" w:color="auto" w:fill="000000" w:themeFill="text1"/>
          </w:tcPr>
          <w:p w14:paraId="6D2A6E6B" w14:textId="77777777" w:rsidR="00EE3506" w:rsidRPr="003718FE" w:rsidRDefault="00EE3506" w:rsidP="00644E07">
            <w:pPr>
              <w:pStyle w:val="Tabletext"/>
              <w:rPr>
                <w:color w:val="FFFFFF" w:themeColor="background1"/>
                <w:szCs w:val="18"/>
              </w:rPr>
            </w:pPr>
          </w:p>
        </w:tc>
        <w:tc>
          <w:tcPr>
            <w:tcW w:w="3198" w:type="dxa"/>
            <w:shd w:val="clear" w:color="auto" w:fill="000000" w:themeFill="text1"/>
          </w:tcPr>
          <w:p w14:paraId="0FDAF410" w14:textId="77777777" w:rsidR="00EE3506" w:rsidRPr="003718FE" w:rsidRDefault="00EE3506" w:rsidP="00644E07">
            <w:pPr>
              <w:pStyle w:val="Tabletext"/>
              <w:rPr>
                <w:color w:val="FFFFFF" w:themeColor="background1"/>
                <w:szCs w:val="18"/>
              </w:rPr>
            </w:pPr>
          </w:p>
        </w:tc>
      </w:tr>
      <w:tr w:rsidR="00EE3506" w:rsidRPr="00EB1471" w14:paraId="741F1E18" w14:textId="77777777" w:rsidTr="001F2E47">
        <w:tc>
          <w:tcPr>
            <w:tcW w:w="1242" w:type="dxa"/>
            <w:tcBorders>
              <w:bottom w:val="single" w:sz="4" w:space="0" w:color="auto"/>
            </w:tcBorders>
          </w:tcPr>
          <w:p w14:paraId="52D60BDD" w14:textId="77777777" w:rsidR="00EE3506" w:rsidRPr="00EB1471" w:rsidRDefault="00EE3506" w:rsidP="00644E07">
            <w:pPr>
              <w:pStyle w:val="Tabletext"/>
              <w:rPr>
                <w:szCs w:val="18"/>
              </w:rPr>
            </w:pPr>
            <w:r w:rsidRPr="00EB1471">
              <w:rPr>
                <w:szCs w:val="18"/>
              </w:rPr>
              <w:t>November 2006</w:t>
            </w:r>
          </w:p>
        </w:tc>
        <w:tc>
          <w:tcPr>
            <w:tcW w:w="1418" w:type="dxa"/>
            <w:gridSpan w:val="4"/>
            <w:tcBorders>
              <w:bottom w:val="single" w:sz="4" w:space="0" w:color="auto"/>
            </w:tcBorders>
          </w:tcPr>
          <w:p w14:paraId="78920129" w14:textId="77777777" w:rsidR="00EE3506" w:rsidRPr="0064129B" w:rsidRDefault="00EE3506" w:rsidP="00644E07">
            <w:pPr>
              <w:pStyle w:val="Tabletext"/>
              <w:rPr>
                <w:szCs w:val="18"/>
              </w:rPr>
            </w:pPr>
            <w:r w:rsidRPr="00987BC5">
              <w:t xml:space="preserve">WHO FC III </w:t>
            </w:r>
            <w:r>
              <w:t>IPAH and PAH-CTD</w:t>
            </w:r>
          </w:p>
        </w:tc>
        <w:tc>
          <w:tcPr>
            <w:tcW w:w="2359" w:type="dxa"/>
            <w:tcBorders>
              <w:bottom w:val="single" w:sz="4" w:space="0" w:color="auto"/>
            </w:tcBorders>
          </w:tcPr>
          <w:p w14:paraId="144386F8" w14:textId="77777777" w:rsidR="00EE3506" w:rsidRPr="0064129B" w:rsidRDefault="00EE3506" w:rsidP="00644E07">
            <w:pPr>
              <w:pStyle w:val="Tabletext"/>
              <w:rPr>
                <w:szCs w:val="18"/>
              </w:rPr>
            </w:pPr>
            <w:r w:rsidRPr="0064129B">
              <w:rPr>
                <w:szCs w:val="18"/>
              </w:rPr>
              <w:t xml:space="preserve">Indirect comparison of 1 RCT comparing sildenafil with placebo: </w:t>
            </w:r>
          </w:p>
          <w:p w14:paraId="7D9DA258"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SUPER-1 </w:t>
            </w:r>
            <w:r w:rsidRPr="001D34EE">
              <w:rPr>
                <w:noProof/>
                <w:szCs w:val="18"/>
                <w:vertAlign w:val="superscript"/>
              </w:rPr>
              <w:t>11</w:t>
            </w:r>
            <w:r>
              <w:rPr>
                <w:szCs w:val="18"/>
              </w:rPr>
              <w:t xml:space="preserve"> (overall population ie regardless of WHO FC,</w:t>
            </w:r>
            <w:r w:rsidRPr="00EB1471">
              <w:rPr>
                <w:szCs w:val="18"/>
              </w:rPr>
              <w:t xml:space="preserve"> and WHO III subgroup)</w:t>
            </w:r>
          </w:p>
          <w:p w14:paraId="236A0A66" w14:textId="77777777" w:rsidR="00EE3506" w:rsidRPr="00EB1471" w:rsidRDefault="00EE3506" w:rsidP="00644E07">
            <w:pPr>
              <w:pStyle w:val="Tabletext"/>
              <w:rPr>
                <w:szCs w:val="18"/>
              </w:rPr>
            </w:pPr>
            <w:r w:rsidRPr="00EB1471">
              <w:rPr>
                <w:szCs w:val="18"/>
              </w:rPr>
              <w:t xml:space="preserve">with 2 RCTs comparing </w:t>
            </w:r>
            <w:r w:rsidRPr="00564A78">
              <w:rPr>
                <w:szCs w:val="18"/>
              </w:rPr>
              <w:t>bosentan</w:t>
            </w:r>
            <w:r w:rsidRPr="00EB1471">
              <w:rPr>
                <w:szCs w:val="18"/>
              </w:rPr>
              <w:t xml:space="preserve"> with placebo:</w:t>
            </w:r>
          </w:p>
          <w:p w14:paraId="361DAB6B"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BREATHE-1 </w:t>
            </w:r>
            <w:r w:rsidRPr="001D34EE">
              <w:rPr>
                <w:noProof/>
                <w:szCs w:val="18"/>
                <w:vertAlign w:val="superscript"/>
              </w:rPr>
              <w:t>2</w:t>
            </w:r>
          </w:p>
          <w:p w14:paraId="2B4602D6" w14:textId="77777777" w:rsidR="00EE3506" w:rsidRDefault="00EE3506" w:rsidP="00EE3506">
            <w:pPr>
              <w:pStyle w:val="Tabletext"/>
              <w:numPr>
                <w:ilvl w:val="0"/>
                <w:numId w:val="59"/>
              </w:numPr>
              <w:spacing w:before="20" w:after="20"/>
              <w:ind w:left="425" w:hanging="283"/>
              <w:rPr>
                <w:szCs w:val="18"/>
              </w:rPr>
            </w:pPr>
            <w:r>
              <w:rPr>
                <w:szCs w:val="18"/>
              </w:rPr>
              <w:t xml:space="preserve">AC-052-351 </w:t>
            </w:r>
            <w:r w:rsidRPr="001D34EE">
              <w:rPr>
                <w:noProof/>
                <w:szCs w:val="18"/>
                <w:vertAlign w:val="superscript"/>
              </w:rPr>
              <w:t>4</w:t>
            </w:r>
          </w:p>
          <w:p w14:paraId="37E792DA" w14:textId="77777777" w:rsidR="00EE3506" w:rsidRPr="00EB1471" w:rsidRDefault="00EE3506" w:rsidP="00644E07">
            <w:pPr>
              <w:pStyle w:val="Tabletext"/>
              <w:rPr>
                <w:szCs w:val="18"/>
              </w:rPr>
            </w:pPr>
            <w:r>
              <w:rPr>
                <w:szCs w:val="18"/>
              </w:rPr>
              <w:t>via placebo as the common reference</w:t>
            </w:r>
          </w:p>
        </w:tc>
        <w:tc>
          <w:tcPr>
            <w:tcW w:w="1417" w:type="dxa"/>
            <w:tcBorders>
              <w:bottom w:val="single" w:sz="4" w:space="0" w:color="auto"/>
            </w:tcBorders>
          </w:tcPr>
          <w:p w14:paraId="49F97722" w14:textId="77777777" w:rsidR="00EE3506" w:rsidRPr="00EB1471" w:rsidRDefault="00EE3506" w:rsidP="00644E07">
            <w:pPr>
              <w:pStyle w:val="Tabletext"/>
              <w:rPr>
                <w:szCs w:val="18"/>
              </w:rPr>
            </w:pPr>
            <w:r>
              <w:rPr>
                <w:szCs w:val="18"/>
              </w:rPr>
              <w:t>Sildenafil vs bosentan</w:t>
            </w:r>
          </w:p>
        </w:tc>
        <w:tc>
          <w:tcPr>
            <w:tcW w:w="3198" w:type="dxa"/>
            <w:tcBorders>
              <w:bottom w:val="single" w:sz="4" w:space="0" w:color="auto"/>
            </w:tcBorders>
          </w:tcPr>
          <w:p w14:paraId="025C2733" w14:textId="77777777" w:rsidR="00EE3506" w:rsidRPr="00002316" w:rsidRDefault="00EE3506" w:rsidP="00EE3506">
            <w:pPr>
              <w:pStyle w:val="Tabletext"/>
              <w:numPr>
                <w:ilvl w:val="0"/>
                <w:numId w:val="60"/>
              </w:numPr>
              <w:spacing w:before="20" w:after="20"/>
              <w:ind w:left="227" w:hanging="227"/>
            </w:pPr>
            <w:r w:rsidRPr="00002316">
              <w:t xml:space="preserve">Sildenafil was non-inferior to bosentan in terms </w:t>
            </w:r>
            <w:r>
              <w:t xml:space="preserve">of </w:t>
            </w:r>
            <w:r w:rsidR="00F836D6">
              <w:t>improvement in 6MWD</w:t>
            </w:r>
          </w:p>
          <w:p w14:paraId="24588CD2" w14:textId="77777777" w:rsidR="00EE3506" w:rsidRPr="00EB1471" w:rsidRDefault="00EE3506" w:rsidP="00EE3506">
            <w:pPr>
              <w:pStyle w:val="Tabletext"/>
              <w:numPr>
                <w:ilvl w:val="0"/>
                <w:numId w:val="60"/>
              </w:numPr>
              <w:spacing w:before="20" w:after="20"/>
              <w:ind w:left="227" w:hanging="227"/>
              <w:rPr>
                <w:szCs w:val="18"/>
              </w:rPr>
            </w:pPr>
            <w:r w:rsidRPr="00002316">
              <w:t>Sildenafil was no worse tha</w:t>
            </w:r>
            <w:r w:rsidR="00F836D6">
              <w:t>n bosentan in terms of toxicity</w:t>
            </w:r>
          </w:p>
        </w:tc>
      </w:tr>
      <w:tr w:rsidR="00EE3506" w:rsidRPr="003718FE" w14:paraId="70404DCD" w14:textId="77777777" w:rsidTr="001F2E47">
        <w:tc>
          <w:tcPr>
            <w:tcW w:w="2660" w:type="dxa"/>
            <w:gridSpan w:val="5"/>
            <w:shd w:val="clear" w:color="auto" w:fill="000000" w:themeFill="text1"/>
          </w:tcPr>
          <w:p w14:paraId="68D26C56" w14:textId="77777777" w:rsidR="00EE3506" w:rsidRPr="003718FE" w:rsidRDefault="00EE3506" w:rsidP="00644E07">
            <w:pPr>
              <w:pStyle w:val="Tabletext"/>
              <w:rPr>
                <w:b/>
                <w:color w:val="FFFFFF" w:themeColor="background1"/>
                <w:szCs w:val="18"/>
              </w:rPr>
            </w:pPr>
            <w:r w:rsidRPr="003718FE">
              <w:rPr>
                <w:b/>
                <w:color w:val="FFFFFF" w:themeColor="background1"/>
                <w:szCs w:val="18"/>
              </w:rPr>
              <w:t>Tadalafil</w:t>
            </w:r>
          </w:p>
        </w:tc>
        <w:tc>
          <w:tcPr>
            <w:tcW w:w="2359" w:type="dxa"/>
            <w:shd w:val="clear" w:color="auto" w:fill="000000" w:themeFill="text1"/>
          </w:tcPr>
          <w:p w14:paraId="6B93158D" w14:textId="77777777" w:rsidR="00EE3506" w:rsidRPr="003718FE" w:rsidRDefault="00EE3506" w:rsidP="00644E07">
            <w:pPr>
              <w:pStyle w:val="Tabletext"/>
              <w:rPr>
                <w:b/>
                <w:color w:val="FFFFFF" w:themeColor="background1"/>
                <w:szCs w:val="18"/>
              </w:rPr>
            </w:pPr>
          </w:p>
        </w:tc>
        <w:tc>
          <w:tcPr>
            <w:tcW w:w="1417" w:type="dxa"/>
            <w:shd w:val="clear" w:color="auto" w:fill="000000" w:themeFill="text1"/>
          </w:tcPr>
          <w:p w14:paraId="04AEBB29" w14:textId="77777777" w:rsidR="00EE3506" w:rsidRPr="003718FE" w:rsidRDefault="00EE3506" w:rsidP="00644E07">
            <w:pPr>
              <w:pStyle w:val="Tabletext"/>
              <w:rPr>
                <w:b/>
                <w:color w:val="FFFFFF" w:themeColor="background1"/>
                <w:szCs w:val="18"/>
              </w:rPr>
            </w:pPr>
          </w:p>
        </w:tc>
        <w:tc>
          <w:tcPr>
            <w:tcW w:w="3198" w:type="dxa"/>
            <w:shd w:val="clear" w:color="auto" w:fill="000000" w:themeFill="text1"/>
          </w:tcPr>
          <w:p w14:paraId="3E4ECDF7" w14:textId="77777777" w:rsidR="00EE3506" w:rsidRPr="003718FE" w:rsidRDefault="00EE3506" w:rsidP="00644E07">
            <w:pPr>
              <w:pStyle w:val="Tabletext"/>
              <w:rPr>
                <w:b/>
                <w:color w:val="FFFFFF" w:themeColor="background1"/>
                <w:szCs w:val="18"/>
              </w:rPr>
            </w:pPr>
          </w:p>
        </w:tc>
      </w:tr>
      <w:tr w:rsidR="00EE3506" w:rsidRPr="00EB1471" w14:paraId="014AA0A5" w14:textId="77777777" w:rsidTr="001F2E47">
        <w:tc>
          <w:tcPr>
            <w:tcW w:w="1242" w:type="dxa"/>
            <w:tcBorders>
              <w:bottom w:val="single" w:sz="4" w:space="0" w:color="auto"/>
            </w:tcBorders>
          </w:tcPr>
          <w:p w14:paraId="6DF59FD7" w14:textId="77777777" w:rsidR="00EE3506" w:rsidRPr="00EB1471" w:rsidRDefault="00EE3506" w:rsidP="00644E07">
            <w:pPr>
              <w:pStyle w:val="Tabletext"/>
              <w:rPr>
                <w:szCs w:val="18"/>
              </w:rPr>
            </w:pPr>
            <w:r w:rsidRPr="00EB1471">
              <w:rPr>
                <w:szCs w:val="18"/>
              </w:rPr>
              <w:t>November 2011</w:t>
            </w:r>
          </w:p>
        </w:tc>
        <w:tc>
          <w:tcPr>
            <w:tcW w:w="1418" w:type="dxa"/>
            <w:gridSpan w:val="4"/>
            <w:tcBorders>
              <w:bottom w:val="single" w:sz="4" w:space="0" w:color="auto"/>
            </w:tcBorders>
          </w:tcPr>
          <w:p w14:paraId="0301EA61" w14:textId="77777777" w:rsidR="00EE3506" w:rsidRPr="00EB1471" w:rsidRDefault="00EE3506" w:rsidP="00644E07">
            <w:pPr>
              <w:pStyle w:val="Tabletext"/>
              <w:rPr>
                <w:szCs w:val="18"/>
              </w:rPr>
            </w:pPr>
            <w:r w:rsidRPr="00987BC5">
              <w:t xml:space="preserve">WHO FC III </w:t>
            </w:r>
            <w:r>
              <w:t>IPAH and PAH-CTD</w:t>
            </w:r>
          </w:p>
        </w:tc>
        <w:tc>
          <w:tcPr>
            <w:tcW w:w="2359" w:type="dxa"/>
            <w:tcBorders>
              <w:bottom w:val="single" w:sz="4" w:space="0" w:color="auto"/>
            </w:tcBorders>
          </w:tcPr>
          <w:p w14:paraId="7B8934AC" w14:textId="77777777" w:rsidR="00EE3506" w:rsidRPr="0064129B" w:rsidRDefault="00EE3506" w:rsidP="00644E07">
            <w:pPr>
              <w:pStyle w:val="Tabletext"/>
              <w:rPr>
                <w:szCs w:val="18"/>
              </w:rPr>
            </w:pPr>
            <w:r w:rsidRPr="00EB1471">
              <w:rPr>
                <w:szCs w:val="18"/>
              </w:rPr>
              <w:t xml:space="preserve">Indirect </w:t>
            </w:r>
            <w:r w:rsidRPr="0064129B">
              <w:rPr>
                <w:szCs w:val="18"/>
              </w:rPr>
              <w:t xml:space="preserve">comparison of 1 RCT comparing tadalafil with placebo: </w:t>
            </w:r>
          </w:p>
          <w:p w14:paraId="59B6957C" w14:textId="77777777" w:rsidR="00EE3506" w:rsidRPr="0064129B" w:rsidRDefault="00EE3506" w:rsidP="00EE3506">
            <w:pPr>
              <w:pStyle w:val="Tabletext"/>
              <w:numPr>
                <w:ilvl w:val="0"/>
                <w:numId w:val="59"/>
              </w:numPr>
              <w:spacing w:before="20" w:after="20"/>
              <w:ind w:left="425" w:hanging="283"/>
              <w:rPr>
                <w:szCs w:val="18"/>
              </w:rPr>
            </w:pPr>
            <w:r w:rsidRPr="0064129B">
              <w:rPr>
                <w:szCs w:val="18"/>
              </w:rPr>
              <w:t xml:space="preserve">PHIRST </w:t>
            </w:r>
            <w:r w:rsidRPr="001D34EE">
              <w:rPr>
                <w:noProof/>
                <w:szCs w:val="18"/>
                <w:vertAlign w:val="superscript"/>
              </w:rPr>
              <w:t>12-14</w:t>
            </w:r>
            <w:r w:rsidRPr="0064129B">
              <w:rPr>
                <w:szCs w:val="18"/>
              </w:rPr>
              <w:t xml:space="preserve"> (subgroup of no background therapy)</w:t>
            </w:r>
          </w:p>
          <w:p w14:paraId="4C918F49" w14:textId="77777777" w:rsidR="00EE3506" w:rsidRPr="0064129B" w:rsidRDefault="00EE3506" w:rsidP="00644E07">
            <w:pPr>
              <w:pStyle w:val="Tabletext"/>
              <w:rPr>
                <w:szCs w:val="18"/>
              </w:rPr>
            </w:pPr>
            <w:r w:rsidRPr="0064129B">
              <w:rPr>
                <w:szCs w:val="18"/>
              </w:rPr>
              <w:t>with 1 RCT comparing sildenafil with placebo:</w:t>
            </w:r>
          </w:p>
          <w:p w14:paraId="0732CA2D" w14:textId="77777777" w:rsidR="00EE3506" w:rsidRDefault="00EE3506" w:rsidP="00EE3506">
            <w:pPr>
              <w:pStyle w:val="Tabletext"/>
              <w:numPr>
                <w:ilvl w:val="0"/>
                <w:numId w:val="59"/>
              </w:numPr>
              <w:spacing w:before="20" w:after="20"/>
              <w:ind w:left="425" w:hanging="283"/>
              <w:rPr>
                <w:szCs w:val="18"/>
              </w:rPr>
            </w:pPr>
            <w:r w:rsidRPr="0064129B">
              <w:rPr>
                <w:szCs w:val="18"/>
              </w:rPr>
              <w:t xml:space="preserve">SUPER-1 </w:t>
            </w:r>
            <w:r w:rsidRPr="001D34EE">
              <w:rPr>
                <w:noProof/>
                <w:szCs w:val="18"/>
                <w:vertAlign w:val="superscript"/>
              </w:rPr>
              <w:t>11, 15-17</w:t>
            </w:r>
            <w:r>
              <w:rPr>
                <w:szCs w:val="18"/>
              </w:rPr>
              <w:t xml:space="preserve"> </w:t>
            </w:r>
          </w:p>
          <w:p w14:paraId="4282CDFB" w14:textId="77777777" w:rsidR="001F2E47" w:rsidRPr="00EB1471" w:rsidRDefault="00EE3506" w:rsidP="00644E07">
            <w:pPr>
              <w:pStyle w:val="Tabletext"/>
              <w:rPr>
                <w:szCs w:val="18"/>
              </w:rPr>
            </w:pPr>
            <w:r>
              <w:rPr>
                <w:szCs w:val="18"/>
              </w:rPr>
              <w:lastRenderedPageBreak/>
              <w:t xml:space="preserve">via </w:t>
            </w:r>
            <w:r w:rsidR="00113260">
              <w:rPr>
                <w:szCs w:val="18"/>
              </w:rPr>
              <w:t>placebo as the common reference</w:t>
            </w:r>
            <w:r w:rsidR="00F836D6">
              <w:rPr>
                <w:szCs w:val="18"/>
              </w:rPr>
              <w:t>.</w:t>
            </w:r>
          </w:p>
        </w:tc>
        <w:tc>
          <w:tcPr>
            <w:tcW w:w="1417" w:type="dxa"/>
            <w:tcBorders>
              <w:bottom w:val="single" w:sz="4" w:space="0" w:color="auto"/>
            </w:tcBorders>
          </w:tcPr>
          <w:p w14:paraId="2F24E16A" w14:textId="77777777" w:rsidR="00EE3506" w:rsidRPr="00EB1471" w:rsidRDefault="00EE3506" w:rsidP="00644E07">
            <w:pPr>
              <w:pStyle w:val="Tabletext"/>
              <w:rPr>
                <w:szCs w:val="18"/>
              </w:rPr>
            </w:pPr>
            <w:r>
              <w:rPr>
                <w:szCs w:val="18"/>
              </w:rPr>
              <w:lastRenderedPageBreak/>
              <w:t>Tadalafil vs sildenafil</w:t>
            </w:r>
          </w:p>
        </w:tc>
        <w:tc>
          <w:tcPr>
            <w:tcW w:w="3198" w:type="dxa"/>
            <w:tcBorders>
              <w:bottom w:val="single" w:sz="4" w:space="0" w:color="auto"/>
            </w:tcBorders>
          </w:tcPr>
          <w:p w14:paraId="34E86112" w14:textId="77777777" w:rsidR="00EE3506" w:rsidRPr="00002316" w:rsidRDefault="00EE3506" w:rsidP="00EE3506">
            <w:pPr>
              <w:pStyle w:val="Tabletext"/>
              <w:numPr>
                <w:ilvl w:val="0"/>
                <w:numId w:val="60"/>
              </w:numPr>
              <w:spacing w:before="20" w:after="20"/>
              <w:ind w:left="227" w:hanging="227"/>
            </w:pPr>
            <w:r w:rsidRPr="00002316">
              <w:t xml:space="preserve">Tadalafil was non-inferior to sildenafil in terms </w:t>
            </w:r>
            <w:r>
              <w:t xml:space="preserve">of </w:t>
            </w:r>
            <w:r w:rsidRPr="00002316">
              <w:t>improvement in 6MWD</w:t>
            </w:r>
          </w:p>
          <w:p w14:paraId="51E0C6E8" w14:textId="77777777" w:rsidR="00EE3506" w:rsidRPr="00002316" w:rsidRDefault="00EE3506" w:rsidP="00EE3506">
            <w:pPr>
              <w:pStyle w:val="Tabletext"/>
              <w:numPr>
                <w:ilvl w:val="0"/>
                <w:numId w:val="60"/>
              </w:numPr>
              <w:spacing w:before="20" w:after="20"/>
              <w:ind w:left="227" w:hanging="227"/>
            </w:pPr>
            <w:r>
              <w:t>There were</w:t>
            </w:r>
            <w:r w:rsidRPr="00002316">
              <w:t xml:space="preserve"> no statistically significant differences between tadalafil and sildenafil with respect to improvement in FC, clinical worsen</w:t>
            </w:r>
            <w:r w:rsidR="00F836D6">
              <w:t>ing and haemodynamic parameters</w:t>
            </w:r>
          </w:p>
          <w:p w14:paraId="373B842E" w14:textId="77777777" w:rsidR="00EE3506" w:rsidRPr="00EB1471" w:rsidRDefault="00EE3506" w:rsidP="00EE3506">
            <w:pPr>
              <w:pStyle w:val="Tabletext"/>
              <w:numPr>
                <w:ilvl w:val="0"/>
                <w:numId w:val="60"/>
              </w:numPr>
              <w:spacing w:before="20" w:after="20"/>
              <w:ind w:left="227" w:hanging="227"/>
              <w:rPr>
                <w:szCs w:val="18"/>
              </w:rPr>
            </w:pPr>
            <w:r w:rsidRPr="00002316">
              <w:t>Tadalafil was non-inferior to sildenafil in terms of safety</w:t>
            </w:r>
            <w:r>
              <w:rPr>
                <w:szCs w:val="18"/>
              </w:rPr>
              <w:t xml:space="preserve"> </w:t>
            </w:r>
          </w:p>
        </w:tc>
      </w:tr>
      <w:tr w:rsidR="00406F77" w:rsidRPr="00EB1471" w14:paraId="6E534A49" w14:textId="77777777" w:rsidTr="005F2F5B">
        <w:tc>
          <w:tcPr>
            <w:tcW w:w="1330" w:type="dxa"/>
            <w:gridSpan w:val="2"/>
            <w:shd w:val="clear" w:color="auto" w:fill="000000" w:themeFill="text1"/>
          </w:tcPr>
          <w:p w14:paraId="27019BCE" w14:textId="77777777" w:rsidR="00406F77" w:rsidRPr="00406F77" w:rsidRDefault="00406F77" w:rsidP="00644E07">
            <w:pPr>
              <w:pStyle w:val="Tabletext"/>
              <w:rPr>
                <w:b/>
                <w:szCs w:val="18"/>
                <w:highlight w:val="black"/>
              </w:rPr>
            </w:pPr>
            <w:r w:rsidRPr="00406F77">
              <w:rPr>
                <w:b/>
                <w:szCs w:val="18"/>
                <w:highlight w:val="black"/>
              </w:rPr>
              <w:t>Iloprost</w:t>
            </w:r>
          </w:p>
        </w:tc>
        <w:tc>
          <w:tcPr>
            <w:tcW w:w="1330" w:type="dxa"/>
            <w:gridSpan w:val="3"/>
            <w:shd w:val="clear" w:color="auto" w:fill="000000" w:themeFill="text1"/>
          </w:tcPr>
          <w:p w14:paraId="03C2FAB8" w14:textId="77777777" w:rsidR="00406F77" w:rsidRPr="00406F77" w:rsidRDefault="00406F77" w:rsidP="00644E07">
            <w:pPr>
              <w:pStyle w:val="Tabletext"/>
              <w:rPr>
                <w:b/>
                <w:szCs w:val="18"/>
                <w:highlight w:val="black"/>
              </w:rPr>
            </w:pPr>
          </w:p>
        </w:tc>
        <w:tc>
          <w:tcPr>
            <w:tcW w:w="2359" w:type="dxa"/>
            <w:shd w:val="clear" w:color="auto" w:fill="000000" w:themeFill="text1"/>
          </w:tcPr>
          <w:p w14:paraId="6A190B64" w14:textId="77777777" w:rsidR="00406F77" w:rsidRPr="00C04CBB" w:rsidRDefault="00406F77" w:rsidP="00644E07">
            <w:pPr>
              <w:pStyle w:val="Tabletext"/>
              <w:rPr>
                <w:b/>
                <w:szCs w:val="18"/>
              </w:rPr>
            </w:pPr>
          </w:p>
        </w:tc>
        <w:tc>
          <w:tcPr>
            <w:tcW w:w="1417" w:type="dxa"/>
            <w:shd w:val="clear" w:color="auto" w:fill="000000" w:themeFill="text1"/>
          </w:tcPr>
          <w:p w14:paraId="5DD6F9C5" w14:textId="77777777" w:rsidR="00406F77" w:rsidRPr="00EB1471" w:rsidRDefault="00406F77" w:rsidP="00644E07">
            <w:pPr>
              <w:pStyle w:val="Tabletext"/>
              <w:rPr>
                <w:szCs w:val="18"/>
              </w:rPr>
            </w:pPr>
          </w:p>
        </w:tc>
        <w:tc>
          <w:tcPr>
            <w:tcW w:w="3198" w:type="dxa"/>
            <w:shd w:val="clear" w:color="auto" w:fill="000000" w:themeFill="text1"/>
          </w:tcPr>
          <w:p w14:paraId="1B38D515" w14:textId="77777777" w:rsidR="00406F77" w:rsidRPr="00EB1471" w:rsidRDefault="00406F77" w:rsidP="00644E07">
            <w:pPr>
              <w:pStyle w:val="Tabletext"/>
              <w:rPr>
                <w:szCs w:val="18"/>
              </w:rPr>
            </w:pPr>
          </w:p>
        </w:tc>
      </w:tr>
      <w:tr w:rsidR="00EE3506" w:rsidRPr="00EB1471" w14:paraId="729C8465" w14:textId="77777777" w:rsidTr="001F2E47">
        <w:tc>
          <w:tcPr>
            <w:tcW w:w="1242" w:type="dxa"/>
            <w:tcBorders>
              <w:bottom w:val="single" w:sz="4" w:space="0" w:color="auto"/>
            </w:tcBorders>
          </w:tcPr>
          <w:p w14:paraId="0C55D38D" w14:textId="77777777" w:rsidR="00EE3506" w:rsidRPr="0049771F" w:rsidRDefault="00EE3506" w:rsidP="00644E07">
            <w:pPr>
              <w:pStyle w:val="Tabletext"/>
              <w:rPr>
                <w:snapToGrid w:val="0"/>
                <w:szCs w:val="18"/>
              </w:rPr>
            </w:pPr>
            <w:r w:rsidRPr="0049771F">
              <w:rPr>
                <w:szCs w:val="18"/>
              </w:rPr>
              <w:t>November 2004</w:t>
            </w:r>
          </w:p>
        </w:tc>
        <w:tc>
          <w:tcPr>
            <w:tcW w:w="1418" w:type="dxa"/>
            <w:gridSpan w:val="4"/>
            <w:tcBorders>
              <w:bottom w:val="single" w:sz="4" w:space="0" w:color="auto"/>
            </w:tcBorders>
          </w:tcPr>
          <w:p w14:paraId="53A1739B" w14:textId="77777777" w:rsidR="00EE3506" w:rsidRPr="0049771F" w:rsidRDefault="00EE3506" w:rsidP="00644E07">
            <w:pPr>
              <w:pStyle w:val="Tabletext"/>
              <w:rPr>
                <w:szCs w:val="18"/>
              </w:rPr>
            </w:pPr>
            <w:r w:rsidRPr="0049771F">
              <w:t>WHO FC III/IV IPAH, PAH-CTD and drug-induced PAH</w:t>
            </w:r>
          </w:p>
        </w:tc>
        <w:tc>
          <w:tcPr>
            <w:tcW w:w="2359" w:type="dxa"/>
            <w:tcBorders>
              <w:bottom w:val="single" w:sz="4" w:space="0" w:color="auto"/>
            </w:tcBorders>
          </w:tcPr>
          <w:p w14:paraId="73DCE1AA" w14:textId="77777777" w:rsidR="00EE3506" w:rsidRPr="00C07794" w:rsidRDefault="00C07794" w:rsidP="00644E07">
            <w:pPr>
              <w:pStyle w:val="Tabletext"/>
              <w:rPr>
                <w:sz w:val="18"/>
                <w:szCs w:val="18"/>
                <w:highlight w:val="black"/>
              </w:rPr>
            </w:pPr>
            <w:r w:rsidRPr="00C07794">
              <w:rPr>
                <w:noProof/>
                <w:color w:val="000000"/>
                <w:sz w:val="18"/>
                <w:szCs w:val="18"/>
                <w:highlight w:val="black"/>
              </w:rPr>
              <w:t xml:space="preserve">'''''''''''''''''' '''''''''''''''''''''''''''''' ''''' ''' '''''''''''' ''''''''''''''''''''''' '''''''''''''''' '''''''''' '''''''''''''''''''''' </w:t>
            </w:r>
          </w:p>
          <w:p w14:paraId="7BCA2739" w14:textId="77777777" w:rsidR="00EE3506" w:rsidRPr="00C07794" w:rsidRDefault="00C07794" w:rsidP="00C07794">
            <w:pPr>
              <w:pStyle w:val="Tabletext"/>
              <w:spacing w:before="20" w:after="20"/>
              <w:ind w:left="425" w:hanging="283"/>
              <w:rPr>
                <w:sz w:val="18"/>
                <w:szCs w:val="18"/>
                <w:highlight w:val="black"/>
              </w:rPr>
            </w:pP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p>
          <w:p w14:paraId="154FA846" w14:textId="77777777" w:rsidR="00EE3506" w:rsidRPr="00C07794" w:rsidRDefault="00C07794" w:rsidP="00644E07">
            <w:pPr>
              <w:pStyle w:val="Tabletext"/>
              <w:rPr>
                <w:sz w:val="18"/>
                <w:szCs w:val="18"/>
                <w:highlight w:val="black"/>
              </w:rPr>
            </w:pPr>
            <w:r w:rsidRPr="00C07794">
              <w:rPr>
                <w:noProof/>
                <w:color w:val="000000"/>
                <w:sz w:val="18"/>
                <w:szCs w:val="18"/>
                <w:highlight w:val="black"/>
              </w:rPr>
              <w:t>''''''''' '''' '''''''''''''' ''''''''''''''''''''''''''' '''''''''''''''''''''' ''''''''''' ''''''''''''''''''''''</w:t>
            </w:r>
          </w:p>
          <w:p w14:paraId="2BF754EE" w14:textId="77777777" w:rsidR="00EE3506" w:rsidRPr="00C07794" w:rsidRDefault="00C07794" w:rsidP="00C07794">
            <w:pPr>
              <w:pStyle w:val="Tabletext"/>
              <w:spacing w:before="20" w:after="20"/>
              <w:ind w:left="425" w:hanging="283"/>
              <w:rPr>
                <w:sz w:val="18"/>
                <w:szCs w:val="18"/>
                <w:highlight w:val="black"/>
              </w:rPr>
            </w:pP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p>
          <w:p w14:paraId="4A81FD96" w14:textId="77777777" w:rsidR="00EE3506" w:rsidRPr="00C07794" w:rsidRDefault="00C07794" w:rsidP="00C07794">
            <w:pPr>
              <w:pStyle w:val="Tabletext"/>
              <w:spacing w:before="20" w:after="20"/>
              <w:ind w:left="425" w:hanging="283"/>
              <w:rPr>
                <w:sz w:val="18"/>
                <w:szCs w:val="18"/>
                <w:highlight w:val="black"/>
              </w:rPr>
            </w:pP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r w:rsidRPr="00C07794">
              <w:rPr>
                <w:rFonts w:ascii="Symbol" w:hAnsi="Symbol"/>
                <w:noProof/>
                <w:color w:val="000000"/>
                <w:sz w:val="18"/>
                <w:szCs w:val="18"/>
                <w:highlight w:val="black"/>
              </w:rPr>
              <w:t></w:t>
            </w:r>
          </w:p>
          <w:p w14:paraId="77EA3623" w14:textId="77777777" w:rsidR="00EE3506" w:rsidRPr="00C07794" w:rsidRDefault="00C07794" w:rsidP="00644E07">
            <w:pPr>
              <w:pStyle w:val="Tabletext"/>
              <w:rPr>
                <w:szCs w:val="18"/>
                <w:highlight w:val="black"/>
              </w:rPr>
            </w:pPr>
            <w:r w:rsidRPr="00C07794">
              <w:rPr>
                <w:noProof/>
                <w:color w:val="000000"/>
                <w:sz w:val="18"/>
                <w:szCs w:val="18"/>
                <w:highlight w:val="black"/>
              </w:rPr>
              <w:t>'''''''' '''''''''''''''''' ''''' ''''''' ''''''''''''''''''' '''''''''''''''''''''</w:t>
            </w:r>
          </w:p>
        </w:tc>
        <w:tc>
          <w:tcPr>
            <w:tcW w:w="1417" w:type="dxa"/>
            <w:tcBorders>
              <w:bottom w:val="single" w:sz="4" w:space="0" w:color="auto"/>
            </w:tcBorders>
          </w:tcPr>
          <w:p w14:paraId="6F2BC3F7" w14:textId="77777777" w:rsidR="00EE3506" w:rsidRPr="00C07794" w:rsidRDefault="00C07794" w:rsidP="00644E07">
            <w:pPr>
              <w:pStyle w:val="Tabletext"/>
              <w:rPr>
                <w:szCs w:val="18"/>
                <w:highlight w:val="black"/>
              </w:rPr>
            </w:pPr>
            <w:r>
              <w:rPr>
                <w:noProof/>
                <w:color w:val="000000"/>
                <w:szCs w:val="18"/>
                <w:highlight w:val="black"/>
              </w:rPr>
              <w:t>''''''''''''''''''' '''''' ''''''''''''''''''''</w:t>
            </w:r>
          </w:p>
        </w:tc>
        <w:tc>
          <w:tcPr>
            <w:tcW w:w="3198" w:type="dxa"/>
            <w:tcBorders>
              <w:bottom w:val="single" w:sz="4" w:space="0" w:color="auto"/>
            </w:tcBorders>
          </w:tcPr>
          <w:p w14:paraId="7D09C041" w14:textId="77777777" w:rsidR="00EE3506" w:rsidRPr="00C07794" w:rsidRDefault="00C07794" w:rsidP="00C07794">
            <w:pPr>
              <w:pStyle w:val="Tabletext"/>
              <w:spacing w:before="20" w:after="20"/>
              <w:ind w:left="227" w:hanging="227"/>
              <w:rPr>
                <w:sz w:val="16"/>
                <w:szCs w:val="16"/>
                <w:highlight w:val="black"/>
              </w:rPr>
            </w:pP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p>
          <w:p w14:paraId="7A21829C" w14:textId="77777777" w:rsidR="00EE3506" w:rsidRPr="00C07794" w:rsidRDefault="00C07794" w:rsidP="00C07794">
            <w:pPr>
              <w:pStyle w:val="Tabletext"/>
              <w:spacing w:before="20" w:after="20"/>
              <w:ind w:left="227" w:hanging="227"/>
              <w:rPr>
                <w:szCs w:val="18"/>
                <w:highlight w:val="black"/>
              </w:rPr>
            </w:pP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r w:rsidRPr="00C07794">
              <w:rPr>
                <w:rFonts w:ascii="Symbol" w:hAnsi="Symbol"/>
                <w:noProof/>
                <w:color w:val="000000"/>
                <w:sz w:val="16"/>
                <w:szCs w:val="16"/>
                <w:highlight w:val="black"/>
              </w:rPr>
              <w:t></w:t>
            </w:r>
          </w:p>
        </w:tc>
      </w:tr>
      <w:tr w:rsidR="00406F77" w:rsidRPr="00EB1471" w14:paraId="27566443" w14:textId="77777777" w:rsidTr="00406F77">
        <w:tc>
          <w:tcPr>
            <w:tcW w:w="1668" w:type="dxa"/>
            <w:gridSpan w:val="3"/>
            <w:shd w:val="clear" w:color="auto" w:fill="000000" w:themeFill="text1"/>
          </w:tcPr>
          <w:p w14:paraId="798FFBEB" w14:textId="77777777" w:rsidR="00406F77" w:rsidRPr="00A107DD" w:rsidRDefault="00406F77" w:rsidP="00644E07">
            <w:pPr>
              <w:pStyle w:val="Tabletext"/>
              <w:rPr>
                <w:b/>
                <w:szCs w:val="18"/>
              </w:rPr>
            </w:pPr>
            <w:r w:rsidRPr="00A107DD">
              <w:rPr>
                <w:b/>
                <w:szCs w:val="18"/>
              </w:rPr>
              <w:t>Epoprostenol</w:t>
            </w:r>
          </w:p>
        </w:tc>
        <w:tc>
          <w:tcPr>
            <w:tcW w:w="992" w:type="dxa"/>
            <w:gridSpan w:val="2"/>
            <w:shd w:val="clear" w:color="auto" w:fill="000000" w:themeFill="text1"/>
          </w:tcPr>
          <w:p w14:paraId="23C04F7F" w14:textId="77777777" w:rsidR="00406F77" w:rsidRPr="00A107DD" w:rsidRDefault="00406F77" w:rsidP="00644E07">
            <w:pPr>
              <w:pStyle w:val="Tabletext"/>
              <w:rPr>
                <w:b/>
                <w:szCs w:val="18"/>
              </w:rPr>
            </w:pPr>
          </w:p>
        </w:tc>
        <w:tc>
          <w:tcPr>
            <w:tcW w:w="2359" w:type="dxa"/>
            <w:shd w:val="clear" w:color="auto" w:fill="000000" w:themeFill="text1"/>
          </w:tcPr>
          <w:p w14:paraId="23B68EFC" w14:textId="77777777" w:rsidR="00406F77" w:rsidRPr="00A107DD" w:rsidRDefault="00406F77" w:rsidP="00644E07">
            <w:pPr>
              <w:pStyle w:val="Tabletext"/>
              <w:rPr>
                <w:b/>
                <w:szCs w:val="18"/>
              </w:rPr>
            </w:pPr>
          </w:p>
        </w:tc>
        <w:tc>
          <w:tcPr>
            <w:tcW w:w="1417" w:type="dxa"/>
            <w:shd w:val="clear" w:color="auto" w:fill="000000" w:themeFill="text1"/>
          </w:tcPr>
          <w:p w14:paraId="2D9816D7" w14:textId="77777777" w:rsidR="00406F77" w:rsidRPr="00EB1471" w:rsidRDefault="00406F77" w:rsidP="00644E07">
            <w:pPr>
              <w:pStyle w:val="Tabletext"/>
              <w:rPr>
                <w:szCs w:val="18"/>
              </w:rPr>
            </w:pPr>
          </w:p>
        </w:tc>
        <w:tc>
          <w:tcPr>
            <w:tcW w:w="3198" w:type="dxa"/>
            <w:shd w:val="clear" w:color="auto" w:fill="000000" w:themeFill="text1"/>
          </w:tcPr>
          <w:p w14:paraId="3EB0FFE9" w14:textId="77777777" w:rsidR="00406F77" w:rsidRPr="00EB1471" w:rsidRDefault="00406F77" w:rsidP="00644E07">
            <w:pPr>
              <w:pStyle w:val="Tabletext"/>
              <w:rPr>
                <w:szCs w:val="18"/>
              </w:rPr>
            </w:pPr>
          </w:p>
        </w:tc>
      </w:tr>
      <w:tr w:rsidR="00EE3506" w:rsidRPr="00EB1471" w14:paraId="7A1C19A3" w14:textId="77777777" w:rsidTr="001F2E47">
        <w:tc>
          <w:tcPr>
            <w:tcW w:w="1242" w:type="dxa"/>
          </w:tcPr>
          <w:p w14:paraId="38513748" w14:textId="77777777" w:rsidR="00EE3506" w:rsidRPr="00EB1471" w:rsidRDefault="00EE3506" w:rsidP="00644E07">
            <w:pPr>
              <w:pStyle w:val="Tabletext"/>
              <w:ind w:right="-57"/>
              <w:rPr>
                <w:szCs w:val="18"/>
              </w:rPr>
            </w:pPr>
            <w:r w:rsidRPr="00EB1471">
              <w:rPr>
                <w:szCs w:val="18"/>
              </w:rPr>
              <w:t>March 2006</w:t>
            </w:r>
          </w:p>
        </w:tc>
        <w:tc>
          <w:tcPr>
            <w:tcW w:w="1418" w:type="dxa"/>
            <w:gridSpan w:val="4"/>
          </w:tcPr>
          <w:p w14:paraId="1EC28FF0" w14:textId="77777777" w:rsidR="00EE3506" w:rsidRPr="00A107DD" w:rsidRDefault="00EE3506" w:rsidP="00644E07">
            <w:pPr>
              <w:pStyle w:val="Tabletext"/>
              <w:rPr>
                <w:szCs w:val="18"/>
              </w:rPr>
            </w:pPr>
            <w:r>
              <w:t>WHO FC III/IV IPAH</w:t>
            </w:r>
          </w:p>
        </w:tc>
        <w:tc>
          <w:tcPr>
            <w:tcW w:w="2359" w:type="dxa"/>
          </w:tcPr>
          <w:p w14:paraId="2918A84E" w14:textId="77777777" w:rsidR="00EE3506" w:rsidRPr="00A107DD" w:rsidRDefault="00EE3506" w:rsidP="00644E07">
            <w:pPr>
              <w:pStyle w:val="Tabletext"/>
              <w:rPr>
                <w:szCs w:val="18"/>
              </w:rPr>
            </w:pPr>
            <w:r w:rsidRPr="00A107DD">
              <w:rPr>
                <w:szCs w:val="18"/>
              </w:rPr>
              <w:t xml:space="preserve">Indirect comparison of 2 RCTs comparing epoprostenol with conventional therapy: </w:t>
            </w:r>
          </w:p>
          <w:p w14:paraId="31FD8211" w14:textId="77777777" w:rsidR="00EE3506" w:rsidRPr="00A107DD" w:rsidRDefault="00EE3506" w:rsidP="00EE3506">
            <w:pPr>
              <w:pStyle w:val="Tabletext"/>
              <w:numPr>
                <w:ilvl w:val="0"/>
                <w:numId w:val="59"/>
              </w:numPr>
              <w:spacing w:before="20" w:after="20"/>
              <w:ind w:left="425" w:hanging="283"/>
              <w:rPr>
                <w:szCs w:val="18"/>
              </w:rPr>
            </w:pPr>
            <w:r w:rsidRPr="00A107DD">
              <w:rPr>
                <w:szCs w:val="18"/>
              </w:rPr>
              <w:t xml:space="preserve">BW-46 </w:t>
            </w:r>
            <w:r w:rsidRPr="001D34EE">
              <w:rPr>
                <w:noProof/>
                <w:szCs w:val="18"/>
                <w:vertAlign w:val="superscript"/>
              </w:rPr>
              <w:t>19</w:t>
            </w:r>
          </w:p>
          <w:p w14:paraId="657395D3" w14:textId="77777777" w:rsidR="00EE3506" w:rsidRPr="00A107DD" w:rsidRDefault="00EE3506" w:rsidP="00EE3506">
            <w:pPr>
              <w:pStyle w:val="Tabletext"/>
              <w:numPr>
                <w:ilvl w:val="0"/>
                <w:numId w:val="59"/>
              </w:numPr>
              <w:spacing w:before="20" w:after="20"/>
              <w:ind w:left="425" w:hanging="283"/>
              <w:rPr>
                <w:szCs w:val="18"/>
              </w:rPr>
            </w:pPr>
            <w:r w:rsidRPr="00A107DD">
              <w:rPr>
                <w:szCs w:val="18"/>
              </w:rPr>
              <w:t xml:space="preserve">BW-35/36 </w:t>
            </w:r>
            <w:r w:rsidRPr="001D34EE">
              <w:rPr>
                <w:noProof/>
                <w:szCs w:val="18"/>
                <w:vertAlign w:val="superscript"/>
              </w:rPr>
              <w:t>20</w:t>
            </w:r>
          </w:p>
          <w:p w14:paraId="1E479CB7" w14:textId="77777777" w:rsidR="00EE3506" w:rsidRPr="00A107DD" w:rsidRDefault="00EE3506" w:rsidP="00644E07">
            <w:pPr>
              <w:pStyle w:val="Tabletext"/>
              <w:rPr>
                <w:szCs w:val="18"/>
              </w:rPr>
            </w:pPr>
            <w:r w:rsidRPr="00A107DD">
              <w:rPr>
                <w:szCs w:val="18"/>
              </w:rPr>
              <w:t>with 2 RCTs comparing bosentan with placebo:</w:t>
            </w:r>
          </w:p>
          <w:p w14:paraId="3C53E2E3" w14:textId="77777777" w:rsidR="00EE3506" w:rsidRPr="00A107DD" w:rsidRDefault="00EE3506" w:rsidP="00EE3506">
            <w:pPr>
              <w:pStyle w:val="Tabletext"/>
              <w:numPr>
                <w:ilvl w:val="0"/>
                <w:numId w:val="59"/>
              </w:numPr>
              <w:spacing w:before="20" w:after="20"/>
              <w:ind w:left="425" w:hanging="283"/>
              <w:rPr>
                <w:szCs w:val="18"/>
              </w:rPr>
            </w:pPr>
            <w:r w:rsidRPr="00A107DD">
              <w:rPr>
                <w:szCs w:val="18"/>
              </w:rPr>
              <w:t xml:space="preserve">BREATHE-1 </w:t>
            </w:r>
            <w:r w:rsidRPr="001D34EE">
              <w:rPr>
                <w:noProof/>
                <w:szCs w:val="18"/>
                <w:vertAlign w:val="superscript"/>
              </w:rPr>
              <w:t>2</w:t>
            </w:r>
          </w:p>
          <w:p w14:paraId="7933E019" w14:textId="77777777" w:rsidR="00EE3506" w:rsidRDefault="00EE3506" w:rsidP="00EE3506">
            <w:pPr>
              <w:pStyle w:val="Tabletext"/>
              <w:numPr>
                <w:ilvl w:val="0"/>
                <w:numId w:val="59"/>
              </w:numPr>
              <w:spacing w:before="20" w:after="20"/>
              <w:ind w:left="425" w:hanging="283"/>
              <w:rPr>
                <w:szCs w:val="18"/>
              </w:rPr>
            </w:pPr>
            <w:r w:rsidRPr="00EB1471">
              <w:rPr>
                <w:szCs w:val="18"/>
              </w:rPr>
              <w:t xml:space="preserve">AC-052-351 </w:t>
            </w:r>
            <w:r w:rsidRPr="001D34EE">
              <w:rPr>
                <w:noProof/>
                <w:szCs w:val="18"/>
                <w:vertAlign w:val="superscript"/>
              </w:rPr>
              <w:t>3</w:t>
            </w:r>
          </w:p>
          <w:p w14:paraId="562923C7" w14:textId="77777777" w:rsidR="00EE3506" w:rsidRPr="00EB1471" w:rsidRDefault="00EE3506" w:rsidP="00644E07">
            <w:pPr>
              <w:pStyle w:val="Tabletext"/>
              <w:rPr>
                <w:szCs w:val="18"/>
              </w:rPr>
            </w:pPr>
            <w:r>
              <w:rPr>
                <w:szCs w:val="18"/>
              </w:rPr>
              <w:t>via placebo/conventional therapy as the common reference</w:t>
            </w:r>
          </w:p>
        </w:tc>
        <w:tc>
          <w:tcPr>
            <w:tcW w:w="1417" w:type="dxa"/>
          </w:tcPr>
          <w:p w14:paraId="034E7D83" w14:textId="77777777" w:rsidR="00EE3506" w:rsidRPr="00EB1471" w:rsidRDefault="00EE3506" w:rsidP="00644E07">
            <w:pPr>
              <w:pStyle w:val="Tabletext"/>
              <w:rPr>
                <w:szCs w:val="18"/>
              </w:rPr>
            </w:pPr>
            <w:r>
              <w:rPr>
                <w:szCs w:val="18"/>
              </w:rPr>
              <w:t>Epoprostenol vs bosentan</w:t>
            </w:r>
          </w:p>
        </w:tc>
        <w:tc>
          <w:tcPr>
            <w:tcW w:w="3198" w:type="dxa"/>
          </w:tcPr>
          <w:p w14:paraId="7531B37F" w14:textId="77777777" w:rsidR="00EE3506" w:rsidRPr="00002316" w:rsidRDefault="00EE3506" w:rsidP="00EE3506">
            <w:pPr>
              <w:pStyle w:val="Tabletext"/>
              <w:numPr>
                <w:ilvl w:val="0"/>
                <w:numId w:val="60"/>
              </w:numPr>
              <w:spacing w:before="20" w:after="20"/>
              <w:ind w:left="227" w:hanging="227"/>
            </w:pPr>
            <w:r w:rsidRPr="00002316">
              <w:t xml:space="preserve">Epoprostenol was no worse than bosentan </w:t>
            </w:r>
            <w:r w:rsidR="00F836D6">
              <w:t>in terms of improvement in 6MWD</w:t>
            </w:r>
          </w:p>
          <w:p w14:paraId="0EC01617" w14:textId="77777777" w:rsidR="00EE3506" w:rsidRPr="00EB1471" w:rsidRDefault="00EE3506" w:rsidP="00EE3506">
            <w:pPr>
              <w:pStyle w:val="Tabletext"/>
              <w:numPr>
                <w:ilvl w:val="0"/>
                <w:numId w:val="60"/>
              </w:numPr>
              <w:spacing w:before="20" w:after="20"/>
              <w:ind w:left="227" w:hanging="227"/>
              <w:rPr>
                <w:szCs w:val="18"/>
              </w:rPr>
            </w:pPr>
            <w:r w:rsidRPr="00002316">
              <w:t>Epoprostenol was non-inferior</w:t>
            </w:r>
            <w:r w:rsidR="00F836D6">
              <w:t xml:space="preserve"> to bosentan in terms of safety</w:t>
            </w:r>
          </w:p>
        </w:tc>
      </w:tr>
      <w:tr w:rsidR="00EE3506" w:rsidRPr="00EB1471" w14:paraId="7C6C970D" w14:textId="77777777" w:rsidTr="001F2E47">
        <w:tc>
          <w:tcPr>
            <w:tcW w:w="1242" w:type="dxa"/>
            <w:tcBorders>
              <w:bottom w:val="single" w:sz="4" w:space="0" w:color="auto"/>
            </w:tcBorders>
          </w:tcPr>
          <w:p w14:paraId="231085A4" w14:textId="77777777" w:rsidR="00EE3506" w:rsidRPr="00EB1471" w:rsidRDefault="00EE3506" w:rsidP="00644E07">
            <w:pPr>
              <w:pStyle w:val="Tabletext"/>
              <w:rPr>
                <w:szCs w:val="18"/>
              </w:rPr>
            </w:pPr>
            <w:r w:rsidRPr="00EB1471">
              <w:rPr>
                <w:szCs w:val="18"/>
              </w:rPr>
              <w:t>November 2011</w:t>
            </w:r>
          </w:p>
        </w:tc>
        <w:tc>
          <w:tcPr>
            <w:tcW w:w="1418" w:type="dxa"/>
            <w:gridSpan w:val="4"/>
            <w:tcBorders>
              <w:bottom w:val="single" w:sz="4" w:space="0" w:color="auto"/>
            </w:tcBorders>
          </w:tcPr>
          <w:p w14:paraId="4BE3AF22" w14:textId="77777777" w:rsidR="00EE3506" w:rsidRPr="00F53FAD" w:rsidRDefault="00EE3506" w:rsidP="00644E07">
            <w:pPr>
              <w:pStyle w:val="Tabletext"/>
              <w:rPr>
                <w:szCs w:val="18"/>
              </w:rPr>
            </w:pPr>
            <w:r w:rsidRPr="00987BC5">
              <w:t xml:space="preserve">WHO FC III </w:t>
            </w:r>
            <w:r>
              <w:t xml:space="preserve">(as secondary therapy) and FC IV (as first-line therapy) </w:t>
            </w:r>
            <w:r w:rsidRPr="00987BC5">
              <w:t>PAH</w:t>
            </w:r>
            <w:r>
              <w:t>-CTD</w:t>
            </w:r>
          </w:p>
        </w:tc>
        <w:tc>
          <w:tcPr>
            <w:tcW w:w="2359" w:type="dxa"/>
            <w:tcBorders>
              <w:bottom w:val="single" w:sz="4" w:space="0" w:color="auto"/>
            </w:tcBorders>
          </w:tcPr>
          <w:p w14:paraId="78C27AEC" w14:textId="77777777" w:rsidR="00EE3506" w:rsidRPr="00F53FAD" w:rsidRDefault="00EE3506" w:rsidP="00644E07">
            <w:pPr>
              <w:pStyle w:val="Tabletext"/>
              <w:rPr>
                <w:szCs w:val="18"/>
              </w:rPr>
            </w:pPr>
            <w:r w:rsidRPr="00F53FAD">
              <w:rPr>
                <w:szCs w:val="18"/>
              </w:rPr>
              <w:t xml:space="preserve">Indirect comparison of 1 RCT comparing epoprostenol with conventional therapy: </w:t>
            </w:r>
          </w:p>
          <w:p w14:paraId="57F2AC30" w14:textId="77777777" w:rsidR="00EE3506" w:rsidRPr="00F53FAD" w:rsidRDefault="00EE3506" w:rsidP="00EE3506">
            <w:pPr>
              <w:pStyle w:val="Tabletext"/>
              <w:numPr>
                <w:ilvl w:val="0"/>
                <w:numId w:val="59"/>
              </w:numPr>
              <w:spacing w:before="20" w:after="20"/>
              <w:ind w:left="425" w:hanging="283"/>
              <w:rPr>
                <w:szCs w:val="18"/>
              </w:rPr>
            </w:pPr>
            <w:r w:rsidRPr="00F53FAD">
              <w:rPr>
                <w:szCs w:val="18"/>
              </w:rPr>
              <w:t xml:space="preserve">VA1A4001 </w:t>
            </w:r>
            <w:r w:rsidRPr="001D34EE">
              <w:rPr>
                <w:noProof/>
                <w:szCs w:val="18"/>
                <w:vertAlign w:val="superscript"/>
              </w:rPr>
              <w:t>21</w:t>
            </w:r>
          </w:p>
          <w:p w14:paraId="13C4A267" w14:textId="77777777" w:rsidR="00EE3506" w:rsidRPr="00F53FAD" w:rsidRDefault="00EE3506" w:rsidP="00644E07">
            <w:pPr>
              <w:pStyle w:val="Tabletext"/>
              <w:rPr>
                <w:szCs w:val="18"/>
              </w:rPr>
            </w:pPr>
            <w:r w:rsidRPr="00F53FAD">
              <w:rPr>
                <w:szCs w:val="18"/>
              </w:rPr>
              <w:t xml:space="preserve">with 1 RCT comparing </w:t>
            </w:r>
            <w:r>
              <w:rPr>
                <w:szCs w:val="18"/>
              </w:rPr>
              <w:t>iloprost</w:t>
            </w:r>
            <w:r w:rsidRPr="00F53FAD">
              <w:rPr>
                <w:szCs w:val="18"/>
              </w:rPr>
              <w:t xml:space="preserve"> with placebo:</w:t>
            </w:r>
          </w:p>
          <w:p w14:paraId="799711A5" w14:textId="77777777" w:rsidR="00EE3506" w:rsidRPr="00F53FAD" w:rsidRDefault="00EE3506" w:rsidP="00EE3506">
            <w:pPr>
              <w:pStyle w:val="Tabletext"/>
              <w:numPr>
                <w:ilvl w:val="0"/>
                <w:numId w:val="59"/>
              </w:numPr>
              <w:spacing w:before="20" w:after="20"/>
              <w:ind w:left="425" w:hanging="283"/>
              <w:rPr>
                <w:szCs w:val="18"/>
              </w:rPr>
            </w:pPr>
            <w:r w:rsidRPr="00F53FAD">
              <w:rPr>
                <w:szCs w:val="18"/>
              </w:rPr>
              <w:t xml:space="preserve">AIR </w:t>
            </w:r>
            <w:r w:rsidRPr="001D34EE">
              <w:rPr>
                <w:noProof/>
                <w:szCs w:val="18"/>
                <w:vertAlign w:val="superscript"/>
              </w:rPr>
              <w:t>18</w:t>
            </w:r>
            <w:r w:rsidRPr="00F53FAD">
              <w:rPr>
                <w:szCs w:val="18"/>
              </w:rPr>
              <w:t xml:space="preserve"> (overall population (</w:t>
            </w:r>
            <w:r>
              <w:rPr>
                <w:szCs w:val="18"/>
              </w:rPr>
              <w:t>ie</w:t>
            </w:r>
            <w:r w:rsidRPr="00F53FAD">
              <w:rPr>
                <w:szCs w:val="18"/>
              </w:rPr>
              <w:t xml:space="preserve"> regardless of PAH aetiology) and secondary PAH subgroup)</w:t>
            </w:r>
          </w:p>
          <w:p w14:paraId="338CEB0B" w14:textId="77777777" w:rsidR="00EE3506" w:rsidRDefault="00EE3506" w:rsidP="00644E07">
            <w:pPr>
              <w:pStyle w:val="Tabletext"/>
              <w:rPr>
                <w:szCs w:val="18"/>
              </w:rPr>
            </w:pPr>
            <w:r>
              <w:rPr>
                <w:szCs w:val="18"/>
              </w:rPr>
              <w:t>via placebo/conventional therapy as the common reference</w:t>
            </w:r>
          </w:p>
          <w:p w14:paraId="4021C177" w14:textId="77777777" w:rsidR="00EE3506" w:rsidRPr="00EB1471" w:rsidRDefault="00EE3506" w:rsidP="00644E07">
            <w:pPr>
              <w:pStyle w:val="Tabletext"/>
              <w:rPr>
                <w:szCs w:val="18"/>
              </w:rPr>
            </w:pPr>
          </w:p>
          <w:p w14:paraId="6A07BC1C" w14:textId="77777777" w:rsidR="00EE3506" w:rsidRPr="00EB1471" w:rsidRDefault="00EE3506" w:rsidP="00644E07">
            <w:pPr>
              <w:pStyle w:val="Tabletext"/>
              <w:rPr>
                <w:szCs w:val="18"/>
              </w:rPr>
            </w:pPr>
            <w:r w:rsidRPr="00EB1471">
              <w:rPr>
                <w:szCs w:val="18"/>
              </w:rPr>
              <w:t xml:space="preserve">Indirect comparison of 1 RCT comparing epoprostenol with conventional therapy: </w:t>
            </w:r>
          </w:p>
          <w:p w14:paraId="45C85BC2"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VA1A4001 </w:t>
            </w:r>
            <w:r w:rsidRPr="001D34EE">
              <w:rPr>
                <w:noProof/>
                <w:szCs w:val="18"/>
                <w:vertAlign w:val="superscript"/>
              </w:rPr>
              <w:t>21</w:t>
            </w:r>
          </w:p>
          <w:p w14:paraId="3274F64C" w14:textId="77777777" w:rsidR="00EE3506" w:rsidRPr="00EB1471" w:rsidRDefault="00EE3506" w:rsidP="00644E07">
            <w:pPr>
              <w:pStyle w:val="Tabletext"/>
              <w:rPr>
                <w:szCs w:val="18"/>
              </w:rPr>
            </w:pPr>
            <w:r w:rsidRPr="00EB1471">
              <w:rPr>
                <w:szCs w:val="18"/>
              </w:rPr>
              <w:t>with 2 RCTs comparing bosentan with placebo:</w:t>
            </w:r>
          </w:p>
          <w:p w14:paraId="4C198CC3" w14:textId="77777777" w:rsidR="00EE3506" w:rsidRPr="00EB1471" w:rsidRDefault="00EE3506" w:rsidP="00EE3506">
            <w:pPr>
              <w:pStyle w:val="Tabletext"/>
              <w:numPr>
                <w:ilvl w:val="0"/>
                <w:numId w:val="59"/>
              </w:numPr>
              <w:spacing w:before="20" w:after="20"/>
              <w:ind w:left="425" w:hanging="283"/>
              <w:rPr>
                <w:szCs w:val="18"/>
              </w:rPr>
            </w:pPr>
            <w:r w:rsidRPr="00EB1471">
              <w:rPr>
                <w:szCs w:val="18"/>
              </w:rPr>
              <w:t xml:space="preserve">BREATHE-1 </w:t>
            </w:r>
            <w:r w:rsidRPr="001D34EE">
              <w:rPr>
                <w:noProof/>
                <w:szCs w:val="18"/>
                <w:vertAlign w:val="superscript"/>
              </w:rPr>
              <w:t>22</w:t>
            </w:r>
            <w:r w:rsidRPr="00EB1471">
              <w:rPr>
                <w:szCs w:val="18"/>
              </w:rPr>
              <w:t xml:space="preserve"> (PAH-CTD subgroup)</w:t>
            </w:r>
          </w:p>
          <w:p w14:paraId="0B39F5CD" w14:textId="77777777" w:rsidR="00EE3506" w:rsidRDefault="00EE3506" w:rsidP="00EE3506">
            <w:pPr>
              <w:pStyle w:val="Tabletext"/>
              <w:numPr>
                <w:ilvl w:val="0"/>
                <w:numId w:val="59"/>
              </w:numPr>
              <w:spacing w:before="20" w:after="20"/>
              <w:ind w:left="425" w:hanging="283"/>
              <w:rPr>
                <w:szCs w:val="18"/>
              </w:rPr>
            </w:pPr>
            <w:r w:rsidRPr="00EB1471">
              <w:rPr>
                <w:szCs w:val="18"/>
              </w:rPr>
              <w:t xml:space="preserve">AC-052-351 </w:t>
            </w:r>
            <w:r w:rsidRPr="001D34EE">
              <w:rPr>
                <w:noProof/>
                <w:szCs w:val="18"/>
                <w:vertAlign w:val="superscript"/>
              </w:rPr>
              <w:t>22</w:t>
            </w:r>
            <w:r w:rsidRPr="00EB1471">
              <w:rPr>
                <w:szCs w:val="18"/>
              </w:rPr>
              <w:t xml:space="preserve"> (PAH-CTD subgroup)</w:t>
            </w:r>
          </w:p>
          <w:p w14:paraId="49976E99" w14:textId="77777777" w:rsidR="00EE3506" w:rsidRPr="00EB1471" w:rsidRDefault="00EE3506" w:rsidP="00644E07">
            <w:pPr>
              <w:pStyle w:val="Tabletext"/>
              <w:rPr>
                <w:szCs w:val="18"/>
              </w:rPr>
            </w:pPr>
            <w:r>
              <w:rPr>
                <w:szCs w:val="18"/>
              </w:rPr>
              <w:t>via placebo/conventional therapy as the common reference</w:t>
            </w:r>
          </w:p>
        </w:tc>
        <w:tc>
          <w:tcPr>
            <w:tcW w:w="1417" w:type="dxa"/>
            <w:tcBorders>
              <w:bottom w:val="single" w:sz="4" w:space="0" w:color="auto"/>
            </w:tcBorders>
          </w:tcPr>
          <w:p w14:paraId="517AB51A" w14:textId="77777777" w:rsidR="00EE3506" w:rsidRDefault="00EE3506" w:rsidP="00644E07">
            <w:pPr>
              <w:pStyle w:val="Tabletext"/>
              <w:rPr>
                <w:szCs w:val="18"/>
              </w:rPr>
            </w:pPr>
            <w:r>
              <w:rPr>
                <w:szCs w:val="18"/>
              </w:rPr>
              <w:lastRenderedPageBreak/>
              <w:t xml:space="preserve">Epoprostenol vs iloprost </w:t>
            </w:r>
          </w:p>
          <w:p w14:paraId="6B829842" w14:textId="77777777" w:rsidR="00EE3506" w:rsidRDefault="00EE3506" w:rsidP="00644E07">
            <w:pPr>
              <w:pStyle w:val="Tabletext"/>
              <w:rPr>
                <w:szCs w:val="18"/>
              </w:rPr>
            </w:pPr>
          </w:p>
          <w:p w14:paraId="0C1818D0" w14:textId="77777777" w:rsidR="00EE3506" w:rsidRPr="00EB1471" w:rsidRDefault="00EE3506" w:rsidP="00644E07">
            <w:pPr>
              <w:pStyle w:val="Tabletext"/>
              <w:rPr>
                <w:szCs w:val="18"/>
              </w:rPr>
            </w:pPr>
            <w:r>
              <w:rPr>
                <w:szCs w:val="18"/>
              </w:rPr>
              <w:t>Epoprostenol vs bosentan</w:t>
            </w:r>
          </w:p>
        </w:tc>
        <w:tc>
          <w:tcPr>
            <w:tcW w:w="3198" w:type="dxa"/>
            <w:tcBorders>
              <w:bottom w:val="single" w:sz="4" w:space="0" w:color="auto"/>
            </w:tcBorders>
          </w:tcPr>
          <w:p w14:paraId="137C885B" w14:textId="77777777" w:rsidR="00EE3506" w:rsidRPr="00A7316D" w:rsidRDefault="00EE3506" w:rsidP="00EE3506">
            <w:pPr>
              <w:pStyle w:val="Tabletext"/>
              <w:numPr>
                <w:ilvl w:val="0"/>
                <w:numId w:val="60"/>
              </w:numPr>
              <w:spacing w:before="20" w:after="20"/>
              <w:ind w:left="227" w:hanging="227"/>
            </w:pPr>
            <w:r w:rsidRPr="00A7316D">
              <w:t>Epoprostenol was non-in</w:t>
            </w:r>
            <w:r>
              <w:t xml:space="preserve">ferior to iloprost in terms of </w:t>
            </w:r>
            <w:r w:rsidRPr="00A7316D">
              <w:t>improvement in 6MWD and haemodynamic parameters</w:t>
            </w:r>
          </w:p>
          <w:p w14:paraId="2B87C5A7" w14:textId="77777777" w:rsidR="00EE3506" w:rsidRPr="00A7316D" w:rsidRDefault="00EE3506" w:rsidP="00EE3506">
            <w:pPr>
              <w:pStyle w:val="Tabletext"/>
              <w:numPr>
                <w:ilvl w:val="0"/>
                <w:numId w:val="60"/>
              </w:numPr>
              <w:spacing w:before="20" w:after="20"/>
              <w:ind w:left="227" w:hanging="227"/>
            </w:pPr>
            <w:r w:rsidRPr="00A7316D">
              <w:t xml:space="preserve">Epoprostenol was non-inferior to </w:t>
            </w:r>
            <w:r>
              <w:t>bosentan</w:t>
            </w:r>
            <w:r w:rsidRPr="00A7316D">
              <w:t xml:space="preserve"> </w:t>
            </w:r>
            <w:r>
              <w:t xml:space="preserve">in terms of </w:t>
            </w:r>
            <w:r w:rsidRPr="00A7316D">
              <w:t>improvement in 6MWD</w:t>
            </w:r>
          </w:p>
          <w:p w14:paraId="12B67329" w14:textId="77777777" w:rsidR="00EE3506" w:rsidRPr="00EB1471" w:rsidRDefault="00EE3506" w:rsidP="00EE3506">
            <w:pPr>
              <w:pStyle w:val="Tabletext"/>
              <w:numPr>
                <w:ilvl w:val="0"/>
                <w:numId w:val="60"/>
              </w:numPr>
              <w:spacing w:before="20" w:after="20"/>
              <w:ind w:left="227" w:hanging="227"/>
              <w:rPr>
                <w:szCs w:val="18"/>
              </w:rPr>
            </w:pPr>
            <w:r w:rsidRPr="00A7316D">
              <w:t>The comparative safety of epoprostenol with iloprost and bosentan was difficult to assess in the absence of head-to head trial data. However, safety profiles of these PAH medicines were well recognised and the safety of epoprostenol was comparable acros</w:t>
            </w:r>
            <w:r w:rsidR="00F836D6">
              <w:t>s all subgroups of PAH patients</w:t>
            </w:r>
          </w:p>
        </w:tc>
      </w:tr>
      <w:tr w:rsidR="00406F77" w:rsidRPr="00EB1471" w14:paraId="4034B5F4" w14:textId="77777777" w:rsidTr="005F2F5B">
        <w:tc>
          <w:tcPr>
            <w:tcW w:w="1330" w:type="dxa"/>
            <w:gridSpan w:val="2"/>
            <w:shd w:val="clear" w:color="auto" w:fill="000000" w:themeFill="text1"/>
          </w:tcPr>
          <w:p w14:paraId="6CEBBF89" w14:textId="77777777" w:rsidR="00406F77" w:rsidRPr="00A107DD" w:rsidRDefault="00406F77" w:rsidP="00644E07">
            <w:pPr>
              <w:pStyle w:val="Tabletext"/>
              <w:rPr>
                <w:b/>
                <w:szCs w:val="18"/>
              </w:rPr>
            </w:pPr>
            <w:r>
              <w:rPr>
                <w:b/>
                <w:szCs w:val="18"/>
              </w:rPr>
              <w:t>Riociguat</w:t>
            </w:r>
          </w:p>
        </w:tc>
        <w:tc>
          <w:tcPr>
            <w:tcW w:w="1330" w:type="dxa"/>
            <w:gridSpan w:val="3"/>
            <w:shd w:val="clear" w:color="auto" w:fill="000000" w:themeFill="text1"/>
          </w:tcPr>
          <w:p w14:paraId="2B1FE7AD" w14:textId="77777777" w:rsidR="00406F77" w:rsidRPr="00406F77" w:rsidRDefault="00406F77" w:rsidP="00644E07">
            <w:pPr>
              <w:pStyle w:val="Tabletext"/>
              <w:rPr>
                <w:b/>
                <w:szCs w:val="18"/>
                <w:highlight w:val="black"/>
              </w:rPr>
            </w:pPr>
          </w:p>
        </w:tc>
        <w:tc>
          <w:tcPr>
            <w:tcW w:w="2359" w:type="dxa"/>
            <w:shd w:val="clear" w:color="auto" w:fill="000000" w:themeFill="text1"/>
          </w:tcPr>
          <w:p w14:paraId="0207A9E6" w14:textId="77777777" w:rsidR="00406F77" w:rsidRPr="00A107DD" w:rsidRDefault="00406F77" w:rsidP="00644E07">
            <w:pPr>
              <w:pStyle w:val="Tabletext"/>
              <w:rPr>
                <w:b/>
                <w:szCs w:val="18"/>
              </w:rPr>
            </w:pPr>
          </w:p>
        </w:tc>
        <w:tc>
          <w:tcPr>
            <w:tcW w:w="1417" w:type="dxa"/>
            <w:shd w:val="clear" w:color="auto" w:fill="000000" w:themeFill="text1"/>
          </w:tcPr>
          <w:p w14:paraId="7B0D8C0E" w14:textId="77777777" w:rsidR="00406F77" w:rsidRPr="00EB1471" w:rsidRDefault="00406F77" w:rsidP="00644E07">
            <w:pPr>
              <w:pStyle w:val="Tabletext"/>
              <w:rPr>
                <w:szCs w:val="18"/>
              </w:rPr>
            </w:pPr>
          </w:p>
        </w:tc>
        <w:tc>
          <w:tcPr>
            <w:tcW w:w="3198" w:type="dxa"/>
            <w:shd w:val="clear" w:color="auto" w:fill="000000" w:themeFill="text1"/>
          </w:tcPr>
          <w:p w14:paraId="51C2FB6F" w14:textId="77777777" w:rsidR="00406F77" w:rsidRPr="00EB1471" w:rsidRDefault="00406F77" w:rsidP="00644E07">
            <w:pPr>
              <w:pStyle w:val="Tabletext"/>
              <w:rPr>
                <w:szCs w:val="18"/>
              </w:rPr>
            </w:pPr>
          </w:p>
        </w:tc>
      </w:tr>
      <w:tr w:rsidR="00EE3506" w:rsidRPr="00EB1471" w14:paraId="11916A40" w14:textId="77777777" w:rsidTr="001F2E47">
        <w:tc>
          <w:tcPr>
            <w:tcW w:w="1242" w:type="dxa"/>
          </w:tcPr>
          <w:p w14:paraId="4135294F" w14:textId="77777777" w:rsidR="00EE3506" w:rsidRPr="00EB1471" w:rsidRDefault="00EE3506" w:rsidP="00644E07">
            <w:pPr>
              <w:pStyle w:val="Tabletext"/>
              <w:rPr>
                <w:szCs w:val="18"/>
              </w:rPr>
            </w:pPr>
            <w:r w:rsidRPr="00EB1471">
              <w:rPr>
                <w:szCs w:val="18"/>
              </w:rPr>
              <w:t>March 2014</w:t>
            </w:r>
          </w:p>
        </w:tc>
        <w:tc>
          <w:tcPr>
            <w:tcW w:w="1418" w:type="dxa"/>
            <w:gridSpan w:val="4"/>
          </w:tcPr>
          <w:p w14:paraId="2F7E831B" w14:textId="77777777" w:rsidR="00EE3506" w:rsidRPr="00EB1471" w:rsidRDefault="00EE3506" w:rsidP="00644E07">
            <w:pPr>
              <w:pStyle w:val="Tabletext"/>
              <w:rPr>
                <w:szCs w:val="18"/>
              </w:rPr>
            </w:pPr>
            <w:r w:rsidRPr="00EB1471">
              <w:rPr>
                <w:szCs w:val="18"/>
              </w:rPr>
              <w:t>WHO FC III/IV IPAH, PAH-CTD and PAH-CHD</w:t>
            </w:r>
          </w:p>
        </w:tc>
        <w:tc>
          <w:tcPr>
            <w:tcW w:w="2359" w:type="dxa"/>
          </w:tcPr>
          <w:p w14:paraId="2378809F" w14:textId="77777777" w:rsidR="00EE3506" w:rsidRPr="008D1AEA" w:rsidRDefault="00EE3506" w:rsidP="00644E07">
            <w:pPr>
              <w:pStyle w:val="Tabletext"/>
              <w:rPr>
                <w:szCs w:val="18"/>
              </w:rPr>
            </w:pPr>
            <w:r w:rsidRPr="008D1AEA">
              <w:rPr>
                <w:szCs w:val="18"/>
              </w:rPr>
              <w:t xml:space="preserve">Indirect comparison of 1 RCT comparing riociguat with placebo: </w:t>
            </w:r>
          </w:p>
          <w:p w14:paraId="60EB171F" w14:textId="77777777" w:rsidR="00EE3506" w:rsidRPr="008D1AEA" w:rsidRDefault="00EE3506" w:rsidP="00EE3506">
            <w:pPr>
              <w:pStyle w:val="Tabletext"/>
              <w:numPr>
                <w:ilvl w:val="0"/>
                <w:numId w:val="59"/>
              </w:numPr>
              <w:spacing w:before="20" w:after="20"/>
              <w:ind w:left="425" w:hanging="283"/>
              <w:rPr>
                <w:szCs w:val="18"/>
              </w:rPr>
            </w:pPr>
            <w:r w:rsidRPr="008D1AEA">
              <w:rPr>
                <w:szCs w:val="18"/>
              </w:rPr>
              <w:t xml:space="preserve">PATENT-1 </w:t>
            </w:r>
            <w:r w:rsidRPr="001D34EE">
              <w:rPr>
                <w:noProof/>
                <w:szCs w:val="18"/>
                <w:vertAlign w:val="superscript"/>
              </w:rPr>
              <w:t>23</w:t>
            </w:r>
            <w:r w:rsidRPr="008D1AEA">
              <w:rPr>
                <w:szCs w:val="18"/>
              </w:rPr>
              <w:t xml:space="preserve"> (treatment-naïve, WHO FC III/IV subgroup)</w:t>
            </w:r>
          </w:p>
          <w:p w14:paraId="35E2E56A" w14:textId="77777777" w:rsidR="00EE3506" w:rsidRPr="008D1AEA" w:rsidRDefault="00EE3506" w:rsidP="00644E07">
            <w:pPr>
              <w:pStyle w:val="Tabletext"/>
              <w:rPr>
                <w:szCs w:val="18"/>
              </w:rPr>
            </w:pPr>
            <w:r w:rsidRPr="008D1AEA">
              <w:rPr>
                <w:szCs w:val="18"/>
              </w:rPr>
              <w:t>with 3 RCTs comparing bosentan with placebo:</w:t>
            </w:r>
          </w:p>
          <w:p w14:paraId="5C87F596" w14:textId="77777777" w:rsidR="00EE3506" w:rsidRPr="008D1AEA" w:rsidRDefault="00EE3506" w:rsidP="00EE3506">
            <w:pPr>
              <w:pStyle w:val="Tabletext"/>
              <w:numPr>
                <w:ilvl w:val="0"/>
                <w:numId w:val="59"/>
              </w:numPr>
              <w:spacing w:before="20" w:after="20"/>
              <w:ind w:left="425" w:hanging="283"/>
              <w:rPr>
                <w:szCs w:val="18"/>
              </w:rPr>
            </w:pPr>
            <w:r w:rsidRPr="008D1AEA">
              <w:rPr>
                <w:szCs w:val="18"/>
              </w:rPr>
              <w:t xml:space="preserve">BREATHE-1 </w:t>
            </w:r>
            <w:r w:rsidRPr="001D34EE">
              <w:rPr>
                <w:noProof/>
                <w:szCs w:val="18"/>
                <w:vertAlign w:val="superscript"/>
              </w:rPr>
              <w:t>2</w:t>
            </w:r>
          </w:p>
          <w:p w14:paraId="66E572C7" w14:textId="77777777" w:rsidR="00EE3506" w:rsidRPr="008D1AEA" w:rsidRDefault="00EE3506" w:rsidP="00EE3506">
            <w:pPr>
              <w:pStyle w:val="Tabletext"/>
              <w:numPr>
                <w:ilvl w:val="0"/>
                <w:numId w:val="59"/>
              </w:numPr>
              <w:spacing w:before="20" w:after="20"/>
              <w:ind w:left="425" w:hanging="283"/>
              <w:rPr>
                <w:szCs w:val="18"/>
              </w:rPr>
            </w:pPr>
            <w:r w:rsidRPr="008D1AEA">
              <w:rPr>
                <w:szCs w:val="18"/>
              </w:rPr>
              <w:t xml:space="preserve">AC-052-351 </w:t>
            </w:r>
            <w:r w:rsidRPr="001D34EE">
              <w:rPr>
                <w:noProof/>
                <w:szCs w:val="18"/>
                <w:vertAlign w:val="superscript"/>
              </w:rPr>
              <w:t>3, 4</w:t>
            </w:r>
          </w:p>
          <w:p w14:paraId="0B711CBB" w14:textId="77777777" w:rsidR="00EE3506" w:rsidRDefault="00EE3506" w:rsidP="00EE3506">
            <w:pPr>
              <w:pStyle w:val="Tabletext"/>
              <w:numPr>
                <w:ilvl w:val="0"/>
                <w:numId w:val="59"/>
              </w:numPr>
              <w:spacing w:before="20" w:after="20"/>
              <w:ind w:left="425" w:hanging="283"/>
              <w:rPr>
                <w:szCs w:val="18"/>
              </w:rPr>
            </w:pPr>
            <w:r w:rsidRPr="008D1AEA">
              <w:rPr>
                <w:szCs w:val="18"/>
              </w:rPr>
              <w:t xml:space="preserve">BREATHE-5 </w:t>
            </w:r>
            <w:r w:rsidRPr="001D34EE">
              <w:rPr>
                <w:noProof/>
                <w:szCs w:val="18"/>
                <w:vertAlign w:val="superscript"/>
              </w:rPr>
              <w:t>5</w:t>
            </w:r>
          </w:p>
          <w:p w14:paraId="0D67DCA5" w14:textId="77777777" w:rsidR="00EE3506" w:rsidRPr="00EB1471" w:rsidRDefault="00EE3506" w:rsidP="00644E07">
            <w:pPr>
              <w:pStyle w:val="Tabletext"/>
              <w:rPr>
                <w:szCs w:val="18"/>
              </w:rPr>
            </w:pPr>
            <w:r>
              <w:rPr>
                <w:szCs w:val="18"/>
              </w:rPr>
              <w:t>via placebo as the common reference</w:t>
            </w:r>
          </w:p>
        </w:tc>
        <w:tc>
          <w:tcPr>
            <w:tcW w:w="1417" w:type="dxa"/>
          </w:tcPr>
          <w:p w14:paraId="64886DF2" w14:textId="77777777" w:rsidR="00EE3506" w:rsidRPr="00EB1471" w:rsidRDefault="00EE3506" w:rsidP="00644E07">
            <w:pPr>
              <w:pStyle w:val="Tabletext"/>
              <w:rPr>
                <w:szCs w:val="18"/>
              </w:rPr>
            </w:pPr>
            <w:r>
              <w:rPr>
                <w:szCs w:val="18"/>
              </w:rPr>
              <w:t>Riociguat vs bosentan</w:t>
            </w:r>
          </w:p>
        </w:tc>
        <w:tc>
          <w:tcPr>
            <w:tcW w:w="3198" w:type="dxa"/>
          </w:tcPr>
          <w:p w14:paraId="60EECC1B" w14:textId="77777777" w:rsidR="00EE3506" w:rsidRPr="00A7316D" w:rsidRDefault="00EE3506" w:rsidP="00EE3506">
            <w:pPr>
              <w:pStyle w:val="Tabletext"/>
              <w:numPr>
                <w:ilvl w:val="0"/>
                <w:numId w:val="60"/>
              </w:numPr>
              <w:spacing w:before="20" w:after="20"/>
              <w:ind w:left="227" w:hanging="227"/>
            </w:pPr>
            <w:r w:rsidRPr="00A7316D">
              <w:t>Riociguat was non-inferior to bosentan in terms of improvement in 6MWD</w:t>
            </w:r>
          </w:p>
          <w:p w14:paraId="441916ED" w14:textId="77777777" w:rsidR="00EE3506" w:rsidRPr="00EB1471" w:rsidRDefault="00EE3506" w:rsidP="00EE3506">
            <w:pPr>
              <w:pStyle w:val="Tabletext"/>
              <w:numPr>
                <w:ilvl w:val="0"/>
                <w:numId w:val="60"/>
              </w:numPr>
              <w:spacing w:before="20" w:after="20"/>
              <w:ind w:left="227" w:hanging="227"/>
              <w:rPr>
                <w:szCs w:val="18"/>
              </w:rPr>
            </w:pPr>
            <w:r w:rsidRPr="00A7316D">
              <w:t>The safety profiles of riociguat and bosentan were likely to be d</w:t>
            </w:r>
            <w:r w:rsidR="00F836D6">
              <w:t>issimilar</w:t>
            </w:r>
          </w:p>
        </w:tc>
      </w:tr>
    </w:tbl>
    <w:p w14:paraId="12A5DF29" w14:textId="77777777" w:rsidR="00EE3506" w:rsidRPr="00EB1471" w:rsidRDefault="00EE3506" w:rsidP="00EE3506">
      <w:pPr>
        <w:pStyle w:val="Tablenote"/>
      </w:pPr>
      <w:r>
        <w:t xml:space="preserve">6MWD = 6-minute walk distance; BDI= </w:t>
      </w:r>
      <w:r w:rsidRPr="00D5633D">
        <w:t>Borg Dyspnoea Index</w:t>
      </w:r>
      <w:r>
        <w:t xml:space="preserve">; </w:t>
      </w:r>
      <w:r w:rsidRPr="00EB1471">
        <w:t xml:space="preserve">FC = functional class; IPAH = idiopathic pulmonary arterial hypertension; PAH = pulmonary arterial hypertension; PAH-CTD = </w:t>
      </w:r>
      <w:r>
        <w:t>PAH</w:t>
      </w:r>
      <w:r w:rsidRPr="00EB1471">
        <w:t xml:space="preserve"> associated with connective tissue disease; PAH-CHD = </w:t>
      </w:r>
      <w:r>
        <w:t>PAH</w:t>
      </w:r>
      <w:r w:rsidRPr="00EB1471">
        <w:t xml:space="preserve"> associated with congenital heart disease; RCT = randomised controlled trial; WHO = World Health Organization</w:t>
      </w:r>
    </w:p>
    <w:p w14:paraId="006EED6F" w14:textId="77777777" w:rsidR="00EE3506" w:rsidRDefault="00EE3506" w:rsidP="00EE3506">
      <w:pPr>
        <w:pStyle w:val="Tablenote"/>
        <w:rPr>
          <w:i/>
        </w:rPr>
      </w:pPr>
      <w:r w:rsidRPr="00EB1471">
        <w:rPr>
          <w:i/>
        </w:rPr>
        <w:t>Source: Relevant Public summary documents and ratified PBAC minutes</w:t>
      </w:r>
    </w:p>
    <w:p w14:paraId="3A975E04" w14:textId="77777777" w:rsidR="001F2E47" w:rsidRDefault="001F2E47">
      <w:pPr>
        <w:jc w:val="left"/>
        <w:rPr>
          <w:rFonts w:eastAsiaTheme="minorEastAsia" w:cs="Baskerville"/>
          <w:i/>
          <w:sz w:val="18"/>
          <w:szCs w:val="20"/>
        </w:rPr>
      </w:pPr>
      <w:r>
        <w:rPr>
          <w:rFonts w:eastAsiaTheme="minorEastAsia" w:cs="Baskerville"/>
          <w:i/>
          <w:sz w:val="18"/>
          <w:szCs w:val="20"/>
        </w:rPr>
        <w:br w:type="page"/>
      </w:r>
    </w:p>
    <w:p w14:paraId="5BFE9D1D" w14:textId="77777777" w:rsidR="00532B79" w:rsidRPr="00532B79" w:rsidRDefault="00532B79" w:rsidP="00C21496">
      <w:pPr>
        <w:pStyle w:val="ToRText"/>
        <w:shd w:val="clear" w:color="auto" w:fill="F2F2F2" w:themeFill="background1" w:themeFillShade="F2"/>
        <w:rPr>
          <w:b w:val="0"/>
          <w:color w:val="auto"/>
          <w:shd w:val="clear" w:color="auto" w:fill="F2F2F2" w:themeFill="background1" w:themeFillShade="F2"/>
        </w:rPr>
      </w:pPr>
      <w:bookmarkStart w:id="72" w:name="_Toc508396550"/>
      <w:r w:rsidRPr="00532B79">
        <w:rPr>
          <w:b w:val="0"/>
          <w:color w:val="auto"/>
          <w:shd w:val="clear" w:color="auto" w:fill="F2F2F2" w:themeFill="background1" w:themeFillShade="F2"/>
        </w:rPr>
        <w:lastRenderedPageBreak/>
        <w:t>Q3.</w:t>
      </w:r>
      <w:r w:rsidRPr="00532B79">
        <w:rPr>
          <w:b w:val="0"/>
          <w:color w:val="auto"/>
          <w:shd w:val="clear" w:color="auto" w:fill="F2F2F2" w:themeFill="background1" w:themeFillShade="F2"/>
        </w:rPr>
        <w:tab/>
        <w:t>What is the effectiveness and safety of dual combination therapy involving any combination of an ERA, a PDE 5 inhibitor, a prostanoid, or a sGC stimulat</w:t>
      </w:r>
      <w:r w:rsidR="00A601D3">
        <w:rPr>
          <w:b w:val="0"/>
          <w:color w:val="auto"/>
          <w:shd w:val="clear" w:color="auto" w:fill="F2F2F2" w:themeFill="background1" w:themeFillShade="F2"/>
        </w:rPr>
        <w:t>or, compared to monotherapy, in</w:t>
      </w:r>
      <w:r w:rsidR="005E7312">
        <w:rPr>
          <w:b w:val="0"/>
          <w:color w:val="auto"/>
          <w:shd w:val="clear" w:color="auto" w:fill="F2F2F2" w:themeFill="background1" w:themeFillShade="F2"/>
        </w:rPr>
        <w:t>:</w:t>
      </w:r>
    </w:p>
    <w:p w14:paraId="51DE48C9" w14:textId="77777777" w:rsidR="00532B79" w:rsidRPr="00532B79" w:rsidRDefault="00532B79" w:rsidP="00C21496">
      <w:pPr>
        <w:pStyle w:val="ToRText"/>
        <w:shd w:val="clear" w:color="auto" w:fill="F2F2F2" w:themeFill="background1" w:themeFillShade="F2"/>
        <w:rPr>
          <w:b w:val="0"/>
          <w:color w:val="auto"/>
          <w:shd w:val="clear" w:color="auto" w:fill="F2F2F2" w:themeFill="background1" w:themeFillShade="F2"/>
        </w:rPr>
      </w:pPr>
      <w:r w:rsidRPr="00532B79">
        <w:rPr>
          <w:b w:val="0"/>
          <w:color w:val="auto"/>
          <w:shd w:val="clear" w:color="auto" w:fill="F2F2F2" w:themeFill="background1" w:themeFillShade="F2"/>
        </w:rPr>
        <w:t>i)</w:t>
      </w:r>
      <w:r w:rsidRPr="00532B79">
        <w:rPr>
          <w:b w:val="0"/>
          <w:color w:val="auto"/>
          <w:shd w:val="clear" w:color="auto" w:fill="F2F2F2" w:themeFill="background1" w:themeFillShade="F2"/>
        </w:rPr>
        <w:tab/>
        <w:t>PAH patients, irrespective of disease severity or aetiology;</w:t>
      </w:r>
    </w:p>
    <w:p w14:paraId="579B2C65" w14:textId="77777777" w:rsidR="00532B79" w:rsidRPr="00532B79" w:rsidRDefault="00532B79" w:rsidP="00C21496">
      <w:pPr>
        <w:pStyle w:val="ToRText"/>
        <w:shd w:val="clear" w:color="auto" w:fill="F2F2F2" w:themeFill="background1" w:themeFillShade="F2"/>
        <w:rPr>
          <w:b w:val="0"/>
          <w:color w:val="auto"/>
          <w:shd w:val="clear" w:color="auto" w:fill="F2F2F2" w:themeFill="background1" w:themeFillShade="F2"/>
        </w:rPr>
      </w:pPr>
      <w:r w:rsidRPr="00532B79">
        <w:rPr>
          <w:b w:val="0"/>
          <w:color w:val="auto"/>
          <w:shd w:val="clear" w:color="auto" w:fill="F2F2F2" w:themeFill="background1" w:themeFillShade="F2"/>
        </w:rPr>
        <w:t>ii)</w:t>
      </w:r>
      <w:r w:rsidRPr="00532B79">
        <w:rPr>
          <w:b w:val="0"/>
          <w:color w:val="auto"/>
          <w:shd w:val="clear" w:color="auto" w:fill="F2F2F2" w:themeFill="background1" w:themeFillShade="F2"/>
        </w:rPr>
        <w:tab/>
        <w:t>PAH patients with FC III or IV; and</w:t>
      </w:r>
    </w:p>
    <w:p w14:paraId="770315AD" w14:textId="77777777" w:rsidR="00532B79" w:rsidRPr="00D228A6" w:rsidRDefault="00532B79" w:rsidP="00C21496">
      <w:pPr>
        <w:pStyle w:val="ToRText"/>
        <w:shd w:val="clear" w:color="auto" w:fill="F2F2F2" w:themeFill="background1" w:themeFillShade="F2"/>
        <w:rPr>
          <w:b w:val="0"/>
          <w:color w:val="auto"/>
        </w:rPr>
      </w:pPr>
      <w:r w:rsidRPr="00532B79">
        <w:rPr>
          <w:b w:val="0"/>
          <w:color w:val="auto"/>
          <w:shd w:val="clear" w:color="auto" w:fill="F2F2F2" w:themeFill="background1" w:themeFillShade="F2"/>
        </w:rPr>
        <w:t>iii)</w:t>
      </w:r>
      <w:r w:rsidRPr="00532B79">
        <w:rPr>
          <w:b w:val="0"/>
          <w:color w:val="auto"/>
          <w:shd w:val="clear" w:color="auto" w:fill="F2F2F2" w:themeFill="background1" w:themeFillShade="F2"/>
        </w:rPr>
        <w:tab/>
        <w:t>PAH patients with different disease aetiologies?</w:t>
      </w:r>
    </w:p>
    <w:p w14:paraId="4C6378C5" w14:textId="77777777" w:rsidR="00321DBE" w:rsidRPr="009F466A" w:rsidRDefault="00321DBE" w:rsidP="00C21496">
      <w:pPr>
        <w:pStyle w:val="Heading3"/>
        <w:jc w:val="left"/>
      </w:pPr>
      <w:bookmarkStart w:id="73" w:name="_Toc526944008"/>
      <w:r w:rsidRPr="009F466A">
        <w:t>Effectiveness and safety of dual combination therapy</w:t>
      </w:r>
      <w:bookmarkEnd w:id="72"/>
      <w:bookmarkEnd w:id="73"/>
      <w:r w:rsidRPr="009F466A">
        <w:t xml:space="preserve"> </w:t>
      </w:r>
    </w:p>
    <w:p w14:paraId="1F1CFF33" w14:textId="77777777" w:rsidR="00321DBE" w:rsidRPr="009F466A" w:rsidRDefault="00321DBE" w:rsidP="00C21496">
      <w:pPr>
        <w:pStyle w:val="Heading4"/>
      </w:pPr>
      <w:r w:rsidRPr="009F466A">
        <w:t>ERA in addition to PDE-5 inhibitor</w:t>
      </w:r>
    </w:p>
    <w:p w14:paraId="36771501" w14:textId="77777777" w:rsidR="0016033A" w:rsidRPr="0016033A" w:rsidRDefault="0016033A" w:rsidP="00C21496">
      <w:pPr>
        <w:pStyle w:val="Heading5"/>
        <w:keepLines w:val="0"/>
        <w:numPr>
          <w:ilvl w:val="0"/>
          <w:numId w:val="0"/>
        </w:numPr>
        <w:spacing w:before="240"/>
        <w:jc w:val="left"/>
        <w:rPr>
          <w:color w:val="auto"/>
          <w:u w:val="single"/>
        </w:rPr>
      </w:pPr>
      <w:bookmarkStart w:id="74" w:name="_Ref506283556"/>
      <w:bookmarkStart w:id="75" w:name="_Toc508396838"/>
      <w:r w:rsidRPr="0016033A">
        <w:rPr>
          <w:color w:val="auto"/>
          <w:u w:val="single"/>
        </w:rPr>
        <w:t>Clinical effectiveness</w:t>
      </w:r>
    </w:p>
    <w:p w14:paraId="116D9A2A" w14:textId="77777777" w:rsidR="0016033A" w:rsidRDefault="0016033A" w:rsidP="00C21496">
      <w:pPr>
        <w:jc w:val="left"/>
      </w:pPr>
      <w:r w:rsidRPr="00822C52">
        <w:t>Four RCTs reported on the effectiveness of an ERA in addition to a PDE-5</w:t>
      </w:r>
      <w:r>
        <w:t xml:space="preserve"> </w:t>
      </w:r>
      <w:r w:rsidRPr="00C5017B">
        <w:t xml:space="preserve">inhibitor </w:t>
      </w:r>
      <w:r w:rsidRPr="00822C52">
        <w:t xml:space="preserve">in treating PAH compared with placebo plus a </w:t>
      </w:r>
      <w:r>
        <w:t>PDE-5 inhibitor</w:t>
      </w:r>
      <w:r w:rsidRPr="00822C52">
        <w:t xml:space="preserve"> in patients with PAH</w:t>
      </w:r>
      <w:r>
        <w:t>:</w:t>
      </w:r>
    </w:p>
    <w:p w14:paraId="34BFE5B8" w14:textId="77777777" w:rsidR="0016033A" w:rsidRPr="00CF209C" w:rsidRDefault="0016033A" w:rsidP="00C21496">
      <w:pPr>
        <w:pStyle w:val="Bullettext"/>
        <w:ind w:left="720"/>
      </w:pPr>
      <w:r w:rsidRPr="00CF209C">
        <w:t>Three trials (EARLY, COMPASS-2 and SERAPHIN) enrolled patients on stable PDE-5 inhibitor monotherapy (sequential combination therapy)</w:t>
      </w:r>
      <w:r>
        <w:t>.</w:t>
      </w:r>
    </w:p>
    <w:p w14:paraId="40DCA0FB" w14:textId="77777777" w:rsidR="0016033A" w:rsidRPr="004F537C" w:rsidRDefault="0016033A" w:rsidP="00C21496">
      <w:pPr>
        <w:pStyle w:val="Bullettext"/>
        <w:ind w:left="720"/>
      </w:pPr>
      <w:r w:rsidRPr="004F537C">
        <w:t>One trial (AMBITION) enrolled treatment naïve patients (initial combination therapy)</w:t>
      </w:r>
      <w:r w:rsidR="004F537C" w:rsidRPr="004F537C">
        <w:t>.</w:t>
      </w:r>
    </w:p>
    <w:p w14:paraId="6B188E8E" w14:textId="77777777" w:rsidR="0016033A" w:rsidRPr="004F537C" w:rsidRDefault="0016033A" w:rsidP="00C16A76">
      <w:pPr>
        <w:pStyle w:val="Bullettext"/>
        <w:ind w:left="720"/>
      </w:pPr>
      <w:r w:rsidRPr="004F537C">
        <w:t>There were no statistically significant di</w:t>
      </w:r>
      <w:r w:rsidRPr="00166AC7">
        <w:t>fferences in the effectiveness of treatment for patients receiving initial combination therapy versus monotherapy and patients receiving sequential</w:t>
      </w:r>
      <w:r w:rsidRPr="004F537C">
        <w:t xml:space="preserve"> combination therapy versus monotherapy.</w:t>
      </w:r>
    </w:p>
    <w:p w14:paraId="2821C178" w14:textId="77777777" w:rsidR="0016033A" w:rsidRPr="00CF209C" w:rsidRDefault="0016033A" w:rsidP="00C21496">
      <w:pPr>
        <w:pStyle w:val="Bullettext"/>
        <w:ind w:left="720"/>
      </w:pPr>
      <w:r w:rsidRPr="00CF209C">
        <w:t xml:space="preserve">Two RCTs included </w:t>
      </w:r>
      <w:r>
        <w:t xml:space="preserve">a </w:t>
      </w:r>
      <w:r w:rsidRPr="00CF209C">
        <w:t>subgroup analysis for patients with WHO FC III/IV PAH</w:t>
      </w:r>
      <w:r>
        <w:t>.</w:t>
      </w:r>
    </w:p>
    <w:p w14:paraId="3207D104" w14:textId="77777777" w:rsidR="0016033A" w:rsidRPr="00CF209C" w:rsidRDefault="0016033A" w:rsidP="00C21496">
      <w:pPr>
        <w:pStyle w:val="Bullettext"/>
        <w:ind w:left="720"/>
      </w:pPr>
      <w:r w:rsidRPr="00CF209C">
        <w:t xml:space="preserve">Two RCTs included </w:t>
      </w:r>
      <w:r>
        <w:t xml:space="preserve">a </w:t>
      </w:r>
      <w:r w:rsidRPr="00CF209C">
        <w:t>subgroup analysis for patients with</w:t>
      </w:r>
      <w:r>
        <w:t xml:space="preserve"> different PAH aetiologies.</w:t>
      </w:r>
    </w:p>
    <w:p w14:paraId="70EA57AC" w14:textId="77777777" w:rsidR="0016033A" w:rsidRDefault="0016033A" w:rsidP="00C21496">
      <w:pPr>
        <w:jc w:val="left"/>
      </w:pPr>
      <w:r>
        <w:t xml:space="preserve">The evidence provided by these trials is summarised in </w:t>
      </w:r>
      <w:r w:rsidR="00CC79E1">
        <w:t>Table ES.</w:t>
      </w:r>
      <w:r w:rsidR="00CC79E1">
        <w:rPr>
          <w:noProof/>
        </w:rPr>
        <w:t>9</w:t>
      </w:r>
      <w:r w:rsidR="00AE4F76">
        <w:t>.</w:t>
      </w:r>
    </w:p>
    <w:p w14:paraId="69325DCA" w14:textId="77777777" w:rsidR="00AA35AB" w:rsidRDefault="0016033A" w:rsidP="00C21496">
      <w:pPr>
        <w:jc w:val="left"/>
      </w:pPr>
      <w:r>
        <w:t xml:space="preserve">Overall, </w:t>
      </w:r>
      <w:r w:rsidRPr="00C84392">
        <w:t>there is some evidence to suggest</w:t>
      </w:r>
      <w:r>
        <w:t xml:space="preserve"> that</w:t>
      </w:r>
      <w:r w:rsidRPr="00843DF8">
        <w:t xml:space="preserve"> the use of an ERA in addition to PDE-5 inhibitor, relative to PDE-5 inhibitor monotherapy to treat PAH patients is likely to be beneficial</w:t>
      </w:r>
      <w:r w:rsidRPr="006316DF">
        <w:t xml:space="preserve">. </w:t>
      </w:r>
      <w:r>
        <w:t>The evidence for patients with WHO FC III/IV PAH</w:t>
      </w:r>
      <w:r w:rsidRPr="00FD4377">
        <w:t xml:space="preserve"> </w:t>
      </w:r>
      <w:r>
        <w:t>and for patients with different PAH aetiologies is more limited, introducing more uncertainty.</w:t>
      </w:r>
    </w:p>
    <w:p w14:paraId="4C44F569" w14:textId="77777777" w:rsidR="00AA35AB" w:rsidRDefault="00AA35AB">
      <w:pPr>
        <w:jc w:val="left"/>
      </w:pPr>
      <w:r>
        <w:br w:type="page"/>
      </w:r>
    </w:p>
    <w:p w14:paraId="0C878D9F" w14:textId="77777777" w:rsidR="0016033A" w:rsidRDefault="0016033A" w:rsidP="00C21496">
      <w:pPr>
        <w:jc w:val="left"/>
      </w:pPr>
    </w:p>
    <w:p w14:paraId="4750C362" w14:textId="77777777" w:rsidR="008B69E5" w:rsidRPr="008B69E5" w:rsidRDefault="008B69E5" w:rsidP="00C21496">
      <w:pPr>
        <w:pStyle w:val="Caption"/>
        <w:jc w:val="left"/>
      </w:pPr>
      <w:bookmarkStart w:id="76" w:name="_Ref511118773"/>
      <w:bookmarkStart w:id="77" w:name="_Toc38372128"/>
      <w:bookmarkEnd w:id="74"/>
      <w:bookmarkEnd w:id="75"/>
      <w:r>
        <w:t>Table ES.</w:t>
      </w:r>
      <w:r w:rsidR="00CC79E1">
        <w:rPr>
          <w:noProof/>
        </w:rPr>
        <w:t>9</w:t>
      </w:r>
      <w:bookmarkEnd w:id="76"/>
      <w:r>
        <w:tab/>
      </w:r>
      <w:r w:rsidRPr="00C10642">
        <w:t>Summary of the evidence for the clinical effectiveness of an ERA in addition to a</w:t>
      </w:r>
      <w:r w:rsidRPr="009F466A">
        <w:t xml:space="preserve"> PDE-5 inhibitor, relative to PDE-5 inhibitor monotherapy</w:t>
      </w:r>
      <w:bookmarkEnd w:id="77"/>
    </w:p>
    <w:tbl>
      <w:tblPr>
        <w:tblStyle w:val="TableGrid"/>
        <w:tblW w:w="9634" w:type="dxa"/>
        <w:tblLayout w:type="fixed"/>
        <w:tblLook w:val="04A0" w:firstRow="1" w:lastRow="0" w:firstColumn="1" w:lastColumn="0" w:noHBand="0" w:noVBand="1"/>
        <w:tblCaption w:val="Summary of the evidence for the clinical effectiveness of an ERA in addition to a PDE-5 inhibitor, relative to PDE-5 inhibitor monotherapy"/>
      </w:tblPr>
      <w:tblGrid>
        <w:gridCol w:w="1555"/>
        <w:gridCol w:w="1656"/>
        <w:gridCol w:w="583"/>
        <w:gridCol w:w="283"/>
        <w:gridCol w:w="2345"/>
        <w:gridCol w:w="3212"/>
      </w:tblGrid>
      <w:tr w:rsidR="00321DBE" w:rsidRPr="009F466A" w14:paraId="39AF9AB8" w14:textId="77777777" w:rsidTr="00FF6202">
        <w:trPr>
          <w:tblHeader/>
        </w:trPr>
        <w:tc>
          <w:tcPr>
            <w:tcW w:w="1555" w:type="dxa"/>
            <w:shd w:val="clear" w:color="auto" w:fill="BFBFBF" w:themeFill="background1" w:themeFillShade="BF"/>
          </w:tcPr>
          <w:p w14:paraId="00647068" w14:textId="77777777" w:rsidR="00321DBE" w:rsidRPr="00A4053B" w:rsidRDefault="00321DBE" w:rsidP="00C21496">
            <w:pPr>
              <w:pStyle w:val="TableTextDusc"/>
              <w:rPr>
                <w:b/>
              </w:rPr>
            </w:pPr>
            <w:r w:rsidRPr="00A4053B">
              <w:rPr>
                <w:b/>
              </w:rPr>
              <w:t>Outcome</w:t>
            </w:r>
          </w:p>
        </w:tc>
        <w:tc>
          <w:tcPr>
            <w:tcW w:w="2239" w:type="dxa"/>
            <w:gridSpan w:val="2"/>
            <w:shd w:val="clear" w:color="auto" w:fill="BFBFBF" w:themeFill="background1" w:themeFillShade="BF"/>
          </w:tcPr>
          <w:p w14:paraId="2838E52E" w14:textId="77777777" w:rsidR="00321DBE" w:rsidRPr="00A4053B" w:rsidRDefault="00321DBE" w:rsidP="00C21496">
            <w:pPr>
              <w:pStyle w:val="TableTextDusc"/>
              <w:rPr>
                <w:b/>
              </w:rPr>
            </w:pPr>
            <w:r w:rsidRPr="00A4053B">
              <w:rPr>
                <w:b/>
              </w:rPr>
              <w:t xml:space="preserve">Included trials </w:t>
            </w:r>
          </w:p>
          <w:p w14:paraId="29BCCD50" w14:textId="77777777" w:rsidR="00321DBE" w:rsidRPr="00A4053B" w:rsidRDefault="00321DBE" w:rsidP="00C21496">
            <w:pPr>
              <w:pStyle w:val="TableTextDusc"/>
              <w:rPr>
                <w:b/>
              </w:rPr>
            </w:pPr>
            <w:r w:rsidRPr="00A4053B">
              <w:rPr>
                <w:b/>
              </w:rPr>
              <w:t>No. of patients</w:t>
            </w:r>
          </w:p>
        </w:tc>
        <w:tc>
          <w:tcPr>
            <w:tcW w:w="5840" w:type="dxa"/>
            <w:gridSpan w:val="3"/>
            <w:shd w:val="clear" w:color="auto" w:fill="BFBFBF" w:themeFill="background1" w:themeFillShade="BF"/>
          </w:tcPr>
          <w:p w14:paraId="4B1D2F62" w14:textId="77777777" w:rsidR="00321DBE" w:rsidRPr="00A4053B" w:rsidRDefault="00321DBE" w:rsidP="00C21496">
            <w:pPr>
              <w:pStyle w:val="TableTextDusc"/>
              <w:rPr>
                <w:b/>
              </w:rPr>
            </w:pPr>
            <w:r w:rsidRPr="00A4053B">
              <w:rPr>
                <w:b/>
              </w:rPr>
              <w:t>Summary of evidence</w:t>
            </w:r>
          </w:p>
        </w:tc>
      </w:tr>
      <w:tr w:rsidR="00406F77" w:rsidRPr="009F466A" w14:paraId="26D12477" w14:textId="77777777" w:rsidTr="005F2F5B">
        <w:tc>
          <w:tcPr>
            <w:tcW w:w="3211" w:type="dxa"/>
            <w:gridSpan w:val="2"/>
            <w:shd w:val="clear" w:color="auto" w:fill="000000" w:themeFill="text1"/>
          </w:tcPr>
          <w:p w14:paraId="20CF4FB3" w14:textId="77777777" w:rsidR="00406F77" w:rsidRPr="009F466A" w:rsidRDefault="00406F77" w:rsidP="00C21496">
            <w:pPr>
              <w:pStyle w:val="TableTextDusc"/>
            </w:pPr>
            <w:r w:rsidRPr="009F466A">
              <w:t>All PAH patients</w:t>
            </w:r>
          </w:p>
        </w:tc>
        <w:tc>
          <w:tcPr>
            <w:tcW w:w="3211" w:type="dxa"/>
            <w:gridSpan w:val="3"/>
            <w:shd w:val="clear" w:color="auto" w:fill="000000" w:themeFill="text1"/>
          </w:tcPr>
          <w:p w14:paraId="4C314B1C" w14:textId="77777777" w:rsidR="00406F77" w:rsidRPr="00406F77" w:rsidRDefault="00406F77" w:rsidP="00C21496">
            <w:pPr>
              <w:pStyle w:val="TableTextDusc"/>
              <w:rPr>
                <w:highlight w:val="black"/>
              </w:rPr>
            </w:pPr>
          </w:p>
        </w:tc>
        <w:tc>
          <w:tcPr>
            <w:tcW w:w="3212" w:type="dxa"/>
            <w:shd w:val="clear" w:color="auto" w:fill="000000" w:themeFill="text1"/>
          </w:tcPr>
          <w:p w14:paraId="1A1B5D25" w14:textId="77777777" w:rsidR="00406F77" w:rsidRPr="00406F77" w:rsidRDefault="00406F77" w:rsidP="00C21496">
            <w:pPr>
              <w:pStyle w:val="TableTextDusc"/>
              <w:rPr>
                <w:highlight w:val="black"/>
              </w:rPr>
            </w:pPr>
          </w:p>
        </w:tc>
      </w:tr>
      <w:tr w:rsidR="00321DBE" w:rsidRPr="00731E4D" w14:paraId="3AD71290" w14:textId="77777777" w:rsidTr="003B00E9">
        <w:tc>
          <w:tcPr>
            <w:tcW w:w="1555" w:type="dxa"/>
          </w:tcPr>
          <w:p w14:paraId="4070C2C5" w14:textId="77777777" w:rsidR="00321DBE" w:rsidRPr="00731E4D" w:rsidRDefault="00321DBE" w:rsidP="00C21496">
            <w:pPr>
              <w:pStyle w:val="TableTextDusc"/>
            </w:pPr>
            <w:r w:rsidRPr="00731E4D">
              <w:t>Clinical worsening</w:t>
            </w:r>
          </w:p>
        </w:tc>
        <w:tc>
          <w:tcPr>
            <w:tcW w:w="2239" w:type="dxa"/>
            <w:gridSpan w:val="2"/>
          </w:tcPr>
          <w:p w14:paraId="40ECDBBA" w14:textId="77777777" w:rsidR="00321DBE" w:rsidRPr="00731E4D" w:rsidRDefault="00321DBE" w:rsidP="00C21496">
            <w:pPr>
              <w:pStyle w:val="TableTextDusc"/>
            </w:pPr>
            <w:r w:rsidRPr="00731E4D">
              <w:t>EARLY</w:t>
            </w:r>
            <w:r w:rsidRPr="00731E4D">
              <w:br/>
              <w:t>(bosentan/sildenafil)</w:t>
            </w:r>
          </w:p>
          <w:p w14:paraId="59B65871" w14:textId="77777777" w:rsidR="00321DBE" w:rsidRPr="00731E4D" w:rsidRDefault="00321DBE" w:rsidP="00C21496">
            <w:pPr>
              <w:pStyle w:val="TableTextDusc"/>
            </w:pPr>
            <w:r w:rsidRPr="00731E4D">
              <w:t>COMPASS-2</w:t>
            </w:r>
            <w:r w:rsidRPr="00731E4D">
              <w:br/>
              <w:t>(bosentan/sildenafil)</w:t>
            </w:r>
          </w:p>
          <w:p w14:paraId="436BDA24" w14:textId="77777777" w:rsidR="00321DBE" w:rsidRPr="00731E4D" w:rsidRDefault="00321DBE" w:rsidP="00C21496">
            <w:pPr>
              <w:pStyle w:val="TableTextDusc"/>
            </w:pPr>
            <w:r w:rsidRPr="00731E4D">
              <w:t>SERAPHIN</w:t>
            </w:r>
            <w:r w:rsidRPr="00731E4D">
              <w:br/>
              <w:t>(macitentan/any PDE-5i)</w:t>
            </w:r>
          </w:p>
          <w:p w14:paraId="1B9C70EB" w14:textId="77777777" w:rsidR="00321DBE" w:rsidRPr="00731E4D" w:rsidRDefault="00321DBE" w:rsidP="00C21496">
            <w:pPr>
              <w:pStyle w:val="TableTextDusc"/>
            </w:pPr>
            <w:r w:rsidRPr="00731E4D">
              <w:t>AMBITION</w:t>
            </w:r>
            <w:r w:rsidRPr="00731E4D">
              <w:br/>
              <w:t>(ambrisentan/tadalafil)</w:t>
            </w:r>
          </w:p>
          <w:p w14:paraId="5BA4B90B" w14:textId="77777777" w:rsidR="00321DBE" w:rsidRPr="00731E4D" w:rsidRDefault="00321DBE" w:rsidP="00C21496">
            <w:pPr>
              <w:pStyle w:val="TableTextDusc"/>
            </w:pPr>
            <w:r w:rsidRPr="00731E4D">
              <w:t>N=1,124</w:t>
            </w:r>
          </w:p>
        </w:tc>
        <w:tc>
          <w:tcPr>
            <w:tcW w:w="5840" w:type="dxa"/>
            <w:gridSpan w:val="3"/>
          </w:tcPr>
          <w:p w14:paraId="595BB462" w14:textId="1F214E41" w:rsidR="00321DBE" w:rsidRPr="00731E4D" w:rsidRDefault="00321DBE" w:rsidP="00C21496">
            <w:pPr>
              <w:pStyle w:val="TableTextDusc"/>
            </w:pPr>
            <w:r w:rsidRPr="00731E4D">
              <w:t>High quality</w:t>
            </w:r>
            <w:r w:rsidRPr="00731E4D">
              <w:rPr>
                <w:rFonts w:cs="Cambria Math"/>
              </w:rPr>
              <w:t xml:space="preserve"> evidence (GRADE </w:t>
            </w:r>
            <w:r w:rsidR="00C220DD" w:rsidRPr="00C220DD">
              <w:rPr>
                <w:rFonts w:ascii="Cambria Math" w:hAnsi="Cambria Math" w:cs="Cambria Math"/>
                <w:color w:val="00B050"/>
              </w:rPr>
              <w:t>⨁⨁⨁⨁</w:t>
            </w:r>
            <w:r w:rsidRPr="00731E4D">
              <w:t>)</w:t>
            </w:r>
          </w:p>
          <w:p w14:paraId="2E240831" w14:textId="77777777" w:rsidR="00321DBE" w:rsidRPr="00C07794" w:rsidRDefault="00C07794" w:rsidP="00C21496">
            <w:pPr>
              <w:pStyle w:val="TableTextDusc"/>
              <w:rPr>
                <w:highlight w:val="black"/>
              </w:rPr>
            </w:pPr>
            <w:r>
              <w:rPr>
                <w:noProof/>
                <w:color w:val="000000"/>
                <w:highlight w:val="black"/>
              </w:rPr>
              <w:t>'''''''''''''''''''''''''''' '''''''''''' ''''''''''''''''''' '''''''''''''''''''''''''''''''' '''''''''''''''' ''''''''''''''''''''''''''' '''''''''' '''''''''''''''''''''''''' ''''''''''''''''' '''''''''''''''''''''''' ''''''''' ''''''''''''''''''''''''''''' ''''''''''''''''' ''''''' '''' ''''''''''' ''''''''''' '''''' ''''''''''' '''''''''''</w:t>
            </w:r>
          </w:p>
          <w:p w14:paraId="375B0B8E" w14:textId="77777777" w:rsidR="00321DBE" w:rsidRPr="00C07794" w:rsidRDefault="00C07794" w:rsidP="00C21496">
            <w:pPr>
              <w:pStyle w:val="TableTextDusc"/>
              <w:rPr>
                <w:highlight w:val="black"/>
              </w:rPr>
            </w:pPr>
            <w:r>
              <w:rPr>
                <w:noProof/>
                <w:color w:val="000000"/>
                <w:highlight w:val="black"/>
              </w:rPr>
              <w:t>'''''''''''''' '''''''''''' '''''' ''''''''''''''''''''''''' '''''''''''''''''''''''''' '''' '''''''''''''''''''''' ''''''''''''''''''''''''''''''''' '''''' '''''''' ''''''''''''''''''''' ''''''''''''''''''''' ''''''''''''''''''''''''''''''''''</w:t>
            </w:r>
          </w:p>
        </w:tc>
      </w:tr>
      <w:tr w:rsidR="00321DBE" w:rsidRPr="009F466A" w14:paraId="7B794B05" w14:textId="77777777" w:rsidTr="003B00E9">
        <w:tc>
          <w:tcPr>
            <w:tcW w:w="1555" w:type="dxa"/>
          </w:tcPr>
          <w:p w14:paraId="67EFFF31" w14:textId="77777777" w:rsidR="00321DBE" w:rsidRPr="00731E4D" w:rsidRDefault="00321DBE" w:rsidP="00C21496">
            <w:pPr>
              <w:pStyle w:val="TableTextDusc"/>
            </w:pPr>
            <w:r w:rsidRPr="00731E4D">
              <w:t>All-cause mortality</w:t>
            </w:r>
          </w:p>
        </w:tc>
        <w:tc>
          <w:tcPr>
            <w:tcW w:w="2239" w:type="dxa"/>
            <w:gridSpan w:val="2"/>
          </w:tcPr>
          <w:p w14:paraId="7D1DF5AE" w14:textId="77777777" w:rsidR="00321DBE" w:rsidRPr="00731E4D" w:rsidRDefault="00321DBE" w:rsidP="00C21496">
            <w:pPr>
              <w:pStyle w:val="TableTextDusc"/>
            </w:pPr>
            <w:r w:rsidRPr="00731E4D">
              <w:t>EARLY</w:t>
            </w:r>
            <w:r w:rsidRPr="00731E4D">
              <w:br/>
              <w:t>(bosentan/sildenafil)</w:t>
            </w:r>
          </w:p>
          <w:p w14:paraId="01671039" w14:textId="77777777" w:rsidR="00321DBE" w:rsidRPr="00731E4D" w:rsidRDefault="00321DBE" w:rsidP="00C21496">
            <w:pPr>
              <w:pStyle w:val="TableTextDusc"/>
            </w:pPr>
            <w:r w:rsidRPr="00731E4D">
              <w:t>COMPASS-2 (bosentan/sildenafil)</w:t>
            </w:r>
          </w:p>
          <w:p w14:paraId="69E5FF7F" w14:textId="77777777" w:rsidR="00321DBE" w:rsidRPr="00731E4D" w:rsidRDefault="00321DBE" w:rsidP="00C21496">
            <w:pPr>
              <w:pStyle w:val="TableTextDusc"/>
            </w:pPr>
            <w:r w:rsidRPr="00731E4D">
              <w:t>SERAPHIN</w:t>
            </w:r>
            <w:r w:rsidRPr="00731E4D">
              <w:br/>
              <w:t>(macitentan/any PDE-5i)</w:t>
            </w:r>
          </w:p>
          <w:p w14:paraId="37878C19" w14:textId="77777777" w:rsidR="00321DBE" w:rsidRPr="00731E4D" w:rsidRDefault="00321DBE" w:rsidP="00C21496">
            <w:pPr>
              <w:pStyle w:val="TableTextDusc"/>
            </w:pPr>
            <w:r w:rsidRPr="00731E4D">
              <w:t>AMBITION (ambrisentan/tadalafil)</w:t>
            </w:r>
          </w:p>
          <w:p w14:paraId="66165BAB" w14:textId="77777777" w:rsidR="00321DBE" w:rsidRPr="00731E4D" w:rsidRDefault="00321DBE" w:rsidP="00C21496">
            <w:pPr>
              <w:pStyle w:val="TableTextDusc"/>
            </w:pPr>
            <w:r w:rsidRPr="00731E4D">
              <w:t>N=1,124</w:t>
            </w:r>
          </w:p>
        </w:tc>
        <w:tc>
          <w:tcPr>
            <w:tcW w:w="5840" w:type="dxa"/>
            <w:gridSpan w:val="3"/>
          </w:tcPr>
          <w:p w14:paraId="02C79EFE" w14:textId="792EC4ED" w:rsidR="00321DBE" w:rsidRPr="00731E4D" w:rsidRDefault="00321DBE" w:rsidP="00C21496">
            <w:pPr>
              <w:pStyle w:val="TableTextDusc"/>
            </w:pPr>
            <w:r w:rsidRPr="00731E4D">
              <w:t>Moderate quality</w:t>
            </w:r>
            <w:r w:rsidRPr="00731E4D">
              <w:rPr>
                <w:rFonts w:cs="Cambria Math"/>
              </w:rPr>
              <w:t xml:space="preserve">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color w:val="FF0000"/>
              </w:rPr>
              <w:t>⨀</w:t>
            </w:r>
            <w:r w:rsidRPr="00731E4D">
              <w:t>)</w:t>
            </w:r>
          </w:p>
          <w:p w14:paraId="3F2B3105" w14:textId="77777777" w:rsidR="00321DBE" w:rsidRPr="00C07794" w:rsidRDefault="00C07794" w:rsidP="00C21496">
            <w:pPr>
              <w:pStyle w:val="TableTextDusc"/>
              <w:rPr>
                <w:highlight w:val="black"/>
              </w:rPr>
            </w:pPr>
            <w:r>
              <w:rPr>
                <w:noProof/>
                <w:color w:val="000000"/>
                <w:highlight w:val="black"/>
              </w:rPr>
              <w:t>'''''''''''''''' ''''''''''''''''''''' '''''''''' ''''''''' ''''''''' ''''''''''''' ''''''''' '''''''''''''''''''''''''''' ''''''''''''''''''' ''''''''''''''''''''' '''''''''' ''''''''''''''''''''''''''''' '''''''' '''''''' ''''''''''' '''''' '''''''''''''''''''''' ''''''''' ''''''''''''' ''''''''''' ''''''''' '''''' '''''' ''''''''''''' '''''''''''''''''' ''''''' ''' ''''''''''' '''''''''' '''''' ''''''''''''' '''''''''''''</w:t>
            </w:r>
          </w:p>
          <w:p w14:paraId="77044FE0" w14:textId="77777777" w:rsidR="00321DBE" w:rsidRPr="00C07794" w:rsidRDefault="00C07794" w:rsidP="00C21496">
            <w:pPr>
              <w:pStyle w:val="TableTextDusc"/>
              <w:rPr>
                <w:highlight w:val="black"/>
              </w:rPr>
            </w:pPr>
            <w:r>
              <w:rPr>
                <w:noProof/>
                <w:color w:val="000000"/>
                <w:highlight w:val="black"/>
              </w:rPr>
              <w:t>'''''''''''''' ''''''''''' '''''' ''''''''''''''''''''''''' ''''''''''''''''''''''''''' ''''' '''''''''''''''''''''''' '''''''''''''''''''''''''''''' '''''' '''''''' '''''''''''''''''' ''''''''''''''''''''' '''''''''''''''''''''''''''''</w:t>
            </w:r>
            <w:r w:rsidR="00321DBE" w:rsidRPr="00C07794">
              <w:rPr>
                <w:highlight w:val="black"/>
              </w:rPr>
              <w:t xml:space="preserve"> </w:t>
            </w:r>
          </w:p>
        </w:tc>
      </w:tr>
      <w:tr w:rsidR="00321DBE" w:rsidRPr="009F466A" w14:paraId="685FA82C" w14:textId="77777777" w:rsidTr="003B00E9">
        <w:tc>
          <w:tcPr>
            <w:tcW w:w="1555" w:type="dxa"/>
          </w:tcPr>
          <w:p w14:paraId="773FE863" w14:textId="77777777" w:rsidR="00321DBE" w:rsidRPr="009F466A" w:rsidRDefault="00321DBE" w:rsidP="00C21496">
            <w:pPr>
              <w:pStyle w:val="TableTextDusc"/>
            </w:pPr>
            <w:r w:rsidRPr="009F466A">
              <w:t>Hospitalisation due to worsening PAH</w:t>
            </w:r>
          </w:p>
        </w:tc>
        <w:tc>
          <w:tcPr>
            <w:tcW w:w="2239" w:type="dxa"/>
            <w:gridSpan w:val="2"/>
          </w:tcPr>
          <w:p w14:paraId="69C31B9E" w14:textId="77777777" w:rsidR="00321DBE" w:rsidRPr="009F466A" w:rsidRDefault="00321DBE" w:rsidP="00C21496">
            <w:pPr>
              <w:pStyle w:val="TableTextDusc"/>
            </w:pPr>
            <w:r w:rsidRPr="009F466A">
              <w:t>SERAPHIN</w:t>
            </w:r>
            <w:r w:rsidRPr="009F466A">
              <w:br/>
              <w:t>(macitentan/any PDE-5i)</w:t>
            </w:r>
          </w:p>
          <w:p w14:paraId="7D076DC3" w14:textId="77777777" w:rsidR="00321DBE" w:rsidRPr="009F466A" w:rsidRDefault="00321DBE" w:rsidP="00C21496">
            <w:pPr>
              <w:pStyle w:val="TableTextDusc"/>
            </w:pPr>
            <w:r w:rsidRPr="009F466A">
              <w:t>AMBITION (ambrisentan/tadalafil)</w:t>
            </w:r>
          </w:p>
          <w:p w14:paraId="210ACB3A" w14:textId="77777777" w:rsidR="00321DBE" w:rsidRPr="009F466A" w:rsidRDefault="00321DBE" w:rsidP="00C21496">
            <w:pPr>
              <w:pStyle w:val="TableTextDusc"/>
            </w:pPr>
            <w:r w:rsidRPr="009F466A">
              <w:t>N=761</w:t>
            </w:r>
          </w:p>
        </w:tc>
        <w:tc>
          <w:tcPr>
            <w:tcW w:w="5840" w:type="dxa"/>
            <w:gridSpan w:val="3"/>
          </w:tcPr>
          <w:p w14:paraId="36232D70" w14:textId="6BC0109F"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7E92F275" w14:textId="77777777" w:rsidR="00321DBE" w:rsidRPr="009F466A" w:rsidRDefault="00321DBE" w:rsidP="00C21496">
            <w:pPr>
              <w:pStyle w:val="TableTextDusc"/>
            </w:pPr>
            <w:r w:rsidRPr="009F466A">
              <w:t>Significantly fewer patients were hospitalised for worsening PAH with combination therapy compared with monotherapy</w:t>
            </w:r>
            <w:r w:rsidRPr="009F466A" w:rsidDel="00767852">
              <w:t xml:space="preserve"> </w:t>
            </w:r>
            <w:r w:rsidRPr="009F466A">
              <w:t>(pooled RR = 0.67; 95% CI 0.45, 0.98)</w:t>
            </w:r>
          </w:p>
          <w:p w14:paraId="666C6B5C"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35ED6E43" w14:textId="77777777" w:rsidTr="003B00E9">
        <w:tc>
          <w:tcPr>
            <w:tcW w:w="1555" w:type="dxa"/>
          </w:tcPr>
          <w:p w14:paraId="38C39493" w14:textId="77777777" w:rsidR="00321DBE" w:rsidRPr="009F466A" w:rsidRDefault="00321DBE" w:rsidP="00C21496">
            <w:pPr>
              <w:pStyle w:val="TableTextDusc"/>
            </w:pPr>
            <w:r w:rsidRPr="009F466A">
              <w:t>Improved WHO FC</w:t>
            </w:r>
          </w:p>
        </w:tc>
        <w:tc>
          <w:tcPr>
            <w:tcW w:w="2239" w:type="dxa"/>
            <w:gridSpan w:val="2"/>
          </w:tcPr>
          <w:p w14:paraId="42279728" w14:textId="77777777" w:rsidR="00321DBE" w:rsidRPr="009F466A" w:rsidRDefault="00321DBE" w:rsidP="00C21496">
            <w:pPr>
              <w:pStyle w:val="TableTextDusc"/>
            </w:pPr>
            <w:r w:rsidRPr="009F466A">
              <w:t>COMPASS-2 (bosentan/sildenafil)</w:t>
            </w:r>
          </w:p>
          <w:p w14:paraId="03DEA583" w14:textId="77777777" w:rsidR="00321DBE" w:rsidRPr="009F466A" w:rsidRDefault="00321DBE" w:rsidP="00C21496">
            <w:pPr>
              <w:pStyle w:val="TableTextDusc"/>
            </w:pPr>
            <w:r w:rsidRPr="009F466A">
              <w:t>AMBITION (ambrisentan/tadalafil)</w:t>
            </w:r>
          </w:p>
          <w:p w14:paraId="0F804D1D" w14:textId="77777777" w:rsidR="00321DBE" w:rsidRPr="009F466A" w:rsidRDefault="00321DBE" w:rsidP="00C21496">
            <w:pPr>
              <w:pStyle w:val="TableTextDusc"/>
            </w:pPr>
            <w:r w:rsidRPr="009F466A">
              <w:t>N=706</w:t>
            </w:r>
          </w:p>
        </w:tc>
        <w:tc>
          <w:tcPr>
            <w:tcW w:w="5840" w:type="dxa"/>
            <w:gridSpan w:val="3"/>
          </w:tcPr>
          <w:p w14:paraId="481AFFB1" w14:textId="598E6F65"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4ECFFEF1" w14:textId="77777777" w:rsidR="00321DBE" w:rsidRPr="009F466A" w:rsidRDefault="00321DBE" w:rsidP="00C21496">
            <w:pPr>
              <w:pStyle w:val="TableTextDusc"/>
            </w:pPr>
            <w:r w:rsidRPr="009F466A">
              <w:t>There was little difference in the proportion of patients whose WHO FC improved with combination therapy compared with monotherapy (pooled RR = 1.10; 95% CI 0.85, 1.42)</w:t>
            </w:r>
          </w:p>
          <w:p w14:paraId="1C7454FF"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717A8B29" w14:textId="77777777" w:rsidTr="003B00E9">
        <w:tc>
          <w:tcPr>
            <w:tcW w:w="1555" w:type="dxa"/>
          </w:tcPr>
          <w:p w14:paraId="70ABDFF2" w14:textId="77777777" w:rsidR="00321DBE" w:rsidRPr="009F466A" w:rsidRDefault="00321DBE" w:rsidP="00C21496">
            <w:pPr>
              <w:pStyle w:val="TableTextDusc"/>
            </w:pPr>
            <w:r w:rsidRPr="009F466A">
              <w:t>Worsened WHO FC</w:t>
            </w:r>
          </w:p>
        </w:tc>
        <w:tc>
          <w:tcPr>
            <w:tcW w:w="2239" w:type="dxa"/>
            <w:gridSpan w:val="2"/>
          </w:tcPr>
          <w:p w14:paraId="0CBB3E6E" w14:textId="77777777" w:rsidR="00321DBE" w:rsidRPr="009F466A" w:rsidRDefault="00321DBE" w:rsidP="00C21496">
            <w:pPr>
              <w:pStyle w:val="TableTextDusc"/>
            </w:pPr>
            <w:r w:rsidRPr="009F466A">
              <w:t>COMPASS-2 (bosentan/sildenafil)</w:t>
            </w:r>
          </w:p>
          <w:p w14:paraId="0656AAA7" w14:textId="77777777" w:rsidR="00321DBE" w:rsidRPr="009F466A" w:rsidRDefault="00321DBE" w:rsidP="00C21496">
            <w:pPr>
              <w:pStyle w:val="TableTextDusc"/>
            </w:pPr>
            <w:r w:rsidRPr="009F466A">
              <w:t xml:space="preserve">AMBITION (ambrisentan/tadalafil) </w:t>
            </w:r>
          </w:p>
          <w:p w14:paraId="45DD6DFB" w14:textId="77777777" w:rsidR="00321DBE" w:rsidRPr="009F466A" w:rsidRDefault="00321DBE" w:rsidP="00C21496">
            <w:pPr>
              <w:pStyle w:val="TableTextDusc"/>
            </w:pPr>
            <w:r w:rsidRPr="009F466A">
              <w:t>N=706</w:t>
            </w:r>
          </w:p>
        </w:tc>
        <w:tc>
          <w:tcPr>
            <w:tcW w:w="5840" w:type="dxa"/>
            <w:gridSpan w:val="3"/>
          </w:tcPr>
          <w:p w14:paraId="5AD1218E" w14:textId="380336A7"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24012997" w14:textId="77777777" w:rsidR="00321DBE" w:rsidRPr="009F466A" w:rsidRDefault="00321DBE" w:rsidP="00C21496">
            <w:pPr>
              <w:pStyle w:val="TableTextDusc"/>
            </w:pPr>
            <w:r w:rsidRPr="009F466A">
              <w:t>There was no difference in the proportion of patients whose WHO FC worsened with combination therapy compared with monotherapy (pooled RR = 1.00; 95% CI 0.58, 1.73)</w:t>
            </w:r>
          </w:p>
          <w:p w14:paraId="5BA55A00"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2CEE47EA" w14:textId="77777777" w:rsidTr="003B00E9">
        <w:tc>
          <w:tcPr>
            <w:tcW w:w="1555" w:type="dxa"/>
          </w:tcPr>
          <w:p w14:paraId="0539A9F2" w14:textId="77777777" w:rsidR="00321DBE" w:rsidRPr="009F466A" w:rsidRDefault="00321DBE" w:rsidP="00C21496">
            <w:pPr>
              <w:pStyle w:val="TableTextDusc"/>
            </w:pPr>
            <w:r w:rsidRPr="009F466A">
              <w:t>Change in 6MWD from baseline</w:t>
            </w:r>
          </w:p>
        </w:tc>
        <w:tc>
          <w:tcPr>
            <w:tcW w:w="2239" w:type="dxa"/>
            <w:gridSpan w:val="2"/>
          </w:tcPr>
          <w:p w14:paraId="10395ABF" w14:textId="77777777" w:rsidR="00321DBE" w:rsidRPr="009F466A" w:rsidRDefault="00321DBE" w:rsidP="00C21496">
            <w:pPr>
              <w:pStyle w:val="TableTextDusc"/>
            </w:pPr>
            <w:r w:rsidRPr="009F466A">
              <w:t>EARLY</w:t>
            </w:r>
            <w:r w:rsidRPr="009F466A">
              <w:br/>
              <w:t>(bosentan/sildenafil)</w:t>
            </w:r>
          </w:p>
          <w:p w14:paraId="035AFCD9" w14:textId="77777777" w:rsidR="00321DBE" w:rsidRPr="009F466A" w:rsidRDefault="00321DBE" w:rsidP="00C21496">
            <w:pPr>
              <w:pStyle w:val="TableTextDusc"/>
            </w:pPr>
            <w:r w:rsidRPr="009F466A">
              <w:t>COMPASS-2</w:t>
            </w:r>
            <w:r w:rsidRPr="009F466A">
              <w:br/>
              <w:t>(bosentan/sildenafil)</w:t>
            </w:r>
          </w:p>
          <w:p w14:paraId="54A2D1CB" w14:textId="77777777" w:rsidR="00321DBE" w:rsidRPr="009F466A" w:rsidRDefault="00321DBE" w:rsidP="00C21496">
            <w:pPr>
              <w:pStyle w:val="TableTextDusc"/>
            </w:pPr>
            <w:r w:rsidRPr="009F466A">
              <w:lastRenderedPageBreak/>
              <w:t>SERAPHIN</w:t>
            </w:r>
            <w:r w:rsidRPr="009F466A">
              <w:br/>
              <w:t>(macitentan/any PDE-5i)</w:t>
            </w:r>
          </w:p>
          <w:p w14:paraId="05574519" w14:textId="77777777" w:rsidR="00321DBE" w:rsidRPr="009F466A" w:rsidRDefault="00321DBE" w:rsidP="00C21496">
            <w:pPr>
              <w:pStyle w:val="TableTextDusc"/>
            </w:pPr>
            <w:r w:rsidRPr="009F466A">
              <w:t xml:space="preserve">AMBITION (ambrisentan/tadalafil) </w:t>
            </w:r>
          </w:p>
          <w:p w14:paraId="0002763A" w14:textId="77777777" w:rsidR="00321DBE" w:rsidRPr="009F466A" w:rsidRDefault="00321DBE" w:rsidP="00C21496">
            <w:pPr>
              <w:pStyle w:val="TableTextDusc"/>
            </w:pPr>
            <w:r w:rsidRPr="009F466A">
              <w:t>N=1,046</w:t>
            </w:r>
          </w:p>
        </w:tc>
        <w:tc>
          <w:tcPr>
            <w:tcW w:w="5840" w:type="dxa"/>
            <w:gridSpan w:val="3"/>
          </w:tcPr>
          <w:p w14:paraId="797E2DA3" w14:textId="1C83D6D0" w:rsidR="00321DBE" w:rsidRPr="009F466A" w:rsidRDefault="00321DBE" w:rsidP="00C21496">
            <w:pPr>
              <w:pStyle w:val="TableTextDusc"/>
            </w:pPr>
            <w:r w:rsidRPr="009F466A">
              <w:lastRenderedPageBreak/>
              <w:t>Low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78A9CA9D" w14:textId="77777777" w:rsidR="00321DBE" w:rsidRPr="009F466A" w:rsidRDefault="00321DBE" w:rsidP="00C21496">
            <w:pPr>
              <w:pStyle w:val="TableTextDusc"/>
            </w:pPr>
            <w:r w:rsidRPr="009F466A">
              <w:t>In 3 out of 4 studies, patients on combination therapy had a larger mean improvement in their 6MWD than those on monotherapy, but the difference was not clinically important (range 17.3 m less to 26.3 m walked further)</w:t>
            </w:r>
          </w:p>
          <w:p w14:paraId="24CECF2A" w14:textId="77777777" w:rsidR="00321DBE" w:rsidRPr="009F466A" w:rsidRDefault="00321DBE" w:rsidP="00C21496">
            <w:pPr>
              <w:pStyle w:val="TableTextDusc"/>
            </w:pPr>
            <w:r w:rsidRPr="009F466A">
              <w:lastRenderedPageBreak/>
              <w:t>There were no significant differences in treatment effectiveness for the different treatment combinations</w:t>
            </w:r>
          </w:p>
        </w:tc>
      </w:tr>
      <w:tr w:rsidR="00321DBE" w:rsidRPr="009F466A" w14:paraId="3D39A0F5" w14:textId="77777777" w:rsidTr="003B00E9">
        <w:tc>
          <w:tcPr>
            <w:tcW w:w="1555" w:type="dxa"/>
          </w:tcPr>
          <w:p w14:paraId="4C49A4B0" w14:textId="77777777" w:rsidR="00321DBE" w:rsidRPr="009F466A" w:rsidRDefault="00321DBE" w:rsidP="00C21496">
            <w:pPr>
              <w:pStyle w:val="TableTextDusc"/>
            </w:pPr>
            <w:r w:rsidRPr="009F466A">
              <w:lastRenderedPageBreak/>
              <w:t>Change in QoL from baseline:</w:t>
            </w:r>
          </w:p>
          <w:p w14:paraId="403FD51F" w14:textId="77777777" w:rsidR="00321DBE" w:rsidRPr="009F466A" w:rsidRDefault="00321DBE" w:rsidP="00C21496">
            <w:pPr>
              <w:pStyle w:val="TableTextDusc"/>
            </w:pPr>
            <w:r w:rsidRPr="009F466A">
              <w:t>SF-36 physical component</w:t>
            </w:r>
            <w:r w:rsidRPr="009F466A">
              <w:rPr>
                <w:vertAlign w:val="superscript"/>
              </w:rPr>
              <w:t>a</w:t>
            </w:r>
          </w:p>
        </w:tc>
        <w:tc>
          <w:tcPr>
            <w:tcW w:w="2239" w:type="dxa"/>
            <w:gridSpan w:val="2"/>
          </w:tcPr>
          <w:p w14:paraId="6BDFD04A" w14:textId="77777777" w:rsidR="00321DBE" w:rsidRPr="009F466A" w:rsidRDefault="00321DBE" w:rsidP="00C21496">
            <w:pPr>
              <w:pStyle w:val="TableTextDusc"/>
            </w:pPr>
            <w:r w:rsidRPr="009F466A">
              <w:t>SERAPHIN</w:t>
            </w:r>
            <w:r w:rsidRPr="009F466A">
              <w:br/>
              <w:t xml:space="preserve">(macitentan/any PDE-5i) </w:t>
            </w:r>
          </w:p>
          <w:p w14:paraId="04469269" w14:textId="77777777" w:rsidR="00321DBE" w:rsidRPr="009F466A" w:rsidRDefault="00321DBE" w:rsidP="00C21496">
            <w:pPr>
              <w:pStyle w:val="TableTextDusc"/>
            </w:pPr>
            <w:r w:rsidRPr="009F466A">
              <w:t>N=299</w:t>
            </w:r>
          </w:p>
        </w:tc>
        <w:tc>
          <w:tcPr>
            <w:tcW w:w="5840" w:type="dxa"/>
            <w:gridSpan w:val="3"/>
          </w:tcPr>
          <w:p w14:paraId="226B6C6F" w14:textId="53B76A8F"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0E2BB133" w14:textId="77777777" w:rsidR="00321DBE" w:rsidRPr="009F466A" w:rsidRDefault="00321DBE" w:rsidP="00C21496">
            <w:pPr>
              <w:pStyle w:val="TableTextDusc"/>
            </w:pPr>
            <w:r w:rsidRPr="009F466A">
              <w:t>Patients on combination therapy had a larger mean improvement in their QoL than those on monotherapy (MD = 1.4 point improvement; 95% CI 0, 2.9)</w:t>
            </w:r>
          </w:p>
        </w:tc>
      </w:tr>
      <w:tr w:rsidR="00406F77" w:rsidRPr="009F466A" w14:paraId="2079FD97" w14:textId="77777777" w:rsidTr="005F2F5B">
        <w:tc>
          <w:tcPr>
            <w:tcW w:w="3211" w:type="dxa"/>
            <w:gridSpan w:val="2"/>
            <w:shd w:val="clear" w:color="auto" w:fill="000000" w:themeFill="text1"/>
          </w:tcPr>
          <w:p w14:paraId="66E0B004" w14:textId="77777777" w:rsidR="00406F77" w:rsidRPr="009F466A" w:rsidRDefault="00406F77" w:rsidP="00C21496">
            <w:pPr>
              <w:pStyle w:val="TableTextDusc"/>
            </w:pPr>
            <w:r w:rsidRPr="009F466A">
              <w:t>Patients with WHO FC III/IV PAH</w:t>
            </w:r>
          </w:p>
        </w:tc>
        <w:tc>
          <w:tcPr>
            <w:tcW w:w="3211" w:type="dxa"/>
            <w:gridSpan w:val="3"/>
            <w:shd w:val="clear" w:color="auto" w:fill="000000" w:themeFill="text1"/>
          </w:tcPr>
          <w:p w14:paraId="54CD8190" w14:textId="77777777" w:rsidR="00406F77" w:rsidRPr="00406F77" w:rsidRDefault="00406F77" w:rsidP="00C21496">
            <w:pPr>
              <w:pStyle w:val="TableTextDusc"/>
              <w:rPr>
                <w:highlight w:val="black"/>
              </w:rPr>
            </w:pPr>
          </w:p>
        </w:tc>
        <w:tc>
          <w:tcPr>
            <w:tcW w:w="3212" w:type="dxa"/>
            <w:shd w:val="clear" w:color="auto" w:fill="000000" w:themeFill="text1"/>
          </w:tcPr>
          <w:p w14:paraId="6AF051AB" w14:textId="77777777" w:rsidR="00406F77" w:rsidRPr="00406F77" w:rsidRDefault="00406F77" w:rsidP="00C21496">
            <w:pPr>
              <w:pStyle w:val="TableTextDusc"/>
              <w:rPr>
                <w:highlight w:val="black"/>
              </w:rPr>
            </w:pPr>
          </w:p>
        </w:tc>
      </w:tr>
      <w:tr w:rsidR="00321DBE" w:rsidRPr="00731E4D" w14:paraId="6625A061" w14:textId="77777777" w:rsidTr="003B00E9">
        <w:tc>
          <w:tcPr>
            <w:tcW w:w="1555" w:type="dxa"/>
          </w:tcPr>
          <w:p w14:paraId="03025610" w14:textId="77777777" w:rsidR="00321DBE" w:rsidRPr="00731E4D" w:rsidRDefault="00321DBE" w:rsidP="00C21496">
            <w:pPr>
              <w:pStyle w:val="TableTextDusc"/>
            </w:pPr>
            <w:r w:rsidRPr="00731E4D">
              <w:t>Clinical worsening</w:t>
            </w:r>
          </w:p>
        </w:tc>
        <w:tc>
          <w:tcPr>
            <w:tcW w:w="2239" w:type="dxa"/>
            <w:gridSpan w:val="2"/>
          </w:tcPr>
          <w:p w14:paraId="0BAC4CE0" w14:textId="77777777" w:rsidR="00321DBE" w:rsidRPr="00731E4D" w:rsidRDefault="00321DBE" w:rsidP="00C21496">
            <w:pPr>
              <w:pStyle w:val="TableTextDusc"/>
            </w:pPr>
            <w:r w:rsidRPr="00731E4D">
              <w:t>COMPASS-2 (bosentan/sildenafil)</w:t>
            </w:r>
          </w:p>
          <w:p w14:paraId="6C0DF588" w14:textId="77777777" w:rsidR="00321DBE" w:rsidRPr="00731E4D" w:rsidRDefault="00321DBE" w:rsidP="00C21496">
            <w:pPr>
              <w:pStyle w:val="TableTextDusc"/>
            </w:pPr>
            <w:r w:rsidRPr="00731E4D">
              <w:t>SERAPHIN</w:t>
            </w:r>
            <w:r w:rsidRPr="00731E4D">
              <w:br/>
              <w:t xml:space="preserve">(macitentan/any PDE-5i) </w:t>
            </w:r>
          </w:p>
          <w:p w14:paraId="6E91502A" w14:textId="77777777" w:rsidR="00321DBE" w:rsidRPr="00731E4D" w:rsidRDefault="00321DBE" w:rsidP="00C21496">
            <w:pPr>
              <w:pStyle w:val="TableTextDusc"/>
            </w:pPr>
            <w:r w:rsidRPr="00731E4D">
              <w:t>N=351</w:t>
            </w:r>
          </w:p>
        </w:tc>
        <w:tc>
          <w:tcPr>
            <w:tcW w:w="5840" w:type="dxa"/>
            <w:gridSpan w:val="3"/>
          </w:tcPr>
          <w:p w14:paraId="57BD5038" w14:textId="6338A85C" w:rsidR="00321DBE" w:rsidRPr="00731E4D" w:rsidRDefault="00321DBE" w:rsidP="00C21496">
            <w:pPr>
              <w:pStyle w:val="TableTextDusc"/>
            </w:pPr>
            <w:r w:rsidRPr="00731E4D">
              <w:t>High quality</w:t>
            </w:r>
            <w:r w:rsidRPr="00731E4D">
              <w:rPr>
                <w:rFonts w:cs="Cambria Math"/>
              </w:rPr>
              <w:t xml:space="preserve"> evidence (GRADE </w:t>
            </w:r>
            <w:r w:rsidR="00C220DD" w:rsidRPr="00C220DD">
              <w:rPr>
                <w:rFonts w:ascii="Cambria Math" w:hAnsi="Cambria Math" w:cs="Cambria Math"/>
                <w:color w:val="00B050"/>
              </w:rPr>
              <w:t>⨁⨁⨁⨁</w:t>
            </w:r>
            <w:r w:rsidRPr="00731E4D">
              <w:t>)</w:t>
            </w:r>
          </w:p>
          <w:p w14:paraId="14BB6304" w14:textId="77777777" w:rsidR="00321DBE" w:rsidRPr="00C07794" w:rsidRDefault="00C07794" w:rsidP="00C21496">
            <w:pPr>
              <w:pStyle w:val="TableTextDusc"/>
              <w:rPr>
                <w:highlight w:val="black"/>
              </w:rPr>
            </w:pPr>
            <w:r>
              <w:rPr>
                <w:noProof/>
                <w:color w:val="000000"/>
                <w:highlight w:val="black"/>
              </w:rPr>
              <w:t>'''''''''''''''' '''''''''''''''''''' ''''''''''''''''''''''''''''' '''''''''''''''' '''''''''''''''''''''' ''''''''' ''''''''''''''''''''''''''''' '''''''''''''''''' '''''''''''''''''''''' ''''''''' '''''''''''''''''''''''''''''''' ''''''' ''''''''' ''''''' '''''''' ''''''''''''' ''''''''''''' ''''''''''''''''''''' ''''''''''''''''''''''''''''' ''''''''''''''''' '''''''' '''' '''''''''''' ''''''''''' '''''' ''''''''''''' '''''''''''''</w:t>
            </w:r>
          </w:p>
          <w:p w14:paraId="73D24ECA" w14:textId="77777777" w:rsidR="00321DBE" w:rsidRPr="00C07794" w:rsidRDefault="00C07794" w:rsidP="00C21496">
            <w:pPr>
              <w:pStyle w:val="TableTextDusc"/>
              <w:rPr>
                <w:highlight w:val="black"/>
              </w:rPr>
            </w:pPr>
            <w:r>
              <w:rPr>
                <w:noProof/>
                <w:color w:val="000000"/>
                <w:highlight w:val="black"/>
              </w:rPr>
              <w:t>''''''''''''' '''''''''''' '''''' ''''''''''''''''''''''''' '''''''''''''''''''''''''''' ''''' ''''''''''''''''''''''' ''''''''''''''''''''''''''''''' ''''''' '''''''' ''''''''''''''''''''' '''''''''''''''''''' '''''''''''''''''''''''''''''</w:t>
            </w:r>
          </w:p>
        </w:tc>
      </w:tr>
      <w:tr w:rsidR="00321DBE" w:rsidRPr="009F466A" w14:paraId="1E6D66B0" w14:textId="77777777" w:rsidTr="003B00E9">
        <w:tc>
          <w:tcPr>
            <w:tcW w:w="1555" w:type="dxa"/>
          </w:tcPr>
          <w:p w14:paraId="4C8692F6" w14:textId="77777777" w:rsidR="00321DBE" w:rsidRPr="00731E4D" w:rsidRDefault="00321DBE" w:rsidP="00C21496">
            <w:pPr>
              <w:pStyle w:val="TableTextDusc"/>
            </w:pPr>
            <w:r w:rsidRPr="00731E4D">
              <w:t>All-cause mortality</w:t>
            </w:r>
          </w:p>
        </w:tc>
        <w:tc>
          <w:tcPr>
            <w:tcW w:w="2239" w:type="dxa"/>
            <w:gridSpan w:val="2"/>
          </w:tcPr>
          <w:p w14:paraId="61C0CC85" w14:textId="77777777" w:rsidR="00321DBE" w:rsidRPr="00731E4D" w:rsidRDefault="00321DBE" w:rsidP="00C21496">
            <w:pPr>
              <w:pStyle w:val="TableTextDusc"/>
            </w:pPr>
            <w:r w:rsidRPr="00731E4D">
              <w:t>SERAPHIN</w:t>
            </w:r>
            <w:r w:rsidRPr="00731E4D">
              <w:br/>
              <w:t xml:space="preserve">(macitentan/any PDE-5i) </w:t>
            </w:r>
          </w:p>
          <w:p w14:paraId="3C72EC66" w14:textId="77777777" w:rsidR="00321DBE" w:rsidRPr="00731E4D" w:rsidRDefault="00321DBE" w:rsidP="00C21496">
            <w:pPr>
              <w:pStyle w:val="TableTextDusc"/>
            </w:pPr>
            <w:r w:rsidRPr="00731E4D">
              <w:t>N=157</w:t>
            </w:r>
          </w:p>
        </w:tc>
        <w:tc>
          <w:tcPr>
            <w:tcW w:w="5840" w:type="dxa"/>
            <w:gridSpan w:val="3"/>
          </w:tcPr>
          <w:p w14:paraId="1FE3D5FB" w14:textId="609F7DA4" w:rsidR="00321DBE" w:rsidRPr="00731E4D" w:rsidRDefault="00321DBE" w:rsidP="00C21496">
            <w:pPr>
              <w:pStyle w:val="TableTextDusc"/>
            </w:pPr>
            <w:r w:rsidRPr="00731E4D">
              <w:t>High quality</w:t>
            </w:r>
            <w:r w:rsidRPr="00731E4D">
              <w:rPr>
                <w:rFonts w:cs="Cambria Math"/>
              </w:rPr>
              <w:t xml:space="preserve"> evidence (GRADE </w:t>
            </w:r>
            <w:r w:rsidR="00C220DD" w:rsidRPr="00C220DD">
              <w:rPr>
                <w:rFonts w:ascii="Cambria Math" w:hAnsi="Cambria Math" w:cs="Cambria Math"/>
                <w:color w:val="00B050"/>
              </w:rPr>
              <w:t>⨁⨁⨁⨁</w:t>
            </w:r>
            <w:r w:rsidRPr="00731E4D">
              <w:t>)</w:t>
            </w:r>
          </w:p>
          <w:p w14:paraId="0294B842" w14:textId="77777777" w:rsidR="00321DBE" w:rsidRPr="00C07794" w:rsidRDefault="00C07794" w:rsidP="00C21496">
            <w:pPr>
              <w:pStyle w:val="TableTextDusc"/>
              <w:rPr>
                <w:highlight w:val="black"/>
              </w:rPr>
            </w:pPr>
            <w:r>
              <w:rPr>
                <w:noProof/>
                <w:color w:val="000000"/>
                <w:highlight w:val="black"/>
              </w:rPr>
              <w:t>'''''''''''''' '''''''''''''''''''' ''''''''''' ''''''''''' '''''''' '''''''''''''''' ''''''''' ''''''''''''''''''''''''''' ''''''''''''''''''' ''''''''''''''''''''''''' ''''''''' ''''''''''''''''''''''''''''''''''' '''''''' '''''''' '''''''''' '''''' ''''''''''''''''''''' '''''''''' ''''''''''' ''''''''''' ''''''''' '''''' '''''' ''''''''''''' ''''' ''''''' '''''''''''''''''''''' ''''''''''''''''''' ''''''''''' '''' ''''''''''''' ''''''''' '''''' ''''''''''' '''''''''''''</w:t>
            </w:r>
          </w:p>
        </w:tc>
      </w:tr>
      <w:tr w:rsidR="00406F77" w:rsidRPr="009F466A" w14:paraId="3EF286AA" w14:textId="77777777" w:rsidTr="00406F77">
        <w:tc>
          <w:tcPr>
            <w:tcW w:w="4077" w:type="dxa"/>
            <w:gridSpan w:val="4"/>
            <w:shd w:val="clear" w:color="auto" w:fill="000000" w:themeFill="text1"/>
          </w:tcPr>
          <w:p w14:paraId="660935F2" w14:textId="77777777" w:rsidR="00406F77" w:rsidRPr="009F466A" w:rsidRDefault="00406F77" w:rsidP="00C21496">
            <w:pPr>
              <w:pStyle w:val="TableTextDusc"/>
            </w:pPr>
            <w:r w:rsidRPr="009F466A">
              <w:t>Patients with different PAH aetiologies</w:t>
            </w:r>
          </w:p>
        </w:tc>
        <w:tc>
          <w:tcPr>
            <w:tcW w:w="2345" w:type="dxa"/>
            <w:shd w:val="clear" w:color="auto" w:fill="000000" w:themeFill="text1"/>
          </w:tcPr>
          <w:p w14:paraId="0A6764C0" w14:textId="77777777" w:rsidR="00406F77" w:rsidRPr="009F466A" w:rsidRDefault="00406F77" w:rsidP="00C21496">
            <w:pPr>
              <w:pStyle w:val="TableTextDusc"/>
            </w:pPr>
          </w:p>
        </w:tc>
        <w:tc>
          <w:tcPr>
            <w:tcW w:w="3212" w:type="dxa"/>
            <w:shd w:val="clear" w:color="auto" w:fill="000000" w:themeFill="text1"/>
          </w:tcPr>
          <w:p w14:paraId="3B90D971" w14:textId="77777777" w:rsidR="00406F77" w:rsidRPr="009F466A" w:rsidRDefault="00406F77" w:rsidP="00C21496">
            <w:pPr>
              <w:pStyle w:val="TableTextDusc"/>
            </w:pPr>
          </w:p>
        </w:tc>
      </w:tr>
      <w:tr w:rsidR="00321DBE" w:rsidRPr="009F466A" w14:paraId="21731393" w14:textId="77777777" w:rsidTr="003B00E9">
        <w:tc>
          <w:tcPr>
            <w:tcW w:w="1555" w:type="dxa"/>
          </w:tcPr>
          <w:p w14:paraId="7924ED96" w14:textId="77777777" w:rsidR="00321DBE" w:rsidRPr="009F466A" w:rsidRDefault="00321DBE" w:rsidP="00C21496">
            <w:pPr>
              <w:pStyle w:val="TableTextDusc"/>
            </w:pPr>
            <w:r w:rsidRPr="009F466A">
              <w:rPr>
                <w:rFonts w:cs="Tahoma"/>
              </w:rPr>
              <w:t>Clinical worsening in IPAH/HPAH</w:t>
            </w:r>
          </w:p>
        </w:tc>
        <w:tc>
          <w:tcPr>
            <w:tcW w:w="2239" w:type="dxa"/>
            <w:gridSpan w:val="2"/>
          </w:tcPr>
          <w:p w14:paraId="18BB9EC9" w14:textId="77777777" w:rsidR="00321DBE" w:rsidRPr="009F466A" w:rsidRDefault="00321DBE" w:rsidP="00C21496">
            <w:pPr>
              <w:pStyle w:val="TableTextDusc"/>
            </w:pPr>
            <w:r w:rsidRPr="009F466A">
              <w:t xml:space="preserve">COMPASS-2 (bosentan/sildenafil) </w:t>
            </w:r>
          </w:p>
          <w:p w14:paraId="70C75245" w14:textId="77777777" w:rsidR="00321DBE" w:rsidRPr="009F466A" w:rsidRDefault="00321DBE" w:rsidP="00C21496">
            <w:pPr>
              <w:pStyle w:val="TableTextDusc"/>
            </w:pPr>
            <w:r w:rsidRPr="009F466A">
              <w:t>N=226</w:t>
            </w:r>
          </w:p>
        </w:tc>
        <w:tc>
          <w:tcPr>
            <w:tcW w:w="5840" w:type="dxa"/>
            <w:gridSpan w:val="3"/>
          </w:tcPr>
          <w:p w14:paraId="29AC0552" w14:textId="305D9650"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4754F620" w14:textId="77777777" w:rsidR="00321DBE" w:rsidRPr="009F466A" w:rsidRDefault="00321DBE" w:rsidP="00C21496">
            <w:pPr>
              <w:pStyle w:val="TableTextDusc"/>
            </w:pPr>
            <w:r w:rsidRPr="009F466A">
              <w:t>Fewer patients experienced clinical worsening with combination therapy compared with monotherapy, but the 95% CI indicates that there may also be an effect in the opposite direction (HR = 0.82; 95% CI 0.55, 1.21)</w:t>
            </w:r>
          </w:p>
        </w:tc>
      </w:tr>
      <w:tr w:rsidR="00321DBE" w:rsidRPr="009F466A" w14:paraId="15B058CD" w14:textId="77777777" w:rsidTr="003B00E9">
        <w:tc>
          <w:tcPr>
            <w:tcW w:w="1555" w:type="dxa"/>
          </w:tcPr>
          <w:p w14:paraId="56C2C219" w14:textId="77777777" w:rsidR="00321DBE" w:rsidRPr="009F466A" w:rsidRDefault="00321DBE" w:rsidP="00C21496">
            <w:pPr>
              <w:pStyle w:val="TableTextDusc"/>
            </w:pPr>
            <w:r w:rsidRPr="009F466A">
              <w:rPr>
                <w:rFonts w:cs="Tahoma"/>
              </w:rPr>
              <w:t>Clinical worsening in PAH CTD</w:t>
            </w:r>
          </w:p>
        </w:tc>
        <w:tc>
          <w:tcPr>
            <w:tcW w:w="2239" w:type="dxa"/>
            <w:gridSpan w:val="2"/>
          </w:tcPr>
          <w:p w14:paraId="089D0ECE" w14:textId="77777777" w:rsidR="00321DBE" w:rsidRPr="009F466A" w:rsidRDefault="00321DBE" w:rsidP="00C21496">
            <w:pPr>
              <w:pStyle w:val="TableTextDusc"/>
            </w:pPr>
            <w:r w:rsidRPr="009F466A">
              <w:t>COMPASS-2 (bosentan/sildenafil)</w:t>
            </w:r>
          </w:p>
          <w:p w14:paraId="0C4DA086" w14:textId="77777777" w:rsidR="00321DBE" w:rsidRPr="009F466A" w:rsidRDefault="00321DBE" w:rsidP="00C21496">
            <w:pPr>
              <w:pStyle w:val="TableTextDusc"/>
            </w:pPr>
            <w:r w:rsidRPr="009F466A">
              <w:t xml:space="preserve">AMBITION (ambrisentan/tadalafil) </w:t>
            </w:r>
          </w:p>
          <w:p w14:paraId="1913E430" w14:textId="77777777" w:rsidR="00321DBE" w:rsidRPr="009F466A" w:rsidRDefault="00321DBE" w:rsidP="00C21496">
            <w:pPr>
              <w:pStyle w:val="TableTextDusc"/>
            </w:pPr>
            <w:r w:rsidRPr="009F466A">
              <w:t>N=231</w:t>
            </w:r>
          </w:p>
        </w:tc>
        <w:tc>
          <w:tcPr>
            <w:tcW w:w="5840" w:type="dxa"/>
            <w:gridSpan w:val="3"/>
          </w:tcPr>
          <w:p w14:paraId="2B25BF0F" w14:textId="0AF7B9BE"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621F7013" w14:textId="77777777" w:rsidR="00321DBE" w:rsidRPr="009F466A" w:rsidRDefault="00321DBE" w:rsidP="00C21496">
            <w:pPr>
              <w:pStyle w:val="TableTextDusc"/>
            </w:pPr>
            <w:r w:rsidRPr="009F466A">
              <w:t>Could not calculate RR due to missing numerator in one arm of one study</w:t>
            </w:r>
          </w:p>
          <w:p w14:paraId="6B1B69A2" w14:textId="77777777" w:rsidR="00321DBE" w:rsidRPr="009F466A" w:rsidRDefault="00321DBE" w:rsidP="00C21496">
            <w:pPr>
              <w:pStyle w:val="TableTextDusc"/>
            </w:pPr>
            <w:r w:rsidRPr="009F466A">
              <w:t>Fewer patients experienced clinical worsening with combination therapy compared with monotherapy, but this did not quite reach statistical significance (pooled HR = 0.59; 95% CI 0.12, 1.07)</w:t>
            </w:r>
          </w:p>
        </w:tc>
      </w:tr>
      <w:tr w:rsidR="00321DBE" w:rsidRPr="009F466A" w14:paraId="6E1693BA" w14:textId="77777777" w:rsidTr="003B00E9">
        <w:tc>
          <w:tcPr>
            <w:tcW w:w="1555" w:type="dxa"/>
          </w:tcPr>
          <w:p w14:paraId="294B6825" w14:textId="77777777" w:rsidR="00321DBE" w:rsidRPr="009F466A" w:rsidRDefault="00321DBE" w:rsidP="00C21496">
            <w:pPr>
              <w:pStyle w:val="TableTextDusc"/>
            </w:pPr>
            <w:r w:rsidRPr="009F466A">
              <w:rPr>
                <w:rFonts w:cs="Tahoma"/>
              </w:rPr>
              <w:t>Clinical worsening in PAH-CHD</w:t>
            </w:r>
          </w:p>
        </w:tc>
        <w:tc>
          <w:tcPr>
            <w:tcW w:w="2239" w:type="dxa"/>
            <w:gridSpan w:val="2"/>
          </w:tcPr>
          <w:p w14:paraId="4CE72BB5" w14:textId="77777777" w:rsidR="00321DBE" w:rsidRPr="009F466A" w:rsidRDefault="00321DBE" w:rsidP="00C21496">
            <w:pPr>
              <w:pStyle w:val="TableTextDusc"/>
            </w:pPr>
            <w:r w:rsidRPr="009F466A">
              <w:t xml:space="preserve">COMPASS-2 (bosentan/sildenafil) </w:t>
            </w:r>
          </w:p>
          <w:p w14:paraId="5B84978B" w14:textId="77777777" w:rsidR="00321DBE" w:rsidRPr="009F466A" w:rsidRDefault="00321DBE" w:rsidP="00C21496">
            <w:pPr>
              <w:pStyle w:val="TableTextDusc"/>
            </w:pPr>
            <w:r w:rsidRPr="009F466A">
              <w:t>N=20</w:t>
            </w:r>
          </w:p>
        </w:tc>
        <w:tc>
          <w:tcPr>
            <w:tcW w:w="5840" w:type="dxa"/>
            <w:gridSpan w:val="3"/>
          </w:tcPr>
          <w:p w14:paraId="08B692B4" w14:textId="32E37EE1" w:rsidR="00321DBE" w:rsidRPr="009F466A" w:rsidRDefault="00321DBE" w:rsidP="00C21496">
            <w:pPr>
              <w:pStyle w:val="TableTextDusc"/>
            </w:pPr>
            <w:r w:rsidRPr="009F466A">
              <w:t>Low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hAnsi="Cambria Math" w:cs="Cambria Math"/>
                <w:bCs/>
                <w:color w:val="FF0000"/>
              </w:rPr>
              <w:t>⨀</w:t>
            </w:r>
            <w:r w:rsidR="00C220DD" w:rsidRPr="00C220DD">
              <w:rPr>
                <w:rFonts w:ascii="Cambria Math" w:eastAsia="Times New Roman" w:hAnsi="Cambria Math" w:cs="Cambria Math"/>
                <w:bCs/>
                <w:color w:val="FF0000"/>
              </w:rPr>
              <w:t>⨀</w:t>
            </w:r>
            <w:r w:rsidRPr="009F466A">
              <w:t>)</w:t>
            </w:r>
          </w:p>
          <w:p w14:paraId="5F26C9BF" w14:textId="77777777" w:rsidR="00321DBE" w:rsidRPr="009F466A" w:rsidRDefault="00321DBE" w:rsidP="00C21496">
            <w:pPr>
              <w:pStyle w:val="TableTextDusc"/>
            </w:pPr>
            <w:r w:rsidRPr="009F466A">
              <w:t>Fewer patients experienced clinical worsening with combination therapy compared with monotherapy, but the wide 95% CI indicates that the study was underpowered for this outcome (HR = 0.57; 95% CI 0.10, 3.17)</w:t>
            </w:r>
          </w:p>
        </w:tc>
      </w:tr>
    </w:tbl>
    <w:p w14:paraId="732E439F" w14:textId="77777777" w:rsidR="00321DBE" w:rsidRPr="00532B79" w:rsidRDefault="00321DBE" w:rsidP="00C21496">
      <w:pPr>
        <w:pStyle w:val="Tablenote"/>
        <w:jc w:val="left"/>
      </w:pPr>
      <w:r w:rsidRPr="00532B79">
        <w:t xml:space="preserve">a SF-36 physical component summary scores range from 0 to 100. A higher score indicates better QoL. </w:t>
      </w:r>
    </w:p>
    <w:p w14:paraId="50E5311C" w14:textId="77777777" w:rsidR="00321DBE" w:rsidRPr="00532B79" w:rsidRDefault="00321DBE" w:rsidP="00C21496">
      <w:pPr>
        <w:pStyle w:val="Tablenote"/>
        <w:jc w:val="left"/>
      </w:pPr>
      <w:r w:rsidRPr="00532B79">
        <w:t>6MWD = 6-minute walk distance; CI = confidence interval; ERA = endothelin receptor antagonist; FC = functional class; GRADE = grading of recommendations assessment, development and evaluation1; HPAH = heritable PAH; HR = hazard ratio; IPAH = idiopathic PAH; MD = mean difference; PAH = pulmonary arterial hypertension; PAH-CHD = PAH associated with congenital heart disease; PAH-CTD = PAH associated with connective tissue disease; PDE-5 = phosphodiesterase type-5; QoL = quality of life; RR = relative risk; SF-36 = short form 36; WHO = World Health Organization</w:t>
      </w:r>
    </w:p>
    <w:p w14:paraId="0399CCE0" w14:textId="77777777" w:rsidR="0016033A" w:rsidRPr="0016033A" w:rsidRDefault="0016033A" w:rsidP="00C21496">
      <w:pPr>
        <w:pStyle w:val="Heading5"/>
        <w:keepLines w:val="0"/>
        <w:numPr>
          <w:ilvl w:val="0"/>
          <w:numId w:val="0"/>
        </w:numPr>
        <w:spacing w:before="240"/>
        <w:jc w:val="left"/>
        <w:rPr>
          <w:color w:val="auto"/>
          <w:u w:val="single"/>
        </w:rPr>
      </w:pPr>
      <w:bookmarkStart w:id="78" w:name="_Ref505951366"/>
      <w:bookmarkStart w:id="79" w:name="_Toc508396839"/>
      <w:r w:rsidRPr="0016033A">
        <w:rPr>
          <w:color w:val="auto"/>
          <w:u w:val="single"/>
        </w:rPr>
        <w:lastRenderedPageBreak/>
        <w:t>Safety</w:t>
      </w:r>
    </w:p>
    <w:p w14:paraId="3E556EB7" w14:textId="77777777" w:rsidR="0016033A" w:rsidRDefault="0016033A" w:rsidP="00C21496">
      <w:pPr>
        <w:jc w:val="left"/>
      </w:pPr>
      <w:r>
        <w:t>Three RCTs reported on the comparative safety of treatment with an ERA plus a PDE-5 inhibitor compared with a PDE-5 inhibitor alone in any patient with PAH:</w:t>
      </w:r>
    </w:p>
    <w:p w14:paraId="6E8524F0" w14:textId="77777777" w:rsidR="0016033A" w:rsidRPr="00B96C6F" w:rsidRDefault="0016033A" w:rsidP="00C21496">
      <w:pPr>
        <w:pStyle w:val="Bullettext"/>
        <w:ind w:left="720"/>
      </w:pPr>
      <w:r w:rsidRPr="00B96C6F">
        <w:t>COMPASS-2, SERAPHIN and AMBITION</w:t>
      </w:r>
    </w:p>
    <w:p w14:paraId="04E70FD1" w14:textId="77777777" w:rsidR="0016033A" w:rsidRPr="00B96C6F" w:rsidRDefault="0016033A" w:rsidP="00C21496">
      <w:pPr>
        <w:pStyle w:val="Bullettext"/>
        <w:ind w:left="720"/>
      </w:pPr>
      <w:r w:rsidRPr="00B96C6F">
        <w:t xml:space="preserve">There were no new </w:t>
      </w:r>
      <w:r>
        <w:t>safety signals identified.</w:t>
      </w:r>
    </w:p>
    <w:p w14:paraId="2F566585" w14:textId="77777777" w:rsidR="0016033A" w:rsidRDefault="0016033A" w:rsidP="00C21496">
      <w:pPr>
        <w:jc w:val="left"/>
      </w:pPr>
      <w:r>
        <w:t xml:space="preserve">The evidence provided by these trials is summarised in </w:t>
      </w:r>
      <w:r w:rsidR="00CC79E1">
        <w:t>Table ES.</w:t>
      </w:r>
      <w:r w:rsidR="00CC79E1">
        <w:rPr>
          <w:noProof/>
        </w:rPr>
        <w:t>10</w:t>
      </w:r>
      <w:r>
        <w:t>.</w:t>
      </w:r>
    </w:p>
    <w:p w14:paraId="208179AF" w14:textId="77777777" w:rsidR="0016033A" w:rsidRDefault="0016033A" w:rsidP="00C21496">
      <w:pPr>
        <w:jc w:val="left"/>
      </w:pPr>
      <w:r>
        <w:t>Overall, use of</w:t>
      </w:r>
      <w:r w:rsidRPr="009A6001">
        <w:t xml:space="preserve"> an ERA in addition to </w:t>
      </w:r>
      <w:r>
        <w:t xml:space="preserve">a </w:t>
      </w:r>
      <w:r w:rsidRPr="009A6001">
        <w:t>PDE-5 inhibitor</w:t>
      </w:r>
      <w:r>
        <w:t xml:space="preserve"> could be non-inferior to </w:t>
      </w:r>
      <w:r w:rsidRPr="009A6001">
        <w:t xml:space="preserve">PDE-5 inhibitor monotherapy </w:t>
      </w:r>
      <w:r>
        <w:t xml:space="preserve">in terms of safety </w:t>
      </w:r>
      <w:r w:rsidRPr="009A6001">
        <w:t>when treating PAH patients.</w:t>
      </w:r>
      <w:r>
        <w:t xml:space="preserve"> The comparative safety of an ERA plus a PDE-5 inhibitor relative to PDE-5 inhibitor monotherapy in the subgroup of </w:t>
      </w:r>
      <w:r w:rsidRPr="00FD4377">
        <w:t xml:space="preserve">patients with </w:t>
      </w:r>
      <w:r>
        <w:t>I</w:t>
      </w:r>
      <w:r w:rsidRPr="00FD4377">
        <w:t>PAH</w:t>
      </w:r>
      <w:r>
        <w:t>/HPAH and in the subgroup of patients with PAH-CTD appeared to be largely consistent with the comparative safety in the overall PAH population.</w:t>
      </w:r>
    </w:p>
    <w:p w14:paraId="2225E44D" w14:textId="77777777" w:rsidR="008B580D" w:rsidRPr="008B580D" w:rsidRDefault="008B580D" w:rsidP="00C21496">
      <w:pPr>
        <w:pStyle w:val="Caption"/>
        <w:jc w:val="left"/>
      </w:pPr>
      <w:bookmarkStart w:id="80" w:name="_Ref511118789"/>
      <w:bookmarkStart w:id="81" w:name="_Toc38372129"/>
      <w:bookmarkEnd w:id="78"/>
      <w:bookmarkEnd w:id="79"/>
      <w:r>
        <w:t>Table ES.</w:t>
      </w:r>
      <w:r w:rsidR="00CC79E1">
        <w:rPr>
          <w:noProof/>
        </w:rPr>
        <w:t>10</w:t>
      </w:r>
      <w:bookmarkEnd w:id="80"/>
      <w:r>
        <w:tab/>
      </w:r>
      <w:r w:rsidRPr="009F466A">
        <w:t>Summary of the evidence for the safety of an ERA in addition to a PDE-5 inhibitor, relative to PDE-5 inhibitor monotherapy</w:t>
      </w:r>
      <w:bookmarkEnd w:id="81"/>
    </w:p>
    <w:tbl>
      <w:tblPr>
        <w:tblStyle w:val="TableGrid"/>
        <w:tblW w:w="9634" w:type="dxa"/>
        <w:tblLook w:val="04A0" w:firstRow="1" w:lastRow="0" w:firstColumn="1" w:lastColumn="0" w:noHBand="0" w:noVBand="1"/>
        <w:tblCaption w:val="Summary of the evidence for the safety of an ERA in addition to a PDE-5 inhibitor, relative to PDE-5 inhibitor monotherapy"/>
      </w:tblPr>
      <w:tblGrid>
        <w:gridCol w:w="1555"/>
        <w:gridCol w:w="1656"/>
        <w:gridCol w:w="539"/>
        <w:gridCol w:w="2672"/>
        <w:gridCol w:w="3212"/>
      </w:tblGrid>
      <w:tr w:rsidR="00321DBE" w:rsidRPr="009F466A" w14:paraId="3A475DFA" w14:textId="77777777" w:rsidTr="00406F77">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B41A84" w14:textId="77777777" w:rsidR="00321DBE" w:rsidRPr="00A4053B" w:rsidRDefault="00321DBE" w:rsidP="00C21496">
            <w:pPr>
              <w:pStyle w:val="TableTextDusc"/>
              <w:rPr>
                <w:b/>
              </w:rPr>
            </w:pPr>
            <w:r w:rsidRPr="00A4053B">
              <w:rPr>
                <w:b/>
              </w:rPr>
              <w:t>Outcome</w:t>
            </w:r>
          </w:p>
        </w:tc>
        <w:tc>
          <w:tcPr>
            <w:tcW w:w="21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6A0ACC" w14:textId="77777777" w:rsidR="00321DBE" w:rsidRPr="00A4053B" w:rsidRDefault="00321DBE" w:rsidP="00C21496">
            <w:pPr>
              <w:pStyle w:val="TableTextDusc"/>
              <w:rPr>
                <w:b/>
              </w:rPr>
            </w:pPr>
            <w:r w:rsidRPr="00A4053B">
              <w:rPr>
                <w:b/>
              </w:rPr>
              <w:t xml:space="preserve">Included trials </w:t>
            </w:r>
          </w:p>
          <w:p w14:paraId="692D33EF" w14:textId="77777777" w:rsidR="00321DBE" w:rsidRPr="00A4053B" w:rsidRDefault="00321DBE" w:rsidP="00C21496">
            <w:pPr>
              <w:pStyle w:val="TableTextDusc"/>
              <w:rPr>
                <w:b/>
              </w:rPr>
            </w:pPr>
            <w:r w:rsidRPr="00A4053B">
              <w:rPr>
                <w:b/>
              </w:rPr>
              <w:t>No. of patients</w:t>
            </w:r>
          </w:p>
        </w:tc>
        <w:tc>
          <w:tcPr>
            <w:tcW w:w="58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2E5389" w14:textId="77777777" w:rsidR="00321DBE" w:rsidRPr="00A4053B" w:rsidRDefault="00321DBE" w:rsidP="00C21496">
            <w:pPr>
              <w:pStyle w:val="TableTextDusc"/>
              <w:rPr>
                <w:b/>
              </w:rPr>
            </w:pPr>
            <w:r w:rsidRPr="00A4053B">
              <w:rPr>
                <w:b/>
              </w:rPr>
              <w:t>Summary of evidence</w:t>
            </w:r>
          </w:p>
        </w:tc>
      </w:tr>
      <w:tr w:rsidR="00406F77" w:rsidRPr="009F466A" w14:paraId="42B2E919" w14:textId="77777777" w:rsidTr="005F2F5B">
        <w:tc>
          <w:tcPr>
            <w:tcW w:w="3211" w:type="dxa"/>
            <w:gridSpan w:val="2"/>
            <w:tcBorders>
              <w:top w:val="nil"/>
              <w:left w:val="single" w:sz="4" w:space="0" w:color="auto"/>
              <w:bottom w:val="single" w:sz="4" w:space="0" w:color="auto"/>
              <w:right w:val="single" w:sz="4" w:space="0" w:color="auto"/>
            </w:tcBorders>
            <w:shd w:val="clear" w:color="auto" w:fill="000000"/>
          </w:tcPr>
          <w:p w14:paraId="5EED03EE" w14:textId="77777777" w:rsidR="00406F77" w:rsidRPr="009F466A" w:rsidRDefault="00406F77" w:rsidP="00C21496">
            <w:pPr>
              <w:pStyle w:val="TableTextDusc"/>
            </w:pPr>
            <w:r w:rsidRPr="009F466A">
              <w:t>All PAH patients</w:t>
            </w:r>
          </w:p>
        </w:tc>
        <w:tc>
          <w:tcPr>
            <w:tcW w:w="3211" w:type="dxa"/>
            <w:gridSpan w:val="2"/>
            <w:tcBorders>
              <w:top w:val="nil"/>
              <w:left w:val="single" w:sz="4" w:space="0" w:color="auto"/>
              <w:bottom w:val="single" w:sz="4" w:space="0" w:color="auto"/>
              <w:right w:val="single" w:sz="4" w:space="0" w:color="auto"/>
            </w:tcBorders>
            <w:shd w:val="clear" w:color="auto" w:fill="000000"/>
          </w:tcPr>
          <w:p w14:paraId="45BC9F92" w14:textId="77777777" w:rsidR="00406F77" w:rsidRPr="009F466A" w:rsidRDefault="00406F77" w:rsidP="00C21496">
            <w:pPr>
              <w:pStyle w:val="TableTextDusc"/>
            </w:pPr>
          </w:p>
        </w:tc>
        <w:tc>
          <w:tcPr>
            <w:tcW w:w="3212" w:type="dxa"/>
            <w:tcBorders>
              <w:top w:val="nil"/>
              <w:left w:val="single" w:sz="4" w:space="0" w:color="auto"/>
              <w:bottom w:val="single" w:sz="4" w:space="0" w:color="auto"/>
              <w:right w:val="single" w:sz="4" w:space="0" w:color="auto"/>
            </w:tcBorders>
            <w:shd w:val="clear" w:color="auto" w:fill="000000"/>
          </w:tcPr>
          <w:p w14:paraId="70428345" w14:textId="77777777" w:rsidR="00406F77" w:rsidRPr="009F466A" w:rsidRDefault="00406F77" w:rsidP="00C21496">
            <w:pPr>
              <w:pStyle w:val="TableTextDusc"/>
            </w:pPr>
          </w:p>
        </w:tc>
      </w:tr>
      <w:tr w:rsidR="00321DBE" w:rsidRPr="009F466A" w14:paraId="3AF21824" w14:textId="77777777" w:rsidTr="00406F77">
        <w:tc>
          <w:tcPr>
            <w:tcW w:w="1555" w:type="dxa"/>
            <w:tcBorders>
              <w:top w:val="single" w:sz="4" w:space="0" w:color="auto"/>
              <w:left w:val="single" w:sz="4" w:space="0" w:color="auto"/>
              <w:bottom w:val="single" w:sz="4" w:space="0" w:color="auto"/>
              <w:right w:val="single" w:sz="4" w:space="0" w:color="auto"/>
            </w:tcBorders>
          </w:tcPr>
          <w:p w14:paraId="64A547CF" w14:textId="77777777" w:rsidR="00321DBE" w:rsidRPr="009F466A" w:rsidRDefault="00321DBE" w:rsidP="00C21496">
            <w:pPr>
              <w:pStyle w:val="TableTextDusc"/>
            </w:pPr>
            <w:r w:rsidRPr="009F466A">
              <w:t>Any AE</w:t>
            </w:r>
          </w:p>
        </w:tc>
        <w:tc>
          <w:tcPr>
            <w:tcW w:w="2195" w:type="dxa"/>
            <w:gridSpan w:val="2"/>
            <w:tcBorders>
              <w:top w:val="single" w:sz="4" w:space="0" w:color="auto"/>
              <w:left w:val="single" w:sz="4" w:space="0" w:color="auto"/>
              <w:bottom w:val="single" w:sz="4" w:space="0" w:color="auto"/>
              <w:right w:val="single" w:sz="4" w:space="0" w:color="auto"/>
            </w:tcBorders>
          </w:tcPr>
          <w:p w14:paraId="33C0C756" w14:textId="77777777" w:rsidR="00321DBE" w:rsidRPr="009F466A" w:rsidRDefault="00321DBE" w:rsidP="00C21496">
            <w:pPr>
              <w:pStyle w:val="TableTextDusc"/>
            </w:pPr>
            <w:r w:rsidRPr="009F466A">
              <w:t xml:space="preserve">COMPASS-2 (bosentan/sildenafil) </w:t>
            </w:r>
          </w:p>
          <w:p w14:paraId="05AC00BE" w14:textId="77777777" w:rsidR="00321DBE" w:rsidRPr="009F466A" w:rsidRDefault="00321DBE" w:rsidP="00C21496">
            <w:pPr>
              <w:pStyle w:val="TableTextDusc"/>
            </w:pPr>
            <w:r w:rsidRPr="009F466A">
              <w:t>N=333</w:t>
            </w:r>
          </w:p>
        </w:tc>
        <w:tc>
          <w:tcPr>
            <w:tcW w:w="5884" w:type="dxa"/>
            <w:gridSpan w:val="2"/>
            <w:tcBorders>
              <w:top w:val="single" w:sz="4" w:space="0" w:color="auto"/>
              <w:left w:val="single" w:sz="4" w:space="0" w:color="auto"/>
              <w:bottom w:val="single" w:sz="4" w:space="0" w:color="auto"/>
              <w:right w:val="single" w:sz="4" w:space="0" w:color="auto"/>
            </w:tcBorders>
          </w:tcPr>
          <w:p w14:paraId="32A52BFA" w14:textId="0F257DB7"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0594DD15" w14:textId="77777777" w:rsidR="00321DBE" w:rsidRPr="009F466A" w:rsidRDefault="00321DBE" w:rsidP="00C21496">
            <w:pPr>
              <w:pStyle w:val="TableTextDusc"/>
            </w:pPr>
            <w:r w:rsidRPr="009F466A">
              <w:t>The proportion of patients who had any AE was the same for both the combination therapy and monotherapy arms (RR = 0.99; 95% CI 0.93, 1.06)</w:t>
            </w:r>
          </w:p>
        </w:tc>
      </w:tr>
      <w:tr w:rsidR="00321DBE" w:rsidRPr="009F466A" w14:paraId="49AE77D9" w14:textId="77777777" w:rsidTr="00406F77">
        <w:tc>
          <w:tcPr>
            <w:tcW w:w="1555" w:type="dxa"/>
          </w:tcPr>
          <w:p w14:paraId="7494E8AE" w14:textId="77777777" w:rsidR="00321DBE" w:rsidRPr="009F466A" w:rsidRDefault="00321DBE" w:rsidP="00C21496">
            <w:pPr>
              <w:pStyle w:val="TableTextDusc"/>
            </w:pPr>
            <w:r w:rsidRPr="009F466A">
              <w:t>Serious AEs</w:t>
            </w:r>
          </w:p>
        </w:tc>
        <w:tc>
          <w:tcPr>
            <w:tcW w:w="2195" w:type="dxa"/>
            <w:gridSpan w:val="2"/>
            <w:tcBorders>
              <w:top w:val="single" w:sz="4" w:space="0" w:color="auto"/>
              <w:left w:val="single" w:sz="4" w:space="0" w:color="auto"/>
              <w:bottom w:val="single" w:sz="4" w:space="0" w:color="auto"/>
              <w:right w:val="single" w:sz="4" w:space="0" w:color="auto"/>
            </w:tcBorders>
          </w:tcPr>
          <w:p w14:paraId="0FAF3F9E" w14:textId="77777777" w:rsidR="00321DBE" w:rsidRPr="009F466A" w:rsidRDefault="00321DBE" w:rsidP="00C21496">
            <w:pPr>
              <w:pStyle w:val="TableTextDusc"/>
            </w:pPr>
            <w:r w:rsidRPr="009F466A">
              <w:t>COMPASS-2 (bosentan/sildenafil)</w:t>
            </w:r>
          </w:p>
          <w:p w14:paraId="51285329" w14:textId="77777777" w:rsidR="00321DBE" w:rsidRPr="009F466A" w:rsidRDefault="00321DBE" w:rsidP="00C21496">
            <w:pPr>
              <w:pStyle w:val="TableTextDusc"/>
            </w:pPr>
            <w:r w:rsidRPr="009F466A">
              <w:t xml:space="preserve">AMBITION (ambrisentan/tadalafil) </w:t>
            </w:r>
          </w:p>
          <w:p w14:paraId="130B1FAB" w14:textId="77777777" w:rsidR="00321DBE" w:rsidRPr="009F466A" w:rsidRDefault="00321DBE" w:rsidP="00C21496">
            <w:pPr>
              <w:pStyle w:val="TableTextDusc"/>
            </w:pPr>
            <w:r w:rsidRPr="009F466A">
              <w:t>N=705</w:t>
            </w:r>
          </w:p>
        </w:tc>
        <w:tc>
          <w:tcPr>
            <w:tcW w:w="5884" w:type="dxa"/>
            <w:gridSpan w:val="2"/>
          </w:tcPr>
          <w:p w14:paraId="2CCA9972" w14:textId="4393251E"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736D7856" w14:textId="77777777" w:rsidR="00321DBE" w:rsidRPr="009F466A" w:rsidRDefault="00321DBE" w:rsidP="00C21496">
            <w:pPr>
              <w:pStyle w:val="TableTextDusc"/>
            </w:pPr>
            <w:r w:rsidRPr="009F466A">
              <w:t>Significantly fewer patients had a serious AE with combination therapy compared with monotherapy (pooled RR = 0.82; 95% CI 0.69, 0.96)</w:t>
            </w:r>
          </w:p>
        </w:tc>
      </w:tr>
      <w:tr w:rsidR="00321DBE" w:rsidRPr="009F466A" w14:paraId="207CCF9B" w14:textId="77777777" w:rsidTr="00406F77">
        <w:tc>
          <w:tcPr>
            <w:tcW w:w="1555" w:type="dxa"/>
          </w:tcPr>
          <w:p w14:paraId="45389C5E" w14:textId="77777777" w:rsidR="00321DBE" w:rsidRPr="009F466A" w:rsidRDefault="00321DBE" w:rsidP="00C21496">
            <w:pPr>
              <w:pStyle w:val="TableTextDusc"/>
            </w:pPr>
            <w:r w:rsidRPr="009F466A">
              <w:t>AEs leading to treatment discontinuation</w:t>
            </w:r>
          </w:p>
        </w:tc>
        <w:tc>
          <w:tcPr>
            <w:tcW w:w="2195" w:type="dxa"/>
            <w:gridSpan w:val="2"/>
            <w:tcBorders>
              <w:top w:val="single" w:sz="4" w:space="0" w:color="auto"/>
              <w:left w:val="single" w:sz="4" w:space="0" w:color="auto"/>
              <w:bottom w:val="single" w:sz="4" w:space="0" w:color="auto"/>
              <w:right w:val="single" w:sz="4" w:space="0" w:color="auto"/>
            </w:tcBorders>
          </w:tcPr>
          <w:p w14:paraId="27D3A881" w14:textId="77777777" w:rsidR="00321DBE" w:rsidRPr="009F466A" w:rsidRDefault="00321DBE" w:rsidP="00C21496">
            <w:pPr>
              <w:pStyle w:val="TableTextDusc"/>
            </w:pPr>
            <w:r w:rsidRPr="009F466A">
              <w:t>COMPASS-2 (bosentan/sildenafil)</w:t>
            </w:r>
          </w:p>
          <w:p w14:paraId="7DF414FB" w14:textId="77777777" w:rsidR="00321DBE" w:rsidRPr="009F466A" w:rsidRDefault="00321DBE" w:rsidP="00C21496">
            <w:pPr>
              <w:pStyle w:val="TableTextDusc"/>
            </w:pPr>
            <w:r w:rsidRPr="009F466A">
              <w:t xml:space="preserve">AMBITION (ambrisentan/tadalafil) </w:t>
            </w:r>
          </w:p>
          <w:p w14:paraId="17D5E343" w14:textId="77777777" w:rsidR="00321DBE" w:rsidRPr="009F466A" w:rsidRDefault="00321DBE" w:rsidP="00C21496">
            <w:pPr>
              <w:pStyle w:val="TableTextDusc"/>
            </w:pPr>
            <w:r w:rsidRPr="009F466A">
              <w:t>N=705</w:t>
            </w:r>
          </w:p>
        </w:tc>
        <w:tc>
          <w:tcPr>
            <w:tcW w:w="5884" w:type="dxa"/>
            <w:gridSpan w:val="2"/>
            <w:tcBorders>
              <w:top w:val="single" w:sz="4" w:space="0" w:color="auto"/>
              <w:left w:val="single" w:sz="4" w:space="0" w:color="auto"/>
              <w:bottom w:val="single" w:sz="4" w:space="0" w:color="auto"/>
              <w:right w:val="single" w:sz="4" w:space="0" w:color="auto"/>
            </w:tcBorders>
          </w:tcPr>
          <w:p w14:paraId="037C4168" w14:textId="0CFC8099"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50E5F1DF" w14:textId="77777777" w:rsidR="00321DBE" w:rsidRPr="009F466A" w:rsidRDefault="00321DBE" w:rsidP="00C21496">
            <w:pPr>
              <w:pStyle w:val="TableTextDusc"/>
            </w:pPr>
            <w:r w:rsidRPr="009F466A">
              <w:t>More patients had an AE leading to treatment discontinuation with combination therapy compared with monotherapy, but the 95% CI indicates that there could also be an effect in the opposite direction (pooled RR = 1.47; 95% CI 0.81, 2.66)</w:t>
            </w:r>
          </w:p>
        </w:tc>
      </w:tr>
      <w:tr w:rsidR="00406F77" w:rsidRPr="009F466A" w14:paraId="3013FA7A" w14:textId="77777777" w:rsidTr="005F2F5B">
        <w:tc>
          <w:tcPr>
            <w:tcW w:w="3211" w:type="dxa"/>
            <w:gridSpan w:val="2"/>
            <w:tcBorders>
              <w:top w:val="nil"/>
              <w:left w:val="single" w:sz="4" w:space="0" w:color="auto"/>
              <w:bottom w:val="single" w:sz="4" w:space="0" w:color="auto"/>
              <w:right w:val="single" w:sz="4" w:space="0" w:color="auto"/>
            </w:tcBorders>
            <w:shd w:val="clear" w:color="auto" w:fill="000000"/>
          </w:tcPr>
          <w:p w14:paraId="6F352DBF" w14:textId="77777777" w:rsidR="00406F77" w:rsidRPr="009F466A" w:rsidRDefault="00406F77" w:rsidP="00C21496">
            <w:pPr>
              <w:pStyle w:val="TableTextDusc"/>
            </w:pPr>
            <w:r w:rsidRPr="009F466A">
              <w:t>Patients with IPAH/HPAH</w:t>
            </w:r>
          </w:p>
        </w:tc>
        <w:tc>
          <w:tcPr>
            <w:tcW w:w="3211" w:type="dxa"/>
            <w:gridSpan w:val="2"/>
            <w:tcBorders>
              <w:top w:val="nil"/>
              <w:left w:val="single" w:sz="4" w:space="0" w:color="auto"/>
              <w:bottom w:val="single" w:sz="4" w:space="0" w:color="auto"/>
              <w:right w:val="single" w:sz="4" w:space="0" w:color="auto"/>
            </w:tcBorders>
            <w:shd w:val="clear" w:color="auto" w:fill="000000"/>
          </w:tcPr>
          <w:p w14:paraId="6628DA51" w14:textId="77777777" w:rsidR="00406F77" w:rsidRPr="009F466A" w:rsidRDefault="00406F77" w:rsidP="00C21496">
            <w:pPr>
              <w:pStyle w:val="TableTextDusc"/>
            </w:pPr>
          </w:p>
        </w:tc>
        <w:tc>
          <w:tcPr>
            <w:tcW w:w="3212" w:type="dxa"/>
            <w:tcBorders>
              <w:top w:val="nil"/>
              <w:left w:val="single" w:sz="4" w:space="0" w:color="auto"/>
              <w:bottom w:val="single" w:sz="4" w:space="0" w:color="auto"/>
              <w:right w:val="single" w:sz="4" w:space="0" w:color="auto"/>
            </w:tcBorders>
            <w:shd w:val="clear" w:color="auto" w:fill="000000"/>
          </w:tcPr>
          <w:p w14:paraId="484C3EDA" w14:textId="77777777" w:rsidR="00406F77" w:rsidRPr="009F466A" w:rsidRDefault="00406F77" w:rsidP="00C21496">
            <w:pPr>
              <w:pStyle w:val="TableTextDusc"/>
            </w:pPr>
          </w:p>
        </w:tc>
      </w:tr>
      <w:tr w:rsidR="00321DBE" w:rsidRPr="009F466A" w14:paraId="4D828A10" w14:textId="77777777" w:rsidTr="00406F77">
        <w:tc>
          <w:tcPr>
            <w:tcW w:w="1555" w:type="dxa"/>
            <w:tcBorders>
              <w:top w:val="single" w:sz="4" w:space="0" w:color="auto"/>
              <w:left w:val="single" w:sz="4" w:space="0" w:color="auto"/>
              <w:bottom w:val="single" w:sz="4" w:space="0" w:color="auto"/>
              <w:right w:val="single" w:sz="4" w:space="0" w:color="auto"/>
            </w:tcBorders>
          </w:tcPr>
          <w:p w14:paraId="097CE687" w14:textId="77777777" w:rsidR="00321DBE" w:rsidRPr="009F466A" w:rsidRDefault="00321DBE" w:rsidP="00C21496">
            <w:pPr>
              <w:pStyle w:val="TableTextDusc"/>
            </w:pPr>
            <w:r w:rsidRPr="009F466A">
              <w:rPr>
                <w:rFonts w:cs="Tahoma"/>
              </w:rPr>
              <w:t>Any AE in IPAH/HPAH</w:t>
            </w:r>
          </w:p>
        </w:tc>
        <w:tc>
          <w:tcPr>
            <w:tcW w:w="2195" w:type="dxa"/>
            <w:gridSpan w:val="2"/>
            <w:tcBorders>
              <w:top w:val="single" w:sz="4" w:space="0" w:color="auto"/>
              <w:left w:val="single" w:sz="4" w:space="0" w:color="auto"/>
              <w:bottom w:val="single" w:sz="4" w:space="0" w:color="auto"/>
              <w:right w:val="single" w:sz="4" w:space="0" w:color="auto"/>
            </w:tcBorders>
          </w:tcPr>
          <w:p w14:paraId="17A4721B" w14:textId="77777777" w:rsidR="00321DBE" w:rsidRPr="009F466A" w:rsidRDefault="00321DBE" w:rsidP="00C21496">
            <w:pPr>
              <w:pStyle w:val="TableTextDusc"/>
            </w:pPr>
            <w:r w:rsidRPr="009F466A">
              <w:t>AMBITION (ambrisentan/tadalafil)</w:t>
            </w:r>
          </w:p>
          <w:p w14:paraId="1ABA3DF8" w14:textId="77777777" w:rsidR="00321DBE" w:rsidRPr="009F466A" w:rsidRDefault="00321DBE" w:rsidP="00C21496">
            <w:pPr>
              <w:pStyle w:val="TableTextDusc"/>
            </w:pPr>
            <w:r w:rsidRPr="009F466A">
              <w:t>N=204</w:t>
            </w:r>
          </w:p>
        </w:tc>
        <w:tc>
          <w:tcPr>
            <w:tcW w:w="5884" w:type="dxa"/>
            <w:gridSpan w:val="2"/>
            <w:tcBorders>
              <w:top w:val="single" w:sz="4" w:space="0" w:color="auto"/>
              <w:left w:val="single" w:sz="4" w:space="0" w:color="auto"/>
              <w:bottom w:val="single" w:sz="4" w:space="0" w:color="auto"/>
              <w:right w:val="single" w:sz="4" w:space="0" w:color="auto"/>
            </w:tcBorders>
          </w:tcPr>
          <w:p w14:paraId="75E8037F" w14:textId="0D166C1B"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60DB0603" w14:textId="77777777" w:rsidR="00321DBE" w:rsidRPr="009F466A" w:rsidRDefault="00321DBE" w:rsidP="00C21496">
            <w:pPr>
              <w:pStyle w:val="TableTextDusc"/>
            </w:pPr>
            <w:r w:rsidRPr="009F466A">
              <w:t>The proportion of patients who had any AE was the same for both the combination therapy and monotherapy arms (RR = 1.04; 95% CI 0.97, 1.12)</w:t>
            </w:r>
          </w:p>
        </w:tc>
      </w:tr>
      <w:tr w:rsidR="00321DBE" w:rsidRPr="009F466A" w14:paraId="657808B0" w14:textId="77777777" w:rsidTr="00406F77">
        <w:tc>
          <w:tcPr>
            <w:tcW w:w="1555" w:type="dxa"/>
          </w:tcPr>
          <w:p w14:paraId="23F77403" w14:textId="77777777" w:rsidR="00321DBE" w:rsidRPr="009F466A" w:rsidRDefault="00321DBE" w:rsidP="00C21496">
            <w:pPr>
              <w:pStyle w:val="TableTextDusc"/>
            </w:pPr>
            <w:r w:rsidRPr="009F466A">
              <w:rPr>
                <w:rFonts w:cs="Tahoma"/>
              </w:rPr>
              <w:t>Serious AEs in IPAH/HPAH</w:t>
            </w:r>
          </w:p>
        </w:tc>
        <w:tc>
          <w:tcPr>
            <w:tcW w:w="2195" w:type="dxa"/>
            <w:gridSpan w:val="2"/>
          </w:tcPr>
          <w:p w14:paraId="672A55A7" w14:textId="77777777" w:rsidR="00321DBE" w:rsidRPr="009F466A" w:rsidRDefault="00321DBE" w:rsidP="00C21496">
            <w:pPr>
              <w:pStyle w:val="TableTextDusc"/>
            </w:pPr>
            <w:r w:rsidRPr="009F466A">
              <w:t xml:space="preserve">AMBITION (ambrisentan/tadalafil) </w:t>
            </w:r>
          </w:p>
          <w:p w14:paraId="5E24DB35" w14:textId="77777777" w:rsidR="00321DBE" w:rsidRPr="009F466A" w:rsidRDefault="00321DBE" w:rsidP="00C21496">
            <w:pPr>
              <w:pStyle w:val="TableTextDusc"/>
            </w:pPr>
            <w:r w:rsidRPr="009F466A">
              <w:t>N=204</w:t>
            </w:r>
          </w:p>
        </w:tc>
        <w:tc>
          <w:tcPr>
            <w:tcW w:w="5884" w:type="dxa"/>
            <w:gridSpan w:val="2"/>
          </w:tcPr>
          <w:p w14:paraId="46FA5D8A" w14:textId="63E24A9F"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0DE35672" w14:textId="77777777" w:rsidR="00321DBE" w:rsidRPr="009F466A" w:rsidRDefault="00321DBE" w:rsidP="00C21496">
            <w:pPr>
              <w:pStyle w:val="TableTextDusc"/>
            </w:pPr>
            <w:r w:rsidRPr="009F466A">
              <w:t>Fewer patients had a serious AE with combination therapy compared with monotherapy, but the 95% CI indicates that there could also be an effect in the opposite direction (RR = 0.85; 95% CI 0.58, 1.25)</w:t>
            </w:r>
          </w:p>
        </w:tc>
      </w:tr>
      <w:tr w:rsidR="00321DBE" w:rsidRPr="009F466A" w14:paraId="688AF837" w14:textId="77777777" w:rsidTr="00406F77">
        <w:tc>
          <w:tcPr>
            <w:tcW w:w="1555" w:type="dxa"/>
          </w:tcPr>
          <w:p w14:paraId="48F22765" w14:textId="77777777" w:rsidR="00321DBE" w:rsidRPr="009F466A" w:rsidRDefault="00321DBE" w:rsidP="00C21496">
            <w:pPr>
              <w:pStyle w:val="TableTextDusc"/>
            </w:pPr>
            <w:r w:rsidRPr="009F466A">
              <w:rPr>
                <w:rFonts w:cs="Tahoma"/>
              </w:rPr>
              <w:t>AEs leading to treatment discontinuation in IPAH/HPAH</w:t>
            </w:r>
          </w:p>
        </w:tc>
        <w:tc>
          <w:tcPr>
            <w:tcW w:w="2195" w:type="dxa"/>
            <w:gridSpan w:val="2"/>
          </w:tcPr>
          <w:p w14:paraId="0CDE3745" w14:textId="77777777" w:rsidR="00321DBE" w:rsidRPr="009F466A" w:rsidRDefault="00321DBE" w:rsidP="00C21496">
            <w:pPr>
              <w:pStyle w:val="TableTextDusc"/>
            </w:pPr>
            <w:r w:rsidRPr="009F466A">
              <w:t xml:space="preserve">AMBITION (ambrisentan/tadalafil) </w:t>
            </w:r>
          </w:p>
          <w:p w14:paraId="43FB02EB" w14:textId="77777777" w:rsidR="00321DBE" w:rsidRPr="009F466A" w:rsidRDefault="00321DBE" w:rsidP="00C21496">
            <w:pPr>
              <w:pStyle w:val="TableTextDusc"/>
            </w:pPr>
            <w:r w:rsidRPr="009F466A">
              <w:t>N=204</w:t>
            </w:r>
          </w:p>
        </w:tc>
        <w:tc>
          <w:tcPr>
            <w:tcW w:w="5884" w:type="dxa"/>
            <w:gridSpan w:val="2"/>
          </w:tcPr>
          <w:p w14:paraId="0FABDBB3" w14:textId="4EFE1D06" w:rsidR="00321DBE" w:rsidRPr="009F466A" w:rsidRDefault="00321DBE" w:rsidP="00C21496">
            <w:pPr>
              <w:pStyle w:val="TableTextDusc"/>
            </w:pPr>
            <w:r w:rsidRPr="009F466A">
              <w:t>Moderate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9F466A">
              <w:t>)</w:t>
            </w:r>
          </w:p>
          <w:p w14:paraId="4F180BD6" w14:textId="77777777" w:rsidR="00321DBE" w:rsidRPr="009F466A" w:rsidRDefault="00321DBE" w:rsidP="00C21496">
            <w:pPr>
              <w:pStyle w:val="TableTextDusc"/>
            </w:pPr>
            <w:r w:rsidRPr="009F466A">
              <w:t>The proportion of patients who had an AE leading to treatment discontinuation was the same for both the combination therapy and monotherapy (RR = 0.98; 95% CI 0.44, 2.20)</w:t>
            </w:r>
          </w:p>
        </w:tc>
      </w:tr>
      <w:tr w:rsidR="00406F77" w:rsidRPr="009F466A" w14:paraId="2998E280" w14:textId="77777777" w:rsidTr="005F2F5B">
        <w:tc>
          <w:tcPr>
            <w:tcW w:w="3211" w:type="dxa"/>
            <w:gridSpan w:val="2"/>
            <w:tcBorders>
              <w:top w:val="nil"/>
              <w:left w:val="single" w:sz="4" w:space="0" w:color="auto"/>
              <w:bottom w:val="single" w:sz="4" w:space="0" w:color="auto"/>
              <w:right w:val="single" w:sz="4" w:space="0" w:color="auto"/>
            </w:tcBorders>
            <w:shd w:val="clear" w:color="auto" w:fill="000000"/>
          </w:tcPr>
          <w:p w14:paraId="36615044" w14:textId="77777777" w:rsidR="00406F77" w:rsidRPr="009F466A" w:rsidRDefault="00406F77" w:rsidP="00C21496">
            <w:pPr>
              <w:pStyle w:val="TableTextDusc"/>
            </w:pPr>
            <w:r w:rsidRPr="009F466A">
              <w:lastRenderedPageBreak/>
              <w:t>Patients with PAH-CTD</w:t>
            </w:r>
          </w:p>
        </w:tc>
        <w:tc>
          <w:tcPr>
            <w:tcW w:w="3211" w:type="dxa"/>
            <w:gridSpan w:val="2"/>
            <w:tcBorders>
              <w:top w:val="nil"/>
              <w:left w:val="single" w:sz="4" w:space="0" w:color="auto"/>
              <w:bottom w:val="single" w:sz="4" w:space="0" w:color="auto"/>
              <w:right w:val="single" w:sz="4" w:space="0" w:color="auto"/>
            </w:tcBorders>
            <w:shd w:val="clear" w:color="auto" w:fill="000000"/>
          </w:tcPr>
          <w:p w14:paraId="4E5104F6" w14:textId="77777777" w:rsidR="00406F77" w:rsidRPr="009F466A" w:rsidRDefault="00406F77" w:rsidP="00C21496">
            <w:pPr>
              <w:pStyle w:val="TableTextDusc"/>
            </w:pPr>
          </w:p>
        </w:tc>
        <w:tc>
          <w:tcPr>
            <w:tcW w:w="3212" w:type="dxa"/>
            <w:tcBorders>
              <w:top w:val="nil"/>
              <w:left w:val="single" w:sz="4" w:space="0" w:color="auto"/>
              <w:bottom w:val="single" w:sz="4" w:space="0" w:color="auto"/>
              <w:right w:val="single" w:sz="4" w:space="0" w:color="auto"/>
            </w:tcBorders>
            <w:shd w:val="clear" w:color="auto" w:fill="000000"/>
          </w:tcPr>
          <w:p w14:paraId="15383D6B" w14:textId="77777777" w:rsidR="00406F77" w:rsidRPr="009F466A" w:rsidRDefault="00406F77" w:rsidP="00C21496">
            <w:pPr>
              <w:pStyle w:val="TableTextDusc"/>
            </w:pPr>
          </w:p>
        </w:tc>
      </w:tr>
      <w:tr w:rsidR="00321DBE" w:rsidRPr="009F466A" w14:paraId="44423811" w14:textId="77777777" w:rsidTr="00406F77">
        <w:tc>
          <w:tcPr>
            <w:tcW w:w="1555" w:type="dxa"/>
            <w:tcBorders>
              <w:top w:val="single" w:sz="4" w:space="0" w:color="auto"/>
              <w:left w:val="single" w:sz="4" w:space="0" w:color="auto"/>
              <w:bottom w:val="single" w:sz="4" w:space="0" w:color="auto"/>
              <w:right w:val="single" w:sz="4" w:space="0" w:color="auto"/>
            </w:tcBorders>
          </w:tcPr>
          <w:p w14:paraId="69361DEB" w14:textId="77777777" w:rsidR="00321DBE" w:rsidRPr="009F466A" w:rsidRDefault="00321DBE" w:rsidP="00C21496">
            <w:pPr>
              <w:pStyle w:val="TableTextDusc"/>
            </w:pPr>
            <w:r w:rsidRPr="009F466A">
              <w:rPr>
                <w:rFonts w:cs="Tahoma"/>
              </w:rPr>
              <w:t>Any AE in PAH-CTD</w:t>
            </w:r>
          </w:p>
        </w:tc>
        <w:tc>
          <w:tcPr>
            <w:tcW w:w="2195" w:type="dxa"/>
            <w:gridSpan w:val="2"/>
            <w:tcBorders>
              <w:top w:val="single" w:sz="4" w:space="0" w:color="auto"/>
              <w:left w:val="single" w:sz="4" w:space="0" w:color="auto"/>
              <w:bottom w:val="single" w:sz="4" w:space="0" w:color="auto"/>
              <w:right w:val="single" w:sz="4" w:space="0" w:color="auto"/>
            </w:tcBorders>
          </w:tcPr>
          <w:p w14:paraId="5C269CE8" w14:textId="77777777" w:rsidR="00321DBE" w:rsidRPr="009F466A" w:rsidRDefault="00321DBE" w:rsidP="00C21496">
            <w:pPr>
              <w:pStyle w:val="TableTextDusc"/>
            </w:pPr>
            <w:r w:rsidRPr="009F466A">
              <w:t xml:space="preserve">AMBITION (ambrisentan/tadalafil) </w:t>
            </w:r>
          </w:p>
          <w:p w14:paraId="505E56A2" w14:textId="77777777" w:rsidR="00321DBE" w:rsidRPr="009F466A" w:rsidRDefault="00321DBE" w:rsidP="00C21496">
            <w:pPr>
              <w:pStyle w:val="TableTextDusc"/>
            </w:pPr>
            <w:r w:rsidRPr="009F466A">
              <w:t>N=143</w:t>
            </w:r>
          </w:p>
        </w:tc>
        <w:tc>
          <w:tcPr>
            <w:tcW w:w="5884" w:type="dxa"/>
            <w:gridSpan w:val="2"/>
          </w:tcPr>
          <w:p w14:paraId="4E2E6356" w14:textId="338942BE"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64A5B5F4" w14:textId="77777777" w:rsidR="00321DBE" w:rsidRPr="009F466A" w:rsidRDefault="00321DBE" w:rsidP="00C21496">
            <w:pPr>
              <w:pStyle w:val="TableTextDusc"/>
            </w:pPr>
            <w:r w:rsidRPr="009F466A">
              <w:t>The proportion of patients who had any AE was the same for both the combination therapy and monotherapy arms (RR = 1.02; 95% CI 0.96, 1.07)</w:t>
            </w:r>
          </w:p>
        </w:tc>
      </w:tr>
      <w:tr w:rsidR="00321DBE" w:rsidRPr="009F466A" w14:paraId="7A225134" w14:textId="77777777" w:rsidTr="00406F77">
        <w:tc>
          <w:tcPr>
            <w:tcW w:w="1555" w:type="dxa"/>
            <w:tcBorders>
              <w:top w:val="single" w:sz="4" w:space="0" w:color="auto"/>
              <w:left w:val="single" w:sz="4" w:space="0" w:color="auto"/>
              <w:bottom w:val="single" w:sz="4" w:space="0" w:color="auto"/>
              <w:right w:val="single" w:sz="4" w:space="0" w:color="auto"/>
            </w:tcBorders>
          </w:tcPr>
          <w:p w14:paraId="3B6DC9A1" w14:textId="77777777" w:rsidR="00321DBE" w:rsidRPr="009F466A" w:rsidRDefault="00321DBE" w:rsidP="00C21496">
            <w:pPr>
              <w:pStyle w:val="TableTextDusc"/>
            </w:pPr>
            <w:r w:rsidRPr="009F466A">
              <w:rPr>
                <w:rFonts w:cs="Tahoma"/>
              </w:rPr>
              <w:t>Serious AEs in PAH-CTD</w:t>
            </w:r>
          </w:p>
        </w:tc>
        <w:tc>
          <w:tcPr>
            <w:tcW w:w="2195" w:type="dxa"/>
            <w:gridSpan w:val="2"/>
            <w:tcBorders>
              <w:top w:val="single" w:sz="4" w:space="0" w:color="auto"/>
              <w:left w:val="single" w:sz="4" w:space="0" w:color="auto"/>
              <w:bottom w:val="single" w:sz="4" w:space="0" w:color="auto"/>
              <w:right w:val="single" w:sz="4" w:space="0" w:color="auto"/>
            </w:tcBorders>
          </w:tcPr>
          <w:p w14:paraId="7DDCFD13" w14:textId="77777777" w:rsidR="00321DBE" w:rsidRPr="009F466A" w:rsidRDefault="00321DBE" w:rsidP="00C21496">
            <w:pPr>
              <w:pStyle w:val="TableTextDusc"/>
            </w:pPr>
            <w:r w:rsidRPr="009F466A">
              <w:t xml:space="preserve">AMBITION (ambrisentan/tadalafil) </w:t>
            </w:r>
          </w:p>
          <w:p w14:paraId="21E5CF12" w14:textId="77777777" w:rsidR="00321DBE" w:rsidRPr="009F466A" w:rsidRDefault="00321DBE" w:rsidP="00C21496">
            <w:pPr>
              <w:pStyle w:val="TableTextDusc"/>
            </w:pPr>
            <w:r w:rsidRPr="009F466A">
              <w:t>N=143</w:t>
            </w:r>
          </w:p>
        </w:tc>
        <w:tc>
          <w:tcPr>
            <w:tcW w:w="5884" w:type="dxa"/>
            <w:gridSpan w:val="2"/>
            <w:tcBorders>
              <w:top w:val="single" w:sz="4" w:space="0" w:color="auto"/>
              <w:left w:val="single" w:sz="4" w:space="0" w:color="auto"/>
              <w:bottom w:val="single" w:sz="4" w:space="0" w:color="auto"/>
              <w:right w:val="single" w:sz="4" w:space="0" w:color="auto"/>
            </w:tcBorders>
          </w:tcPr>
          <w:p w14:paraId="0845A11C" w14:textId="4B50737E"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72427228" w14:textId="77777777" w:rsidR="00321DBE" w:rsidRPr="009F466A" w:rsidRDefault="00321DBE" w:rsidP="00C21496">
            <w:pPr>
              <w:pStyle w:val="TableTextDusc"/>
            </w:pPr>
            <w:r w:rsidRPr="009F466A">
              <w:t>Fewer patients had a serious AE with combination therapy compared with monotherapy, but the 95% CI indicates that there could also be an effect in the opposite direction (RR = 0.87; 95% CI 0.60, 1.28)</w:t>
            </w:r>
          </w:p>
        </w:tc>
      </w:tr>
      <w:tr w:rsidR="00321DBE" w:rsidRPr="009F466A" w14:paraId="1F876C62" w14:textId="77777777" w:rsidTr="00406F77">
        <w:tc>
          <w:tcPr>
            <w:tcW w:w="1555" w:type="dxa"/>
          </w:tcPr>
          <w:p w14:paraId="11922EA8" w14:textId="77777777" w:rsidR="00321DBE" w:rsidRPr="009F466A" w:rsidRDefault="00321DBE" w:rsidP="00C21496">
            <w:pPr>
              <w:pStyle w:val="TableTextDusc"/>
            </w:pPr>
            <w:r w:rsidRPr="009F466A">
              <w:rPr>
                <w:rFonts w:cs="Tahoma"/>
              </w:rPr>
              <w:t>AEs leading to treatment discontinuation in PAH-CTD</w:t>
            </w:r>
          </w:p>
        </w:tc>
        <w:tc>
          <w:tcPr>
            <w:tcW w:w="2195" w:type="dxa"/>
            <w:gridSpan w:val="2"/>
          </w:tcPr>
          <w:p w14:paraId="301492C3" w14:textId="77777777" w:rsidR="00321DBE" w:rsidRPr="009F466A" w:rsidRDefault="00321DBE" w:rsidP="00C21496">
            <w:pPr>
              <w:pStyle w:val="TableTextDusc"/>
            </w:pPr>
            <w:r w:rsidRPr="009F466A">
              <w:t xml:space="preserve">AMBITION (ambrisentan/tadalafil) </w:t>
            </w:r>
          </w:p>
          <w:p w14:paraId="204F115E" w14:textId="77777777" w:rsidR="00321DBE" w:rsidRPr="009F466A" w:rsidRDefault="00321DBE" w:rsidP="00C21496">
            <w:pPr>
              <w:pStyle w:val="TableTextDusc"/>
            </w:pPr>
            <w:r w:rsidRPr="009F466A">
              <w:t>N=143</w:t>
            </w:r>
          </w:p>
        </w:tc>
        <w:tc>
          <w:tcPr>
            <w:tcW w:w="5884" w:type="dxa"/>
            <w:gridSpan w:val="2"/>
          </w:tcPr>
          <w:p w14:paraId="145A046A" w14:textId="3E434D70" w:rsidR="00321DBE" w:rsidRPr="009F466A" w:rsidRDefault="00321DBE" w:rsidP="00C21496">
            <w:pPr>
              <w:pStyle w:val="TableTextDusc"/>
            </w:pPr>
            <w:r w:rsidRPr="009F466A">
              <w:t>Moderate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9F466A">
              <w:t>)</w:t>
            </w:r>
          </w:p>
          <w:p w14:paraId="5C681200" w14:textId="77777777" w:rsidR="00321DBE" w:rsidRPr="009F466A" w:rsidRDefault="00321DBE" w:rsidP="00C21496">
            <w:pPr>
              <w:pStyle w:val="TableTextDusc"/>
            </w:pPr>
            <w:r w:rsidRPr="009F466A">
              <w:t>Fewer patients had an AE leading to treatment discontinuation with combination therapy compared with monotherapy, but the 95% CI indicates that there could also be an effect in the opposite direction (RR = 0.91; 95% CI 0.37, 2.19)</w:t>
            </w:r>
          </w:p>
        </w:tc>
      </w:tr>
    </w:tbl>
    <w:p w14:paraId="2955B209" w14:textId="77777777" w:rsidR="00321DBE" w:rsidRPr="00532B79" w:rsidRDefault="00321DBE" w:rsidP="00C21496">
      <w:pPr>
        <w:pStyle w:val="Tablenote"/>
        <w:jc w:val="left"/>
      </w:pPr>
      <w:r w:rsidRPr="00532B79">
        <w:t>AE = adverse event; CI = confidence interval; ERA = endothelin receptor antagonist; GRADE = grading of recommendations assessment, development and evaluation1; HPAH = heritable PAH; IPAH = idiopathic PAH; PAH = pulmonary arterial hypertension; PAH-CTD = PAH associated with connective tissue disease; PDE-5 = phosphodiesterase type-5; RR = relative risk</w:t>
      </w:r>
    </w:p>
    <w:p w14:paraId="579BD338" w14:textId="77777777" w:rsidR="00321DBE" w:rsidRPr="009F466A" w:rsidRDefault="00321DBE" w:rsidP="00C21496">
      <w:pPr>
        <w:pStyle w:val="Heading4"/>
      </w:pPr>
      <w:r w:rsidRPr="009F466A">
        <w:t>ERA in addition to prostanoid</w:t>
      </w:r>
    </w:p>
    <w:p w14:paraId="1002DDEB" w14:textId="77777777" w:rsidR="0016033A" w:rsidRPr="0016033A" w:rsidRDefault="0016033A" w:rsidP="00C21496">
      <w:pPr>
        <w:pStyle w:val="Heading5"/>
        <w:keepLines w:val="0"/>
        <w:numPr>
          <w:ilvl w:val="0"/>
          <w:numId w:val="0"/>
        </w:numPr>
        <w:spacing w:before="240"/>
        <w:jc w:val="left"/>
        <w:rPr>
          <w:color w:val="auto"/>
          <w:u w:val="single"/>
        </w:rPr>
      </w:pPr>
      <w:bookmarkStart w:id="82" w:name="_Ref505953962"/>
      <w:bookmarkStart w:id="83" w:name="_Toc508396840"/>
      <w:r w:rsidRPr="0016033A">
        <w:rPr>
          <w:color w:val="auto"/>
          <w:u w:val="single"/>
        </w:rPr>
        <w:t>Clinical effectiveness</w:t>
      </w:r>
    </w:p>
    <w:p w14:paraId="59083A4A" w14:textId="77777777" w:rsidR="0016033A" w:rsidRPr="00C77B6A" w:rsidRDefault="0016033A" w:rsidP="00C21496">
      <w:pPr>
        <w:spacing w:after="40"/>
        <w:jc w:val="left"/>
      </w:pPr>
      <w:r w:rsidRPr="00C77B6A">
        <w:t xml:space="preserve">Two RCTs reported on the effectiveness of an ERA in addition to </w:t>
      </w:r>
      <w:r w:rsidRPr="0017012F">
        <w:t xml:space="preserve">prostanoid </w:t>
      </w:r>
      <w:r>
        <w:t xml:space="preserve">therapy </w:t>
      </w:r>
      <w:r w:rsidRPr="00C77B6A">
        <w:t>in treating PAH compared with place</w:t>
      </w:r>
      <w:r>
        <w:t xml:space="preserve">bo plus a </w:t>
      </w:r>
      <w:r w:rsidRPr="0017012F">
        <w:t>prostanoid</w:t>
      </w:r>
      <w:r>
        <w:t>:</w:t>
      </w:r>
    </w:p>
    <w:p w14:paraId="2BB11262" w14:textId="77777777" w:rsidR="0016033A" w:rsidRPr="00550EA7" w:rsidRDefault="0016033A" w:rsidP="00C21496">
      <w:pPr>
        <w:pStyle w:val="Bullettext"/>
        <w:ind w:left="720"/>
        <w:rPr>
          <w:bCs/>
        </w:rPr>
      </w:pPr>
      <w:r w:rsidRPr="00C77B6A">
        <w:t xml:space="preserve">BREATHE-2 enrolled treatment-naïve patients with </w:t>
      </w:r>
      <w:r>
        <w:t>WHO</w:t>
      </w:r>
      <w:r w:rsidRPr="00C77B6A">
        <w:t xml:space="preserve"> FC III/IV PAH </w:t>
      </w:r>
      <w:r>
        <w:t>to receive combination therapy or monotherapy</w:t>
      </w:r>
    </w:p>
    <w:p w14:paraId="431B09DA" w14:textId="77777777" w:rsidR="0016033A" w:rsidRPr="00550EA7" w:rsidRDefault="0016033A" w:rsidP="00C21496">
      <w:pPr>
        <w:pStyle w:val="Bullettext"/>
        <w:ind w:left="720"/>
        <w:rPr>
          <w:bCs/>
        </w:rPr>
      </w:pPr>
      <w:r w:rsidRPr="00C77B6A">
        <w:t>Han 2017</w:t>
      </w:r>
      <w:r>
        <w:t xml:space="preserve"> enrolled</w:t>
      </w:r>
      <w:r w:rsidRPr="00C77B6A">
        <w:t xml:space="preserve"> treatment-naïve </w:t>
      </w:r>
      <w:r>
        <w:t xml:space="preserve">patients with WHO FC III/IV PAH to receive </w:t>
      </w:r>
      <w:r w:rsidRPr="00C77B6A">
        <w:t>combination therapy</w:t>
      </w:r>
      <w:r>
        <w:t xml:space="preserve"> or monotherapy</w:t>
      </w:r>
      <w:r w:rsidR="00E660FD">
        <w:t>.</w:t>
      </w:r>
    </w:p>
    <w:p w14:paraId="7F55B846" w14:textId="77777777" w:rsidR="0016033A" w:rsidRDefault="0016033A" w:rsidP="00C21496">
      <w:pPr>
        <w:jc w:val="left"/>
      </w:pPr>
      <w:r w:rsidRPr="00C10642">
        <w:t xml:space="preserve">The evidence provided by these trials for patients with WHO FC III/IV PAH is summarised in </w:t>
      </w:r>
      <w:r w:rsidR="00CC79E1">
        <w:t>Table ES.</w:t>
      </w:r>
      <w:r w:rsidR="00CC79E1">
        <w:rPr>
          <w:noProof/>
        </w:rPr>
        <w:t>11</w:t>
      </w:r>
      <w:r w:rsidRPr="00C10642">
        <w:t>.</w:t>
      </w:r>
    </w:p>
    <w:p w14:paraId="168B4B98" w14:textId="77777777" w:rsidR="00AA35AB" w:rsidRDefault="0016033A" w:rsidP="00C21496">
      <w:pPr>
        <w:jc w:val="left"/>
      </w:pPr>
      <w:r>
        <w:t xml:space="preserve">Overall, </w:t>
      </w:r>
      <w:r w:rsidRPr="001E5DED">
        <w:t>the</w:t>
      </w:r>
      <w:r>
        <w:t xml:space="preserve">re is uncertainty as to whether </w:t>
      </w:r>
      <w:r w:rsidRPr="001E5DED">
        <w:t>an ERA in addition to prostanoid</w:t>
      </w:r>
      <w:r>
        <w:t xml:space="preserve"> therapy</w:t>
      </w:r>
      <w:r w:rsidRPr="001E5DED">
        <w:t>, relative to prostanoid monotherapy</w:t>
      </w:r>
      <w:r>
        <w:t>,</w:t>
      </w:r>
      <w:r w:rsidRPr="001E5DED">
        <w:t xml:space="preserve"> </w:t>
      </w:r>
      <w:r>
        <w:t xml:space="preserve">is beneficial in </w:t>
      </w:r>
      <w:r w:rsidRPr="001E5DED">
        <w:t>patients with WHO FC III/IV PAH</w:t>
      </w:r>
      <w:r w:rsidRPr="006316DF">
        <w:t>.</w:t>
      </w:r>
    </w:p>
    <w:p w14:paraId="78DFCAED" w14:textId="77777777" w:rsidR="00AA35AB" w:rsidRDefault="00AA35AB">
      <w:pPr>
        <w:jc w:val="left"/>
      </w:pPr>
      <w:r>
        <w:br w:type="page"/>
      </w:r>
    </w:p>
    <w:p w14:paraId="3C78D597" w14:textId="77777777" w:rsidR="008B580D" w:rsidRPr="008B580D" w:rsidRDefault="008B580D" w:rsidP="00C21496">
      <w:pPr>
        <w:pStyle w:val="Caption"/>
        <w:jc w:val="left"/>
      </w:pPr>
      <w:bookmarkStart w:id="84" w:name="_Ref511118803"/>
      <w:bookmarkStart w:id="85" w:name="_Toc38372130"/>
      <w:bookmarkEnd w:id="82"/>
      <w:bookmarkEnd w:id="83"/>
      <w:r>
        <w:lastRenderedPageBreak/>
        <w:t>Table ES.</w:t>
      </w:r>
      <w:r w:rsidR="00CC79E1">
        <w:rPr>
          <w:noProof/>
        </w:rPr>
        <w:t>11</w:t>
      </w:r>
      <w:bookmarkEnd w:id="84"/>
      <w:r>
        <w:tab/>
      </w:r>
      <w:r w:rsidRPr="009F466A">
        <w:t>Summary of the evidence for the clinical effectiveness of an ERA in addition to a prostanoid, relative to prostanoid monotherapy</w:t>
      </w:r>
      <w:bookmarkEnd w:id="85"/>
    </w:p>
    <w:tbl>
      <w:tblPr>
        <w:tblStyle w:val="TableGrid"/>
        <w:tblW w:w="9634" w:type="dxa"/>
        <w:tblLook w:val="04A0" w:firstRow="1" w:lastRow="0" w:firstColumn="1" w:lastColumn="0" w:noHBand="0" w:noVBand="1"/>
        <w:tblCaption w:val="Summary of the evidence for the clinical effectiveness of an ERA in addition to a prostanoid, relative to prostanoid monotherapy"/>
      </w:tblPr>
      <w:tblGrid>
        <w:gridCol w:w="1573"/>
        <w:gridCol w:w="2385"/>
        <w:gridCol w:w="5676"/>
      </w:tblGrid>
      <w:tr w:rsidR="00321DBE" w:rsidRPr="009F466A" w14:paraId="2A1DE674"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A6E67D" w14:textId="77777777" w:rsidR="00321DBE" w:rsidRPr="00A4053B" w:rsidRDefault="00321DBE" w:rsidP="00C21496">
            <w:pPr>
              <w:pStyle w:val="Tabletext"/>
              <w:rPr>
                <w:b/>
              </w:rPr>
            </w:pPr>
            <w:r w:rsidRPr="00A4053B">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E4FAB6" w14:textId="77777777" w:rsidR="00321DBE" w:rsidRPr="00A4053B" w:rsidRDefault="00321DBE" w:rsidP="00C21496">
            <w:pPr>
              <w:pStyle w:val="Tabletext"/>
              <w:rPr>
                <w:b/>
              </w:rPr>
            </w:pPr>
            <w:r w:rsidRPr="00A4053B">
              <w:rPr>
                <w:b/>
              </w:rPr>
              <w:t xml:space="preserve">Included trials </w:t>
            </w:r>
          </w:p>
          <w:p w14:paraId="067305E5" w14:textId="77777777" w:rsidR="00321DBE" w:rsidRPr="00A4053B" w:rsidRDefault="00321DBE" w:rsidP="00C21496">
            <w:pPr>
              <w:pStyle w:val="Tabletext"/>
              <w:rPr>
                <w:b/>
              </w:rPr>
            </w:pPr>
            <w:r w:rsidRPr="00A4053B">
              <w:rPr>
                <w:b/>
              </w:rPr>
              <w:t>No. of patients</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B5CA48" w14:textId="77777777" w:rsidR="00321DBE" w:rsidRPr="00A4053B" w:rsidRDefault="00321DBE" w:rsidP="00C21496">
            <w:pPr>
              <w:pStyle w:val="Tabletext"/>
              <w:rPr>
                <w:b/>
              </w:rPr>
            </w:pPr>
            <w:r w:rsidRPr="00A4053B">
              <w:rPr>
                <w:b/>
              </w:rPr>
              <w:t>Summary of evidence</w:t>
            </w:r>
          </w:p>
        </w:tc>
      </w:tr>
      <w:tr w:rsidR="00321DBE" w:rsidRPr="009F466A" w14:paraId="2C49611F"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581EAFC1" w14:textId="77777777" w:rsidR="00321DBE" w:rsidRPr="00532B79" w:rsidRDefault="00321DBE" w:rsidP="00C21496">
            <w:pPr>
              <w:pStyle w:val="Tabletext"/>
            </w:pPr>
            <w:r w:rsidRPr="00532B79">
              <w:t>Patients with WHO FC III/IV PAH</w:t>
            </w:r>
          </w:p>
        </w:tc>
      </w:tr>
      <w:tr w:rsidR="00321DBE" w:rsidRPr="009F466A" w14:paraId="25DCC8E9" w14:textId="77777777" w:rsidTr="00321DBE">
        <w:tc>
          <w:tcPr>
            <w:tcW w:w="1555" w:type="dxa"/>
          </w:tcPr>
          <w:p w14:paraId="161FAC38" w14:textId="77777777" w:rsidR="00321DBE" w:rsidRPr="00532B79" w:rsidRDefault="00321DBE" w:rsidP="00C21496">
            <w:pPr>
              <w:pStyle w:val="Tabletext"/>
            </w:pPr>
            <w:r w:rsidRPr="00532B79">
              <w:t>All-cause mortality</w:t>
            </w:r>
          </w:p>
        </w:tc>
        <w:tc>
          <w:tcPr>
            <w:tcW w:w="1984" w:type="dxa"/>
            <w:tcBorders>
              <w:top w:val="single" w:sz="4" w:space="0" w:color="auto"/>
              <w:left w:val="single" w:sz="4" w:space="0" w:color="auto"/>
              <w:bottom w:val="single" w:sz="4" w:space="0" w:color="auto"/>
              <w:right w:val="single" w:sz="4" w:space="0" w:color="auto"/>
            </w:tcBorders>
          </w:tcPr>
          <w:p w14:paraId="581E9E88" w14:textId="77777777" w:rsidR="00321DBE" w:rsidRPr="00532B79" w:rsidRDefault="00321DBE" w:rsidP="00C21496">
            <w:pPr>
              <w:pStyle w:val="Tabletext"/>
            </w:pPr>
            <w:r w:rsidRPr="00532B79">
              <w:t>BREATHE-2 (bosentan/epoprostenol)</w:t>
            </w:r>
          </w:p>
          <w:p w14:paraId="29B4BE78" w14:textId="77777777" w:rsidR="00321DBE" w:rsidRPr="00532B79" w:rsidRDefault="00321DBE" w:rsidP="00C21496">
            <w:pPr>
              <w:pStyle w:val="Tabletext"/>
            </w:pPr>
            <w:r w:rsidRPr="00532B79">
              <w:t>N=33</w:t>
            </w:r>
          </w:p>
        </w:tc>
        <w:tc>
          <w:tcPr>
            <w:tcW w:w="6095" w:type="dxa"/>
          </w:tcPr>
          <w:p w14:paraId="15FBCD20" w14:textId="55D78615"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77F8FBB2" w14:textId="77777777" w:rsidR="00321DBE" w:rsidRPr="00532B79" w:rsidRDefault="00321DBE" w:rsidP="00C21496">
            <w:pPr>
              <w:pStyle w:val="Tabletext"/>
            </w:pPr>
            <w:r w:rsidRPr="00532B79">
              <w:t>More patients died from any cause with combination therapy compared with monotherapy, but the wide 95% CI indicates that the study was underpowered for this outcome (ARD = 13.6%; 95% CI −0.7, 28.0)</w:t>
            </w:r>
          </w:p>
        </w:tc>
      </w:tr>
      <w:tr w:rsidR="00321DBE" w:rsidRPr="009F466A" w14:paraId="60A97FA9" w14:textId="77777777" w:rsidTr="00321DBE">
        <w:tc>
          <w:tcPr>
            <w:tcW w:w="1555" w:type="dxa"/>
            <w:tcBorders>
              <w:top w:val="single" w:sz="4" w:space="0" w:color="auto"/>
              <w:left w:val="single" w:sz="4" w:space="0" w:color="auto"/>
              <w:bottom w:val="single" w:sz="4" w:space="0" w:color="auto"/>
              <w:right w:val="single" w:sz="4" w:space="0" w:color="auto"/>
            </w:tcBorders>
          </w:tcPr>
          <w:p w14:paraId="22146631" w14:textId="77777777" w:rsidR="00321DBE" w:rsidRPr="00532B79" w:rsidRDefault="00321DBE" w:rsidP="00C21496">
            <w:pPr>
              <w:pStyle w:val="Tabletext"/>
            </w:pPr>
            <w:r w:rsidRPr="00532B79">
              <w:t>Improved WHO FC</w:t>
            </w:r>
          </w:p>
        </w:tc>
        <w:tc>
          <w:tcPr>
            <w:tcW w:w="1984" w:type="dxa"/>
            <w:tcBorders>
              <w:top w:val="single" w:sz="4" w:space="0" w:color="auto"/>
              <w:left w:val="single" w:sz="4" w:space="0" w:color="auto"/>
              <w:bottom w:val="single" w:sz="4" w:space="0" w:color="auto"/>
              <w:right w:val="single" w:sz="4" w:space="0" w:color="auto"/>
            </w:tcBorders>
          </w:tcPr>
          <w:p w14:paraId="03A12D96" w14:textId="77777777" w:rsidR="00321DBE" w:rsidRPr="00532B79" w:rsidRDefault="00321DBE" w:rsidP="00C21496">
            <w:pPr>
              <w:pStyle w:val="Tabletext"/>
            </w:pPr>
            <w:r w:rsidRPr="00532B79">
              <w:t xml:space="preserve">BREATHE-2 (bosentan/epoprostenol) </w:t>
            </w:r>
          </w:p>
          <w:p w14:paraId="595E876B" w14:textId="77777777" w:rsidR="00321DBE" w:rsidRPr="00532B79" w:rsidRDefault="00321DBE" w:rsidP="00C21496">
            <w:pPr>
              <w:pStyle w:val="Tabletext"/>
            </w:pPr>
            <w:r w:rsidRPr="00532B79">
              <w:t>N=33</w:t>
            </w:r>
          </w:p>
        </w:tc>
        <w:tc>
          <w:tcPr>
            <w:tcW w:w="6095" w:type="dxa"/>
            <w:tcBorders>
              <w:top w:val="single" w:sz="4" w:space="0" w:color="auto"/>
              <w:left w:val="single" w:sz="4" w:space="0" w:color="auto"/>
              <w:bottom w:val="single" w:sz="4" w:space="0" w:color="auto"/>
              <w:right w:val="single" w:sz="4" w:space="0" w:color="auto"/>
            </w:tcBorders>
          </w:tcPr>
          <w:p w14:paraId="1A7DE8FE" w14:textId="7E4C2C47"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6B6018EF" w14:textId="77777777" w:rsidR="00321DBE" w:rsidRPr="00532B79" w:rsidRDefault="00321DBE" w:rsidP="00C21496">
            <w:pPr>
              <w:pStyle w:val="Tabletext"/>
            </w:pPr>
            <w:r w:rsidRPr="00532B79">
              <w:t>More patients improved their WHO FC with combination therapy compared with monotherapy, but the wide 95% CI indicates that the study was underpowered for this outcome (RR = 1.30; 95% CI 0.62, 2.71)</w:t>
            </w:r>
          </w:p>
        </w:tc>
      </w:tr>
      <w:tr w:rsidR="00321DBE" w:rsidRPr="009F466A" w14:paraId="781DB62E" w14:textId="77777777" w:rsidTr="00321DBE">
        <w:tc>
          <w:tcPr>
            <w:tcW w:w="1555" w:type="dxa"/>
          </w:tcPr>
          <w:p w14:paraId="61935387" w14:textId="77777777" w:rsidR="00321DBE" w:rsidRPr="00532B79" w:rsidRDefault="00321DBE" w:rsidP="00C21496">
            <w:pPr>
              <w:pStyle w:val="Tabletext"/>
            </w:pPr>
            <w:r w:rsidRPr="00532B79">
              <w:t>Change in 6MWD from baseline</w:t>
            </w:r>
          </w:p>
        </w:tc>
        <w:tc>
          <w:tcPr>
            <w:tcW w:w="1984" w:type="dxa"/>
          </w:tcPr>
          <w:p w14:paraId="6BF859C7" w14:textId="77777777" w:rsidR="00321DBE" w:rsidRPr="00532B79" w:rsidRDefault="00321DBE" w:rsidP="00C21496">
            <w:pPr>
              <w:pStyle w:val="Tabletext"/>
            </w:pPr>
            <w:r w:rsidRPr="00532B79">
              <w:t>BREATHE-2 (bosentan/epoprostenol)</w:t>
            </w:r>
          </w:p>
          <w:p w14:paraId="31990B2C" w14:textId="77777777" w:rsidR="00321DBE" w:rsidRPr="00532B79" w:rsidRDefault="00321DBE" w:rsidP="00C21496">
            <w:pPr>
              <w:pStyle w:val="Tabletext"/>
            </w:pPr>
            <w:r w:rsidRPr="00532B79">
              <w:t>Han 2017 (bosentan/iloprost)</w:t>
            </w:r>
          </w:p>
          <w:p w14:paraId="574E75C4" w14:textId="77777777" w:rsidR="00321DBE" w:rsidRPr="00532B79" w:rsidRDefault="00321DBE" w:rsidP="00C21496">
            <w:pPr>
              <w:pStyle w:val="Tabletext"/>
            </w:pPr>
            <w:r w:rsidRPr="00532B79">
              <w:t>N=47</w:t>
            </w:r>
          </w:p>
        </w:tc>
        <w:tc>
          <w:tcPr>
            <w:tcW w:w="6095" w:type="dxa"/>
          </w:tcPr>
          <w:p w14:paraId="7808D7C9" w14:textId="5E5AFAC8"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064B3654" w14:textId="77777777" w:rsidR="00321DBE" w:rsidRPr="00532B79" w:rsidRDefault="00321DBE" w:rsidP="00C21496">
            <w:pPr>
              <w:pStyle w:val="Tabletext"/>
            </w:pPr>
            <w:r w:rsidRPr="00532B79">
              <w:t>In 1 out of 2 studies patients on combination therapy had</w:t>
            </w:r>
            <w:r w:rsidR="0027270C">
              <w:t xml:space="preserve"> </w:t>
            </w:r>
            <w:r w:rsidRPr="00532B79">
              <w:t xml:space="preserve">a large clinically important improvement in their 6MWD compared with those on monotherapy (range 6.0 m </w:t>
            </w:r>
            <w:r w:rsidR="00F836D6">
              <w:t>less to 123.6 m walked further)</w:t>
            </w:r>
          </w:p>
          <w:p w14:paraId="0E6FF52F" w14:textId="77777777" w:rsidR="00321DBE" w:rsidRPr="00532B79" w:rsidRDefault="00321DBE" w:rsidP="00C21496">
            <w:pPr>
              <w:pStyle w:val="Tabletext"/>
            </w:pPr>
            <w:r w:rsidRPr="00532B79">
              <w:t>Two studies were too small to determine whether the two different treatment combinations differ in their treatment effectiveness</w:t>
            </w:r>
          </w:p>
        </w:tc>
      </w:tr>
      <w:tr w:rsidR="00321DBE" w:rsidRPr="009F466A" w14:paraId="5FBC3A7D" w14:textId="77777777" w:rsidTr="00321DBE">
        <w:tc>
          <w:tcPr>
            <w:tcW w:w="1555" w:type="dxa"/>
          </w:tcPr>
          <w:p w14:paraId="26E30610" w14:textId="77777777" w:rsidR="00321DBE" w:rsidRPr="00532B79" w:rsidRDefault="00321DBE" w:rsidP="00C21496">
            <w:pPr>
              <w:pStyle w:val="Tabletext"/>
            </w:pPr>
            <w:r w:rsidRPr="00532B79">
              <w:t>Change in QoL from baseline:</w:t>
            </w:r>
          </w:p>
          <w:p w14:paraId="6E6C5752" w14:textId="77777777" w:rsidR="00321DBE" w:rsidRPr="00532B79" w:rsidRDefault="00321DBE" w:rsidP="00C21496">
            <w:pPr>
              <w:pStyle w:val="Tabletext"/>
            </w:pPr>
            <w:r w:rsidRPr="00532B79">
              <w:t>MLHFa</w:t>
            </w:r>
          </w:p>
        </w:tc>
        <w:tc>
          <w:tcPr>
            <w:tcW w:w="1984" w:type="dxa"/>
          </w:tcPr>
          <w:p w14:paraId="4D5ED7E1" w14:textId="77777777" w:rsidR="00321DBE" w:rsidRPr="00532B79" w:rsidRDefault="00321DBE" w:rsidP="00C21496">
            <w:pPr>
              <w:pStyle w:val="Tabletext"/>
            </w:pPr>
            <w:r w:rsidRPr="00532B79">
              <w:t xml:space="preserve">Han 2017 (bosentan/iloprost) </w:t>
            </w:r>
          </w:p>
          <w:p w14:paraId="4A8CAC94" w14:textId="77777777" w:rsidR="00321DBE" w:rsidRPr="00532B79" w:rsidRDefault="00321DBE" w:rsidP="00C21496">
            <w:pPr>
              <w:pStyle w:val="Tabletext"/>
            </w:pPr>
            <w:r w:rsidRPr="00532B79">
              <w:t>N=14</w:t>
            </w:r>
          </w:p>
        </w:tc>
        <w:tc>
          <w:tcPr>
            <w:tcW w:w="6095" w:type="dxa"/>
          </w:tcPr>
          <w:p w14:paraId="11C57B71" w14:textId="1F74FF62"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601D5113" w14:textId="77777777" w:rsidR="00321DBE" w:rsidRPr="00532B79" w:rsidRDefault="00321DBE" w:rsidP="00C21496">
            <w:pPr>
              <w:pStyle w:val="Tabletext"/>
            </w:pPr>
            <w:r w:rsidRPr="00532B79">
              <w:t>Patients on combination therapy had a larger mean improvement in their QoL than those on monotherapy (MD = 35.34 point improvement was a clinically important difference)</w:t>
            </w:r>
          </w:p>
        </w:tc>
      </w:tr>
      <w:tr w:rsidR="00321DBE" w:rsidRPr="009F466A" w14:paraId="778D9DF3" w14:textId="77777777" w:rsidTr="00321DBE">
        <w:tc>
          <w:tcPr>
            <w:tcW w:w="1555" w:type="dxa"/>
          </w:tcPr>
          <w:p w14:paraId="531CBF86" w14:textId="77777777" w:rsidR="00321DBE" w:rsidRPr="00532B79" w:rsidRDefault="00321DBE" w:rsidP="00C21496">
            <w:pPr>
              <w:pStyle w:val="Tabletext"/>
            </w:pPr>
            <w:r w:rsidRPr="00532B79">
              <w:t>Change in haemodynamic parameters from baseline:</w:t>
            </w:r>
          </w:p>
          <w:p w14:paraId="10EC6A06" w14:textId="77777777" w:rsidR="00321DBE" w:rsidRPr="00532B79" w:rsidRDefault="00321DBE" w:rsidP="00C21496">
            <w:pPr>
              <w:pStyle w:val="Tabletext"/>
            </w:pPr>
            <w:r w:rsidRPr="00532B79">
              <w:t>CAI, PVR, mPAP</w:t>
            </w:r>
          </w:p>
        </w:tc>
        <w:tc>
          <w:tcPr>
            <w:tcW w:w="1984" w:type="dxa"/>
            <w:tcBorders>
              <w:top w:val="single" w:sz="4" w:space="0" w:color="auto"/>
              <w:left w:val="single" w:sz="4" w:space="0" w:color="auto"/>
              <w:bottom w:val="single" w:sz="4" w:space="0" w:color="auto"/>
              <w:right w:val="single" w:sz="4" w:space="0" w:color="auto"/>
            </w:tcBorders>
          </w:tcPr>
          <w:p w14:paraId="58AC22B3" w14:textId="77777777" w:rsidR="00321DBE" w:rsidRPr="00532B79" w:rsidRDefault="00321DBE" w:rsidP="00C21496">
            <w:pPr>
              <w:pStyle w:val="Tabletext"/>
            </w:pPr>
            <w:r w:rsidRPr="00532B79">
              <w:t>BREATHE-2 (bosentan/epoprostenol)</w:t>
            </w:r>
          </w:p>
          <w:p w14:paraId="5EBC018B" w14:textId="77777777" w:rsidR="00321DBE" w:rsidRPr="00532B79" w:rsidRDefault="00321DBE" w:rsidP="00C21496">
            <w:pPr>
              <w:pStyle w:val="Tabletext"/>
            </w:pPr>
            <w:r w:rsidRPr="00532B79">
              <w:t xml:space="preserve">Han 2017 (bosentan/iloprost) </w:t>
            </w:r>
          </w:p>
          <w:p w14:paraId="6D942D80" w14:textId="77777777" w:rsidR="00321DBE" w:rsidRPr="00532B79" w:rsidRDefault="00321DBE" w:rsidP="00C21496">
            <w:pPr>
              <w:pStyle w:val="Tabletext"/>
            </w:pPr>
            <w:r w:rsidRPr="00532B79">
              <w:t>N=47</w:t>
            </w:r>
          </w:p>
        </w:tc>
        <w:tc>
          <w:tcPr>
            <w:tcW w:w="6095" w:type="dxa"/>
          </w:tcPr>
          <w:p w14:paraId="68A278F0" w14:textId="5A23F64A"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3C068FB1" w14:textId="77777777" w:rsidR="00321DBE" w:rsidRPr="00532B79" w:rsidRDefault="00321DBE" w:rsidP="00C21496">
            <w:pPr>
              <w:pStyle w:val="Tabletext"/>
            </w:pPr>
            <w:r w:rsidRPr="00532B79">
              <w:t>Patients on combination therapy had a larger mean improvement in their haemodynamic parameters</w:t>
            </w:r>
            <w:r w:rsidR="0027270C">
              <w:t xml:space="preserve"> </w:t>
            </w:r>
            <w:r w:rsidRPr="00532B79">
              <w:t>than those on monotherapy and were likely to be clinically important in 1 out of 2 studies (CAI range 10.8−17% improvement; PVR range 9.5−21.5% improvement; mPAP range 6.8−26.3% improvement)</w:t>
            </w:r>
          </w:p>
          <w:p w14:paraId="62C3407B" w14:textId="77777777" w:rsidR="00321DBE" w:rsidRPr="00532B79" w:rsidRDefault="00321DBE" w:rsidP="00C21496">
            <w:pPr>
              <w:pStyle w:val="Tabletext"/>
            </w:pPr>
            <w:r w:rsidRPr="00532B79">
              <w:t>The two studies were too small to determine whether the two different treatment combinations differ in their treatment effectiveness</w:t>
            </w:r>
          </w:p>
        </w:tc>
      </w:tr>
      <w:tr w:rsidR="00321DBE" w:rsidRPr="009F466A" w14:paraId="6A30EA67" w14:textId="77777777" w:rsidTr="00321DBE">
        <w:tc>
          <w:tcPr>
            <w:tcW w:w="1555" w:type="dxa"/>
          </w:tcPr>
          <w:p w14:paraId="0EF1695E" w14:textId="77777777" w:rsidR="00321DBE" w:rsidRPr="00532B79" w:rsidRDefault="00321DBE" w:rsidP="00C21496">
            <w:pPr>
              <w:pStyle w:val="Tabletext"/>
            </w:pPr>
            <w:r w:rsidRPr="00532B79">
              <w:t>Change in haemodynamic parameters from baseline:</w:t>
            </w:r>
          </w:p>
          <w:p w14:paraId="5E63F8D0" w14:textId="77777777" w:rsidR="00321DBE" w:rsidRPr="00532B79" w:rsidRDefault="00321DBE" w:rsidP="00C21496">
            <w:pPr>
              <w:pStyle w:val="Tabletext"/>
            </w:pPr>
            <w:r w:rsidRPr="00532B79">
              <w:t>mRAP, TPR</w:t>
            </w:r>
          </w:p>
        </w:tc>
        <w:tc>
          <w:tcPr>
            <w:tcW w:w="1984" w:type="dxa"/>
          </w:tcPr>
          <w:p w14:paraId="3C4D3036" w14:textId="77777777" w:rsidR="00321DBE" w:rsidRPr="00532B79" w:rsidRDefault="00321DBE" w:rsidP="00C21496">
            <w:pPr>
              <w:pStyle w:val="Tabletext"/>
            </w:pPr>
            <w:r w:rsidRPr="00532B79">
              <w:t xml:space="preserve">BREATHE-2 (bosentan/epoprostenol) </w:t>
            </w:r>
          </w:p>
          <w:p w14:paraId="783F49A0" w14:textId="77777777" w:rsidR="00321DBE" w:rsidRPr="00532B79" w:rsidRDefault="00321DBE" w:rsidP="00C21496">
            <w:pPr>
              <w:pStyle w:val="Tabletext"/>
            </w:pPr>
            <w:r w:rsidRPr="00532B79">
              <w:t>N=33</w:t>
            </w:r>
          </w:p>
        </w:tc>
        <w:tc>
          <w:tcPr>
            <w:tcW w:w="6095" w:type="dxa"/>
          </w:tcPr>
          <w:p w14:paraId="2EF8804E" w14:textId="56ADF56A"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0E5EE982" w14:textId="77777777" w:rsidR="00321DBE" w:rsidRPr="00532B79" w:rsidRDefault="00321DBE" w:rsidP="00C21496">
            <w:pPr>
              <w:pStyle w:val="Tabletext"/>
            </w:pPr>
            <w:r w:rsidRPr="00532B79">
              <w:t>Patients on combination therapy had a larger mean improvement in their haemodynamic parameters than those on monotherapy (mRAP MD = 2.2 mmHg improvement; TPR MD = 13.7% improvement)</w:t>
            </w:r>
          </w:p>
        </w:tc>
      </w:tr>
    </w:tbl>
    <w:p w14:paraId="719D6AE0" w14:textId="77777777" w:rsidR="00321DBE" w:rsidRPr="00532B79" w:rsidRDefault="00321DBE" w:rsidP="00C21496">
      <w:pPr>
        <w:pStyle w:val="Tablenote"/>
        <w:jc w:val="left"/>
      </w:pPr>
      <w:r w:rsidRPr="00532B79">
        <w:t xml:space="preserve">a MLHF total scores range from 0 to 105. A higher score indicates poorer QoL. </w:t>
      </w:r>
    </w:p>
    <w:p w14:paraId="3F19FE13" w14:textId="77777777" w:rsidR="00321DBE" w:rsidRPr="00532B79" w:rsidRDefault="00321DBE" w:rsidP="00C21496">
      <w:pPr>
        <w:pStyle w:val="Tablenote"/>
        <w:jc w:val="left"/>
      </w:pPr>
      <w:r w:rsidRPr="00532B79">
        <w:t>6MWD = 6-minute walk distance; ARD = absolute risk difference; CAI = cardiac index; CI = confidence interval; ERA = endothelin receptor antagonist; FC = functional class; GRADE = grading of recommendations assessment, development and evaluation1; MD = mean difference; MLHF = Minnesota living with heart failure; mPAP = mean pulmonary artery pressure; mRAP = mean right atrial pressure; PAH = pulmonary arterial hypertension; PVR = pulmonary vascular resistance; QoL = quality of life; RR = relative risk; TPR = total pulmonary resistance; WHO = World Health Organization</w:t>
      </w:r>
    </w:p>
    <w:p w14:paraId="6334EB8D" w14:textId="77777777" w:rsidR="0016033A" w:rsidRPr="0016033A" w:rsidRDefault="0016033A" w:rsidP="00C21496">
      <w:pPr>
        <w:pStyle w:val="Heading5"/>
        <w:keepLines w:val="0"/>
        <w:numPr>
          <w:ilvl w:val="0"/>
          <w:numId w:val="0"/>
        </w:numPr>
        <w:spacing w:before="240"/>
        <w:jc w:val="left"/>
        <w:rPr>
          <w:color w:val="auto"/>
          <w:u w:val="single"/>
        </w:rPr>
      </w:pPr>
      <w:bookmarkStart w:id="86" w:name="_Ref506192023"/>
      <w:bookmarkStart w:id="87" w:name="_Toc508396841"/>
      <w:r w:rsidRPr="0016033A">
        <w:rPr>
          <w:color w:val="auto"/>
          <w:u w:val="single"/>
        </w:rPr>
        <w:lastRenderedPageBreak/>
        <w:t>Safety</w:t>
      </w:r>
    </w:p>
    <w:p w14:paraId="003D7976" w14:textId="77777777" w:rsidR="0016033A" w:rsidRDefault="0016033A" w:rsidP="00C21496">
      <w:pPr>
        <w:jc w:val="left"/>
      </w:pPr>
      <w:r>
        <w:t>Two RCTs reported on the comparative safety of treatment with an ERA plus a prostanoid compared with a prostanoid alone in any patient with PAH:</w:t>
      </w:r>
    </w:p>
    <w:p w14:paraId="5169534C" w14:textId="77777777" w:rsidR="0016033A" w:rsidRPr="00B96C6F" w:rsidRDefault="0016033A" w:rsidP="00C21496">
      <w:pPr>
        <w:pStyle w:val="Bullettext"/>
        <w:ind w:left="720"/>
      </w:pPr>
      <w:r>
        <w:t>BREATH</w:t>
      </w:r>
      <w:r w:rsidR="00A94DF2">
        <w:t>E</w:t>
      </w:r>
      <w:r>
        <w:t>-2 and Han 2017</w:t>
      </w:r>
    </w:p>
    <w:p w14:paraId="50AD63A0" w14:textId="77777777" w:rsidR="0016033A" w:rsidRPr="00B96C6F" w:rsidRDefault="0016033A" w:rsidP="00C21496">
      <w:pPr>
        <w:pStyle w:val="Bullettext"/>
        <w:ind w:left="720"/>
      </w:pPr>
      <w:r w:rsidRPr="00B96C6F">
        <w:t xml:space="preserve">There were no new </w:t>
      </w:r>
      <w:r>
        <w:t>safety signals identified</w:t>
      </w:r>
      <w:r w:rsidRPr="00B96C6F">
        <w:t>.</w:t>
      </w:r>
    </w:p>
    <w:p w14:paraId="26D3D143" w14:textId="77777777" w:rsidR="0016033A" w:rsidRDefault="0016033A" w:rsidP="00C21496">
      <w:pPr>
        <w:jc w:val="left"/>
      </w:pPr>
      <w:r>
        <w:t>The evidence provided by these trials for patients</w:t>
      </w:r>
      <w:r w:rsidRPr="007D34E3">
        <w:t xml:space="preserve"> with WHO FC III/IV PAH</w:t>
      </w:r>
      <w:r>
        <w:t xml:space="preserve"> is summarised in </w:t>
      </w:r>
      <w:r w:rsidR="00CC79E1">
        <w:t>Table ES.</w:t>
      </w:r>
      <w:r w:rsidR="00CC79E1">
        <w:rPr>
          <w:noProof/>
        </w:rPr>
        <w:t>12</w:t>
      </w:r>
      <w:r>
        <w:t>.</w:t>
      </w:r>
    </w:p>
    <w:p w14:paraId="270FAC8A" w14:textId="77777777" w:rsidR="0016033A" w:rsidRDefault="0016033A" w:rsidP="00C21496">
      <w:pPr>
        <w:jc w:val="left"/>
      </w:pPr>
      <w:r>
        <w:t>Overall</w:t>
      </w:r>
      <w:r w:rsidRPr="006316DF">
        <w:t xml:space="preserve">, </w:t>
      </w:r>
      <w:r>
        <w:t xml:space="preserve">although </w:t>
      </w:r>
      <w:r w:rsidRPr="000522D6">
        <w:t>the</w:t>
      </w:r>
      <w:r>
        <w:t>re is uncertainty,</w:t>
      </w:r>
      <w:r w:rsidRPr="000522D6">
        <w:t xml:space="preserve"> </w:t>
      </w:r>
      <w:r w:rsidRPr="006316DF">
        <w:t xml:space="preserve">use of an ERA </w:t>
      </w:r>
      <w:r w:rsidRPr="000522D6">
        <w:t xml:space="preserve">in addition to </w:t>
      </w:r>
      <w:r>
        <w:t>a prostanoid</w:t>
      </w:r>
      <w:r w:rsidRPr="000522D6">
        <w:t xml:space="preserve"> </w:t>
      </w:r>
      <w:r>
        <w:t>could</w:t>
      </w:r>
      <w:r w:rsidRPr="006316DF">
        <w:t xml:space="preserve"> be </w:t>
      </w:r>
      <w:r>
        <w:t>non-inferior to</w:t>
      </w:r>
      <w:r w:rsidRPr="000522D6">
        <w:t xml:space="preserve"> </w:t>
      </w:r>
      <w:r>
        <w:t>prostanoid</w:t>
      </w:r>
      <w:r w:rsidRPr="000522D6">
        <w:t xml:space="preserve"> monotherapy </w:t>
      </w:r>
      <w:r>
        <w:t>when</w:t>
      </w:r>
      <w:r w:rsidRPr="006316DF">
        <w:t xml:space="preserve"> treat</w:t>
      </w:r>
      <w:r>
        <w:t>ing</w:t>
      </w:r>
      <w:r w:rsidRPr="006316DF">
        <w:t xml:space="preserve"> </w:t>
      </w:r>
      <w:r>
        <w:t xml:space="preserve">patients with </w:t>
      </w:r>
      <w:r w:rsidRPr="00C754B8">
        <w:t>WHO FC III/IV PAH</w:t>
      </w:r>
      <w:r>
        <w:t>.</w:t>
      </w:r>
    </w:p>
    <w:p w14:paraId="1F5B02A0" w14:textId="77777777" w:rsidR="008B580D" w:rsidRPr="008B580D" w:rsidRDefault="008B580D" w:rsidP="00C21496">
      <w:pPr>
        <w:pStyle w:val="Caption"/>
        <w:jc w:val="left"/>
      </w:pPr>
      <w:bookmarkStart w:id="88" w:name="_Ref511118813"/>
      <w:bookmarkStart w:id="89" w:name="_Toc38372131"/>
      <w:bookmarkEnd w:id="86"/>
      <w:bookmarkEnd w:id="87"/>
      <w:r>
        <w:t>Table ES.</w:t>
      </w:r>
      <w:r w:rsidR="00CC79E1">
        <w:rPr>
          <w:noProof/>
        </w:rPr>
        <w:t>12</w:t>
      </w:r>
      <w:bookmarkEnd w:id="88"/>
      <w:r>
        <w:tab/>
      </w:r>
      <w:r w:rsidRPr="009F466A">
        <w:t>Summary of the evidence for the safety of an ERA in addition to a prostanoid, relative to prostanoid monotherapy</w:t>
      </w:r>
      <w:bookmarkEnd w:id="89"/>
    </w:p>
    <w:tbl>
      <w:tblPr>
        <w:tblStyle w:val="TableGrid"/>
        <w:tblW w:w="9776" w:type="dxa"/>
        <w:tblLook w:val="04A0" w:firstRow="1" w:lastRow="0" w:firstColumn="1" w:lastColumn="0" w:noHBand="0" w:noVBand="1"/>
        <w:tblCaption w:val="Summary of the evidence for the safety of an ERA in addition to a prostanoid, relative to prostanoid monotherapy"/>
      </w:tblPr>
      <w:tblGrid>
        <w:gridCol w:w="1555"/>
        <w:gridCol w:w="2385"/>
        <w:gridCol w:w="5836"/>
      </w:tblGrid>
      <w:tr w:rsidR="00321DBE" w:rsidRPr="009F466A" w14:paraId="348CA2CE"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07B76" w14:textId="77777777" w:rsidR="00321DBE" w:rsidRPr="00A4053B" w:rsidRDefault="00321DBE" w:rsidP="00C21496">
            <w:pPr>
              <w:pStyle w:val="Tabletext"/>
              <w:rPr>
                <w:b/>
              </w:rPr>
            </w:pPr>
            <w:r w:rsidRPr="00A4053B">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0D0E59" w14:textId="77777777" w:rsidR="00321DBE" w:rsidRPr="00A4053B" w:rsidRDefault="00321DBE" w:rsidP="00C21496">
            <w:pPr>
              <w:pStyle w:val="Tabletext"/>
              <w:rPr>
                <w:b/>
              </w:rPr>
            </w:pPr>
            <w:r w:rsidRPr="00A4053B">
              <w:rPr>
                <w:b/>
              </w:rPr>
              <w:t xml:space="preserve">Included trials </w:t>
            </w: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EC33D1" w14:textId="77777777" w:rsidR="00321DBE" w:rsidRPr="00A4053B" w:rsidRDefault="00321DBE" w:rsidP="00C21496">
            <w:pPr>
              <w:pStyle w:val="Tabletext"/>
              <w:rPr>
                <w:b/>
              </w:rPr>
            </w:pPr>
            <w:r w:rsidRPr="00A4053B">
              <w:rPr>
                <w:b/>
              </w:rPr>
              <w:t>Summary of evidence</w:t>
            </w:r>
          </w:p>
        </w:tc>
      </w:tr>
      <w:tr w:rsidR="00321DBE" w:rsidRPr="009F466A" w14:paraId="6BED820D" w14:textId="77777777" w:rsidTr="00321DBE">
        <w:tc>
          <w:tcPr>
            <w:tcW w:w="9776" w:type="dxa"/>
            <w:gridSpan w:val="3"/>
            <w:tcBorders>
              <w:top w:val="nil"/>
              <w:left w:val="single" w:sz="4" w:space="0" w:color="auto"/>
              <w:bottom w:val="single" w:sz="4" w:space="0" w:color="auto"/>
              <w:right w:val="single" w:sz="4" w:space="0" w:color="auto"/>
            </w:tcBorders>
            <w:shd w:val="clear" w:color="auto" w:fill="000000"/>
          </w:tcPr>
          <w:p w14:paraId="124E966D" w14:textId="77777777" w:rsidR="00321DBE" w:rsidRPr="00532B79" w:rsidRDefault="00321DBE" w:rsidP="00C21496">
            <w:pPr>
              <w:pStyle w:val="Tabletext"/>
            </w:pPr>
            <w:r w:rsidRPr="00532B79">
              <w:t>Patients with WHO FC III/IV PAH</w:t>
            </w:r>
          </w:p>
        </w:tc>
      </w:tr>
      <w:tr w:rsidR="00321DBE" w:rsidRPr="009F466A" w14:paraId="54D6361F" w14:textId="77777777" w:rsidTr="00321DBE">
        <w:tc>
          <w:tcPr>
            <w:tcW w:w="1555" w:type="dxa"/>
            <w:tcBorders>
              <w:top w:val="single" w:sz="4" w:space="0" w:color="auto"/>
              <w:left w:val="single" w:sz="4" w:space="0" w:color="auto"/>
              <w:bottom w:val="single" w:sz="4" w:space="0" w:color="auto"/>
              <w:right w:val="single" w:sz="4" w:space="0" w:color="auto"/>
            </w:tcBorders>
          </w:tcPr>
          <w:p w14:paraId="11A31E3E" w14:textId="77777777" w:rsidR="00321DBE" w:rsidRPr="00532B79" w:rsidRDefault="00321DBE" w:rsidP="00C21496">
            <w:pPr>
              <w:pStyle w:val="Tabletext"/>
            </w:pPr>
            <w:r w:rsidRPr="00532B79">
              <w:t>Any AE</w:t>
            </w:r>
          </w:p>
        </w:tc>
        <w:tc>
          <w:tcPr>
            <w:tcW w:w="1984" w:type="dxa"/>
            <w:tcBorders>
              <w:top w:val="single" w:sz="4" w:space="0" w:color="auto"/>
              <w:left w:val="single" w:sz="4" w:space="0" w:color="auto"/>
              <w:bottom w:val="single" w:sz="4" w:space="0" w:color="auto"/>
              <w:right w:val="single" w:sz="4" w:space="0" w:color="auto"/>
            </w:tcBorders>
          </w:tcPr>
          <w:p w14:paraId="39CBEB31" w14:textId="77777777" w:rsidR="00321DBE" w:rsidRPr="00532B79" w:rsidRDefault="00321DBE" w:rsidP="00C21496">
            <w:pPr>
              <w:pStyle w:val="Tabletext"/>
            </w:pPr>
            <w:r w:rsidRPr="00532B79">
              <w:t>Han 2017 (bosentan/iloprost)</w:t>
            </w:r>
          </w:p>
          <w:p w14:paraId="5F0A9941" w14:textId="77777777" w:rsidR="00321DBE" w:rsidRPr="00532B79" w:rsidRDefault="00321DBE" w:rsidP="00C21496">
            <w:pPr>
              <w:pStyle w:val="Tabletext"/>
            </w:pPr>
            <w:r w:rsidRPr="00532B79">
              <w:t>N=14</w:t>
            </w:r>
          </w:p>
        </w:tc>
        <w:tc>
          <w:tcPr>
            <w:tcW w:w="6237" w:type="dxa"/>
            <w:tcBorders>
              <w:top w:val="single" w:sz="4" w:space="0" w:color="auto"/>
              <w:left w:val="single" w:sz="4" w:space="0" w:color="auto"/>
              <w:bottom w:val="single" w:sz="4" w:space="0" w:color="auto"/>
              <w:right w:val="single" w:sz="4" w:space="0" w:color="auto"/>
            </w:tcBorders>
          </w:tcPr>
          <w:p w14:paraId="34A64661" w14:textId="324B6FED"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69E6C310" w14:textId="77777777" w:rsidR="00321DBE" w:rsidRPr="00532B79" w:rsidRDefault="00321DBE" w:rsidP="00C21496">
            <w:pPr>
              <w:pStyle w:val="Tabletext"/>
            </w:pPr>
            <w:r w:rsidRPr="00532B79">
              <w:t>The proportion of patients who had any AE was similar for both the combination therapy and monotherapy arms, but the 95% CI indicates that there could be an effect favouring either treatment arm (RR = 1.05; 95% CI 0.67, 1.64)</w:t>
            </w:r>
          </w:p>
        </w:tc>
      </w:tr>
      <w:tr w:rsidR="00321DBE" w:rsidRPr="009F466A" w14:paraId="2DF12F6D" w14:textId="77777777" w:rsidTr="00321DBE">
        <w:tc>
          <w:tcPr>
            <w:tcW w:w="1555" w:type="dxa"/>
          </w:tcPr>
          <w:p w14:paraId="38E72006" w14:textId="77777777" w:rsidR="00321DBE" w:rsidRPr="00532B79" w:rsidRDefault="00321DBE" w:rsidP="00C21496">
            <w:pPr>
              <w:pStyle w:val="Tabletext"/>
            </w:pPr>
            <w:r w:rsidRPr="00532B79">
              <w:t>Serious AEs</w:t>
            </w:r>
          </w:p>
        </w:tc>
        <w:tc>
          <w:tcPr>
            <w:tcW w:w="1984" w:type="dxa"/>
            <w:tcBorders>
              <w:top w:val="single" w:sz="4" w:space="0" w:color="auto"/>
              <w:left w:val="single" w:sz="4" w:space="0" w:color="auto"/>
              <w:bottom w:val="single" w:sz="4" w:space="0" w:color="auto"/>
              <w:right w:val="single" w:sz="4" w:space="0" w:color="auto"/>
            </w:tcBorders>
          </w:tcPr>
          <w:p w14:paraId="15C45B14" w14:textId="77777777" w:rsidR="00321DBE" w:rsidRPr="00532B79" w:rsidRDefault="00321DBE" w:rsidP="00C21496">
            <w:pPr>
              <w:pStyle w:val="Tabletext"/>
            </w:pPr>
            <w:r w:rsidRPr="00532B79">
              <w:t>BREATHE-2 (bosentan/epoprostenol)</w:t>
            </w:r>
          </w:p>
          <w:p w14:paraId="28E6BA07" w14:textId="77777777" w:rsidR="00321DBE" w:rsidRPr="00532B79" w:rsidRDefault="00321DBE" w:rsidP="00C21496">
            <w:pPr>
              <w:pStyle w:val="Tabletext"/>
            </w:pPr>
            <w:r w:rsidRPr="00532B79">
              <w:t>N=44</w:t>
            </w:r>
          </w:p>
        </w:tc>
        <w:tc>
          <w:tcPr>
            <w:tcW w:w="6237" w:type="dxa"/>
          </w:tcPr>
          <w:p w14:paraId="367B5504" w14:textId="4B11D213"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34795651" w14:textId="77777777" w:rsidR="00321DBE" w:rsidRPr="00532B79" w:rsidRDefault="00321DBE" w:rsidP="00C21496">
            <w:pPr>
              <w:pStyle w:val="Tabletext"/>
            </w:pPr>
            <w:r w:rsidRPr="00532B79">
              <w:t>Fewer patients experienced a serious AE with combination therapy compared with monotherapy, but the wide 95% CI indicates that the study was likely underpowered for this outcome (RR = 0.75; 95% CI 0.15, 3.85)</w:t>
            </w:r>
          </w:p>
        </w:tc>
      </w:tr>
      <w:tr w:rsidR="00321DBE" w:rsidRPr="009F466A" w14:paraId="089B4D44" w14:textId="77777777" w:rsidTr="00321DBE">
        <w:tc>
          <w:tcPr>
            <w:tcW w:w="1555" w:type="dxa"/>
          </w:tcPr>
          <w:p w14:paraId="18B545D0" w14:textId="77777777" w:rsidR="00321DBE" w:rsidRPr="00532B79" w:rsidRDefault="00321DBE" w:rsidP="00C21496">
            <w:pPr>
              <w:pStyle w:val="Tabletext"/>
            </w:pPr>
            <w:r w:rsidRPr="00532B79">
              <w:t>AEs leading to treatment discontinuation</w:t>
            </w:r>
          </w:p>
        </w:tc>
        <w:tc>
          <w:tcPr>
            <w:tcW w:w="1984" w:type="dxa"/>
            <w:tcBorders>
              <w:top w:val="single" w:sz="4" w:space="0" w:color="auto"/>
              <w:left w:val="single" w:sz="4" w:space="0" w:color="auto"/>
              <w:bottom w:val="single" w:sz="4" w:space="0" w:color="auto"/>
              <w:right w:val="single" w:sz="4" w:space="0" w:color="auto"/>
            </w:tcBorders>
          </w:tcPr>
          <w:p w14:paraId="7D43EE89" w14:textId="77777777" w:rsidR="00321DBE" w:rsidRPr="00532B79" w:rsidRDefault="00321DBE" w:rsidP="00C21496">
            <w:pPr>
              <w:pStyle w:val="Tabletext"/>
            </w:pPr>
            <w:r w:rsidRPr="00532B79">
              <w:t xml:space="preserve">BREATHE-2 (bosentan/epoprostenol) </w:t>
            </w:r>
          </w:p>
          <w:p w14:paraId="322303E4" w14:textId="77777777" w:rsidR="00321DBE" w:rsidRPr="00532B79" w:rsidRDefault="00321DBE" w:rsidP="00C21496">
            <w:pPr>
              <w:pStyle w:val="Tabletext"/>
            </w:pPr>
            <w:r w:rsidRPr="00532B79">
              <w:t>N=44</w:t>
            </w:r>
          </w:p>
        </w:tc>
        <w:tc>
          <w:tcPr>
            <w:tcW w:w="6237" w:type="dxa"/>
            <w:tcBorders>
              <w:top w:val="single" w:sz="4" w:space="0" w:color="auto"/>
              <w:left w:val="single" w:sz="4" w:space="0" w:color="auto"/>
              <w:bottom w:val="single" w:sz="4" w:space="0" w:color="auto"/>
              <w:right w:val="single" w:sz="4" w:space="0" w:color="auto"/>
            </w:tcBorders>
          </w:tcPr>
          <w:p w14:paraId="04592111" w14:textId="0B111EE6"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6A56377B" w14:textId="77777777" w:rsidR="00321DBE" w:rsidRPr="00532B79" w:rsidRDefault="00321DBE" w:rsidP="00C21496">
            <w:pPr>
              <w:pStyle w:val="Tabletext"/>
            </w:pPr>
            <w:r w:rsidRPr="00532B79">
              <w:t>Fewer patients had an AE leading to treatment discontinuation with combination therapy compared with monotherapy, but the wide 95% CI indicates that the study was likely underpowered for this outcome (RR = 0.50; 95% CI 0.03, 7.26)</w:t>
            </w:r>
          </w:p>
        </w:tc>
      </w:tr>
    </w:tbl>
    <w:p w14:paraId="48EFEC8A" w14:textId="77777777" w:rsidR="00321DBE" w:rsidRPr="00532B79" w:rsidRDefault="00321DBE" w:rsidP="00C21496">
      <w:pPr>
        <w:pStyle w:val="Tablenote"/>
        <w:jc w:val="left"/>
      </w:pPr>
      <w:r w:rsidRPr="00532B79">
        <w:t>AE = adverse event; CI = confidence interval; ERA = endothelin receptor antagonist; FC = functional class; GRADE = grading of recommendations assessment, development and evaluation1; PAH = pulmonary arterial hypertension; RR = relative risk; WHO = World Health Organization</w:t>
      </w:r>
    </w:p>
    <w:p w14:paraId="375244DF" w14:textId="77777777" w:rsidR="00321DBE" w:rsidRPr="009F466A" w:rsidRDefault="00544D44" w:rsidP="00C21496">
      <w:pPr>
        <w:pStyle w:val="Heading4"/>
      </w:pPr>
      <w:r w:rsidRPr="009F466A">
        <w:t>PDE-5 inhibitor</w:t>
      </w:r>
      <w:r w:rsidR="00321DBE" w:rsidRPr="009F466A">
        <w:t xml:space="preserve"> in addition to ERA</w:t>
      </w:r>
    </w:p>
    <w:p w14:paraId="6A28F793" w14:textId="77777777" w:rsidR="0016033A" w:rsidRPr="0016033A" w:rsidRDefault="0016033A" w:rsidP="00C21496">
      <w:pPr>
        <w:pStyle w:val="Heading5"/>
        <w:keepLines w:val="0"/>
        <w:numPr>
          <w:ilvl w:val="0"/>
          <w:numId w:val="0"/>
        </w:numPr>
        <w:spacing w:before="240"/>
        <w:jc w:val="left"/>
        <w:rPr>
          <w:color w:val="auto"/>
          <w:u w:val="single"/>
        </w:rPr>
      </w:pPr>
      <w:bookmarkStart w:id="90" w:name="_Ref506191091"/>
      <w:bookmarkStart w:id="91" w:name="_Toc508396842"/>
      <w:r w:rsidRPr="0016033A">
        <w:rPr>
          <w:color w:val="auto"/>
          <w:u w:val="single"/>
        </w:rPr>
        <w:t>Clinical effectiveness</w:t>
      </w:r>
    </w:p>
    <w:p w14:paraId="40AEB711" w14:textId="77777777" w:rsidR="0016033A" w:rsidRDefault="0016033A" w:rsidP="00C21496">
      <w:pPr>
        <w:jc w:val="left"/>
      </w:pPr>
      <w:r w:rsidRPr="00822C52">
        <w:t>F</w:t>
      </w:r>
      <w:r>
        <w:t>ive</w:t>
      </w:r>
      <w:r w:rsidRPr="00822C52">
        <w:t xml:space="preserve"> RCTs reported on the effectiveness of a PDE-5</w:t>
      </w:r>
      <w:r>
        <w:t xml:space="preserve"> </w:t>
      </w:r>
      <w:r w:rsidRPr="00C5017B">
        <w:t xml:space="preserve">inhibitor </w:t>
      </w:r>
      <w:r w:rsidRPr="00822C52">
        <w:t xml:space="preserve">in addition to an ERA in treating PAH </w:t>
      </w:r>
      <w:r>
        <w:t xml:space="preserve">patients </w:t>
      </w:r>
      <w:r w:rsidRPr="00822C52">
        <w:t xml:space="preserve">compared with placebo plus </w:t>
      </w:r>
      <w:r>
        <w:t>an ERA:</w:t>
      </w:r>
    </w:p>
    <w:p w14:paraId="09B1D9E6" w14:textId="77777777" w:rsidR="0016033A" w:rsidRPr="00CF209C" w:rsidRDefault="0016033A" w:rsidP="00C21496">
      <w:pPr>
        <w:pStyle w:val="Bullettext"/>
        <w:ind w:left="720"/>
      </w:pPr>
      <w:r>
        <w:t>Four</w:t>
      </w:r>
      <w:r w:rsidRPr="00CF209C">
        <w:t xml:space="preserve"> trials (</w:t>
      </w:r>
      <w:r>
        <w:t>PHIRST</w:t>
      </w:r>
      <w:r w:rsidRPr="00CF209C">
        <w:t xml:space="preserve">, </w:t>
      </w:r>
      <w:r>
        <w:t>Mainguy 2013, Vizza 2017</w:t>
      </w:r>
      <w:r w:rsidRPr="00CF209C">
        <w:t xml:space="preserve"> and </w:t>
      </w:r>
      <w:r>
        <w:t>Zhuang 2014</w:t>
      </w:r>
      <w:r w:rsidRPr="00CF209C">
        <w:t>) enrolled patients on stable PDE-5 inhibitor monotherapy (sequential combination therapy)</w:t>
      </w:r>
      <w:r>
        <w:t>.</w:t>
      </w:r>
    </w:p>
    <w:p w14:paraId="0701146A" w14:textId="77777777" w:rsidR="0016033A" w:rsidRPr="00CF209C" w:rsidRDefault="0016033A" w:rsidP="00C21496">
      <w:pPr>
        <w:pStyle w:val="Bullettext"/>
        <w:ind w:left="720"/>
      </w:pPr>
      <w:r w:rsidRPr="00CF209C">
        <w:t>One trial (AMBITION) enrolled treatment naïve patients (initial combination therapy)</w:t>
      </w:r>
    </w:p>
    <w:p w14:paraId="4F78E167" w14:textId="77777777" w:rsidR="0016033A" w:rsidRPr="00CF209C" w:rsidRDefault="0016033A" w:rsidP="00C21496">
      <w:pPr>
        <w:pStyle w:val="Bullettext"/>
        <w:numPr>
          <w:ilvl w:val="1"/>
          <w:numId w:val="7"/>
        </w:numPr>
        <w:ind w:left="1134"/>
      </w:pPr>
      <w:r w:rsidRPr="00CF209C">
        <w:t xml:space="preserve">There were no statistically significant differences in </w:t>
      </w:r>
      <w:r>
        <w:t>outcomes</w:t>
      </w:r>
      <w:r w:rsidRPr="00CF209C">
        <w:t xml:space="preserve"> for patients receiving initial combination therapy versus monotherapy and patients receiving sequential combination therapy versus monotherapy</w:t>
      </w:r>
      <w:r>
        <w:t>.</w:t>
      </w:r>
    </w:p>
    <w:p w14:paraId="6B6BFD6A" w14:textId="77777777" w:rsidR="0016033A" w:rsidRPr="00CF209C" w:rsidRDefault="0016033A" w:rsidP="00C21496">
      <w:pPr>
        <w:pStyle w:val="Bullettext"/>
        <w:ind w:left="720"/>
      </w:pPr>
      <w:r>
        <w:t xml:space="preserve">Two </w:t>
      </w:r>
      <w:r w:rsidRPr="00CF209C">
        <w:t xml:space="preserve">RCTs included </w:t>
      </w:r>
      <w:r>
        <w:t xml:space="preserve">a </w:t>
      </w:r>
      <w:r w:rsidRPr="00CF209C">
        <w:t>subgroup analysis for patients with WHO FC III/IV PAH</w:t>
      </w:r>
      <w:r>
        <w:t>.</w:t>
      </w:r>
    </w:p>
    <w:p w14:paraId="28E5B2E9" w14:textId="77777777" w:rsidR="0016033A" w:rsidRPr="00CF209C" w:rsidRDefault="0016033A" w:rsidP="00C21496">
      <w:pPr>
        <w:pStyle w:val="Bullettext"/>
        <w:ind w:left="720"/>
      </w:pPr>
      <w:r w:rsidRPr="00CF209C">
        <w:lastRenderedPageBreak/>
        <w:t>T</w:t>
      </w:r>
      <w:r>
        <w:t>hree</w:t>
      </w:r>
      <w:r w:rsidRPr="00CF209C">
        <w:t xml:space="preserve"> RCTs included </w:t>
      </w:r>
      <w:r>
        <w:t xml:space="preserve">a </w:t>
      </w:r>
      <w:r w:rsidRPr="00CF209C">
        <w:t>subgroup analysis for patients with</w:t>
      </w:r>
      <w:r>
        <w:t xml:space="preserve"> different PAH aetiologies.</w:t>
      </w:r>
    </w:p>
    <w:p w14:paraId="0F0D6199" w14:textId="77777777" w:rsidR="0016033A" w:rsidRPr="0034017B" w:rsidRDefault="0016033A" w:rsidP="00C21496">
      <w:pPr>
        <w:jc w:val="left"/>
      </w:pPr>
      <w:r w:rsidRPr="0034017B">
        <w:t>The evidence provided by these trials for all PAH patients is summarised in</w:t>
      </w:r>
      <w:r w:rsidR="00C10642">
        <w:t xml:space="preserve"> </w:t>
      </w:r>
      <w:r w:rsidR="00CC79E1">
        <w:t>Table ES.</w:t>
      </w:r>
      <w:r w:rsidR="00CC79E1">
        <w:rPr>
          <w:noProof/>
        </w:rPr>
        <w:t>13</w:t>
      </w:r>
      <w:r w:rsidRPr="0034017B">
        <w:t>.</w:t>
      </w:r>
    </w:p>
    <w:p w14:paraId="0F65F2F7" w14:textId="77777777" w:rsidR="0016033A" w:rsidRPr="0034017B" w:rsidRDefault="0016033A" w:rsidP="00C21496">
      <w:pPr>
        <w:jc w:val="left"/>
      </w:pPr>
      <w:r>
        <w:t xml:space="preserve">Overall, </w:t>
      </w:r>
      <w:r w:rsidRPr="00C84392">
        <w:t>there is some evidence</w:t>
      </w:r>
      <w:r>
        <w:t xml:space="preserve"> to suggest that</w:t>
      </w:r>
      <w:r w:rsidRPr="001E5DED">
        <w:t xml:space="preserve"> the use of a PDE-5 inhibitor in addition to an ERA</w:t>
      </w:r>
      <w:r w:rsidRPr="001902A8">
        <w:t xml:space="preserve"> </w:t>
      </w:r>
      <w:r w:rsidRPr="001E5DED">
        <w:t>to treat PAH patients, relative to ERA monotherapy</w:t>
      </w:r>
      <w:r>
        <w:t>,</w:t>
      </w:r>
      <w:r w:rsidRPr="001E5DED">
        <w:t xml:space="preserve"> is likely to be beneficial</w:t>
      </w:r>
      <w:r w:rsidRPr="0034017B">
        <w:t xml:space="preserve">. </w:t>
      </w:r>
      <w:r>
        <w:t>The evidence for patients with WHO FC III/IV PAH,</w:t>
      </w:r>
      <w:r w:rsidRPr="00FD4377">
        <w:t xml:space="preserve"> </w:t>
      </w:r>
      <w:r>
        <w:t>and for patients with either</w:t>
      </w:r>
      <w:r w:rsidRPr="00F83D2D">
        <w:t xml:space="preserve"> IPAH/HPAH </w:t>
      </w:r>
      <w:r>
        <w:t>or PAH-CTD is more limited.</w:t>
      </w:r>
    </w:p>
    <w:p w14:paraId="5526B30A" w14:textId="77777777" w:rsidR="008B580D" w:rsidRPr="008B580D" w:rsidRDefault="008B580D" w:rsidP="00C21496">
      <w:pPr>
        <w:pStyle w:val="Caption"/>
        <w:jc w:val="left"/>
      </w:pPr>
      <w:bookmarkStart w:id="92" w:name="_Ref511118824"/>
      <w:bookmarkStart w:id="93" w:name="_Toc38372132"/>
      <w:bookmarkEnd w:id="90"/>
      <w:bookmarkEnd w:id="91"/>
      <w:r>
        <w:t>Table ES.</w:t>
      </w:r>
      <w:r w:rsidR="00CC79E1">
        <w:rPr>
          <w:noProof/>
        </w:rPr>
        <w:t>13</w:t>
      </w:r>
      <w:bookmarkEnd w:id="92"/>
      <w:r>
        <w:tab/>
      </w:r>
      <w:r w:rsidRPr="009F466A">
        <w:t>Summary of the evidence for the clinical effectiveness of a PDE-5 inhibitor in addition to an ERA, relative to ERA monotherapy</w:t>
      </w:r>
      <w:bookmarkEnd w:id="93"/>
    </w:p>
    <w:tbl>
      <w:tblPr>
        <w:tblStyle w:val="TableGrid"/>
        <w:tblW w:w="9634" w:type="dxa"/>
        <w:tblLook w:val="04A0" w:firstRow="1" w:lastRow="0" w:firstColumn="1" w:lastColumn="0" w:noHBand="0" w:noVBand="1"/>
        <w:tblCaption w:val="Summary of the evidence for the clinical effectiveness of a PDE-5 inhibitor in addition to an ERA, relative to ERA monotherapy"/>
      </w:tblPr>
      <w:tblGrid>
        <w:gridCol w:w="1573"/>
        <w:gridCol w:w="2195"/>
        <w:gridCol w:w="5866"/>
      </w:tblGrid>
      <w:tr w:rsidR="00321DBE" w:rsidRPr="009F466A" w14:paraId="669A52CD"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F6125" w14:textId="77777777" w:rsidR="00321DBE" w:rsidRPr="00A4053B" w:rsidRDefault="00321DBE" w:rsidP="00C21496">
            <w:pPr>
              <w:pStyle w:val="TableTextDusc"/>
              <w:rPr>
                <w:b/>
              </w:rPr>
            </w:pPr>
            <w:r w:rsidRPr="00A4053B">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EB278" w14:textId="77777777" w:rsidR="00321DBE" w:rsidRPr="00A4053B" w:rsidRDefault="00321DBE" w:rsidP="00C21496">
            <w:pPr>
              <w:pStyle w:val="TableTextDusc"/>
              <w:rPr>
                <w:b/>
              </w:rPr>
            </w:pPr>
            <w:r w:rsidRPr="00A4053B">
              <w:rPr>
                <w:b/>
              </w:rPr>
              <w:t xml:space="preserve">Included trials </w:t>
            </w:r>
          </w:p>
          <w:p w14:paraId="198159E5" w14:textId="77777777" w:rsidR="00321DBE" w:rsidRPr="00A4053B" w:rsidRDefault="00321DBE" w:rsidP="00C21496">
            <w:pPr>
              <w:pStyle w:val="TableTextDusc"/>
              <w:rPr>
                <w:b/>
              </w:rPr>
            </w:pPr>
            <w:r w:rsidRPr="00A4053B">
              <w:rPr>
                <w:b/>
              </w:rPr>
              <w:t>No. of patients</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6277CB" w14:textId="77777777" w:rsidR="00321DBE" w:rsidRPr="00A4053B" w:rsidRDefault="00321DBE" w:rsidP="00C21496">
            <w:pPr>
              <w:pStyle w:val="TableTextDusc"/>
              <w:rPr>
                <w:b/>
              </w:rPr>
            </w:pPr>
            <w:r w:rsidRPr="00A4053B">
              <w:rPr>
                <w:b/>
              </w:rPr>
              <w:t>Summary of evidence</w:t>
            </w:r>
          </w:p>
        </w:tc>
      </w:tr>
      <w:tr w:rsidR="00321DBE" w:rsidRPr="009F466A" w14:paraId="21ED8574"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49677B2F" w14:textId="77777777" w:rsidR="00321DBE" w:rsidRPr="009F466A" w:rsidRDefault="00321DBE" w:rsidP="00C21496">
            <w:pPr>
              <w:pStyle w:val="TableTextDusc"/>
            </w:pPr>
            <w:r w:rsidRPr="009F466A">
              <w:t>All PAH patients</w:t>
            </w:r>
          </w:p>
        </w:tc>
      </w:tr>
      <w:tr w:rsidR="00321DBE" w:rsidRPr="009F466A" w14:paraId="4BD6B115" w14:textId="77777777" w:rsidTr="00321DBE">
        <w:tc>
          <w:tcPr>
            <w:tcW w:w="1555" w:type="dxa"/>
            <w:tcBorders>
              <w:top w:val="single" w:sz="4" w:space="0" w:color="auto"/>
              <w:left w:val="single" w:sz="4" w:space="0" w:color="auto"/>
              <w:bottom w:val="single" w:sz="4" w:space="0" w:color="auto"/>
              <w:right w:val="single" w:sz="4" w:space="0" w:color="auto"/>
            </w:tcBorders>
          </w:tcPr>
          <w:p w14:paraId="302582A4" w14:textId="77777777" w:rsidR="00321DBE" w:rsidRPr="009F466A" w:rsidRDefault="00321DBE" w:rsidP="00C21496">
            <w:pPr>
              <w:pStyle w:val="TableTextDusc"/>
            </w:pPr>
            <w:r w:rsidRPr="009F466A">
              <w:t>Clinical worsening</w:t>
            </w:r>
          </w:p>
        </w:tc>
        <w:tc>
          <w:tcPr>
            <w:tcW w:w="1984" w:type="dxa"/>
            <w:tcBorders>
              <w:top w:val="single" w:sz="4" w:space="0" w:color="auto"/>
              <w:left w:val="single" w:sz="4" w:space="0" w:color="auto"/>
              <w:bottom w:val="single" w:sz="4" w:space="0" w:color="auto"/>
              <w:right w:val="single" w:sz="4" w:space="0" w:color="auto"/>
            </w:tcBorders>
          </w:tcPr>
          <w:p w14:paraId="2A119CB4" w14:textId="77777777" w:rsidR="00321DBE" w:rsidRPr="009F466A" w:rsidRDefault="00321DBE" w:rsidP="00C21496">
            <w:pPr>
              <w:pStyle w:val="TableTextDusc"/>
            </w:pPr>
            <w:r w:rsidRPr="009F466A">
              <w:t>AMBITION (tadalafil/ambrisentan)</w:t>
            </w:r>
          </w:p>
          <w:p w14:paraId="00B5780A" w14:textId="77777777" w:rsidR="00321DBE" w:rsidRPr="009F466A" w:rsidRDefault="00321DBE" w:rsidP="00C21496">
            <w:pPr>
              <w:pStyle w:val="TableTextDusc"/>
            </w:pPr>
            <w:r w:rsidRPr="009F466A">
              <w:t>PHIRST</w:t>
            </w:r>
            <w:r w:rsidRPr="009F466A">
              <w:br/>
              <w:t>(tadalafil/bosentan)</w:t>
            </w:r>
          </w:p>
          <w:p w14:paraId="4CCAD885" w14:textId="77777777" w:rsidR="00321DBE" w:rsidRPr="009F466A" w:rsidRDefault="00321DBE" w:rsidP="00C21496">
            <w:pPr>
              <w:pStyle w:val="TableTextDusc"/>
            </w:pPr>
            <w:r w:rsidRPr="009F466A">
              <w:t>Zhuang 2014 (tadalafil/ambrisentan)</w:t>
            </w:r>
          </w:p>
          <w:p w14:paraId="1CE14BB3" w14:textId="77777777" w:rsidR="00321DBE" w:rsidRPr="009F466A" w:rsidRDefault="00321DBE" w:rsidP="00C21496">
            <w:pPr>
              <w:pStyle w:val="TableTextDusc"/>
            </w:pPr>
            <w:r w:rsidRPr="009F466A">
              <w:t>Vizza 2017 (sildenafil/bosentan)</w:t>
            </w:r>
          </w:p>
          <w:p w14:paraId="0A21C7C1" w14:textId="77777777" w:rsidR="00321DBE" w:rsidRPr="009F466A" w:rsidRDefault="00321DBE" w:rsidP="00C21496">
            <w:pPr>
              <w:pStyle w:val="TableTextDusc"/>
            </w:pPr>
            <w:r w:rsidRPr="009F466A">
              <w:t>N=694</w:t>
            </w:r>
          </w:p>
        </w:tc>
        <w:tc>
          <w:tcPr>
            <w:tcW w:w="6095" w:type="dxa"/>
            <w:tcBorders>
              <w:top w:val="single" w:sz="4" w:space="0" w:color="auto"/>
              <w:left w:val="single" w:sz="4" w:space="0" w:color="auto"/>
              <w:bottom w:val="single" w:sz="4" w:space="0" w:color="auto"/>
              <w:right w:val="single" w:sz="4" w:space="0" w:color="auto"/>
            </w:tcBorders>
          </w:tcPr>
          <w:p w14:paraId="4CF8F3A8" w14:textId="4D4F6138"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05A844E2" w14:textId="77777777" w:rsidR="00321DBE" w:rsidRPr="009F466A" w:rsidRDefault="00321DBE" w:rsidP="00C21496">
            <w:pPr>
              <w:pStyle w:val="TableTextDusc"/>
            </w:pPr>
            <w:r w:rsidRPr="009F466A">
              <w:t>Significantly fewer patients experienced clinical worsening with combination therapy compared with monotherapy (pooled RR = 0.53; 95% CI 0.38, 0.73)</w:t>
            </w:r>
          </w:p>
          <w:p w14:paraId="23674534" w14:textId="77777777" w:rsidR="00321DBE" w:rsidRPr="009F466A" w:rsidRDefault="00321DBE" w:rsidP="00C21496">
            <w:pPr>
              <w:pStyle w:val="TableTextDusc"/>
            </w:pPr>
            <w:r w:rsidRPr="009F466A">
              <w:t>There were no significant differences in treatment effectiveness for the different treatment combinations, but the point estimate for Vizza 2017 showed the opposite effect</w:t>
            </w:r>
          </w:p>
        </w:tc>
      </w:tr>
      <w:tr w:rsidR="00321DBE" w:rsidRPr="009F466A" w14:paraId="584ED0BB" w14:textId="77777777" w:rsidTr="00321DBE">
        <w:tc>
          <w:tcPr>
            <w:tcW w:w="1555" w:type="dxa"/>
          </w:tcPr>
          <w:p w14:paraId="065460A1" w14:textId="77777777" w:rsidR="00321DBE" w:rsidRPr="009F466A" w:rsidRDefault="00321DBE" w:rsidP="00C21496">
            <w:pPr>
              <w:pStyle w:val="TableTextDusc"/>
            </w:pPr>
            <w:r w:rsidRPr="009F466A">
              <w:t>All-cause mortality</w:t>
            </w:r>
          </w:p>
        </w:tc>
        <w:tc>
          <w:tcPr>
            <w:tcW w:w="1984" w:type="dxa"/>
            <w:tcBorders>
              <w:top w:val="single" w:sz="4" w:space="0" w:color="auto"/>
              <w:left w:val="single" w:sz="4" w:space="0" w:color="auto"/>
              <w:bottom w:val="single" w:sz="4" w:space="0" w:color="auto"/>
              <w:right w:val="single" w:sz="4" w:space="0" w:color="auto"/>
            </w:tcBorders>
          </w:tcPr>
          <w:p w14:paraId="6E0BA679" w14:textId="77777777" w:rsidR="00321DBE" w:rsidRPr="009F466A" w:rsidRDefault="00321DBE" w:rsidP="00C21496">
            <w:pPr>
              <w:pStyle w:val="TableTextDusc"/>
            </w:pPr>
            <w:r w:rsidRPr="009F466A">
              <w:t>AMBITION (tadalafil/ambrisentan)</w:t>
            </w:r>
          </w:p>
          <w:p w14:paraId="4FFE73AE" w14:textId="77777777" w:rsidR="00321DBE" w:rsidRPr="009F466A" w:rsidRDefault="00321DBE" w:rsidP="00C21496">
            <w:pPr>
              <w:pStyle w:val="TableTextDusc"/>
            </w:pPr>
            <w:r w:rsidRPr="009F466A">
              <w:t>Zhuang 2014 (tadalafil/ambrisentan)</w:t>
            </w:r>
          </w:p>
          <w:p w14:paraId="6FA8C0A3" w14:textId="77777777" w:rsidR="00321DBE" w:rsidRPr="009F466A" w:rsidRDefault="00321DBE" w:rsidP="00C21496">
            <w:pPr>
              <w:pStyle w:val="TableTextDusc"/>
            </w:pPr>
            <w:r w:rsidRPr="009F466A">
              <w:t>Vizza 2017 (sildenafil/bosentan)</w:t>
            </w:r>
          </w:p>
          <w:p w14:paraId="37F312AB" w14:textId="77777777" w:rsidR="00321DBE" w:rsidRPr="009F466A" w:rsidRDefault="00321DBE" w:rsidP="00C21496">
            <w:pPr>
              <w:pStyle w:val="TableTextDusc"/>
            </w:pPr>
            <w:r w:rsidRPr="009F466A">
              <w:t>N=682</w:t>
            </w:r>
          </w:p>
        </w:tc>
        <w:tc>
          <w:tcPr>
            <w:tcW w:w="6095" w:type="dxa"/>
          </w:tcPr>
          <w:p w14:paraId="032001DE" w14:textId="31C74A77" w:rsidR="00321DBE" w:rsidRPr="009F466A" w:rsidRDefault="00321DBE" w:rsidP="00C21496">
            <w:pPr>
              <w:pStyle w:val="TableTextDusc"/>
            </w:pPr>
            <w:r w:rsidRPr="009F466A">
              <w:t>Moderate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7DF449A8" w14:textId="77777777" w:rsidR="00321DBE" w:rsidRPr="009F466A" w:rsidRDefault="00321DBE" w:rsidP="00C21496">
            <w:pPr>
              <w:pStyle w:val="TableTextDusc"/>
            </w:pPr>
            <w:r w:rsidRPr="009F466A">
              <w:t>Fewer patients died from any cause with combination therapy compared with monotherapy, but the 95% CI indicates that there could also be an effect in the opposite direction (pooled RR = 0.64; 95% CI 0.18, 2.36)</w:t>
            </w:r>
          </w:p>
          <w:p w14:paraId="1FBAB217" w14:textId="77777777" w:rsidR="00321DBE" w:rsidRPr="009F466A" w:rsidRDefault="00321DBE" w:rsidP="00C21496">
            <w:pPr>
              <w:pStyle w:val="TableTextDusc"/>
            </w:pPr>
            <w:r w:rsidRPr="009F466A">
              <w:t>There were no significant differences in treatment effectiveness for the different treatment combinations, but the point estimate for Vizza 2017 showed the opposite effect</w:t>
            </w:r>
          </w:p>
        </w:tc>
      </w:tr>
      <w:tr w:rsidR="00321DBE" w:rsidRPr="009F466A" w14:paraId="0134DD77" w14:textId="77777777" w:rsidTr="00321DBE">
        <w:tc>
          <w:tcPr>
            <w:tcW w:w="1555" w:type="dxa"/>
            <w:tcBorders>
              <w:top w:val="single" w:sz="4" w:space="0" w:color="auto"/>
              <w:left w:val="single" w:sz="4" w:space="0" w:color="auto"/>
              <w:bottom w:val="single" w:sz="4" w:space="0" w:color="auto"/>
              <w:right w:val="single" w:sz="4" w:space="0" w:color="auto"/>
            </w:tcBorders>
          </w:tcPr>
          <w:p w14:paraId="62AA6E7F" w14:textId="77777777" w:rsidR="00321DBE" w:rsidRPr="009F466A" w:rsidRDefault="00321DBE" w:rsidP="00C21496">
            <w:pPr>
              <w:pStyle w:val="TableTextDusc"/>
            </w:pPr>
            <w:r w:rsidRPr="009F466A">
              <w:t>Hospitalisation due to worsening PAH</w:t>
            </w:r>
          </w:p>
        </w:tc>
        <w:tc>
          <w:tcPr>
            <w:tcW w:w="1984" w:type="dxa"/>
            <w:tcBorders>
              <w:top w:val="single" w:sz="4" w:space="0" w:color="auto"/>
              <w:left w:val="single" w:sz="4" w:space="0" w:color="auto"/>
              <w:bottom w:val="single" w:sz="4" w:space="0" w:color="auto"/>
              <w:right w:val="single" w:sz="4" w:space="0" w:color="auto"/>
            </w:tcBorders>
          </w:tcPr>
          <w:p w14:paraId="3F5DF2CD" w14:textId="77777777" w:rsidR="00321DBE" w:rsidRPr="009F466A" w:rsidRDefault="00321DBE" w:rsidP="00C21496">
            <w:pPr>
              <w:pStyle w:val="TableTextDusc"/>
            </w:pPr>
            <w:r w:rsidRPr="009F466A">
              <w:t>AMBITION (tadalafil/ambrisentan)</w:t>
            </w:r>
          </w:p>
          <w:p w14:paraId="12387532" w14:textId="77777777" w:rsidR="00321DBE" w:rsidRPr="009F466A" w:rsidRDefault="00321DBE" w:rsidP="00C21496">
            <w:pPr>
              <w:pStyle w:val="TableTextDusc"/>
            </w:pPr>
            <w:r w:rsidRPr="009F466A">
              <w:t>Zhuang 2014 (tadalafil/ambrisentan)</w:t>
            </w:r>
          </w:p>
          <w:p w14:paraId="1AF4C706" w14:textId="77777777" w:rsidR="00321DBE" w:rsidRPr="009F466A" w:rsidRDefault="00321DBE" w:rsidP="00C21496">
            <w:pPr>
              <w:pStyle w:val="TableTextDusc"/>
            </w:pPr>
            <w:r w:rsidRPr="009F466A">
              <w:t>Vizza 2017 (sildenafil/bosentan)</w:t>
            </w:r>
          </w:p>
          <w:p w14:paraId="3B83EC13" w14:textId="77777777" w:rsidR="00321DBE" w:rsidRPr="009F466A" w:rsidRDefault="00321DBE" w:rsidP="00C21496">
            <w:pPr>
              <w:pStyle w:val="TableTextDusc"/>
            </w:pPr>
            <w:r w:rsidRPr="009F466A">
              <w:t>N=607</w:t>
            </w:r>
          </w:p>
        </w:tc>
        <w:tc>
          <w:tcPr>
            <w:tcW w:w="6095" w:type="dxa"/>
            <w:tcBorders>
              <w:top w:val="single" w:sz="4" w:space="0" w:color="auto"/>
              <w:left w:val="single" w:sz="4" w:space="0" w:color="auto"/>
              <w:bottom w:val="single" w:sz="4" w:space="0" w:color="auto"/>
              <w:right w:val="single" w:sz="4" w:space="0" w:color="auto"/>
            </w:tcBorders>
          </w:tcPr>
          <w:p w14:paraId="4F0465E6" w14:textId="7A464B6C"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76C60FF4" w14:textId="77777777" w:rsidR="00321DBE" w:rsidRPr="009F466A" w:rsidRDefault="00321DBE" w:rsidP="00C21496">
            <w:pPr>
              <w:pStyle w:val="TableTextDusc"/>
            </w:pPr>
            <w:r w:rsidRPr="009F466A">
              <w:t>Significantly fewer patients were hospitalised with combination therapy compared with monotherapy (pooled RR = 0.42; 95% CI 0.25, 0.70)</w:t>
            </w:r>
          </w:p>
          <w:p w14:paraId="275EF6F5"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0B53A465" w14:textId="77777777" w:rsidTr="00321DBE">
        <w:tc>
          <w:tcPr>
            <w:tcW w:w="1555" w:type="dxa"/>
            <w:tcBorders>
              <w:top w:val="single" w:sz="4" w:space="0" w:color="auto"/>
              <w:left w:val="single" w:sz="4" w:space="0" w:color="auto"/>
              <w:bottom w:val="single" w:sz="4" w:space="0" w:color="auto"/>
              <w:right w:val="single" w:sz="4" w:space="0" w:color="auto"/>
            </w:tcBorders>
          </w:tcPr>
          <w:p w14:paraId="6420C424" w14:textId="77777777" w:rsidR="00321DBE" w:rsidRPr="009F466A" w:rsidRDefault="00321DBE" w:rsidP="00C21496">
            <w:pPr>
              <w:pStyle w:val="TableTextDusc"/>
            </w:pPr>
            <w:r w:rsidRPr="009F466A">
              <w:t>Improved WHO FC</w:t>
            </w:r>
          </w:p>
        </w:tc>
        <w:tc>
          <w:tcPr>
            <w:tcW w:w="1984" w:type="dxa"/>
            <w:tcBorders>
              <w:top w:val="single" w:sz="4" w:space="0" w:color="auto"/>
              <w:left w:val="single" w:sz="4" w:space="0" w:color="auto"/>
              <w:bottom w:val="single" w:sz="4" w:space="0" w:color="auto"/>
              <w:right w:val="single" w:sz="4" w:space="0" w:color="auto"/>
            </w:tcBorders>
          </w:tcPr>
          <w:p w14:paraId="581195D5" w14:textId="77777777" w:rsidR="00321DBE" w:rsidRPr="009F466A" w:rsidRDefault="00321DBE" w:rsidP="00C21496">
            <w:pPr>
              <w:pStyle w:val="TableTextDusc"/>
            </w:pPr>
            <w:r w:rsidRPr="009F466A">
              <w:t>AMBITION (tadalafil/ambrisentan)</w:t>
            </w:r>
          </w:p>
          <w:p w14:paraId="35AE023E" w14:textId="77777777" w:rsidR="00321DBE" w:rsidRPr="009F466A" w:rsidRDefault="00321DBE" w:rsidP="00C21496">
            <w:pPr>
              <w:pStyle w:val="TableTextDusc"/>
            </w:pPr>
            <w:r w:rsidRPr="009F466A">
              <w:t>PHIRST</w:t>
            </w:r>
            <w:r w:rsidRPr="009F466A">
              <w:br/>
              <w:t>(tadalafil/bosentan)</w:t>
            </w:r>
          </w:p>
          <w:p w14:paraId="6F98D3A5" w14:textId="77777777" w:rsidR="00321DBE" w:rsidRPr="009F466A" w:rsidRDefault="00321DBE" w:rsidP="00C21496">
            <w:pPr>
              <w:pStyle w:val="TableTextDusc"/>
            </w:pPr>
            <w:r w:rsidRPr="009F466A">
              <w:t>Zhuang 2014 (tadalafil/ambrisentan)</w:t>
            </w:r>
          </w:p>
          <w:p w14:paraId="54FC59F3" w14:textId="77777777" w:rsidR="00321DBE" w:rsidRPr="009F466A" w:rsidRDefault="00321DBE" w:rsidP="00C21496">
            <w:pPr>
              <w:pStyle w:val="TableTextDusc"/>
            </w:pPr>
            <w:r w:rsidRPr="009F466A">
              <w:t>Vizza 2017 (sildenafil/bosentan)</w:t>
            </w:r>
          </w:p>
          <w:p w14:paraId="7013A69A" w14:textId="77777777" w:rsidR="00321DBE" w:rsidRPr="009F466A" w:rsidRDefault="00321DBE" w:rsidP="00C21496">
            <w:pPr>
              <w:pStyle w:val="TableTextDusc"/>
            </w:pPr>
            <w:r w:rsidRPr="009F466A">
              <w:t>N=691</w:t>
            </w:r>
          </w:p>
        </w:tc>
        <w:tc>
          <w:tcPr>
            <w:tcW w:w="6095" w:type="dxa"/>
            <w:tcBorders>
              <w:top w:val="single" w:sz="4" w:space="0" w:color="auto"/>
              <w:left w:val="single" w:sz="4" w:space="0" w:color="auto"/>
              <w:bottom w:val="single" w:sz="4" w:space="0" w:color="auto"/>
              <w:right w:val="single" w:sz="4" w:space="0" w:color="auto"/>
            </w:tcBorders>
          </w:tcPr>
          <w:p w14:paraId="3CEB4E4B" w14:textId="07D7D585"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2A275FE6" w14:textId="77777777" w:rsidR="00321DBE" w:rsidRPr="009F466A" w:rsidRDefault="00321DBE" w:rsidP="00C21496">
            <w:pPr>
              <w:pStyle w:val="TableTextDusc"/>
            </w:pPr>
            <w:r w:rsidRPr="009F466A">
              <w:t xml:space="preserve">There was little difference in the proportion of patients whose WHO FC improved with combination therapy compared with monotherapy (pooled RR = 1.11; 95% CI 0.77, 1.60) </w:t>
            </w:r>
          </w:p>
          <w:p w14:paraId="4396CD6D" w14:textId="77777777" w:rsidR="00321DBE" w:rsidRPr="009F466A" w:rsidRDefault="00321DBE" w:rsidP="00C21496">
            <w:pPr>
              <w:pStyle w:val="TableTextDusc"/>
            </w:pPr>
            <w:r w:rsidRPr="009F466A">
              <w:t>The PHIRST study showed a trend favouring the opposite effect to the other 3 studies</w:t>
            </w:r>
          </w:p>
        </w:tc>
      </w:tr>
      <w:tr w:rsidR="00321DBE" w:rsidRPr="009F466A" w14:paraId="3BD2FA63" w14:textId="77777777" w:rsidTr="00321DBE">
        <w:tc>
          <w:tcPr>
            <w:tcW w:w="1555" w:type="dxa"/>
          </w:tcPr>
          <w:p w14:paraId="22D66958" w14:textId="77777777" w:rsidR="00321DBE" w:rsidRPr="009F466A" w:rsidRDefault="00321DBE" w:rsidP="00C21496">
            <w:pPr>
              <w:pStyle w:val="TableTextDusc"/>
            </w:pPr>
            <w:r w:rsidRPr="009F466A">
              <w:t>Worsened WHO FC</w:t>
            </w:r>
          </w:p>
        </w:tc>
        <w:tc>
          <w:tcPr>
            <w:tcW w:w="1984" w:type="dxa"/>
            <w:tcBorders>
              <w:top w:val="single" w:sz="4" w:space="0" w:color="auto"/>
              <w:left w:val="single" w:sz="4" w:space="0" w:color="auto"/>
              <w:bottom w:val="single" w:sz="4" w:space="0" w:color="auto"/>
              <w:right w:val="single" w:sz="4" w:space="0" w:color="auto"/>
            </w:tcBorders>
          </w:tcPr>
          <w:p w14:paraId="169426B8" w14:textId="77777777" w:rsidR="00321DBE" w:rsidRPr="009F466A" w:rsidRDefault="00321DBE" w:rsidP="00C21496">
            <w:pPr>
              <w:pStyle w:val="TableTextDusc"/>
            </w:pPr>
            <w:r w:rsidRPr="009F466A">
              <w:t>AMBITION (tadalafil/ambrisentan)</w:t>
            </w:r>
          </w:p>
          <w:p w14:paraId="4C9E1AD6" w14:textId="77777777" w:rsidR="00321DBE" w:rsidRPr="009F466A" w:rsidRDefault="00321DBE" w:rsidP="00C21496">
            <w:pPr>
              <w:pStyle w:val="TableTextDusc"/>
            </w:pPr>
            <w:r w:rsidRPr="009F466A">
              <w:lastRenderedPageBreak/>
              <w:t>PHIRST</w:t>
            </w:r>
            <w:r w:rsidRPr="009F466A">
              <w:br/>
              <w:t>(tadalafil/bosentan)</w:t>
            </w:r>
          </w:p>
          <w:p w14:paraId="68787435" w14:textId="77777777" w:rsidR="00321DBE" w:rsidRPr="009F466A" w:rsidRDefault="00321DBE" w:rsidP="00C21496">
            <w:pPr>
              <w:pStyle w:val="TableTextDusc"/>
            </w:pPr>
            <w:r w:rsidRPr="009F466A">
              <w:t>Zhuang 2014 (tadalafil/ambrisentan)</w:t>
            </w:r>
          </w:p>
          <w:p w14:paraId="700F07BE" w14:textId="77777777" w:rsidR="00321DBE" w:rsidRPr="009F466A" w:rsidRDefault="00321DBE" w:rsidP="00C21496">
            <w:pPr>
              <w:pStyle w:val="TableTextDusc"/>
            </w:pPr>
            <w:r w:rsidRPr="009F466A">
              <w:t>Vizza 2017 (sildenafil/bosentan)</w:t>
            </w:r>
          </w:p>
          <w:p w14:paraId="0BA8F2D9" w14:textId="77777777" w:rsidR="00321DBE" w:rsidRPr="009F466A" w:rsidRDefault="00321DBE" w:rsidP="00C21496">
            <w:pPr>
              <w:pStyle w:val="TableTextDusc"/>
            </w:pPr>
            <w:r w:rsidRPr="009F466A">
              <w:t>N=691</w:t>
            </w:r>
          </w:p>
        </w:tc>
        <w:tc>
          <w:tcPr>
            <w:tcW w:w="6095" w:type="dxa"/>
          </w:tcPr>
          <w:p w14:paraId="6B7914D1" w14:textId="30F661E4" w:rsidR="00321DBE" w:rsidRPr="009F466A" w:rsidRDefault="00321DBE" w:rsidP="00C21496">
            <w:pPr>
              <w:pStyle w:val="TableTextDusc"/>
            </w:pPr>
            <w:r w:rsidRPr="009F466A">
              <w:lastRenderedPageBreak/>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1F2099A7" w14:textId="77777777" w:rsidR="00321DBE" w:rsidRPr="009F466A" w:rsidRDefault="00321DBE" w:rsidP="00C21496">
            <w:pPr>
              <w:pStyle w:val="TableTextDusc"/>
            </w:pPr>
            <w:r w:rsidRPr="009F466A">
              <w:t xml:space="preserve">Fewer patients on combination therapy had worsening of their WHO FC compared with monotherapy, but the result did not </w:t>
            </w:r>
            <w:r w:rsidRPr="009F466A">
              <w:lastRenderedPageBreak/>
              <w:t>quite reach statistical significance (pooled RR = 0.60; 95% CI 0.34, 1.05)</w:t>
            </w:r>
          </w:p>
          <w:p w14:paraId="40B35BBB"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4196A425" w14:textId="77777777" w:rsidTr="00321DBE">
        <w:tc>
          <w:tcPr>
            <w:tcW w:w="1555" w:type="dxa"/>
          </w:tcPr>
          <w:p w14:paraId="27DC7F8F" w14:textId="77777777" w:rsidR="00321DBE" w:rsidRPr="009F466A" w:rsidRDefault="00321DBE" w:rsidP="00C21496">
            <w:pPr>
              <w:pStyle w:val="TableTextDusc"/>
            </w:pPr>
            <w:r w:rsidRPr="009F466A">
              <w:lastRenderedPageBreak/>
              <w:t>Change in 6MWD</w:t>
            </w:r>
            <w:r w:rsidRPr="009F466A">
              <w:rPr>
                <w:rFonts w:cs="Arial"/>
              </w:rPr>
              <w:t xml:space="preserve"> from baseline</w:t>
            </w:r>
          </w:p>
        </w:tc>
        <w:tc>
          <w:tcPr>
            <w:tcW w:w="1984" w:type="dxa"/>
            <w:tcBorders>
              <w:top w:val="single" w:sz="4" w:space="0" w:color="auto"/>
              <w:left w:val="single" w:sz="4" w:space="0" w:color="auto"/>
              <w:bottom w:val="single" w:sz="4" w:space="0" w:color="auto"/>
              <w:right w:val="single" w:sz="4" w:space="0" w:color="auto"/>
            </w:tcBorders>
          </w:tcPr>
          <w:p w14:paraId="51165163" w14:textId="77777777" w:rsidR="00321DBE" w:rsidRPr="009F466A" w:rsidRDefault="00321DBE" w:rsidP="00C21496">
            <w:pPr>
              <w:pStyle w:val="TableTextDusc"/>
            </w:pPr>
            <w:r w:rsidRPr="009F466A">
              <w:t>AMBITION (tadalafil/ambrisentan)</w:t>
            </w:r>
          </w:p>
          <w:p w14:paraId="603D24E5" w14:textId="77777777" w:rsidR="00321DBE" w:rsidRPr="009F466A" w:rsidRDefault="00321DBE" w:rsidP="00C21496">
            <w:pPr>
              <w:pStyle w:val="TableTextDusc"/>
            </w:pPr>
            <w:r w:rsidRPr="009F466A">
              <w:t>PHIRST</w:t>
            </w:r>
            <w:r w:rsidRPr="009F466A">
              <w:br/>
              <w:t>(tadalafil/bosentan)</w:t>
            </w:r>
          </w:p>
          <w:p w14:paraId="24BD4E8B" w14:textId="77777777" w:rsidR="00321DBE" w:rsidRPr="009F466A" w:rsidRDefault="00321DBE" w:rsidP="00C21496">
            <w:pPr>
              <w:pStyle w:val="TableTextDusc"/>
            </w:pPr>
            <w:r w:rsidRPr="009F466A">
              <w:t>Zhuang 2014 (tadalafil/ambrisentan)</w:t>
            </w:r>
          </w:p>
          <w:p w14:paraId="0D7AECD0" w14:textId="77777777" w:rsidR="00321DBE" w:rsidRPr="009F466A" w:rsidRDefault="00321DBE" w:rsidP="00C21496">
            <w:pPr>
              <w:pStyle w:val="TableTextDusc"/>
            </w:pPr>
            <w:r w:rsidRPr="009F466A">
              <w:t>Vizza 2017 (sildenafil/bosentan)</w:t>
            </w:r>
          </w:p>
          <w:p w14:paraId="3FDB9186" w14:textId="77777777" w:rsidR="00321DBE" w:rsidRPr="009F466A" w:rsidRDefault="00321DBE" w:rsidP="00C21496">
            <w:pPr>
              <w:pStyle w:val="TableTextDusc"/>
            </w:pPr>
            <w:r w:rsidRPr="009F466A">
              <w:t>Mainguy 2013 (sildenafil/PDE-5 inhibitor)</w:t>
            </w:r>
          </w:p>
          <w:p w14:paraId="656A90BA" w14:textId="77777777" w:rsidR="00321DBE" w:rsidRPr="009F466A" w:rsidRDefault="00321DBE" w:rsidP="00C21496">
            <w:pPr>
              <w:pStyle w:val="TableTextDusc"/>
            </w:pPr>
            <w:r w:rsidRPr="009F466A">
              <w:t>N=726</w:t>
            </w:r>
          </w:p>
        </w:tc>
        <w:tc>
          <w:tcPr>
            <w:tcW w:w="6095" w:type="dxa"/>
          </w:tcPr>
          <w:p w14:paraId="443F219C" w14:textId="70C00BE8" w:rsidR="00321DBE" w:rsidRPr="009F466A" w:rsidRDefault="00321DBE" w:rsidP="00C21496">
            <w:pPr>
              <w:pStyle w:val="TableTextDusc"/>
            </w:pPr>
            <w:r w:rsidRPr="009F466A">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9F466A">
              <w:t>)</w:t>
            </w:r>
          </w:p>
          <w:p w14:paraId="44F9490B" w14:textId="77777777" w:rsidR="00321DBE" w:rsidRPr="009F466A" w:rsidRDefault="00321DBE" w:rsidP="00C21496">
            <w:pPr>
              <w:pStyle w:val="TableTextDusc"/>
            </w:pPr>
            <w:r w:rsidRPr="009F466A">
              <w:t xml:space="preserve">In 4 out of 5 studies, patients on combination therapy had a larger mean improvement in their 6MWD than those on monotherapy, and the difference could be clinically important in 1 study (range 2.4 m less to 36.1 m walked further) </w:t>
            </w:r>
          </w:p>
          <w:p w14:paraId="2A741000" w14:textId="77777777" w:rsidR="00321DBE" w:rsidRPr="009F466A" w:rsidRDefault="00321DBE" w:rsidP="00C21496">
            <w:pPr>
              <w:pStyle w:val="TableTextDusc"/>
            </w:pPr>
            <w:r w:rsidRPr="009F466A">
              <w:t>The Vizza 2017 study showed a trend favouring the opposite effect to the other 4 studies, but this difference may not be statistically significant</w:t>
            </w:r>
          </w:p>
        </w:tc>
      </w:tr>
      <w:tr w:rsidR="00321DBE" w:rsidRPr="009F466A" w14:paraId="4B8E1EE3" w14:textId="77777777" w:rsidTr="00321DBE">
        <w:tc>
          <w:tcPr>
            <w:tcW w:w="1555" w:type="dxa"/>
          </w:tcPr>
          <w:p w14:paraId="4B23F89B" w14:textId="77777777" w:rsidR="00321DBE" w:rsidRPr="009F466A" w:rsidRDefault="00321DBE" w:rsidP="00C21496">
            <w:pPr>
              <w:pStyle w:val="TableTextDusc"/>
            </w:pPr>
            <w:r w:rsidRPr="009F466A">
              <w:t>Change in haemodynamic parameters from baseline:</w:t>
            </w:r>
          </w:p>
          <w:p w14:paraId="3E0531FE" w14:textId="77777777" w:rsidR="00321DBE" w:rsidRPr="009F466A" w:rsidRDefault="00321DBE" w:rsidP="00C21496">
            <w:pPr>
              <w:pStyle w:val="TableTextDusc"/>
            </w:pPr>
            <w:r w:rsidRPr="009F466A">
              <w:t>PVR, mPAP</w:t>
            </w:r>
          </w:p>
        </w:tc>
        <w:tc>
          <w:tcPr>
            <w:tcW w:w="1984" w:type="dxa"/>
          </w:tcPr>
          <w:p w14:paraId="685BB563" w14:textId="77777777" w:rsidR="00321DBE" w:rsidRPr="009F466A" w:rsidRDefault="00321DBE" w:rsidP="00C21496">
            <w:pPr>
              <w:pStyle w:val="TableTextDusc"/>
            </w:pPr>
            <w:r w:rsidRPr="009F466A">
              <w:t>Zhuang 2014 (tadalafil/ambrisentan)</w:t>
            </w:r>
          </w:p>
          <w:p w14:paraId="214A882F" w14:textId="77777777" w:rsidR="00321DBE" w:rsidRPr="009F466A" w:rsidRDefault="00321DBE" w:rsidP="00C21496">
            <w:pPr>
              <w:pStyle w:val="TableTextDusc"/>
            </w:pPr>
            <w:r w:rsidRPr="009F466A">
              <w:t>N=124</w:t>
            </w:r>
          </w:p>
        </w:tc>
        <w:tc>
          <w:tcPr>
            <w:tcW w:w="6095" w:type="dxa"/>
          </w:tcPr>
          <w:p w14:paraId="43573829" w14:textId="4115059D" w:rsidR="00321DBE" w:rsidRPr="009F466A" w:rsidRDefault="00321DBE" w:rsidP="00C21496">
            <w:pPr>
              <w:pStyle w:val="TableTextDusc"/>
            </w:pPr>
            <w:r w:rsidRPr="009F466A">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9F466A">
              <w:t>)</w:t>
            </w:r>
          </w:p>
          <w:p w14:paraId="04124282" w14:textId="77777777" w:rsidR="00321DBE" w:rsidRPr="009F466A" w:rsidRDefault="00321DBE" w:rsidP="00C21496">
            <w:pPr>
              <w:pStyle w:val="TableTextDusc"/>
            </w:pPr>
            <w:r w:rsidRPr="009F466A">
              <w:t>Patients on combination therapy had a larger mean improvement in their haemodynamic parameters than those patients receiving monotherapy (PVR MD = 13.9% improvement; mPAP MD = 8.5% improvement)</w:t>
            </w:r>
          </w:p>
        </w:tc>
      </w:tr>
      <w:tr w:rsidR="00321DBE" w:rsidRPr="009F466A" w14:paraId="10C33687"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2643C402" w14:textId="77777777" w:rsidR="00321DBE" w:rsidRPr="009F466A" w:rsidRDefault="00321DBE" w:rsidP="00C21496">
            <w:pPr>
              <w:pStyle w:val="TableTextDusc"/>
            </w:pPr>
            <w:r w:rsidRPr="009F466A">
              <w:t>Patients with WHO FC III/IV PAH</w:t>
            </w:r>
          </w:p>
        </w:tc>
      </w:tr>
      <w:tr w:rsidR="00321DBE" w:rsidRPr="009F466A" w14:paraId="18CF243B" w14:textId="77777777" w:rsidTr="00321DBE">
        <w:tc>
          <w:tcPr>
            <w:tcW w:w="1555" w:type="dxa"/>
          </w:tcPr>
          <w:p w14:paraId="2C0F9C8E" w14:textId="77777777" w:rsidR="00321DBE" w:rsidRPr="009F466A" w:rsidRDefault="00321DBE" w:rsidP="00C21496">
            <w:pPr>
              <w:pStyle w:val="TableTextDusc"/>
            </w:pPr>
            <w:r w:rsidRPr="009F466A">
              <w:t>Change in 6MWD from baseline</w:t>
            </w:r>
          </w:p>
        </w:tc>
        <w:tc>
          <w:tcPr>
            <w:tcW w:w="1984" w:type="dxa"/>
            <w:tcBorders>
              <w:top w:val="single" w:sz="4" w:space="0" w:color="auto"/>
              <w:left w:val="single" w:sz="4" w:space="0" w:color="auto"/>
              <w:bottom w:val="single" w:sz="4" w:space="0" w:color="auto"/>
              <w:right w:val="single" w:sz="4" w:space="0" w:color="auto"/>
            </w:tcBorders>
          </w:tcPr>
          <w:p w14:paraId="6DF5C04F" w14:textId="77777777" w:rsidR="00321DBE" w:rsidRPr="009F466A" w:rsidRDefault="00321DBE" w:rsidP="00C21496">
            <w:pPr>
              <w:pStyle w:val="TableTextDusc"/>
            </w:pPr>
            <w:r w:rsidRPr="009F466A">
              <w:t>PHIRST</w:t>
            </w:r>
            <w:r w:rsidRPr="009F466A">
              <w:br/>
              <w:t>(tadalafil/bosentan)</w:t>
            </w:r>
          </w:p>
          <w:p w14:paraId="07DF96E8" w14:textId="77777777" w:rsidR="00321DBE" w:rsidRPr="009F466A" w:rsidRDefault="00321DBE" w:rsidP="00C21496">
            <w:pPr>
              <w:pStyle w:val="TableTextDusc"/>
            </w:pPr>
            <w:r w:rsidRPr="009F466A">
              <w:t>Zhuang 2014 (tadalafil/ambrisentan)</w:t>
            </w:r>
          </w:p>
          <w:p w14:paraId="27ACEDAB" w14:textId="77777777" w:rsidR="00321DBE" w:rsidRPr="009F466A" w:rsidRDefault="00321DBE" w:rsidP="00C21496">
            <w:pPr>
              <w:pStyle w:val="TableTextDusc"/>
            </w:pPr>
            <w:r w:rsidRPr="009F466A">
              <w:t>N=109</w:t>
            </w:r>
          </w:p>
        </w:tc>
        <w:tc>
          <w:tcPr>
            <w:tcW w:w="6095" w:type="dxa"/>
          </w:tcPr>
          <w:p w14:paraId="3026731E" w14:textId="38050278" w:rsidR="00321DBE" w:rsidRPr="009F466A" w:rsidRDefault="00321DBE" w:rsidP="00C21496">
            <w:pPr>
              <w:pStyle w:val="TableTextDusc"/>
            </w:pPr>
            <w:r w:rsidRPr="009F466A">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4E1B1001" w14:textId="77777777" w:rsidR="00321DBE" w:rsidRPr="009F466A" w:rsidRDefault="00321DBE" w:rsidP="00C21496">
            <w:pPr>
              <w:pStyle w:val="TableTextDusc"/>
            </w:pPr>
            <w:r w:rsidRPr="009F466A">
              <w:t>Patients on combination therapy had a larger mean improvement in their 6MWD than those patients receiving monotherapy, but the difference was not clinically important (range 13.5−20.1 m walked further)</w:t>
            </w:r>
          </w:p>
          <w:p w14:paraId="7F41C27D"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6C707761"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5DADB7C9" w14:textId="77777777" w:rsidR="00321DBE" w:rsidRPr="009F466A" w:rsidRDefault="00321DBE" w:rsidP="00C21496">
            <w:pPr>
              <w:pStyle w:val="TableTextDusc"/>
            </w:pPr>
            <w:r w:rsidRPr="009F466A">
              <w:t>Patients with IPAH/HPAH</w:t>
            </w:r>
          </w:p>
        </w:tc>
      </w:tr>
      <w:tr w:rsidR="00321DBE" w:rsidRPr="009F466A" w14:paraId="6224326F" w14:textId="77777777" w:rsidTr="00321DBE">
        <w:tc>
          <w:tcPr>
            <w:tcW w:w="1555" w:type="dxa"/>
          </w:tcPr>
          <w:p w14:paraId="31A0AA84" w14:textId="77777777" w:rsidR="00321DBE" w:rsidRPr="009F466A" w:rsidRDefault="00321DBE" w:rsidP="00C21496">
            <w:pPr>
              <w:pStyle w:val="TableTextDusc"/>
            </w:pPr>
            <w:r w:rsidRPr="009F466A">
              <w:t>Change in 6MWD from baseline</w:t>
            </w:r>
          </w:p>
        </w:tc>
        <w:tc>
          <w:tcPr>
            <w:tcW w:w="1984" w:type="dxa"/>
          </w:tcPr>
          <w:p w14:paraId="7BBA618A" w14:textId="77777777" w:rsidR="00321DBE" w:rsidRPr="009F466A" w:rsidRDefault="00321DBE" w:rsidP="00C21496">
            <w:pPr>
              <w:pStyle w:val="TableTextDusc"/>
            </w:pPr>
            <w:r w:rsidRPr="009F466A">
              <w:t>PHIRST</w:t>
            </w:r>
            <w:r w:rsidRPr="009F466A">
              <w:br/>
              <w:t>(tadalafil/bosentan)</w:t>
            </w:r>
          </w:p>
          <w:p w14:paraId="383CF84C" w14:textId="77777777" w:rsidR="00321DBE" w:rsidRPr="009F466A" w:rsidRDefault="00321DBE" w:rsidP="00C21496">
            <w:pPr>
              <w:pStyle w:val="TableTextDusc"/>
              <w:rPr>
                <w:rFonts w:cs="Arial"/>
              </w:rPr>
            </w:pPr>
            <w:r w:rsidRPr="009F466A">
              <w:t>Vizza 2017 (sildenafil/bosentan)</w:t>
            </w:r>
            <w:r w:rsidRPr="009F466A">
              <w:rPr>
                <w:rFonts w:cs="Arial"/>
              </w:rPr>
              <w:t xml:space="preserve"> </w:t>
            </w:r>
          </w:p>
          <w:p w14:paraId="160E5D8B" w14:textId="77777777" w:rsidR="00321DBE" w:rsidRPr="009F466A" w:rsidRDefault="00321DBE" w:rsidP="00C21496">
            <w:pPr>
              <w:pStyle w:val="TableTextDusc"/>
            </w:pPr>
            <w:r w:rsidRPr="009F466A">
              <w:rPr>
                <w:rFonts w:cs="Arial"/>
              </w:rPr>
              <w:t>N=120</w:t>
            </w:r>
          </w:p>
        </w:tc>
        <w:tc>
          <w:tcPr>
            <w:tcW w:w="6095" w:type="dxa"/>
          </w:tcPr>
          <w:p w14:paraId="4027607B" w14:textId="33AB1A44" w:rsidR="00321DBE" w:rsidRPr="009F466A" w:rsidRDefault="00321DBE" w:rsidP="00C21496">
            <w:pPr>
              <w:pStyle w:val="TableTextDusc"/>
            </w:pPr>
            <w:r w:rsidRPr="009F466A">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41AD375C" w14:textId="77777777" w:rsidR="00321DBE" w:rsidRPr="009F466A" w:rsidRDefault="00321DBE" w:rsidP="00C21496">
            <w:pPr>
              <w:pStyle w:val="TableTextDusc"/>
            </w:pPr>
            <w:r w:rsidRPr="009F466A">
              <w:t>Patients on combination therapy had a larger mean improvement in their 6MWD than those on monotherapy, but the difference was not clinically important (range 8.6−13.6 m walked further)</w:t>
            </w:r>
          </w:p>
          <w:p w14:paraId="2D3194BF" w14:textId="77777777" w:rsidR="00321DBE" w:rsidRPr="009F466A" w:rsidRDefault="00321DBE" w:rsidP="00C21496">
            <w:pPr>
              <w:pStyle w:val="TableTextDusc"/>
            </w:pPr>
            <w:r w:rsidRPr="009F466A">
              <w:t>There were no significant differences in treatment effectiveness for the different treatment combinations</w:t>
            </w:r>
          </w:p>
        </w:tc>
      </w:tr>
      <w:tr w:rsidR="00321DBE" w:rsidRPr="009F466A" w14:paraId="6E26E128"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21AFBE5E" w14:textId="77777777" w:rsidR="00321DBE" w:rsidRPr="009F466A" w:rsidRDefault="00321DBE" w:rsidP="00C21496">
            <w:pPr>
              <w:pStyle w:val="TableTextDusc"/>
            </w:pPr>
            <w:r w:rsidRPr="009F466A">
              <w:t>Patients with PAH-CTD</w:t>
            </w:r>
          </w:p>
        </w:tc>
      </w:tr>
      <w:tr w:rsidR="00321DBE" w:rsidRPr="009F466A" w14:paraId="5569D2F5" w14:textId="77777777" w:rsidTr="00321DBE">
        <w:tc>
          <w:tcPr>
            <w:tcW w:w="1555" w:type="dxa"/>
            <w:tcBorders>
              <w:top w:val="single" w:sz="4" w:space="0" w:color="auto"/>
              <w:left w:val="single" w:sz="4" w:space="0" w:color="auto"/>
              <w:bottom w:val="single" w:sz="4" w:space="0" w:color="auto"/>
              <w:right w:val="single" w:sz="4" w:space="0" w:color="auto"/>
            </w:tcBorders>
          </w:tcPr>
          <w:p w14:paraId="6498A088" w14:textId="77777777" w:rsidR="00321DBE" w:rsidRPr="009F466A" w:rsidRDefault="00321DBE" w:rsidP="00C21496">
            <w:pPr>
              <w:pStyle w:val="TableTextDusc"/>
            </w:pPr>
            <w:r w:rsidRPr="009F466A">
              <w:t>Clinical worsening</w:t>
            </w:r>
          </w:p>
        </w:tc>
        <w:tc>
          <w:tcPr>
            <w:tcW w:w="1984" w:type="dxa"/>
            <w:tcBorders>
              <w:top w:val="single" w:sz="4" w:space="0" w:color="auto"/>
              <w:left w:val="single" w:sz="4" w:space="0" w:color="auto"/>
              <w:bottom w:val="single" w:sz="4" w:space="0" w:color="auto"/>
              <w:right w:val="single" w:sz="4" w:space="0" w:color="auto"/>
            </w:tcBorders>
          </w:tcPr>
          <w:p w14:paraId="4E537BEA" w14:textId="77777777" w:rsidR="00321DBE" w:rsidRPr="009F466A" w:rsidRDefault="00321DBE" w:rsidP="00C21496">
            <w:pPr>
              <w:pStyle w:val="TableTextDusc"/>
              <w:rPr>
                <w:rFonts w:cs="Arial"/>
              </w:rPr>
            </w:pPr>
            <w:r w:rsidRPr="009F466A">
              <w:t>AMBITION (tadalafil/ambrisentan)</w:t>
            </w:r>
            <w:r w:rsidRPr="009F466A">
              <w:rPr>
                <w:rFonts w:cs="Arial"/>
              </w:rPr>
              <w:t xml:space="preserve"> </w:t>
            </w:r>
          </w:p>
          <w:p w14:paraId="73C5992B" w14:textId="77777777" w:rsidR="00321DBE" w:rsidRPr="009F466A" w:rsidRDefault="00321DBE" w:rsidP="00C21496">
            <w:pPr>
              <w:pStyle w:val="TableTextDusc"/>
            </w:pPr>
            <w:r w:rsidRPr="009F466A">
              <w:rPr>
                <w:rFonts w:cs="Arial"/>
              </w:rPr>
              <w:t>N=147</w:t>
            </w:r>
          </w:p>
        </w:tc>
        <w:tc>
          <w:tcPr>
            <w:tcW w:w="6095" w:type="dxa"/>
            <w:tcBorders>
              <w:top w:val="single" w:sz="4" w:space="0" w:color="auto"/>
              <w:left w:val="single" w:sz="4" w:space="0" w:color="auto"/>
              <w:bottom w:val="single" w:sz="4" w:space="0" w:color="auto"/>
              <w:right w:val="single" w:sz="4" w:space="0" w:color="auto"/>
            </w:tcBorders>
          </w:tcPr>
          <w:p w14:paraId="7E920CAA" w14:textId="48032C45" w:rsidR="00321DBE" w:rsidRPr="009F466A" w:rsidRDefault="00321DBE" w:rsidP="00C21496">
            <w:pPr>
              <w:pStyle w:val="TableTextDusc"/>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43FCD450" w14:textId="77777777" w:rsidR="00321DBE" w:rsidRPr="009F466A" w:rsidRDefault="00321DBE" w:rsidP="00C21496">
            <w:pPr>
              <w:pStyle w:val="TableTextDusc"/>
            </w:pPr>
            <w:r w:rsidRPr="009F466A">
              <w:t>Fewer patients experienced clinical worsening with combination therapy compared with monotherapy, but the result just failed to reach statistical significance (HR = 0.51; 95% CI 0.25, 1.01)</w:t>
            </w:r>
          </w:p>
        </w:tc>
      </w:tr>
      <w:tr w:rsidR="00321DBE" w:rsidRPr="009F466A" w14:paraId="73283121" w14:textId="77777777" w:rsidTr="00321DBE">
        <w:tc>
          <w:tcPr>
            <w:tcW w:w="1555" w:type="dxa"/>
            <w:tcBorders>
              <w:top w:val="single" w:sz="4" w:space="0" w:color="auto"/>
              <w:left w:val="single" w:sz="4" w:space="0" w:color="auto"/>
              <w:bottom w:val="single" w:sz="4" w:space="0" w:color="auto"/>
              <w:right w:val="single" w:sz="4" w:space="0" w:color="auto"/>
            </w:tcBorders>
          </w:tcPr>
          <w:p w14:paraId="57CEEF4C" w14:textId="77777777" w:rsidR="00321DBE" w:rsidRPr="009F466A" w:rsidRDefault="00321DBE" w:rsidP="00C21496">
            <w:pPr>
              <w:pStyle w:val="TableTextDusc"/>
            </w:pPr>
            <w:r w:rsidRPr="009F466A">
              <w:t>Change in 6MWD from baseline</w:t>
            </w:r>
          </w:p>
        </w:tc>
        <w:tc>
          <w:tcPr>
            <w:tcW w:w="1984" w:type="dxa"/>
            <w:tcBorders>
              <w:top w:val="single" w:sz="4" w:space="0" w:color="auto"/>
              <w:left w:val="single" w:sz="4" w:space="0" w:color="auto"/>
              <w:bottom w:val="single" w:sz="4" w:space="0" w:color="auto"/>
              <w:right w:val="single" w:sz="4" w:space="0" w:color="auto"/>
            </w:tcBorders>
          </w:tcPr>
          <w:p w14:paraId="38BF1ED6" w14:textId="77777777" w:rsidR="00321DBE" w:rsidRPr="009F466A" w:rsidRDefault="00321DBE" w:rsidP="00C21496">
            <w:pPr>
              <w:pStyle w:val="TableTextDusc"/>
            </w:pPr>
            <w:r w:rsidRPr="009F466A">
              <w:t>PHIRST</w:t>
            </w:r>
            <w:r w:rsidRPr="009F466A">
              <w:br/>
              <w:t>(tadalafil/bosentan)</w:t>
            </w:r>
          </w:p>
          <w:p w14:paraId="170EC49F" w14:textId="77777777" w:rsidR="00321DBE" w:rsidRPr="009F466A" w:rsidRDefault="00321DBE" w:rsidP="00C21496">
            <w:pPr>
              <w:pStyle w:val="TableTextDusc"/>
              <w:rPr>
                <w:rFonts w:cs="Arial"/>
              </w:rPr>
            </w:pPr>
            <w:r w:rsidRPr="009F466A">
              <w:lastRenderedPageBreak/>
              <w:t>Vizza 2017 (sildenafil/bosentan)</w:t>
            </w:r>
            <w:r w:rsidRPr="009F466A">
              <w:rPr>
                <w:rFonts w:cs="Arial"/>
              </w:rPr>
              <w:t xml:space="preserve"> </w:t>
            </w:r>
          </w:p>
          <w:p w14:paraId="2C99C92D" w14:textId="77777777" w:rsidR="00321DBE" w:rsidRPr="009F466A" w:rsidRDefault="00321DBE" w:rsidP="00C21496">
            <w:pPr>
              <w:pStyle w:val="TableTextDusc"/>
            </w:pPr>
            <w:r w:rsidRPr="009F466A">
              <w:rPr>
                <w:rFonts w:cs="Arial"/>
              </w:rPr>
              <w:t>N=55</w:t>
            </w:r>
          </w:p>
        </w:tc>
        <w:tc>
          <w:tcPr>
            <w:tcW w:w="6095" w:type="dxa"/>
          </w:tcPr>
          <w:p w14:paraId="22C78CC8" w14:textId="0C8B8CF9" w:rsidR="00321DBE" w:rsidRPr="009F466A" w:rsidRDefault="00321DBE" w:rsidP="00C21496">
            <w:pPr>
              <w:pStyle w:val="TableTextDusc"/>
            </w:pPr>
            <w:r w:rsidRPr="009F466A">
              <w:lastRenderedPageBreak/>
              <w:t xml:space="preserve">Very 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00C220DD" w:rsidRPr="00C220DD">
              <w:rPr>
                <w:rFonts w:ascii="Cambria Math" w:hAnsi="Cambria Math" w:cs="Cambria Math"/>
                <w:color w:val="FF0000"/>
              </w:rPr>
              <w:t>⨀</w:t>
            </w:r>
            <w:r w:rsidR="00C220DD" w:rsidRPr="00C220DD">
              <w:rPr>
                <w:rFonts w:ascii="Cambria Math" w:eastAsia="Times New Roman" w:hAnsi="Cambria Math" w:cs="Cambria Math"/>
                <w:bCs/>
                <w:color w:val="FF0000"/>
              </w:rPr>
              <w:t>⨀</w:t>
            </w:r>
            <w:r w:rsidRPr="009F466A">
              <w:t>)</w:t>
            </w:r>
          </w:p>
          <w:p w14:paraId="5C70886E" w14:textId="77777777" w:rsidR="00321DBE" w:rsidRPr="009F466A" w:rsidRDefault="00321DBE" w:rsidP="00C21496">
            <w:pPr>
              <w:pStyle w:val="TableTextDusc"/>
            </w:pPr>
            <w:r w:rsidRPr="009F466A">
              <w:t xml:space="preserve">Patients on combination therapy had a wide range of change in their 6MWD compared with those on monotherapy, but the </w:t>
            </w:r>
            <w:r w:rsidRPr="009F466A">
              <w:lastRenderedPageBreak/>
              <w:t>difference was not clinically important (range 34.1 m less to 20.7 m walked further)</w:t>
            </w:r>
          </w:p>
          <w:p w14:paraId="642ED181" w14:textId="77777777" w:rsidR="00321DBE" w:rsidRPr="009F466A" w:rsidRDefault="00321DBE" w:rsidP="00C21496">
            <w:pPr>
              <w:pStyle w:val="TableTextDusc"/>
            </w:pPr>
            <w:r w:rsidRPr="009F466A">
              <w:t>There were no significant differences in treatment effectiveness for the different treatment combinations</w:t>
            </w:r>
          </w:p>
        </w:tc>
      </w:tr>
    </w:tbl>
    <w:p w14:paraId="67F1B513" w14:textId="77777777" w:rsidR="00321DBE" w:rsidRPr="00532B79" w:rsidRDefault="00321DBE" w:rsidP="00C21496">
      <w:pPr>
        <w:pStyle w:val="Tablenote"/>
        <w:jc w:val="left"/>
      </w:pPr>
      <w:r w:rsidRPr="00532B79">
        <w:lastRenderedPageBreak/>
        <w:t xml:space="preserve">6MWD = 6-minute walk distance; CI = confidence interval; ERA = endothelin receptor antagonist; FC = functional class; GRADE = grading of recommendations assessment, development and evaluation1; HPAH = heritable PAH; HR = hazard ratio; IPAH = idiopathic PAH; MD = mean difference; mPAP = mean pulmonary artery pressure; PAH = pulmonary arterial hypertension; PAH-CTD = PAH associated with connective tissue disease; PDE-5 = phosphodiesterase type-5; PVR = pulmonary vascular resistance; RR = relative risk; WHO = World Health Organization </w:t>
      </w:r>
    </w:p>
    <w:p w14:paraId="3EBC7DEF" w14:textId="77777777" w:rsidR="0016033A" w:rsidRPr="0016033A" w:rsidRDefault="0016033A" w:rsidP="00C21496">
      <w:pPr>
        <w:pStyle w:val="Heading5"/>
        <w:keepLines w:val="0"/>
        <w:numPr>
          <w:ilvl w:val="0"/>
          <w:numId w:val="0"/>
        </w:numPr>
        <w:spacing w:before="240"/>
        <w:jc w:val="left"/>
        <w:rPr>
          <w:color w:val="auto"/>
          <w:u w:val="single"/>
        </w:rPr>
      </w:pPr>
      <w:bookmarkStart w:id="94" w:name="_Ref506197561"/>
      <w:bookmarkStart w:id="95" w:name="_Toc508396843"/>
      <w:r w:rsidRPr="0016033A">
        <w:rPr>
          <w:color w:val="auto"/>
          <w:u w:val="single"/>
        </w:rPr>
        <w:t>Safety</w:t>
      </w:r>
    </w:p>
    <w:p w14:paraId="6038001B" w14:textId="77777777" w:rsidR="0016033A" w:rsidRPr="0034017B" w:rsidRDefault="0016033A" w:rsidP="00C21496">
      <w:pPr>
        <w:jc w:val="left"/>
      </w:pPr>
      <w:r>
        <w:t>Four</w:t>
      </w:r>
      <w:r w:rsidRPr="0034017B">
        <w:t xml:space="preserve"> RCTs reported on the comparative safety of treatment with a PDE-5 inhibitor plus a</w:t>
      </w:r>
      <w:r>
        <w:t>n</w:t>
      </w:r>
      <w:r w:rsidRPr="0034017B">
        <w:t xml:space="preserve"> ERA compared with a</w:t>
      </w:r>
      <w:r>
        <w:t>n</w:t>
      </w:r>
      <w:r w:rsidRPr="0034017B">
        <w:t xml:space="preserve"> </w:t>
      </w:r>
      <w:r>
        <w:t>ERA</w:t>
      </w:r>
      <w:r w:rsidRPr="0034017B">
        <w:t xml:space="preserve"> alone in any patient with PAH:</w:t>
      </w:r>
    </w:p>
    <w:p w14:paraId="5F68F42F" w14:textId="77777777" w:rsidR="0016033A" w:rsidRPr="0034017B" w:rsidRDefault="0016033A" w:rsidP="00C21496">
      <w:pPr>
        <w:pStyle w:val="Bullettext"/>
        <w:ind w:left="720"/>
      </w:pPr>
      <w:r>
        <w:t>PHIRST, AMBITION, Vizza 2017</w:t>
      </w:r>
      <w:r w:rsidRPr="00CF209C">
        <w:t xml:space="preserve"> and </w:t>
      </w:r>
      <w:r>
        <w:t>Zhuang 2014</w:t>
      </w:r>
    </w:p>
    <w:p w14:paraId="586C89E3" w14:textId="77777777" w:rsidR="0016033A" w:rsidRPr="0034017B" w:rsidRDefault="0016033A" w:rsidP="00C21496">
      <w:pPr>
        <w:pStyle w:val="Bullettext"/>
        <w:ind w:left="720"/>
      </w:pPr>
      <w:r w:rsidRPr="00B96C6F">
        <w:t xml:space="preserve">There were no new </w:t>
      </w:r>
      <w:r>
        <w:t>safety signals identified</w:t>
      </w:r>
      <w:r w:rsidRPr="0034017B">
        <w:t>.</w:t>
      </w:r>
    </w:p>
    <w:p w14:paraId="56F2A8FF" w14:textId="77777777" w:rsidR="0016033A" w:rsidRPr="0034017B" w:rsidRDefault="0016033A" w:rsidP="00C21496">
      <w:pPr>
        <w:jc w:val="left"/>
      </w:pPr>
      <w:r w:rsidRPr="0034017B">
        <w:t>The evidence provided by these trials for all PAH patients is summarised in</w:t>
      </w:r>
      <w:r>
        <w:t xml:space="preserve"> </w:t>
      </w:r>
      <w:r w:rsidR="00CC79E1">
        <w:t>Table ES.</w:t>
      </w:r>
      <w:r w:rsidR="00CC79E1">
        <w:rPr>
          <w:noProof/>
        </w:rPr>
        <w:t>14</w:t>
      </w:r>
      <w:r w:rsidRPr="0034017B">
        <w:t>.</w:t>
      </w:r>
    </w:p>
    <w:p w14:paraId="364A2F2E" w14:textId="77777777" w:rsidR="001F2E47" w:rsidRDefault="0016033A" w:rsidP="00C21496">
      <w:pPr>
        <w:jc w:val="left"/>
      </w:pPr>
      <w:r>
        <w:t xml:space="preserve">Overall, </w:t>
      </w:r>
      <w:r w:rsidRPr="001E5DED">
        <w:t xml:space="preserve">the use of a PDE-5 inhibitor in addition to </w:t>
      </w:r>
      <w:r>
        <w:t xml:space="preserve">an </w:t>
      </w:r>
      <w:r w:rsidRPr="001E5DED">
        <w:t xml:space="preserve">ERA </w:t>
      </w:r>
      <w:r>
        <w:t xml:space="preserve">appears non-inferior to </w:t>
      </w:r>
      <w:r w:rsidRPr="001E5DED">
        <w:t>ERA monotherapy when treating PAH patients</w:t>
      </w:r>
      <w:r>
        <w:t xml:space="preserve"> overall, although there is possible safety concern for serious adverse events (AEs) in the subgroup of </w:t>
      </w:r>
      <w:r w:rsidRPr="001E5DED">
        <w:t>patients with PAH-CTD</w:t>
      </w:r>
      <w:r>
        <w:t>.</w:t>
      </w:r>
    </w:p>
    <w:p w14:paraId="5700CACE" w14:textId="77777777" w:rsidR="008B580D" w:rsidRPr="008B580D" w:rsidRDefault="008B580D" w:rsidP="00C21496">
      <w:pPr>
        <w:pStyle w:val="Caption"/>
        <w:jc w:val="left"/>
      </w:pPr>
      <w:bookmarkStart w:id="96" w:name="_Ref511118835"/>
      <w:bookmarkStart w:id="97" w:name="_Toc38372133"/>
      <w:bookmarkEnd w:id="94"/>
      <w:bookmarkEnd w:id="95"/>
      <w:r>
        <w:t>Table ES.</w:t>
      </w:r>
      <w:r w:rsidR="00CC79E1">
        <w:rPr>
          <w:noProof/>
        </w:rPr>
        <w:t>14</w:t>
      </w:r>
      <w:bookmarkEnd w:id="96"/>
      <w:r>
        <w:tab/>
      </w:r>
      <w:r w:rsidRPr="009F466A">
        <w:t>Summary of the evidence for the safety of a PDE-5 inhibitor in addition to an ERA, relative to ERA monotherapy</w:t>
      </w:r>
      <w:bookmarkEnd w:id="97"/>
    </w:p>
    <w:tbl>
      <w:tblPr>
        <w:tblStyle w:val="TableGrid"/>
        <w:tblW w:w="9634" w:type="dxa"/>
        <w:tblLayout w:type="fixed"/>
        <w:tblLook w:val="04A0" w:firstRow="1" w:lastRow="0" w:firstColumn="1" w:lastColumn="0" w:noHBand="0" w:noVBand="1"/>
        <w:tblCaption w:val="Summary of the evidence for the safety of a PDE-5 inhibitor in addition to an ERA, relative to ERA monotherapy"/>
      </w:tblPr>
      <w:tblGrid>
        <w:gridCol w:w="1696"/>
        <w:gridCol w:w="2098"/>
        <w:gridCol w:w="142"/>
        <w:gridCol w:w="5698"/>
      </w:tblGrid>
      <w:tr w:rsidR="00321DBE" w:rsidRPr="009F466A" w14:paraId="49E3FAF6" w14:textId="77777777" w:rsidTr="008979BD">
        <w:trPr>
          <w:tblHead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712B88" w14:textId="77777777" w:rsidR="00321DBE" w:rsidRPr="00A4053B" w:rsidRDefault="00321DBE" w:rsidP="00C21496">
            <w:pPr>
              <w:pStyle w:val="Tabletext"/>
              <w:rPr>
                <w:b/>
              </w:rPr>
            </w:pPr>
            <w:r w:rsidRPr="00A4053B">
              <w:rPr>
                <w:b/>
              </w:rPr>
              <w:t>Outcome</w:t>
            </w:r>
          </w:p>
        </w:tc>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FF36D" w14:textId="77777777" w:rsidR="00321DBE" w:rsidRPr="00A4053B" w:rsidRDefault="00321DBE" w:rsidP="00C21496">
            <w:pPr>
              <w:pStyle w:val="Tabletext"/>
              <w:rPr>
                <w:b/>
              </w:rPr>
            </w:pPr>
            <w:r w:rsidRPr="00A4053B">
              <w:rPr>
                <w:b/>
              </w:rPr>
              <w:t xml:space="preserve">Included trials </w:t>
            </w:r>
          </w:p>
          <w:p w14:paraId="574A491B" w14:textId="77777777" w:rsidR="00321DBE" w:rsidRPr="00A4053B" w:rsidRDefault="00321DBE" w:rsidP="00C21496">
            <w:pPr>
              <w:pStyle w:val="Tabletext"/>
              <w:rPr>
                <w:b/>
              </w:rPr>
            </w:pPr>
            <w:r w:rsidRPr="00A4053B">
              <w:rPr>
                <w:b/>
              </w:rPr>
              <w:t>No. of patients</w:t>
            </w:r>
          </w:p>
        </w:tc>
        <w:tc>
          <w:tcPr>
            <w:tcW w:w="58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E3669A" w14:textId="77777777" w:rsidR="00321DBE" w:rsidRPr="00A4053B" w:rsidRDefault="00321DBE" w:rsidP="00C21496">
            <w:pPr>
              <w:pStyle w:val="Tabletext"/>
              <w:rPr>
                <w:b/>
              </w:rPr>
            </w:pPr>
            <w:r w:rsidRPr="00A4053B">
              <w:rPr>
                <w:b/>
              </w:rPr>
              <w:t>Summary of evidence</w:t>
            </w:r>
          </w:p>
        </w:tc>
      </w:tr>
      <w:tr w:rsidR="00321DBE" w:rsidRPr="009F466A" w14:paraId="35A915E5" w14:textId="77777777" w:rsidTr="00321DBE">
        <w:tc>
          <w:tcPr>
            <w:tcW w:w="9634" w:type="dxa"/>
            <w:gridSpan w:val="4"/>
            <w:tcBorders>
              <w:top w:val="nil"/>
              <w:left w:val="single" w:sz="4" w:space="0" w:color="auto"/>
              <w:bottom w:val="single" w:sz="4" w:space="0" w:color="auto"/>
              <w:right w:val="single" w:sz="4" w:space="0" w:color="auto"/>
            </w:tcBorders>
            <w:shd w:val="clear" w:color="auto" w:fill="000000"/>
          </w:tcPr>
          <w:p w14:paraId="4A1F811D" w14:textId="77777777" w:rsidR="00321DBE" w:rsidRPr="00532B79" w:rsidRDefault="00321DBE" w:rsidP="00C21496">
            <w:pPr>
              <w:pStyle w:val="Tabletext"/>
            </w:pPr>
            <w:r w:rsidRPr="00532B79">
              <w:t>All PAH patients</w:t>
            </w:r>
          </w:p>
        </w:tc>
      </w:tr>
      <w:tr w:rsidR="00321DBE" w:rsidRPr="009F466A" w14:paraId="12488837" w14:textId="77777777" w:rsidTr="00AA4B84">
        <w:tc>
          <w:tcPr>
            <w:tcW w:w="1696" w:type="dxa"/>
            <w:tcBorders>
              <w:top w:val="single" w:sz="4" w:space="0" w:color="auto"/>
              <w:left w:val="single" w:sz="4" w:space="0" w:color="auto"/>
              <w:bottom w:val="single" w:sz="4" w:space="0" w:color="auto"/>
              <w:right w:val="single" w:sz="4" w:space="0" w:color="auto"/>
            </w:tcBorders>
          </w:tcPr>
          <w:p w14:paraId="32B9BC4C" w14:textId="77777777" w:rsidR="00321DBE" w:rsidRPr="00532B79" w:rsidRDefault="00321DBE" w:rsidP="00C21496">
            <w:pPr>
              <w:pStyle w:val="Tabletext"/>
            </w:pPr>
            <w:r w:rsidRPr="00532B79">
              <w:t>Any AE</w:t>
            </w:r>
          </w:p>
        </w:tc>
        <w:tc>
          <w:tcPr>
            <w:tcW w:w="2240" w:type="dxa"/>
            <w:gridSpan w:val="2"/>
            <w:tcBorders>
              <w:top w:val="single" w:sz="4" w:space="0" w:color="auto"/>
              <w:left w:val="single" w:sz="4" w:space="0" w:color="auto"/>
              <w:bottom w:val="single" w:sz="4" w:space="0" w:color="auto"/>
              <w:right w:val="single" w:sz="4" w:space="0" w:color="auto"/>
            </w:tcBorders>
          </w:tcPr>
          <w:p w14:paraId="1A797BBD" w14:textId="77777777" w:rsidR="00321DBE" w:rsidRPr="00532B79" w:rsidRDefault="00321DBE" w:rsidP="00C21496">
            <w:pPr>
              <w:pStyle w:val="Tabletext"/>
            </w:pPr>
            <w:r w:rsidRPr="00532B79">
              <w:t>PHIRST (tadalafil/bosentan)</w:t>
            </w:r>
          </w:p>
          <w:p w14:paraId="418CCA1E" w14:textId="77777777" w:rsidR="00321DBE" w:rsidRPr="00532B79" w:rsidRDefault="00321DBE" w:rsidP="00C21496">
            <w:pPr>
              <w:pStyle w:val="Tabletext"/>
            </w:pPr>
            <w:r w:rsidRPr="00532B79">
              <w:t xml:space="preserve">Vizza 2017 (sildenafil/bosentan) </w:t>
            </w:r>
          </w:p>
          <w:p w14:paraId="5132AD2D" w14:textId="77777777" w:rsidR="00321DBE" w:rsidRPr="00532B79" w:rsidRDefault="00321DBE" w:rsidP="00C21496">
            <w:pPr>
              <w:pStyle w:val="Tabletext"/>
            </w:pPr>
            <w:r w:rsidRPr="00532B79">
              <w:t>N=190</w:t>
            </w:r>
          </w:p>
        </w:tc>
        <w:tc>
          <w:tcPr>
            <w:tcW w:w="5698" w:type="dxa"/>
            <w:tcBorders>
              <w:top w:val="single" w:sz="4" w:space="0" w:color="auto"/>
              <w:left w:val="single" w:sz="4" w:space="0" w:color="auto"/>
              <w:bottom w:val="single" w:sz="4" w:space="0" w:color="auto"/>
              <w:right w:val="single" w:sz="4" w:space="0" w:color="auto"/>
            </w:tcBorders>
          </w:tcPr>
          <w:p w14:paraId="202A6DBE" w14:textId="3A44FF78"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16C0D610" w14:textId="77777777" w:rsidR="00321DBE" w:rsidRPr="00532B79" w:rsidRDefault="00321DBE" w:rsidP="00C21496">
            <w:pPr>
              <w:pStyle w:val="Tabletext"/>
            </w:pPr>
            <w:r w:rsidRPr="00532B79">
              <w:t>The proportion of patients who had any AE was similar for both the combination therapy and monotherapy arms (pooled RR = 1.00; 95% CI 0.79, 1.27)</w:t>
            </w:r>
          </w:p>
          <w:p w14:paraId="7EE0D496" w14:textId="77777777" w:rsidR="00321DBE" w:rsidRPr="00532B79" w:rsidRDefault="00321DBE" w:rsidP="00C21496">
            <w:pPr>
              <w:pStyle w:val="Tabletext"/>
            </w:pPr>
            <w:r w:rsidRPr="00532B79">
              <w:t>There were no significant differences in treatment effectiveness for the different treatment combinations</w:t>
            </w:r>
          </w:p>
        </w:tc>
      </w:tr>
      <w:tr w:rsidR="00321DBE" w:rsidRPr="009F466A" w14:paraId="6540D3E8" w14:textId="77777777" w:rsidTr="00AA4B84">
        <w:tc>
          <w:tcPr>
            <w:tcW w:w="1696" w:type="dxa"/>
          </w:tcPr>
          <w:p w14:paraId="039E5411" w14:textId="77777777" w:rsidR="00321DBE" w:rsidRPr="00532B79" w:rsidRDefault="00321DBE" w:rsidP="00C21496">
            <w:pPr>
              <w:pStyle w:val="Tabletext"/>
            </w:pPr>
            <w:r w:rsidRPr="00532B79">
              <w:t>Serious AEs</w:t>
            </w:r>
          </w:p>
        </w:tc>
        <w:tc>
          <w:tcPr>
            <w:tcW w:w="2240" w:type="dxa"/>
            <w:gridSpan w:val="2"/>
            <w:tcBorders>
              <w:top w:val="single" w:sz="4" w:space="0" w:color="auto"/>
              <w:left w:val="single" w:sz="4" w:space="0" w:color="auto"/>
              <w:bottom w:val="single" w:sz="4" w:space="0" w:color="auto"/>
              <w:right w:val="single" w:sz="4" w:space="0" w:color="auto"/>
            </w:tcBorders>
          </w:tcPr>
          <w:p w14:paraId="6C0BB87C" w14:textId="77777777" w:rsidR="00321DBE" w:rsidRPr="00532B79" w:rsidRDefault="00321DBE" w:rsidP="00C21496">
            <w:pPr>
              <w:pStyle w:val="Tabletext"/>
            </w:pPr>
            <w:r w:rsidRPr="00532B79">
              <w:t>AMBITION (tadalafil/ambrisentan)</w:t>
            </w:r>
          </w:p>
          <w:p w14:paraId="18B1629D" w14:textId="77777777" w:rsidR="00321DBE" w:rsidRPr="00532B79" w:rsidRDefault="00321DBE" w:rsidP="00C21496">
            <w:pPr>
              <w:pStyle w:val="Tabletext"/>
            </w:pPr>
            <w:r w:rsidRPr="00532B79">
              <w:t xml:space="preserve">Vizza 2017 (sildenafil/bosentan) </w:t>
            </w:r>
          </w:p>
          <w:p w14:paraId="6820D45C" w14:textId="77777777" w:rsidR="00321DBE" w:rsidRPr="00532B79" w:rsidRDefault="00321DBE" w:rsidP="00C21496">
            <w:pPr>
              <w:pStyle w:val="Tabletext"/>
            </w:pPr>
            <w:r w:rsidRPr="00532B79">
              <w:t>N=482</w:t>
            </w:r>
          </w:p>
        </w:tc>
        <w:tc>
          <w:tcPr>
            <w:tcW w:w="5698" w:type="dxa"/>
          </w:tcPr>
          <w:p w14:paraId="4E7FB785" w14:textId="14501482"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14B04AF3" w14:textId="77777777" w:rsidR="00321DBE" w:rsidRPr="00532B79" w:rsidRDefault="00321DBE" w:rsidP="00C21496">
            <w:pPr>
              <w:pStyle w:val="Tabletext"/>
            </w:pPr>
            <w:r w:rsidRPr="00532B79">
              <w:t>The proportion of patients who had a serious AE was similar for both the combination therapy and monotherapy arms (pooled RR = 0.99; 95% CI 0.76, 1.29)</w:t>
            </w:r>
          </w:p>
          <w:p w14:paraId="4A3819C1" w14:textId="77777777" w:rsidR="00321DBE" w:rsidRPr="00532B79" w:rsidRDefault="00321DBE" w:rsidP="00C21496">
            <w:pPr>
              <w:pStyle w:val="Tabletext"/>
            </w:pPr>
            <w:r w:rsidRPr="00532B79">
              <w:t>There were no significant differences in treatment effectiveness for the different treatment combinations</w:t>
            </w:r>
          </w:p>
        </w:tc>
      </w:tr>
      <w:tr w:rsidR="00321DBE" w:rsidRPr="009F466A" w14:paraId="18C2F90F" w14:textId="77777777" w:rsidTr="00AA4B84">
        <w:tc>
          <w:tcPr>
            <w:tcW w:w="1696" w:type="dxa"/>
          </w:tcPr>
          <w:p w14:paraId="030E6079" w14:textId="77777777" w:rsidR="00321DBE" w:rsidRPr="00532B79" w:rsidRDefault="00321DBE" w:rsidP="00C21496">
            <w:pPr>
              <w:pStyle w:val="Tabletext"/>
            </w:pPr>
            <w:r w:rsidRPr="00532B79">
              <w:t>AEs leading to treatment discontinuation</w:t>
            </w:r>
          </w:p>
        </w:tc>
        <w:tc>
          <w:tcPr>
            <w:tcW w:w="2240" w:type="dxa"/>
            <w:gridSpan w:val="2"/>
            <w:tcBorders>
              <w:top w:val="single" w:sz="4" w:space="0" w:color="auto"/>
              <w:left w:val="single" w:sz="4" w:space="0" w:color="auto"/>
              <w:bottom w:val="single" w:sz="4" w:space="0" w:color="auto"/>
              <w:right w:val="single" w:sz="4" w:space="0" w:color="auto"/>
            </w:tcBorders>
          </w:tcPr>
          <w:p w14:paraId="5997B8BA" w14:textId="77777777" w:rsidR="00321DBE" w:rsidRPr="00532B79" w:rsidRDefault="00321DBE" w:rsidP="00C21496">
            <w:pPr>
              <w:pStyle w:val="Tabletext"/>
            </w:pPr>
            <w:r w:rsidRPr="00532B79">
              <w:t>AMBITION (tadalafil/ambrisentan)</w:t>
            </w:r>
          </w:p>
          <w:p w14:paraId="2C96AF4F" w14:textId="77777777" w:rsidR="00321DBE" w:rsidRPr="00532B79" w:rsidRDefault="00321DBE" w:rsidP="00C21496">
            <w:pPr>
              <w:pStyle w:val="Tabletext"/>
            </w:pPr>
            <w:r w:rsidRPr="00532B79">
              <w:t xml:space="preserve">Zhuang 2014 (tadalafil/ambrisentan) </w:t>
            </w:r>
          </w:p>
          <w:p w14:paraId="2BD03E38" w14:textId="77777777" w:rsidR="00321DBE" w:rsidRPr="00532B79" w:rsidRDefault="00321DBE" w:rsidP="00C21496">
            <w:pPr>
              <w:pStyle w:val="Tabletext"/>
            </w:pPr>
            <w:r w:rsidRPr="00532B79">
              <w:t>N=503</w:t>
            </w:r>
          </w:p>
        </w:tc>
        <w:tc>
          <w:tcPr>
            <w:tcW w:w="5698" w:type="dxa"/>
            <w:tcBorders>
              <w:top w:val="single" w:sz="4" w:space="0" w:color="auto"/>
              <w:left w:val="single" w:sz="4" w:space="0" w:color="auto"/>
              <w:bottom w:val="single" w:sz="4" w:space="0" w:color="auto"/>
              <w:right w:val="single" w:sz="4" w:space="0" w:color="auto"/>
            </w:tcBorders>
          </w:tcPr>
          <w:p w14:paraId="6EEFBFFC" w14:textId="3CF1430A" w:rsidR="00321DBE" w:rsidRPr="00532B79" w:rsidRDefault="00321DBE" w:rsidP="00C21496">
            <w:pPr>
              <w:pStyle w:val="Tabletext"/>
            </w:pPr>
            <w:r w:rsidRPr="00532B79">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7EA517FC" w14:textId="77777777" w:rsidR="00321DBE" w:rsidRPr="00532B79" w:rsidRDefault="00321DBE" w:rsidP="00C21496">
            <w:pPr>
              <w:pStyle w:val="Tabletext"/>
            </w:pPr>
            <w:r w:rsidRPr="00532B79">
              <w:t>More patients had an AE leading to treatment discontinuation with combination therapy compared with monotherapy, but the 95% CI indicates that there could also be an effect in the opposite direction (pooled RR = 1.65; 95% CI 0.35, 7.81)</w:t>
            </w:r>
          </w:p>
          <w:p w14:paraId="1E961F0D" w14:textId="77777777" w:rsidR="00321DBE" w:rsidRDefault="00321DBE" w:rsidP="00C21496">
            <w:pPr>
              <w:pStyle w:val="Tabletext"/>
            </w:pPr>
            <w:r w:rsidRPr="00532B79">
              <w:t>There were no significant differences in treatment effectiveness for the different treatment combinations</w:t>
            </w:r>
          </w:p>
          <w:p w14:paraId="0031FCFC" w14:textId="77777777" w:rsidR="00AA35AB" w:rsidRPr="00532B79" w:rsidRDefault="00AA35AB" w:rsidP="00C21496">
            <w:pPr>
              <w:pStyle w:val="Tabletext"/>
            </w:pPr>
          </w:p>
        </w:tc>
      </w:tr>
      <w:tr w:rsidR="00321DBE" w:rsidRPr="009F466A" w14:paraId="5512657E" w14:textId="77777777" w:rsidTr="00321DBE">
        <w:tc>
          <w:tcPr>
            <w:tcW w:w="9634" w:type="dxa"/>
            <w:gridSpan w:val="4"/>
            <w:tcBorders>
              <w:top w:val="nil"/>
              <w:left w:val="single" w:sz="4" w:space="0" w:color="auto"/>
              <w:bottom w:val="single" w:sz="4" w:space="0" w:color="auto"/>
              <w:right w:val="single" w:sz="4" w:space="0" w:color="auto"/>
            </w:tcBorders>
            <w:shd w:val="clear" w:color="auto" w:fill="000000"/>
          </w:tcPr>
          <w:p w14:paraId="0AD9800F" w14:textId="77777777" w:rsidR="00321DBE" w:rsidRPr="00532B79" w:rsidRDefault="00321DBE" w:rsidP="00C21496">
            <w:pPr>
              <w:pStyle w:val="Tabletext"/>
            </w:pPr>
            <w:r w:rsidRPr="00532B79">
              <w:lastRenderedPageBreak/>
              <w:t>Patients with PAH-CTD</w:t>
            </w:r>
          </w:p>
        </w:tc>
      </w:tr>
      <w:tr w:rsidR="00321DBE" w:rsidRPr="009F466A" w14:paraId="1C827B8C" w14:textId="77777777" w:rsidTr="008F752B">
        <w:tc>
          <w:tcPr>
            <w:tcW w:w="1696" w:type="dxa"/>
            <w:tcBorders>
              <w:top w:val="single" w:sz="4" w:space="0" w:color="auto"/>
              <w:left w:val="single" w:sz="4" w:space="0" w:color="auto"/>
              <w:bottom w:val="single" w:sz="4" w:space="0" w:color="auto"/>
              <w:right w:val="single" w:sz="4" w:space="0" w:color="auto"/>
            </w:tcBorders>
          </w:tcPr>
          <w:p w14:paraId="3DCC7EF4" w14:textId="77777777" w:rsidR="00321DBE" w:rsidRPr="00532B79" w:rsidRDefault="00321DBE" w:rsidP="00C21496">
            <w:pPr>
              <w:pStyle w:val="Tabletext"/>
            </w:pPr>
            <w:r w:rsidRPr="00532B79">
              <w:t xml:space="preserve">Any AE </w:t>
            </w:r>
          </w:p>
        </w:tc>
        <w:tc>
          <w:tcPr>
            <w:tcW w:w="2240" w:type="dxa"/>
            <w:gridSpan w:val="2"/>
            <w:tcBorders>
              <w:top w:val="single" w:sz="4" w:space="0" w:color="auto"/>
              <w:left w:val="single" w:sz="4" w:space="0" w:color="auto"/>
              <w:bottom w:val="single" w:sz="4" w:space="0" w:color="auto"/>
              <w:right w:val="single" w:sz="4" w:space="0" w:color="auto"/>
            </w:tcBorders>
          </w:tcPr>
          <w:p w14:paraId="692F1D12" w14:textId="77777777" w:rsidR="00321DBE" w:rsidRPr="00532B79" w:rsidRDefault="00321DBE" w:rsidP="00C21496">
            <w:pPr>
              <w:pStyle w:val="Tabletext"/>
            </w:pPr>
            <w:r w:rsidRPr="00532B79">
              <w:t xml:space="preserve">AMBITION (tadalafil/ambrisentan) </w:t>
            </w:r>
          </w:p>
          <w:p w14:paraId="4F7B31DA" w14:textId="77777777" w:rsidR="00321DBE" w:rsidRPr="00532B79" w:rsidRDefault="00321DBE" w:rsidP="00C21496">
            <w:pPr>
              <w:pStyle w:val="Tabletext"/>
            </w:pPr>
            <w:r w:rsidRPr="00532B79">
              <w:t>N=146</w:t>
            </w:r>
          </w:p>
        </w:tc>
        <w:tc>
          <w:tcPr>
            <w:tcW w:w="5698" w:type="dxa"/>
            <w:tcBorders>
              <w:top w:val="single" w:sz="4" w:space="0" w:color="auto"/>
              <w:left w:val="single" w:sz="4" w:space="0" w:color="auto"/>
              <w:bottom w:val="single" w:sz="4" w:space="0" w:color="auto"/>
              <w:right w:val="single" w:sz="4" w:space="0" w:color="auto"/>
            </w:tcBorders>
          </w:tcPr>
          <w:p w14:paraId="44344AC4" w14:textId="0204020A"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2525217D" w14:textId="77777777" w:rsidR="00321DBE" w:rsidRPr="00532B79" w:rsidRDefault="00321DBE" w:rsidP="00C21496">
            <w:pPr>
              <w:pStyle w:val="Tabletext"/>
            </w:pPr>
            <w:r w:rsidRPr="00532B79">
              <w:t>The proportion of patients who had any AE was similar for both the combination therapy and monotherapy arms (RR = 1.04; 95% CI 0.97, 1.11)</w:t>
            </w:r>
          </w:p>
        </w:tc>
      </w:tr>
      <w:tr w:rsidR="00321DBE" w:rsidRPr="009F466A" w14:paraId="475E4B96" w14:textId="77777777" w:rsidTr="008F752B">
        <w:tc>
          <w:tcPr>
            <w:tcW w:w="1696" w:type="dxa"/>
          </w:tcPr>
          <w:p w14:paraId="54CA7A1B" w14:textId="77777777" w:rsidR="00321DBE" w:rsidRPr="00532B79" w:rsidRDefault="00321DBE" w:rsidP="00C21496">
            <w:pPr>
              <w:pStyle w:val="Tabletext"/>
            </w:pPr>
            <w:r w:rsidRPr="00532B79">
              <w:t>Serious AEs</w:t>
            </w:r>
          </w:p>
        </w:tc>
        <w:tc>
          <w:tcPr>
            <w:tcW w:w="2240" w:type="dxa"/>
            <w:gridSpan w:val="2"/>
            <w:tcBorders>
              <w:top w:val="single" w:sz="4" w:space="0" w:color="auto"/>
              <w:left w:val="single" w:sz="4" w:space="0" w:color="auto"/>
              <w:bottom w:val="single" w:sz="4" w:space="0" w:color="auto"/>
              <w:right w:val="single" w:sz="4" w:space="0" w:color="auto"/>
            </w:tcBorders>
          </w:tcPr>
          <w:p w14:paraId="76BB4C40" w14:textId="77777777" w:rsidR="00321DBE" w:rsidRPr="00532B79" w:rsidRDefault="00321DBE" w:rsidP="00C21496">
            <w:pPr>
              <w:pStyle w:val="Tabletext"/>
            </w:pPr>
            <w:r w:rsidRPr="00532B79">
              <w:t xml:space="preserve">AMBITION (tadalafil/ambrisentan) </w:t>
            </w:r>
          </w:p>
          <w:p w14:paraId="0A69296A" w14:textId="77777777" w:rsidR="00321DBE" w:rsidRPr="00532B79" w:rsidRDefault="00321DBE" w:rsidP="00C21496">
            <w:pPr>
              <w:pStyle w:val="Tabletext"/>
            </w:pPr>
            <w:r w:rsidRPr="00532B79">
              <w:t>N=146</w:t>
            </w:r>
          </w:p>
        </w:tc>
        <w:tc>
          <w:tcPr>
            <w:tcW w:w="5698" w:type="dxa"/>
          </w:tcPr>
          <w:p w14:paraId="7F668C37" w14:textId="592F779E"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1C1E097A" w14:textId="77777777" w:rsidR="00321DBE" w:rsidRPr="00532B79" w:rsidRDefault="00321DBE" w:rsidP="00C21496">
            <w:pPr>
              <w:pStyle w:val="Tabletext"/>
            </w:pPr>
            <w:r w:rsidRPr="00532B79">
              <w:t>More patients had a serious AE with combination therapy compared with monotherapy, but the 95% CI indicates that there could also be an effect in the opposite direction (RR = 1.28; 95% CI 0.80, 2.04)</w:t>
            </w:r>
          </w:p>
        </w:tc>
      </w:tr>
      <w:tr w:rsidR="00321DBE" w:rsidRPr="009F466A" w14:paraId="2E553269" w14:textId="77777777" w:rsidTr="008F752B">
        <w:tc>
          <w:tcPr>
            <w:tcW w:w="1696" w:type="dxa"/>
          </w:tcPr>
          <w:p w14:paraId="07869129" w14:textId="77777777" w:rsidR="00321DBE" w:rsidRPr="00532B79" w:rsidRDefault="00321DBE" w:rsidP="00C21496">
            <w:pPr>
              <w:pStyle w:val="Tabletext"/>
            </w:pPr>
            <w:r w:rsidRPr="00532B79">
              <w:t>AEs leading to treatment discontinuation</w:t>
            </w:r>
          </w:p>
        </w:tc>
        <w:tc>
          <w:tcPr>
            <w:tcW w:w="2240" w:type="dxa"/>
            <w:gridSpan w:val="2"/>
            <w:tcBorders>
              <w:top w:val="single" w:sz="4" w:space="0" w:color="auto"/>
              <w:left w:val="single" w:sz="4" w:space="0" w:color="auto"/>
              <w:bottom w:val="single" w:sz="4" w:space="0" w:color="auto"/>
              <w:right w:val="single" w:sz="4" w:space="0" w:color="auto"/>
            </w:tcBorders>
          </w:tcPr>
          <w:p w14:paraId="507B994D" w14:textId="77777777" w:rsidR="00321DBE" w:rsidRPr="00532B79" w:rsidRDefault="00321DBE" w:rsidP="00C21496">
            <w:pPr>
              <w:pStyle w:val="Tabletext"/>
            </w:pPr>
            <w:r w:rsidRPr="00532B79">
              <w:t xml:space="preserve">AMBITION (tadalafil/ambrisentan) </w:t>
            </w:r>
          </w:p>
          <w:p w14:paraId="30B4FCC9" w14:textId="77777777" w:rsidR="00321DBE" w:rsidRPr="00532B79" w:rsidRDefault="00321DBE" w:rsidP="00C21496">
            <w:pPr>
              <w:pStyle w:val="Tabletext"/>
            </w:pPr>
            <w:r w:rsidRPr="00532B79">
              <w:t>N=146</w:t>
            </w:r>
          </w:p>
        </w:tc>
        <w:tc>
          <w:tcPr>
            <w:tcW w:w="5698" w:type="dxa"/>
            <w:tcBorders>
              <w:top w:val="single" w:sz="4" w:space="0" w:color="auto"/>
              <w:left w:val="single" w:sz="4" w:space="0" w:color="auto"/>
              <w:bottom w:val="single" w:sz="4" w:space="0" w:color="auto"/>
              <w:right w:val="single" w:sz="4" w:space="0" w:color="auto"/>
            </w:tcBorders>
          </w:tcPr>
          <w:p w14:paraId="2A526E62" w14:textId="31FF34F3"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37616464" w14:textId="77777777" w:rsidR="00321DBE" w:rsidRPr="00532B79" w:rsidRDefault="00321DBE" w:rsidP="00C21496">
            <w:pPr>
              <w:pStyle w:val="Tabletext"/>
            </w:pPr>
            <w:r w:rsidRPr="00532B79">
              <w:t>Fewer patients had an AE leading to treatment discontinuation with combination therapy compared with monotherapy, but the 95% CI indicates that there could also be an effect in the opposite direction (RR = 0.75; 95% CI 0.34, 1.65)</w:t>
            </w:r>
          </w:p>
        </w:tc>
      </w:tr>
    </w:tbl>
    <w:p w14:paraId="157BB712" w14:textId="77777777" w:rsidR="00321DBE" w:rsidRPr="00532B79" w:rsidRDefault="00321DBE" w:rsidP="00C21496">
      <w:pPr>
        <w:pStyle w:val="Tablenote"/>
        <w:jc w:val="left"/>
      </w:pPr>
      <w:r w:rsidRPr="00532B79">
        <w:t>AE = adverse event; CI = confidence interval; ERA = endothelin receptor antagonist; GRADE = grading of recommendations assessment, development and evaluation1; PAH = pulmonary arterial hypertension; PAH-CTD = PAH associated with connective tissue disease; PDE-5 = phosphodiesterase type-5; RR = relative risk</w:t>
      </w:r>
    </w:p>
    <w:p w14:paraId="462AE79C" w14:textId="77777777" w:rsidR="00321DBE" w:rsidRPr="009F466A" w:rsidRDefault="00321DBE" w:rsidP="00C21496">
      <w:pPr>
        <w:pStyle w:val="Heading4"/>
      </w:pPr>
      <w:r w:rsidRPr="009F466A">
        <w:t>PDE-5 inhibitor in addition to prostanoid</w:t>
      </w:r>
    </w:p>
    <w:p w14:paraId="77041CBE" w14:textId="77777777" w:rsidR="0016033A" w:rsidRPr="0016033A" w:rsidRDefault="0016033A" w:rsidP="00C21496">
      <w:pPr>
        <w:pStyle w:val="Heading5"/>
        <w:keepLines w:val="0"/>
        <w:numPr>
          <w:ilvl w:val="0"/>
          <w:numId w:val="0"/>
        </w:numPr>
        <w:spacing w:before="240"/>
        <w:jc w:val="left"/>
        <w:rPr>
          <w:color w:val="auto"/>
          <w:u w:val="single"/>
        </w:rPr>
      </w:pPr>
      <w:bookmarkStart w:id="98" w:name="_Ref506197499"/>
      <w:bookmarkStart w:id="99" w:name="_Toc508396844"/>
      <w:r w:rsidRPr="0016033A">
        <w:rPr>
          <w:color w:val="auto"/>
          <w:u w:val="single"/>
        </w:rPr>
        <w:t>Clinical effectiveness</w:t>
      </w:r>
    </w:p>
    <w:p w14:paraId="73CF9364" w14:textId="77777777" w:rsidR="0016033A" w:rsidRPr="00C77B6A" w:rsidRDefault="0016033A" w:rsidP="00C21496">
      <w:pPr>
        <w:spacing w:after="40"/>
        <w:jc w:val="left"/>
      </w:pPr>
      <w:r>
        <w:t>One</w:t>
      </w:r>
      <w:r w:rsidRPr="00C77B6A">
        <w:t xml:space="preserve"> RCT reported on the effectiveness of a </w:t>
      </w:r>
      <w:r w:rsidRPr="00BB4EA0">
        <w:t xml:space="preserve">PDE-5 inhibitor </w:t>
      </w:r>
      <w:r w:rsidRPr="00C77B6A">
        <w:t xml:space="preserve">in addition to </w:t>
      </w:r>
      <w:r>
        <w:t xml:space="preserve">a </w:t>
      </w:r>
      <w:r w:rsidRPr="00C77B6A">
        <w:t>prosta</w:t>
      </w:r>
      <w:r>
        <w:t>noid</w:t>
      </w:r>
      <w:r w:rsidRPr="00C77B6A">
        <w:t xml:space="preserve"> in treating PAH compared with place</w:t>
      </w:r>
      <w:r>
        <w:t>bo plus a prostanoid:</w:t>
      </w:r>
    </w:p>
    <w:p w14:paraId="7D565298" w14:textId="77777777" w:rsidR="0016033A" w:rsidRPr="00D103A9" w:rsidRDefault="0016033A" w:rsidP="00C21496">
      <w:pPr>
        <w:pStyle w:val="Bullettext"/>
        <w:ind w:left="720"/>
        <w:rPr>
          <w:bCs/>
        </w:rPr>
      </w:pPr>
      <w:r>
        <w:t>PACES</w:t>
      </w:r>
      <w:r w:rsidRPr="00C77B6A">
        <w:t>-</w:t>
      </w:r>
      <w:r>
        <w:t>1</w:t>
      </w:r>
      <w:r w:rsidRPr="00C77B6A">
        <w:t xml:space="preserve"> enrolled patients </w:t>
      </w:r>
      <w:r w:rsidRPr="00BB4EA0">
        <w:t xml:space="preserve">receiving long-term intravenous epoprostenol therapy to receive combination therapy with sildenafil plus epoprostenol </w:t>
      </w:r>
      <w:r>
        <w:t xml:space="preserve">or </w:t>
      </w:r>
      <w:r w:rsidRPr="00BB4EA0">
        <w:t xml:space="preserve">epoprostenol </w:t>
      </w:r>
      <w:r>
        <w:t>alone.</w:t>
      </w:r>
    </w:p>
    <w:p w14:paraId="73AB8761" w14:textId="77777777" w:rsidR="0016033A" w:rsidRDefault="0016033A" w:rsidP="00C21496">
      <w:pPr>
        <w:jc w:val="left"/>
      </w:pPr>
      <w:r>
        <w:t xml:space="preserve">The evidence provided by this trial for all PAH patients is summarised in </w:t>
      </w:r>
      <w:r w:rsidR="00CC79E1">
        <w:t>Table ES.</w:t>
      </w:r>
      <w:r w:rsidR="00CC79E1">
        <w:rPr>
          <w:noProof/>
        </w:rPr>
        <w:t>15</w:t>
      </w:r>
      <w:r>
        <w:t>.</w:t>
      </w:r>
    </w:p>
    <w:p w14:paraId="16757F50" w14:textId="77777777" w:rsidR="0016033A" w:rsidRDefault="0016033A" w:rsidP="00C21496">
      <w:pPr>
        <w:jc w:val="left"/>
      </w:pPr>
      <w:r>
        <w:t xml:space="preserve">Overall, </w:t>
      </w:r>
      <w:r w:rsidRPr="001E5DED">
        <w:t xml:space="preserve">the use of </w:t>
      </w:r>
      <w:r>
        <w:t xml:space="preserve">a </w:t>
      </w:r>
      <w:r w:rsidRPr="001E5DED">
        <w:t>PDE-5 inhibitor in addition to</w:t>
      </w:r>
      <w:r w:rsidRPr="006A201F">
        <w:t xml:space="preserve"> </w:t>
      </w:r>
      <w:r w:rsidRPr="001E5DED">
        <w:t xml:space="preserve">a </w:t>
      </w:r>
      <w:r>
        <w:t>prostanoid</w:t>
      </w:r>
      <w:r w:rsidRPr="001E5DED">
        <w:t xml:space="preserve">, relative to </w:t>
      </w:r>
      <w:r>
        <w:t>prostanoid</w:t>
      </w:r>
      <w:r w:rsidRPr="001E5DED">
        <w:t xml:space="preserve"> monotherapy</w:t>
      </w:r>
      <w:r>
        <w:t>,</w:t>
      </w:r>
      <w:r w:rsidRPr="001E5DED">
        <w:t xml:space="preserve"> to treat PAH patients is likely to be beneficial</w:t>
      </w:r>
      <w:r w:rsidR="00E660FD">
        <w:t>.</w:t>
      </w:r>
    </w:p>
    <w:p w14:paraId="34A1E945" w14:textId="77777777" w:rsidR="008B580D" w:rsidRPr="008B580D" w:rsidRDefault="008B580D" w:rsidP="00C21496">
      <w:pPr>
        <w:pStyle w:val="Caption"/>
        <w:jc w:val="left"/>
      </w:pPr>
      <w:bookmarkStart w:id="100" w:name="_Ref511118843"/>
      <w:bookmarkStart w:id="101" w:name="_Toc38372134"/>
      <w:bookmarkEnd w:id="98"/>
      <w:bookmarkEnd w:id="99"/>
      <w:r>
        <w:t>Table ES.</w:t>
      </w:r>
      <w:r w:rsidR="00CC79E1">
        <w:rPr>
          <w:noProof/>
        </w:rPr>
        <w:t>15</w:t>
      </w:r>
      <w:bookmarkEnd w:id="100"/>
      <w:r>
        <w:tab/>
      </w:r>
      <w:r w:rsidRPr="009F466A">
        <w:t>Summary of the evidence for the clinical effectiveness of a PDE-5 inhibitor in addition to a prostanoid, relative to prostanoid monotherapy</w:t>
      </w:r>
      <w:bookmarkEnd w:id="101"/>
    </w:p>
    <w:tbl>
      <w:tblPr>
        <w:tblStyle w:val="TableGrid"/>
        <w:tblW w:w="9634" w:type="dxa"/>
        <w:tblLook w:val="04A0" w:firstRow="1" w:lastRow="0" w:firstColumn="1" w:lastColumn="0" w:noHBand="0" w:noVBand="1"/>
        <w:tblCaption w:val="Summary of the evidence for the clinical effectiveness of a PDE-5 inhibitor in addition to a prostanoid, relative to prostanoid monotherapy"/>
      </w:tblPr>
      <w:tblGrid>
        <w:gridCol w:w="1573"/>
        <w:gridCol w:w="2340"/>
        <w:gridCol w:w="5721"/>
      </w:tblGrid>
      <w:tr w:rsidR="00321DBE" w:rsidRPr="009F466A" w14:paraId="4429EEA1"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EC14D" w14:textId="77777777" w:rsidR="00321DBE" w:rsidRPr="00A4053B" w:rsidRDefault="00321DBE" w:rsidP="00C21496">
            <w:pPr>
              <w:pStyle w:val="Tabletext"/>
              <w:rPr>
                <w:b/>
              </w:rPr>
            </w:pPr>
            <w:r w:rsidRPr="00A4053B">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CA7A85" w14:textId="77777777" w:rsidR="00321DBE" w:rsidRPr="00A4053B" w:rsidRDefault="00321DBE" w:rsidP="00C21496">
            <w:pPr>
              <w:pStyle w:val="Tabletext"/>
              <w:rPr>
                <w:b/>
              </w:rPr>
            </w:pPr>
            <w:r w:rsidRPr="00A4053B">
              <w:rPr>
                <w:b/>
              </w:rPr>
              <w:t xml:space="preserve">Included trials </w:t>
            </w:r>
          </w:p>
          <w:p w14:paraId="59CB0819" w14:textId="77777777" w:rsidR="00321DBE" w:rsidRPr="00A4053B" w:rsidRDefault="00321DBE" w:rsidP="00C21496">
            <w:pPr>
              <w:pStyle w:val="Tabletext"/>
              <w:rPr>
                <w:b/>
              </w:rPr>
            </w:pPr>
            <w:r w:rsidRPr="00A4053B">
              <w:rPr>
                <w:b/>
              </w:rPr>
              <w:t>No. of patients</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02815F" w14:textId="77777777" w:rsidR="00321DBE" w:rsidRPr="00A4053B" w:rsidRDefault="00321DBE" w:rsidP="00C21496">
            <w:pPr>
              <w:pStyle w:val="Tabletext"/>
              <w:rPr>
                <w:b/>
              </w:rPr>
            </w:pPr>
            <w:r w:rsidRPr="00A4053B">
              <w:rPr>
                <w:b/>
              </w:rPr>
              <w:t>Summary of evidence</w:t>
            </w:r>
          </w:p>
        </w:tc>
      </w:tr>
      <w:tr w:rsidR="00321DBE" w:rsidRPr="009F466A" w14:paraId="0240016E"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17B47D84" w14:textId="77777777" w:rsidR="00321DBE" w:rsidRPr="00532B79" w:rsidRDefault="00321DBE" w:rsidP="00C21496">
            <w:pPr>
              <w:pStyle w:val="Tabletext"/>
            </w:pPr>
            <w:r w:rsidRPr="00532B79">
              <w:t>All PAH patients</w:t>
            </w:r>
          </w:p>
        </w:tc>
      </w:tr>
      <w:tr w:rsidR="00321DBE" w:rsidRPr="009F466A" w14:paraId="2AFEB137" w14:textId="77777777" w:rsidTr="00321DBE">
        <w:tc>
          <w:tcPr>
            <w:tcW w:w="1555" w:type="dxa"/>
          </w:tcPr>
          <w:p w14:paraId="6C838F95" w14:textId="77777777" w:rsidR="00321DBE" w:rsidRPr="00532B79" w:rsidRDefault="00321DBE" w:rsidP="00C21496">
            <w:pPr>
              <w:pStyle w:val="Tabletext"/>
            </w:pPr>
            <w:r w:rsidRPr="00532B79">
              <w:t>Clinical worsening</w:t>
            </w:r>
          </w:p>
        </w:tc>
        <w:tc>
          <w:tcPr>
            <w:tcW w:w="1984" w:type="dxa"/>
            <w:tcBorders>
              <w:top w:val="single" w:sz="4" w:space="0" w:color="auto"/>
              <w:left w:val="single" w:sz="4" w:space="0" w:color="auto"/>
              <w:bottom w:val="single" w:sz="4" w:space="0" w:color="auto"/>
              <w:right w:val="single" w:sz="4" w:space="0" w:color="auto"/>
            </w:tcBorders>
          </w:tcPr>
          <w:p w14:paraId="0E2830EF" w14:textId="77777777" w:rsidR="00321DBE" w:rsidRPr="00532B79" w:rsidRDefault="00321DBE" w:rsidP="00C21496">
            <w:pPr>
              <w:pStyle w:val="Tabletext"/>
            </w:pPr>
            <w:r w:rsidRPr="00532B79">
              <w:t>PACES-1 (sildenafil/epoprostenol)</w:t>
            </w:r>
          </w:p>
          <w:p w14:paraId="36E9F74C" w14:textId="77777777" w:rsidR="00321DBE" w:rsidRPr="00532B79" w:rsidRDefault="00321DBE" w:rsidP="00C21496">
            <w:pPr>
              <w:pStyle w:val="Tabletext"/>
            </w:pPr>
            <w:r w:rsidRPr="00532B79">
              <w:t>N=265</w:t>
            </w:r>
          </w:p>
        </w:tc>
        <w:tc>
          <w:tcPr>
            <w:tcW w:w="6095" w:type="dxa"/>
          </w:tcPr>
          <w:p w14:paraId="48C0FA79" w14:textId="2BB30005"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2E55C1F5" w14:textId="77777777" w:rsidR="00321DBE" w:rsidRPr="00532B79" w:rsidRDefault="00321DBE" w:rsidP="00C21496">
            <w:pPr>
              <w:pStyle w:val="Tabletext"/>
            </w:pPr>
            <w:r w:rsidRPr="00532B79">
              <w:t>Significantly fewer patients experienced clinical worsening of their PAH with combination therapy compared with monotherapy (RR = 0.33; 95% CI 0.15, 0.70)</w:t>
            </w:r>
          </w:p>
        </w:tc>
      </w:tr>
      <w:tr w:rsidR="00321DBE" w:rsidRPr="009F466A" w14:paraId="4E15B32E" w14:textId="77777777" w:rsidTr="00321DBE">
        <w:tc>
          <w:tcPr>
            <w:tcW w:w="1555" w:type="dxa"/>
          </w:tcPr>
          <w:p w14:paraId="07E16353" w14:textId="77777777" w:rsidR="00321DBE" w:rsidRPr="00532B79" w:rsidRDefault="00321DBE" w:rsidP="00C21496">
            <w:pPr>
              <w:pStyle w:val="Tabletext"/>
            </w:pPr>
            <w:r w:rsidRPr="00532B79">
              <w:t>All-cause mortality</w:t>
            </w:r>
          </w:p>
        </w:tc>
        <w:tc>
          <w:tcPr>
            <w:tcW w:w="1984" w:type="dxa"/>
            <w:tcBorders>
              <w:top w:val="single" w:sz="4" w:space="0" w:color="auto"/>
              <w:left w:val="single" w:sz="4" w:space="0" w:color="auto"/>
              <w:bottom w:val="single" w:sz="4" w:space="0" w:color="auto"/>
              <w:right w:val="single" w:sz="4" w:space="0" w:color="auto"/>
            </w:tcBorders>
          </w:tcPr>
          <w:p w14:paraId="6CAC208C" w14:textId="77777777" w:rsidR="00321DBE" w:rsidRPr="00532B79" w:rsidRDefault="00321DBE" w:rsidP="00C21496">
            <w:pPr>
              <w:pStyle w:val="Tabletext"/>
            </w:pPr>
            <w:r w:rsidRPr="00532B79">
              <w:t xml:space="preserve">PACES-1 (sildenafil/epoprostenol) </w:t>
            </w:r>
          </w:p>
          <w:p w14:paraId="226979F2" w14:textId="77777777" w:rsidR="00321DBE" w:rsidRPr="00532B79" w:rsidRDefault="00321DBE" w:rsidP="00C21496">
            <w:pPr>
              <w:pStyle w:val="Tabletext"/>
            </w:pPr>
            <w:r w:rsidRPr="00532B79">
              <w:t>N=265</w:t>
            </w:r>
          </w:p>
        </w:tc>
        <w:tc>
          <w:tcPr>
            <w:tcW w:w="6095" w:type="dxa"/>
          </w:tcPr>
          <w:p w14:paraId="4377FFB9" w14:textId="6775CB4C" w:rsidR="00321DBE" w:rsidRPr="00532B79" w:rsidRDefault="00321DBE" w:rsidP="00C21496">
            <w:pPr>
              <w:pStyle w:val="Tabletext"/>
            </w:pPr>
            <w:r w:rsidRPr="00532B79">
              <w:t xml:space="preserve">High quality evidence (GRADE </w:t>
            </w:r>
            <w:r w:rsidR="00C220DD" w:rsidRPr="00C220DD">
              <w:rPr>
                <w:rFonts w:ascii="Cambria Math" w:hAnsi="Cambria Math" w:cs="Cambria Math"/>
                <w:color w:val="00B050"/>
              </w:rPr>
              <w:t>⨁⨁⨁⨁</w:t>
            </w:r>
            <w:r w:rsidRPr="00532B79">
              <w:t>)</w:t>
            </w:r>
          </w:p>
          <w:p w14:paraId="6D9A28A2" w14:textId="77777777" w:rsidR="00321DBE" w:rsidRPr="00532B79" w:rsidRDefault="00321DBE" w:rsidP="00C21496">
            <w:pPr>
              <w:pStyle w:val="Tabletext"/>
            </w:pPr>
            <w:r w:rsidRPr="00532B79">
              <w:t>Significantly fewer patients died from any cause with combination therapy compared with monotherapy (ARD = −5.3%; 95% CI −9.2, −1.5)</w:t>
            </w:r>
          </w:p>
        </w:tc>
      </w:tr>
      <w:tr w:rsidR="00321DBE" w:rsidRPr="009F466A" w14:paraId="2CB4AA10" w14:textId="77777777" w:rsidTr="00321DBE">
        <w:tc>
          <w:tcPr>
            <w:tcW w:w="1555" w:type="dxa"/>
          </w:tcPr>
          <w:p w14:paraId="3187CDF1" w14:textId="77777777" w:rsidR="00321DBE" w:rsidRPr="00532B79" w:rsidRDefault="00321DBE" w:rsidP="00C21496">
            <w:pPr>
              <w:pStyle w:val="Tabletext"/>
            </w:pPr>
            <w:r w:rsidRPr="00532B79">
              <w:lastRenderedPageBreak/>
              <w:t>Hospitalisation due to worsening PAH</w:t>
            </w:r>
          </w:p>
        </w:tc>
        <w:tc>
          <w:tcPr>
            <w:tcW w:w="1984" w:type="dxa"/>
            <w:tcBorders>
              <w:top w:val="single" w:sz="4" w:space="0" w:color="auto"/>
              <w:left w:val="single" w:sz="4" w:space="0" w:color="auto"/>
              <w:bottom w:val="single" w:sz="4" w:space="0" w:color="auto"/>
              <w:right w:val="single" w:sz="4" w:space="0" w:color="auto"/>
            </w:tcBorders>
          </w:tcPr>
          <w:p w14:paraId="41F47569" w14:textId="77777777" w:rsidR="00321DBE" w:rsidRPr="00532B79" w:rsidRDefault="00321DBE" w:rsidP="00C21496">
            <w:pPr>
              <w:pStyle w:val="Tabletext"/>
            </w:pPr>
            <w:r w:rsidRPr="00532B79">
              <w:t xml:space="preserve">PACES-1 (sildenafil/epoprostenol) </w:t>
            </w:r>
          </w:p>
          <w:p w14:paraId="5A491555" w14:textId="77777777" w:rsidR="00321DBE" w:rsidRPr="00532B79" w:rsidRDefault="00321DBE" w:rsidP="00C21496">
            <w:pPr>
              <w:pStyle w:val="Tabletext"/>
            </w:pPr>
            <w:r w:rsidRPr="00532B79">
              <w:t>N=265</w:t>
            </w:r>
          </w:p>
        </w:tc>
        <w:tc>
          <w:tcPr>
            <w:tcW w:w="6095" w:type="dxa"/>
          </w:tcPr>
          <w:p w14:paraId="40C45610" w14:textId="50F35F3A" w:rsidR="00321DBE" w:rsidRPr="00532B79" w:rsidRDefault="00321DBE" w:rsidP="00C21496">
            <w:pPr>
              <w:pStyle w:val="Tabletext"/>
            </w:pPr>
            <w:r w:rsidRPr="00532B79">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47268B23" w14:textId="77777777" w:rsidR="00321DBE" w:rsidRPr="00532B79" w:rsidRDefault="00321DBE" w:rsidP="00C21496">
            <w:pPr>
              <w:pStyle w:val="Tabletext"/>
            </w:pPr>
            <w:r w:rsidRPr="00532B79">
              <w:t>Fewer patients were hospitalised with combination therapy compared with monotherapy, but the 95% CI indicates that there may also be an effect in the opposite direction (RR = 0.71; 95% CI 0.30, 1.71)</w:t>
            </w:r>
          </w:p>
        </w:tc>
      </w:tr>
      <w:tr w:rsidR="00321DBE" w:rsidRPr="009F466A" w14:paraId="6DD6B78C" w14:textId="77777777" w:rsidTr="00321DBE">
        <w:tc>
          <w:tcPr>
            <w:tcW w:w="1555" w:type="dxa"/>
          </w:tcPr>
          <w:p w14:paraId="29ECF451" w14:textId="77777777" w:rsidR="00321DBE" w:rsidRPr="00532B79" w:rsidRDefault="00321DBE" w:rsidP="00C21496">
            <w:pPr>
              <w:pStyle w:val="Tabletext"/>
            </w:pPr>
            <w:r w:rsidRPr="00532B79">
              <w:t>Change in 6MWD from baseline</w:t>
            </w:r>
          </w:p>
        </w:tc>
        <w:tc>
          <w:tcPr>
            <w:tcW w:w="1984" w:type="dxa"/>
          </w:tcPr>
          <w:p w14:paraId="02658C5D" w14:textId="77777777" w:rsidR="00321DBE" w:rsidRPr="00532B79" w:rsidRDefault="00321DBE" w:rsidP="00C21496">
            <w:pPr>
              <w:pStyle w:val="Tabletext"/>
            </w:pPr>
            <w:r w:rsidRPr="00532B79">
              <w:t xml:space="preserve">PACES-1 (sildenafil/epoprostenol) </w:t>
            </w:r>
          </w:p>
          <w:p w14:paraId="0CC68376" w14:textId="77777777" w:rsidR="00321DBE" w:rsidRPr="00532B79" w:rsidRDefault="00321DBE" w:rsidP="00C21496">
            <w:pPr>
              <w:pStyle w:val="Tabletext"/>
            </w:pPr>
            <w:r w:rsidRPr="00532B79">
              <w:t>N=265</w:t>
            </w:r>
          </w:p>
        </w:tc>
        <w:tc>
          <w:tcPr>
            <w:tcW w:w="6095" w:type="dxa"/>
          </w:tcPr>
          <w:p w14:paraId="36ADF7C6" w14:textId="40D45F89" w:rsidR="00321DBE" w:rsidRPr="00532B79" w:rsidRDefault="00321DBE" w:rsidP="00C21496">
            <w:pPr>
              <w:pStyle w:val="Tabletext"/>
            </w:pPr>
            <w:r w:rsidRPr="00532B79">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4B07305A" w14:textId="77777777" w:rsidR="00321DBE" w:rsidRPr="00532B79" w:rsidRDefault="00321DBE" w:rsidP="00C21496">
            <w:pPr>
              <w:pStyle w:val="Tabletext"/>
            </w:pPr>
            <w:r w:rsidRPr="00532B79">
              <w:t>Patients on combination therapy had a larger mean improvement in their 6MWD than those on monotherapy, but the difference was not clinically important (MD = 28.8 m walked further; 95% CI 13.9, 43.8)</w:t>
            </w:r>
          </w:p>
        </w:tc>
      </w:tr>
      <w:tr w:rsidR="00321DBE" w:rsidRPr="009F466A" w14:paraId="45E02AE9" w14:textId="77777777" w:rsidTr="00321DBE">
        <w:tc>
          <w:tcPr>
            <w:tcW w:w="1555" w:type="dxa"/>
          </w:tcPr>
          <w:p w14:paraId="614C614E" w14:textId="77777777" w:rsidR="00321DBE" w:rsidRPr="00532B79" w:rsidRDefault="00321DBE" w:rsidP="00C21496">
            <w:pPr>
              <w:pStyle w:val="Tabletext"/>
            </w:pPr>
            <w:r w:rsidRPr="00532B79">
              <w:t>Change in haemodynamic parameters from baseline:</w:t>
            </w:r>
          </w:p>
          <w:p w14:paraId="4A3DD975" w14:textId="77777777" w:rsidR="00321DBE" w:rsidRPr="00532B79" w:rsidRDefault="00321DBE" w:rsidP="00C21496">
            <w:pPr>
              <w:pStyle w:val="Tabletext"/>
            </w:pPr>
            <w:r w:rsidRPr="00532B79">
              <w:t>PVR, mPAP, mRAP</w:t>
            </w:r>
          </w:p>
        </w:tc>
        <w:tc>
          <w:tcPr>
            <w:tcW w:w="1984" w:type="dxa"/>
            <w:tcBorders>
              <w:top w:val="single" w:sz="4" w:space="0" w:color="auto"/>
              <w:left w:val="single" w:sz="4" w:space="0" w:color="auto"/>
              <w:bottom w:val="single" w:sz="4" w:space="0" w:color="auto"/>
              <w:right w:val="single" w:sz="4" w:space="0" w:color="auto"/>
            </w:tcBorders>
          </w:tcPr>
          <w:p w14:paraId="41CC3B77" w14:textId="77777777" w:rsidR="00321DBE" w:rsidRPr="00532B79" w:rsidRDefault="00321DBE" w:rsidP="00C21496">
            <w:pPr>
              <w:pStyle w:val="Tabletext"/>
            </w:pPr>
            <w:r w:rsidRPr="00532B79">
              <w:t xml:space="preserve">PACES-1 (sildenafil/epoprostenol) </w:t>
            </w:r>
          </w:p>
          <w:p w14:paraId="53121587" w14:textId="77777777" w:rsidR="00321DBE" w:rsidRPr="00532B79" w:rsidRDefault="00321DBE" w:rsidP="00C21496">
            <w:pPr>
              <w:pStyle w:val="Tabletext"/>
            </w:pPr>
            <w:r w:rsidRPr="00532B79">
              <w:t>N=265</w:t>
            </w:r>
          </w:p>
        </w:tc>
        <w:tc>
          <w:tcPr>
            <w:tcW w:w="6095" w:type="dxa"/>
          </w:tcPr>
          <w:p w14:paraId="77D0B8F3" w14:textId="7E144C19" w:rsidR="00321DBE" w:rsidRPr="00532B79" w:rsidRDefault="00321DBE" w:rsidP="00C21496">
            <w:pPr>
              <w:pStyle w:val="Tabletext"/>
            </w:pPr>
            <w:r w:rsidRPr="00532B79">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1D544B79" w14:textId="77777777" w:rsidR="00321DBE" w:rsidRPr="00532B79" w:rsidRDefault="00321DBE" w:rsidP="00C21496">
            <w:pPr>
              <w:pStyle w:val="Tabletext"/>
            </w:pPr>
            <w:r w:rsidRPr="00532B79">
              <w:t>Patients on combination therapy had a larger mean improvement in their haemodynamic parameters than those on monotherapy and this improvement may be clinically important PVR and mRAP (PVR MD = 20.8% improvement; mPAP MD = 7.5% improvement; mRAP MD = 2.1 mmHg improvement)</w:t>
            </w:r>
          </w:p>
        </w:tc>
      </w:tr>
    </w:tbl>
    <w:p w14:paraId="43DB1133" w14:textId="77777777" w:rsidR="00321DBE" w:rsidRPr="00532B79" w:rsidRDefault="00321DBE" w:rsidP="00C21496">
      <w:pPr>
        <w:pStyle w:val="Tablenote"/>
        <w:jc w:val="left"/>
      </w:pPr>
      <w:r w:rsidRPr="00532B79">
        <w:t>6MWD = 6-minute walk distance; ARD = absolute risk difference; CI = confidence interval; GRADE = grading of recommendations assessment, development and evaluation1; MD = mean difference; mPAP = mean pulmonary artery pressure; mRAP = mean right atrial pressure; PAH = pulmonary arterial hypertension; PDE-5 = phosphodiesterase type-5; PVR = pulmonary vascular resistance; RR = relative risk</w:t>
      </w:r>
    </w:p>
    <w:p w14:paraId="462FA23A" w14:textId="77777777" w:rsidR="0016033A" w:rsidRPr="0016033A" w:rsidRDefault="0016033A" w:rsidP="00C21496">
      <w:pPr>
        <w:pStyle w:val="Heading5"/>
        <w:keepLines w:val="0"/>
        <w:numPr>
          <w:ilvl w:val="0"/>
          <w:numId w:val="0"/>
        </w:numPr>
        <w:spacing w:before="240"/>
        <w:jc w:val="left"/>
        <w:rPr>
          <w:color w:val="auto"/>
          <w:u w:val="single"/>
        </w:rPr>
      </w:pPr>
      <w:bookmarkStart w:id="102" w:name="_Ref506198795"/>
      <w:bookmarkStart w:id="103" w:name="_Toc508396845"/>
      <w:r w:rsidRPr="0016033A">
        <w:rPr>
          <w:color w:val="auto"/>
          <w:u w:val="single"/>
        </w:rPr>
        <w:t>Safety</w:t>
      </w:r>
    </w:p>
    <w:p w14:paraId="2C6F5699" w14:textId="77777777" w:rsidR="0016033A" w:rsidRDefault="0016033A" w:rsidP="00C21496">
      <w:pPr>
        <w:jc w:val="left"/>
      </w:pPr>
      <w:r w:rsidRPr="004A7427">
        <w:t xml:space="preserve">One RCT reported on the effectiveness of a PDE-5 inhibitor in addition to </w:t>
      </w:r>
      <w:r w:rsidRPr="0017012F">
        <w:t>prostanoid</w:t>
      </w:r>
      <w:r w:rsidRPr="004A7427">
        <w:t xml:space="preserve"> </w:t>
      </w:r>
      <w:r>
        <w:t xml:space="preserve">therapy </w:t>
      </w:r>
      <w:r w:rsidRPr="004A7427">
        <w:t xml:space="preserve">in treating PAH compared with placebo plus a </w:t>
      </w:r>
      <w:r w:rsidRPr="0017012F">
        <w:t>prostanoid</w:t>
      </w:r>
      <w:r w:rsidRPr="004A7427">
        <w:t>:</w:t>
      </w:r>
    </w:p>
    <w:p w14:paraId="465A0904" w14:textId="77777777" w:rsidR="0016033A" w:rsidRPr="00B96C6F" w:rsidRDefault="0016033A" w:rsidP="00C21496">
      <w:pPr>
        <w:pStyle w:val="Bullettext"/>
        <w:ind w:left="720"/>
      </w:pPr>
      <w:r>
        <w:t>PACES-1</w:t>
      </w:r>
    </w:p>
    <w:p w14:paraId="0718CBB4" w14:textId="77777777" w:rsidR="0016033A" w:rsidRPr="00B96C6F" w:rsidRDefault="0016033A" w:rsidP="00C21496">
      <w:pPr>
        <w:pStyle w:val="Bullettext"/>
        <w:ind w:left="720"/>
      </w:pPr>
      <w:r w:rsidRPr="00B96C6F">
        <w:t xml:space="preserve">There were no new </w:t>
      </w:r>
      <w:r>
        <w:t>safety signals identified.</w:t>
      </w:r>
    </w:p>
    <w:p w14:paraId="5D4B656C" w14:textId="77777777" w:rsidR="0016033A" w:rsidRDefault="0016033A" w:rsidP="00C21496">
      <w:pPr>
        <w:jc w:val="left"/>
      </w:pPr>
      <w:r>
        <w:t xml:space="preserve">The evidence provided by this trial is summarised in </w:t>
      </w:r>
      <w:r w:rsidR="00CC79E1">
        <w:t>Table ES.</w:t>
      </w:r>
      <w:r w:rsidR="00CC79E1">
        <w:rPr>
          <w:noProof/>
        </w:rPr>
        <w:t>16</w:t>
      </w:r>
      <w:r>
        <w:t>.</w:t>
      </w:r>
    </w:p>
    <w:p w14:paraId="307EC072" w14:textId="77777777" w:rsidR="0016033A" w:rsidRDefault="0016033A" w:rsidP="00C21496">
      <w:pPr>
        <w:jc w:val="left"/>
      </w:pPr>
      <w:r>
        <w:t xml:space="preserve">Overall, </w:t>
      </w:r>
      <w:r w:rsidRPr="001E5DED">
        <w:t xml:space="preserve">the use of a PDE-5 inhibitor in addition to </w:t>
      </w:r>
      <w:r>
        <w:t>a prostanoid</w:t>
      </w:r>
      <w:r w:rsidRPr="001E5DED">
        <w:t xml:space="preserve"> </w:t>
      </w:r>
      <w:r>
        <w:t>is likely to be non-inferior to</w:t>
      </w:r>
      <w:r w:rsidRPr="001E5DED">
        <w:t xml:space="preserve"> </w:t>
      </w:r>
      <w:r>
        <w:t>prostanoid</w:t>
      </w:r>
      <w:r w:rsidRPr="001E5DED">
        <w:t xml:space="preserve"> monotherapy </w:t>
      </w:r>
      <w:r>
        <w:t xml:space="preserve">in terms of safety </w:t>
      </w:r>
      <w:r w:rsidRPr="001E5DED">
        <w:t xml:space="preserve">when treating </w:t>
      </w:r>
      <w:r>
        <w:t xml:space="preserve">PAH </w:t>
      </w:r>
      <w:r w:rsidRPr="001E5DED">
        <w:t>patients</w:t>
      </w:r>
      <w:r>
        <w:t>.</w:t>
      </w:r>
    </w:p>
    <w:p w14:paraId="09A99196" w14:textId="77777777" w:rsidR="00E660FD" w:rsidRDefault="00E660FD">
      <w:pPr>
        <w:jc w:val="left"/>
        <w:rPr>
          <w:rFonts w:eastAsia="Times New Roman" w:cs="Times New Roman"/>
          <w:b/>
          <w:bCs/>
          <w:szCs w:val="18"/>
        </w:rPr>
      </w:pPr>
      <w:bookmarkStart w:id="104" w:name="_Ref511118851"/>
      <w:bookmarkStart w:id="105" w:name="_Toc38372135"/>
      <w:bookmarkEnd w:id="102"/>
      <w:bookmarkEnd w:id="103"/>
      <w:r>
        <w:br w:type="page"/>
      </w:r>
    </w:p>
    <w:p w14:paraId="4942D57F" w14:textId="77777777" w:rsidR="008B580D" w:rsidRPr="0016033A" w:rsidRDefault="008B580D" w:rsidP="00C21496">
      <w:pPr>
        <w:pStyle w:val="Caption"/>
        <w:jc w:val="left"/>
        <w:rPr>
          <w:szCs w:val="24"/>
        </w:rPr>
      </w:pPr>
      <w:r>
        <w:lastRenderedPageBreak/>
        <w:t>Table ES.</w:t>
      </w:r>
      <w:r w:rsidR="00CC79E1">
        <w:rPr>
          <w:noProof/>
        </w:rPr>
        <w:t>16</w:t>
      </w:r>
      <w:bookmarkEnd w:id="104"/>
      <w:r>
        <w:tab/>
      </w:r>
      <w:r w:rsidRPr="0016033A">
        <w:rPr>
          <w:szCs w:val="24"/>
        </w:rPr>
        <w:t>Summary of the evidence for the safety of a PDE-5 inhibitor in addition to a prostanoid, relative to prostanoid monotherapy</w:t>
      </w:r>
      <w:bookmarkEnd w:id="105"/>
    </w:p>
    <w:tbl>
      <w:tblPr>
        <w:tblStyle w:val="TableGrid"/>
        <w:tblW w:w="9634" w:type="dxa"/>
        <w:tblLook w:val="04A0" w:firstRow="1" w:lastRow="0" w:firstColumn="1" w:lastColumn="0" w:noHBand="0" w:noVBand="1"/>
        <w:tblCaption w:val="Summary of the evidence for the safety of a PDE-5 inhibitor in addition to a prostanoid, relative to prostanoid monotherapy"/>
      </w:tblPr>
      <w:tblGrid>
        <w:gridCol w:w="1555"/>
        <w:gridCol w:w="2340"/>
        <w:gridCol w:w="5739"/>
      </w:tblGrid>
      <w:tr w:rsidR="00321DBE" w:rsidRPr="009F466A" w14:paraId="0D25714F" w14:textId="77777777" w:rsidTr="008979BD">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055735" w14:textId="77777777" w:rsidR="00321DBE" w:rsidRPr="00A4053B" w:rsidRDefault="00321DBE" w:rsidP="00C21496">
            <w:pPr>
              <w:pStyle w:val="TableText1left"/>
              <w:rPr>
                <w:b/>
              </w:rPr>
            </w:pPr>
            <w:r w:rsidRPr="00A4053B">
              <w:rPr>
                <w:b/>
              </w:rPr>
              <w:t>Outcome</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EF5F92" w14:textId="77777777" w:rsidR="00321DBE" w:rsidRPr="00A4053B" w:rsidRDefault="00321DBE" w:rsidP="00C21496">
            <w:pPr>
              <w:pStyle w:val="TableText1left"/>
              <w:rPr>
                <w:b/>
              </w:rPr>
            </w:pPr>
            <w:r w:rsidRPr="00A4053B">
              <w:rPr>
                <w:b/>
              </w:rPr>
              <w:t xml:space="preserve">Included trials </w:t>
            </w:r>
          </w:p>
        </w:tc>
        <w:tc>
          <w:tcPr>
            <w:tcW w:w="57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263A5" w14:textId="77777777" w:rsidR="00321DBE" w:rsidRPr="00A4053B" w:rsidRDefault="00321DBE" w:rsidP="00C21496">
            <w:pPr>
              <w:pStyle w:val="TableText1left"/>
              <w:rPr>
                <w:b/>
              </w:rPr>
            </w:pPr>
            <w:r w:rsidRPr="00A4053B">
              <w:rPr>
                <w:b/>
              </w:rPr>
              <w:t>Summary of evidence</w:t>
            </w:r>
          </w:p>
        </w:tc>
      </w:tr>
      <w:tr w:rsidR="00321DBE" w:rsidRPr="009F466A" w14:paraId="5D778914"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7078984C" w14:textId="77777777" w:rsidR="00321DBE" w:rsidRPr="009F466A" w:rsidRDefault="00321DBE" w:rsidP="00C21496">
            <w:pPr>
              <w:pStyle w:val="TableText1left"/>
            </w:pPr>
            <w:r w:rsidRPr="009F466A">
              <w:t>All PAH patients</w:t>
            </w:r>
          </w:p>
        </w:tc>
      </w:tr>
      <w:tr w:rsidR="00321DBE" w:rsidRPr="009F466A" w14:paraId="44529BAB" w14:textId="77777777" w:rsidTr="008B580D">
        <w:tc>
          <w:tcPr>
            <w:tcW w:w="1555" w:type="dxa"/>
            <w:tcBorders>
              <w:top w:val="single" w:sz="4" w:space="0" w:color="auto"/>
              <w:left w:val="single" w:sz="4" w:space="0" w:color="auto"/>
              <w:bottom w:val="single" w:sz="4" w:space="0" w:color="auto"/>
              <w:right w:val="single" w:sz="4" w:space="0" w:color="auto"/>
            </w:tcBorders>
          </w:tcPr>
          <w:p w14:paraId="4DD2ACA4" w14:textId="77777777" w:rsidR="00321DBE" w:rsidRPr="009F466A" w:rsidRDefault="00321DBE" w:rsidP="00C21496">
            <w:pPr>
              <w:pStyle w:val="TableText1left"/>
            </w:pPr>
            <w:r w:rsidRPr="009F466A">
              <w:t>Any AE</w:t>
            </w:r>
          </w:p>
        </w:tc>
        <w:tc>
          <w:tcPr>
            <w:tcW w:w="2340" w:type="dxa"/>
            <w:tcBorders>
              <w:top w:val="single" w:sz="4" w:space="0" w:color="auto"/>
              <w:left w:val="single" w:sz="4" w:space="0" w:color="auto"/>
              <w:bottom w:val="single" w:sz="4" w:space="0" w:color="auto"/>
              <w:right w:val="single" w:sz="4" w:space="0" w:color="auto"/>
            </w:tcBorders>
          </w:tcPr>
          <w:p w14:paraId="2635EA65" w14:textId="77777777" w:rsidR="00321DBE" w:rsidRPr="009F466A" w:rsidRDefault="00321DBE" w:rsidP="00C21496">
            <w:pPr>
              <w:pStyle w:val="TableText1left"/>
            </w:pPr>
            <w:r w:rsidRPr="009F466A">
              <w:t xml:space="preserve">PACES-1 (sildenafil/epoprostenol) </w:t>
            </w:r>
          </w:p>
          <w:p w14:paraId="7D6DDDDC" w14:textId="77777777" w:rsidR="00321DBE" w:rsidRPr="009F466A" w:rsidRDefault="00321DBE" w:rsidP="00C21496">
            <w:pPr>
              <w:pStyle w:val="TableText1left"/>
            </w:pPr>
            <w:r w:rsidRPr="009F466A">
              <w:t>N=265</w:t>
            </w:r>
          </w:p>
        </w:tc>
        <w:tc>
          <w:tcPr>
            <w:tcW w:w="5739" w:type="dxa"/>
            <w:tcBorders>
              <w:top w:val="single" w:sz="4" w:space="0" w:color="auto"/>
              <w:left w:val="single" w:sz="4" w:space="0" w:color="auto"/>
              <w:bottom w:val="single" w:sz="4" w:space="0" w:color="auto"/>
              <w:right w:val="single" w:sz="4" w:space="0" w:color="auto"/>
            </w:tcBorders>
          </w:tcPr>
          <w:p w14:paraId="7AE53176" w14:textId="0D6BC72E" w:rsidR="00321DBE" w:rsidRPr="009F466A" w:rsidRDefault="00321DBE" w:rsidP="00C21496">
            <w:pPr>
              <w:pStyle w:val="TableText1left"/>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45A7757A" w14:textId="77777777" w:rsidR="00321DBE" w:rsidRPr="009F466A" w:rsidRDefault="00321DBE" w:rsidP="00C21496">
            <w:pPr>
              <w:pStyle w:val="TableText1left"/>
            </w:pPr>
            <w:r w:rsidRPr="009F466A">
              <w:t>The proportion of patients who had any AE was similar for both the combination therapy and monotherapy arms (RR = 0.95; 95% CI 0.90, 1.00)</w:t>
            </w:r>
          </w:p>
        </w:tc>
      </w:tr>
      <w:tr w:rsidR="00321DBE" w:rsidRPr="009F466A" w14:paraId="58A837CD" w14:textId="77777777" w:rsidTr="008B580D">
        <w:tc>
          <w:tcPr>
            <w:tcW w:w="1555" w:type="dxa"/>
          </w:tcPr>
          <w:p w14:paraId="302ABA80" w14:textId="77777777" w:rsidR="00321DBE" w:rsidRPr="009F466A" w:rsidRDefault="00321DBE" w:rsidP="00C21496">
            <w:pPr>
              <w:pStyle w:val="TableText1left"/>
            </w:pPr>
            <w:r w:rsidRPr="009F466A">
              <w:t>Serious AEs</w:t>
            </w:r>
          </w:p>
        </w:tc>
        <w:tc>
          <w:tcPr>
            <w:tcW w:w="2340" w:type="dxa"/>
            <w:tcBorders>
              <w:top w:val="single" w:sz="4" w:space="0" w:color="auto"/>
              <w:left w:val="single" w:sz="4" w:space="0" w:color="auto"/>
              <w:bottom w:val="single" w:sz="4" w:space="0" w:color="auto"/>
              <w:right w:val="single" w:sz="4" w:space="0" w:color="auto"/>
            </w:tcBorders>
          </w:tcPr>
          <w:p w14:paraId="72418FFF" w14:textId="77777777" w:rsidR="00321DBE" w:rsidRPr="009F466A" w:rsidRDefault="00321DBE" w:rsidP="00C21496">
            <w:pPr>
              <w:pStyle w:val="TableText1left"/>
            </w:pPr>
            <w:r w:rsidRPr="009F466A">
              <w:t xml:space="preserve">PACES-1 (sildenafil/epoprostenol) </w:t>
            </w:r>
          </w:p>
          <w:p w14:paraId="583E1F20" w14:textId="77777777" w:rsidR="00321DBE" w:rsidRPr="009F466A" w:rsidRDefault="00321DBE" w:rsidP="00C21496">
            <w:pPr>
              <w:pStyle w:val="TableText1left"/>
            </w:pPr>
            <w:r w:rsidRPr="009F466A">
              <w:t>N=265</w:t>
            </w:r>
          </w:p>
        </w:tc>
        <w:tc>
          <w:tcPr>
            <w:tcW w:w="5739" w:type="dxa"/>
          </w:tcPr>
          <w:p w14:paraId="623CE145" w14:textId="7412BA33" w:rsidR="00321DBE" w:rsidRPr="009F466A" w:rsidRDefault="00321DBE" w:rsidP="00C21496">
            <w:pPr>
              <w:pStyle w:val="TableText1left"/>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549AFB51" w14:textId="77777777" w:rsidR="00321DBE" w:rsidRPr="009F466A" w:rsidRDefault="00321DBE" w:rsidP="00C21496">
            <w:pPr>
              <w:pStyle w:val="TableText1left"/>
            </w:pPr>
            <w:r w:rsidRPr="009F466A">
              <w:t>Fewer patients had a serious AE with combination therapy compared with monotherapy, but the 95% CI indicates that there could also be an effect in the opposite direction (RR = 0.73; 95% CI 0.48, 1.10)</w:t>
            </w:r>
          </w:p>
        </w:tc>
      </w:tr>
      <w:tr w:rsidR="00321DBE" w:rsidRPr="009F466A" w14:paraId="320632AC" w14:textId="77777777" w:rsidTr="008B580D">
        <w:tc>
          <w:tcPr>
            <w:tcW w:w="1555" w:type="dxa"/>
          </w:tcPr>
          <w:p w14:paraId="4871AA75" w14:textId="77777777" w:rsidR="00321DBE" w:rsidRPr="009F466A" w:rsidRDefault="00321DBE" w:rsidP="00C21496">
            <w:pPr>
              <w:pStyle w:val="TableText1left"/>
            </w:pPr>
            <w:r w:rsidRPr="009F466A">
              <w:t>AEs leading to treatment discontinuation</w:t>
            </w:r>
          </w:p>
        </w:tc>
        <w:tc>
          <w:tcPr>
            <w:tcW w:w="2340" w:type="dxa"/>
            <w:tcBorders>
              <w:top w:val="single" w:sz="4" w:space="0" w:color="auto"/>
              <w:left w:val="single" w:sz="4" w:space="0" w:color="auto"/>
              <w:bottom w:val="single" w:sz="4" w:space="0" w:color="auto"/>
              <w:right w:val="single" w:sz="4" w:space="0" w:color="auto"/>
            </w:tcBorders>
          </w:tcPr>
          <w:p w14:paraId="4BA5356D" w14:textId="77777777" w:rsidR="00321DBE" w:rsidRPr="009F466A" w:rsidRDefault="00321DBE" w:rsidP="00C21496">
            <w:pPr>
              <w:pStyle w:val="TableText1left"/>
            </w:pPr>
            <w:r w:rsidRPr="009F466A">
              <w:t xml:space="preserve">PACES-1 (sildenafil/epoprostenol) </w:t>
            </w:r>
          </w:p>
          <w:p w14:paraId="1BFF7828" w14:textId="77777777" w:rsidR="00321DBE" w:rsidRPr="009F466A" w:rsidRDefault="00321DBE" w:rsidP="00C21496">
            <w:pPr>
              <w:pStyle w:val="TableText1left"/>
            </w:pPr>
            <w:r w:rsidRPr="009F466A">
              <w:t>N=265</w:t>
            </w:r>
          </w:p>
        </w:tc>
        <w:tc>
          <w:tcPr>
            <w:tcW w:w="5739" w:type="dxa"/>
            <w:tcBorders>
              <w:top w:val="single" w:sz="4" w:space="0" w:color="auto"/>
              <w:left w:val="single" w:sz="4" w:space="0" w:color="auto"/>
              <w:bottom w:val="single" w:sz="4" w:space="0" w:color="auto"/>
              <w:right w:val="single" w:sz="4" w:space="0" w:color="auto"/>
            </w:tcBorders>
          </w:tcPr>
          <w:p w14:paraId="32B15D0A" w14:textId="5054E76D" w:rsidR="00321DBE" w:rsidRPr="009F466A" w:rsidRDefault="00321DBE" w:rsidP="00C21496">
            <w:pPr>
              <w:pStyle w:val="TableText1left"/>
            </w:pPr>
            <w:r w:rsidRPr="009F466A">
              <w:t>High quality</w:t>
            </w:r>
            <w:r w:rsidRPr="009F466A">
              <w:rPr>
                <w:rFonts w:cs="Cambria Math"/>
              </w:rPr>
              <w:t xml:space="preserve"> evidence (GRADE </w:t>
            </w:r>
            <w:r w:rsidR="00C220DD" w:rsidRPr="00C220DD">
              <w:rPr>
                <w:rFonts w:ascii="Cambria Math" w:hAnsi="Cambria Math" w:cs="Cambria Math"/>
                <w:color w:val="00B050"/>
              </w:rPr>
              <w:t>⨁⨁⨁⨁</w:t>
            </w:r>
            <w:r w:rsidRPr="009F466A">
              <w:t>)</w:t>
            </w:r>
          </w:p>
          <w:p w14:paraId="594B1F8C" w14:textId="77777777" w:rsidR="00321DBE" w:rsidRPr="009F466A" w:rsidRDefault="00321DBE" w:rsidP="00C21496">
            <w:pPr>
              <w:pStyle w:val="TableText1left"/>
            </w:pPr>
            <w:r w:rsidRPr="009F466A">
              <w:t>Fewer patients had an AE leading to treatment discontinuation with combination therapy compared with monotherapy, but the 95% CI indicates that there could also be an effect in the opposite direction (RR = 0.49; 95% CI 0.20, 1.17)</w:t>
            </w:r>
          </w:p>
        </w:tc>
      </w:tr>
    </w:tbl>
    <w:p w14:paraId="32D2D125" w14:textId="77777777" w:rsidR="00321DBE" w:rsidRPr="00532B79" w:rsidRDefault="00321DBE" w:rsidP="00C21496">
      <w:pPr>
        <w:pStyle w:val="Tablenote"/>
        <w:jc w:val="left"/>
      </w:pPr>
      <w:r w:rsidRPr="00532B79">
        <w:t>AE = adverse event; CI = confidence interval; FC = functional class; GRADE = grading of recommendations assessment, development and evaluation1; PAH = pulmonary arterial hypertension; PDE-5 = phosphodiesterase type-5; RR = relative risk; WHO = World Health Organization</w:t>
      </w:r>
    </w:p>
    <w:p w14:paraId="5CAE380E" w14:textId="77777777" w:rsidR="00321DBE" w:rsidRPr="009F466A" w:rsidRDefault="00321DBE" w:rsidP="00C21496">
      <w:pPr>
        <w:pStyle w:val="Heading4"/>
      </w:pPr>
      <w:r w:rsidRPr="009F466A">
        <w:t>Prostanoid in addition to an ERA</w:t>
      </w:r>
    </w:p>
    <w:p w14:paraId="22A95318" w14:textId="77777777" w:rsidR="0016033A" w:rsidRPr="0016033A" w:rsidRDefault="0016033A" w:rsidP="00C21496">
      <w:pPr>
        <w:pStyle w:val="Heading5"/>
        <w:keepLines w:val="0"/>
        <w:numPr>
          <w:ilvl w:val="0"/>
          <w:numId w:val="0"/>
        </w:numPr>
        <w:spacing w:before="240"/>
        <w:jc w:val="left"/>
        <w:rPr>
          <w:color w:val="auto"/>
          <w:u w:val="single"/>
        </w:rPr>
      </w:pPr>
      <w:bookmarkStart w:id="106" w:name="_Ref506203144"/>
      <w:bookmarkStart w:id="107" w:name="_Toc508396846"/>
      <w:r w:rsidRPr="0016033A">
        <w:rPr>
          <w:color w:val="auto"/>
          <w:u w:val="single"/>
        </w:rPr>
        <w:t>Clinical effectiveness</w:t>
      </w:r>
    </w:p>
    <w:p w14:paraId="54E589AC" w14:textId="77777777" w:rsidR="0016033A" w:rsidRPr="00C77B6A" w:rsidRDefault="0016033A" w:rsidP="00C21496">
      <w:pPr>
        <w:spacing w:after="40"/>
        <w:jc w:val="left"/>
      </w:pPr>
      <w:r w:rsidRPr="00C77B6A">
        <w:t xml:space="preserve">Two RCTs reported on the effectiveness of </w:t>
      </w:r>
      <w:r>
        <w:t xml:space="preserve">a </w:t>
      </w:r>
      <w:r w:rsidRPr="0017012F">
        <w:t xml:space="preserve">prostanoid </w:t>
      </w:r>
      <w:r w:rsidRPr="00C77B6A">
        <w:t xml:space="preserve">in addition to an ERA in treating PAH compared with </w:t>
      </w:r>
      <w:r>
        <w:t xml:space="preserve">a </w:t>
      </w:r>
      <w:r w:rsidRPr="00C77B6A">
        <w:t>place</w:t>
      </w:r>
      <w:r>
        <w:t>bo plus an ERA:</w:t>
      </w:r>
    </w:p>
    <w:p w14:paraId="04DF700B" w14:textId="77777777" w:rsidR="0016033A" w:rsidRPr="00D103A9" w:rsidRDefault="0016033A" w:rsidP="00C21496">
      <w:pPr>
        <w:pStyle w:val="Bullettext"/>
        <w:ind w:left="720"/>
        <w:rPr>
          <w:bCs/>
        </w:rPr>
      </w:pPr>
      <w:r>
        <w:t>COMBI</w:t>
      </w:r>
      <w:r w:rsidRPr="00C77B6A">
        <w:t xml:space="preserve"> enrolled </w:t>
      </w:r>
      <w:r w:rsidRPr="00673C2E">
        <w:t xml:space="preserve">patients with WHO FC III IPAH </w:t>
      </w:r>
      <w:r>
        <w:t>(</w:t>
      </w:r>
      <w:r w:rsidRPr="00673C2E">
        <w:t>who were already being treated with bosentan</w:t>
      </w:r>
      <w:r>
        <w:t xml:space="preserve">) to receive combination therapy with the addition of </w:t>
      </w:r>
      <w:r w:rsidRPr="00673C2E">
        <w:t xml:space="preserve">iloprost </w:t>
      </w:r>
      <w:r>
        <w:t>or continue bosentan monotherapy</w:t>
      </w:r>
    </w:p>
    <w:p w14:paraId="0ADA0056" w14:textId="77777777" w:rsidR="0016033A" w:rsidRPr="00D103A9" w:rsidRDefault="0016033A" w:rsidP="00C21496">
      <w:pPr>
        <w:pStyle w:val="Bullettext"/>
        <w:ind w:left="720"/>
        <w:rPr>
          <w:bCs/>
        </w:rPr>
      </w:pPr>
      <w:r>
        <w:t>STEP enrolled</w:t>
      </w:r>
      <w:r w:rsidRPr="00C77B6A">
        <w:t xml:space="preserve"> </w:t>
      </w:r>
      <w:r>
        <w:t xml:space="preserve">patients with PAH </w:t>
      </w:r>
      <w:r w:rsidRPr="00D13D2A">
        <w:t>who were already being treated with bosentan to receive combination therapy with the addition of iloprost or continue bosentan monotherapy</w:t>
      </w:r>
    </w:p>
    <w:p w14:paraId="684B8868" w14:textId="77777777" w:rsidR="0016033A" w:rsidRPr="00D103A9" w:rsidRDefault="0016033A" w:rsidP="00C21496">
      <w:pPr>
        <w:pStyle w:val="Bullettext"/>
        <w:numPr>
          <w:ilvl w:val="1"/>
          <w:numId w:val="7"/>
        </w:numPr>
        <w:ind w:left="1134"/>
        <w:rPr>
          <w:bCs/>
        </w:rPr>
      </w:pPr>
      <w:r w:rsidRPr="00D13D2A">
        <w:t xml:space="preserve">Nearly all included patients had </w:t>
      </w:r>
      <w:r>
        <w:t>WHO</w:t>
      </w:r>
      <w:r w:rsidRPr="00D13D2A">
        <w:t xml:space="preserve"> FC III/IV PAH; one patient randomised to monotherapy had </w:t>
      </w:r>
      <w:r>
        <w:t>WHO</w:t>
      </w:r>
      <w:r w:rsidRPr="00D13D2A">
        <w:t xml:space="preserve"> FC II PAH</w:t>
      </w:r>
    </w:p>
    <w:p w14:paraId="34BCDB38" w14:textId="77777777" w:rsidR="0016033A" w:rsidRDefault="0016033A" w:rsidP="00C21496">
      <w:pPr>
        <w:jc w:val="left"/>
      </w:pPr>
      <w:r>
        <w:t xml:space="preserve">The evidence provided by these trials for patients </w:t>
      </w:r>
      <w:r w:rsidRPr="00C77B6A">
        <w:t xml:space="preserve">with WHO FC III/IV PAH </w:t>
      </w:r>
      <w:r>
        <w:t xml:space="preserve">is summarised in </w:t>
      </w:r>
      <w:r w:rsidR="00CC79E1">
        <w:t>Table ES.</w:t>
      </w:r>
      <w:r w:rsidR="00CC79E1">
        <w:rPr>
          <w:noProof/>
        </w:rPr>
        <w:t>17</w:t>
      </w:r>
      <w:r>
        <w:t>.</w:t>
      </w:r>
    </w:p>
    <w:p w14:paraId="4C32BA3A" w14:textId="77777777" w:rsidR="0016033A" w:rsidRDefault="0016033A" w:rsidP="00C21496">
      <w:pPr>
        <w:jc w:val="left"/>
      </w:pPr>
      <w:r>
        <w:t xml:space="preserve">Overall, </w:t>
      </w:r>
      <w:r w:rsidRPr="008B5A87">
        <w:t xml:space="preserve">there is </w:t>
      </w:r>
      <w:r>
        <w:t xml:space="preserve">limited </w:t>
      </w:r>
      <w:r w:rsidRPr="008B5A87">
        <w:t xml:space="preserve">evidence to suggest that </w:t>
      </w:r>
      <w:r w:rsidRPr="000522D6">
        <w:t xml:space="preserve">the </w:t>
      </w:r>
      <w:r w:rsidRPr="006316DF">
        <w:t xml:space="preserve">use of a </w:t>
      </w:r>
      <w:r w:rsidRPr="00FF0F23">
        <w:t>prostanoid in addition to an ERA</w:t>
      </w:r>
      <w:r w:rsidRPr="000522D6">
        <w:t xml:space="preserve">, relative to </w:t>
      </w:r>
      <w:r>
        <w:t>ERA</w:t>
      </w:r>
      <w:r w:rsidRPr="000522D6">
        <w:t xml:space="preserve"> monotherapy</w:t>
      </w:r>
      <w:r>
        <w:t>,</w:t>
      </w:r>
      <w:r w:rsidRPr="000522D6">
        <w:t xml:space="preserve"> </w:t>
      </w:r>
      <w:r w:rsidRPr="006316DF">
        <w:t xml:space="preserve">to treat </w:t>
      </w:r>
      <w:r>
        <w:t>patients with WHO FC III/IV PAH may</w:t>
      </w:r>
      <w:r w:rsidRPr="006316DF">
        <w:t xml:space="preserve"> be beneficial</w:t>
      </w:r>
      <w:r>
        <w:t>.</w:t>
      </w:r>
      <w:r w:rsidRPr="009A57D8">
        <w:t xml:space="preserve"> </w:t>
      </w:r>
      <w:r w:rsidRPr="00E60652">
        <w:t>This finding would be stronger if it were replicated in additional research.</w:t>
      </w:r>
    </w:p>
    <w:p w14:paraId="511F1677" w14:textId="77777777" w:rsidR="00E660FD" w:rsidRDefault="00E660FD">
      <w:pPr>
        <w:jc w:val="left"/>
        <w:rPr>
          <w:rFonts w:eastAsia="Times New Roman" w:cs="Times New Roman"/>
          <w:b/>
          <w:bCs/>
          <w:szCs w:val="18"/>
        </w:rPr>
      </w:pPr>
      <w:bookmarkStart w:id="108" w:name="_Ref511118864"/>
      <w:bookmarkStart w:id="109" w:name="_Toc38372136"/>
      <w:bookmarkEnd w:id="106"/>
      <w:bookmarkEnd w:id="107"/>
      <w:r>
        <w:br w:type="page"/>
      </w:r>
    </w:p>
    <w:p w14:paraId="30ADB371" w14:textId="77777777" w:rsidR="008B580D" w:rsidRPr="009F466A" w:rsidRDefault="008B580D" w:rsidP="00C21496">
      <w:pPr>
        <w:pStyle w:val="Caption"/>
        <w:jc w:val="left"/>
      </w:pPr>
      <w:r>
        <w:lastRenderedPageBreak/>
        <w:t>Table ES.</w:t>
      </w:r>
      <w:r w:rsidR="00CC79E1">
        <w:rPr>
          <w:noProof/>
        </w:rPr>
        <w:t>17</w:t>
      </w:r>
      <w:bookmarkEnd w:id="108"/>
      <w:r>
        <w:tab/>
      </w:r>
      <w:r w:rsidRPr="009F466A">
        <w:t>Summary of the evidence for the clinical effectiveness of a prostanoid in addition to an ERA, relative to ERA monotherapy</w:t>
      </w:r>
      <w:bookmarkEnd w:id="109"/>
    </w:p>
    <w:tbl>
      <w:tblPr>
        <w:tblStyle w:val="TableGrid"/>
        <w:tblW w:w="9634" w:type="dxa"/>
        <w:tblLook w:val="04A0" w:firstRow="1" w:lastRow="0" w:firstColumn="1" w:lastColumn="0" w:noHBand="0" w:noVBand="1"/>
        <w:tblCaption w:val="Summary of the evidence for the clinical effectiveness of a prostanoid in addition to an ERA, relative to ERA monotherapy"/>
      </w:tblPr>
      <w:tblGrid>
        <w:gridCol w:w="1573"/>
        <w:gridCol w:w="1984"/>
        <w:gridCol w:w="6077"/>
      </w:tblGrid>
      <w:tr w:rsidR="00321DBE" w:rsidRPr="009F466A" w14:paraId="376E9DB8" w14:textId="77777777" w:rsidTr="008979BD">
        <w:trPr>
          <w:tblHeader/>
        </w:trPr>
        <w:tc>
          <w:tcPr>
            <w:tcW w:w="1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9B239" w14:textId="77777777" w:rsidR="00321DBE" w:rsidRPr="00A4053B" w:rsidRDefault="00321DBE" w:rsidP="00C21496">
            <w:pPr>
              <w:pStyle w:val="TableText1left"/>
              <w:rPr>
                <w:b/>
              </w:rPr>
            </w:pPr>
            <w:r w:rsidRPr="00A4053B">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6E2B6" w14:textId="77777777" w:rsidR="00321DBE" w:rsidRPr="00A4053B" w:rsidRDefault="00321DBE" w:rsidP="00C21496">
            <w:pPr>
              <w:pStyle w:val="TableText1left"/>
              <w:rPr>
                <w:b/>
              </w:rPr>
            </w:pPr>
            <w:r w:rsidRPr="00A4053B">
              <w:rPr>
                <w:b/>
              </w:rPr>
              <w:t xml:space="preserve">Included trials </w:t>
            </w:r>
          </w:p>
          <w:p w14:paraId="0EF44E31" w14:textId="77777777" w:rsidR="00321DBE" w:rsidRPr="00A4053B" w:rsidRDefault="00321DBE" w:rsidP="00C21496">
            <w:pPr>
              <w:pStyle w:val="TableText1left"/>
              <w:rPr>
                <w:b/>
              </w:rPr>
            </w:pPr>
            <w:r w:rsidRPr="00A4053B">
              <w:rPr>
                <w:b/>
              </w:rPr>
              <w:t>No. of patients</w:t>
            </w:r>
          </w:p>
        </w:tc>
        <w:tc>
          <w:tcPr>
            <w:tcW w:w="6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85AC2" w14:textId="77777777" w:rsidR="00321DBE" w:rsidRPr="00A4053B" w:rsidRDefault="00321DBE" w:rsidP="00C21496">
            <w:pPr>
              <w:pStyle w:val="TableText1left"/>
              <w:rPr>
                <w:b/>
              </w:rPr>
            </w:pPr>
            <w:r w:rsidRPr="00A4053B">
              <w:rPr>
                <w:b/>
              </w:rPr>
              <w:t>Summary of evidence</w:t>
            </w:r>
          </w:p>
        </w:tc>
      </w:tr>
      <w:tr w:rsidR="00321DBE" w:rsidRPr="009F466A" w14:paraId="47CC5859"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29A55C22" w14:textId="77777777" w:rsidR="00321DBE" w:rsidRPr="009F466A" w:rsidRDefault="00321DBE" w:rsidP="00C21496">
            <w:pPr>
              <w:pStyle w:val="TableText1left"/>
            </w:pPr>
            <w:r w:rsidRPr="009F466A">
              <w:t>Patients with WHO FC III/IV PAH</w:t>
            </w:r>
          </w:p>
        </w:tc>
      </w:tr>
      <w:tr w:rsidR="00321DBE" w:rsidRPr="009F466A" w14:paraId="617E566C" w14:textId="77777777" w:rsidTr="008B580D">
        <w:tc>
          <w:tcPr>
            <w:tcW w:w="1573" w:type="dxa"/>
          </w:tcPr>
          <w:p w14:paraId="05661990" w14:textId="77777777" w:rsidR="00321DBE" w:rsidRPr="009F466A" w:rsidRDefault="00321DBE" w:rsidP="00C21496">
            <w:pPr>
              <w:pStyle w:val="TableText1left"/>
            </w:pPr>
            <w:r w:rsidRPr="009F466A">
              <w:t>Clinical worsening</w:t>
            </w:r>
          </w:p>
        </w:tc>
        <w:tc>
          <w:tcPr>
            <w:tcW w:w="1984" w:type="dxa"/>
            <w:tcBorders>
              <w:top w:val="single" w:sz="4" w:space="0" w:color="auto"/>
              <w:left w:val="single" w:sz="4" w:space="0" w:color="auto"/>
              <w:bottom w:val="single" w:sz="4" w:space="0" w:color="auto"/>
              <w:right w:val="single" w:sz="4" w:space="0" w:color="auto"/>
            </w:tcBorders>
          </w:tcPr>
          <w:p w14:paraId="38EF6AE0" w14:textId="77777777" w:rsidR="00321DBE" w:rsidRPr="009F466A" w:rsidRDefault="00321DBE" w:rsidP="00C21496">
            <w:pPr>
              <w:pStyle w:val="TableText1left"/>
            </w:pPr>
            <w:r w:rsidRPr="009F466A">
              <w:t>COMBI</w:t>
            </w:r>
            <w:r w:rsidRPr="009F466A">
              <w:br/>
              <w:t>(iloprost/bosentan)</w:t>
            </w:r>
          </w:p>
          <w:p w14:paraId="53E3EABE" w14:textId="77777777" w:rsidR="00321DBE" w:rsidRPr="009F466A" w:rsidRDefault="00321DBE" w:rsidP="00C21496">
            <w:pPr>
              <w:pStyle w:val="TableText1left"/>
            </w:pPr>
            <w:r w:rsidRPr="009F466A">
              <w:t>STEP</w:t>
            </w:r>
            <w:r w:rsidRPr="009F466A">
              <w:br/>
              <w:t>(iloprost/bosentan)</w:t>
            </w:r>
          </w:p>
          <w:p w14:paraId="69B14CEB" w14:textId="77777777" w:rsidR="00321DBE" w:rsidRPr="009F466A" w:rsidRDefault="00321DBE" w:rsidP="00C21496">
            <w:pPr>
              <w:pStyle w:val="TableText1left"/>
            </w:pPr>
            <w:r w:rsidRPr="009F466A">
              <w:t>N=105</w:t>
            </w:r>
          </w:p>
        </w:tc>
        <w:tc>
          <w:tcPr>
            <w:tcW w:w="6077" w:type="dxa"/>
          </w:tcPr>
          <w:p w14:paraId="51E0C1AA" w14:textId="59F977A5" w:rsidR="00321DBE" w:rsidRPr="009F466A" w:rsidRDefault="00321DBE" w:rsidP="00C21496">
            <w:pPr>
              <w:pStyle w:val="TableText1left"/>
            </w:pPr>
            <w:r w:rsidRPr="009F466A">
              <w:t>Very low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hAnsi="Cambria Math" w:cs="Cambria Math"/>
                <w:bCs/>
                <w:color w:val="FF0000"/>
              </w:rPr>
              <w:t>⨀</w:t>
            </w:r>
            <w:r w:rsidR="00C220DD" w:rsidRPr="00C220DD">
              <w:rPr>
                <w:rFonts w:ascii="Cambria Math" w:hAnsi="Cambria Math" w:cs="Cambria Math"/>
                <w:color w:val="FF0000"/>
              </w:rPr>
              <w:t>⨀⨀</w:t>
            </w:r>
            <w:r w:rsidRPr="009F466A">
              <w:t>)</w:t>
            </w:r>
          </w:p>
          <w:p w14:paraId="36727EFC" w14:textId="77777777" w:rsidR="00321DBE" w:rsidRPr="009F466A" w:rsidRDefault="00321DBE" w:rsidP="00C21496">
            <w:pPr>
              <w:pStyle w:val="TableText1left"/>
            </w:pPr>
            <w:r w:rsidRPr="009F466A">
              <w:t>Fewer patients experienced clinical worsening with combination therapy compared with monotherapy, but the 95% CI indicates that there could also be an effect in the opposite direction (RR = 0.39; 95% CI 0.04, 3.45)</w:t>
            </w:r>
          </w:p>
        </w:tc>
      </w:tr>
      <w:tr w:rsidR="00321DBE" w:rsidRPr="009F466A" w14:paraId="2CE4E5B4" w14:textId="77777777" w:rsidTr="008B580D">
        <w:tc>
          <w:tcPr>
            <w:tcW w:w="1573" w:type="dxa"/>
          </w:tcPr>
          <w:p w14:paraId="46C65503" w14:textId="77777777" w:rsidR="00321DBE" w:rsidRPr="009F466A" w:rsidRDefault="00321DBE" w:rsidP="00C21496">
            <w:pPr>
              <w:pStyle w:val="TableText1left"/>
            </w:pPr>
            <w:r w:rsidRPr="009F466A">
              <w:t>All-cause mortality</w:t>
            </w:r>
          </w:p>
        </w:tc>
        <w:tc>
          <w:tcPr>
            <w:tcW w:w="1984" w:type="dxa"/>
          </w:tcPr>
          <w:p w14:paraId="41B81D85" w14:textId="77777777" w:rsidR="00321DBE" w:rsidRPr="009F466A" w:rsidRDefault="00321DBE" w:rsidP="00C21496">
            <w:pPr>
              <w:pStyle w:val="TableText1left"/>
            </w:pPr>
            <w:r w:rsidRPr="009F466A">
              <w:t>COMBI</w:t>
            </w:r>
            <w:r w:rsidRPr="009F466A">
              <w:br/>
              <w:t>(iloprost/bosentan)</w:t>
            </w:r>
          </w:p>
          <w:p w14:paraId="4F515174" w14:textId="77777777" w:rsidR="00321DBE" w:rsidRPr="009F466A" w:rsidRDefault="00321DBE" w:rsidP="00C21496">
            <w:pPr>
              <w:pStyle w:val="TableText1left"/>
            </w:pPr>
            <w:r w:rsidRPr="009F466A">
              <w:t>STEP</w:t>
            </w:r>
            <w:r w:rsidRPr="009F466A">
              <w:br/>
              <w:t>(iloprost/bosentan)</w:t>
            </w:r>
          </w:p>
          <w:p w14:paraId="7DAEBCAF" w14:textId="77777777" w:rsidR="00321DBE" w:rsidRPr="009F466A" w:rsidRDefault="00321DBE" w:rsidP="00C21496">
            <w:pPr>
              <w:pStyle w:val="TableText1left"/>
            </w:pPr>
            <w:r w:rsidRPr="009F466A">
              <w:t>N=105</w:t>
            </w:r>
          </w:p>
        </w:tc>
        <w:tc>
          <w:tcPr>
            <w:tcW w:w="6077" w:type="dxa"/>
          </w:tcPr>
          <w:p w14:paraId="338974D8" w14:textId="262322EB" w:rsidR="00321DBE" w:rsidRPr="009F466A" w:rsidRDefault="00321DBE" w:rsidP="00C21496">
            <w:pPr>
              <w:pStyle w:val="TableText1left"/>
            </w:pPr>
            <w:r w:rsidRPr="009F466A">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3B545245" w14:textId="77777777" w:rsidR="00321DBE" w:rsidRPr="009F466A" w:rsidRDefault="00321DBE" w:rsidP="00C21496">
            <w:pPr>
              <w:pStyle w:val="TableText1left"/>
            </w:pPr>
            <w:r w:rsidRPr="009F466A">
              <w:t>There were no deaths during the study period</w:t>
            </w:r>
          </w:p>
        </w:tc>
      </w:tr>
      <w:tr w:rsidR="00321DBE" w:rsidRPr="009F466A" w14:paraId="4859FEC9" w14:textId="77777777" w:rsidTr="008B580D">
        <w:tc>
          <w:tcPr>
            <w:tcW w:w="1573" w:type="dxa"/>
          </w:tcPr>
          <w:p w14:paraId="644CEC8D" w14:textId="77777777" w:rsidR="00321DBE" w:rsidRPr="009F466A" w:rsidRDefault="00321DBE" w:rsidP="00C21496">
            <w:pPr>
              <w:pStyle w:val="TableText1left"/>
            </w:pPr>
            <w:r w:rsidRPr="009F466A">
              <w:t>Hospitalisation due to worsening PAH</w:t>
            </w:r>
          </w:p>
        </w:tc>
        <w:tc>
          <w:tcPr>
            <w:tcW w:w="1984" w:type="dxa"/>
          </w:tcPr>
          <w:p w14:paraId="761BC5F8" w14:textId="77777777" w:rsidR="00321DBE" w:rsidRPr="009F466A" w:rsidRDefault="00321DBE" w:rsidP="00C21496">
            <w:pPr>
              <w:pStyle w:val="TableText1left"/>
            </w:pPr>
            <w:r w:rsidRPr="009F466A">
              <w:t>COMBI</w:t>
            </w:r>
            <w:r w:rsidRPr="009F466A">
              <w:br/>
              <w:t>(iloprost/bosentan)</w:t>
            </w:r>
          </w:p>
          <w:p w14:paraId="2286B8C0" w14:textId="77777777" w:rsidR="00321DBE" w:rsidRPr="009F466A" w:rsidRDefault="00321DBE" w:rsidP="00C21496">
            <w:pPr>
              <w:pStyle w:val="TableText1left"/>
            </w:pPr>
            <w:r w:rsidRPr="009F466A">
              <w:t>STEP</w:t>
            </w:r>
            <w:r w:rsidRPr="009F466A">
              <w:br/>
              <w:t xml:space="preserve">(iloprost/bosentan) </w:t>
            </w:r>
          </w:p>
          <w:p w14:paraId="256A68C1" w14:textId="77777777" w:rsidR="00321DBE" w:rsidRPr="009F466A" w:rsidRDefault="00321DBE" w:rsidP="00C21496">
            <w:pPr>
              <w:pStyle w:val="TableText1left"/>
            </w:pPr>
            <w:r w:rsidRPr="009F466A">
              <w:t>N=105</w:t>
            </w:r>
          </w:p>
        </w:tc>
        <w:tc>
          <w:tcPr>
            <w:tcW w:w="6077" w:type="dxa"/>
          </w:tcPr>
          <w:p w14:paraId="7E418721" w14:textId="58CA4173" w:rsidR="00321DBE" w:rsidRPr="009F466A" w:rsidRDefault="00321DBE" w:rsidP="00C21496">
            <w:pPr>
              <w:pStyle w:val="TableText1left"/>
            </w:pPr>
            <w:r w:rsidRPr="009F466A">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32EA0715" w14:textId="77777777" w:rsidR="00321DBE" w:rsidRDefault="00321DBE" w:rsidP="00C21496">
            <w:pPr>
              <w:pStyle w:val="TableText1left"/>
            </w:pPr>
            <w:r w:rsidRPr="009F466A">
              <w:t>Fewer patients were hospitalised with combination therapy compared with monotherapy, but the 95% CI indicates that there may also be an effect in the opposite direction (pooled ARD = −5.5%; 95% CI −18.9, 7.8)</w:t>
            </w:r>
          </w:p>
          <w:p w14:paraId="571E817A" w14:textId="77777777" w:rsidR="00AA35AB" w:rsidRPr="009F466A" w:rsidRDefault="00AA35AB" w:rsidP="00C21496">
            <w:pPr>
              <w:pStyle w:val="TableText1left"/>
            </w:pPr>
          </w:p>
        </w:tc>
      </w:tr>
      <w:tr w:rsidR="00321DBE" w:rsidRPr="009F466A" w14:paraId="30D3827A" w14:textId="77777777" w:rsidTr="008B580D">
        <w:tc>
          <w:tcPr>
            <w:tcW w:w="1573" w:type="dxa"/>
          </w:tcPr>
          <w:p w14:paraId="3F903A37" w14:textId="77777777" w:rsidR="00321DBE" w:rsidRPr="009F466A" w:rsidRDefault="00321DBE" w:rsidP="00C21496">
            <w:pPr>
              <w:pStyle w:val="TableText1left"/>
            </w:pPr>
            <w:r w:rsidRPr="009F466A">
              <w:t>Improved WHO FC</w:t>
            </w:r>
          </w:p>
        </w:tc>
        <w:tc>
          <w:tcPr>
            <w:tcW w:w="1984" w:type="dxa"/>
          </w:tcPr>
          <w:p w14:paraId="1B16179D" w14:textId="77777777" w:rsidR="00321DBE" w:rsidRPr="009F466A" w:rsidRDefault="00321DBE" w:rsidP="00C21496">
            <w:pPr>
              <w:pStyle w:val="TableText1left"/>
            </w:pPr>
            <w:r w:rsidRPr="009F466A">
              <w:t>STEP</w:t>
            </w:r>
            <w:r w:rsidRPr="009F466A">
              <w:br/>
              <w:t>(iloprost/bosentan)</w:t>
            </w:r>
          </w:p>
          <w:p w14:paraId="3994AE63" w14:textId="77777777" w:rsidR="00321DBE" w:rsidRPr="009F466A" w:rsidRDefault="00321DBE" w:rsidP="00C21496">
            <w:pPr>
              <w:pStyle w:val="TableText1left"/>
            </w:pPr>
            <w:r w:rsidRPr="009F466A">
              <w:t>N=65</w:t>
            </w:r>
          </w:p>
        </w:tc>
        <w:tc>
          <w:tcPr>
            <w:tcW w:w="6077" w:type="dxa"/>
          </w:tcPr>
          <w:p w14:paraId="17F2E954" w14:textId="2CB2596D" w:rsidR="00321DBE" w:rsidRPr="009F466A" w:rsidRDefault="00321DBE" w:rsidP="00C21496">
            <w:pPr>
              <w:pStyle w:val="TableText1left"/>
            </w:pPr>
            <w:r w:rsidRPr="009F466A">
              <w:t>Low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00C220DD" w:rsidRPr="00C220DD">
              <w:rPr>
                <w:rFonts w:ascii="Cambria Math" w:hAnsi="Cambria Math" w:cs="Cambria Math"/>
                <w:color w:val="FF0000"/>
              </w:rPr>
              <w:t>⨀</w:t>
            </w:r>
            <w:r w:rsidRPr="009F466A">
              <w:t>)</w:t>
            </w:r>
          </w:p>
          <w:p w14:paraId="5CEDFB6E" w14:textId="77777777" w:rsidR="00321DBE" w:rsidRPr="009F466A" w:rsidRDefault="00321DBE" w:rsidP="00C21496">
            <w:pPr>
              <w:pStyle w:val="TableText1left"/>
            </w:pPr>
            <w:r w:rsidRPr="009F466A">
              <w:t>Significantly more patients improved their WHO FC with combination therapy compared with monotherapy (RR = 5.67; 95% CI 1.36, 23.61)</w:t>
            </w:r>
          </w:p>
        </w:tc>
      </w:tr>
      <w:tr w:rsidR="00321DBE" w:rsidRPr="009F466A" w14:paraId="3F5F4B7B" w14:textId="77777777" w:rsidTr="008B580D">
        <w:tc>
          <w:tcPr>
            <w:tcW w:w="1573" w:type="dxa"/>
            <w:tcBorders>
              <w:top w:val="single" w:sz="4" w:space="0" w:color="auto"/>
              <w:left w:val="single" w:sz="4" w:space="0" w:color="auto"/>
              <w:bottom w:val="single" w:sz="4" w:space="0" w:color="auto"/>
              <w:right w:val="single" w:sz="4" w:space="0" w:color="auto"/>
            </w:tcBorders>
          </w:tcPr>
          <w:p w14:paraId="3D416227" w14:textId="77777777" w:rsidR="00321DBE" w:rsidRPr="009F466A" w:rsidRDefault="00321DBE" w:rsidP="00C21496">
            <w:pPr>
              <w:pStyle w:val="TableText1left"/>
            </w:pPr>
            <w:r w:rsidRPr="009F466A">
              <w:t>Worsened WHO FC</w:t>
            </w:r>
          </w:p>
        </w:tc>
        <w:tc>
          <w:tcPr>
            <w:tcW w:w="1984" w:type="dxa"/>
            <w:tcBorders>
              <w:top w:val="single" w:sz="4" w:space="0" w:color="auto"/>
              <w:left w:val="single" w:sz="4" w:space="0" w:color="auto"/>
              <w:bottom w:val="single" w:sz="4" w:space="0" w:color="auto"/>
              <w:right w:val="single" w:sz="4" w:space="0" w:color="auto"/>
            </w:tcBorders>
          </w:tcPr>
          <w:p w14:paraId="105F5839" w14:textId="77777777" w:rsidR="00321DBE" w:rsidRPr="009F466A" w:rsidRDefault="008F752B" w:rsidP="00C21496">
            <w:pPr>
              <w:pStyle w:val="TableText1left"/>
            </w:pPr>
            <w:r>
              <w:t>STEP</w:t>
            </w:r>
            <w:r>
              <w:br/>
              <w:t>(iloprost/bosentan)</w:t>
            </w:r>
          </w:p>
          <w:p w14:paraId="34C84552" w14:textId="77777777" w:rsidR="00321DBE" w:rsidRPr="009F466A" w:rsidRDefault="00321DBE" w:rsidP="00C21496">
            <w:pPr>
              <w:pStyle w:val="TableText1left"/>
            </w:pPr>
            <w:r w:rsidRPr="009F466A">
              <w:t>N=65</w:t>
            </w:r>
          </w:p>
        </w:tc>
        <w:tc>
          <w:tcPr>
            <w:tcW w:w="6077" w:type="dxa"/>
            <w:tcBorders>
              <w:top w:val="single" w:sz="4" w:space="0" w:color="auto"/>
              <w:left w:val="single" w:sz="4" w:space="0" w:color="auto"/>
              <w:bottom w:val="single" w:sz="4" w:space="0" w:color="auto"/>
              <w:right w:val="single" w:sz="4" w:space="0" w:color="auto"/>
            </w:tcBorders>
          </w:tcPr>
          <w:p w14:paraId="021820A0" w14:textId="732F7CB6" w:rsidR="00321DBE" w:rsidRPr="009F466A" w:rsidRDefault="00321DBE" w:rsidP="00C21496">
            <w:pPr>
              <w:pStyle w:val="TableText1left"/>
            </w:pPr>
            <w:r w:rsidRPr="009F466A">
              <w:t>Moderate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9F466A">
              <w:t>)</w:t>
            </w:r>
          </w:p>
          <w:p w14:paraId="72A858B0" w14:textId="77777777" w:rsidR="00321DBE" w:rsidRPr="009F466A" w:rsidRDefault="00321DBE" w:rsidP="00C21496">
            <w:pPr>
              <w:pStyle w:val="TableText1left"/>
            </w:pPr>
            <w:r w:rsidRPr="009F466A">
              <w:t>Fewer patients on combination therapy had worsening of their WHO FC compared with monotherapy, but the difference was not statistically significant (ARD = −3.0%; 95% CI −8.9, 2.8)</w:t>
            </w:r>
          </w:p>
        </w:tc>
      </w:tr>
      <w:tr w:rsidR="00321DBE" w:rsidRPr="009F466A" w14:paraId="56938BED" w14:textId="77777777" w:rsidTr="008B580D">
        <w:tc>
          <w:tcPr>
            <w:tcW w:w="1573" w:type="dxa"/>
          </w:tcPr>
          <w:p w14:paraId="45DF7BAF" w14:textId="77777777" w:rsidR="00321DBE" w:rsidRPr="009F466A" w:rsidRDefault="00321DBE" w:rsidP="00C21496">
            <w:pPr>
              <w:pStyle w:val="TableText1left"/>
            </w:pPr>
            <w:r w:rsidRPr="009F466A">
              <w:t>Change in 6MWD</w:t>
            </w:r>
            <w:r w:rsidRPr="009F466A">
              <w:rPr>
                <w:rFonts w:cs="Arial"/>
              </w:rPr>
              <w:t xml:space="preserve"> from baseline</w:t>
            </w:r>
          </w:p>
        </w:tc>
        <w:tc>
          <w:tcPr>
            <w:tcW w:w="1984" w:type="dxa"/>
          </w:tcPr>
          <w:p w14:paraId="2998C5C9" w14:textId="77777777" w:rsidR="00321DBE" w:rsidRPr="009F466A" w:rsidRDefault="00321DBE" w:rsidP="00C21496">
            <w:pPr>
              <w:pStyle w:val="TableText1left"/>
            </w:pPr>
            <w:r w:rsidRPr="009F466A">
              <w:t>COMBI</w:t>
            </w:r>
            <w:r w:rsidRPr="009F466A">
              <w:br/>
              <w:t>(iloprost/bosentan)</w:t>
            </w:r>
          </w:p>
          <w:p w14:paraId="64E8885C" w14:textId="77777777" w:rsidR="00321DBE" w:rsidRPr="009F466A" w:rsidRDefault="008F752B" w:rsidP="00C21496">
            <w:pPr>
              <w:pStyle w:val="TableText1left"/>
            </w:pPr>
            <w:r>
              <w:t>STEP</w:t>
            </w:r>
            <w:r>
              <w:br/>
              <w:t>(iloprost/bosentan)</w:t>
            </w:r>
          </w:p>
          <w:p w14:paraId="47C4112E" w14:textId="77777777" w:rsidR="00321DBE" w:rsidRPr="009F466A" w:rsidRDefault="00321DBE" w:rsidP="00C21496">
            <w:pPr>
              <w:pStyle w:val="TableText1left"/>
            </w:pPr>
            <w:r w:rsidRPr="009F466A">
              <w:t>N=105</w:t>
            </w:r>
          </w:p>
        </w:tc>
        <w:tc>
          <w:tcPr>
            <w:tcW w:w="6077" w:type="dxa"/>
          </w:tcPr>
          <w:p w14:paraId="47D3F0CB" w14:textId="0F4A81CF" w:rsidR="00321DBE" w:rsidRPr="009F466A" w:rsidRDefault="00321DBE" w:rsidP="00C21496">
            <w:pPr>
              <w:pStyle w:val="TableText1left"/>
            </w:pPr>
            <w:r w:rsidRPr="009F466A">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28C988D8" w14:textId="77777777" w:rsidR="00321DBE" w:rsidRPr="009F466A" w:rsidRDefault="00321DBE" w:rsidP="00C21496">
            <w:pPr>
              <w:pStyle w:val="TableText1left"/>
            </w:pPr>
            <w:r w:rsidRPr="009F466A">
              <w:t>Patients on combination therapy had a larger mean improvement in their 6MWD than those on monotherapy, but the difference was not clinically important (range 10−26 m walked further)</w:t>
            </w:r>
          </w:p>
        </w:tc>
      </w:tr>
      <w:tr w:rsidR="00321DBE" w:rsidRPr="009F466A" w14:paraId="16FDD153" w14:textId="77777777" w:rsidTr="008B580D">
        <w:tc>
          <w:tcPr>
            <w:tcW w:w="1573" w:type="dxa"/>
          </w:tcPr>
          <w:p w14:paraId="756BEB8B" w14:textId="77777777" w:rsidR="00321DBE" w:rsidRPr="009F466A" w:rsidRDefault="00321DBE" w:rsidP="00C21496">
            <w:pPr>
              <w:pStyle w:val="TableText1left"/>
            </w:pPr>
            <w:r w:rsidRPr="009F466A">
              <w:t>Change in QoL</w:t>
            </w:r>
            <w:r w:rsidRPr="009F466A">
              <w:rPr>
                <w:rFonts w:cs="Arial"/>
              </w:rPr>
              <w:t xml:space="preserve"> from baseline</w:t>
            </w:r>
            <w:r w:rsidRPr="009F466A">
              <w:t>:</w:t>
            </w:r>
          </w:p>
          <w:p w14:paraId="48383BA4" w14:textId="77777777" w:rsidR="00321DBE" w:rsidRPr="009F466A" w:rsidRDefault="00321DBE" w:rsidP="00C21496">
            <w:pPr>
              <w:pStyle w:val="TableText1left"/>
            </w:pPr>
            <w:r w:rsidRPr="009F466A">
              <w:t>EQ-VAS</w:t>
            </w:r>
            <w:r w:rsidRPr="009F466A">
              <w:rPr>
                <w:vertAlign w:val="superscript"/>
              </w:rPr>
              <w:t>a</w:t>
            </w:r>
          </w:p>
        </w:tc>
        <w:tc>
          <w:tcPr>
            <w:tcW w:w="1984" w:type="dxa"/>
          </w:tcPr>
          <w:p w14:paraId="3054DE11" w14:textId="77777777" w:rsidR="00321DBE" w:rsidRPr="009F466A" w:rsidRDefault="00321DBE" w:rsidP="00C21496">
            <w:pPr>
              <w:pStyle w:val="TableText1left"/>
            </w:pPr>
            <w:r w:rsidRPr="009F466A">
              <w:t>COMBI</w:t>
            </w:r>
            <w:r w:rsidRPr="009F466A">
              <w:br/>
              <w:t>(iloprost/bosentan)</w:t>
            </w:r>
          </w:p>
          <w:p w14:paraId="42D803B3" w14:textId="77777777" w:rsidR="00321DBE" w:rsidRPr="009F466A" w:rsidRDefault="00321DBE" w:rsidP="00C21496">
            <w:pPr>
              <w:pStyle w:val="TableText1left"/>
            </w:pPr>
            <w:r w:rsidRPr="009F466A">
              <w:t>N=40</w:t>
            </w:r>
          </w:p>
        </w:tc>
        <w:tc>
          <w:tcPr>
            <w:tcW w:w="6077" w:type="dxa"/>
          </w:tcPr>
          <w:p w14:paraId="7412B57A" w14:textId="79FB5DF0" w:rsidR="00321DBE" w:rsidRPr="009F466A" w:rsidRDefault="00321DBE" w:rsidP="00C21496">
            <w:pPr>
              <w:pStyle w:val="TableText1left"/>
            </w:pPr>
            <w:r w:rsidRPr="009F466A">
              <w:t xml:space="preserve">Very 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00C220DD" w:rsidRPr="00C220DD">
              <w:rPr>
                <w:rFonts w:ascii="Cambria Math" w:hAnsi="Cambria Math" w:cs="Cambria Math"/>
                <w:color w:val="FF0000"/>
              </w:rPr>
              <w:t>⨀⨀</w:t>
            </w:r>
            <w:r w:rsidRPr="009F466A">
              <w:t>)</w:t>
            </w:r>
          </w:p>
          <w:p w14:paraId="0CC90628" w14:textId="77777777" w:rsidR="00321DBE" w:rsidRPr="009F466A" w:rsidRDefault="00321DBE" w:rsidP="00C21496">
            <w:pPr>
              <w:pStyle w:val="TableText1left"/>
            </w:pPr>
            <w:r w:rsidRPr="009F466A">
              <w:t>Patients on combination therapy had a larger mean improvement in their QoL than those on monotherapy (</w:t>
            </w:r>
            <w:r w:rsidRPr="009F466A">
              <w:rPr>
                <w:rFonts w:cs="Arial"/>
              </w:rPr>
              <w:t>MD = 10 point improvement was a clinically important difference</w:t>
            </w:r>
            <w:r w:rsidRPr="009F466A">
              <w:t>)</w:t>
            </w:r>
          </w:p>
        </w:tc>
      </w:tr>
      <w:tr w:rsidR="00321DBE" w:rsidRPr="009F466A" w14:paraId="6FE3C6B7" w14:textId="77777777" w:rsidTr="008B580D">
        <w:tc>
          <w:tcPr>
            <w:tcW w:w="1573" w:type="dxa"/>
          </w:tcPr>
          <w:p w14:paraId="225417C0" w14:textId="77777777" w:rsidR="00321DBE" w:rsidRPr="009F466A" w:rsidRDefault="00321DBE" w:rsidP="00C21496">
            <w:pPr>
              <w:pStyle w:val="TableText1left"/>
            </w:pPr>
            <w:r w:rsidRPr="009F466A">
              <w:t>Change in haemodynamic parameters</w:t>
            </w:r>
            <w:r w:rsidRPr="009F466A">
              <w:rPr>
                <w:rFonts w:cs="Arial"/>
              </w:rPr>
              <w:t xml:space="preserve"> from baseline</w:t>
            </w:r>
            <w:r w:rsidRPr="009F466A">
              <w:t>:</w:t>
            </w:r>
          </w:p>
          <w:p w14:paraId="0F1FD5E1" w14:textId="77777777" w:rsidR="00321DBE" w:rsidRPr="009F466A" w:rsidRDefault="00321DBE" w:rsidP="00C21496">
            <w:pPr>
              <w:pStyle w:val="TableText1left"/>
            </w:pPr>
            <w:r w:rsidRPr="009F466A">
              <w:t>CAI, PVR, mPAP</w:t>
            </w:r>
          </w:p>
        </w:tc>
        <w:tc>
          <w:tcPr>
            <w:tcW w:w="1984" w:type="dxa"/>
            <w:tcBorders>
              <w:top w:val="single" w:sz="4" w:space="0" w:color="auto"/>
              <w:left w:val="single" w:sz="4" w:space="0" w:color="auto"/>
              <w:bottom w:val="single" w:sz="4" w:space="0" w:color="auto"/>
              <w:right w:val="single" w:sz="4" w:space="0" w:color="auto"/>
            </w:tcBorders>
          </w:tcPr>
          <w:p w14:paraId="535CC3E5" w14:textId="77777777" w:rsidR="00321DBE" w:rsidRPr="009F466A" w:rsidRDefault="00321DBE" w:rsidP="00C21496">
            <w:pPr>
              <w:pStyle w:val="TableText1left"/>
            </w:pPr>
            <w:r w:rsidRPr="009F466A">
              <w:t>STEP</w:t>
            </w:r>
            <w:r w:rsidRPr="009F466A">
              <w:br/>
              <w:t>(iloprost/b</w:t>
            </w:r>
            <w:r w:rsidR="008F752B">
              <w:t>osentan)</w:t>
            </w:r>
          </w:p>
          <w:p w14:paraId="28D41A02" w14:textId="77777777" w:rsidR="00321DBE" w:rsidRPr="009F466A" w:rsidRDefault="00321DBE" w:rsidP="00C21496">
            <w:pPr>
              <w:pStyle w:val="TableText1left"/>
            </w:pPr>
            <w:r w:rsidRPr="009F466A">
              <w:t>N=65</w:t>
            </w:r>
          </w:p>
        </w:tc>
        <w:tc>
          <w:tcPr>
            <w:tcW w:w="6077" w:type="dxa"/>
          </w:tcPr>
          <w:p w14:paraId="6BF69531" w14:textId="7BD14273" w:rsidR="00321DBE" w:rsidRPr="009F466A" w:rsidRDefault="00321DBE" w:rsidP="00C21496">
            <w:pPr>
              <w:pStyle w:val="TableText1left"/>
            </w:pPr>
            <w:r w:rsidRPr="009F466A">
              <w:t>Moderate quality</w:t>
            </w:r>
            <w:r w:rsidRPr="009F466A">
              <w:rPr>
                <w:rFonts w:cs="Cambria Math"/>
              </w:rPr>
              <w:t xml:space="preserve">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9F466A">
              <w:t>)</w:t>
            </w:r>
          </w:p>
          <w:p w14:paraId="6DC66A2A" w14:textId="77777777" w:rsidR="00321DBE" w:rsidRPr="009F466A" w:rsidRDefault="00321DBE" w:rsidP="00C21496">
            <w:pPr>
              <w:pStyle w:val="TableText1left"/>
            </w:pPr>
            <w:r w:rsidRPr="009F466A">
              <w:t>Patients on combination therapy had a larger mean improvement in their haemodynamic parameters than those on monotherapy (PVR MD = 30.4% improvement was a clinically important difference; mPAP clinically important MD = 15.6% improvement)</w:t>
            </w:r>
          </w:p>
        </w:tc>
      </w:tr>
    </w:tbl>
    <w:p w14:paraId="104B4542" w14:textId="77777777" w:rsidR="00321DBE" w:rsidRPr="00532B79" w:rsidRDefault="00321DBE" w:rsidP="00C21496">
      <w:pPr>
        <w:pStyle w:val="Tablenote"/>
        <w:jc w:val="left"/>
      </w:pPr>
      <w:r w:rsidRPr="00532B79">
        <w:t xml:space="preserve">a EQ-VAS scores range from 0 to 100. A higher score represents better QoL. </w:t>
      </w:r>
    </w:p>
    <w:p w14:paraId="32ACA24F" w14:textId="77777777" w:rsidR="00321DBE" w:rsidRPr="00532B79" w:rsidRDefault="00321DBE" w:rsidP="00C21496">
      <w:pPr>
        <w:pStyle w:val="Tablenote"/>
        <w:jc w:val="left"/>
      </w:pPr>
      <w:r w:rsidRPr="00532B79">
        <w:t>6MWD = 6-minute walk distance; ARD = absolute risk difference; CAI = cardiac index; CI = confidence interval; EQ-VAS = EuroQoL visual analogue scale; ERA = endothelin receptor antagonist; FC = functional class; GRADE = grading of recommendations assessment, development and evaluation1; MD = mean difference; mPAP = mean pulmonary artery pressure; PAH = pulmonary arterial hypertension; PVR = pulmonary vascular resistance; QoL = quality of life; RR = relative risk; WHO = World Health Organization</w:t>
      </w:r>
    </w:p>
    <w:p w14:paraId="23DB866B" w14:textId="77777777" w:rsidR="0016033A" w:rsidRPr="0016033A" w:rsidRDefault="0016033A" w:rsidP="00C21496">
      <w:pPr>
        <w:pStyle w:val="Heading5"/>
        <w:keepLines w:val="0"/>
        <w:numPr>
          <w:ilvl w:val="0"/>
          <w:numId w:val="0"/>
        </w:numPr>
        <w:spacing w:before="240"/>
        <w:jc w:val="left"/>
        <w:rPr>
          <w:color w:val="auto"/>
          <w:u w:val="single"/>
        </w:rPr>
      </w:pPr>
      <w:bookmarkStart w:id="110" w:name="_Ref506203156"/>
      <w:bookmarkStart w:id="111" w:name="_Toc508396847"/>
      <w:r w:rsidRPr="0016033A">
        <w:rPr>
          <w:color w:val="auto"/>
          <w:u w:val="single"/>
        </w:rPr>
        <w:lastRenderedPageBreak/>
        <w:t>Safety</w:t>
      </w:r>
    </w:p>
    <w:p w14:paraId="37C088EB" w14:textId="77777777" w:rsidR="0016033A" w:rsidRDefault="0016033A" w:rsidP="00C21496">
      <w:pPr>
        <w:jc w:val="left"/>
      </w:pPr>
      <w:r>
        <w:t xml:space="preserve">Two RCTs reported on the comparative safety of treatment with a </w:t>
      </w:r>
      <w:r w:rsidRPr="00E413B2">
        <w:t xml:space="preserve">prostanoid in addition to an ERA </w:t>
      </w:r>
      <w:r>
        <w:t xml:space="preserve">compared with an ERA alone in patients with </w:t>
      </w:r>
      <w:r w:rsidRPr="00E413B2">
        <w:t xml:space="preserve">WHO FC III/IV </w:t>
      </w:r>
      <w:r>
        <w:t>PAH:</w:t>
      </w:r>
    </w:p>
    <w:p w14:paraId="7051753C" w14:textId="77777777" w:rsidR="0016033A" w:rsidRPr="00B96C6F" w:rsidRDefault="0016033A" w:rsidP="00C21496">
      <w:pPr>
        <w:pStyle w:val="Bullettext"/>
        <w:ind w:left="720"/>
      </w:pPr>
      <w:r>
        <w:t>COMBI and STEP</w:t>
      </w:r>
    </w:p>
    <w:p w14:paraId="000B8526" w14:textId="77777777" w:rsidR="0016033A" w:rsidRPr="00B96C6F" w:rsidRDefault="0016033A" w:rsidP="00C21496">
      <w:pPr>
        <w:pStyle w:val="Bullettext"/>
        <w:ind w:left="720"/>
      </w:pPr>
      <w:r w:rsidRPr="00B96C6F">
        <w:t xml:space="preserve">There were no new </w:t>
      </w:r>
      <w:r>
        <w:t>safety signals identified.</w:t>
      </w:r>
    </w:p>
    <w:p w14:paraId="54FFAA24" w14:textId="77777777" w:rsidR="0016033A" w:rsidRPr="00256659" w:rsidRDefault="0016033A" w:rsidP="00C21496">
      <w:pPr>
        <w:jc w:val="left"/>
      </w:pPr>
      <w:r w:rsidRPr="00256659">
        <w:t>The evidence provided by these trials is summarised in</w:t>
      </w:r>
      <w:r w:rsidR="00C10642">
        <w:t xml:space="preserve"> </w:t>
      </w:r>
      <w:r w:rsidR="00CC79E1">
        <w:t>Table ES.</w:t>
      </w:r>
      <w:r w:rsidR="00CC79E1">
        <w:rPr>
          <w:noProof/>
        </w:rPr>
        <w:t>18</w:t>
      </w:r>
      <w:r w:rsidRPr="00256659">
        <w:t>.</w:t>
      </w:r>
    </w:p>
    <w:p w14:paraId="6F2F0EC7" w14:textId="77777777" w:rsidR="00AA35AB" w:rsidRDefault="0016033A" w:rsidP="00C21496">
      <w:pPr>
        <w:jc w:val="left"/>
      </w:pPr>
      <w:r>
        <w:t xml:space="preserve">Overall, </w:t>
      </w:r>
      <w:r w:rsidRPr="001E5DED">
        <w:t xml:space="preserve">there is considerable uncertainty as to whether the use of a prostanoid in addition to </w:t>
      </w:r>
      <w:r>
        <w:t xml:space="preserve">an </w:t>
      </w:r>
      <w:r w:rsidRPr="001E5DED">
        <w:t>ERA is likely to be as safe as ERA monotherapy in patients with WHO FC III/IV PAH</w:t>
      </w:r>
      <w:r w:rsidRPr="006316DF">
        <w:t xml:space="preserve">. </w:t>
      </w:r>
    </w:p>
    <w:p w14:paraId="7B56DEC0" w14:textId="77777777" w:rsidR="00A365C7" w:rsidRPr="009F466A" w:rsidRDefault="00A365C7" w:rsidP="00C21496">
      <w:pPr>
        <w:pStyle w:val="Caption"/>
        <w:jc w:val="left"/>
      </w:pPr>
      <w:bookmarkStart w:id="112" w:name="_Ref511118877"/>
      <w:bookmarkStart w:id="113" w:name="_Toc38372137"/>
      <w:bookmarkEnd w:id="110"/>
      <w:bookmarkEnd w:id="111"/>
      <w:r>
        <w:t>Table ES.</w:t>
      </w:r>
      <w:r w:rsidR="00CC79E1">
        <w:rPr>
          <w:noProof/>
        </w:rPr>
        <w:t>18</w:t>
      </w:r>
      <w:bookmarkEnd w:id="112"/>
      <w:r>
        <w:tab/>
      </w:r>
      <w:r w:rsidRPr="009F466A">
        <w:t>Summary of the evidence for the safety of a prostanoid in addition to an ERA, relative to ERA monotherapy</w:t>
      </w:r>
      <w:bookmarkEnd w:id="113"/>
    </w:p>
    <w:tbl>
      <w:tblPr>
        <w:tblStyle w:val="TableGrid"/>
        <w:tblW w:w="9634" w:type="dxa"/>
        <w:tblLook w:val="04A0" w:firstRow="1" w:lastRow="0" w:firstColumn="1" w:lastColumn="0" w:noHBand="0" w:noVBand="1"/>
        <w:tblCaption w:val="Summary of the evidence for the safety of a prostanoid in addition to an ERA, relative to ERA monotherapy"/>
      </w:tblPr>
      <w:tblGrid>
        <w:gridCol w:w="1555"/>
        <w:gridCol w:w="1984"/>
        <w:gridCol w:w="6095"/>
      </w:tblGrid>
      <w:tr w:rsidR="00321DBE" w:rsidRPr="009F466A" w14:paraId="6ADFA463" w14:textId="77777777" w:rsidTr="008979BD">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AC72B2" w14:textId="77777777" w:rsidR="00321DBE" w:rsidRPr="00A4053B" w:rsidRDefault="00321DBE" w:rsidP="00C21496">
            <w:pPr>
              <w:pStyle w:val="Tabletext"/>
              <w:rPr>
                <w:b/>
              </w:rPr>
            </w:pPr>
            <w:r w:rsidRPr="00A4053B">
              <w:rPr>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B8F5BF" w14:textId="77777777" w:rsidR="00321DBE" w:rsidRPr="00A4053B" w:rsidRDefault="00321DBE" w:rsidP="00C21496">
            <w:pPr>
              <w:pStyle w:val="Tabletext"/>
              <w:rPr>
                <w:b/>
              </w:rPr>
            </w:pPr>
            <w:r w:rsidRPr="00A4053B">
              <w:rPr>
                <w:b/>
              </w:rPr>
              <w:t xml:space="preserve">Included trials </w:t>
            </w:r>
          </w:p>
          <w:p w14:paraId="7AB88D7B" w14:textId="77777777" w:rsidR="00321DBE" w:rsidRPr="00A4053B" w:rsidRDefault="00321DBE" w:rsidP="00C21496">
            <w:pPr>
              <w:pStyle w:val="Tabletext"/>
              <w:rPr>
                <w:b/>
              </w:rPr>
            </w:pPr>
            <w:r w:rsidRPr="00A4053B">
              <w:rPr>
                <w:b/>
              </w:rPr>
              <w:t xml:space="preserve">No. of patients </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89382" w14:textId="77777777" w:rsidR="00321DBE" w:rsidRPr="00A4053B" w:rsidRDefault="00321DBE" w:rsidP="00C21496">
            <w:pPr>
              <w:pStyle w:val="Tabletext"/>
              <w:rPr>
                <w:b/>
              </w:rPr>
            </w:pPr>
            <w:r w:rsidRPr="00A4053B">
              <w:rPr>
                <w:b/>
              </w:rPr>
              <w:t>Summary of evidence</w:t>
            </w:r>
          </w:p>
        </w:tc>
      </w:tr>
      <w:tr w:rsidR="00321DBE" w:rsidRPr="009F466A" w14:paraId="741C0DEB"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20B252B8" w14:textId="77777777" w:rsidR="00321DBE" w:rsidRPr="00532B79" w:rsidRDefault="00321DBE" w:rsidP="00C21496">
            <w:pPr>
              <w:pStyle w:val="Tabletext"/>
            </w:pPr>
            <w:r w:rsidRPr="00532B79">
              <w:t>Patients with WHO FC III/IV PAH</w:t>
            </w:r>
          </w:p>
        </w:tc>
      </w:tr>
      <w:tr w:rsidR="00321DBE" w:rsidRPr="009F466A" w14:paraId="09BE91C7" w14:textId="77777777" w:rsidTr="00321DBE">
        <w:tc>
          <w:tcPr>
            <w:tcW w:w="1555" w:type="dxa"/>
            <w:tcBorders>
              <w:top w:val="single" w:sz="4" w:space="0" w:color="auto"/>
              <w:left w:val="single" w:sz="4" w:space="0" w:color="auto"/>
              <w:bottom w:val="single" w:sz="4" w:space="0" w:color="auto"/>
              <w:right w:val="single" w:sz="4" w:space="0" w:color="auto"/>
            </w:tcBorders>
          </w:tcPr>
          <w:p w14:paraId="734EEF99" w14:textId="77777777" w:rsidR="00321DBE" w:rsidRPr="00532B79" w:rsidRDefault="00321DBE" w:rsidP="00C21496">
            <w:pPr>
              <w:pStyle w:val="Tabletext"/>
            </w:pPr>
            <w:r w:rsidRPr="00532B79">
              <w:t>Any AE</w:t>
            </w:r>
          </w:p>
        </w:tc>
        <w:tc>
          <w:tcPr>
            <w:tcW w:w="1984" w:type="dxa"/>
            <w:tcBorders>
              <w:top w:val="single" w:sz="4" w:space="0" w:color="auto"/>
              <w:left w:val="single" w:sz="4" w:space="0" w:color="auto"/>
              <w:bottom w:val="single" w:sz="4" w:space="0" w:color="auto"/>
              <w:right w:val="single" w:sz="4" w:space="0" w:color="auto"/>
            </w:tcBorders>
          </w:tcPr>
          <w:p w14:paraId="364AAAE8" w14:textId="77777777" w:rsidR="00321DBE" w:rsidRPr="00532B79" w:rsidRDefault="00321DBE" w:rsidP="00C21496">
            <w:pPr>
              <w:pStyle w:val="Tabletext"/>
            </w:pPr>
            <w:r w:rsidRPr="00532B79">
              <w:t>COMBI</w:t>
            </w:r>
            <w:r w:rsidRPr="00532B79">
              <w:br/>
              <w:t>(iloprost/bosentan)</w:t>
            </w:r>
          </w:p>
          <w:p w14:paraId="698B5687" w14:textId="77777777" w:rsidR="00321DBE" w:rsidRPr="00532B79" w:rsidRDefault="00321DBE" w:rsidP="00C21496">
            <w:pPr>
              <w:pStyle w:val="Tabletext"/>
            </w:pPr>
            <w:r w:rsidRPr="00532B79">
              <w:t>STEP</w:t>
            </w:r>
            <w:r w:rsidRPr="00532B79">
              <w:br/>
              <w:t>(iloprost/bosentan)</w:t>
            </w:r>
          </w:p>
          <w:p w14:paraId="2183677D" w14:textId="77777777" w:rsidR="00321DBE" w:rsidRPr="00532B79" w:rsidRDefault="00321DBE" w:rsidP="00C21496">
            <w:pPr>
              <w:pStyle w:val="Tabletext"/>
            </w:pPr>
            <w:r w:rsidRPr="00532B79">
              <w:t>N=107</w:t>
            </w:r>
          </w:p>
        </w:tc>
        <w:tc>
          <w:tcPr>
            <w:tcW w:w="6095" w:type="dxa"/>
            <w:tcBorders>
              <w:top w:val="single" w:sz="4" w:space="0" w:color="auto"/>
              <w:left w:val="single" w:sz="4" w:space="0" w:color="auto"/>
              <w:bottom w:val="single" w:sz="4" w:space="0" w:color="auto"/>
              <w:right w:val="single" w:sz="4" w:space="0" w:color="auto"/>
            </w:tcBorders>
          </w:tcPr>
          <w:p w14:paraId="4925F635" w14:textId="04A7F3BC"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50633A40" w14:textId="77777777" w:rsidR="00321DBE" w:rsidRPr="00532B79" w:rsidRDefault="00321DBE" w:rsidP="00C21496">
            <w:pPr>
              <w:pStyle w:val="Tabletext"/>
            </w:pPr>
            <w:r w:rsidRPr="00532B79">
              <w:t>More patients experienced an AE with combination therapy compared with monotherapy, but the 95% CI indicates there was an effect in the opposite direction (pooled RR = 2.40; 95% CI 0.15, 37.41)</w:t>
            </w:r>
          </w:p>
        </w:tc>
      </w:tr>
      <w:tr w:rsidR="00321DBE" w:rsidRPr="009F466A" w14:paraId="1812F3F9" w14:textId="77777777" w:rsidTr="00321DBE">
        <w:tc>
          <w:tcPr>
            <w:tcW w:w="1555" w:type="dxa"/>
          </w:tcPr>
          <w:p w14:paraId="6EEB41AD" w14:textId="77777777" w:rsidR="00321DBE" w:rsidRPr="00532B79" w:rsidRDefault="00321DBE" w:rsidP="00C21496">
            <w:pPr>
              <w:pStyle w:val="Tabletext"/>
            </w:pPr>
            <w:r w:rsidRPr="00532B79">
              <w:t>Serious AEs</w:t>
            </w:r>
          </w:p>
        </w:tc>
        <w:tc>
          <w:tcPr>
            <w:tcW w:w="1984" w:type="dxa"/>
            <w:tcBorders>
              <w:top w:val="single" w:sz="4" w:space="0" w:color="auto"/>
              <w:left w:val="single" w:sz="4" w:space="0" w:color="auto"/>
              <w:bottom w:val="single" w:sz="4" w:space="0" w:color="auto"/>
              <w:right w:val="single" w:sz="4" w:space="0" w:color="auto"/>
            </w:tcBorders>
          </w:tcPr>
          <w:p w14:paraId="52438780" w14:textId="77777777" w:rsidR="00321DBE" w:rsidRPr="00532B79" w:rsidRDefault="00321DBE" w:rsidP="00C21496">
            <w:pPr>
              <w:pStyle w:val="Tabletext"/>
            </w:pPr>
            <w:r w:rsidRPr="00532B79">
              <w:t>STEP</w:t>
            </w:r>
            <w:r w:rsidRPr="00532B79">
              <w:br/>
              <w:t>(iloprost/bosentan)</w:t>
            </w:r>
          </w:p>
          <w:p w14:paraId="03B22ADF" w14:textId="77777777" w:rsidR="00321DBE" w:rsidRPr="00532B79" w:rsidRDefault="00321DBE" w:rsidP="00C21496">
            <w:pPr>
              <w:pStyle w:val="Tabletext"/>
            </w:pPr>
            <w:r w:rsidRPr="00532B79">
              <w:t>N=67</w:t>
            </w:r>
          </w:p>
        </w:tc>
        <w:tc>
          <w:tcPr>
            <w:tcW w:w="6095" w:type="dxa"/>
          </w:tcPr>
          <w:p w14:paraId="652359AB" w14:textId="7E1FD512" w:rsidR="00321DBE" w:rsidRPr="00532B79" w:rsidRDefault="00321DBE" w:rsidP="00C21496">
            <w:pPr>
              <w:pStyle w:val="Tabletext"/>
            </w:pPr>
            <w:r w:rsidRPr="00532B79">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1833D8DA" w14:textId="77777777" w:rsidR="00321DBE" w:rsidRPr="00532B79" w:rsidRDefault="00321DBE" w:rsidP="00C21496">
            <w:pPr>
              <w:pStyle w:val="Tabletext"/>
            </w:pPr>
            <w:r w:rsidRPr="00532B79">
              <w:t>Fewer patients had a serious AE with combination therapy compared with monotherapy, but the 95% CI indicates that there could also be an effect in the opposite direction (RR = 0.65; 95% CI 0.23, 1.85)</w:t>
            </w:r>
          </w:p>
        </w:tc>
      </w:tr>
      <w:tr w:rsidR="00321DBE" w:rsidRPr="009F466A" w14:paraId="68233B6F" w14:textId="77777777" w:rsidTr="00321DBE">
        <w:tc>
          <w:tcPr>
            <w:tcW w:w="1555" w:type="dxa"/>
          </w:tcPr>
          <w:p w14:paraId="2A264397" w14:textId="77777777" w:rsidR="00321DBE" w:rsidRPr="00532B79" w:rsidRDefault="00321DBE" w:rsidP="00C21496">
            <w:pPr>
              <w:pStyle w:val="Tabletext"/>
            </w:pPr>
            <w:r w:rsidRPr="00532B79">
              <w:t>AEs leading to treatment discontinuation</w:t>
            </w:r>
          </w:p>
        </w:tc>
        <w:tc>
          <w:tcPr>
            <w:tcW w:w="1984" w:type="dxa"/>
            <w:tcBorders>
              <w:top w:val="single" w:sz="4" w:space="0" w:color="auto"/>
              <w:left w:val="single" w:sz="4" w:space="0" w:color="auto"/>
              <w:bottom w:val="single" w:sz="4" w:space="0" w:color="auto"/>
              <w:right w:val="single" w:sz="4" w:space="0" w:color="auto"/>
            </w:tcBorders>
          </w:tcPr>
          <w:p w14:paraId="18FBD12C" w14:textId="77777777" w:rsidR="00321DBE" w:rsidRPr="00532B79" w:rsidRDefault="00321DBE" w:rsidP="00C21496">
            <w:pPr>
              <w:pStyle w:val="Tabletext"/>
            </w:pPr>
            <w:r w:rsidRPr="00532B79">
              <w:t>COMBI</w:t>
            </w:r>
            <w:r w:rsidRPr="00532B79">
              <w:br/>
              <w:t>(iloprost/bosentan)</w:t>
            </w:r>
          </w:p>
          <w:p w14:paraId="0F944C3F" w14:textId="77777777" w:rsidR="00321DBE" w:rsidRPr="00532B79" w:rsidRDefault="00321DBE" w:rsidP="00C21496">
            <w:pPr>
              <w:pStyle w:val="Tabletext"/>
            </w:pPr>
            <w:r w:rsidRPr="00532B79">
              <w:t>N=40</w:t>
            </w:r>
          </w:p>
        </w:tc>
        <w:tc>
          <w:tcPr>
            <w:tcW w:w="6095" w:type="dxa"/>
            <w:tcBorders>
              <w:top w:val="single" w:sz="4" w:space="0" w:color="auto"/>
              <w:left w:val="single" w:sz="4" w:space="0" w:color="auto"/>
              <w:bottom w:val="single" w:sz="4" w:space="0" w:color="auto"/>
              <w:right w:val="single" w:sz="4" w:space="0" w:color="auto"/>
            </w:tcBorders>
          </w:tcPr>
          <w:p w14:paraId="473DB666" w14:textId="42EF013B" w:rsidR="00321DBE" w:rsidRPr="00532B79" w:rsidRDefault="00321DBE" w:rsidP="00C21496">
            <w:pPr>
              <w:pStyle w:val="Tabletext"/>
            </w:pPr>
            <w:r w:rsidRPr="00532B79">
              <w:t xml:space="preserve">Very 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532B79">
              <w:t>)</w:t>
            </w:r>
          </w:p>
          <w:p w14:paraId="258B32A9" w14:textId="77777777" w:rsidR="00321DBE" w:rsidRPr="00532B79" w:rsidRDefault="00321DBE" w:rsidP="00C21496">
            <w:pPr>
              <w:pStyle w:val="Tabletext"/>
            </w:pPr>
            <w:r w:rsidRPr="00532B79">
              <w:t>More patients had an AE leading to treatment discontinuation with combination therapy compared with monotherapy, but the difference was not statistically significant (ARD = 5.2%; 95% CI −4.8, 15.3)</w:t>
            </w:r>
          </w:p>
        </w:tc>
      </w:tr>
    </w:tbl>
    <w:p w14:paraId="2AABFA73" w14:textId="77777777" w:rsidR="00321DBE" w:rsidRPr="008F752B" w:rsidRDefault="00321DBE" w:rsidP="00C21496">
      <w:pPr>
        <w:pStyle w:val="Tablenote"/>
        <w:jc w:val="left"/>
      </w:pPr>
      <w:r w:rsidRPr="008F752B">
        <w:t>AE = adverse event; CI = confidence interval; ERA = endothelin receptor antagonist; FC = functional class; GRADE = grading of recommendations assessment, development and evaluation1; PAH = pulmonary arterial hypertension; RR = relative risk; WHO = World Health Organization</w:t>
      </w:r>
    </w:p>
    <w:p w14:paraId="22B3E18D" w14:textId="77777777" w:rsidR="00321DBE" w:rsidRPr="009F466A" w:rsidRDefault="00321DBE" w:rsidP="00C21496">
      <w:pPr>
        <w:pStyle w:val="Heading4"/>
      </w:pPr>
      <w:r w:rsidRPr="009F466A">
        <w:t>sGC stimulator in addition to an ERA</w:t>
      </w:r>
    </w:p>
    <w:p w14:paraId="69E0948B" w14:textId="77777777" w:rsidR="0016033A" w:rsidRPr="0016033A" w:rsidRDefault="0016033A" w:rsidP="00C21496">
      <w:pPr>
        <w:pStyle w:val="Heading5"/>
        <w:keepLines w:val="0"/>
        <w:numPr>
          <w:ilvl w:val="0"/>
          <w:numId w:val="0"/>
        </w:numPr>
        <w:spacing w:before="240"/>
        <w:jc w:val="left"/>
        <w:rPr>
          <w:color w:val="auto"/>
          <w:u w:val="single"/>
        </w:rPr>
      </w:pPr>
      <w:bookmarkStart w:id="114" w:name="_Ref506204602"/>
      <w:bookmarkStart w:id="115" w:name="_Toc508396848"/>
      <w:r w:rsidRPr="0016033A">
        <w:rPr>
          <w:color w:val="auto"/>
          <w:u w:val="single"/>
        </w:rPr>
        <w:t>Clinical effectiveness</w:t>
      </w:r>
    </w:p>
    <w:p w14:paraId="67AF8CC8" w14:textId="77777777" w:rsidR="0016033A" w:rsidRDefault="0016033A" w:rsidP="00C21496">
      <w:pPr>
        <w:jc w:val="left"/>
      </w:pPr>
      <w:r>
        <w:t xml:space="preserve">One </w:t>
      </w:r>
      <w:r w:rsidRPr="00822C52">
        <w:t xml:space="preserve">RCT reported on the effectiveness of a </w:t>
      </w:r>
      <w:r w:rsidRPr="002375AD">
        <w:t xml:space="preserve">sGC stimulator in addition to an ERA </w:t>
      </w:r>
      <w:r w:rsidRPr="00822C52">
        <w:t xml:space="preserve">in treating PAH </w:t>
      </w:r>
      <w:r>
        <w:t xml:space="preserve">when </w:t>
      </w:r>
      <w:r w:rsidRPr="00822C52">
        <w:t xml:space="preserve">compared with </w:t>
      </w:r>
      <w:r>
        <w:t xml:space="preserve">a </w:t>
      </w:r>
      <w:r w:rsidRPr="00822C52">
        <w:t>placebo plus a</w:t>
      </w:r>
      <w:r>
        <w:t>n</w:t>
      </w:r>
      <w:r w:rsidRPr="00822C52">
        <w:t xml:space="preserve"> </w:t>
      </w:r>
      <w:r>
        <w:t>ERA</w:t>
      </w:r>
      <w:r w:rsidRPr="00822C52">
        <w:t xml:space="preserve"> in patients with PAH</w:t>
      </w:r>
      <w:r>
        <w:t>:</w:t>
      </w:r>
    </w:p>
    <w:p w14:paraId="54B8D143" w14:textId="77777777" w:rsidR="0016033A" w:rsidRPr="00CF209C" w:rsidRDefault="0016033A" w:rsidP="00C21496">
      <w:pPr>
        <w:pStyle w:val="Bullettext"/>
        <w:ind w:left="720"/>
      </w:pPr>
      <w:r>
        <w:t>PATENT-1</w:t>
      </w:r>
      <w:r w:rsidRPr="00CF209C">
        <w:t xml:space="preserve"> enrolled </w:t>
      </w:r>
      <w:r>
        <w:t xml:space="preserve">WHO FC I-IV PAH patients </w:t>
      </w:r>
      <w:r w:rsidRPr="00CA622D">
        <w:t xml:space="preserve">with or without background ERA or prostanoid therapy, </w:t>
      </w:r>
      <w:r>
        <w:t xml:space="preserve">to receive riociguat or placebo. </w:t>
      </w:r>
    </w:p>
    <w:p w14:paraId="5140D3CD" w14:textId="77777777" w:rsidR="0016033A" w:rsidRPr="00CF209C" w:rsidRDefault="0016033A" w:rsidP="00C21496">
      <w:pPr>
        <w:pStyle w:val="Bullettext"/>
        <w:ind w:left="720"/>
      </w:pPr>
      <w:r>
        <w:t>A s</w:t>
      </w:r>
      <w:r w:rsidRPr="00CF209C">
        <w:t xml:space="preserve">ubgroup analysis for </w:t>
      </w:r>
      <w:r>
        <w:t xml:space="preserve">pre-treated </w:t>
      </w:r>
      <w:r w:rsidRPr="00CF209C">
        <w:t>patients with WHO FC III/IV PAH</w:t>
      </w:r>
      <w:r>
        <w:t xml:space="preserve"> was also undertaken</w:t>
      </w:r>
    </w:p>
    <w:p w14:paraId="3F0A3EDB" w14:textId="77777777" w:rsidR="0016033A" w:rsidRPr="00CF209C" w:rsidRDefault="0016033A" w:rsidP="00C21496">
      <w:pPr>
        <w:pStyle w:val="Bullettext"/>
        <w:numPr>
          <w:ilvl w:val="1"/>
          <w:numId w:val="7"/>
        </w:numPr>
        <w:ind w:left="1134"/>
      </w:pPr>
      <w:r w:rsidRPr="00054374">
        <w:t xml:space="preserve">12/87 (14%) patients </w:t>
      </w:r>
      <w:r>
        <w:t xml:space="preserve">in this subgroup </w:t>
      </w:r>
      <w:r w:rsidRPr="00054374">
        <w:t>were treated with a prostanoid</w:t>
      </w:r>
      <w:r>
        <w:t xml:space="preserve"> instead of an ERA.</w:t>
      </w:r>
    </w:p>
    <w:p w14:paraId="071A3A2B" w14:textId="77777777" w:rsidR="0016033A" w:rsidRDefault="0016033A" w:rsidP="00C21496">
      <w:pPr>
        <w:jc w:val="left"/>
      </w:pPr>
      <w:r>
        <w:t xml:space="preserve">The evidence provided by this trial is summarised in </w:t>
      </w:r>
      <w:r w:rsidR="00CC79E1">
        <w:t>Table ES.</w:t>
      </w:r>
      <w:r w:rsidR="00CC79E1">
        <w:rPr>
          <w:noProof/>
        </w:rPr>
        <w:t>19</w:t>
      </w:r>
      <w:r>
        <w:t>.</w:t>
      </w:r>
    </w:p>
    <w:p w14:paraId="14363899" w14:textId="77777777" w:rsidR="00AA35AB" w:rsidRDefault="0016033A" w:rsidP="00C21496">
      <w:pPr>
        <w:jc w:val="left"/>
      </w:pPr>
      <w:r>
        <w:lastRenderedPageBreak/>
        <w:t xml:space="preserve">Overall, </w:t>
      </w:r>
      <w:r w:rsidRPr="000522D6">
        <w:t xml:space="preserve">there </w:t>
      </w:r>
      <w:r w:rsidRPr="006F5806">
        <w:t xml:space="preserve">is </w:t>
      </w:r>
      <w:r>
        <w:t xml:space="preserve">very </w:t>
      </w:r>
      <w:r w:rsidRPr="006F5806">
        <w:t>limited</w:t>
      </w:r>
      <w:r w:rsidRPr="000522D6">
        <w:t xml:space="preserve"> evidence </w:t>
      </w:r>
      <w:r>
        <w:t>indicating that the</w:t>
      </w:r>
      <w:r w:rsidRPr="000522D6">
        <w:t xml:space="preserve"> </w:t>
      </w:r>
      <w:r w:rsidRPr="006316DF">
        <w:t xml:space="preserve">use of a </w:t>
      </w:r>
      <w:r w:rsidRPr="00DC1C45">
        <w:t>sGC stimulator</w:t>
      </w:r>
      <w:r w:rsidRPr="00D00AC2">
        <w:t xml:space="preserve"> in addition </w:t>
      </w:r>
      <w:r w:rsidRPr="00731E4D">
        <w:t xml:space="preserve">to an ERA, relative to ERA monotherapy, </w:t>
      </w:r>
      <w:r w:rsidR="00C07794">
        <w:rPr>
          <w:noProof/>
          <w:color w:val="000000"/>
          <w:highlight w:val="black"/>
        </w:rPr>
        <w:t>''''''''' ''''' ''''''''''''''''''</w:t>
      </w:r>
      <w:r w:rsidRPr="00731E4D">
        <w:t xml:space="preserve"> for PAH patients. The evidence for patients with WHO FC III/IV PAH showed a similar </w:t>
      </w:r>
      <w:r w:rsidR="00C07794">
        <w:rPr>
          <w:noProof/>
          <w:color w:val="000000"/>
          <w:highlight w:val="black"/>
        </w:rPr>
        <w:t>''''''''''''''''''</w:t>
      </w:r>
      <w:r w:rsidRPr="00731E4D">
        <w:t xml:space="preserve"> effect. This finding would be stronger if it were replicated in additional research.</w:t>
      </w:r>
    </w:p>
    <w:p w14:paraId="7F26092A" w14:textId="77777777" w:rsidR="00A365C7" w:rsidRPr="00A365C7" w:rsidRDefault="00A365C7" w:rsidP="00C21496">
      <w:pPr>
        <w:pStyle w:val="Caption"/>
        <w:jc w:val="left"/>
      </w:pPr>
      <w:bookmarkStart w:id="116" w:name="_Ref511118889"/>
      <w:bookmarkStart w:id="117" w:name="_Toc38372138"/>
      <w:bookmarkEnd w:id="114"/>
      <w:bookmarkEnd w:id="115"/>
      <w:r>
        <w:t>Table ES.</w:t>
      </w:r>
      <w:r w:rsidR="00CC79E1">
        <w:rPr>
          <w:noProof/>
        </w:rPr>
        <w:t>19</w:t>
      </w:r>
      <w:bookmarkEnd w:id="116"/>
      <w:r>
        <w:tab/>
      </w:r>
      <w:r w:rsidRPr="009F466A">
        <w:t>Summary of the evidence for the clinical effectiveness of a sGC stimulator in addition to an ERA, relative to ERA monotherapy</w:t>
      </w:r>
      <w:bookmarkEnd w:id="117"/>
    </w:p>
    <w:tbl>
      <w:tblPr>
        <w:tblStyle w:val="TableGrid"/>
        <w:tblW w:w="9634" w:type="dxa"/>
        <w:tblLook w:val="04A0" w:firstRow="1" w:lastRow="0" w:firstColumn="1" w:lastColumn="0" w:noHBand="0" w:noVBand="1"/>
        <w:tblCaption w:val="Summary of the evidence for the clinical effectiveness of a sGC stimulator in addition to an ERA, relative to ERA monotherapy"/>
      </w:tblPr>
      <w:tblGrid>
        <w:gridCol w:w="1573"/>
        <w:gridCol w:w="1572"/>
        <w:gridCol w:w="7245"/>
      </w:tblGrid>
      <w:tr w:rsidR="00321DBE" w:rsidRPr="009F466A" w14:paraId="4D1456BD" w14:textId="77777777" w:rsidTr="008979BD">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3A8A50" w14:textId="77777777" w:rsidR="00321DBE" w:rsidRPr="00532B79" w:rsidRDefault="00321DBE" w:rsidP="00C21496">
            <w:pPr>
              <w:pStyle w:val="Tabletext"/>
              <w:rPr>
                <w:rFonts w:cs="Arial"/>
                <w:b/>
              </w:rPr>
            </w:pPr>
            <w:r w:rsidRPr="00532B79">
              <w:rPr>
                <w:rFonts w:cs="Arial"/>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91B37" w14:textId="77777777" w:rsidR="00321DBE" w:rsidRPr="00532B79" w:rsidRDefault="00321DBE" w:rsidP="00C21496">
            <w:pPr>
              <w:pStyle w:val="Tabletext"/>
              <w:rPr>
                <w:rFonts w:cs="Arial"/>
                <w:b/>
              </w:rPr>
            </w:pPr>
            <w:r w:rsidRPr="00532B79">
              <w:rPr>
                <w:rFonts w:cs="Arial"/>
                <w:b/>
              </w:rPr>
              <w:t xml:space="preserve">Included trials </w:t>
            </w:r>
          </w:p>
          <w:p w14:paraId="3CF60C6F" w14:textId="77777777" w:rsidR="00321DBE" w:rsidRPr="00532B79" w:rsidRDefault="00321DBE" w:rsidP="00C21496">
            <w:pPr>
              <w:pStyle w:val="Tabletext"/>
              <w:rPr>
                <w:rFonts w:cs="Arial"/>
                <w:b/>
              </w:rPr>
            </w:pPr>
            <w:r w:rsidRPr="00532B79">
              <w:rPr>
                <w:rFonts w:cs="Arial"/>
                <w:b/>
              </w:rPr>
              <w:t xml:space="preserve">No. of patients </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47D71D" w14:textId="77777777" w:rsidR="00321DBE" w:rsidRPr="00532B79" w:rsidRDefault="00321DBE" w:rsidP="00C21496">
            <w:pPr>
              <w:pStyle w:val="Tabletext"/>
              <w:rPr>
                <w:rFonts w:cs="Arial"/>
                <w:b/>
              </w:rPr>
            </w:pPr>
            <w:r w:rsidRPr="00532B79">
              <w:rPr>
                <w:rFonts w:cs="Arial"/>
                <w:b/>
              </w:rPr>
              <w:t>Summary of evidence</w:t>
            </w:r>
          </w:p>
        </w:tc>
      </w:tr>
      <w:tr w:rsidR="00321DBE" w:rsidRPr="009F466A" w14:paraId="4AE6E195"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20507D62" w14:textId="77777777" w:rsidR="00321DBE" w:rsidRPr="00532B79" w:rsidRDefault="00321DBE" w:rsidP="00C21496">
            <w:pPr>
              <w:pStyle w:val="Tabletext"/>
              <w:keepNext/>
              <w:rPr>
                <w:rFonts w:cs="Arial"/>
              </w:rPr>
            </w:pPr>
            <w:r w:rsidRPr="00532B79">
              <w:rPr>
                <w:rFonts w:cs="Arial"/>
              </w:rPr>
              <w:t>All PAH patients</w:t>
            </w:r>
          </w:p>
        </w:tc>
      </w:tr>
      <w:tr w:rsidR="00321DBE" w:rsidRPr="00731E4D" w14:paraId="34F745CF" w14:textId="77777777" w:rsidTr="00321DBE">
        <w:tc>
          <w:tcPr>
            <w:tcW w:w="1555" w:type="dxa"/>
            <w:tcBorders>
              <w:top w:val="single" w:sz="4" w:space="0" w:color="auto"/>
              <w:left w:val="single" w:sz="4" w:space="0" w:color="auto"/>
              <w:bottom w:val="single" w:sz="4" w:space="0" w:color="auto"/>
              <w:right w:val="single" w:sz="4" w:space="0" w:color="auto"/>
            </w:tcBorders>
          </w:tcPr>
          <w:p w14:paraId="1668E7D3" w14:textId="77777777" w:rsidR="00321DBE" w:rsidRPr="00731E4D" w:rsidRDefault="00321DBE" w:rsidP="00C21496">
            <w:pPr>
              <w:pStyle w:val="Tabletext"/>
              <w:rPr>
                <w:rFonts w:cs="Arial"/>
              </w:rPr>
            </w:pPr>
            <w:r w:rsidRPr="00731E4D">
              <w:rPr>
                <w:rFonts w:cs="Arial"/>
              </w:rPr>
              <w:t>Clinical worsening</w:t>
            </w:r>
          </w:p>
        </w:tc>
        <w:tc>
          <w:tcPr>
            <w:tcW w:w="1984" w:type="dxa"/>
            <w:tcBorders>
              <w:top w:val="single" w:sz="4" w:space="0" w:color="auto"/>
              <w:left w:val="single" w:sz="4" w:space="0" w:color="auto"/>
              <w:bottom w:val="single" w:sz="4" w:space="0" w:color="auto"/>
              <w:right w:val="single" w:sz="4" w:space="0" w:color="auto"/>
            </w:tcBorders>
          </w:tcPr>
          <w:p w14:paraId="51924332" w14:textId="77777777" w:rsidR="00321DBE" w:rsidRPr="00731E4D" w:rsidRDefault="00321DBE" w:rsidP="00C21496">
            <w:pPr>
              <w:pStyle w:val="Tabletext"/>
              <w:rPr>
                <w:rFonts w:cs="Arial"/>
              </w:rPr>
            </w:pPr>
            <w:r w:rsidRPr="00731E4D">
              <w:rPr>
                <w:rFonts w:cs="Arial"/>
              </w:rPr>
              <w:t>PATENT-1</w:t>
            </w:r>
            <w:r w:rsidRPr="00731E4D">
              <w:rPr>
                <w:rFonts w:cs="Arial"/>
              </w:rPr>
              <w:br/>
              <w:t>(riociguat/ERA)</w:t>
            </w:r>
          </w:p>
          <w:p w14:paraId="7328C22F" w14:textId="77777777" w:rsidR="00321DBE" w:rsidRPr="00731E4D" w:rsidRDefault="00321DBE" w:rsidP="00C21496">
            <w:pPr>
              <w:pStyle w:val="Tabletext"/>
              <w:rPr>
                <w:rFonts w:cs="Arial"/>
              </w:rPr>
            </w:pPr>
            <w:r w:rsidRPr="00731E4D">
              <w:rPr>
                <w:rFonts w:cs="Arial"/>
              </w:rPr>
              <w:t>N=167</w:t>
            </w:r>
          </w:p>
        </w:tc>
        <w:tc>
          <w:tcPr>
            <w:tcW w:w="6095" w:type="dxa"/>
            <w:tcBorders>
              <w:top w:val="single" w:sz="4" w:space="0" w:color="auto"/>
              <w:left w:val="single" w:sz="4" w:space="0" w:color="auto"/>
              <w:bottom w:val="single" w:sz="4" w:space="0" w:color="auto"/>
              <w:right w:val="single" w:sz="4" w:space="0" w:color="auto"/>
            </w:tcBorders>
          </w:tcPr>
          <w:p w14:paraId="7DAE69ED" w14:textId="6C3E729B" w:rsidR="00321DBE" w:rsidRPr="00731E4D" w:rsidRDefault="00321DBE" w:rsidP="001960CE">
            <w:pPr>
              <w:pStyle w:val="Tabletext"/>
              <w:numPr>
                <w:ilvl w:val="0"/>
                <w:numId w:val="20"/>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272295D2"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74DA6257"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78FBA7A0"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695AA76C"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55D5D5A4" w14:textId="77777777" w:rsidR="00321DBE"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0771D4A4" w14:textId="77777777" w:rsidR="00EF11C0" w:rsidRPr="00C07794" w:rsidRDefault="00EF11C0" w:rsidP="00C07794">
            <w:pPr>
              <w:pStyle w:val="Tabletext"/>
              <w:spacing w:before="20" w:after="20"/>
              <w:ind w:left="227" w:hanging="227"/>
              <w:rPr>
                <w:rFonts w:cs="Arial"/>
                <w:highlight w:val="black"/>
              </w:rPr>
            </w:pPr>
          </w:p>
        </w:tc>
      </w:tr>
      <w:tr w:rsidR="00321DBE" w:rsidRPr="00731E4D" w14:paraId="2C950726" w14:textId="77777777" w:rsidTr="00321DBE">
        <w:tc>
          <w:tcPr>
            <w:tcW w:w="1555" w:type="dxa"/>
          </w:tcPr>
          <w:p w14:paraId="0D3DF2D0" w14:textId="77777777" w:rsidR="00321DBE" w:rsidRPr="00731E4D" w:rsidRDefault="00321DBE" w:rsidP="00C21496">
            <w:pPr>
              <w:pStyle w:val="Tabletext"/>
              <w:rPr>
                <w:rFonts w:cs="Arial"/>
              </w:rPr>
            </w:pPr>
            <w:r w:rsidRPr="00731E4D">
              <w:rPr>
                <w:rFonts w:cs="Arial"/>
              </w:rPr>
              <w:t>All-cause mortality</w:t>
            </w:r>
          </w:p>
        </w:tc>
        <w:tc>
          <w:tcPr>
            <w:tcW w:w="1984" w:type="dxa"/>
            <w:tcBorders>
              <w:top w:val="single" w:sz="4" w:space="0" w:color="auto"/>
              <w:left w:val="single" w:sz="4" w:space="0" w:color="auto"/>
              <w:bottom w:val="single" w:sz="4" w:space="0" w:color="auto"/>
              <w:right w:val="single" w:sz="4" w:space="0" w:color="auto"/>
            </w:tcBorders>
          </w:tcPr>
          <w:p w14:paraId="1C98DC86"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2F50B4AE" w14:textId="77777777" w:rsidR="00321DBE" w:rsidRPr="00731E4D" w:rsidRDefault="00321DBE" w:rsidP="00C21496">
            <w:pPr>
              <w:pStyle w:val="Tabletext"/>
              <w:rPr>
                <w:rFonts w:cs="Arial"/>
              </w:rPr>
            </w:pPr>
            <w:r w:rsidRPr="00731E4D">
              <w:rPr>
                <w:rFonts w:cs="Arial"/>
              </w:rPr>
              <w:t>N=167</w:t>
            </w:r>
          </w:p>
        </w:tc>
        <w:tc>
          <w:tcPr>
            <w:tcW w:w="6095" w:type="dxa"/>
          </w:tcPr>
          <w:p w14:paraId="4630534C" w14:textId="19429765" w:rsidR="00321DBE" w:rsidRPr="00C07794" w:rsidRDefault="00321DBE" w:rsidP="001960CE">
            <w:pPr>
              <w:pStyle w:val="Tabletext"/>
              <w:numPr>
                <w:ilvl w:val="0"/>
                <w:numId w:val="20"/>
              </w:numPr>
              <w:spacing w:before="20" w:after="20"/>
              <w:ind w:left="227" w:hanging="227"/>
              <w:rPr>
                <w:rFonts w:cs="Arial"/>
              </w:rPr>
            </w:pPr>
            <w:r w:rsidRPr="00C07794">
              <w:rPr>
                <w:rFonts w:cs="Arial"/>
              </w:rPr>
              <w:t xml:space="preserve">High quality evidence (GRADE </w:t>
            </w:r>
            <w:r w:rsidR="00C220DD" w:rsidRPr="00C220DD">
              <w:rPr>
                <w:rFonts w:ascii="Cambria Math" w:hAnsi="Cambria Math" w:cs="Cambria Math"/>
                <w:color w:val="00B050"/>
              </w:rPr>
              <w:t>⨁⨁⨁⨁</w:t>
            </w:r>
            <w:r w:rsidRPr="00C07794">
              <w:rPr>
                <w:rFonts w:cs="Arial"/>
              </w:rPr>
              <w:t>)</w:t>
            </w:r>
          </w:p>
          <w:p w14:paraId="46F86D84" w14:textId="77777777" w:rsidR="00C07794"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438E31CD" w14:textId="77777777" w:rsidR="00C07794"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41195EF0" w14:textId="77777777" w:rsidR="00C07794"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055BF263" w14:textId="77777777" w:rsidR="00321DBE"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336E613C" w14:textId="77777777" w:rsidR="00EF11C0" w:rsidRPr="00C07794" w:rsidRDefault="00EF11C0" w:rsidP="00C07794">
            <w:pPr>
              <w:pStyle w:val="Tabletext"/>
              <w:spacing w:before="20" w:after="20"/>
              <w:ind w:left="227" w:hanging="227"/>
              <w:rPr>
                <w:rFonts w:cs="Arial"/>
                <w:sz w:val="12"/>
                <w:szCs w:val="12"/>
                <w:highlight w:val="black"/>
              </w:rPr>
            </w:pPr>
          </w:p>
        </w:tc>
      </w:tr>
      <w:tr w:rsidR="00321DBE" w:rsidRPr="00731E4D" w14:paraId="5E3DDF40" w14:textId="77777777" w:rsidTr="00321DBE">
        <w:tc>
          <w:tcPr>
            <w:tcW w:w="1555" w:type="dxa"/>
            <w:tcBorders>
              <w:top w:val="single" w:sz="4" w:space="0" w:color="auto"/>
              <w:left w:val="single" w:sz="4" w:space="0" w:color="auto"/>
              <w:bottom w:val="single" w:sz="4" w:space="0" w:color="auto"/>
              <w:right w:val="single" w:sz="4" w:space="0" w:color="auto"/>
            </w:tcBorders>
          </w:tcPr>
          <w:p w14:paraId="6C401A2A" w14:textId="77777777" w:rsidR="00321DBE" w:rsidRPr="00731E4D" w:rsidRDefault="00321DBE" w:rsidP="00C21496">
            <w:pPr>
              <w:pStyle w:val="Tabletext"/>
              <w:rPr>
                <w:rFonts w:cs="Arial"/>
              </w:rPr>
            </w:pPr>
            <w:r w:rsidRPr="00731E4D">
              <w:rPr>
                <w:rFonts w:cs="Arial"/>
              </w:rPr>
              <w:t>Hospitalisation due to worsening PAH</w:t>
            </w:r>
          </w:p>
        </w:tc>
        <w:tc>
          <w:tcPr>
            <w:tcW w:w="1984" w:type="dxa"/>
            <w:tcBorders>
              <w:top w:val="single" w:sz="4" w:space="0" w:color="auto"/>
              <w:left w:val="single" w:sz="4" w:space="0" w:color="auto"/>
              <w:bottom w:val="single" w:sz="4" w:space="0" w:color="auto"/>
              <w:right w:val="single" w:sz="4" w:space="0" w:color="auto"/>
            </w:tcBorders>
          </w:tcPr>
          <w:p w14:paraId="7238A388"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01E6965D" w14:textId="77777777" w:rsidR="00321DBE" w:rsidRPr="00731E4D" w:rsidRDefault="00321DBE" w:rsidP="00C21496">
            <w:pPr>
              <w:pStyle w:val="Tabletext"/>
              <w:rPr>
                <w:rFonts w:cs="Arial"/>
              </w:rPr>
            </w:pPr>
            <w:r w:rsidRPr="00731E4D">
              <w:rPr>
                <w:rFonts w:cs="Arial"/>
              </w:rPr>
              <w:t>N=167</w:t>
            </w:r>
          </w:p>
        </w:tc>
        <w:tc>
          <w:tcPr>
            <w:tcW w:w="6095" w:type="dxa"/>
            <w:tcBorders>
              <w:top w:val="single" w:sz="4" w:space="0" w:color="auto"/>
              <w:left w:val="single" w:sz="4" w:space="0" w:color="auto"/>
              <w:bottom w:val="single" w:sz="4" w:space="0" w:color="auto"/>
              <w:right w:val="single" w:sz="4" w:space="0" w:color="auto"/>
            </w:tcBorders>
          </w:tcPr>
          <w:p w14:paraId="06232E4D" w14:textId="7AF1FFF6" w:rsidR="00321DBE" w:rsidRPr="00C07794" w:rsidRDefault="00321DBE" w:rsidP="001960CE">
            <w:pPr>
              <w:pStyle w:val="Tabletext"/>
              <w:numPr>
                <w:ilvl w:val="0"/>
                <w:numId w:val="20"/>
              </w:numPr>
              <w:spacing w:before="20" w:after="20"/>
              <w:ind w:left="227" w:hanging="227"/>
              <w:rPr>
                <w:rFonts w:cs="Arial"/>
              </w:rPr>
            </w:pPr>
            <w:r w:rsidRPr="00C07794">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C07794">
              <w:rPr>
                <w:rFonts w:cs="Arial"/>
              </w:rPr>
              <w:t>)</w:t>
            </w:r>
          </w:p>
          <w:p w14:paraId="0EB40284"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2AD13173"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3662D983"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093F58C9" w14:textId="77777777" w:rsidR="00321DBE" w:rsidRPr="00C07794" w:rsidRDefault="00C07794" w:rsidP="004159AB">
            <w:pPr>
              <w:pStyle w:val="Tabletext"/>
              <w:spacing w:before="20" w:after="20"/>
              <w:ind w:left="227" w:hanging="227"/>
              <w:rPr>
                <w:rFonts w:cs="Arial"/>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tc>
      </w:tr>
      <w:tr w:rsidR="00321DBE" w:rsidRPr="00731E4D" w14:paraId="1A2934B5" w14:textId="77777777" w:rsidTr="00321DBE">
        <w:tc>
          <w:tcPr>
            <w:tcW w:w="1555" w:type="dxa"/>
            <w:tcBorders>
              <w:top w:val="single" w:sz="4" w:space="0" w:color="auto"/>
              <w:left w:val="single" w:sz="4" w:space="0" w:color="auto"/>
              <w:bottom w:val="single" w:sz="4" w:space="0" w:color="auto"/>
              <w:right w:val="single" w:sz="4" w:space="0" w:color="auto"/>
            </w:tcBorders>
          </w:tcPr>
          <w:p w14:paraId="06AA77FD" w14:textId="77777777" w:rsidR="00321DBE" w:rsidRPr="00731E4D" w:rsidRDefault="00321DBE" w:rsidP="00C21496">
            <w:pPr>
              <w:pStyle w:val="Tabletext"/>
              <w:rPr>
                <w:rFonts w:cs="Arial"/>
              </w:rPr>
            </w:pPr>
            <w:r w:rsidRPr="00731E4D">
              <w:rPr>
                <w:rFonts w:cs="Arial"/>
              </w:rPr>
              <w:t>Improved WHO FC</w:t>
            </w:r>
          </w:p>
        </w:tc>
        <w:tc>
          <w:tcPr>
            <w:tcW w:w="1984" w:type="dxa"/>
            <w:tcBorders>
              <w:top w:val="single" w:sz="4" w:space="0" w:color="auto"/>
              <w:left w:val="single" w:sz="4" w:space="0" w:color="auto"/>
              <w:bottom w:val="single" w:sz="4" w:space="0" w:color="auto"/>
              <w:right w:val="single" w:sz="4" w:space="0" w:color="auto"/>
            </w:tcBorders>
          </w:tcPr>
          <w:p w14:paraId="54C9E14D"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5FD5303F" w14:textId="77777777" w:rsidR="00321DBE" w:rsidRPr="00731E4D" w:rsidRDefault="00321DBE" w:rsidP="00C21496">
            <w:pPr>
              <w:pStyle w:val="Tabletext"/>
              <w:rPr>
                <w:rFonts w:cs="Arial"/>
              </w:rPr>
            </w:pPr>
            <w:r w:rsidRPr="00731E4D">
              <w:rPr>
                <w:rFonts w:cs="Arial"/>
              </w:rPr>
              <w:t>N=167</w:t>
            </w:r>
          </w:p>
        </w:tc>
        <w:tc>
          <w:tcPr>
            <w:tcW w:w="6095" w:type="dxa"/>
            <w:tcBorders>
              <w:top w:val="single" w:sz="4" w:space="0" w:color="auto"/>
              <w:left w:val="single" w:sz="4" w:space="0" w:color="auto"/>
              <w:bottom w:val="single" w:sz="4" w:space="0" w:color="auto"/>
              <w:right w:val="single" w:sz="4" w:space="0" w:color="auto"/>
            </w:tcBorders>
          </w:tcPr>
          <w:p w14:paraId="10A8C299" w14:textId="527AF394" w:rsidR="00321DBE" w:rsidRPr="00731E4D" w:rsidRDefault="00321DBE" w:rsidP="001960CE">
            <w:pPr>
              <w:pStyle w:val="Tabletext"/>
              <w:numPr>
                <w:ilvl w:val="0"/>
                <w:numId w:val="20"/>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353E15AA"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29D1E96F"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74F51685"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796DEC4A" w14:textId="77777777" w:rsidR="00321DBE"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090EDC61" w14:textId="77777777" w:rsidR="00EF11C0" w:rsidRPr="00C07794" w:rsidRDefault="00EF11C0" w:rsidP="00C07794">
            <w:pPr>
              <w:pStyle w:val="Tabletext"/>
              <w:spacing w:before="20" w:after="20"/>
              <w:ind w:left="227" w:hanging="227"/>
              <w:rPr>
                <w:rFonts w:cs="Arial"/>
                <w:sz w:val="12"/>
                <w:szCs w:val="12"/>
                <w:highlight w:val="black"/>
              </w:rPr>
            </w:pPr>
          </w:p>
        </w:tc>
      </w:tr>
      <w:tr w:rsidR="00321DBE" w:rsidRPr="009F466A" w14:paraId="06A0AD91" w14:textId="77777777" w:rsidTr="00321DBE">
        <w:tc>
          <w:tcPr>
            <w:tcW w:w="1555" w:type="dxa"/>
          </w:tcPr>
          <w:p w14:paraId="39D7B176" w14:textId="77777777" w:rsidR="00321DBE" w:rsidRPr="00731E4D" w:rsidRDefault="00321DBE" w:rsidP="00C21496">
            <w:pPr>
              <w:pStyle w:val="Tabletext"/>
              <w:rPr>
                <w:rFonts w:cs="Arial"/>
              </w:rPr>
            </w:pPr>
            <w:r w:rsidRPr="00731E4D">
              <w:rPr>
                <w:rFonts w:cs="Arial"/>
              </w:rPr>
              <w:t>Worsened WHO FC</w:t>
            </w:r>
          </w:p>
        </w:tc>
        <w:tc>
          <w:tcPr>
            <w:tcW w:w="1984" w:type="dxa"/>
            <w:tcBorders>
              <w:top w:val="single" w:sz="4" w:space="0" w:color="auto"/>
              <w:left w:val="single" w:sz="4" w:space="0" w:color="auto"/>
              <w:bottom w:val="single" w:sz="4" w:space="0" w:color="auto"/>
              <w:right w:val="single" w:sz="4" w:space="0" w:color="auto"/>
            </w:tcBorders>
          </w:tcPr>
          <w:p w14:paraId="22BFCE11"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33511F9E" w14:textId="77777777" w:rsidR="00321DBE" w:rsidRPr="00731E4D" w:rsidRDefault="00321DBE" w:rsidP="00C21496">
            <w:pPr>
              <w:pStyle w:val="Tabletext"/>
              <w:rPr>
                <w:rFonts w:cs="Arial"/>
              </w:rPr>
            </w:pPr>
            <w:r w:rsidRPr="00731E4D">
              <w:rPr>
                <w:rFonts w:cs="Arial"/>
              </w:rPr>
              <w:t>N=167</w:t>
            </w:r>
          </w:p>
        </w:tc>
        <w:tc>
          <w:tcPr>
            <w:tcW w:w="6095" w:type="dxa"/>
          </w:tcPr>
          <w:p w14:paraId="4A36C824" w14:textId="01E25EF0" w:rsidR="00321DBE" w:rsidRPr="00731E4D" w:rsidRDefault="00321DBE" w:rsidP="001960CE">
            <w:pPr>
              <w:pStyle w:val="Tabletext"/>
              <w:numPr>
                <w:ilvl w:val="0"/>
                <w:numId w:val="20"/>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32A8DB74"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12F7CAD5"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472D111D"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26F6672B" w14:textId="77777777" w:rsidR="004159AB" w:rsidRDefault="00C07794" w:rsidP="00C07794">
            <w:pPr>
              <w:pStyle w:val="Tabletext"/>
              <w:spacing w:before="20" w:after="20"/>
              <w:ind w:left="227" w:hanging="227"/>
              <w:rPr>
                <w:rFonts w:ascii="Symbol" w:hAnsi="Symbol" w:cs="Arial"/>
                <w:noProof/>
                <w:color w:val="000000"/>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p>
          <w:p w14:paraId="55E0AA19" w14:textId="77777777" w:rsidR="00321DBE" w:rsidRDefault="00C07794" w:rsidP="00C07794">
            <w:pPr>
              <w:pStyle w:val="Tabletext"/>
              <w:spacing w:before="20" w:after="20"/>
              <w:ind w:left="227" w:hanging="227"/>
              <w:rPr>
                <w:rFonts w:ascii="Symbol" w:hAnsi="Symbol" w:cs="Arial"/>
                <w:noProof/>
                <w:color w:val="000000"/>
                <w:sz w:val="12"/>
                <w:szCs w:val="12"/>
                <w:highlight w:val="black"/>
              </w:rPr>
            </w:pP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Pr>
                <w:rFonts w:ascii="Symbol" w:hAnsi="Symbol" w:cs="Arial"/>
                <w:noProof/>
                <w:color w:val="000000"/>
                <w:highlight w:val="black"/>
              </w:rPr>
              <w:t></w:t>
            </w:r>
            <w:r w:rsidRPr="00C07794">
              <w:rPr>
                <w:rFonts w:ascii="Symbol" w:hAnsi="Symbol" w:cs="Arial"/>
                <w:noProof/>
                <w:color w:val="000000"/>
                <w:sz w:val="12"/>
                <w:szCs w:val="12"/>
                <w:highlight w:val="black"/>
              </w:rPr>
              <w:t></w:t>
            </w:r>
          </w:p>
          <w:p w14:paraId="26EA53E1" w14:textId="77777777" w:rsidR="00EF11C0" w:rsidRPr="00C07794" w:rsidRDefault="00EF11C0" w:rsidP="00C07794">
            <w:pPr>
              <w:pStyle w:val="Tabletext"/>
              <w:spacing w:before="20" w:after="20"/>
              <w:ind w:left="227" w:hanging="227"/>
              <w:rPr>
                <w:rFonts w:cs="Arial"/>
                <w:highlight w:val="black"/>
              </w:rPr>
            </w:pPr>
          </w:p>
        </w:tc>
      </w:tr>
      <w:tr w:rsidR="00321DBE" w:rsidRPr="00731E4D" w14:paraId="71CED9E2" w14:textId="77777777" w:rsidTr="00321DBE">
        <w:tc>
          <w:tcPr>
            <w:tcW w:w="1555" w:type="dxa"/>
          </w:tcPr>
          <w:p w14:paraId="5D2F4A72" w14:textId="77777777" w:rsidR="00321DBE" w:rsidRPr="00731E4D" w:rsidRDefault="00321DBE" w:rsidP="00C21496">
            <w:pPr>
              <w:pStyle w:val="Tabletext"/>
              <w:rPr>
                <w:rFonts w:cs="Arial"/>
              </w:rPr>
            </w:pPr>
            <w:r w:rsidRPr="00731E4D">
              <w:rPr>
                <w:rFonts w:cs="Arial"/>
              </w:rPr>
              <w:t>Change in 6MWD from baseline</w:t>
            </w:r>
          </w:p>
        </w:tc>
        <w:tc>
          <w:tcPr>
            <w:tcW w:w="1984" w:type="dxa"/>
          </w:tcPr>
          <w:p w14:paraId="7A47EF25"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34AE68AF" w14:textId="77777777" w:rsidR="00321DBE" w:rsidRPr="00731E4D" w:rsidRDefault="00321DBE" w:rsidP="00C21496">
            <w:pPr>
              <w:pStyle w:val="Tabletext"/>
              <w:rPr>
                <w:rFonts w:cs="Arial"/>
              </w:rPr>
            </w:pPr>
            <w:r w:rsidRPr="00731E4D">
              <w:rPr>
                <w:rFonts w:cs="Arial"/>
              </w:rPr>
              <w:t>N=167</w:t>
            </w:r>
          </w:p>
        </w:tc>
        <w:tc>
          <w:tcPr>
            <w:tcW w:w="6095" w:type="dxa"/>
          </w:tcPr>
          <w:p w14:paraId="21F2E05C" w14:textId="707CC394" w:rsidR="00321DBE" w:rsidRPr="00731E4D" w:rsidRDefault="00321DBE" w:rsidP="001960CE">
            <w:pPr>
              <w:pStyle w:val="Tabletext"/>
              <w:numPr>
                <w:ilvl w:val="0"/>
                <w:numId w:val="20"/>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731E4D">
              <w:rPr>
                <w:rFonts w:cs="Arial"/>
              </w:rPr>
              <w:t>)</w:t>
            </w:r>
          </w:p>
          <w:p w14:paraId="7D95FAA4"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7DBD61E1"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65610220"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559B7C89" w14:textId="77777777" w:rsidR="00321DBE"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490577B9" w14:textId="77777777" w:rsidR="00EF11C0" w:rsidRPr="00C07794" w:rsidRDefault="00EF11C0" w:rsidP="00C07794">
            <w:pPr>
              <w:pStyle w:val="Tabletext"/>
              <w:spacing w:before="20" w:after="20"/>
              <w:ind w:left="227" w:hanging="227"/>
              <w:rPr>
                <w:rFonts w:cs="Arial"/>
                <w:sz w:val="12"/>
                <w:szCs w:val="12"/>
                <w:highlight w:val="black"/>
              </w:rPr>
            </w:pPr>
          </w:p>
        </w:tc>
      </w:tr>
      <w:tr w:rsidR="00321DBE" w:rsidRPr="00731E4D" w14:paraId="2C175D55" w14:textId="77777777" w:rsidTr="00321DBE">
        <w:tc>
          <w:tcPr>
            <w:tcW w:w="1555" w:type="dxa"/>
          </w:tcPr>
          <w:p w14:paraId="27899F99" w14:textId="77777777" w:rsidR="00321DBE" w:rsidRPr="00731E4D" w:rsidRDefault="00321DBE" w:rsidP="00C21496">
            <w:pPr>
              <w:pStyle w:val="Tabletext"/>
              <w:rPr>
                <w:rFonts w:cs="Arial"/>
              </w:rPr>
            </w:pPr>
            <w:r w:rsidRPr="00731E4D">
              <w:rPr>
                <w:rFonts w:cs="Arial"/>
              </w:rPr>
              <w:t>Change in QoL from baseline:</w:t>
            </w:r>
          </w:p>
          <w:p w14:paraId="65BC8B05" w14:textId="77777777" w:rsidR="00321DBE" w:rsidRPr="00731E4D" w:rsidRDefault="00321DBE" w:rsidP="00C21496">
            <w:pPr>
              <w:pStyle w:val="Tabletext"/>
              <w:rPr>
                <w:rFonts w:cs="Arial"/>
              </w:rPr>
            </w:pPr>
            <w:r w:rsidRPr="00731E4D">
              <w:rPr>
                <w:rFonts w:cs="Arial"/>
              </w:rPr>
              <w:t>EQ-5D</w:t>
            </w:r>
            <w:r w:rsidRPr="00731E4D">
              <w:rPr>
                <w:rFonts w:cs="Arial"/>
                <w:vertAlign w:val="superscript"/>
              </w:rPr>
              <w:t>a</w:t>
            </w:r>
            <w:r w:rsidRPr="00731E4D">
              <w:rPr>
                <w:rFonts w:cs="Arial"/>
              </w:rPr>
              <w:t>, LPH</w:t>
            </w:r>
            <w:r w:rsidRPr="00731E4D">
              <w:rPr>
                <w:rFonts w:cs="Arial"/>
                <w:vertAlign w:val="superscript"/>
              </w:rPr>
              <w:t>b</w:t>
            </w:r>
          </w:p>
        </w:tc>
        <w:tc>
          <w:tcPr>
            <w:tcW w:w="1984" w:type="dxa"/>
          </w:tcPr>
          <w:p w14:paraId="0D2E21E0"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3DD646CC" w14:textId="77777777" w:rsidR="00321DBE" w:rsidRPr="00731E4D" w:rsidRDefault="00321DBE" w:rsidP="00C21496">
            <w:pPr>
              <w:pStyle w:val="Tabletext"/>
              <w:rPr>
                <w:rFonts w:cs="Arial"/>
              </w:rPr>
            </w:pPr>
            <w:r w:rsidRPr="00731E4D">
              <w:rPr>
                <w:rFonts w:cs="Arial"/>
              </w:rPr>
              <w:t>N=167</w:t>
            </w:r>
          </w:p>
        </w:tc>
        <w:tc>
          <w:tcPr>
            <w:tcW w:w="6095" w:type="dxa"/>
          </w:tcPr>
          <w:p w14:paraId="6066D154" w14:textId="4BC5901B" w:rsidR="00321DBE" w:rsidRPr="00731E4D" w:rsidRDefault="00321DBE" w:rsidP="001960CE">
            <w:pPr>
              <w:pStyle w:val="Tabletext"/>
              <w:numPr>
                <w:ilvl w:val="0"/>
                <w:numId w:val="20"/>
              </w:numPr>
              <w:spacing w:before="20" w:after="20"/>
              <w:ind w:left="227" w:hanging="227"/>
              <w:rPr>
                <w:rFonts w:cs="Arial"/>
              </w:rPr>
            </w:pPr>
            <w:r w:rsidRPr="00731E4D">
              <w:rPr>
                <w:rFonts w:cs="Arial"/>
              </w:rPr>
              <w:t xml:space="preserve">High quality evidence (GRADE </w:t>
            </w:r>
            <w:r w:rsidR="00C220DD" w:rsidRPr="00C220DD">
              <w:rPr>
                <w:rFonts w:ascii="Cambria Math" w:hAnsi="Cambria Math" w:cs="Cambria Math"/>
                <w:color w:val="00B050"/>
              </w:rPr>
              <w:t>⨁⨁⨁⨁</w:t>
            </w:r>
            <w:r w:rsidRPr="00731E4D">
              <w:rPr>
                <w:rFonts w:cs="Arial"/>
              </w:rPr>
              <w:t>)</w:t>
            </w:r>
          </w:p>
          <w:p w14:paraId="63797FD2"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4729823E"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1E764E08" w14:textId="77777777" w:rsidR="004159AB" w:rsidRDefault="00C07794" w:rsidP="00EF11C0">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3B9C43A7" w14:textId="77777777" w:rsidR="004159AB" w:rsidRDefault="00C07794" w:rsidP="00EF11C0">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p>
          <w:p w14:paraId="74DC20BA" w14:textId="77777777" w:rsidR="00321DBE" w:rsidRDefault="00C07794" w:rsidP="00EF11C0">
            <w:pPr>
              <w:pStyle w:val="Tabletext"/>
              <w:spacing w:before="20" w:after="20"/>
              <w:ind w:left="227" w:hanging="227"/>
              <w:rPr>
                <w:rFonts w:ascii="Symbol" w:hAnsi="Symbol" w:cs="Arial"/>
                <w:noProof/>
                <w:color w:val="000000"/>
                <w:sz w:val="12"/>
                <w:szCs w:val="12"/>
                <w:highlight w:val="black"/>
              </w:rPr>
            </w:pP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4159AB">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3BE06F37" w14:textId="77777777" w:rsidR="00EF11C0" w:rsidRPr="00EF11C0" w:rsidRDefault="00EF11C0" w:rsidP="00EF11C0">
            <w:pPr>
              <w:pStyle w:val="Tabletext"/>
              <w:spacing w:before="20" w:after="20"/>
              <w:ind w:left="227" w:hanging="227"/>
              <w:rPr>
                <w:rFonts w:cs="Arial"/>
                <w:sz w:val="12"/>
                <w:szCs w:val="12"/>
                <w:highlight w:val="black"/>
              </w:rPr>
            </w:pPr>
          </w:p>
        </w:tc>
      </w:tr>
      <w:tr w:rsidR="00321DBE" w:rsidRPr="009F466A" w14:paraId="0D398E52" w14:textId="77777777" w:rsidTr="00321DBE">
        <w:tc>
          <w:tcPr>
            <w:tcW w:w="1555" w:type="dxa"/>
          </w:tcPr>
          <w:p w14:paraId="1764633E" w14:textId="77777777" w:rsidR="00321DBE" w:rsidRPr="00731E4D" w:rsidRDefault="00321DBE" w:rsidP="00C21496">
            <w:pPr>
              <w:pStyle w:val="Tabletext"/>
              <w:rPr>
                <w:rFonts w:cs="Arial"/>
              </w:rPr>
            </w:pPr>
            <w:r w:rsidRPr="00731E4D">
              <w:rPr>
                <w:rFonts w:cs="Arial"/>
              </w:rPr>
              <w:t>Change in haemodynamic parameters from baseline:</w:t>
            </w:r>
          </w:p>
          <w:p w14:paraId="01400171" w14:textId="77777777" w:rsidR="00321DBE" w:rsidRDefault="00321DBE" w:rsidP="00C21496">
            <w:pPr>
              <w:pStyle w:val="Tabletext"/>
              <w:rPr>
                <w:rFonts w:cs="Arial"/>
              </w:rPr>
            </w:pPr>
            <w:r w:rsidRPr="00731E4D">
              <w:rPr>
                <w:rFonts w:cs="Arial"/>
              </w:rPr>
              <w:t>PVR</w:t>
            </w:r>
          </w:p>
          <w:p w14:paraId="0F83FD35" w14:textId="77777777" w:rsidR="00EF11C0" w:rsidRPr="00731E4D" w:rsidRDefault="00EF11C0" w:rsidP="00C21496">
            <w:pPr>
              <w:pStyle w:val="Tabletext"/>
              <w:rPr>
                <w:rFonts w:cs="Arial"/>
              </w:rPr>
            </w:pPr>
          </w:p>
        </w:tc>
        <w:tc>
          <w:tcPr>
            <w:tcW w:w="1984" w:type="dxa"/>
          </w:tcPr>
          <w:p w14:paraId="559593B9"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665111C2" w14:textId="77777777" w:rsidR="00321DBE" w:rsidRPr="00731E4D" w:rsidRDefault="00321DBE" w:rsidP="00C21496">
            <w:pPr>
              <w:pStyle w:val="Tabletext"/>
              <w:rPr>
                <w:rFonts w:cs="Arial"/>
              </w:rPr>
            </w:pPr>
            <w:r w:rsidRPr="00731E4D">
              <w:rPr>
                <w:rFonts w:cs="Arial"/>
              </w:rPr>
              <w:t>N=148</w:t>
            </w:r>
          </w:p>
        </w:tc>
        <w:tc>
          <w:tcPr>
            <w:tcW w:w="6095" w:type="dxa"/>
          </w:tcPr>
          <w:p w14:paraId="4F233710" w14:textId="7368FB4A" w:rsidR="00321DBE" w:rsidRPr="00731E4D" w:rsidRDefault="00321DBE" w:rsidP="001960CE">
            <w:pPr>
              <w:pStyle w:val="Tabletext"/>
              <w:numPr>
                <w:ilvl w:val="0"/>
                <w:numId w:val="20"/>
              </w:numPr>
              <w:spacing w:before="20" w:after="20"/>
              <w:ind w:left="227" w:hanging="227"/>
              <w:rPr>
                <w:rFonts w:cs="Arial"/>
              </w:rPr>
            </w:pPr>
            <w:r w:rsidRPr="00731E4D">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731E4D">
              <w:rPr>
                <w:rFonts w:cs="Arial"/>
              </w:rPr>
              <w:t>)</w:t>
            </w:r>
          </w:p>
          <w:p w14:paraId="150436C2"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5DB57110" w14:textId="77777777" w:rsidR="00EF11C0" w:rsidRP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14BF62AF" w14:textId="77777777" w:rsidR="00321DBE" w:rsidRPr="00C07794" w:rsidRDefault="00C07794" w:rsidP="00EF11C0">
            <w:pPr>
              <w:pStyle w:val="Tabletext"/>
              <w:spacing w:before="20" w:after="20"/>
              <w:ind w:left="227" w:hanging="227"/>
              <w:rPr>
                <w:rFonts w:cs="Arial"/>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r w:rsidR="00321DBE" w:rsidRPr="009F466A" w14:paraId="7D154E79"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7415A2D9" w14:textId="77777777" w:rsidR="00321DBE" w:rsidRPr="00532B79" w:rsidRDefault="00321DBE" w:rsidP="00C21496">
            <w:pPr>
              <w:pStyle w:val="Tabletext"/>
              <w:keepNext/>
              <w:rPr>
                <w:rFonts w:cs="Arial"/>
              </w:rPr>
            </w:pPr>
            <w:r w:rsidRPr="00532B79">
              <w:rPr>
                <w:rFonts w:cs="Arial"/>
              </w:rPr>
              <w:lastRenderedPageBreak/>
              <w:t>Patients with WHO FC III/IV PAH</w:t>
            </w:r>
          </w:p>
        </w:tc>
      </w:tr>
      <w:tr w:rsidR="00321DBE" w:rsidRPr="00731E4D" w14:paraId="44ECB606" w14:textId="77777777" w:rsidTr="00321DBE">
        <w:tc>
          <w:tcPr>
            <w:tcW w:w="1555" w:type="dxa"/>
          </w:tcPr>
          <w:p w14:paraId="35706AAC" w14:textId="77777777" w:rsidR="00321DBE" w:rsidRPr="00731E4D" w:rsidRDefault="00321DBE" w:rsidP="00C21496">
            <w:pPr>
              <w:pStyle w:val="Tabletext"/>
              <w:rPr>
                <w:rFonts w:cs="Arial"/>
              </w:rPr>
            </w:pPr>
            <w:r w:rsidRPr="00731E4D">
              <w:rPr>
                <w:rFonts w:cs="Arial"/>
              </w:rPr>
              <w:t>Clinical worsening</w:t>
            </w:r>
          </w:p>
        </w:tc>
        <w:tc>
          <w:tcPr>
            <w:tcW w:w="1984" w:type="dxa"/>
          </w:tcPr>
          <w:p w14:paraId="34B925EC" w14:textId="77777777" w:rsidR="00321DBE" w:rsidRPr="00731E4D" w:rsidRDefault="00321DBE" w:rsidP="00C21496">
            <w:pPr>
              <w:pStyle w:val="Tabletext"/>
              <w:rPr>
                <w:rFonts w:cs="Arial"/>
              </w:rPr>
            </w:pPr>
            <w:r w:rsidRPr="00731E4D">
              <w:rPr>
                <w:rFonts w:cs="Arial"/>
              </w:rPr>
              <w:t>PATENT-1</w:t>
            </w:r>
            <w:r w:rsidRPr="00731E4D">
              <w:rPr>
                <w:rFonts w:cs="Arial"/>
              </w:rPr>
              <w:br/>
              <w:t>(riociguat/ERA)</w:t>
            </w:r>
          </w:p>
          <w:p w14:paraId="3DF0959E" w14:textId="77777777" w:rsidR="00321DBE" w:rsidRPr="00731E4D" w:rsidRDefault="00321DBE" w:rsidP="00C21496">
            <w:pPr>
              <w:pStyle w:val="Tabletext"/>
              <w:rPr>
                <w:rFonts w:cs="Arial"/>
              </w:rPr>
            </w:pPr>
            <w:r w:rsidRPr="00731E4D">
              <w:rPr>
                <w:rFonts w:cs="Arial"/>
              </w:rPr>
              <w:t>N=120</w:t>
            </w:r>
          </w:p>
        </w:tc>
        <w:tc>
          <w:tcPr>
            <w:tcW w:w="6095" w:type="dxa"/>
          </w:tcPr>
          <w:p w14:paraId="51A8A1CB" w14:textId="68F9971E"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4D53C8F4"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22511B2C"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1C8C3B5B"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r w:rsidRPr="00C07794">
              <w:rPr>
                <w:rFonts w:ascii="Symbol" w:hAnsi="Symbol" w:cs="Arial"/>
                <w:noProof/>
                <w:color w:val="000000"/>
                <w:sz w:val="12"/>
                <w:szCs w:val="12"/>
                <w:highlight w:val="black"/>
              </w:rPr>
              <w:t></w:t>
            </w:r>
          </w:p>
          <w:p w14:paraId="4ACDD9C4" w14:textId="77777777" w:rsidR="00EF11C0" w:rsidRP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56280786" w14:textId="77777777" w:rsidR="00321DBE"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58B578EB" w14:textId="77777777" w:rsidR="00EF11C0" w:rsidRPr="00C07794" w:rsidRDefault="00EF11C0" w:rsidP="00C07794">
            <w:pPr>
              <w:pStyle w:val="Tabletext"/>
              <w:spacing w:before="20" w:after="20"/>
              <w:ind w:left="227" w:hanging="227"/>
              <w:rPr>
                <w:rFonts w:cs="Arial"/>
                <w:highlight w:val="black"/>
              </w:rPr>
            </w:pPr>
          </w:p>
        </w:tc>
      </w:tr>
      <w:tr w:rsidR="00321DBE" w:rsidRPr="00731E4D" w14:paraId="197A3ED1" w14:textId="77777777" w:rsidTr="00321DBE">
        <w:tc>
          <w:tcPr>
            <w:tcW w:w="1555" w:type="dxa"/>
          </w:tcPr>
          <w:p w14:paraId="480FD82D" w14:textId="77777777" w:rsidR="00321DBE" w:rsidRPr="00731E4D" w:rsidRDefault="00321DBE" w:rsidP="00C21496">
            <w:pPr>
              <w:pStyle w:val="Tabletext"/>
              <w:rPr>
                <w:rFonts w:cs="Arial"/>
              </w:rPr>
            </w:pPr>
            <w:r w:rsidRPr="00731E4D">
              <w:rPr>
                <w:rFonts w:cs="Arial"/>
              </w:rPr>
              <w:t>All-cause mortality</w:t>
            </w:r>
          </w:p>
        </w:tc>
        <w:tc>
          <w:tcPr>
            <w:tcW w:w="1984" w:type="dxa"/>
          </w:tcPr>
          <w:p w14:paraId="22E50194"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467A4C54" w14:textId="77777777" w:rsidR="00321DBE" w:rsidRPr="00731E4D" w:rsidRDefault="00321DBE" w:rsidP="00C21496">
            <w:pPr>
              <w:pStyle w:val="Tabletext"/>
              <w:rPr>
                <w:rFonts w:cs="Arial"/>
              </w:rPr>
            </w:pPr>
            <w:r w:rsidRPr="00731E4D">
              <w:rPr>
                <w:rFonts w:cs="Arial"/>
              </w:rPr>
              <w:t>N=120</w:t>
            </w:r>
          </w:p>
        </w:tc>
        <w:tc>
          <w:tcPr>
            <w:tcW w:w="6095" w:type="dxa"/>
          </w:tcPr>
          <w:p w14:paraId="5CCF09E1" w14:textId="72369475"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High quality evidence (GRADE </w:t>
            </w:r>
            <w:r w:rsidR="00C220DD" w:rsidRPr="00C220DD">
              <w:rPr>
                <w:rFonts w:ascii="Cambria Math" w:hAnsi="Cambria Math" w:cs="Cambria Math"/>
                <w:color w:val="00B050"/>
              </w:rPr>
              <w:t>⨁⨁⨁⨁</w:t>
            </w:r>
            <w:r w:rsidRPr="00731E4D">
              <w:rPr>
                <w:rFonts w:cs="Arial"/>
              </w:rPr>
              <w:t>)</w:t>
            </w:r>
          </w:p>
          <w:p w14:paraId="0DBAF500"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5855C8EE"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6E0A3AAF" w14:textId="77777777" w:rsidR="00321DBE" w:rsidRPr="00EF11C0" w:rsidRDefault="00C07794" w:rsidP="00C07794">
            <w:pPr>
              <w:pStyle w:val="Tabletext"/>
              <w:spacing w:before="20" w:after="20"/>
              <w:ind w:left="227" w:hanging="227"/>
              <w:rPr>
                <w:rFonts w:cs="Arial"/>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r w:rsidR="00321DBE" w:rsidRPr="00731E4D" w14:paraId="282CAEEF" w14:textId="77777777" w:rsidTr="00321DBE">
        <w:tc>
          <w:tcPr>
            <w:tcW w:w="1555" w:type="dxa"/>
          </w:tcPr>
          <w:p w14:paraId="01C8997E" w14:textId="77777777" w:rsidR="00321DBE" w:rsidRPr="00731E4D" w:rsidRDefault="00321DBE" w:rsidP="00C21496">
            <w:pPr>
              <w:pStyle w:val="Tabletext"/>
              <w:rPr>
                <w:rFonts w:cs="Arial"/>
              </w:rPr>
            </w:pPr>
            <w:r w:rsidRPr="00731E4D">
              <w:rPr>
                <w:rFonts w:cs="Arial"/>
              </w:rPr>
              <w:t>Hospitalisation due to worsening PAH</w:t>
            </w:r>
          </w:p>
        </w:tc>
        <w:tc>
          <w:tcPr>
            <w:tcW w:w="1984" w:type="dxa"/>
          </w:tcPr>
          <w:p w14:paraId="07B527C8"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4BC3CF31" w14:textId="77777777" w:rsidR="00321DBE" w:rsidRPr="00731E4D" w:rsidRDefault="00321DBE" w:rsidP="00C21496">
            <w:pPr>
              <w:pStyle w:val="Tabletext"/>
              <w:rPr>
                <w:rFonts w:cs="Arial"/>
              </w:rPr>
            </w:pPr>
            <w:r w:rsidRPr="00731E4D">
              <w:rPr>
                <w:rFonts w:cs="Arial"/>
              </w:rPr>
              <w:t>N=120</w:t>
            </w:r>
          </w:p>
        </w:tc>
        <w:tc>
          <w:tcPr>
            <w:tcW w:w="6095" w:type="dxa"/>
          </w:tcPr>
          <w:p w14:paraId="31F069BA" w14:textId="608DA213"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3EC4FD64" w14:textId="77777777" w:rsidR="002D2CAB" w:rsidRDefault="00C07794" w:rsidP="001960CE">
            <w:pPr>
              <w:pStyle w:val="Tabletext"/>
              <w:numPr>
                <w:ilvl w:val="0"/>
                <w:numId w:val="21"/>
              </w:numPr>
              <w:spacing w:before="20" w:after="20"/>
              <w:ind w:left="227" w:hanging="227"/>
              <w:rPr>
                <w:rFonts w:ascii="Symbol" w:hAnsi="Symbol" w:cs="Arial"/>
                <w:sz w:val="12"/>
                <w:szCs w:val="12"/>
                <w:highlight w:val="black"/>
              </w:rPr>
            </w:pP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p>
          <w:p w14:paraId="4DDBFA0D" w14:textId="77777777" w:rsidR="002D2CAB" w:rsidRDefault="00C07794" w:rsidP="001960CE">
            <w:pPr>
              <w:pStyle w:val="Tabletext"/>
              <w:numPr>
                <w:ilvl w:val="0"/>
                <w:numId w:val="21"/>
              </w:numPr>
              <w:spacing w:before="20" w:after="20"/>
              <w:ind w:left="227" w:hanging="227"/>
              <w:rPr>
                <w:rFonts w:ascii="Symbol" w:hAnsi="Symbol" w:cs="Arial"/>
                <w:sz w:val="12"/>
                <w:szCs w:val="12"/>
                <w:highlight w:val="black"/>
              </w:rPr>
            </w:pP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p>
          <w:p w14:paraId="6F14D471" w14:textId="407E71AE" w:rsidR="00EF11C0" w:rsidRPr="002D2CAB" w:rsidRDefault="00C07794" w:rsidP="001960CE">
            <w:pPr>
              <w:pStyle w:val="Tabletext"/>
              <w:numPr>
                <w:ilvl w:val="0"/>
                <w:numId w:val="21"/>
              </w:numPr>
              <w:spacing w:before="20" w:after="20"/>
              <w:ind w:left="227" w:hanging="227"/>
              <w:rPr>
                <w:rFonts w:ascii="Symbol" w:hAnsi="Symbol" w:cs="Arial"/>
                <w:sz w:val="12"/>
                <w:szCs w:val="12"/>
                <w:highlight w:val="black"/>
              </w:rPr>
            </w:pP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p>
          <w:p w14:paraId="0D26E505" w14:textId="64F3C577" w:rsidR="00321DBE" w:rsidRPr="00731E4D" w:rsidRDefault="00C07794" w:rsidP="001960CE">
            <w:pPr>
              <w:pStyle w:val="Tabletext"/>
              <w:numPr>
                <w:ilvl w:val="0"/>
                <w:numId w:val="21"/>
              </w:numPr>
              <w:spacing w:before="20" w:after="20"/>
              <w:ind w:left="227" w:hanging="227"/>
              <w:rPr>
                <w:rFonts w:cs="Arial"/>
              </w:rPr>
            </w:pP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r w:rsidRPr="002D2CAB">
              <w:rPr>
                <w:rFonts w:ascii="Symbol" w:hAnsi="Symbol" w:cs="Arial"/>
                <w:sz w:val="12"/>
                <w:szCs w:val="12"/>
                <w:highlight w:val="black"/>
              </w:rPr>
              <w:t></w:t>
            </w:r>
          </w:p>
        </w:tc>
      </w:tr>
      <w:tr w:rsidR="00321DBE" w:rsidRPr="00731E4D" w14:paraId="2BDB80CF" w14:textId="77777777" w:rsidTr="00321DBE">
        <w:tc>
          <w:tcPr>
            <w:tcW w:w="1555" w:type="dxa"/>
          </w:tcPr>
          <w:p w14:paraId="553FD08D" w14:textId="77777777" w:rsidR="00321DBE" w:rsidRPr="00731E4D" w:rsidRDefault="00321DBE" w:rsidP="00C21496">
            <w:pPr>
              <w:pStyle w:val="Tabletext"/>
              <w:rPr>
                <w:rFonts w:cs="Arial"/>
              </w:rPr>
            </w:pPr>
            <w:r w:rsidRPr="00731E4D">
              <w:rPr>
                <w:rFonts w:cs="Arial"/>
              </w:rPr>
              <w:t>Improved WHO FC</w:t>
            </w:r>
          </w:p>
        </w:tc>
        <w:tc>
          <w:tcPr>
            <w:tcW w:w="1984" w:type="dxa"/>
          </w:tcPr>
          <w:p w14:paraId="0C30A73D"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418C85DC" w14:textId="77777777" w:rsidR="00321DBE" w:rsidRPr="00731E4D" w:rsidRDefault="00321DBE" w:rsidP="00C21496">
            <w:pPr>
              <w:pStyle w:val="Tabletext"/>
              <w:rPr>
                <w:rFonts w:cs="Arial"/>
              </w:rPr>
            </w:pPr>
            <w:r w:rsidRPr="00731E4D">
              <w:rPr>
                <w:rFonts w:cs="Arial"/>
              </w:rPr>
              <w:t>N=120</w:t>
            </w:r>
          </w:p>
        </w:tc>
        <w:tc>
          <w:tcPr>
            <w:tcW w:w="6095" w:type="dxa"/>
          </w:tcPr>
          <w:p w14:paraId="46F81353" w14:textId="063BD6FA"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360A3F27"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42259981"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377EB7A4"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1357D6E3" w14:textId="77777777" w:rsidR="00321DBE" w:rsidRPr="00EF11C0" w:rsidRDefault="00C07794" w:rsidP="00C07794">
            <w:pPr>
              <w:pStyle w:val="Tabletext"/>
              <w:spacing w:before="20" w:after="20"/>
              <w:ind w:left="227" w:hanging="227"/>
              <w:rPr>
                <w:rFonts w:cs="Arial"/>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r w:rsidR="00321DBE" w:rsidRPr="00731E4D" w14:paraId="1B948116" w14:textId="77777777" w:rsidTr="00321DBE">
        <w:tc>
          <w:tcPr>
            <w:tcW w:w="1555" w:type="dxa"/>
          </w:tcPr>
          <w:p w14:paraId="1EE93D79" w14:textId="77777777" w:rsidR="00321DBE" w:rsidRPr="00731E4D" w:rsidRDefault="00321DBE" w:rsidP="00C21496">
            <w:pPr>
              <w:pStyle w:val="Tabletext"/>
              <w:rPr>
                <w:rFonts w:cs="Arial"/>
              </w:rPr>
            </w:pPr>
            <w:r w:rsidRPr="00731E4D">
              <w:rPr>
                <w:rFonts w:cs="Arial"/>
              </w:rPr>
              <w:t>Worsened WHO FC</w:t>
            </w:r>
          </w:p>
        </w:tc>
        <w:tc>
          <w:tcPr>
            <w:tcW w:w="1984" w:type="dxa"/>
          </w:tcPr>
          <w:p w14:paraId="74E80E3D"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05773EB6" w14:textId="77777777" w:rsidR="00321DBE" w:rsidRPr="00731E4D" w:rsidRDefault="00321DBE" w:rsidP="00C21496">
            <w:pPr>
              <w:pStyle w:val="Tabletext"/>
              <w:rPr>
                <w:rFonts w:cs="Arial"/>
              </w:rPr>
            </w:pPr>
            <w:r w:rsidRPr="00731E4D">
              <w:rPr>
                <w:rFonts w:cs="Arial"/>
              </w:rPr>
              <w:t>N=120</w:t>
            </w:r>
          </w:p>
        </w:tc>
        <w:tc>
          <w:tcPr>
            <w:tcW w:w="6095" w:type="dxa"/>
          </w:tcPr>
          <w:p w14:paraId="4AAD8C08" w14:textId="26DCF437"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High quality evidence (GRADE </w:t>
            </w:r>
            <w:r w:rsidR="00C220DD" w:rsidRPr="00C220DD">
              <w:rPr>
                <w:rFonts w:ascii="Cambria Math" w:hAnsi="Cambria Math" w:cs="Cambria Math"/>
                <w:color w:val="00B050"/>
              </w:rPr>
              <w:t>⨁⨁⨁⨁</w:t>
            </w:r>
            <w:r w:rsidRPr="00731E4D">
              <w:rPr>
                <w:rFonts w:cs="Arial"/>
              </w:rPr>
              <w:t>)</w:t>
            </w:r>
          </w:p>
          <w:p w14:paraId="7EE1E66B"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3B519D11"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45037B4E"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319E28EB" w14:textId="77777777" w:rsidR="00321DBE" w:rsidRPr="00EF11C0" w:rsidRDefault="00C07794" w:rsidP="00C07794">
            <w:pPr>
              <w:pStyle w:val="Tabletext"/>
              <w:spacing w:before="20" w:after="20"/>
              <w:ind w:left="227" w:hanging="227"/>
              <w:rPr>
                <w:rFonts w:cs="Arial"/>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r w:rsidR="00321DBE" w:rsidRPr="009F466A" w14:paraId="4A05C2B4" w14:textId="77777777" w:rsidTr="00321DBE">
        <w:tc>
          <w:tcPr>
            <w:tcW w:w="1555" w:type="dxa"/>
          </w:tcPr>
          <w:p w14:paraId="2B28E7EF" w14:textId="77777777" w:rsidR="00321DBE" w:rsidRPr="00731E4D" w:rsidRDefault="00321DBE" w:rsidP="00C21496">
            <w:pPr>
              <w:pStyle w:val="Tabletext"/>
              <w:rPr>
                <w:rFonts w:cs="Arial"/>
              </w:rPr>
            </w:pPr>
            <w:r w:rsidRPr="00731E4D">
              <w:rPr>
                <w:rFonts w:cs="Arial"/>
              </w:rPr>
              <w:t>Change in 6MWD</w:t>
            </w:r>
          </w:p>
        </w:tc>
        <w:tc>
          <w:tcPr>
            <w:tcW w:w="1984" w:type="dxa"/>
          </w:tcPr>
          <w:p w14:paraId="5B56857A"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214B885E" w14:textId="77777777" w:rsidR="00321DBE" w:rsidRPr="00731E4D" w:rsidRDefault="00321DBE" w:rsidP="00C21496">
            <w:pPr>
              <w:pStyle w:val="Tabletext"/>
              <w:rPr>
                <w:rFonts w:cs="Arial"/>
              </w:rPr>
            </w:pPr>
            <w:r w:rsidRPr="00731E4D">
              <w:rPr>
                <w:rFonts w:cs="Arial"/>
              </w:rPr>
              <w:t>N=120</w:t>
            </w:r>
          </w:p>
        </w:tc>
        <w:tc>
          <w:tcPr>
            <w:tcW w:w="6095" w:type="dxa"/>
          </w:tcPr>
          <w:p w14:paraId="69BB38F7" w14:textId="1BD85D53"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High quality evidence (GRADE </w:t>
            </w:r>
            <w:r w:rsidR="00C220DD" w:rsidRPr="00C220DD">
              <w:rPr>
                <w:rFonts w:ascii="Cambria Math" w:hAnsi="Cambria Math" w:cs="Cambria Math"/>
                <w:color w:val="00B050"/>
              </w:rPr>
              <w:t>⨁⨁⨁⨁</w:t>
            </w:r>
            <w:r w:rsidRPr="00731E4D">
              <w:rPr>
                <w:rFonts w:cs="Arial"/>
              </w:rPr>
              <w:t>)</w:t>
            </w:r>
          </w:p>
          <w:p w14:paraId="4E854C1F"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6AC62CC8" w14:textId="77777777" w:rsid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4FB0E798" w14:textId="77777777" w:rsidR="00EF11C0" w:rsidRPr="00EF11C0"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50B1A4A2" w14:textId="77777777" w:rsidR="00321DBE" w:rsidRPr="00C07794" w:rsidRDefault="00C07794" w:rsidP="00C07794">
            <w:pPr>
              <w:pStyle w:val="Tabletext"/>
              <w:spacing w:before="20" w:after="20"/>
              <w:ind w:left="227" w:hanging="227"/>
              <w:rPr>
                <w:rFonts w:cs="Arial"/>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r w:rsidR="00321DBE" w:rsidRPr="00731E4D" w14:paraId="112D2EBE" w14:textId="77777777" w:rsidTr="00321DBE">
        <w:tc>
          <w:tcPr>
            <w:tcW w:w="1555" w:type="dxa"/>
          </w:tcPr>
          <w:p w14:paraId="5A0B43CA" w14:textId="77777777" w:rsidR="00321DBE" w:rsidRPr="00731E4D" w:rsidRDefault="00321DBE" w:rsidP="00C21496">
            <w:pPr>
              <w:pStyle w:val="Tabletext"/>
              <w:keepNext/>
              <w:rPr>
                <w:rFonts w:cs="Arial"/>
              </w:rPr>
            </w:pPr>
            <w:r w:rsidRPr="00731E4D">
              <w:rPr>
                <w:rFonts w:cs="Arial"/>
              </w:rPr>
              <w:t>Change in QoL:</w:t>
            </w:r>
          </w:p>
          <w:p w14:paraId="7D347266" w14:textId="77777777" w:rsidR="00321DBE" w:rsidRPr="00731E4D" w:rsidRDefault="00321DBE" w:rsidP="00C21496">
            <w:pPr>
              <w:pStyle w:val="Tabletext"/>
              <w:keepNext/>
              <w:rPr>
                <w:rFonts w:cs="Arial"/>
                <w:vertAlign w:val="superscript"/>
              </w:rPr>
            </w:pPr>
            <w:r w:rsidRPr="00731E4D">
              <w:rPr>
                <w:rFonts w:cs="Arial"/>
              </w:rPr>
              <w:t>EQ-5D</w:t>
            </w:r>
            <w:r w:rsidRPr="00731E4D">
              <w:rPr>
                <w:rFonts w:cs="Arial"/>
                <w:vertAlign w:val="superscript"/>
              </w:rPr>
              <w:t>a</w:t>
            </w:r>
            <w:r w:rsidRPr="00731E4D">
              <w:rPr>
                <w:rFonts w:cs="Arial"/>
              </w:rPr>
              <w:t>, LPH</w:t>
            </w:r>
            <w:r w:rsidRPr="00731E4D">
              <w:rPr>
                <w:rFonts w:cs="Arial"/>
                <w:vertAlign w:val="superscript"/>
              </w:rPr>
              <w:t>b</w:t>
            </w:r>
          </w:p>
        </w:tc>
        <w:tc>
          <w:tcPr>
            <w:tcW w:w="1984" w:type="dxa"/>
          </w:tcPr>
          <w:p w14:paraId="6015A0F9"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(riociguat/ERA) </w:t>
            </w:r>
          </w:p>
          <w:p w14:paraId="38CD5C48" w14:textId="77777777" w:rsidR="00321DBE" w:rsidRPr="00731E4D" w:rsidRDefault="00321DBE" w:rsidP="00C21496">
            <w:pPr>
              <w:pStyle w:val="Tabletext"/>
              <w:keepNext/>
              <w:rPr>
                <w:rFonts w:cs="Arial"/>
              </w:rPr>
            </w:pPr>
            <w:r w:rsidRPr="00731E4D">
              <w:rPr>
                <w:rFonts w:cs="Arial"/>
              </w:rPr>
              <w:t>N=120</w:t>
            </w:r>
          </w:p>
        </w:tc>
        <w:tc>
          <w:tcPr>
            <w:tcW w:w="6095" w:type="dxa"/>
          </w:tcPr>
          <w:p w14:paraId="3959F83E" w14:textId="28B5FF77" w:rsidR="00321DBE" w:rsidRPr="00731E4D" w:rsidRDefault="00321DBE" w:rsidP="001960CE">
            <w:pPr>
              <w:pStyle w:val="Tabletext"/>
              <w:keepNext/>
              <w:numPr>
                <w:ilvl w:val="0"/>
                <w:numId w:val="21"/>
              </w:numPr>
              <w:spacing w:before="20" w:after="20"/>
              <w:ind w:left="227" w:hanging="227"/>
              <w:rPr>
                <w:rFonts w:cs="Arial"/>
              </w:rPr>
            </w:pPr>
            <w:r w:rsidRPr="00731E4D">
              <w:rPr>
                <w:rFonts w:cs="Arial"/>
              </w:rPr>
              <w:t xml:space="preserve">High quality evidence (GRADE </w:t>
            </w:r>
            <w:r w:rsidR="00C220DD" w:rsidRPr="00C220DD">
              <w:rPr>
                <w:rFonts w:ascii="Cambria Math" w:hAnsi="Cambria Math" w:cs="Cambria Math"/>
                <w:color w:val="00B050"/>
              </w:rPr>
              <w:t>⨁⨁⨁⨁</w:t>
            </w:r>
            <w:r w:rsidRPr="00731E4D">
              <w:rPr>
                <w:rFonts w:cs="Arial"/>
              </w:rPr>
              <w:t>)</w:t>
            </w:r>
          </w:p>
          <w:p w14:paraId="4B95444E" w14:textId="77777777" w:rsidR="00EF11C0" w:rsidRDefault="00C07794" w:rsidP="00C07794">
            <w:pPr>
              <w:pStyle w:val="Tabletext"/>
              <w:keepN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386A3FC0" w14:textId="77777777" w:rsidR="00EF11C0" w:rsidRDefault="00C07794" w:rsidP="00C07794">
            <w:pPr>
              <w:pStyle w:val="Tabletext"/>
              <w:keepN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5F1C734D" w14:textId="77777777" w:rsidR="00EF11C0" w:rsidRDefault="00C07794" w:rsidP="00C07794">
            <w:pPr>
              <w:pStyle w:val="Tabletext"/>
              <w:keepN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618046E8" w14:textId="77777777" w:rsidR="00321DBE" w:rsidRPr="00EF11C0" w:rsidRDefault="00C07794" w:rsidP="00C07794">
            <w:pPr>
              <w:pStyle w:val="Tabletext"/>
              <w:keepNext/>
              <w:spacing w:before="20" w:after="20"/>
              <w:ind w:left="227" w:hanging="227"/>
              <w:rPr>
                <w:rFonts w:cs="Arial"/>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r w:rsidR="00321DBE" w:rsidRPr="009F466A" w14:paraId="44B15164" w14:textId="77777777" w:rsidTr="00321DBE">
        <w:tc>
          <w:tcPr>
            <w:tcW w:w="1555" w:type="dxa"/>
          </w:tcPr>
          <w:p w14:paraId="0D66D730" w14:textId="77777777" w:rsidR="00321DBE" w:rsidRPr="00731E4D" w:rsidRDefault="00321DBE" w:rsidP="00C21496">
            <w:pPr>
              <w:pStyle w:val="Tabletext"/>
              <w:rPr>
                <w:rFonts w:cs="Arial"/>
              </w:rPr>
            </w:pPr>
            <w:r w:rsidRPr="00731E4D">
              <w:rPr>
                <w:rFonts w:cs="Arial"/>
              </w:rPr>
              <w:t>Change in haemodynamic parameters:</w:t>
            </w:r>
          </w:p>
          <w:p w14:paraId="3D5A0DB3" w14:textId="77777777" w:rsidR="00321DBE" w:rsidRPr="00731E4D" w:rsidRDefault="00321DBE" w:rsidP="00C21496">
            <w:pPr>
              <w:pStyle w:val="Tabletext"/>
              <w:rPr>
                <w:rFonts w:cs="Arial"/>
              </w:rPr>
            </w:pPr>
            <w:r w:rsidRPr="00731E4D">
              <w:rPr>
                <w:rFonts w:cs="Arial"/>
              </w:rPr>
              <w:t>PVR</w:t>
            </w:r>
          </w:p>
        </w:tc>
        <w:tc>
          <w:tcPr>
            <w:tcW w:w="1984" w:type="dxa"/>
          </w:tcPr>
          <w:p w14:paraId="42CC6DE2" w14:textId="77777777" w:rsidR="00321DBE" w:rsidRPr="00731E4D" w:rsidRDefault="00321DBE" w:rsidP="00C21496">
            <w:pPr>
              <w:pStyle w:val="Tabletext"/>
              <w:rPr>
                <w:rFonts w:cs="Arial"/>
              </w:rPr>
            </w:pPr>
            <w:r w:rsidRPr="00731E4D">
              <w:rPr>
                <w:rFonts w:cs="Arial"/>
              </w:rPr>
              <w:t>PATENT-1</w:t>
            </w:r>
            <w:r w:rsidRPr="00731E4D">
              <w:rPr>
                <w:rFonts w:cs="Arial"/>
              </w:rPr>
              <w:br/>
              <w:t>(riociguat/ERA)</w:t>
            </w:r>
          </w:p>
          <w:p w14:paraId="37A0597C" w14:textId="77777777" w:rsidR="00321DBE" w:rsidRPr="00731E4D" w:rsidRDefault="00321DBE" w:rsidP="00C21496">
            <w:pPr>
              <w:pStyle w:val="Tabletext"/>
              <w:rPr>
                <w:rFonts w:cs="Arial"/>
              </w:rPr>
            </w:pPr>
            <w:r w:rsidRPr="00731E4D">
              <w:rPr>
                <w:rFonts w:cs="Arial"/>
              </w:rPr>
              <w:t>N=103</w:t>
            </w:r>
          </w:p>
        </w:tc>
        <w:tc>
          <w:tcPr>
            <w:tcW w:w="6095" w:type="dxa"/>
          </w:tcPr>
          <w:p w14:paraId="1D95B07B" w14:textId="2C890622" w:rsidR="00321DBE" w:rsidRPr="00731E4D" w:rsidRDefault="00321DBE" w:rsidP="001960CE">
            <w:pPr>
              <w:pStyle w:val="Tabletext"/>
              <w:numPr>
                <w:ilvl w:val="0"/>
                <w:numId w:val="21"/>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hAnsi="Cambria Math" w:cs="Cambria Math"/>
                <w:color w:val="FF0000"/>
              </w:rPr>
              <w:t>⨀</w:t>
            </w:r>
            <w:r w:rsidRPr="00731E4D">
              <w:rPr>
                <w:rFonts w:cs="Arial"/>
              </w:rPr>
              <w:t>)</w:t>
            </w:r>
          </w:p>
          <w:p w14:paraId="12A02EA3"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2629CF6D" w14:textId="77777777" w:rsidR="004159AB" w:rsidRDefault="00C07794" w:rsidP="00C07794">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2D074285" w14:textId="77777777" w:rsidR="004159AB" w:rsidRDefault="00C07794" w:rsidP="004159AB">
            <w:pPr>
              <w:pStyle w:val="Tabletext"/>
              <w:spacing w:before="20" w:after="20"/>
              <w:ind w:left="227" w:hanging="227"/>
              <w:rPr>
                <w:rFonts w:ascii="Symbol" w:hAnsi="Symbol" w:cs="Arial"/>
                <w:noProof/>
                <w:color w:val="000000"/>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p w14:paraId="0A8FAB75" w14:textId="77777777" w:rsidR="00321DBE" w:rsidRPr="00EF11C0" w:rsidRDefault="00C07794" w:rsidP="004159AB">
            <w:pPr>
              <w:pStyle w:val="Tabletext"/>
              <w:spacing w:before="20" w:after="20"/>
              <w:ind w:left="227" w:hanging="227"/>
              <w:rPr>
                <w:rFonts w:cs="Arial"/>
                <w:sz w:val="12"/>
                <w:szCs w:val="12"/>
                <w:highlight w:val="black"/>
              </w:rPr>
            </w:pP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r w:rsidRPr="00EF11C0">
              <w:rPr>
                <w:rFonts w:ascii="Symbol" w:hAnsi="Symbol" w:cs="Arial"/>
                <w:noProof/>
                <w:color w:val="000000"/>
                <w:sz w:val="12"/>
                <w:szCs w:val="12"/>
                <w:highlight w:val="black"/>
              </w:rPr>
              <w:t></w:t>
            </w:r>
          </w:p>
        </w:tc>
      </w:tr>
    </w:tbl>
    <w:p w14:paraId="618C3168" w14:textId="77777777" w:rsidR="00321DBE" w:rsidRPr="00532B79" w:rsidRDefault="00321DBE" w:rsidP="00C21496">
      <w:pPr>
        <w:pStyle w:val="Tablenote"/>
        <w:jc w:val="left"/>
        <w:rPr>
          <w:rFonts w:cs="Arial"/>
        </w:rPr>
      </w:pPr>
      <w:r w:rsidRPr="00532B79">
        <w:rPr>
          <w:rFonts w:cs="Arial"/>
          <w:vertAlign w:val="superscript"/>
        </w:rPr>
        <w:t xml:space="preserve">a </w:t>
      </w:r>
      <w:r w:rsidRPr="00532B79">
        <w:rPr>
          <w:rFonts w:cs="Arial"/>
        </w:rPr>
        <w:t>EQ-5D utility scores range from −0.59 to 1.00. A higher score represents better QoL.</w:t>
      </w:r>
    </w:p>
    <w:p w14:paraId="5A5058F1" w14:textId="77777777" w:rsidR="00321DBE" w:rsidRPr="00532B79" w:rsidRDefault="00321DBE" w:rsidP="00C21496">
      <w:pPr>
        <w:pStyle w:val="Tablenote"/>
        <w:jc w:val="left"/>
        <w:rPr>
          <w:rFonts w:cs="Arial"/>
        </w:rPr>
      </w:pPr>
      <w:r w:rsidRPr="00532B79">
        <w:rPr>
          <w:rFonts w:cs="Arial"/>
          <w:vertAlign w:val="superscript"/>
        </w:rPr>
        <w:t xml:space="preserve">b </w:t>
      </w:r>
      <w:r w:rsidRPr="00532B79">
        <w:rPr>
          <w:rFonts w:cs="Arial"/>
        </w:rPr>
        <w:t>LPH total scores range from 0 to 105. A higher score indicates poorer QoL.</w:t>
      </w:r>
    </w:p>
    <w:p w14:paraId="5771008C" w14:textId="77777777" w:rsidR="00321DBE" w:rsidRPr="00532B79" w:rsidRDefault="00321DBE" w:rsidP="00C21496">
      <w:pPr>
        <w:pStyle w:val="Tablenote"/>
        <w:jc w:val="left"/>
        <w:rPr>
          <w:rFonts w:cs="Arial"/>
        </w:rPr>
      </w:pPr>
      <w:r w:rsidRPr="00532B79">
        <w:rPr>
          <w:rFonts w:cs="Arial"/>
        </w:rPr>
        <w:t>6MWD = 6-minute walk distance; ARD = absolute risk difference; CI = confidence interval; EQ-5D = EuroQol 5 dimension; ERA = endothelin receptor antagonist; FC = functional class; GRADE = grading of recommendations assessment, development and evaluation</w:t>
      </w:r>
      <w:r w:rsidRPr="00532B79">
        <w:rPr>
          <w:rFonts w:cs="Arial"/>
          <w:noProof/>
          <w:vertAlign w:val="superscript"/>
        </w:rPr>
        <w:t>1</w:t>
      </w:r>
      <w:r w:rsidRPr="00532B79">
        <w:rPr>
          <w:rFonts w:cs="Arial"/>
        </w:rPr>
        <w:t>; LPH = living with pulmonary hypertension; MD = mean difference; PAH = pulmonary arterial hypertension; PVR = pulmonary vascular resistance; QoL = quality of life; RR = relative risk; sGC = soluble guanylate cyclase stimulator; WHO = World Health Organization</w:t>
      </w:r>
    </w:p>
    <w:p w14:paraId="252EE363" w14:textId="77777777" w:rsidR="0016033A" w:rsidRPr="0016033A" w:rsidRDefault="0016033A" w:rsidP="00C21496">
      <w:pPr>
        <w:pStyle w:val="Heading5"/>
        <w:numPr>
          <w:ilvl w:val="0"/>
          <w:numId w:val="0"/>
        </w:numPr>
        <w:ind w:left="1008" w:hanging="1008"/>
        <w:jc w:val="left"/>
        <w:rPr>
          <w:color w:val="auto"/>
          <w:u w:val="single"/>
        </w:rPr>
      </w:pPr>
      <w:r w:rsidRPr="0016033A">
        <w:rPr>
          <w:color w:val="auto"/>
          <w:u w:val="single"/>
        </w:rPr>
        <w:t>Safety</w:t>
      </w:r>
    </w:p>
    <w:p w14:paraId="12D60F5B" w14:textId="77777777" w:rsidR="0016033A" w:rsidRDefault="0016033A" w:rsidP="00C21496">
      <w:pPr>
        <w:jc w:val="left"/>
      </w:pPr>
      <w:r w:rsidRPr="00944958">
        <w:t xml:space="preserve">There </w:t>
      </w:r>
      <w:r>
        <w:t>is no</w:t>
      </w:r>
      <w:r w:rsidRPr="00944958">
        <w:t xml:space="preserve"> evidence </w:t>
      </w:r>
      <w:r w:rsidRPr="00457FA6">
        <w:t xml:space="preserve">to evaluate the comparative safety </w:t>
      </w:r>
      <w:r w:rsidRPr="00944958">
        <w:t xml:space="preserve">of a </w:t>
      </w:r>
      <w:r w:rsidRPr="00074323">
        <w:t>sGC stimulator in addition to an ERA, relative to ERA monotherapy</w:t>
      </w:r>
      <w:r>
        <w:t>,</w:t>
      </w:r>
      <w:r w:rsidRPr="00074323">
        <w:t xml:space="preserve"> </w:t>
      </w:r>
      <w:r>
        <w:t xml:space="preserve">when used </w:t>
      </w:r>
      <w:r w:rsidRPr="00944958">
        <w:t>to treat patients with PAH.</w:t>
      </w:r>
    </w:p>
    <w:p w14:paraId="3917C6FD" w14:textId="77777777" w:rsidR="00321DBE" w:rsidRPr="009F466A" w:rsidRDefault="00321DBE" w:rsidP="00C21496">
      <w:pPr>
        <w:pStyle w:val="Heading4"/>
      </w:pPr>
      <w:r w:rsidRPr="009F466A">
        <w:lastRenderedPageBreak/>
        <w:t>sGC stimulator in addition to a PDE-5 inhibitor</w:t>
      </w:r>
    </w:p>
    <w:p w14:paraId="6039A2D6" w14:textId="77777777" w:rsidR="0016033A" w:rsidRPr="0016033A" w:rsidRDefault="0016033A" w:rsidP="00C21496">
      <w:pPr>
        <w:pStyle w:val="Heading5"/>
        <w:keepLines w:val="0"/>
        <w:numPr>
          <w:ilvl w:val="0"/>
          <w:numId w:val="0"/>
        </w:numPr>
        <w:spacing w:before="240"/>
        <w:jc w:val="left"/>
        <w:rPr>
          <w:color w:val="auto"/>
          <w:u w:val="single"/>
        </w:rPr>
      </w:pPr>
      <w:bookmarkStart w:id="118" w:name="_Ref506206420"/>
      <w:bookmarkStart w:id="119" w:name="_Toc508396849"/>
      <w:r w:rsidRPr="0016033A">
        <w:rPr>
          <w:color w:val="auto"/>
          <w:u w:val="single"/>
        </w:rPr>
        <w:t>Clinical effectiveness</w:t>
      </w:r>
    </w:p>
    <w:p w14:paraId="1E28DE29" w14:textId="77777777" w:rsidR="0016033A" w:rsidRPr="00C77B6A" w:rsidRDefault="0016033A" w:rsidP="00C21496">
      <w:pPr>
        <w:spacing w:after="40"/>
        <w:jc w:val="left"/>
      </w:pPr>
      <w:r>
        <w:t xml:space="preserve">One </w:t>
      </w:r>
      <w:r w:rsidRPr="00C77B6A">
        <w:t xml:space="preserve">RCT reported on the effectiveness of a </w:t>
      </w:r>
      <w:r w:rsidRPr="00986739">
        <w:t xml:space="preserve">sGC stimulator </w:t>
      </w:r>
      <w:r w:rsidRPr="00C77B6A">
        <w:t xml:space="preserve">in addition to </w:t>
      </w:r>
      <w:r w:rsidRPr="00986739">
        <w:t>PDE-5 inhibitor</w:t>
      </w:r>
      <w:r w:rsidRPr="00C77B6A">
        <w:t xml:space="preserve"> in treating PAH </w:t>
      </w:r>
      <w:r>
        <w:t xml:space="preserve">when </w:t>
      </w:r>
      <w:r w:rsidRPr="00C77B6A">
        <w:t>compared with place</w:t>
      </w:r>
      <w:r>
        <w:t xml:space="preserve">bo plus a </w:t>
      </w:r>
      <w:r w:rsidRPr="00986739">
        <w:t>PDE-5 inhibitor</w:t>
      </w:r>
      <w:r>
        <w:t>:</w:t>
      </w:r>
    </w:p>
    <w:p w14:paraId="20DF8C62" w14:textId="77777777" w:rsidR="0016033A" w:rsidRPr="00D103A9" w:rsidRDefault="0016033A" w:rsidP="00C21496">
      <w:pPr>
        <w:pStyle w:val="Bullettext"/>
        <w:ind w:left="720"/>
        <w:rPr>
          <w:bCs/>
        </w:rPr>
      </w:pPr>
      <w:r>
        <w:t>PATENT-PLUS</w:t>
      </w:r>
      <w:r w:rsidRPr="00C77B6A">
        <w:t xml:space="preserve"> enrolled </w:t>
      </w:r>
      <w:r>
        <w:t xml:space="preserve">WHO FC III/IV PAH patients </w:t>
      </w:r>
      <w:r w:rsidRPr="00986739">
        <w:t xml:space="preserve">receiving stable sildenafil therapy to </w:t>
      </w:r>
      <w:r>
        <w:t xml:space="preserve">additional </w:t>
      </w:r>
      <w:r w:rsidRPr="00986739">
        <w:t xml:space="preserve">receive </w:t>
      </w:r>
      <w:r>
        <w:t xml:space="preserve">either </w:t>
      </w:r>
      <w:r w:rsidRPr="00986739">
        <w:t>riociguat or placebo</w:t>
      </w:r>
      <w:r>
        <w:t>.</w:t>
      </w:r>
    </w:p>
    <w:p w14:paraId="3B195C00" w14:textId="77777777" w:rsidR="0016033A" w:rsidRPr="00D103A9" w:rsidRDefault="0016033A" w:rsidP="00C21496">
      <w:pPr>
        <w:pStyle w:val="Bullettext"/>
        <w:ind w:left="720"/>
        <w:rPr>
          <w:bCs/>
        </w:rPr>
      </w:pPr>
      <w:r>
        <w:t>No subgroup analyses were performed.</w:t>
      </w:r>
    </w:p>
    <w:p w14:paraId="56EB4204" w14:textId="77777777" w:rsidR="0016033A" w:rsidRDefault="0016033A" w:rsidP="00C21496">
      <w:pPr>
        <w:jc w:val="left"/>
      </w:pPr>
      <w:r>
        <w:t xml:space="preserve">The evidence provided by this trial is summarised in </w:t>
      </w:r>
      <w:r w:rsidR="00CC79E1">
        <w:t>Table ES.</w:t>
      </w:r>
      <w:r w:rsidR="00CC79E1">
        <w:rPr>
          <w:noProof/>
        </w:rPr>
        <w:t>20</w:t>
      </w:r>
      <w:r>
        <w:t>.</w:t>
      </w:r>
    </w:p>
    <w:p w14:paraId="1A508160" w14:textId="77777777" w:rsidR="0016033A" w:rsidRDefault="0016033A" w:rsidP="00C21496">
      <w:pPr>
        <w:jc w:val="left"/>
      </w:pPr>
      <w:r>
        <w:t xml:space="preserve">Overall, </w:t>
      </w:r>
      <w:r w:rsidRPr="00944958">
        <w:t xml:space="preserve">there is </w:t>
      </w:r>
      <w:r>
        <w:t>insufficient</w:t>
      </w:r>
      <w:r w:rsidRPr="00944958">
        <w:t xml:space="preserve"> evidence</w:t>
      </w:r>
      <w:r w:rsidRPr="000522D6">
        <w:t xml:space="preserve"> </w:t>
      </w:r>
      <w:r>
        <w:t>to determine</w:t>
      </w:r>
      <w:r w:rsidRPr="000522D6">
        <w:t xml:space="preserve"> whether </w:t>
      </w:r>
      <w:r>
        <w:t xml:space="preserve">the </w:t>
      </w:r>
      <w:r w:rsidRPr="006316DF">
        <w:t xml:space="preserve">use of a </w:t>
      </w:r>
      <w:r w:rsidRPr="00DC1C45">
        <w:t>sGC stimulator</w:t>
      </w:r>
      <w:r w:rsidRPr="00D00AC2">
        <w:t xml:space="preserve"> in addition to a </w:t>
      </w:r>
      <w:r w:rsidRPr="00944958">
        <w:t>PDE-5 inhibitor</w:t>
      </w:r>
      <w:r w:rsidRPr="000522D6">
        <w:t xml:space="preserve">, relative to </w:t>
      </w:r>
      <w:r w:rsidRPr="00944958">
        <w:t xml:space="preserve">PDE-5 inhibitor </w:t>
      </w:r>
      <w:r w:rsidRPr="000522D6">
        <w:t>monotherapy</w:t>
      </w:r>
      <w:r>
        <w:t>,</w:t>
      </w:r>
      <w:r w:rsidRPr="000522D6">
        <w:t xml:space="preserve"> </w:t>
      </w:r>
      <w:r w:rsidRPr="006316DF">
        <w:t>is likely to be beneficial</w:t>
      </w:r>
      <w:r>
        <w:t xml:space="preserve"> for PAH</w:t>
      </w:r>
      <w:r w:rsidRPr="006316DF">
        <w:t>.</w:t>
      </w:r>
    </w:p>
    <w:p w14:paraId="1D800543" w14:textId="77777777" w:rsidR="009E5A8D" w:rsidRPr="009F466A" w:rsidRDefault="009E5A8D" w:rsidP="00C21496">
      <w:pPr>
        <w:pStyle w:val="Caption"/>
        <w:jc w:val="left"/>
      </w:pPr>
      <w:bookmarkStart w:id="120" w:name="_Ref511118899"/>
      <w:bookmarkStart w:id="121" w:name="_Toc38372139"/>
      <w:bookmarkEnd w:id="118"/>
      <w:bookmarkEnd w:id="119"/>
      <w:r>
        <w:t>Table ES.</w:t>
      </w:r>
      <w:r w:rsidR="00CC79E1">
        <w:rPr>
          <w:noProof/>
        </w:rPr>
        <w:t>20</w:t>
      </w:r>
      <w:bookmarkEnd w:id="120"/>
      <w:r>
        <w:tab/>
      </w:r>
      <w:r w:rsidRPr="009F466A">
        <w:t>Summary of the evidence for the clinical effectiveness of a sGC stimulator in addition to a PDE-5 inhibitor, relative to PDE-5 inhibitor monotherapy</w:t>
      </w:r>
      <w:bookmarkEnd w:id="121"/>
    </w:p>
    <w:tbl>
      <w:tblPr>
        <w:tblStyle w:val="TableGrid"/>
        <w:tblW w:w="9634" w:type="dxa"/>
        <w:tblLook w:val="04A0" w:firstRow="1" w:lastRow="0" w:firstColumn="1" w:lastColumn="0" w:noHBand="0" w:noVBand="1"/>
        <w:tblCaption w:val="Summary of the evidence for the clinical effectiveness of a sGC stimulator in addition to a PDE-5 inhibitor, relative to PDE-5 inhibitor monotherapy"/>
      </w:tblPr>
      <w:tblGrid>
        <w:gridCol w:w="1555"/>
        <w:gridCol w:w="1984"/>
        <w:gridCol w:w="6095"/>
      </w:tblGrid>
      <w:tr w:rsidR="00321DBE" w:rsidRPr="009F466A" w14:paraId="7C2ACDF6" w14:textId="77777777" w:rsidTr="00FF6202">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569675" w14:textId="77777777" w:rsidR="00321DBE" w:rsidRPr="00532B79" w:rsidRDefault="00321DBE" w:rsidP="00C21496">
            <w:pPr>
              <w:pStyle w:val="Tabletext"/>
              <w:rPr>
                <w:rFonts w:cs="Arial"/>
                <w:b/>
              </w:rPr>
            </w:pPr>
            <w:r w:rsidRPr="00532B79">
              <w:rPr>
                <w:rFonts w:cs="Arial"/>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D6EC68" w14:textId="77777777" w:rsidR="00321DBE" w:rsidRPr="00532B79" w:rsidRDefault="00321DBE" w:rsidP="00C21496">
            <w:pPr>
              <w:pStyle w:val="Tabletext"/>
              <w:rPr>
                <w:rFonts w:cs="Arial"/>
                <w:b/>
              </w:rPr>
            </w:pPr>
            <w:r w:rsidRPr="00532B79">
              <w:rPr>
                <w:rFonts w:cs="Arial"/>
                <w:b/>
              </w:rPr>
              <w:t xml:space="preserve">Included trials </w:t>
            </w:r>
          </w:p>
          <w:p w14:paraId="3F382CD2" w14:textId="77777777" w:rsidR="00321DBE" w:rsidRPr="00532B79" w:rsidRDefault="00321DBE" w:rsidP="00C21496">
            <w:pPr>
              <w:pStyle w:val="Tabletext"/>
              <w:rPr>
                <w:rFonts w:cs="Arial"/>
                <w:b/>
              </w:rPr>
            </w:pPr>
            <w:r w:rsidRPr="00532B79">
              <w:rPr>
                <w:rFonts w:cs="Arial"/>
                <w:b/>
              </w:rPr>
              <w:t xml:space="preserve">No. of patients </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C425D" w14:textId="77777777" w:rsidR="00321DBE" w:rsidRPr="00532B79" w:rsidRDefault="00321DBE" w:rsidP="00C21496">
            <w:pPr>
              <w:pStyle w:val="Tabletext"/>
              <w:rPr>
                <w:rFonts w:cs="Arial"/>
                <w:b/>
              </w:rPr>
            </w:pPr>
            <w:r w:rsidRPr="00532B79">
              <w:rPr>
                <w:rFonts w:cs="Arial"/>
                <w:b/>
              </w:rPr>
              <w:t>Summary of evidence</w:t>
            </w:r>
          </w:p>
        </w:tc>
      </w:tr>
      <w:tr w:rsidR="00321DBE" w:rsidRPr="009F466A" w14:paraId="6C2A5A68"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112C50F4" w14:textId="77777777" w:rsidR="00321DBE" w:rsidRPr="00532B79" w:rsidRDefault="00321DBE" w:rsidP="00C21496">
            <w:pPr>
              <w:pStyle w:val="Tabletext"/>
              <w:rPr>
                <w:rFonts w:cs="Arial"/>
              </w:rPr>
            </w:pPr>
            <w:r w:rsidRPr="00532B79">
              <w:rPr>
                <w:rFonts w:cs="Arial"/>
              </w:rPr>
              <w:t>Patients with WHO FC III/IV PAH</w:t>
            </w:r>
          </w:p>
        </w:tc>
      </w:tr>
      <w:tr w:rsidR="00321DBE" w:rsidRPr="009F466A" w14:paraId="2BF45AE4" w14:textId="77777777" w:rsidTr="00321DBE">
        <w:tc>
          <w:tcPr>
            <w:tcW w:w="1555" w:type="dxa"/>
          </w:tcPr>
          <w:p w14:paraId="2FDB49B5" w14:textId="77777777" w:rsidR="00321DBE" w:rsidRPr="00532B79" w:rsidRDefault="00321DBE" w:rsidP="00C21496">
            <w:pPr>
              <w:pStyle w:val="Tabletext"/>
              <w:rPr>
                <w:rFonts w:cs="Arial"/>
              </w:rPr>
            </w:pPr>
            <w:r w:rsidRPr="00532B79">
              <w:rPr>
                <w:rFonts w:cs="Arial"/>
              </w:rPr>
              <w:t>All-cause mortality</w:t>
            </w:r>
          </w:p>
        </w:tc>
        <w:tc>
          <w:tcPr>
            <w:tcW w:w="1984" w:type="dxa"/>
            <w:tcBorders>
              <w:top w:val="single" w:sz="4" w:space="0" w:color="auto"/>
              <w:left w:val="single" w:sz="4" w:space="0" w:color="auto"/>
              <w:bottom w:val="single" w:sz="4" w:space="0" w:color="auto"/>
              <w:right w:val="single" w:sz="4" w:space="0" w:color="auto"/>
            </w:tcBorders>
          </w:tcPr>
          <w:p w14:paraId="0AA77D66" w14:textId="77777777" w:rsidR="00321DBE" w:rsidRPr="00532B79" w:rsidRDefault="00321DBE" w:rsidP="00C21496">
            <w:pPr>
              <w:pStyle w:val="Tabletext"/>
              <w:rPr>
                <w:rFonts w:cs="Arial"/>
              </w:rPr>
            </w:pPr>
            <w:r w:rsidRPr="00532B79">
              <w:rPr>
                <w:rFonts w:cs="Arial"/>
              </w:rPr>
              <w:t>PATENT-PLUS (riociguat/sildenafil)</w:t>
            </w:r>
          </w:p>
          <w:p w14:paraId="568260F5" w14:textId="77777777" w:rsidR="00321DBE" w:rsidRPr="00532B79" w:rsidRDefault="00321DBE" w:rsidP="00C21496">
            <w:pPr>
              <w:pStyle w:val="Tabletext"/>
              <w:rPr>
                <w:rFonts w:cs="Arial"/>
              </w:rPr>
            </w:pPr>
            <w:r w:rsidRPr="00532B79">
              <w:rPr>
                <w:rFonts w:cs="Arial"/>
              </w:rPr>
              <w:t>N=18</w:t>
            </w:r>
          </w:p>
        </w:tc>
        <w:tc>
          <w:tcPr>
            <w:tcW w:w="6095" w:type="dxa"/>
          </w:tcPr>
          <w:p w14:paraId="62CE8BF7" w14:textId="74BD9B9D" w:rsidR="00321DBE" w:rsidRPr="00532B79" w:rsidRDefault="00321DBE" w:rsidP="001960CE">
            <w:pPr>
              <w:pStyle w:val="Tabletext"/>
              <w:numPr>
                <w:ilvl w:val="0"/>
                <w:numId w:val="22"/>
              </w:numPr>
              <w:spacing w:before="20" w:after="20"/>
              <w:ind w:left="227" w:hanging="227"/>
              <w:rPr>
                <w:rFonts w:cs="Arial"/>
              </w:rPr>
            </w:pPr>
            <w:r w:rsidRPr="00532B79">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532B79">
              <w:rPr>
                <w:rFonts w:cs="Arial"/>
              </w:rPr>
              <w:t>)</w:t>
            </w:r>
          </w:p>
          <w:p w14:paraId="28DC7154" w14:textId="77777777" w:rsidR="00321DBE" w:rsidRPr="00532B79" w:rsidRDefault="00321DBE" w:rsidP="001960CE">
            <w:pPr>
              <w:pStyle w:val="Tabletext"/>
              <w:numPr>
                <w:ilvl w:val="0"/>
                <w:numId w:val="22"/>
              </w:numPr>
              <w:spacing w:before="20" w:after="20"/>
              <w:ind w:left="227" w:hanging="227"/>
              <w:rPr>
                <w:rFonts w:cs="Arial"/>
              </w:rPr>
            </w:pPr>
            <w:r w:rsidRPr="00532B79">
              <w:rPr>
                <w:rFonts w:cs="Arial"/>
              </w:rPr>
              <w:t>No patients died during the study period</w:t>
            </w:r>
          </w:p>
        </w:tc>
      </w:tr>
      <w:tr w:rsidR="00321DBE" w:rsidRPr="009F466A" w14:paraId="1942BB4C" w14:textId="77777777" w:rsidTr="00321DBE">
        <w:tc>
          <w:tcPr>
            <w:tcW w:w="1555" w:type="dxa"/>
            <w:tcBorders>
              <w:top w:val="single" w:sz="4" w:space="0" w:color="auto"/>
              <w:left w:val="single" w:sz="4" w:space="0" w:color="auto"/>
              <w:bottom w:val="single" w:sz="4" w:space="0" w:color="auto"/>
              <w:right w:val="single" w:sz="4" w:space="0" w:color="auto"/>
            </w:tcBorders>
          </w:tcPr>
          <w:p w14:paraId="584F9938" w14:textId="77777777" w:rsidR="00321DBE" w:rsidRPr="00532B79" w:rsidRDefault="00321DBE" w:rsidP="00C21496">
            <w:pPr>
              <w:pStyle w:val="Tabletext"/>
              <w:rPr>
                <w:rFonts w:cs="Arial"/>
              </w:rPr>
            </w:pPr>
            <w:r w:rsidRPr="00532B79">
              <w:rPr>
                <w:rFonts w:cs="Arial"/>
              </w:rPr>
              <w:t>Improved WHO FC</w:t>
            </w:r>
          </w:p>
        </w:tc>
        <w:tc>
          <w:tcPr>
            <w:tcW w:w="1984" w:type="dxa"/>
            <w:tcBorders>
              <w:top w:val="single" w:sz="4" w:space="0" w:color="auto"/>
              <w:left w:val="single" w:sz="4" w:space="0" w:color="auto"/>
              <w:bottom w:val="single" w:sz="4" w:space="0" w:color="auto"/>
              <w:right w:val="single" w:sz="4" w:space="0" w:color="auto"/>
            </w:tcBorders>
          </w:tcPr>
          <w:p w14:paraId="00B5E29F" w14:textId="77777777" w:rsidR="00321DBE" w:rsidRPr="00532B79" w:rsidRDefault="00321DBE" w:rsidP="00C21496">
            <w:pPr>
              <w:pStyle w:val="Tabletext"/>
              <w:rPr>
                <w:rFonts w:cs="Arial"/>
              </w:rPr>
            </w:pPr>
            <w:r w:rsidRPr="00532B79">
              <w:rPr>
                <w:rFonts w:cs="Arial"/>
              </w:rPr>
              <w:t xml:space="preserve">PATENT-PLUS (riociguat/sildenafil) </w:t>
            </w:r>
          </w:p>
          <w:p w14:paraId="5CC3A91A" w14:textId="77777777" w:rsidR="00321DBE" w:rsidRPr="00532B79" w:rsidRDefault="00321DBE" w:rsidP="00C21496">
            <w:pPr>
              <w:pStyle w:val="Tabletext"/>
              <w:rPr>
                <w:rFonts w:cs="Arial"/>
              </w:rPr>
            </w:pPr>
            <w:r w:rsidRPr="00532B79">
              <w:rPr>
                <w:rFonts w:cs="Arial"/>
              </w:rPr>
              <w:t>N=18</w:t>
            </w:r>
          </w:p>
        </w:tc>
        <w:tc>
          <w:tcPr>
            <w:tcW w:w="6095" w:type="dxa"/>
            <w:tcBorders>
              <w:top w:val="single" w:sz="4" w:space="0" w:color="auto"/>
              <w:left w:val="single" w:sz="4" w:space="0" w:color="auto"/>
              <w:bottom w:val="single" w:sz="4" w:space="0" w:color="auto"/>
              <w:right w:val="single" w:sz="4" w:space="0" w:color="auto"/>
            </w:tcBorders>
          </w:tcPr>
          <w:p w14:paraId="593B4541" w14:textId="325ADAE3" w:rsidR="00321DBE" w:rsidRPr="00532B79" w:rsidRDefault="00321DBE" w:rsidP="001960CE">
            <w:pPr>
              <w:pStyle w:val="Tabletext"/>
              <w:numPr>
                <w:ilvl w:val="0"/>
                <w:numId w:val="22"/>
              </w:numPr>
              <w:spacing w:before="20" w:after="20"/>
              <w:ind w:left="227" w:hanging="227"/>
              <w:rPr>
                <w:rFonts w:cs="Arial"/>
              </w:rPr>
            </w:pPr>
            <w:r w:rsidRPr="00532B79">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bCs/>
                <w:color w:val="FF0000"/>
              </w:rPr>
              <w:t>⨀</w:t>
            </w:r>
            <w:r w:rsidR="00C220DD" w:rsidRPr="00C220DD">
              <w:rPr>
                <w:rFonts w:ascii="Cambria Math" w:hAnsi="Cambria Math" w:cs="Cambria Math"/>
                <w:color w:val="FF0000"/>
              </w:rPr>
              <w:t>⨀</w:t>
            </w:r>
            <w:r w:rsidRPr="00532B79">
              <w:rPr>
                <w:rFonts w:cs="Arial"/>
              </w:rPr>
              <w:t>)</w:t>
            </w:r>
          </w:p>
          <w:p w14:paraId="51DCA8C0" w14:textId="77777777" w:rsidR="00321DBE" w:rsidRPr="00532B79" w:rsidRDefault="00321DBE" w:rsidP="001960CE">
            <w:pPr>
              <w:pStyle w:val="Tabletext"/>
              <w:numPr>
                <w:ilvl w:val="0"/>
                <w:numId w:val="22"/>
              </w:numPr>
              <w:spacing w:before="20" w:after="20"/>
              <w:ind w:left="227" w:hanging="227"/>
              <w:rPr>
                <w:rFonts w:cs="Arial"/>
              </w:rPr>
            </w:pPr>
            <w:r w:rsidRPr="00532B79">
              <w:rPr>
                <w:rFonts w:cs="Arial"/>
              </w:rPr>
              <w:t>Fewer patients improved their WHO FC with combination therapy compared with monotherapy, but the wide 95% CI indicates that the study was underpowered for this outcome (RR = 0.50; 95% CI 0.09, 2.73)</w:t>
            </w:r>
          </w:p>
        </w:tc>
      </w:tr>
      <w:tr w:rsidR="00321DBE" w:rsidRPr="009F466A" w14:paraId="23448D01" w14:textId="77777777" w:rsidTr="00321DBE">
        <w:tc>
          <w:tcPr>
            <w:tcW w:w="1555" w:type="dxa"/>
          </w:tcPr>
          <w:p w14:paraId="30181B84" w14:textId="77777777" w:rsidR="00321DBE" w:rsidRPr="00532B79" w:rsidRDefault="00321DBE" w:rsidP="00C21496">
            <w:pPr>
              <w:pStyle w:val="Tabletext"/>
              <w:rPr>
                <w:rFonts w:cs="Arial"/>
              </w:rPr>
            </w:pPr>
            <w:r w:rsidRPr="00532B79">
              <w:rPr>
                <w:rFonts w:cs="Arial"/>
              </w:rPr>
              <w:t>Worsened WHO FC</w:t>
            </w:r>
          </w:p>
        </w:tc>
        <w:tc>
          <w:tcPr>
            <w:tcW w:w="1984" w:type="dxa"/>
            <w:tcBorders>
              <w:top w:val="single" w:sz="4" w:space="0" w:color="auto"/>
              <w:left w:val="single" w:sz="4" w:space="0" w:color="auto"/>
              <w:bottom w:val="single" w:sz="4" w:space="0" w:color="auto"/>
              <w:right w:val="single" w:sz="4" w:space="0" w:color="auto"/>
            </w:tcBorders>
          </w:tcPr>
          <w:p w14:paraId="27E466AE" w14:textId="77777777" w:rsidR="00321DBE" w:rsidRPr="00532B79" w:rsidRDefault="00321DBE" w:rsidP="00C21496">
            <w:pPr>
              <w:pStyle w:val="Tabletext"/>
              <w:rPr>
                <w:rFonts w:cs="Arial"/>
              </w:rPr>
            </w:pPr>
            <w:r w:rsidRPr="00532B79">
              <w:rPr>
                <w:rFonts w:cs="Arial"/>
              </w:rPr>
              <w:t xml:space="preserve">PATENT-PLUS (riociguat/sildenafil) </w:t>
            </w:r>
          </w:p>
          <w:p w14:paraId="0043DEE2" w14:textId="77777777" w:rsidR="00321DBE" w:rsidRPr="00532B79" w:rsidRDefault="00321DBE" w:rsidP="00C21496">
            <w:pPr>
              <w:pStyle w:val="Tabletext"/>
              <w:rPr>
                <w:rFonts w:cs="Arial"/>
              </w:rPr>
            </w:pPr>
            <w:r w:rsidRPr="00532B79">
              <w:rPr>
                <w:rFonts w:cs="Arial"/>
              </w:rPr>
              <w:t>N=18</w:t>
            </w:r>
          </w:p>
        </w:tc>
        <w:tc>
          <w:tcPr>
            <w:tcW w:w="6095" w:type="dxa"/>
          </w:tcPr>
          <w:p w14:paraId="46CA2405" w14:textId="16CE3B69" w:rsidR="00321DBE" w:rsidRPr="00532B79" w:rsidRDefault="00321DBE" w:rsidP="001960CE">
            <w:pPr>
              <w:pStyle w:val="Tabletext"/>
              <w:numPr>
                <w:ilvl w:val="0"/>
                <w:numId w:val="22"/>
              </w:numPr>
              <w:spacing w:before="20" w:after="20"/>
              <w:ind w:left="227" w:hanging="227"/>
              <w:rPr>
                <w:rFonts w:cs="Arial"/>
              </w:rPr>
            </w:pPr>
            <w:r w:rsidRPr="00532B79">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532B79">
              <w:rPr>
                <w:rFonts w:cs="Arial"/>
              </w:rPr>
              <w:t>)</w:t>
            </w:r>
          </w:p>
          <w:p w14:paraId="53D4BC31" w14:textId="77777777" w:rsidR="00321DBE" w:rsidRPr="00532B79" w:rsidRDefault="00321DBE" w:rsidP="001960CE">
            <w:pPr>
              <w:pStyle w:val="Tabletext"/>
              <w:numPr>
                <w:ilvl w:val="0"/>
                <w:numId w:val="22"/>
              </w:numPr>
              <w:spacing w:before="20" w:after="20"/>
              <w:ind w:left="227" w:hanging="227"/>
              <w:rPr>
                <w:rFonts w:cs="Arial"/>
              </w:rPr>
            </w:pPr>
            <w:r w:rsidRPr="00532B79">
              <w:rPr>
                <w:rFonts w:cs="Arial"/>
              </w:rPr>
              <w:t>No patients had worsening of their WHO FC during the study period</w:t>
            </w:r>
          </w:p>
        </w:tc>
      </w:tr>
      <w:tr w:rsidR="00321DBE" w:rsidRPr="009F466A" w14:paraId="496A6CED" w14:textId="77777777" w:rsidTr="00321DBE">
        <w:tc>
          <w:tcPr>
            <w:tcW w:w="1555" w:type="dxa"/>
          </w:tcPr>
          <w:p w14:paraId="17E213BE" w14:textId="77777777" w:rsidR="00321DBE" w:rsidRPr="00532B79" w:rsidRDefault="00321DBE" w:rsidP="00C21496">
            <w:pPr>
              <w:pStyle w:val="Tabletext"/>
              <w:rPr>
                <w:rFonts w:cs="Arial"/>
              </w:rPr>
            </w:pPr>
            <w:r w:rsidRPr="00532B79">
              <w:rPr>
                <w:rFonts w:cs="Arial"/>
              </w:rPr>
              <w:t>Change in 6MWD from baseline</w:t>
            </w:r>
          </w:p>
        </w:tc>
        <w:tc>
          <w:tcPr>
            <w:tcW w:w="1984" w:type="dxa"/>
            <w:tcBorders>
              <w:top w:val="single" w:sz="4" w:space="0" w:color="auto"/>
              <w:left w:val="single" w:sz="4" w:space="0" w:color="auto"/>
              <w:bottom w:val="single" w:sz="4" w:space="0" w:color="auto"/>
              <w:right w:val="single" w:sz="4" w:space="0" w:color="auto"/>
            </w:tcBorders>
          </w:tcPr>
          <w:p w14:paraId="571C1239" w14:textId="77777777" w:rsidR="00321DBE" w:rsidRPr="00532B79" w:rsidRDefault="00321DBE" w:rsidP="00C21496">
            <w:pPr>
              <w:pStyle w:val="Tabletext"/>
              <w:rPr>
                <w:rFonts w:cs="Arial"/>
              </w:rPr>
            </w:pPr>
            <w:r w:rsidRPr="00532B79">
              <w:rPr>
                <w:rFonts w:cs="Arial"/>
              </w:rPr>
              <w:t xml:space="preserve">PATENT-PLUS (riociguat/sildenafil) </w:t>
            </w:r>
          </w:p>
          <w:p w14:paraId="6AF4095E" w14:textId="77777777" w:rsidR="00321DBE" w:rsidRPr="00532B79" w:rsidRDefault="00321DBE" w:rsidP="00C21496">
            <w:pPr>
              <w:pStyle w:val="Tabletext"/>
              <w:rPr>
                <w:rFonts w:cs="Arial"/>
              </w:rPr>
            </w:pPr>
            <w:r w:rsidRPr="00532B79">
              <w:rPr>
                <w:rFonts w:cs="Arial"/>
              </w:rPr>
              <w:t>N=18</w:t>
            </w:r>
          </w:p>
        </w:tc>
        <w:tc>
          <w:tcPr>
            <w:tcW w:w="6095" w:type="dxa"/>
          </w:tcPr>
          <w:p w14:paraId="2F18543C" w14:textId="3722C02F" w:rsidR="00321DBE" w:rsidRPr="00532B79" w:rsidRDefault="00321DBE" w:rsidP="001960CE">
            <w:pPr>
              <w:pStyle w:val="Tabletext"/>
              <w:numPr>
                <w:ilvl w:val="0"/>
                <w:numId w:val="22"/>
              </w:numPr>
              <w:spacing w:before="20" w:after="20"/>
              <w:ind w:left="227" w:hanging="227"/>
              <w:rPr>
                <w:rFonts w:cs="Arial"/>
              </w:rPr>
            </w:pPr>
            <w:r w:rsidRPr="00532B79">
              <w:rPr>
                <w:rFonts w:cs="Arial"/>
              </w:rPr>
              <w:t xml:space="preserve">Very 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00C220DD" w:rsidRPr="00C220DD">
              <w:rPr>
                <w:rFonts w:ascii="Cambria Math" w:hAnsi="Cambria Math" w:cs="Cambria Math"/>
                <w:color w:val="FF0000"/>
              </w:rPr>
              <w:t>⨀</w:t>
            </w:r>
            <w:r w:rsidRPr="00532B79">
              <w:rPr>
                <w:rFonts w:cs="Arial"/>
              </w:rPr>
              <w:t>)</w:t>
            </w:r>
          </w:p>
          <w:p w14:paraId="536449A7" w14:textId="77777777" w:rsidR="00321DBE" w:rsidRPr="00532B79" w:rsidRDefault="00321DBE" w:rsidP="001960CE">
            <w:pPr>
              <w:pStyle w:val="Tabletext"/>
              <w:numPr>
                <w:ilvl w:val="0"/>
                <w:numId w:val="22"/>
              </w:numPr>
              <w:spacing w:before="20" w:after="20"/>
              <w:ind w:left="227" w:hanging="227"/>
              <w:rPr>
                <w:rFonts w:cs="Arial"/>
              </w:rPr>
            </w:pPr>
            <w:r w:rsidRPr="00532B79">
              <w:rPr>
                <w:rFonts w:cs="Arial"/>
              </w:rPr>
              <w:t>Patients on combination therapy had a smaller mean improvement in their 6MWD than those on monotherapy, but the difference was not clinically important (MD = 23 m less)</w:t>
            </w:r>
          </w:p>
        </w:tc>
      </w:tr>
    </w:tbl>
    <w:p w14:paraId="12E19119" w14:textId="77777777" w:rsidR="00321DBE" w:rsidRPr="00532B79" w:rsidRDefault="00321DBE" w:rsidP="00C21496">
      <w:pPr>
        <w:pStyle w:val="Tablenote"/>
        <w:jc w:val="left"/>
        <w:rPr>
          <w:rFonts w:cs="Arial"/>
        </w:rPr>
      </w:pPr>
      <w:r w:rsidRPr="00532B79">
        <w:rPr>
          <w:rFonts w:cs="Arial"/>
        </w:rPr>
        <w:t>6MWD = 6-minute walk distance; CI = confidence interval; FC = functional class; GRADE = grading of recommendations assessment, development and evaluation</w:t>
      </w:r>
      <w:r w:rsidRPr="00532B79">
        <w:rPr>
          <w:rFonts w:cs="Arial"/>
          <w:noProof/>
          <w:vertAlign w:val="superscript"/>
        </w:rPr>
        <w:t>1</w:t>
      </w:r>
      <w:r w:rsidRPr="00532B79">
        <w:rPr>
          <w:rFonts w:cs="Arial"/>
        </w:rPr>
        <w:t>; MD = mean difference; PAH = pulmonary arterial hypertension; PDE-5 = phosphodiesterase type-5; RR = relative risk; sGC = soluble guanylate cyclase stimulator; WHO = World Health Organization</w:t>
      </w:r>
    </w:p>
    <w:p w14:paraId="72882D1E" w14:textId="77777777" w:rsidR="0016033A" w:rsidRPr="0016033A" w:rsidRDefault="0016033A" w:rsidP="00C21496">
      <w:pPr>
        <w:pStyle w:val="Heading5"/>
        <w:keepLines w:val="0"/>
        <w:numPr>
          <w:ilvl w:val="0"/>
          <w:numId w:val="0"/>
        </w:numPr>
        <w:spacing w:before="240"/>
        <w:jc w:val="left"/>
        <w:rPr>
          <w:color w:val="auto"/>
          <w:u w:val="single"/>
        </w:rPr>
      </w:pPr>
      <w:bookmarkStart w:id="122" w:name="_Ref506207886"/>
      <w:bookmarkStart w:id="123" w:name="_Toc508396850"/>
      <w:r w:rsidRPr="0016033A">
        <w:rPr>
          <w:color w:val="auto"/>
          <w:u w:val="single"/>
        </w:rPr>
        <w:t>Safety</w:t>
      </w:r>
    </w:p>
    <w:p w14:paraId="6D37CB36" w14:textId="77777777" w:rsidR="0016033A" w:rsidRDefault="0016033A" w:rsidP="00C21496">
      <w:pPr>
        <w:jc w:val="left"/>
      </w:pPr>
      <w:r>
        <w:t xml:space="preserve">One RCT reported on the comparative safety of treatment with a </w:t>
      </w:r>
      <w:r w:rsidRPr="002375AD">
        <w:t xml:space="preserve">sGC stimulator </w:t>
      </w:r>
      <w:r w:rsidRPr="00542902">
        <w:t xml:space="preserve">in addition to </w:t>
      </w:r>
      <w:r>
        <w:t xml:space="preserve">a </w:t>
      </w:r>
      <w:r w:rsidRPr="00542902">
        <w:t xml:space="preserve">PDE-5 inhibitor, </w:t>
      </w:r>
      <w:r>
        <w:t>compared with a PDE-5 inhibitor alone, in patients with PAH:</w:t>
      </w:r>
    </w:p>
    <w:p w14:paraId="107BC570" w14:textId="77777777" w:rsidR="0016033A" w:rsidRPr="00B96C6F" w:rsidRDefault="0016033A" w:rsidP="00C21496">
      <w:pPr>
        <w:pStyle w:val="Bullettext"/>
        <w:ind w:left="720"/>
      </w:pPr>
      <w:r>
        <w:t>PATENT-PLUS</w:t>
      </w:r>
    </w:p>
    <w:p w14:paraId="77522609" w14:textId="77777777" w:rsidR="0016033A" w:rsidRPr="00B96C6F" w:rsidRDefault="0016033A" w:rsidP="00C21496">
      <w:pPr>
        <w:pStyle w:val="Bullettext"/>
        <w:ind w:left="720"/>
      </w:pPr>
      <w:r w:rsidRPr="00B96C6F">
        <w:t xml:space="preserve">There were no new </w:t>
      </w:r>
      <w:r>
        <w:t>safety signals identified.</w:t>
      </w:r>
      <w:r w:rsidRPr="007D4DF1">
        <w:t xml:space="preserve"> </w:t>
      </w:r>
    </w:p>
    <w:p w14:paraId="258A2AFF" w14:textId="77777777" w:rsidR="0016033A" w:rsidRDefault="0016033A" w:rsidP="00C21496">
      <w:pPr>
        <w:jc w:val="left"/>
      </w:pPr>
      <w:r>
        <w:t xml:space="preserve">The evidence provided by this trial is summarised in </w:t>
      </w:r>
      <w:r w:rsidR="00CC79E1">
        <w:t>Table ES.</w:t>
      </w:r>
      <w:r w:rsidR="00CC79E1">
        <w:rPr>
          <w:noProof/>
        </w:rPr>
        <w:t>21</w:t>
      </w:r>
      <w:r>
        <w:t>.</w:t>
      </w:r>
    </w:p>
    <w:p w14:paraId="40A038B3" w14:textId="77777777" w:rsidR="0016033A" w:rsidRDefault="0016033A" w:rsidP="00C21496">
      <w:pPr>
        <w:jc w:val="left"/>
      </w:pPr>
      <w:r>
        <w:lastRenderedPageBreak/>
        <w:t xml:space="preserve">Overall, </w:t>
      </w:r>
      <w:r w:rsidRPr="00487776">
        <w:t>there is considerable uncertainty whether the use of a sGC stimulator in addition to PDE-5 inhibitor, relative to PDE-5 inhibitor monotherapy</w:t>
      </w:r>
      <w:r>
        <w:t xml:space="preserve">, </w:t>
      </w:r>
      <w:r w:rsidRPr="00487776">
        <w:t>would cause additional harm</w:t>
      </w:r>
      <w:r>
        <w:t xml:space="preserve"> to PAH patients</w:t>
      </w:r>
      <w:r w:rsidRPr="006316DF">
        <w:t xml:space="preserve">. </w:t>
      </w:r>
    </w:p>
    <w:p w14:paraId="5DAC107B" w14:textId="77777777" w:rsidR="009E5A8D" w:rsidRPr="009F466A" w:rsidRDefault="009E5A8D" w:rsidP="00C21496">
      <w:pPr>
        <w:pStyle w:val="Caption"/>
        <w:jc w:val="left"/>
      </w:pPr>
      <w:bookmarkStart w:id="124" w:name="_Ref511118910"/>
      <w:bookmarkStart w:id="125" w:name="_Toc38372140"/>
      <w:bookmarkEnd w:id="122"/>
      <w:bookmarkEnd w:id="123"/>
      <w:r>
        <w:t>Table ES.</w:t>
      </w:r>
      <w:r w:rsidR="00CC79E1">
        <w:rPr>
          <w:noProof/>
        </w:rPr>
        <w:t>21</w:t>
      </w:r>
      <w:bookmarkEnd w:id="124"/>
      <w:r>
        <w:tab/>
      </w:r>
      <w:r w:rsidRPr="009F466A">
        <w:t>Summary of the evidence for the safety of a sGC stimulator in addition to a PDE-5 inhibitor, relative to PDE-5 inhibitor monotherapy</w:t>
      </w:r>
      <w:bookmarkEnd w:id="125"/>
    </w:p>
    <w:tbl>
      <w:tblPr>
        <w:tblStyle w:val="TableGrid"/>
        <w:tblW w:w="9634" w:type="dxa"/>
        <w:tblLook w:val="04A0" w:firstRow="1" w:lastRow="0" w:firstColumn="1" w:lastColumn="0" w:noHBand="0" w:noVBand="1"/>
        <w:tblCaption w:val="Summary of the evidence for the safety of a sGC stimulator in addition to a PDE-5 inhibitor, relative to PDE-5 inhibitor monotherapy"/>
      </w:tblPr>
      <w:tblGrid>
        <w:gridCol w:w="1555"/>
        <w:gridCol w:w="1984"/>
        <w:gridCol w:w="6095"/>
      </w:tblGrid>
      <w:tr w:rsidR="00321DBE" w:rsidRPr="00532B79" w14:paraId="6BFE012D" w14:textId="77777777" w:rsidTr="008979BD">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011647" w14:textId="77777777" w:rsidR="00321DBE" w:rsidRPr="00532B79" w:rsidRDefault="00321DBE" w:rsidP="00C21496">
            <w:pPr>
              <w:pStyle w:val="Tabletext"/>
              <w:rPr>
                <w:rFonts w:cs="Arial"/>
                <w:b/>
              </w:rPr>
            </w:pPr>
            <w:r w:rsidRPr="00532B79">
              <w:rPr>
                <w:rFonts w:cs="Arial"/>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C0623C" w14:textId="77777777" w:rsidR="00321DBE" w:rsidRPr="00532B79" w:rsidRDefault="00321DBE" w:rsidP="00C21496">
            <w:pPr>
              <w:pStyle w:val="Tabletext"/>
              <w:rPr>
                <w:rFonts w:cs="Arial"/>
                <w:b/>
              </w:rPr>
            </w:pPr>
            <w:r w:rsidRPr="00532B79">
              <w:rPr>
                <w:rFonts w:cs="Arial"/>
                <w:b/>
              </w:rPr>
              <w:t xml:space="preserve">Included trials </w:t>
            </w:r>
          </w:p>
          <w:p w14:paraId="7885535D" w14:textId="77777777" w:rsidR="00321DBE" w:rsidRPr="00532B79" w:rsidRDefault="00321DBE" w:rsidP="00C21496">
            <w:pPr>
              <w:pStyle w:val="Tabletext"/>
              <w:rPr>
                <w:rFonts w:cs="Arial"/>
                <w:b/>
              </w:rPr>
            </w:pPr>
            <w:r w:rsidRPr="00532B79">
              <w:rPr>
                <w:rFonts w:cs="Arial"/>
                <w:b/>
              </w:rPr>
              <w:t xml:space="preserve">No. of patients </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C0023" w14:textId="77777777" w:rsidR="00321DBE" w:rsidRPr="00532B79" w:rsidRDefault="00321DBE" w:rsidP="00C21496">
            <w:pPr>
              <w:pStyle w:val="Tabletext"/>
              <w:rPr>
                <w:rFonts w:cs="Arial"/>
                <w:b/>
              </w:rPr>
            </w:pPr>
            <w:r w:rsidRPr="00532B79">
              <w:rPr>
                <w:rFonts w:cs="Arial"/>
                <w:b/>
              </w:rPr>
              <w:t>Summary of evidence</w:t>
            </w:r>
          </w:p>
        </w:tc>
      </w:tr>
      <w:tr w:rsidR="00321DBE" w:rsidRPr="00532B79" w14:paraId="6A979CA0"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0A7FF99C" w14:textId="77777777" w:rsidR="00321DBE" w:rsidRPr="00532B79" w:rsidRDefault="00321DBE" w:rsidP="00C21496">
            <w:pPr>
              <w:pStyle w:val="Tabletext"/>
              <w:rPr>
                <w:rFonts w:cs="Arial"/>
              </w:rPr>
            </w:pPr>
            <w:r w:rsidRPr="00532B79">
              <w:rPr>
                <w:rFonts w:cs="Arial"/>
              </w:rPr>
              <w:t>Patients with WHO FC III/IV PAH</w:t>
            </w:r>
          </w:p>
        </w:tc>
      </w:tr>
      <w:tr w:rsidR="00321DBE" w:rsidRPr="00532B79" w14:paraId="3DE254FD" w14:textId="77777777" w:rsidTr="00321DBE">
        <w:tc>
          <w:tcPr>
            <w:tcW w:w="1555" w:type="dxa"/>
            <w:tcBorders>
              <w:top w:val="single" w:sz="4" w:space="0" w:color="auto"/>
              <w:left w:val="single" w:sz="4" w:space="0" w:color="auto"/>
              <w:bottom w:val="single" w:sz="4" w:space="0" w:color="auto"/>
              <w:right w:val="single" w:sz="4" w:space="0" w:color="auto"/>
            </w:tcBorders>
          </w:tcPr>
          <w:p w14:paraId="5560A6DA" w14:textId="77777777" w:rsidR="00321DBE" w:rsidRPr="00532B79" w:rsidRDefault="00321DBE" w:rsidP="00C21496">
            <w:pPr>
              <w:pStyle w:val="Tabletext"/>
              <w:rPr>
                <w:rFonts w:cs="Arial"/>
              </w:rPr>
            </w:pPr>
            <w:r w:rsidRPr="00532B79">
              <w:rPr>
                <w:rFonts w:cs="Arial"/>
              </w:rPr>
              <w:t>Any AE</w:t>
            </w:r>
          </w:p>
        </w:tc>
        <w:tc>
          <w:tcPr>
            <w:tcW w:w="1984" w:type="dxa"/>
            <w:tcBorders>
              <w:top w:val="single" w:sz="4" w:space="0" w:color="auto"/>
              <w:left w:val="single" w:sz="4" w:space="0" w:color="auto"/>
              <w:bottom w:val="single" w:sz="4" w:space="0" w:color="auto"/>
              <w:right w:val="single" w:sz="4" w:space="0" w:color="auto"/>
            </w:tcBorders>
          </w:tcPr>
          <w:p w14:paraId="77EDD547" w14:textId="77777777" w:rsidR="00321DBE" w:rsidRPr="00532B79" w:rsidRDefault="00321DBE" w:rsidP="00C21496">
            <w:pPr>
              <w:pStyle w:val="Tabletext"/>
              <w:rPr>
                <w:rFonts w:cs="Arial"/>
              </w:rPr>
            </w:pPr>
            <w:r w:rsidRPr="00532B79">
              <w:rPr>
                <w:rFonts w:cs="Arial"/>
              </w:rPr>
              <w:t xml:space="preserve">PATENT-PLUS (riociguat/sildenafil) </w:t>
            </w:r>
          </w:p>
          <w:p w14:paraId="7A1C0E0F" w14:textId="77777777" w:rsidR="00321DBE" w:rsidRPr="00532B79" w:rsidRDefault="00321DBE" w:rsidP="00C21496">
            <w:pPr>
              <w:pStyle w:val="Tabletext"/>
              <w:rPr>
                <w:rFonts w:cs="Arial"/>
              </w:rPr>
            </w:pPr>
            <w:r w:rsidRPr="00532B79">
              <w:rPr>
                <w:rFonts w:cs="Arial"/>
              </w:rPr>
              <w:t>N=18</w:t>
            </w:r>
          </w:p>
        </w:tc>
        <w:tc>
          <w:tcPr>
            <w:tcW w:w="6095" w:type="dxa"/>
            <w:tcBorders>
              <w:top w:val="single" w:sz="4" w:space="0" w:color="auto"/>
              <w:left w:val="single" w:sz="4" w:space="0" w:color="auto"/>
              <w:bottom w:val="single" w:sz="4" w:space="0" w:color="auto"/>
              <w:right w:val="single" w:sz="4" w:space="0" w:color="auto"/>
            </w:tcBorders>
          </w:tcPr>
          <w:p w14:paraId="21544CAA" w14:textId="72C2325C" w:rsidR="00321DBE" w:rsidRPr="00532B79" w:rsidRDefault="00321DBE" w:rsidP="001960CE">
            <w:pPr>
              <w:pStyle w:val="Tabletext"/>
              <w:numPr>
                <w:ilvl w:val="0"/>
                <w:numId w:val="30"/>
              </w:numPr>
              <w:spacing w:before="20" w:after="20"/>
              <w:ind w:left="227" w:hanging="219"/>
              <w:rPr>
                <w:rFonts w:cs="Arial"/>
              </w:rPr>
            </w:pPr>
            <w:r w:rsidRPr="00532B79">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bCs/>
                <w:color w:val="FF0000"/>
              </w:rPr>
              <w:t>⨀</w:t>
            </w:r>
            <w:r w:rsidR="00C220DD" w:rsidRPr="00C220DD">
              <w:rPr>
                <w:rFonts w:ascii="Cambria Math" w:hAnsi="Cambria Math" w:cs="Cambria Math"/>
                <w:color w:val="FF0000"/>
              </w:rPr>
              <w:t>⨀</w:t>
            </w:r>
            <w:r w:rsidRPr="00532B79">
              <w:rPr>
                <w:rFonts w:cs="Arial"/>
              </w:rPr>
              <w:t>)</w:t>
            </w:r>
          </w:p>
          <w:p w14:paraId="3A0DC8EF" w14:textId="77777777" w:rsidR="00321DBE" w:rsidRPr="00532B79" w:rsidRDefault="00321DBE" w:rsidP="001960CE">
            <w:pPr>
              <w:pStyle w:val="Tabletext"/>
              <w:numPr>
                <w:ilvl w:val="0"/>
                <w:numId w:val="30"/>
              </w:numPr>
              <w:spacing w:before="20" w:after="20"/>
              <w:ind w:left="227" w:hanging="219"/>
              <w:rPr>
                <w:rFonts w:cs="Arial"/>
              </w:rPr>
            </w:pPr>
            <w:r w:rsidRPr="00532B79">
              <w:rPr>
                <w:rFonts w:cs="Arial"/>
              </w:rPr>
              <w:t>More patients experienced an AE with combination therapy compared with monotherapy, but the 95% CI indicates that the study was underpowered for this outcome (RR = 1.50; 95% CI 0.85, 2.64)</w:t>
            </w:r>
          </w:p>
        </w:tc>
      </w:tr>
      <w:tr w:rsidR="00321DBE" w:rsidRPr="00532B79" w14:paraId="6BEC7FA2" w14:textId="77777777" w:rsidTr="00321DBE">
        <w:tc>
          <w:tcPr>
            <w:tcW w:w="1555" w:type="dxa"/>
          </w:tcPr>
          <w:p w14:paraId="2EE3316C" w14:textId="77777777" w:rsidR="00321DBE" w:rsidRPr="00532B79" w:rsidRDefault="00321DBE" w:rsidP="00C21496">
            <w:pPr>
              <w:pStyle w:val="Tabletext"/>
              <w:rPr>
                <w:rFonts w:cs="Arial"/>
              </w:rPr>
            </w:pPr>
            <w:r w:rsidRPr="00532B79">
              <w:rPr>
                <w:rFonts w:cs="Arial"/>
              </w:rPr>
              <w:t>Serious AEs</w:t>
            </w:r>
          </w:p>
        </w:tc>
        <w:tc>
          <w:tcPr>
            <w:tcW w:w="1984" w:type="dxa"/>
            <w:tcBorders>
              <w:top w:val="single" w:sz="4" w:space="0" w:color="auto"/>
              <w:left w:val="single" w:sz="4" w:space="0" w:color="auto"/>
              <w:bottom w:val="single" w:sz="4" w:space="0" w:color="auto"/>
              <w:right w:val="single" w:sz="4" w:space="0" w:color="auto"/>
            </w:tcBorders>
          </w:tcPr>
          <w:p w14:paraId="5CEBC8F6" w14:textId="77777777" w:rsidR="00321DBE" w:rsidRPr="00532B79" w:rsidRDefault="00321DBE" w:rsidP="00C21496">
            <w:pPr>
              <w:pStyle w:val="Tabletext"/>
              <w:rPr>
                <w:rFonts w:cs="Arial"/>
              </w:rPr>
            </w:pPr>
            <w:r w:rsidRPr="00532B79">
              <w:rPr>
                <w:rFonts w:cs="Arial"/>
              </w:rPr>
              <w:t xml:space="preserve">PATENT-PLUS (riociguat/sildenafil) </w:t>
            </w:r>
          </w:p>
          <w:p w14:paraId="5C895F34" w14:textId="77777777" w:rsidR="00321DBE" w:rsidRPr="00532B79" w:rsidRDefault="00321DBE" w:rsidP="00C21496">
            <w:pPr>
              <w:pStyle w:val="Tabletext"/>
              <w:rPr>
                <w:rFonts w:cs="Arial"/>
              </w:rPr>
            </w:pPr>
            <w:r w:rsidRPr="00532B79">
              <w:rPr>
                <w:rFonts w:cs="Arial"/>
              </w:rPr>
              <w:t>N=18</w:t>
            </w:r>
          </w:p>
        </w:tc>
        <w:tc>
          <w:tcPr>
            <w:tcW w:w="6095" w:type="dxa"/>
          </w:tcPr>
          <w:p w14:paraId="1D1645EE" w14:textId="58A09D1C" w:rsidR="00321DBE" w:rsidRPr="00532B79" w:rsidRDefault="00321DBE" w:rsidP="001960CE">
            <w:pPr>
              <w:pStyle w:val="Tabletext"/>
              <w:numPr>
                <w:ilvl w:val="0"/>
                <w:numId w:val="30"/>
              </w:numPr>
              <w:spacing w:before="20" w:after="20"/>
              <w:ind w:left="227" w:hanging="219"/>
              <w:rPr>
                <w:rFonts w:cs="Arial"/>
              </w:rPr>
            </w:pPr>
            <w:r w:rsidRPr="00532B79">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bCs/>
                <w:color w:val="FF0000"/>
              </w:rPr>
              <w:t>⨀</w:t>
            </w:r>
            <w:r w:rsidR="00C220DD" w:rsidRPr="00C220DD">
              <w:rPr>
                <w:rFonts w:ascii="Cambria Math" w:hAnsi="Cambria Math" w:cs="Cambria Math"/>
                <w:color w:val="FF0000"/>
              </w:rPr>
              <w:t>⨀</w:t>
            </w:r>
            <w:r w:rsidRPr="00532B79">
              <w:rPr>
                <w:rFonts w:cs="Arial"/>
              </w:rPr>
              <w:t>)</w:t>
            </w:r>
          </w:p>
          <w:p w14:paraId="7A856E7C" w14:textId="77777777" w:rsidR="00321DBE" w:rsidRPr="00532B79" w:rsidRDefault="00321DBE" w:rsidP="001960CE">
            <w:pPr>
              <w:pStyle w:val="Tabletext"/>
              <w:numPr>
                <w:ilvl w:val="0"/>
                <w:numId w:val="30"/>
              </w:numPr>
              <w:spacing w:before="20" w:after="20"/>
              <w:ind w:left="227" w:hanging="219"/>
              <w:rPr>
                <w:rFonts w:cs="Arial"/>
              </w:rPr>
            </w:pPr>
            <w:r w:rsidRPr="00532B79">
              <w:rPr>
                <w:rFonts w:cs="Arial"/>
              </w:rPr>
              <w:t>More patients experienced a serious AE with combination therapy compared with monotherapy, but the 95% CI indicates that the study was underpowered for this outcome (ARD = 16.7%; 95% CI −4.4, 37.8)</w:t>
            </w:r>
          </w:p>
        </w:tc>
      </w:tr>
      <w:tr w:rsidR="00321DBE" w:rsidRPr="00532B79" w14:paraId="43AD7120" w14:textId="77777777" w:rsidTr="00321DBE">
        <w:tc>
          <w:tcPr>
            <w:tcW w:w="1555" w:type="dxa"/>
          </w:tcPr>
          <w:p w14:paraId="6AE95BF7" w14:textId="77777777" w:rsidR="00321DBE" w:rsidRPr="00532B79" w:rsidRDefault="00321DBE" w:rsidP="00C21496">
            <w:pPr>
              <w:pStyle w:val="Tabletext"/>
              <w:rPr>
                <w:rFonts w:cs="Arial"/>
              </w:rPr>
            </w:pPr>
            <w:r w:rsidRPr="00532B79">
              <w:rPr>
                <w:rFonts w:cs="Arial"/>
              </w:rPr>
              <w:t>AEs leading to treatment discontinuation</w:t>
            </w:r>
          </w:p>
        </w:tc>
        <w:tc>
          <w:tcPr>
            <w:tcW w:w="1984" w:type="dxa"/>
            <w:tcBorders>
              <w:top w:val="single" w:sz="4" w:space="0" w:color="auto"/>
              <w:left w:val="single" w:sz="4" w:space="0" w:color="auto"/>
              <w:bottom w:val="single" w:sz="4" w:space="0" w:color="auto"/>
              <w:right w:val="single" w:sz="4" w:space="0" w:color="auto"/>
            </w:tcBorders>
          </w:tcPr>
          <w:p w14:paraId="157A0526" w14:textId="77777777" w:rsidR="00321DBE" w:rsidRPr="00532B79" w:rsidRDefault="00321DBE" w:rsidP="00C21496">
            <w:pPr>
              <w:pStyle w:val="Tabletext"/>
              <w:rPr>
                <w:rFonts w:cs="Arial"/>
              </w:rPr>
            </w:pPr>
            <w:r w:rsidRPr="00532B79">
              <w:rPr>
                <w:rFonts w:cs="Arial"/>
              </w:rPr>
              <w:t xml:space="preserve">PATENT-PLUS (riociguat/sildenafil) </w:t>
            </w:r>
          </w:p>
          <w:p w14:paraId="0524445F" w14:textId="77777777" w:rsidR="00321DBE" w:rsidRPr="00532B79" w:rsidRDefault="00321DBE" w:rsidP="00C21496">
            <w:pPr>
              <w:pStyle w:val="Tabletext"/>
              <w:rPr>
                <w:rFonts w:cs="Arial"/>
              </w:rPr>
            </w:pPr>
            <w:r w:rsidRPr="00532B79">
              <w:rPr>
                <w:rFonts w:cs="Arial"/>
              </w:rPr>
              <w:t>N=18</w:t>
            </w:r>
          </w:p>
        </w:tc>
        <w:tc>
          <w:tcPr>
            <w:tcW w:w="6095" w:type="dxa"/>
            <w:tcBorders>
              <w:top w:val="single" w:sz="4" w:space="0" w:color="auto"/>
              <w:left w:val="single" w:sz="4" w:space="0" w:color="auto"/>
              <w:bottom w:val="single" w:sz="4" w:space="0" w:color="auto"/>
              <w:right w:val="single" w:sz="4" w:space="0" w:color="auto"/>
            </w:tcBorders>
          </w:tcPr>
          <w:p w14:paraId="5B5FA183" w14:textId="3F3EE389" w:rsidR="00321DBE" w:rsidRPr="00532B79" w:rsidRDefault="00321DBE" w:rsidP="001960CE">
            <w:pPr>
              <w:pStyle w:val="Tabletext"/>
              <w:numPr>
                <w:ilvl w:val="0"/>
                <w:numId w:val="30"/>
              </w:numPr>
              <w:spacing w:before="20" w:after="20"/>
              <w:ind w:left="227" w:hanging="219"/>
              <w:rPr>
                <w:rFonts w:cs="Arial"/>
              </w:rPr>
            </w:pPr>
            <w:r w:rsidRPr="00532B79">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hAnsi="Cambria Math" w:cs="Cambria Math"/>
                <w:bCs/>
                <w:color w:val="FF0000"/>
              </w:rPr>
              <w:t>⨀</w:t>
            </w:r>
            <w:r w:rsidR="00C220DD" w:rsidRPr="00C220DD">
              <w:rPr>
                <w:rFonts w:ascii="Cambria Math" w:hAnsi="Cambria Math" w:cs="Cambria Math"/>
                <w:color w:val="FF0000"/>
              </w:rPr>
              <w:t>⨀</w:t>
            </w:r>
            <w:r w:rsidRPr="00532B79">
              <w:rPr>
                <w:rFonts w:cs="Arial"/>
              </w:rPr>
              <w:t>)</w:t>
            </w:r>
          </w:p>
          <w:p w14:paraId="7EC416D9" w14:textId="77777777" w:rsidR="00321DBE" w:rsidRPr="00532B79" w:rsidRDefault="00321DBE" w:rsidP="001960CE">
            <w:pPr>
              <w:pStyle w:val="Tabletext"/>
              <w:numPr>
                <w:ilvl w:val="0"/>
                <w:numId w:val="30"/>
              </w:numPr>
              <w:spacing w:before="20" w:after="20"/>
              <w:ind w:left="227" w:hanging="219"/>
              <w:rPr>
                <w:rFonts w:cs="Arial"/>
              </w:rPr>
            </w:pPr>
            <w:r w:rsidRPr="00532B79">
              <w:rPr>
                <w:rFonts w:cs="Arial"/>
              </w:rPr>
              <w:t>More patients had an AE leading to treatment discontinuation with combination therapy compared with monotherapy, but the difference was not statistically significant (ARD = 8.3%; 95% CI −7.3, 24.0)</w:t>
            </w:r>
          </w:p>
        </w:tc>
      </w:tr>
    </w:tbl>
    <w:p w14:paraId="6FD9C0D9" w14:textId="77777777" w:rsidR="00321DBE" w:rsidRPr="00532B79" w:rsidRDefault="00321DBE" w:rsidP="00C21496">
      <w:pPr>
        <w:pStyle w:val="Tablenote"/>
        <w:jc w:val="left"/>
        <w:rPr>
          <w:rFonts w:cs="Arial"/>
        </w:rPr>
      </w:pPr>
      <w:r w:rsidRPr="00532B79">
        <w:rPr>
          <w:rFonts w:cs="Arial"/>
        </w:rPr>
        <w:t>AE = adverse event; ARD = absolute risk difference; CI = confidence interval; FC = functional class; GRADE = grading of recommendations assessment, development and evaluation</w:t>
      </w:r>
      <w:r w:rsidRPr="00532B79">
        <w:rPr>
          <w:rFonts w:cs="Arial"/>
          <w:noProof/>
          <w:vertAlign w:val="superscript"/>
        </w:rPr>
        <w:t>1</w:t>
      </w:r>
      <w:r w:rsidRPr="00532B79">
        <w:rPr>
          <w:rFonts w:cs="Arial"/>
        </w:rPr>
        <w:t>; PAH = pulmonary arterial hypertension; PDE-5 = phosphodiesterase type-5; RR = relative risk; sGC = soluble guanylate cyclase stimulator; WHO = World Health Organization</w:t>
      </w:r>
    </w:p>
    <w:p w14:paraId="0FC83813" w14:textId="77777777" w:rsidR="00321DBE" w:rsidRPr="009F466A" w:rsidRDefault="00321DBE" w:rsidP="00C21496">
      <w:pPr>
        <w:pStyle w:val="Heading4"/>
      </w:pPr>
      <w:r w:rsidRPr="009F466A">
        <w:t>sGC stimulator in addition to a prostanoid</w:t>
      </w:r>
    </w:p>
    <w:p w14:paraId="0F1BF278" w14:textId="77777777" w:rsidR="0016033A" w:rsidRPr="0016033A" w:rsidRDefault="0016033A" w:rsidP="00C21496">
      <w:pPr>
        <w:pStyle w:val="Heading5"/>
        <w:keepLines w:val="0"/>
        <w:numPr>
          <w:ilvl w:val="0"/>
          <w:numId w:val="0"/>
        </w:numPr>
        <w:spacing w:before="240"/>
        <w:jc w:val="left"/>
        <w:rPr>
          <w:color w:val="auto"/>
          <w:u w:val="single"/>
        </w:rPr>
      </w:pPr>
      <w:bookmarkStart w:id="126" w:name="_Ref506208359"/>
      <w:bookmarkStart w:id="127" w:name="_Toc508396851"/>
      <w:r w:rsidRPr="0016033A">
        <w:rPr>
          <w:color w:val="auto"/>
          <w:u w:val="single"/>
        </w:rPr>
        <w:t>Clinical effectiveness</w:t>
      </w:r>
    </w:p>
    <w:p w14:paraId="3E319699" w14:textId="77777777" w:rsidR="0016033A" w:rsidRDefault="0016033A" w:rsidP="00C21496">
      <w:pPr>
        <w:jc w:val="left"/>
      </w:pPr>
      <w:r>
        <w:t>One RCT</w:t>
      </w:r>
      <w:r w:rsidRPr="00822C52">
        <w:t xml:space="preserve"> rep</w:t>
      </w:r>
      <w:r>
        <w:t>orted on the effectiveness of a</w:t>
      </w:r>
      <w:r w:rsidRPr="00822C52">
        <w:t xml:space="preserve"> </w:t>
      </w:r>
      <w:r w:rsidRPr="00955629">
        <w:t xml:space="preserve">sGC stimulator </w:t>
      </w:r>
      <w:r w:rsidRPr="00822C52">
        <w:t xml:space="preserve">in addition to a </w:t>
      </w:r>
      <w:r>
        <w:t>prostanoid</w:t>
      </w:r>
      <w:r w:rsidRPr="00C5017B">
        <w:t xml:space="preserve"> </w:t>
      </w:r>
      <w:r>
        <w:t xml:space="preserve">when </w:t>
      </w:r>
      <w:r w:rsidRPr="00822C52">
        <w:t xml:space="preserve">compared with placebo plus a </w:t>
      </w:r>
      <w:r>
        <w:t>prostanoid</w:t>
      </w:r>
      <w:r w:rsidRPr="00822C52">
        <w:t xml:space="preserve"> in patients with PAH</w:t>
      </w:r>
      <w:r>
        <w:t>:</w:t>
      </w:r>
    </w:p>
    <w:p w14:paraId="0F6B3D7B" w14:textId="77777777" w:rsidR="0016033A" w:rsidRPr="00D103A9" w:rsidRDefault="0016033A" w:rsidP="00C21496">
      <w:pPr>
        <w:pStyle w:val="Bullettext"/>
        <w:ind w:left="720"/>
      </w:pPr>
      <w:r w:rsidRPr="00D103A9">
        <w:t xml:space="preserve">PATENT-1 enrolled </w:t>
      </w:r>
      <w:r>
        <w:t xml:space="preserve">PAH </w:t>
      </w:r>
      <w:r w:rsidRPr="00D103A9">
        <w:t>patients with or without background ERA or prostanoid therapy, to receive riociguat or placebo</w:t>
      </w:r>
    </w:p>
    <w:p w14:paraId="20225F9E" w14:textId="77777777" w:rsidR="0016033A" w:rsidRPr="00D103A9" w:rsidRDefault="0016033A" w:rsidP="00C21496">
      <w:pPr>
        <w:pStyle w:val="Bullettext"/>
        <w:ind w:left="720"/>
      </w:pPr>
      <w:r w:rsidRPr="00D103A9">
        <w:t>Due to the small size of the sGC stimulator ± prostanoid group, no further subgroup analysis was undertaken</w:t>
      </w:r>
    </w:p>
    <w:p w14:paraId="61BAF242" w14:textId="77777777" w:rsidR="0016033A" w:rsidRDefault="0016033A" w:rsidP="00C21496">
      <w:pPr>
        <w:jc w:val="left"/>
      </w:pPr>
      <w:r>
        <w:t xml:space="preserve">The evidence provided by this trial is summarised in </w:t>
      </w:r>
      <w:r w:rsidR="00CC79E1">
        <w:t>Table ES.</w:t>
      </w:r>
      <w:r w:rsidR="00CC79E1">
        <w:rPr>
          <w:noProof/>
        </w:rPr>
        <w:t>22</w:t>
      </w:r>
      <w:r>
        <w:t>.</w:t>
      </w:r>
    </w:p>
    <w:p w14:paraId="5BECC137" w14:textId="77777777" w:rsidR="0016033A" w:rsidRDefault="0016033A" w:rsidP="00C21496">
      <w:pPr>
        <w:jc w:val="left"/>
      </w:pPr>
      <w:r>
        <w:t xml:space="preserve">Overall, </w:t>
      </w:r>
      <w:r w:rsidRPr="001E5DED">
        <w:t xml:space="preserve">there is considerable uncertainty as to whether the use of a </w:t>
      </w:r>
      <w:r w:rsidRPr="00487776">
        <w:t xml:space="preserve">sGC stimulator </w:t>
      </w:r>
      <w:r w:rsidRPr="001E5DED">
        <w:t xml:space="preserve">in addition to a </w:t>
      </w:r>
      <w:r>
        <w:t>prostanoid</w:t>
      </w:r>
      <w:r w:rsidRPr="001E5DED">
        <w:t xml:space="preserve">, relative to </w:t>
      </w:r>
      <w:r>
        <w:t>prostanoid</w:t>
      </w:r>
      <w:r w:rsidRPr="001E5DED">
        <w:t xml:space="preserve"> monotherapy to treat PAH patients is likely to be beneficial</w:t>
      </w:r>
      <w:r w:rsidRPr="0034017B">
        <w:t>.</w:t>
      </w:r>
    </w:p>
    <w:p w14:paraId="24BD42C2" w14:textId="77777777" w:rsidR="00A4053B" w:rsidRDefault="00A4053B" w:rsidP="00C21496">
      <w:pPr>
        <w:jc w:val="left"/>
        <w:rPr>
          <w:rFonts w:eastAsia="Times New Roman" w:cs="Times New Roman"/>
          <w:b/>
          <w:bCs/>
          <w:szCs w:val="18"/>
        </w:rPr>
      </w:pPr>
      <w:r>
        <w:br w:type="page"/>
      </w:r>
    </w:p>
    <w:p w14:paraId="0BB6D5E9" w14:textId="77777777" w:rsidR="004A1130" w:rsidRPr="004A1130" w:rsidRDefault="004A1130" w:rsidP="00C21496">
      <w:pPr>
        <w:pStyle w:val="Caption"/>
        <w:jc w:val="left"/>
      </w:pPr>
      <w:bookmarkStart w:id="128" w:name="_Ref511118920"/>
      <w:bookmarkStart w:id="129" w:name="_Toc38372141"/>
      <w:bookmarkEnd w:id="126"/>
      <w:bookmarkEnd w:id="127"/>
      <w:r>
        <w:lastRenderedPageBreak/>
        <w:t>Table ES.</w:t>
      </w:r>
      <w:r w:rsidR="00CC79E1">
        <w:rPr>
          <w:noProof/>
        </w:rPr>
        <w:t>22</w:t>
      </w:r>
      <w:bookmarkEnd w:id="128"/>
      <w:r>
        <w:tab/>
      </w:r>
      <w:r w:rsidRPr="009F466A">
        <w:t>Summary of the evidence for the clinical effectiveness of a sGC stimulator in addition to a prostanoid, relative to prostanoid monotherapy</w:t>
      </w:r>
      <w:bookmarkEnd w:id="129"/>
    </w:p>
    <w:tbl>
      <w:tblPr>
        <w:tblStyle w:val="TableGrid"/>
        <w:tblW w:w="9634" w:type="dxa"/>
        <w:tblLook w:val="04A0" w:firstRow="1" w:lastRow="0" w:firstColumn="1" w:lastColumn="0" w:noHBand="0" w:noVBand="1"/>
        <w:tblCaption w:val="Summary of the evidence for the clinical effectiveness of a sGC stimulator in addition to a prostanoid, relative to prostanoid monotherapy"/>
      </w:tblPr>
      <w:tblGrid>
        <w:gridCol w:w="1573"/>
        <w:gridCol w:w="2095"/>
        <w:gridCol w:w="6379"/>
      </w:tblGrid>
      <w:tr w:rsidR="00321DBE" w:rsidRPr="00532B79" w14:paraId="358D54A7" w14:textId="77777777" w:rsidTr="008979BD">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8FF6D" w14:textId="77777777" w:rsidR="00321DBE" w:rsidRPr="00532B79" w:rsidRDefault="00321DBE" w:rsidP="00C21496">
            <w:pPr>
              <w:pStyle w:val="Tabletext"/>
              <w:rPr>
                <w:rFonts w:cs="Arial"/>
                <w:b/>
              </w:rPr>
            </w:pPr>
            <w:r w:rsidRPr="00532B79">
              <w:rPr>
                <w:rFonts w:cs="Arial"/>
                <w:b/>
              </w:rPr>
              <w:t>Outcome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AB996B" w14:textId="77777777" w:rsidR="00321DBE" w:rsidRPr="00532B79" w:rsidRDefault="00321DBE" w:rsidP="00C21496">
            <w:pPr>
              <w:pStyle w:val="Tabletext"/>
              <w:rPr>
                <w:rFonts w:cs="Arial"/>
                <w:b/>
              </w:rPr>
            </w:pPr>
            <w:r w:rsidRPr="00532B79">
              <w:rPr>
                <w:rFonts w:cs="Arial"/>
                <w:b/>
              </w:rPr>
              <w:t xml:space="preserve">Included trials </w:t>
            </w:r>
          </w:p>
          <w:p w14:paraId="432966C7" w14:textId="77777777" w:rsidR="00321DBE" w:rsidRPr="00532B79" w:rsidRDefault="00321DBE" w:rsidP="00C21496">
            <w:pPr>
              <w:pStyle w:val="Tabletext"/>
              <w:rPr>
                <w:rFonts w:cs="Arial"/>
                <w:b/>
              </w:rPr>
            </w:pPr>
            <w:r w:rsidRPr="00532B79">
              <w:rPr>
                <w:rFonts w:cs="Arial"/>
                <w:b/>
              </w:rPr>
              <w:t xml:space="preserve">No. of patients </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8BE68" w14:textId="77777777" w:rsidR="00321DBE" w:rsidRPr="00532B79" w:rsidRDefault="00321DBE" w:rsidP="00C21496">
            <w:pPr>
              <w:pStyle w:val="Tabletext"/>
              <w:rPr>
                <w:rFonts w:cs="Arial"/>
                <w:b/>
              </w:rPr>
            </w:pPr>
            <w:r w:rsidRPr="00532B79">
              <w:rPr>
                <w:rFonts w:cs="Arial"/>
                <w:b/>
              </w:rPr>
              <w:t>Summary of evidence</w:t>
            </w:r>
          </w:p>
        </w:tc>
      </w:tr>
      <w:tr w:rsidR="00321DBE" w:rsidRPr="00532B79" w14:paraId="255749D3" w14:textId="77777777" w:rsidTr="00321DBE">
        <w:tc>
          <w:tcPr>
            <w:tcW w:w="9634" w:type="dxa"/>
            <w:gridSpan w:val="3"/>
            <w:tcBorders>
              <w:top w:val="nil"/>
              <w:left w:val="single" w:sz="4" w:space="0" w:color="auto"/>
              <w:bottom w:val="single" w:sz="4" w:space="0" w:color="auto"/>
              <w:right w:val="single" w:sz="4" w:space="0" w:color="auto"/>
            </w:tcBorders>
            <w:shd w:val="clear" w:color="auto" w:fill="000000"/>
          </w:tcPr>
          <w:p w14:paraId="09F55F57" w14:textId="77777777" w:rsidR="00321DBE" w:rsidRPr="00532B79" w:rsidRDefault="00321DBE" w:rsidP="00C21496">
            <w:pPr>
              <w:pStyle w:val="Tabletext"/>
              <w:rPr>
                <w:rFonts w:cs="Arial"/>
              </w:rPr>
            </w:pPr>
            <w:r w:rsidRPr="00532B79">
              <w:rPr>
                <w:rFonts w:cs="Arial"/>
              </w:rPr>
              <w:t>All PAH patients</w:t>
            </w:r>
          </w:p>
        </w:tc>
      </w:tr>
      <w:tr w:rsidR="00321DBE" w:rsidRPr="00731E4D" w14:paraId="76CBB53F" w14:textId="77777777" w:rsidTr="00321DBE">
        <w:tc>
          <w:tcPr>
            <w:tcW w:w="1555" w:type="dxa"/>
            <w:tcBorders>
              <w:top w:val="single" w:sz="4" w:space="0" w:color="auto"/>
              <w:left w:val="single" w:sz="4" w:space="0" w:color="auto"/>
              <w:bottom w:val="single" w:sz="4" w:space="0" w:color="auto"/>
              <w:right w:val="single" w:sz="4" w:space="0" w:color="auto"/>
            </w:tcBorders>
          </w:tcPr>
          <w:p w14:paraId="20B7E67E" w14:textId="77777777" w:rsidR="00321DBE" w:rsidRPr="00731E4D" w:rsidRDefault="00321DBE" w:rsidP="00C21496">
            <w:pPr>
              <w:pStyle w:val="Tabletext"/>
              <w:rPr>
                <w:rFonts w:cs="Arial"/>
              </w:rPr>
            </w:pPr>
            <w:r w:rsidRPr="00731E4D">
              <w:rPr>
                <w:rFonts w:cs="Arial"/>
              </w:rPr>
              <w:t>Clinical worsening</w:t>
            </w:r>
          </w:p>
        </w:tc>
        <w:tc>
          <w:tcPr>
            <w:tcW w:w="1984" w:type="dxa"/>
            <w:tcBorders>
              <w:top w:val="single" w:sz="4" w:space="0" w:color="auto"/>
              <w:left w:val="single" w:sz="4" w:space="0" w:color="auto"/>
              <w:bottom w:val="single" w:sz="4" w:space="0" w:color="auto"/>
              <w:right w:val="single" w:sz="4" w:space="0" w:color="auto"/>
            </w:tcBorders>
          </w:tcPr>
          <w:p w14:paraId="4A122426" w14:textId="77777777" w:rsidR="00321DBE" w:rsidRPr="00731E4D" w:rsidRDefault="00321DBE" w:rsidP="00C21496">
            <w:pPr>
              <w:pStyle w:val="Tabletext"/>
              <w:rPr>
                <w:rFonts w:cs="Arial"/>
              </w:rPr>
            </w:pPr>
            <w:r w:rsidRPr="00731E4D">
              <w:rPr>
                <w:rFonts w:cs="Arial"/>
              </w:rPr>
              <w:t>PATENT-1</w:t>
            </w:r>
            <w:r w:rsidRPr="00731E4D">
              <w:rPr>
                <w:rFonts w:cs="Arial"/>
              </w:rPr>
              <w:br/>
              <w:t>(riociguat/prostanoid)</w:t>
            </w:r>
          </w:p>
          <w:p w14:paraId="35019E5F" w14:textId="77777777" w:rsidR="00321DBE" w:rsidRPr="00731E4D" w:rsidRDefault="00321DBE" w:rsidP="00C21496">
            <w:pPr>
              <w:pStyle w:val="Tabletext"/>
              <w:rPr>
                <w:rFonts w:cs="Arial"/>
              </w:rPr>
            </w:pPr>
            <w:r w:rsidRPr="00731E4D">
              <w:rPr>
                <w:rFonts w:cs="Arial"/>
              </w:rPr>
              <w:t>N=27</w:t>
            </w:r>
          </w:p>
        </w:tc>
        <w:tc>
          <w:tcPr>
            <w:tcW w:w="6095" w:type="dxa"/>
            <w:tcBorders>
              <w:top w:val="single" w:sz="4" w:space="0" w:color="auto"/>
              <w:left w:val="single" w:sz="4" w:space="0" w:color="auto"/>
              <w:bottom w:val="single" w:sz="4" w:space="0" w:color="auto"/>
              <w:right w:val="single" w:sz="4" w:space="0" w:color="auto"/>
            </w:tcBorders>
          </w:tcPr>
          <w:p w14:paraId="1A2570D0" w14:textId="7990BE50"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2965AE49" w14:textId="77777777" w:rsidR="00EF11C0"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CDBEE60" w14:textId="77777777" w:rsidR="006857DD" w:rsidRDefault="00C07794" w:rsidP="006857DD">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5C54BA21"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9757B5A" w14:textId="77777777" w:rsidR="00321DBE"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6B09ECBB" w14:textId="77777777" w:rsidR="006857DD" w:rsidRPr="00C07794" w:rsidRDefault="006857DD" w:rsidP="00C07794">
            <w:pPr>
              <w:pStyle w:val="Tabletext"/>
              <w:spacing w:before="20" w:after="20"/>
              <w:ind w:left="227" w:hanging="227"/>
              <w:rPr>
                <w:rFonts w:cs="Arial"/>
                <w:highlight w:val="black"/>
              </w:rPr>
            </w:pPr>
          </w:p>
        </w:tc>
      </w:tr>
      <w:tr w:rsidR="00321DBE" w:rsidRPr="00731E4D" w14:paraId="7522767C" w14:textId="77777777" w:rsidTr="00321DBE">
        <w:tc>
          <w:tcPr>
            <w:tcW w:w="1555" w:type="dxa"/>
          </w:tcPr>
          <w:p w14:paraId="7FF520B4" w14:textId="77777777" w:rsidR="00321DBE" w:rsidRPr="00731E4D" w:rsidRDefault="00321DBE" w:rsidP="00C21496">
            <w:pPr>
              <w:pStyle w:val="Tabletext"/>
              <w:rPr>
                <w:rFonts w:cs="Arial"/>
              </w:rPr>
            </w:pPr>
            <w:r w:rsidRPr="00731E4D">
              <w:rPr>
                <w:rFonts w:cs="Arial"/>
              </w:rPr>
              <w:t>All-cause mortality</w:t>
            </w:r>
          </w:p>
        </w:tc>
        <w:tc>
          <w:tcPr>
            <w:tcW w:w="1984" w:type="dxa"/>
            <w:tcBorders>
              <w:top w:val="single" w:sz="4" w:space="0" w:color="auto"/>
              <w:left w:val="single" w:sz="4" w:space="0" w:color="auto"/>
              <w:bottom w:val="single" w:sz="4" w:space="0" w:color="auto"/>
              <w:right w:val="single" w:sz="4" w:space="0" w:color="auto"/>
            </w:tcBorders>
          </w:tcPr>
          <w:p w14:paraId="79F48C1A"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35AFC53F" w14:textId="77777777" w:rsidR="00321DBE" w:rsidRPr="00731E4D" w:rsidRDefault="00321DBE" w:rsidP="00C21496">
            <w:pPr>
              <w:pStyle w:val="Tabletext"/>
              <w:rPr>
                <w:rFonts w:cs="Arial"/>
              </w:rPr>
            </w:pPr>
            <w:r w:rsidRPr="00731E4D">
              <w:rPr>
                <w:rFonts w:cs="Arial"/>
              </w:rPr>
              <w:t>N=27</w:t>
            </w:r>
          </w:p>
        </w:tc>
        <w:tc>
          <w:tcPr>
            <w:tcW w:w="6095" w:type="dxa"/>
          </w:tcPr>
          <w:p w14:paraId="332EC8D8" w14:textId="2ACE7153" w:rsidR="006857DD" w:rsidRPr="006857DD" w:rsidRDefault="00321DBE" w:rsidP="006857DD">
            <w:pPr>
              <w:pStyle w:val="Tabletext"/>
              <w:numPr>
                <w:ilvl w:val="0"/>
                <w:numId w:val="23"/>
              </w:numPr>
              <w:spacing w:before="20" w:after="20"/>
              <w:ind w:left="227" w:hanging="227"/>
              <w:rPr>
                <w:rFonts w:cs="Arial"/>
              </w:rPr>
            </w:pPr>
            <w:r w:rsidRPr="00731E4D">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24DBE0D6"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224D2778"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04EFE324"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01E98691" w14:textId="77777777" w:rsidR="00321DBE"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76DC1BC6" w14:textId="77777777" w:rsidR="006857DD" w:rsidRPr="00C07794" w:rsidRDefault="006857DD" w:rsidP="00C07794">
            <w:pPr>
              <w:pStyle w:val="Tabletext"/>
              <w:spacing w:before="20" w:after="20"/>
              <w:ind w:left="227" w:hanging="227"/>
              <w:rPr>
                <w:rFonts w:cs="Arial"/>
                <w:highlight w:val="black"/>
              </w:rPr>
            </w:pPr>
          </w:p>
        </w:tc>
      </w:tr>
      <w:tr w:rsidR="00321DBE" w:rsidRPr="00731E4D" w14:paraId="51409649" w14:textId="77777777" w:rsidTr="00321DBE">
        <w:tc>
          <w:tcPr>
            <w:tcW w:w="1555" w:type="dxa"/>
            <w:tcBorders>
              <w:top w:val="single" w:sz="4" w:space="0" w:color="auto"/>
              <w:left w:val="single" w:sz="4" w:space="0" w:color="auto"/>
              <w:bottom w:val="single" w:sz="4" w:space="0" w:color="auto"/>
              <w:right w:val="single" w:sz="4" w:space="0" w:color="auto"/>
            </w:tcBorders>
          </w:tcPr>
          <w:p w14:paraId="4628780B" w14:textId="77777777" w:rsidR="00321DBE" w:rsidRPr="00731E4D" w:rsidRDefault="00321DBE" w:rsidP="00C21496">
            <w:pPr>
              <w:pStyle w:val="Tabletext"/>
              <w:rPr>
                <w:rFonts w:cs="Arial"/>
              </w:rPr>
            </w:pPr>
            <w:r w:rsidRPr="00731E4D">
              <w:rPr>
                <w:rFonts w:cs="Arial"/>
              </w:rPr>
              <w:t>Hospitalisation due to worsening PAH</w:t>
            </w:r>
          </w:p>
        </w:tc>
        <w:tc>
          <w:tcPr>
            <w:tcW w:w="1984" w:type="dxa"/>
            <w:tcBorders>
              <w:top w:val="single" w:sz="4" w:space="0" w:color="auto"/>
              <w:left w:val="single" w:sz="4" w:space="0" w:color="auto"/>
              <w:bottom w:val="single" w:sz="4" w:space="0" w:color="auto"/>
              <w:right w:val="single" w:sz="4" w:space="0" w:color="auto"/>
            </w:tcBorders>
          </w:tcPr>
          <w:p w14:paraId="199227B9"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170AA300" w14:textId="77777777" w:rsidR="00321DBE" w:rsidRPr="00731E4D" w:rsidRDefault="00321DBE" w:rsidP="00C21496">
            <w:pPr>
              <w:pStyle w:val="Tabletext"/>
              <w:rPr>
                <w:rFonts w:cs="Arial"/>
              </w:rPr>
            </w:pPr>
            <w:r w:rsidRPr="00731E4D">
              <w:rPr>
                <w:rFonts w:cs="Arial"/>
              </w:rPr>
              <w:t>N=27</w:t>
            </w:r>
          </w:p>
        </w:tc>
        <w:tc>
          <w:tcPr>
            <w:tcW w:w="6095" w:type="dxa"/>
            <w:tcBorders>
              <w:top w:val="single" w:sz="4" w:space="0" w:color="auto"/>
              <w:left w:val="single" w:sz="4" w:space="0" w:color="auto"/>
              <w:bottom w:val="single" w:sz="4" w:space="0" w:color="auto"/>
              <w:right w:val="single" w:sz="4" w:space="0" w:color="auto"/>
            </w:tcBorders>
          </w:tcPr>
          <w:p w14:paraId="0E1BF2B9" w14:textId="258B97FB"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613B4DC4"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B2338A3" w14:textId="77777777" w:rsidR="00321DBE" w:rsidRPr="00C07794" w:rsidRDefault="00C07794" w:rsidP="00C07794">
            <w:pPr>
              <w:pStyle w:val="Tabletext"/>
              <w:spacing w:before="20" w:after="20"/>
              <w:ind w:left="227" w:hanging="227"/>
              <w:rPr>
                <w:rFonts w:cs="Arial"/>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tc>
      </w:tr>
      <w:tr w:rsidR="00321DBE" w:rsidRPr="00731E4D" w14:paraId="0EFCE39B" w14:textId="77777777" w:rsidTr="00321DBE">
        <w:tc>
          <w:tcPr>
            <w:tcW w:w="1555" w:type="dxa"/>
            <w:tcBorders>
              <w:top w:val="single" w:sz="4" w:space="0" w:color="auto"/>
              <w:left w:val="single" w:sz="4" w:space="0" w:color="auto"/>
              <w:bottom w:val="single" w:sz="4" w:space="0" w:color="auto"/>
              <w:right w:val="single" w:sz="4" w:space="0" w:color="auto"/>
            </w:tcBorders>
          </w:tcPr>
          <w:p w14:paraId="35D25CE4" w14:textId="77777777" w:rsidR="00321DBE" w:rsidRPr="00731E4D" w:rsidRDefault="00321DBE" w:rsidP="00C21496">
            <w:pPr>
              <w:pStyle w:val="Tabletext"/>
              <w:rPr>
                <w:rFonts w:cs="Arial"/>
              </w:rPr>
            </w:pPr>
            <w:r w:rsidRPr="00731E4D">
              <w:rPr>
                <w:rFonts w:cs="Arial"/>
              </w:rPr>
              <w:t>Improved WHO FC</w:t>
            </w:r>
          </w:p>
        </w:tc>
        <w:tc>
          <w:tcPr>
            <w:tcW w:w="1984" w:type="dxa"/>
            <w:tcBorders>
              <w:top w:val="single" w:sz="4" w:space="0" w:color="auto"/>
              <w:left w:val="single" w:sz="4" w:space="0" w:color="auto"/>
              <w:bottom w:val="single" w:sz="4" w:space="0" w:color="auto"/>
              <w:right w:val="single" w:sz="4" w:space="0" w:color="auto"/>
            </w:tcBorders>
          </w:tcPr>
          <w:p w14:paraId="62425FA8"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275C9F27" w14:textId="77777777" w:rsidR="00321DBE" w:rsidRPr="00731E4D" w:rsidRDefault="00321DBE" w:rsidP="00C21496">
            <w:pPr>
              <w:pStyle w:val="Tabletext"/>
              <w:rPr>
                <w:rFonts w:cs="Arial"/>
              </w:rPr>
            </w:pPr>
            <w:r w:rsidRPr="00731E4D">
              <w:rPr>
                <w:rFonts w:cs="Arial"/>
              </w:rPr>
              <w:t>N=27</w:t>
            </w:r>
          </w:p>
        </w:tc>
        <w:tc>
          <w:tcPr>
            <w:tcW w:w="6095" w:type="dxa"/>
            <w:tcBorders>
              <w:top w:val="single" w:sz="4" w:space="0" w:color="auto"/>
              <w:left w:val="single" w:sz="4" w:space="0" w:color="auto"/>
              <w:bottom w:val="single" w:sz="4" w:space="0" w:color="auto"/>
              <w:right w:val="single" w:sz="4" w:space="0" w:color="auto"/>
            </w:tcBorders>
          </w:tcPr>
          <w:p w14:paraId="27525CF5" w14:textId="776DDFE6"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Very 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1DC4E8EA"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26281E8B"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6C28838C"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694B95E1" w14:textId="77777777" w:rsidR="00321DBE"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13C1DB0B" w14:textId="77777777" w:rsidR="006857DD" w:rsidRPr="00C07794" w:rsidRDefault="006857DD" w:rsidP="00C07794">
            <w:pPr>
              <w:pStyle w:val="Tabletext"/>
              <w:spacing w:before="20" w:after="20"/>
              <w:ind w:left="227" w:hanging="227"/>
              <w:rPr>
                <w:rFonts w:cs="Arial"/>
                <w:highlight w:val="black"/>
              </w:rPr>
            </w:pPr>
          </w:p>
        </w:tc>
      </w:tr>
      <w:tr w:rsidR="00321DBE" w:rsidRPr="00731E4D" w14:paraId="25D7E611" w14:textId="77777777" w:rsidTr="00321DBE">
        <w:tc>
          <w:tcPr>
            <w:tcW w:w="1555" w:type="dxa"/>
          </w:tcPr>
          <w:p w14:paraId="16B4640A" w14:textId="77777777" w:rsidR="00321DBE" w:rsidRPr="00731E4D" w:rsidRDefault="00321DBE" w:rsidP="00C21496">
            <w:pPr>
              <w:pStyle w:val="Tabletext"/>
              <w:rPr>
                <w:rFonts w:cs="Arial"/>
              </w:rPr>
            </w:pPr>
            <w:r w:rsidRPr="00731E4D">
              <w:rPr>
                <w:rFonts w:cs="Arial"/>
              </w:rPr>
              <w:t>Worsened WHO FC</w:t>
            </w:r>
          </w:p>
        </w:tc>
        <w:tc>
          <w:tcPr>
            <w:tcW w:w="1984" w:type="dxa"/>
            <w:tcBorders>
              <w:top w:val="single" w:sz="4" w:space="0" w:color="auto"/>
              <w:left w:val="single" w:sz="4" w:space="0" w:color="auto"/>
              <w:bottom w:val="single" w:sz="4" w:space="0" w:color="auto"/>
              <w:right w:val="single" w:sz="4" w:space="0" w:color="auto"/>
            </w:tcBorders>
          </w:tcPr>
          <w:p w14:paraId="216E85FD"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2816F0C9" w14:textId="77777777" w:rsidR="00321DBE" w:rsidRPr="00731E4D" w:rsidRDefault="00321DBE" w:rsidP="00C21496">
            <w:pPr>
              <w:pStyle w:val="Tabletext"/>
              <w:rPr>
                <w:rFonts w:cs="Arial"/>
              </w:rPr>
            </w:pPr>
            <w:r w:rsidRPr="00731E4D">
              <w:rPr>
                <w:rFonts w:cs="Arial"/>
              </w:rPr>
              <w:t>N=27</w:t>
            </w:r>
          </w:p>
        </w:tc>
        <w:tc>
          <w:tcPr>
            <w:tcW w:w="6095" w:type="dxa"/>
          </w:tcPr>
          <w:p w14:paraId="13201980" w14:textId="3C698B0F"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517F0C1B"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12004206"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2EF1AE55"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08B9B7AB" w14:textId="77777777" w:rsidR="00321DBE"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57C7C4DB" w14:textId="77777777" w:rsidR="006857DD" w:rsidRPr="00C07794" w:rsidRDefault="006857DD" w:rsidP="00C07794">
            <w:pPr>
              <w:pStyle w:val="Tabletext"/>
              <w:spacing w:before="20" w:after="20"/>
              <w:ind w:left="227" w:hanging="227"/>
              <w:rPr>
                <w:rFonts w:cs="Arial"/>
                <w:highlight w:val="black"/>
              </w:rPr>
            </w:pPr>
          </w:p>
        </w:tc>
      </w:tr>
      <w:tr w:rsidR="00321DBE" w:rsidRPr="00731E4D" w14:paraId="0C4F8155" w14:textId="77777777" w:rsidTr="00321DBE">
        <w:tc>
          <w:tcPr>
            <w:tcW w:w="1555" w:type="dxa"/>
          </w:tcPr>
          <w:p w14:paraId="66A1F237" w14:textId="77777777" w:rsidR="00321DBE" w:rsidRPr="00731E4D" w:rsidRDefault="00321DBE" w:rsidP="00C21496">
            <w:pPr>
              <w:pStyle w:val="Tabletext"/>
              <w:rPr>
                <w:rFonts w:cs="Arial"/>
              </w:rPr>
            </w:pPr>
            <w:r w:rsidRPr="00731E4D">
              <w:rPr>
                <w:rFonts w:cs="Arial"/>
              </w:rPr>
              <w:t>Change in 6MWD from baseline</w:t>
            </w:r>
          </w:p>
        </w:tc>
        <w:tc>
          <w:tcPr>
            <w:tcW w:w="1984" w:type="dxa"/>
          </w:tcPr>
          <w:p w14:paraId="6DD6123A"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48862AA3" w14:textId="77777777" w:rsidR="00321DBE" w:rsidRPr="00731E4D" w:rsidRDefault="00321DBE" w:rsidP="00C21496">
            <w:pPr>
              <w:pStyle w:val="Tabletext"/>
              <w:rPr>
                <w:rFonts w:cs="Arial"/>
              </w:rPr>
            </w:pPr>
            <w:r w:rsidRPr="00731E4D">
              <w:rPr>
                <w:rFonts w:cs="Arial"/>
              </w:rPr>
              <w:t>N=27</w:t>
            </w:r>
          </w:p>
        </w:tc>
        <w:tc>
          <w:tcPr>
            <w:tcW w:w="6095" w:type="dxa"/>
          </w:tcPr>
          <w:p w14:paraId="5E1E9AE3" w14:textId="0B39D3A1"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5728D0FA"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53E5F0D8"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7556922" w14:textId="77777777" w:rsidR="006857DD" w:rsidRDefault="00C07794" w:rsidP="006857DD">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62AF0EF2"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70DD52B2" w14:textId="77777777" w:rsidR="00321DBE"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75BA6F5F" w14:textId="77777777" w:rsidR="006857DD" w:rsidRPr="00C07794" w:rsidRDefault="006857DD" w:rsidP="00C07794">
            <w:pPr>
              <w:pStyle w:val="Tabletext"/>
              <w:spacing w:before="20" w:after="20"/>
              <w:ind w:left="227" w:hanging="227"/>
              <w:rPr>
                <w:rFonts w:cs="Arial"/>
                <w:highlight w:val="black"/>
              </w:rPr>
            </w:pPr>
          </w:p>
        </w:tc>
      </w:tr>
      <w:tr w:rsidR="00321DBE" w:rsidRPr="00731E4D" w14:paraId="1D74ABA4" w14:textId="77777777" w:rsidTr="00321DBE">
        <w:tc>
          <w:tcPr>
            <w:tcW w:w="1555" w:type="dxa"/>
          </w:tcPr>
          <w:p w14:paraId="61214A0E" w14:textId="77777777" w:rsidR="00321DBE" w:rsidRPr="00731E4D" w:rsidRDefault="00321DBE" w:rsidP="00C21496">
            <w:pPr>
              <w:pStyle w:val="Tabletext"/>
              <w:rPr>
                <w:rFonts w:cs="Arial"/>
              </w:rPr>
            </w:pPr>
            <w:r w:rsidRPr="00731E4D">
              <w:rPr>
                <w:rFonts w:cs="Arial"/>
              </w:rPr>
              <w:t>Change in QoL from baseline:</w:t>
            </w:r>
          </w:p>
          <w:p w14:paraId="5522F36B" w14:textId="77777777" w:rsidR="00321DBE" w:rsidRPr="00731E4D" w:rsidRDefault="00321DBE" w:rsidP="00C21496">
            <w:pPr>
              <w:pStyle w:val="Tabletext"/>
              <w:rPr>
                <w:rFonts w:cs="Arial"/>
              </w:rPr>
            </w:pPr>
            <w:r w:rsidRPr="00731E4D">
              <w:rPr>
                <w:rFonts w:cs="Arial"/>
              </w:rPr>
              <w:t>EQ-5D</w:t>
            </w:r>
            <w:r w:rsidRPr="00731E4D">
              <w:rPr>
                <w:rFonts w:cs="Arial"/>
                <w:vertAlign w:val="superscript"/>
              </w:rPr>
              <w:t>a</w:t>
            </w:r>
            <w:r w:rsidRPr="00731E4D">
              <w:rPr>
                <w:rFonts w:cs="Arial"/>
              </w:rPr>
              <w:t>, LPH</w:t>
            </w:r>
            <w:r w:rsidRPr="00731E4D">
              <w:rPr>
                <w:rFonts w:cs="Arial"/>
                <w:vertAlign w:val="superscript"/>
              </w:rPr>
              <w:t>b</w:t>
            </w:r>
          </w:p>
        </w:tc>
        <w:tc>
          <w:tcPr>
            <w:tcW w:w="1984" w:type="dxa"/>
          </w:tcPr>
          <w:p w14:paraId="38E14522"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35260D75" w14:textId="77777777" w:rsidR="00321DBE" w:rsidRPr="00731E4D" w:rsidRDefault="00321DBE" w:rsidP="00C21496">
            <w:pPr>
              <w:pStyle w:val="Tabletext"/>
              <w:rPr>
                <w:rFonts w:cs="Arial"/>
              </w:rPr>
            </w:pPr>
            <w:r w:rsidRPr="00731E4D">
              <w:rPr>
                <w:rFonts w:cs="Arial"/>
              </w:rPr>
              <w:t>N=27</w:t>
            </w:r>
          </w:p>
        </w:tc>
        <w:tc>
          <w:tcPr>
            <w:tcW w:w="6095" w:type="dxa"/>
          </w:tcPr>
          <w:p w14:paraId="0FDF0EC2" w14:textId="5EA7752A"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Moderate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Pr="00731E4D">
              <w:rPr>
                <w:rFonts w:cs="Arial"/>
              </w:rPr>
              <w:t>)</w:t>
            </w:r>
          </w:p>
          <w:p w14:paraId="7B45E65D"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43A37F56"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7258E254"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56EF936B"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FF76715" w14:textId="77777777" w:rsidR="00321DBE"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113A6A19" w14:textId="77777777" w:rsidR="006857DD" w:rsidRDefault="006857DD" w:rsidP="00C07794">
            <w:pPr>
              <w:pStyle w:val="Tabletext"/>
              <w:spacing w:before="20" w:after="20"/>
              <w:ind w:left="227" w:hanging="227"/>
              <w:rPr>
                <w:rFonts w:ascii="Symbol" w:hAnsi="Symbol" w:cs="Arial"/>
                <w:noProof/>
                <w:color w:val="000000"/>
                <w:sz w:val="12"/>
                <w:highlight w:val="black"/>
              </w:rPr>
            </w:pPr>
          </w:p>
          <w:p w14:paraId="0904EFEA" w14:textId="77777777" w:rsidR="006857DD" w:rsidRPr="00C07794" w:rsidRDefault="006857DD" w:rsidP="00C07794">
            <w:pPr>
              <w:pStyle w:val="Tabletext"/>
              <w:spacing w:before="20" w:after="20"/>
              <w:ind w:left="227" w:hanging="227"/>
              <w:rPr>
                <w:rFonts w:cs="Arial"/>
                <w:highlight w:val="black"/>
              </w:rPr>
            </w:pPr>
          </w:p>
        </w:tc>
      </w:tr>
      <w:tr w:rsidR="00321DBE" w:rsidRPr="00532B79" w14:paraId="63D4A759" w14:textId="77777777" w:rsidTr="00321DBE">
        <w:tc>
          <w:tcPr>
            <w:tcW w:w="1555" w:type="dxa"/>
          </w:tcPr>
          <w:p w14:paraId="1FE97EEF" w14:textId="77777777" w:rsidR="00321DBE" w:rsidRPr="00731E4D" w:rsidRDefault="00321DBE" w:rsidP="00C21496">
            <w:pPr>
              <w:pStyle w:val="Tabletext"/>
              <w:rPr>
                <w:rFonts w:cs="Arial"/>
              </w:rPr>
            </w:pPr>
            <w:r w:rsidRPr="00731E4D">
              <w:rPr>
                <w:rFonts w:cs="Arial"/>
              </w:rPr>
              <w:t>Change in haemodynamic parameters from baseline:</w:t>
            </w:r>
          </w:p>
          <w:p w14:paraId="5BB74DD2" w14:textId="77777777" w:rsidR="00321DBE" w:rsidRPr="00731E4D" w:rsidRDefault="00321DBE" w:rsidP="00C21496">
            <w:pPr>
              <w:pStyle w:val="Tabletext"/>
              <w:rPr>
                <w:rFonts w:cs="Arial"/>
              </w:rPr>
            </w:pPr>
            <w:r w:rsidRPr="00731E4D">
              <w:rPr>
                <w:rFonts w:cs="Arial"/>
              </w:rPr>
              <w:t>PVR</w:t>
            </w:r>
          </w:p>
        </w:tc>
        <w:tc>
          <w:tcPr>
            <w:tcW w:w="1984" w:type="dxa"/>
          </w:tcPr>
          <w:p w14:paraId="22315791" w14:textId="77777777" w:rsidR="00321DBE" w:rsidRPr="00731E4D" w:rsidRDefault="00321DBE" w:rsidP="00C21496">
            <w:pPr>
              <w:pStyle w:val="Tabletext"/>
              <w:rPr>
                <w:rFonts w:cs="Arial"/>
              </w:rPr>
            </w:pPr>
            <w:r w:rsidRPr="00731E4D">
              <w:rPr>
                <w:rFonts w:cs="Arial"/>
              </w:rPr>
              <w:t>PATENT-1</w:t>
            </w:r>
            <w:r w:rsidRPr="00731E4D">
              <w:rPr>
                <w:rFonts w:cs="Arial"/>
              </w:rPr>
              <w:br/>
              <w:t xml:space="preserve">(riociguat/prostanoid) </w:t>
            </w:r>
          </w:p>
          <w:p w14:paraId="59F92D31" w14:textId="77777777" w:rsidR="00321DBE" w:rsidRPr="00731E4D" w:rsidRDefault="00321DBE" w:rsidP="00C21496">
            <w:pPr>
              <w:pStyle w:val="Tabletext"/>
              <w:rPr>
                <w:rFonts w:cs="Arial"/>
              </w:rPr>
            </w:pPr>
            <w:r w:rsidRPr="00731E4D">
              <w:rPr>
                <w:rFonts w:cs="Arial"/>
              </w:rPr>
              <w:t>N=27</w:t>
            </w:r>
          </w:p>
        </w:tc>
        <w:tc>
          <w:tcPr>
            <w:tcW w:w="6095" w:type="dxa"/>
          </w:tcPr>
          <w:p w14:paraId="474790A2" w14:textId="07E6BAD4" w:rsidR="00321DBE" w:rsidRPr="00731E4D" w:rsidRDefault="00321DBE" w:rsidP="001960CE">
            <w:pPr>
              <w:pStyle w:val="Tabletext"/>
              <w:numPr>
                <w:ilvl w:val="0"/>
                <w:numId w:val="23"/>
              </w:numPr>
              <w:spacing w:before="20" w:after="20"/>
              <w:ind w:left="227" w:hanging="227"/>
              <w:rPr>
                <w:rFonts w:cs="Arial"/>
              </w:rPr>
            </w:pPr>
            <w:r w:rsidRPr="00731E4D">
              <w:rPr>
                <w:rFonts w:cs="Arial"/>
              </w:rPr>
              <w:t xml:space="preserve">Very low quality evidence (GRADE </w:t>
            </w:r>
            <w:r w:rsidR="00C220DD" w:rsidRPr="00C220DD">
              <w:rPr>
                <w:rFonts w:ascii="Cambria Math" w:hAnsi="Cambria Math" w:cs="Cambria Math"/>
                <w:color w:val="00B050"/>
              </w:rPr>
              <w:t>⨁</w:t>
            </w:r>
            <w:r w:rsidR="00C220DD" w:rsidRPr="00C220DD">
              <w:rPr>
                <w:rFonts w:ascii="Cambria Math" w:eastAsia="Times New Roman" w:hAnsi="Cambria Math" w:cs="Cambria Math"/>
                <w:bCs/>
                <w:color w:val="FF0000"/>
              </w:rPr>
              <w:t>⨀⨀</w:t>
            </w:r>
            <w:r w:rsidR="00C220DD" w:rsidRPr="00C220DD">
              <w:rPr>
                <w:rFonts w:ascii="Cambria Math" w:hAnsi="Cambria Math" w:cs="Cambria Math"/>
                <w:color w:val="FF0000"/>
              </w:rPr>
              <w:t>⨀</w:t>
            </w:r>
            <w:r w:rsidRPr="00731E4D">
              <w:rPr>
                <w:rFonts w:cs="Arial"/>
              </w:rPr>
              <w:t>)</w:t>
            </w:r>
          </w:p>
          <w:p w14:paraId="1F847CE8"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8B892E5" w14:textId="77777777" w:rsidR="006857DD" w:rsidRDefault="00C07794" w:rsidP="006857DD">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1BE82107" w14:textId="77777777" w:rsidR="006857DD" w:rsidRDefault="00C07794" w:rsidP="00C07794">
            <w:pPr>
              <w:pStyle w:val="Tabletext"/>
              <w:spacing w:before="20" w:after="20"/>
              <w:ind w:left="227" w:hanging="227"/>
              <w:rPr>
                <w:rFonts w:ascii="Symbol" w:hAnsi="Symbol" w:cs="Arial"/>
                <w:noProof/>
                <w:color w:val="000000"/>
                <w:sz w:val="12"/>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p w14:paraId="3347C81C" w14:textId="77777777" w:rsidR="00321DBE" w:rsidRPr="00C07794" w:rsidRDefault="00C07794" w:rsidP="00C07794">
            <w:pPr>
              <w:pStyle w:val="Tabletext"/>
              <w:spacing w:before="20" w:after="20"/>
              <w:ind w:left="227" w:hanging="227"/>
              <w:rPr>
                <w:rFonts w:cs="Arial"/>
                <w:highlight w:val="black"/>
              </w:rPr>
            </w:pP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r w:rsidRPr="00EF11C0">
              <w:rPr>
                <w:rFonts w:ascii="Symbol" w:hAnsi="Symbol" w:cs="Arial"/>
                <w:noProof/>
                <w:color w:val="000000"/>
                <w:sz w:val="12"/>
                <w:highlight w:val="black"/>
              </w:rPr>
              <w:t></w:t>
            </w:r>
          </w:p>
        </w:tc>
      </w:tr>
    </w:tbl>
    <w:p w14:paraId="7024DE9D" w14:textId="77777777" w:rsidR="00321DBE" w:rsidRPr="00532B79" w:rsidRDefault="00321DBE" w:rsidP="00C21496">
      <w:pPr>
        <w:pStyle w:val="Tablenote"/>
        <w:jc w:val="left"/>
        <w:rPr>
          <w:rFonts w:cs="Arial"/>
        </w:rPr>
      </w:pPr>
      <w:r w:rsidRPr="00532B79">
        <w:rPr>
          <w:rFonts w:cs="Arial"/>
          <w:vertAlign w:val="superscript"/>
        </w:rPr>
        <w:t xml:space="preserve">a </w:t>
      </w:r>
      <w:r w:rsidRPr="00532B79">
        <w:rPr>
          <w:rFonts w:cs="Arial"/>
        </w:rPr>
        <w:t>EQ-5D utility scores range from −0.59 to 1.00. A higher score represents better QoL.</w:t>
      </w:r>
    </w:p>
    <w:p w14:paraId="517D32B5" w14:textId="77777777" w:rsidR="00321DBE" w:rsidRPr="00532B79" w:rsidRDefault="00321DBE" w:rsidP="00C21496">
      <w:pPr>
        <w:pStyle w:val="Tablenote"/>
        <w:jc w:val="left"/>
        <w:rPr>
          <w:rFonts w:cs="Arial"/>
        </w:rPr>
      </w:pPr>
      <w:r w:rsidRPr="00532B79">
        <w:rPr>
          <w:rFonts w:cs="Arial"/>
          <w:vertAlign w:val="superscript"/>
        </w:rPr>
        <w:t xml:space="preserve">b </w:t>
      </w:r>
      <w:r w:rsidRPr="00532B79">
        <w:rPr>
          <w:rFonts w:cs="Arial"/>
        </w:rPr>
        <w:t>LPH total scores range from 0 to 105. A higher score indicates poorer QoL.</w:t>
      </w:r>
    </w:p>
    <w:p w14:paraId="4B0F2564" w14:textId="77777777" w:rsidR="00321DBE" w:rsidRPr="00532B79" w:rsidRDefault="00321DBE" w:rsidP="00C21496">
      <w:pPr>
        <w:pStyle w:val="Tablenote"/>
        <w:jc w:val="left"/>
        <w:rPr>
          <w:rFonts w:cs="Arial"/>
        </w:rPr>
      </w:pPr>
      <w:r w:rsidRPr="00532B79">
        <w:rPr>
          <w:rFonts w:cs="Arial"/>
        </w:rPr>
        <w:t>6MWD = 6-minute walk distance; ARD = absolute risk difference; CI = confidence interval; EQ-5D = EuroQol 5 dimension; FC = functional class; GRADE = grading of recommendations assessment, development and evaluation</w:t>
      </w:r>
      <w:r w:rsidRPr="00532B79">
        <w:rPr>
          <w:rFonts w:cs="Arial"/>
          <w:noProof/>
          <w:vertAlign w:val="superscript"/>
        </w:rPr>
        <w:t>1</w:t>
      </w:r>
      <w:r w:rsidRPr="00532B79">
        <w:rPr>
          <w:rFonts w:cs="Arial"/>
        </w:rPr>
        <w:t>; LPH = living with pulmonary hypertension; MD = mean difference; PAH = pulmonary arterial hypertension; PVR = pulmonary vascular resistance; QoL = quality of life; RR = relative risk; sGC = soluble guanylate cyclase stimulator; WHO = World Health Organization</w:t>
      </w:r>
    </w:p>
    <w:p w14:paraId="1F1A4CCA" w14:textId="77777777" w:rsidR="0016033A" w:rsidRPr="0016033A" w:rsidRDefault="0016033A" w:rsidP="00C21496">
      <w:pPr>
        <w:pStyle w:val="Heading5"/>
        <w:numPr>
          <w:ilvl w:val="0"/>
          <w:numId w:val="0"/>
        </w:numPr>
        <w:ind w:left="1008" w:hanging="1008"/>
        <w:jc w:val="left"/>
        <w:rPr>
          <w:color w:val="auto"/>
          <w:u w:val="single"/>
        </w:rPr>
      </w:pPr>
      <w:bookmarkStart w:id="130" w:name="_Toc508396551"/>
      <w:r w:rsidRPr="0016033A">
        <w:rPr>
          <w:color w:val="auto"/>
          <w:u w:val="single"/>
        </w:rPr>
        <w:lastRenderedPageBreak/>
        <w:t>Safety</w:t>
      </w:r>
    </w:p>
    <w:p w14:paraId="4F00A498" w14:textId="77777777" w:rsidR="00532B79" w:rsidRDefault="0016033A" w:rsidP="00C21496">
      <w:pPr>
        <w:jc w:val="left"/>
      </w:pPr>
      <w:r w:rsidRPr="00457FA6">
        <w:t xml:space="preserve">There is no evidence to evaluate the comparative safety of a sGC stimulator in addition to a </w:t>
      </w:r>
      <w:r>
        <w:t>prostanoid</w:t>
      </w:r>
      <w:r w:rsidRPr="00457FA6">
        <w:t xml:space="preserve">, relative to </w:t>
      </w:r>
      <w:r>
        <w:t>prostanoid</w:t>
      </w:r>
      <w:r w:rsidRPr="00457FA6">
        <w:t xml:space="preserve"> monotherapy</w:t>
      </w:r>
      <w:r>
        <w:t>,</w:t>
      </w:r>
      <w:r w:rsidRPr="00457FA6">
        <w:t xml:space="preserve"> when </w:t>
      </w:r>
      <w:r>
        <w:t>used to treat patients with PAH</w:t>
      </w:r>
      <w:r w:rsidRPr="00944958">
        <w:t>.</w:t>
      </w:r>
    </w:p>
    <w:p w14:paraId="66B7326F" w14:textId="77777777" w:rsidR="00532B79" w:rsidRPr="00532B79" w:rsidRDefault="00532B79" w:rsidP="00C21496">
      <w:pPr>
        <w:pStyle w:val="ToRText"/>
        <w:shd w:val="clear" w:color="auto" w:fill="F2F2F2" w:themeFill="background1" w:themeFillShade="F2"/>
        <w:rPr>
          <w:b w:val="0"/>
          <w:color w:val="auto"/>
          <w:shd w:val="clear" w:color="auto" w:fill="F2F2F2" w:themeFill="background1" w:themeFillShade="F2"/>
        </w:rPr>
      </w:pPr>
      <w:r w:rsidRPr="00532B79">
        <w:rPr>
          <w:b w:val="0"/>
          <w:color w:val="auto"/>
          <w:shd w:val="clear" w:color="auto" w:fill="F2F2F2" w:themeFill="background1" w:themeFillShade="F2"/>
        </w:rPr>
        <w:t>Q4.</w:t>
      </w:r>
      <w:r w:rsidRPr="00532B79">
        <w:rPr>
          <w:b w:val="0"/>
          <w:color w:val="auto"/>
          <w:shd w:val="clear" w:color="auto" w:fill="F2F2F2" w:themeFill="background1" w:themeFillShade="F2"/>
        </w:rPr>
        <w:tab/>
        <w:t xml:space="preserve">What is the effectiveness and safety of triple combination therapy involving any combination of an ERA, a PDE 5 inhibitor, a prostanoid, or a sGC stimulator, compared </w:t>
      </w:r>
      <w:r w:rsidR="008F752B">
        <w:rPr>
          <w:b w:val="0"/>
          <w:color w:val="auto"/>
          <w:shd w:val="clear" w:color="auto" w:fill="F2F2F2" w:themeFill="background1" w:themeFillShade="F2"/>
        </w:rPr>
        <w:t>to dual combination therapy, in</w:t>
      </w:r>
      <w:r w:rsidR="005E7312">
        <w:rPr>
          <w:b w:val="0"/>
          <w:color w:val="auto"/>
          <w:shd w:val="clear" w:color="auto" w:fill="F2F2F2" w:themeFill="background1" w:themeFillShade="F2"/>
        </w:rPr>
        <w:t>:</w:t>
      </w:r>
    </w:p>
    <w:p w14:paraId="1D16B6A6" w14:textId="77777777" w:rsidR="00532B79" w:rsidRPr="00532B79" w:rsidRDefault="00532B79" w:rsidP="00C21496">
      <w:pPr>
        <w:pStyle w:val="ToRText"/>
        <w:shd w:val="clear" w:color="auto" w:fill="F2F2F2" w:themeFill="background1" w:themeFillShade="F2"/>
        <w:rPr>
          <w:b w:val="0"/>
          <w:color w:val="auto"/>
          <w:shd w:val="clear" w:color="auto" w:fill="F2F2F2" w:themeFill="background1" w:themeFillShade="F2"/>
        </w:rPr>
      </w:pPr>
      <w:r w:rsidRPr="00532B79">
        <w:rPr>
          <w:b w:val="0"/>
          <w:color w:val="auto"/>
          <w:shd w:val="clear" w:color="auto" w:fill="F2F2F2" w:themeFill="background1" w:themeFillShade="F2"/>
        </w:rPr>
        <w:t>i)</w:t>
      </w:r>
      <w:r w:rsidRPr="00532B79">
        <w:rPr>
          <w:b w:val="0"/>
          <w:color w:val="auto"/>
          <w:shd w:val="clear" w:color="auto" w:fill="F2F2F2" w:themeFill="background1" w:themeFillShade="F2"/>
        </w:rPr>
        <w:tab/>
        <w:t>PAH patients, irrespective of disease severity or aetiology;</w:t>
      </w:r>
    </w:p>
    <w:p w14:paraId="0B69CE7B" w14:textId="77777777" w:rsidR="00532B79" w:rsidRPr="00532B79" w:rsidRDefault="00532B79" w:rsidP="00C21496">
      <w:pPr>
        <w:pStyle w:val="ToRText"/>
        <w:shd w:val="clear" w:color="auto" w:fill="F2F2F2" w:themeFill="background1" w:themeFillShade="F2"/>
        <w:rPr>
          <w:b w:val="0"/>
          <w:color w:val="auto"/>
          <w:shd w:val="clear" w:color="auto" w:fill="F2F2F2" w:themeFill="background1" w:themeFillShade="F2"/>
        </w:rPr>
      </w:pPr>
      <w:r w:rsidRPr="00532B79">
        <w:rPr>
          <w:b w:val="0"/>
          <w:color w:val="auto"/>
          <w:shd w:val="clear" w:color="auto" w:fill="F2F2F2" w:themeFill="background1" w:themeFillShade="F2"/>
        </w:rPr>
        <w:t>ii)</w:t>
      </w:r>
      <w:r w:rsidRPr="00532B79">
        <w:rPr>
          <w:b w:val="0"/>
          <w:color w:val="auto"/>
          <w:shd w:val="clear" w:color="auto" w:fill="F2F2F2" w:themeFill="background1" w:themeFillShade="F2"/>
        </w:rPr>
        <w:tab/>
        <w:t xml:space="preserve">PAH patients with FC III or IV; and </w:t>
      </w:r>
    </w:p>
    <w:p w14:paraId="752305CB" w14:textId="77777777" w:rsidR="00532B79" w:rsidRPr="00D228A6" w:rsidRDefault="00532B79" w:rsidP="00C21496">
      <w:pPr>
        <w:pStyle w:val="ToRText"/>
        <w:shd w:val="clear" w:color="auto" w:fill="F2F2F2" w:themeFill="background1" w:themeFillShade="F2"/>
        <w:rPr>
          <w:b w:val="0"/>
          <w:color w:val="auto"/>
        </w:rPr>
      </w:pPr>
      <w:r w:rsidRPr="00532B79">
        <w:rPr>
          <w:b w:val="0"/>
          <w:color w:val="auto"/>
          <w:shd w:val="clear" w:color="auto" w:fill="F2F2F2" w:themeFill="background1" w:themeFillShade="F2"/>
        </w:rPr>
        <w:t>iii)</w:t>
      </w:r>
      <w:r w:rsidRPr="00532B79">
        <w:rPr>
          <w:b w:val="0"/>
          <w:color w:val="auto"/>
          <w:shd w:val="clear" w:color="auto" w:fill="F2F2F2" w:themeFill="background1" w:themeFillShade="F2"/>
        </w:rPr>
        <w:tab/>
        <w:t>PAH patients with different disease aetiologies?</w:t>
      </w:r>
    </w:p>
    <w:p w14:paraId="5BA23707" w14:textId="77777777" w:rsidR="00321DBE" w:rsidRPr="009F466A" w:rsidRDefault="00321DBE" w:rsidP="00C21496">
      <w:pPr>
        <w:pStyle w:val="Heading3"/>
        <w:jc w:val="left"/>
      </w:pPr>
      <w:bookmarkStart w:id="131" w:name="_Toc526944009"/>
      <w:r w:rsidRPr="009F466A">
        <w:t>Effectiveness and safety of triple combination therapy</w:t>
      </w:r>
      <w:bookmarkEnd w:id="130"/>
      <w:bookmarkEnd w:id="131"/>
      <w:r w:rsidRPr="009F466A">
        <w:t xml:space="preserve"> </w:t>
      </w:r>
    </w:p>
    <w:p w14:paraId="7925F22A" w14:textId="77777777" w:rsidR="00321DBE" w:rsidRPr="009F466A" w:rsidRDefault="00321DBE" w:rsidP="00C21496">
      <w:pPr>
        <w:jc w:val="left"/>
      </w:pPr>
      <w:r w:rsidRPr="009F466A">
        <w:t xml:space="preserve">There was no comparative evidence concerning the effectiveness and safety of triple combination therapy with </w:t>
      </w:r>
      <w:r w:rsidR="00B405BD">
        <w:t xml:space="preserve">PBS-listed </w:t>
      </w:r>
      <w:r w:rsidRPr="009F466A">
        <w:t>PAH medicines relative to dual combination therapy in any patients with PAH.</w:t>
      </w:r>
    </w:p>
    <w:p w14:paraId="3FC8214E" w14:textId="77777777" w:rsidR="00321DBE" w:rsidRPr="009F466A" w:rsidRDefault="0016033A" w:rsidP="00C21496">
      <w:pPr>
        <w:pStyle w:val="Heading3"/>
        <w:jc w:val="left"/>
      </w:pPr>
      <w:bookmarkStart w:id="132" w:name="_Toc526944010"/>
      <w:r>
        <w:t>Extended s</w:t>
      </w:r>
      <w:r w:rsidR="00CD3000" w:rsidRPr="009F466A">
        <w:t>afety assessment</w:t>
      </w:r>
      <w:bookmarkEnd w:id="132"/>
    </w:p>
    <w:p w14:paraId="7BB28479" w14:textId="77777777" w:rsidR="00321DBE" w:rsidRPr="009F466A" w:rsidRDefault="00321DBE" w:rsidP="00C21496">
      <w:pPr>
        <w:jc w:val="left"/>
      </w:pPr>
      <w:r w:rsidRPr="009F466A">
        <w:t>The key findings</w:t>
      </w:r>
      <w:r w:rsidR="00CD3000" w:rsidRPr="009F466A">
        <w:t xml:space="preserve"> on the</w:t>
      </w:r>
      <w:r w:rsidRPr="009F466A">
        <w:t xml:space="preserve"> </w:t>
      </w:r>
      <w:r w:rsidR="00CD3000" w:rsidRPr="009F466A">
        <w:t xml:space="preserve">safety assessment of PAH medicines </w:t>
      </w:r>
      <w:r w:rsidRPr="009F466A">
        <w:t>are:</w:t>
      </w:r>
    </w:p>
    <w:p w14:paraId="0A911FAE" w14:textId="77777777" w:rsidR="00321DBE" w:rsidRPr="009F466A" w:rsidRDefault="00321DBE" w:rsidP="00C21496">
      <w:pPr>
        <w:pStyle w:val="Bullettext"/>
        <w:spacing w:after="0" w:line="276" w:lineRule="auto"/>
        <w:ind w:left="426" w:hanging="426"/>
      </w:pPr>
      <w:r w:rsidRPr="009F466A">
        <w:t>No clear safety signal has been identified on the basis of the safety data from included tr</w:t>
      </w:r>
      <w:r w:rsidR="00F836D6">
        <w:t>ials and studies.</w:t>
      </w:r>
    </w:p>
    <w:p w14:paraId="7C79044A" w14:textId="77777777" w:rsidR="00321DBE" w:rsidRPr="009F466A" w:rsidRDefault="00321DBE" w:rsidP="00C21496">
      <w:pPr>
        <w:pStyle w:val="Bullettext"/>
        <w:spacing w:after="0" w:line="276" w:lineRule="auto"/>
        <w:ind w:left="426" w:hanging="426"/>
      </w:pPr>
      <w:r w:rsidRPr="009F466A">
        <w:t>In paediatric patients, sildenafil had a worse safety profile than placebo. AEs occurring more frequently in patients receiving sildenafil, included pyrexia, increased erection, and upper respiratory tract infections. The occurrence of pyrexia, vomiting, and naus</w:t>
      </w:r>
      <w:r w:rsidR="00F836D6">
        <w:t>ea appeared to be dose-related.</w:t>
      </w:r>
    </w:p>
    <w:p w14:paraId="49A67FEC" w14:textId="77777777" w:rsidR="00321DBE" w:rsidRPr="009F466A" w:rsidRDefault="00321DBE" w:rsidP="00C21496">
      <w:pPr>
        <w:pStyle w:val="Bullettext"/>
        <w:spacing w:after="0" w:line="276" w:lineRule="auto"/>
        <w:ind w:left="426" w:hanging="426"/>
      </w:pPr>
      <w:r w:rsidRPr="009F466A">
        <w:t xml:space="preserve">The proportion of patients with ocular adverse events was generally low and comparable between </w:t>
      </w:r>
      <w:r w:rsidR="006A0CCD" w:rsidRPr="009F466A">
        <w:t>sildenafil at</w:t>
      </w:r>
      <w:r w:rsidRPr="009F466A">
        <w:t xml:space="preserve"> </w:t>
      </w:r>
      <w:r w:rsidR="006A0CCD">
        <w:t>the</w:t>
      </w:r>
      <w:r w:rsidRPr="009F466A">
        <w:t xml:space="preserve"> recommended dose (ie 20 mg </w:t>
      </w:r>
      <w:r w:rsidR="002B1993">
        <w:t>three times a day</w:t>
      </w:r>
      <w:r w:rsidRPr="009F466A">
        <w:t>), and placebo, but with some AEs reported only in patients receiving sildenafil, eg retinal haemorrhage (1.4%).</w:t>
      </w:r>
    </w:p>
    <w:p w14:paraId="13865016" w14:textId="77777777" w:rsidR="00321DBE" w:rsidRPr="009F466A" w:rsidRDefault="00321DBE" w:rsidP="00C21496">
      <w:pPr>
        <w:pStyle w:val="Bullettext"/>
        <w:spacing w:after="0" w:line="276" w:lineRule="auto"/>
        <w:ind w:left="426" w:hanging="426"/>
      </w:pPr>
      <w:r w:rsidRPr="009F466A">
        <w:t>Monotherapy with tadalafil was inferior to placebo in terms of safety, with a higher incidence of</w:t>
      </w:r>
      <w:r w:rsidRPr="00505354">
        <w:t xml:space="preserve"> </w:t>
      </w:r>
      <w:r w:rsidRPr="009F466A">
        <w:t>overall AEs, diarrhoea, nausea, nasopharyngitis, upper respiratory tract infections, myalgia, flushing, dyspepsia and pain in the extremities.</w:t>
      </w:r>
    </w:p>
    <w:p w14:paraId="22BB1D2F" w14:textId="77777777" w:rsidR="00321DBE" w:rsidRPr="009F466A" w:rsidRDefault="00321DBE" w:rsidP="00C21496">
      <w:pPr>
        <w:pStyle w:val="Bullettext"/>
        <w:spacing w:after="0" w:line="276" w:lineRule="auto"/>
        <w:ind w:left="426" w:hanging="426"/>
      </w:pPr>
      <w:r w:rsidRPr="009F466A">
        <w:t>The included observational studies followed patients for 2 years and above, which reflects the typical prolonged use of PAH medicines in clinical practice. For individual PAH medicines, the safety results from observational studies generally agreed with each other and with the safety results from RCT(s) and post-marketing data included in the prod</w:t>
      </w:r>
      <w:r w:rsidR="00F836D6">
        <w:t>uct information (PI) documents.</w:t>
      </w:r>
    </w:p>
    <w:p w14:paraId="7F5B4898" w14:textId="77777777" w:rsidR="00321DBE" w:rsidRPr="00505354" w:rsidRDefault="00321DBE" w:rsidP="00C21496">
      <w:pPr>
        <w:pStyle w:val="Bullettext"/>
        <w:spacing w:after="0" w:line="276" w:lineRule="auto"/>
        <w:ind w:left="426" w:hanging="426"/>
      </w:pPr>
      <w:r w:rsidRPr="00505354">
        <w:t xml:space="preserve">Limited data from studies in paediatric PAH patients suggested that, for both bosentan and sildenafil, the safety profile in children with PAH was generally </w:t>
      </w:r>
      <w:r w:rsidR="00F836D6">
        <w:t>consistent with that in adults.</w:t>
      </w:r>
    </w:p>
    <w:p w14:paraId="6BFCFC15" w14:textId="77777777" w:rsidR="00321DBE" w:rsidRPr="009F466A" w:rsidRDefault="00321DBE" w:rsidP="00C21496">
      <w:pPr>
        <w:jc w:val="left"/>
      </w:pPr>
      <w:r w:rsidRPr="009F466A">
        <w:lastRenderedPageBreak/>
        <w:t xml:space="preserve">The potential new safety signals identified by comparing the TGA-approved PI with the </w:t>
      </w:r>
      <w:r w:rsidR="00220EDF" w:rsidRPr="00220EDF">
        <w:t>European Medicines Agency</w:t>
      </w:r>
      <w:r w:rsidR="00220EDF" w:rsidRPr="009F466A">
        <w:t xml:space="preserve"> </w:t>
      </w:r>
      <w:r w:rsidR="00220EDF">
        <w:t>(</w:t>
      </w:r>
      <w:r w:rsidRPr="009F466A">
        <w:t>EMA</w:t>
      </w:r>
      <w:r w:rsidR="00220EDF">
        <w:t>)</w:t>
      </w:r>
      <w:r w:rsidRPr="009F466A">
        <w:t xml:space="preserve"> Summary of Product Characteristics (SmPC) and the</w:t>
      </w:r>
      <w:r w:rsidR="00220EDF" w:rsidRPr="00220EDF">
        <w:rPr>
          <w:rFonts w:cs="Arial"/>
          <w:color w:val="FF0000"/>
          <w:sz w:val="22"/>
        </w:rPr>
        <w:t xml:space="preserve"> </w:t>
      </w:r>
      <w:r w:rsidR="00220EDF" w:rsidRPr="00220EDF">
        <w:t>United States Food and Drug Administration</w:t>
      </w:r>
      <w:r w:rsidRPr="009F466A">
        <w:t xml:space="preserve"> </w:t>
      </w:r>
      <w:r w:rsidR="00220EDF">
        <w:t>(</w:t>
      </w:r>
      <w:r w:rsidRPr="009F466A">
        <w:t>FDA</w:t>
      </w:r>
      <w:r w:rsidR="00220EDF">
        <w:t>)</w:t>
      </w:r>
      <w:r w:rsidRPr="009F466A">
        <w:t xml:space="preserve"> produ</w:t>
      </w:r>
      <w:r w:rsidR="00F836D6">
        <w:t>ct label include:</w:t>
      </w:r>
    </w:p>
    <w:p w14:paraId="635F9E0C" w14:textId="77777777" w:rsidR="00321DBE" w:rsidRPr="00505354" w:rsidRDefault="00321DBE" w:rsidP="00C21496">
      <w:pPr>
        <w:pStyle w:val="Bullettext"/>
        <w:spacing w:after="0" w:line="276" w:lineRule="auto"/>
        <w:ind w:left="426" w:hanging="426"/>
      </w:pPr>
      <w:r w:rsidRPr="00505354">
        <w:t>Use of bosentan in patients with chronic obstructive pulmonary disease (increase in minute ventilation, decreased oxygen saturation and dyspnoea).</w:t>
      </w:r>
    </w:p>
    <w:p w14:paraId="663F2C44" w14:textId="77777777" w:rsidR="00321DBE" w:rsidRPr="00505354" w:rsidRDefault="00321DBE" w:rsidP="00C21496">
      <w:pPr>
        <w:pStyle w:val="Bullettext"/>
        <w:spacing w:after="0" w:line="276" w:lineRule="auto"/>
        <w:ind w:left="426" w:hanging="426"/>
      </w:pPr>
      <w:r w:rsidRPr="00505354">
        <w:t>AEs of penile haemorrhage and haematospermia in patients receiving PDE-5 inhibitors (both sildenafil and tadalafil).</w:t>
      </w:r>
    </w:p>
    <w:p w14:paraId="20921ADA" w14:textId="77777777" w:rsidR="00321DBE" w:rsidRPr="00505354" w:rsidRDefault="00321DBE" w:rsidP="00C21496">
      <w:pPr>
        <w:pStyle w:val="Bullettext"/>
        <w:spacing w:after="0" w:line="276" w:lineRule="auto"/>
        <w:ind w:left="426" w:hanging="426"/>
      </w:pPr>
      <w:r w:rsidRPr="00505354">
        <w:t>Potential for vaso-occlusive crises in patients receiving sildenafil for PH secondary to sickle cell anaemia.</w:t>
      </w:r>
    </w:p>
    <w:p w14:paraId="201CD11F" w14:textId="77777777" w:rsidR="00321DBE" w:rsidRPr="00505354" w:rsidRDefault="00321DBE" w:rsidP="00C21496">
      <w:pPr>
        <w:pStyle w:val="Bullettext"/>
        <w:spacing w:after="0" w:line="276" w:lineRule="auto"/>
        <w:ind w:left="426" w:hanging="426"/>
      </w:pPr>
      <w:r w:rsidRPr="00505354">
        <w:t>Intracerebral haemorrhage in tada</w:t>
      </w:r>
      <w:r w:rsidR="00E660FD">
        <w:t>lafil-treated patients.</w:t>
      </w:r>
    </w:p>
    <w:p w14:paraId="0C8F6762" w14:textId="77777777" w:rsidR="00321DBE" w:rsidRPr="009F466A" w:rsidRDefault="00321DBE" w:rsidP="00C21496">
      <w:pPr>
        <w:pStyle w:val="Bullettext"/>
        <w:spacing w:after="0" w:line="276" w:lineRule="auto"/>
        <w:ind w:left="426" w:hanging="426"/>
      </w:pPr>
      <w:r w:rsidRPr="00505354">
        <w:t>Increased</w:t>
      </w:r>
      <w:r w:rsidRPr="009F466A">
        <w:t xml:space="preserve"> mortality and serious AEs in patients receiving riociguat in treating PH associated with idio</w:t>
      </w:r>
      <w:r w:rsidR="00F836D6">
        <w:t>pathic interstitial pneumonias.</w:t>
      </w:r>
    </w:p>
    <w:p w14:paraId="747DDB43" w14:textId="77777777" w:rsidR="00321DBE" w:rsidRPr="009F466A" w:rsidRDefault="00321DBE" w:rsidP="00C21496">
      <w:pPr>
        <w:jc w:val="left"/>
      </w:pPr>
      <w:r w:rsidRPr="009F466A">
        <w:t>There was evidence from a long-term observational study suggesting increased mortality with higher sildenafil doses. Sildenafil is not indicated for use in paediatric patients, according to the TGA PI. The FDA product label communicates an apparently lesser strength of warning: use of sildenafil, particularly chronic use, is not recommended in children (namely there may be situations in which the benefit-risk profile of sildenafil may be acceptable in individual children; for example, when other treatment options are limited and sildenafil can be used with close monitoring). The EMA SmPC states that sildenafil is indicated for the treatment of children aged 1-17 years of age with PAH, but only at a recommended low dose. The international guidelines do not reach consensus regarding the use of sildenafil in paediatric PAH patients.</w:t>
      </w:r>
    </w:p>
    <w:p w14:paraId="1B51902E" w14:textId="77777777" w:rsidR="00DE5CA2" w:rsidRPr="009F466A" w:rsidRDefault="00DE5CA2" w:rsidP="00C21496">
      <w:pPr>
        <w:pStyle w:val="Heading3"/>
        <w:jc w:val="left"/>
      </w:pPr>
      <w:bookmarkStart w:id="133" w:name="_Toc526944011"/>
      <w:bookmarkEnd w:id="56"/>
      <w:r w:rsidRPr="009F466A">
        <w:t>Stakeholder views</w:t>
      </w:r>
      <w:bookmarkEnd w:id="133"/>
    </w:p>
    <w:p w14:paraId="2314EB7C" w14:textId="77777777" w:rsidR="0076477B" w:rsidRDefault="005431DA" w:rsidP="00C21496">
      <w:pPr>
        <w:pStyle w:val="Bullettext"/>
        <w:spacing w:after="0" w:line="276" w:lineRule="auto"/>
        <w:ind w:left="426" w:hanging="426"/>
      </w:pPr>
      <w:r>
        <w:t>Decisions regarding combination therapy for WHO FC II patients should be evidence based.</w:t>
      </w:r>
    </w:p>
    <w:p w14:paraId="749AC56B" w14:textId="77777777" w:rsidR="00623CD5" w:rsidRDefault="009C3E4B" w:rsidP="00C21496">
      <w:pPr>
        <w:pStyle w:val="Bullettext"/>
        <w:spacing w:after="0" w:line="276" w:lineRule="auto"/>
        <w:ind w:left="426" w:hanging="426"/>
      </w:pPr>
      <w:r>
        <w:t>Stakeholders note</w:t>
      </w:r>
      <w:r w:rsidR="00B7300C" w:rsidRPr="00550857">
        <w:t xml:space="preserve"> </w:t>
      </w:r>
      <w:r w:rsidR="005431DA">
        <w:t xml:space="preserve">the shift to </w:t>
      </w:r>
      <w:r w:rsidR="00623CD5">
        <w:t>reporting improvements in long term outcomes rather than short term functional changes.</w:t>
      </w:r>
    </w:p>
    <w:p w14:paraId="70947DBF" w14:textId="77777777" w:rsidR="0076477B" w:rsidRDefault="00623CD5" w:rsidP="00623CD5">
      <w:pPr>
        <w:pStyle w:val="Bullettext"/>
        <w:spacing w:after="0" w:line="276" w:lineRule="auto"/>
        <w:ind w:left="426" w:hanging="426"/>
      </w:pPr>
      <w:r>
        <w:t xml:space="preserve">Composite end points to measure PAH disease progression should include </w:t>
      </w:r>
      <w:r w:rsidR="00B7300C" w:rsidRPr="00550857">
        <w:t>morbidity and mortality measures</w:t>
      </w:r>
      <w:r w:rsidR="00F836D6">
        <w:t>.</w:t>
      </w:r>
    </w:p>
    <w:p w14:paraId="0BA90D8A" w14:textId="77777777" w:rsidR="00B7300C" w:rsidRDefault="008C0BAD" w:rsidP="00623CD5">
      <w:pPr>
        <w:pStyle w:val="Bullettext"/>
        <w:spacing w:after="0" w:line="276" w:lineRule="auto"/>
        <w:ind w:left="426" w:hanging="426"/>
      </w:pPr>
      <w:r w:rsidRPr="00550857">
        <w:t>S</w:t>
      </w:r>
      <w:r>
        <w:t>takeholders</w:t>
      </w:r>
      <w:r w:rsidRPr="00550857">
        <w:t xml:space="preserve"> </w:t>
      </w:r>
      <w:r>
        <w:t>note</w:t>
      </w:r>
      <w:r w:rsidR="00B7300C" w:rsidRPr="00550857">
        <w:t xml:space="preserve"> there are few RCTs assessing the comparative efficacy and safety of PAH treatments, but provide available evidence for ambrisentan and epoprostenol that is yet to be considered by PBAC, with inclusion of studies pertaining to combination use and use in the FC II patient population.</w:t>
      </w:r>
    </w:p>
    <w:p w14:paraId="6F791210" w14:textId="77777777" w:rsidR="00A31C5E" w:rsidRPr="009F466A" w:rsidRDefault="00A31C5E" w:rsidP="00C21496">
      <w:pPr>
        <w:pStyle w:val="Heading3"/>
        <w:jc w:val="left"/>
      </w:pPr>
      <w:bookmarkStart w:id="134" w:name="_Toc526944012"/>
      <w:r w:rsidRPr="00BC4C2E">
        <w:t>Consumer views</w:t>
      </w:r>
      <w:bookmarkEnd w:id="134"/>
    </w:p>
    <w:p w14:paraId="12B6F317" w14:textId="77777777" w:rsidR="00345876" w:rsidRPr="00F177DF" w:rsidRDefault="00345876" w:rsidP="00C21496">
      <w:pPr>
        <w:pStyle w:val="Bullettext"/>
        <w:spacing w:after="0" w:line="276" w:lineRule="auto"/>
        <w:ind w:left="426" w:hanging="426"/>
      </w:pPr>
      <w:r w:rsidRPr="00F177DF">
        <w:t xml:space="preserve">Consumers </w:t>
      </w:r>
      <w:r>
        <w:t xml:space="preserve">advised they </w:t>
      </w:r>
      <w:r w:rsidRPr="00F177DF">
        <w:t>tended to be using various double and triple combinations of endothelin receptor antagonists with PDE</w:t>
      </w:r>
      <w:r w:rsidR="00ED7E44">
        <w:t>-</w:t>
      </w:r>
      <w:r w:rsidRPr="00F177DF">
        <w:t xml:space="preserve">5 inhibitors and </w:t>
      </w:r>
      <w:r w:rsidR="00A33DE8">
        <w:t>prostanoid</w:t>
      </w:r>
      <w:r w:rsidR="00A33DE8" w:rsidRPr="00F177DF">
        <w:t>s</w:t>
      </w:r>
      <w:r w:rsidR="00F836D6">
        <w:t>.</w:t>
      </w:r>
    </w:p>
    <w:p w14:paraId="0F9875D3" w14:textId="77777777" w:rsidR="00345876" w:rsidRPr="00F177DF" w:rsidRDefault="00345876" w:rsidP="00C21496">
      <w:pPr>
        <w:pStyle w:val="Bullettext"/>
        <w:spacing w:after="0" w:line="276" w:lineRule="auto"/>
        <w:ind w:left="426" w:hanging="426"/>
      </w:pPr>
      <w:r w:rsidRPr="00F177DF">
        <w:lastRenderedPageBreak/>
        <w:t>Some consumers participated in drug trials, including for bardoxolone methyl (Catalyst trial) and oral trepostinil</w:t>
      </w:r>
      <w:r w:rsidR="00591D08">
        <w:t xml:space="preserve"> (</w:t>
      </w:r>
      <w:r w:rsidRPr="00F177DF">
        <w:t>prostacyclin analogue</w:t>
      </w:r>
      <w:r w:rsidR="00591D08">
        <w:t>)</w:t>
      </w:r>
      <w:r w:rsidR="00F836D6">
        <w:t>.</w:t>
      </w:r>
    </w:p>
    <w:p w14:paraId="66ECE988" w14:textId="77777777" w:rsidR="00345876" w:rsidRPr="00F177DF" w:rsidRDefault="00345876" w:rsidP="00C21496">
      <w:pPr>
        <w:pStyle w:val="Bullettext"/>
        <w:spacing w:after="0" w:line="276" w:lineRule="auto"/>
        <w:ind w:left="426" w:hanging="426"/>
      </w:pPr>
      <w:r w:rsidRPr="00F177DF">
        <w:t>There were reports of patients in the P</w:t>
      </w:r>
      <w:r>
        <w:t>ulmonary Hypertension Association Australia</w:t>
      </w:r>
      <w:r w:rsidRPr="00F177DF">
        <w:t xml:space="preserve"> using selexipag.</w:t>
      </w:r>
    </w:p>
    <w:p w14:paraId="29C7E3FE" w14:textId="77777777" w:rsidR="00345876" w:rsidRPr="00F177DF" w:rsidRDefault="00345876" w:rsidP="00C21496">
      <w:pPr>
        <w:pStyle w:val="Bullettext"/>
        <w:spacing w:after="0" w:line="276" w:lineRule="auto"/>
        <w:ind w:left="426" w:hanging="426"/>
      </w:pPr>
      <w:r w:rsidRPr="00F177DF">
        <w:t>Consumers advised that they usually stay on the same medicines and add a further medicine to address worsening symptoms.</w:t>
      </w:r>
    </w:p>
    <w:p w14:paraId="74825C17" w14:textId="77777777" w:rsidR="00345876" w:rsidRPr="00F177DF" w:rsidRDefault="00345876" w:rsidP="00C21496">
      <w:pPr>
        <w:pStyle w:val="Bullettext"/>
        <w:spacing w:after="0" w:line="276" w:lineRule="auto"/>
        <w:ind w:left="426" w:hanging="426"/>
      </w:pPr>
      <w:r w:rsidRPr="00F177DF">
        <w:t>Consumers swapped medicines to alleviate side-effects or because they proved ineffective.</w:t>
      </w:r>
    </w:p>
    <w:p w14:paraId="4813CFDF" w14:textId="77777777" w:rsidR="00591D08" w:rsidRDefault="00345876" w:rsidP="00C21496">
      <w:pPr>
        <w:pStyle w:val="Bullettext"/>
        <w:spacing w:after="0" w:line="276" w:lineRule="auto"/>
        <w:ind w:left="426" w:hanging="426"/>
      </w:pPr>
      <w:r w:rsidRPr="00F177DF">
        <w:t xml:space="preserve">Consumers pointed out that continuous intravenous administration of epoprostenol, while effective, leads to considerable inconvenience and additional cost </w:t>
      </w:r>
      <w:r>
        <w:t xml:space="preserve">for accessories and dressings. </w:t>
      </w:r>
      <w:r w:rsidRPr="00F177DF">
        <w:t xml:space="preserve">In </w:t>
      </w:r>
      <w:r w:rsidR="00AA35AB" w:rsidRPr="00F177DF">
        <w:t>addition,</w:t>
      </w:r>
      <w:r w:rsidRPr="00F177DF">
        <w:t xml:space="preserve"> there is a risk </w:t>
      </w:r>
      <w:r w:rsidR="00F836D6">
        <w:t>of catheter-related infection.</w:t>
      </w:r>
    </w:p>
    <w:p w14:paraId="3B1A7F0B" w14:textId="77777777" w:rsidR="00345876" w:rsidRPr="00F177DF" w:rsidRDefault="00345876" w:rsidP="00C21496">
      <w:pPr>
        <w:pStyle w:val="Bullettext"/>
        <w:spacing w:after="0" w:line="276" w:lineRule="auto"/>
        <w:ind w:left="426" w:hanging="426"/>
      </w:pPr>
      <w:r w:rsidRPr="00F177DF">
        <w:t xml:space="preserve">Some consumers reported preferring the nebulised </w:t>
      </w:r>
      <w:r w:rsidR="00A33DE8">
        <w:t>prostanoids</w:t>
      </w:r>
      <w:r w:rsidR="00A33DE8" w:rsidRPr="00F177DF">
        <w:t xml:space="preserve"> </w:t>
      </w:r>
      <w:r w:rsidRPr="00F177DF">
        <w:t>which although had more frequent dosing, were less invasive.</w:t>
      </w:r>
    </w:p>
    <w:p w14:paraId="0288AB75" w14:textId="77777777" w:rsidR="00345876" w:rsidRPr="00F177DF" w:rsidRDefault="00AA35AB" w:rsidP="00C21496">
      <w:pPr>
        <w:pStyle w:val="Bullettext"/>
        <w:spacing w:after="0" w:line="276" w:lineRule="auto"/>
        <w:ind w:left="426" w:hanging="426"/>
      </w:pPr>
      <w:r w:rsidRPr="00F177DF">
        <w:t>Generally,</w:t>
      </w:r>
      <w:r w:rsidR="00345876" w:rsidRPr="00F177DF">
        <w:t xml:space="preserve"> consumers found that PAH medicines did not impact on other medicines.</w:t>
      </w:r>
    </w:p>
    <w:p w14:paraId="50264E8A" w14:textId="77777777" w:rsidR="00C16A76" w:rsidRPr="009F466A" w:rsidRDefault="00C16A76" w:rsidP="00C16A76">
      <w:pPr>
        <w:pStyle w:val="Heading2"/>
        <w:jc w:val="left"/>
      </w:pPr>
      <w:bookmarkStart w:id="135" w:name="_Toc526944013"/>
      <w:bookmarkStart w:id="136" w:name="_Toc486853480"/>
      <w:r>
        <w:t xml:space="preserve">Key findings for </w:t>
      </w:r>
      <w:r w:rsidRPr="009F466A">
        <w:t xml:space="preserve">ToR </w:t>
      </w:r>
      <w:r>
        <w:t>5</w:t>
      </w:r>
      <w:r w:rsidRPr="009F466A">
        <w:t xml:space="preserve">: </w:t>
      </w:r>
      <w:r>
        <w:t>Cost-effectiveness</w:t>
      </w:r>
      <w:bookmarkEnd w:id="135"/>
    </w:p>
    <w:p w14:paraId="689FF653" w14:textId="77777777" w:rsidR="00C16A76" w:rsidRPr="00F836D6" w:rsidRDefault="00C16A76" w:rsidP="00C16A76">
      <w:pPr>
        <w:pStyle w:val="ToRinbox"/>
        <w:shd w:val="clear" w:color="auto" w:fill="F2F2F2" w:themeFill="background1" w:themeFillShade="F2"/>
        <w:rPr>
          <w:rFonts w:ascii="Calibri" w:hAnsi="Calibri" w:cs="Calibri"/>
        </w:rPr>
      </w:pPr>
      <w:r w:rsidRPr="00F836D6">
        <w:rPr>
          <w:rFonts w:ascii="Calibri" w:eastAsiaTheme="minorHAnsi" w:hAnsi="Calibri" w:cs="Calibri"/>
          <w:szCs w:val="22"/>
        </w:rPr>
        <w:t>Following ToR 1-4, consider reviewing the cost-effectiveness of existing PBS list</w:t>
      </w:r>
      <w:r w:rsidR="00591D08" w:rsidRPr="00F836D6">
        <w:rPr>
          <w:rFonts w:ascii="Calibri" w:eastAsiaTheme="minorHAnsi" w:hAnsi="Calibri" w:cs="Calibri"/>
          <w:szCs w:val="22"/>
        </w:rPr>
        <w:t>ed</w:t>
      </w:r>
      <w:r w:rsidRPr="00F836D6">
        <w:rPr>
          <w:rFonts w:ascii="Calibri" w:eastAsiaTheme="minorHAnsi" w:hAnsi="Calibri" w:cs="Calibri"/>
          <w:szCs w:val="22"/>
        </w:rPr>
        <w:t xml:space="preserve"> PAH medicines, and in treatment of WHO functional class II and combination treatment in class III and class IV patients.</w:t>
      </w:r>
    </w:p>
    <w:p w14:paraId="5BB9B819" w14:textId="77777777" w:rsidR="00C16A76" w:rsidRDefault="00C16A76" w:rsidP="00C16A76">
      <w:pPr>
        <w:pStyle w:val="Heading3"/>
      </w:pPr>
      <w:bookmarkStart w:id="137" w:name="_Toc526944014"/>
      <w:r w:rsidRPr="0063711F">
        <w:t>Key findings</w:t>
      </w:r>
      <w:bookmarkEnd w:id="137"/>
      <w:r w:rsidRPr="0063711F">
        <w:t xml:space="preserve"> </w:t>
      </w:r>
    </w:p>
    <w:p w14:paraId="7ED89123" w14:textId="77777777" w:rsidR="00C16A76" w:rsidRPr="00731E4D" w:rsidRDefault="00C16A76" w:rsidP="00C16A76">
      <w:pPr>
        <w:pStyle w:val="Bullettext"/>
        <w:spacing w:after="0" w:line="276" w:lineRule="auto"/>
        <w:ind w:left="426" w:hanging="426"/>
      </w:pPr>
      <w:r w:rsidRPr="00591E58">
        <w:t xml:space="preserve">There </w:t>
      </w:r>
      <w:r>
        <w:t>was</w:t>
      </w:r>
      <w:r w:rsidRPr="00591E58">
        <w:t xml:space="preserve"> no new clinical evidence </w:t>
      </w:r>
      <w:r>
        <w:t xml:space="preserve">identified </w:t>
      </w:r>
      <w:r w:rsidRPr="00591E58">
        <w:t>for the use of PAH medicines in monotherapy reporting mortality or quality of life outcomes to inform a new cost-</w:t>
      </w:r>
      <w:r w:rsidRPr="00731E4D">
        <w:t>effectiveness assessment of current PBS listed PAH medicines.</w:t>
      </w:r>
    </w:p>
    <w:p w14:paraId="5544E7CC" w14:textId="77777777" w:rsidR="00C16A76" w:rsidRPr="00731E4D" w:rsidRDefault="00C16A76" w:rsidP="00C16A76">
      <w:pPr>
        <w:pStyle w:val="Bullettext"/>
        <w:spacing w:after="0" w:line="276" w:lineRule="auto"/>
        <w:ind w:left="426" w:hanging="426"/>
      </w:pPr>
      <w:r w:rsidRPr="00731E4D">
        <w:t>The utilisation review of PBS data indicated that PAH medicines are being used as the sole PBS subsidised PAH therapy, consistent w</w:t>
      </w:r>
      <w:r w:rsidR="006A3F98" w:rsidRPr="00731E4D">
        <w:t>ith their current restrictions.</w:t>
      </w:r>
    </w:p>
    <w:p w14:paraId="4F7D4F28" w14:textId="77777777" w:rsidR="00C16A76" w:rsidRPr="00731E4D" w:rsidRDefault="00C16A76" w:rsidP="00C16A76">
      <w:pPr>
        <w:pStyle w:val="Bullettext"/>
        <w:spacing w:after="0" w:line="276" w:lineRule="auto"/>
        <w:ind w:left="426" w:hanging="426"/>
      </w:pPr>
      <w:r w:rsidRPr="00731E4D">
        <w:t xml:space="preserve">Overall the use of ERAs is likely to be beneficial for patients in WHO FC II, however there is considerable uncertainty whether the use of PDE-5 inhibitors and </w:t>
      </w:r>
      <w:r w:rsidR="00C07794">
        <w:rPr>
          <w:noProof/>
          <w:color w:val="000000"/>
          <w:highlight w:val="black"/>
        </w:rPr>
        <w:t>'''''''' '''''''''''''''''''''' ''' ''''''''''''''''''''</w:t>
      </w:r>
      <w:r w:rsidRPr="00731E4D">
        <w:t>, and there was no evidence found to support monotherapy use of prostanoids in patients presenting in WHO FC I or II.</w:t>
      </w:r>
    </w:p>
    <w:p w14:paraId="15528767" w14:textId="77777777" w:rsidR="006A3F98" w:rsidRPr="00731E4D" w:rsidRDefault="006A3F98" w:rsidP="006A3F98">
      <w:pPr>
        <w:pStyle w:val="Bullettext"/>
        <w:spacing w:after="0" w:line="276" w:lineRule="auto"/>
        <w:ind w:left="426" w:hanging="426"/>
      </w:pPr>
      <w:r w:rsidRPr="00731E4D">
        <w:t>While there is trial evidence to support dual PAH therapy over monotherapy, it varies according to the various combinations, and is overall inconclusive for the sub-groups of patients treated in WHO FC III and IV. However, these sub-groups were small and potentially underpowered to report significant diff</w:t>
      </w:r>
      <w:r w:rsidR="00F836D6">
        <w:t>erences between treatment arms.</w:t>
      </w:r>
    </w:p>
    <w:p w14:paraId="1A21340A" w14:textId="77777777" w:rsidR="006A3F98" w:rsidRPr="006A3F98" w:rsidRDefault="006A3F98" w:rsidP="006A3F98">
      <w:pPr>
        <w:pStyle w:val="Bullettext"/>
        <w:spacing w:after="0" w:line="276" w:lineRule="auto"/>
        <w:ind w:left="426" w:hanging="426"/>
      </w:pPr>
      <w:r w:rsidRPr="00731E4D">
        <w:t xml:space="preserve">Several trials </w:t>
      </w:r>
      <w:r w:rsidR="00C07794">
        <w:rPr>
          <w:noProof/>
          <w:color w:val="000000"/>
          <w:highlight w:val="black"/>
        </w:rPr>
        <w:t>'''''''''''''''''''''</w:t>
      </w:r>
      <w:r w:rsidRPr="00731E4D">
        <w:t xml:space="preserve">, HAN 2017, COMBI, </w:t>
      </w:r>
      <w:r w:rsidR="00C07794">
        <w:rPr>
          <w:noProof/>
          <w:color w:val="000000"/>
          <w:highlight w:val="black"/>
        </w:rPr>
        <w:t>''''''''''''''''''''</w:t>
      </w:r>
      <w:r w:rsidRPr="00731E4D">
        <w:t xml:space="preserve"> measured change in quality of life in patients (FC II-IV) treated with combinations of: </w:t>
      </w:r>
      <w:r w:rsidR="00C07794">
        <w:rPr>
          <w:noProof/>
          <w:color w:val="000000"/>
          <w:highlight w:val="black"/>
        </w:rPr>
        <w:t>''''''''' '''''''' ''''''''''' ''''''''''''''''</w:t>
      </w:r>
      <w:r w:rsidRPr="00731E4D">
        <w:t xml:space="preserve">; ERA and prostanoids; and </w:t>
      </w:r>
      <w:r w:rsidR="00C07794">
        <w:rPr>
          <w:noProof/>
          <w:color w:val="000000"/>
          <w:highlight w:val="black"/>
        </w:rPr>
        <w:t>''''''' ''''''''''''' ''''' ''''''' '''''''''''''''''''''</w:t>
      </w:r>
      <w:r w:rsidRPr="00731E4D">
        <w:t>. All trials reported significant</w:t>
      </w:r>
      <w:r w:rsidRPr="006A3F98">
        <w:t xml:space="preserve"> </w:t>
      </w:r>
      <w:r w:rsidRPr="006A3F98">
        <w:lastRenderedPageBreak/>
        <w:t>improvements in quality of life in patients treated with combination therapy compared to monotherapy.</w:t>
      </w:r>
    </w:p>
    <w:p w14:paraId="06D63143" w14:textId="77777777" w:rsidR="00C16A76" w:rsidRPr="00591E58" w:rsidRDefault="00C16A76" w:rsidP="00C16A76">
      <w:pPr>
        <w:pStyle w:val="Bullettext"/>
        <w:spacing w:after="0" w:line="276" w:lineRule="auto"/>
        <w:ind w:left="426" w:hanging="426"/>
      </w:pPr>
      <w:r w:rsidRPr="00591E58">
        <w:t>There was no evidence identified in the systematic review of PBS listed PAH medicines that reported on the effectiveness of triple combination therapy compared to dual combination therapy.</w:t>
      </w:r>
    </w:p>
    <w:p w14:paraId="622C91B5" w14:textId="77777777" w:rsidR="00C16A76" w:rsidRPr="00591E58" w:rsidRDefault="00C16A76" w:rsidP="00C16A76">
      <w:pPr>
        <w:pStyle w:val="Bullettext"/>
        <w:spacing w:after="0" w:line="276" w:lineRule="auto"/>
        <w:ind w:left="426" w:hanging="426"/>
      </w:pPr>
      <w:r>
        <w:t>PBAC has not received a submission requesting subsidised access to PAH specific medicines for patients presenting in WHO FC II.</w:t>
      </w:r>
    </w:p>
    <w:p w14:paraId="62DEB9B3" w14:textId="77777777" w:rsidR="00C16A76" w:rsidRDefault="00C16A76" w:rsidP="00C16A76">
      <w:pPr>
        <w:pStyle w:val="Bullettext"/>
        <w:spacing w:after="0" w:line="276" w:lineRule="auto"/>
        <w:ind w:left="426" w:hanging="426"/>
      </w:pPr>
      <w:r w:rsidRPr="00591E58">
        <w:t>The PBAC has considered a submission for selexipag in combination with an ERA and</w:t>
      </w:r>
      <w:r>
        <w:t>/</w:t>
      </w:r>
      <w:r w:rsidRPr="00591E58">
        <w:t>or PDE-5 inhibitor. PBAC has rejected this submission on two occasions due to high and uncertain cost effectiveness in the requested dual and triple combinations.</w:t>
      </w:r>
    </w:p>
    <w:p w14:paraId="1586E5EA" w14:textId="77777777" w:rsidR="00C16A76" w:rsidRDefault="00C16A76" w:rsidP="00C16A76">
      <w:pPr>
        <w:pStyle w:val="Bullettext"/>
        <w:spacing w:after="0" w:line="276" w:lineRule="auto"/>
        <w:ind w:left="426" w:hanging="426"/>
      </w:pPr>
      <w:r w:rsidRPr="00591E58">
        <w:t>Due to patent expiry</w:t>
      </w:r>
      <w:r>
        <w:t xml:space="preserve"> and movement to Formulary 2</w:t>
      </w:r>
      <w:r w:rsidRPr="00591E58">
        <w:t>, the original PBS prices for bosentan, epoprostenol, sildenafil and tadalafil are now lower than when originally listed and are likely to fall further due to PBS price disclosure mechanisms.</w:t>
      </w:r>
    </w:p>
    <w:p w14:paraId="732F0C55" w14:textId="77777777" w:rsidR="00C16A76" w:rsidRDefault="00C16A76" w:rsidP="00CF470D">
      <w:pPr>
        <w:pStyle w:val="Bullettext"/>
        <w:spacing w:after="0" w:line="276" w:lineRule="auto"/>
        <w:ind w:left="426" w:hanging="426"/>
      </w:pPr>
      <w:r w:rsidRPr="00C16A76">
        <w:t xml:space="preserve">Cost-effectiveness may be acceptable for dual combination therapy involving currently listed PBS PAH medicines </w:t>
      </w:r>
      <w:r w:rsidR="00484769">
        <w:t>n</w:t>
      </w:r>
      <w:r w:rsidR="006A3F98" w:rsidRPr="006A3F98">
        <w:t>oting</w:t>
      </w:r>
      <w:r w:rsidR="00484769">
        <w:t xml:space="preserve"> that PBAC would need to accept </w:t>
      </w:r>
      <w:r w:rsidR="001C4363">
        <w:t xml:space="preserve">the </w:t>
      </w:r>
      <w:r w:rsidR="00484769">
        <w:t xml:space="preserve">evidence of </w:t>
      </w:r>
      <w:r w:rsidR="006A3F98" w:rsidRPr="006A3F98">
        <w:t>some clinical benefit</w:t>
      </w:r>
      <w:r w:rsidR="001C4363">
        <w:t xml:space="preserve"> and non-inferior safety in dual therapy over monotherapy</w:t>
      </w:r>
      <w:r w:rsidR="006A3F98" w:rsidRPr="006A3F98">
        <w:t xml:space="preserve">, as </w:t>
      </w:r>
      <w:r w:rsidR="001C4363">
        <w:t xml:space="preserve">dual </w:t>
      </w:r>
      <w:r w:rsidR="006A3F98" w:rsidRPr="006A3F98">
        <w:t>therapy would result in an additional net cost to the PBS.</w:t>
      </w:r>
    </w:p>
    <w:p w14:paraId="6EF92046" w14:textId="77777777" w:rsidR="001960CE" w:rsidRPr="001960CE" w:rsidRDefault="001960CE" w:rsidP="001960CE">
      <w:pPr>
        <w:pStyle w:val="Heading2"/>
        <w:jc w:val="left"/>
      </w:pPr>
      <w:bookmarkStart w:id="138" w:name="_Toc509915192"/>
      <w:bookmarkStart w:id="139" w:name="_Toc526944015"/>
      <w:r w:rsidRPr="001960CE">
        <w:t>PAH Review Options</w:t>
      </w:r>
      <w:bookmarkEnd w:id="138"/>
      <w:bookmarkEnd w:id="139"/>
    </w:p>
    <w:p w14:paraId="6657FFF5" w14:textId="77777777" w:rsidR="001960CE" w:rsidRPr="005B6C8E" w:rsidRDefault="001960CE" w:rsidP="001960CE">
      <w:pPr>
        <w:keepNext/>
        <w:keepLines/>
        <w:jc w:val="left"/>
        <w:rPr>
          <w:rFonts w:eastAsia="Calibri"/>
          <w:szCs w:val="24"/>
        </w:rPr>
      </w:pPr>
      <w:r w:rsidRPr="005B6C8E">
        <w:rPr>
          <w:rFonts w:eastAsia="Calibri"/>
          <w:szCs w:val="24"/>
        </w:rPr>
        <w:t xml:space="preserve">The Reference Group has considered the evidence review and the stakeholder input and proposes the following options for PBAC to consider. DUSC and ESC </w:t>
      </w:r>
      <w:r w:rsidR="001C4363">
        <w:rPr>
          <w:rFonts w:eastAsia="Calibri"/>
          <w:szCs w:val="24"/>
        </w:rPr>
        <w:t>has</w:t>
      </w:r>
      <w:r w:rsidRPr="005B6C8E">
        <w:rPr>
          <w:rFonts w:eastAsia="Calibri"/>
          <w:szCs w:val="24"/>
        </w:rPr>
        <w:t xml:space="preserve"> also provide</w:t>
      </w:r>
      <w:r w:rsidR="001C4363">
        <w:rPr>
          <w:rFonts w:eastAsia="Calibri"/>
          <w:szCs w:val="24"/>
        </w:rPr>
        <w:t>d</w:t>
      </w:r>
      <w:r w:rsidRPr="005B6C8E">
        <w:rPr>
          <w:rFonts w:eastAsia="Calibri"/>
          <w:szCs w:val="24"/>
        </w:rPr>
        <w:t xml:space="preserve"> advice on the following review options.</w:t>
      </w:r>
    </w:p>
    <w:p w14:paraId="590354CF" w14:textId="77777777" w:rsidR="001960CE" w:rsidRPr="005B6C8E" w:rsidRDefault="001960CE" w:rsidP="001960CE">
      <w:pPr>
        <w:keepNext/>
        <w:keepLines/>
        <w:jc w:val="left"/>
        <w:rPr>
          <w:rFonts w:eastAsia="Calibri"/>
          <w:szCs w:val="24"/>
        </w:rPr>
      </w:pPr>
      <w:r w:rsidRPr="005B6C8E">
        <w:rPr>
          <w:rFonts w:eastAsia="Calibri"/>
          <w:szCs w:val="24"/>
        </w:rPr>
        <w:t xml:space="preserve">The Reference Group noted that any alteration to the restrictions surrounding the PBS listing of PAH targeted medicines would need to consider the </w:t>
      </w:r>
      <w:r w:rsidR="00E950F8">
        <w:rPr>
          <w:rFonts w:eastAsia="Calibri"/>
          <w:szCs w:val="24"/>
        </w:rPr>
        <w:t>financial impact on the PBS</w:t>
      </w:r>
      <w:r w:rsidRPr="005B6C8E">
        <w:rPr>
          <w:rFonts w:eastAsia="Calibri"/>
          <w:szCs w:val="24"/>
        </w:rPr>
        <w:t>.</w:t>
      </w:r>
    </w:p>
    <w:p w14:paraId="6FD97E3C" w14:textId="77777777" w:rsidR="001960CE" w:rsidRPr="001960CE" w:rsidRDefault="001960CE" w:rsidP="001960CE">
      <w:pPr>
        <w:pStyle w:val="Heading3"/>
      </w:pPr>
      <w:bookmarkStart w:id="140" w:name="_Toc526944016"/>
      <w:r w:rsidRPr="001960CE">
        <w:t>PBS options</w:t>
      </w:r>
      <w:bookmarkEnd w:id="140"/>
    </w:p>
    <w:p w14:paraId="05CCB95D" w14:textId="77777777" w:rsidR="001960CE" w:rsidRPr="001960CE" w:rsidRDefault="001960CE" w:rsidP="001960CE">
      <w:pPr>
        <w:pStyle w:val="Heading4"/>
      </w:pPr>
      <w:r w:rsidRPr="001960CE">
        <w:t xml:space="preserve">Option </w:t>
      </w:r>
      <w:r w:rsidR="001C4363" w:rsidRPr="001960CE">
        <w:t>1</w:t>
      </w:r>
      <w:r w:rsidR="00224232">
        <w:t>:</w:t>
      </w:r>
      <w:r w:rsidRPr="001960CE">
        <w:t xml:space="preserve"> Extend PBS restrictions for ERA’s, PDE-5 inhibitors and sGC stimulators to include monotherapy for patients presenting with WH</w:t>
      </w:r>
      <w:r w:rsidR="00F836D6">
        <w:t>O Functional Class II symptoms.</w:t>
      </w:r>
    </w:p>
    <w:p w14:paraId="19EFD81D" w14:textId="77777777" w:rsidR="001960CE" w:rsidRPr="005B6C8E" w:rsidRDefault="001960CE" w:rsidP="001960CE">
      <w:pPr>
        <w:jc w:val="left"/>
        <w:rPr>
          <w:b/>
          <w:szCs w:val="24"/>
        </w:rPr>
      </w:pPr>
      <w:r w:rsidRPr="005B6C8E">
        <w:rPr>
          <w:szCs w:val="24"/>
          <w:u w:val="single"/>
        </w:rPr>
        <w:t>Current TGA</w:t>
      </w:r>
      <w:r>
        <w:rPr>
          <w:szCs w:val="24"/>
          <w:u w:val="single"/>
        </w:rPr>
        <w:t xml:space="preserve"> registration</w:t>
      </w:r>
      <w:r w:rsidRPr="005B6C8E">
        <w:rPr>
          <w:szCs w:val="24"/>
          <w:u w:val="single"/>
        </w:rPr>
        <w:t xml:space="preserve">/PBS restrictions for PAH medicines in WHO FC </w:t>
      </w:r>
      <w:r w:rsidR="00F836D6">
        <w:rPr>
          <w:szCs w:val="24"/>
          <w:u w:val="single"/>
        </w:rPr>
        <w:t>II</w:t>
      </w:r>
    </w:p>
    <w:p w14:paraId="21429446" w14:textId="77777777" w:rsidR="001960CE" w:rsidRPr="005B6C8E" w:rsidRDefault="001960CE" w:rsidP="001960CE">
      <w:pPr>
        <w:keepNext/>
        <w:keepLines/>
        <w:jc w:val="left"/>
        <w:rPr>
          <w:szCs w:val="24"/>
        </w:rPr>
      </w:pPr>
      <w:r w:rsidRPr="005B6C8E">
        <w:rPr>
          <w:szCs w:val="24"/>
        </w:rPr>
        <w:t>The following PBS subsidised PAH medicines</w:t>
      </w:r>
      <w:r>
        <w:rPr>
          <w:szCs w:val="24"/>
        </w:rPr>
        <w:t xml:space="preserve"> include</w:t>
      </w:r>
      <w:r w:rsidRPr="005B6C8E">
        <w:rPr>
          <w:szCs w:val="24"/>
        </w:rPr>
        <w:t xml:space="preserve">: ERAs (macitentan/ambrisentan/bosentan), PDE-5 inhibitors (sildenafil/tadalafil) and sGC </w:t>
      </w:r>
      <w:r>
        <w:rPr>
          <w:szCs w:val="24"/>
        </w:rPr>
        <w:t>stimulators</w:t>
      </w:r>
      <w:r w:rsidRPr="005B6C8E">
        <w:rPr>
          <w:szCs w:val="24"/>
        </w:rPr>
        <w:t xml:space="preserve"> (riociguat)</w:t>
      </w:r>
      <w:r w:rsidR="001C4363">
        <w:rPr>
          <w:szCs w:val="24"/>
        </w:rPr>
        <w:t>. All</w:t>
      </w:r>
      <w:r w:rsidRPr="005B6C8E">
        <w:rPr>
          <w:szCs w:val="24"/>
        </w:rPr>
        <w:t xml:space="preserve"> are TGA registered for use in WHO Functional Class II PAH, however they are not PBS subsidised for use in WHO FC II. The clinical criteria from the PBS restrictions for these medicines referencing WHO Functional Class</w:t>
      </w:r>
      <w:r>
        <w:rPr>
          <w:szCs w:val="24"/>
        </w:rPr>
        <w:t xml:space="preserve"> </w:t>
      </w:r>
      <w:r w:rsidR="001C4363">
        <w:rPr>
          <w:szCs w:val="24"/>
        </w:rPr>
        <w:t>reads</w:t>
      </w:r>
      <w:r>
        <w:rPr>
          <w:szCs w:val="24"/>
        </w:rPr>
        <w:t>:</w:t>
      </w:r>
    </w:p>
    <w:p w14:paraId="123EFCB3" w14:textId="77777777" w:rsidR="001960CE" w:rsidRPr="005B6C8E" w:rsidRDefault="001960CE" w:rsidP="001960CE">
      <w:pPr>
        <w:pStyle w:val="NormalWeb"/>
        <w:widowControl w:val="0"/>
        <w:numPr>
          <w:ilvl w:val="0"/>
          <w:numId w:val="39"/>
        </w:numPr>
        <w:adjustRightInd w:val="0"/>
        <w:spacing w:before="0" w:beforeAutospacing="0" w:after="150" w:afterAutospacing="0" w:line="300" w:lineRule="atLeast"/>
        <w:jc w:val="left"/>
        <w:textAlignment w:val="baseline"/>
        <w:rPr>
          <w:rFonts w:ascii="Calibri" w:hAnsi="Calibri" w:cs="Arial"/>
          <w:i/>
        </w:rPr>
      </w:pPr>
      <w:r w:rsidRPr="005B6C8E">
        <w:rPr>
          <w:rFonts w:ascii="Calibri" w:hAnsi="Calibri" w:cs="Arial"/>
          <w:i/>
        </w:rPr>
        <w:t xml:space="preserve">Patient must have WHO Functional Class III idiopathic pulmonary arterial hypertension (iPAH) or anorexigen-induced PAH or hereditable PAH; OR </w:t>
      </w:r>
    </w:p>
    <w:p w14:paraId="15712C82" w14:textId="77777777" w:rsidR="001960CE" w:rsidRPr="005B6C8E" w:rsidRDefault="001960CE" w:rsidP="001960CE">
      <w:pPr>
        <w:pStyle w:val="NormalWeb"/>
        <w:widowControl w:val="0"/>
        <w:numPr>
          <w:ilvl w:val="0"/>
          <w:numId w:val="40"/>
        </w:numPr>
        <w:adjustRightInd w:val="0"/>
        <w:spacing w:before="0" w:beforeAutospacing="0" w:after="150" w:afterAutospacing="0" w:line="300" w:lineRule="atLeast"/>
        <w:jc w:val="left"/>
        <w:textAlignment w:val="baseline"/>
        <w:rPr>
          <w:rFonts w:ascii="Calibri" w:hAnsi="Calibri" w:cs="Arial"/>
          <w:i/>
        </w:rPr>
      </w:pPr>
      <w:r w:rsidRPr="005B6C8E">
        <w:rPr>
          <w:rFonts w:ascii="Calibri" w:hAnsi="Calibri" w:cs="Arial"/>
          <w:i/>
        </w:rPr>
        <w:lastRenderedPageBreak/>
        <w:t>Patient must have WHO Functional Class III pulmonary arterial hypertension secondary to connective tissue disease</w:t>
      </w:r>
    </w:p>
    <w:p w14:paraId="31C523A9" w14:textId="77777777" w:rsidR="001960CE" w:rsidRPr="005B6C8E" w:rsidRDefault="001960CE" w:rsidP="001960CE">
      <w:pPr>
        <w:spacing w:before="120"/>
        <w:ind w:left="360" w:hanging="360"/>
        <w:jc w:val="left"/>
        <w:rPr>
          <w:szCs w:val="24"/>
          <w:u w:val="single"/>
        </w:rPr>
      </w:pPr>
      <w:r w:rsidRPr="005B6C8E">
        <w:rPr>
          <w:szCs w:val="24"/>
          <w:u w:val="single"/>
        </w:rPr>
        <w:t>Issues for consideration</w:t>
      </w:r>
    </w:p>
    <w:p w14:paraId="72F5D937" w14:textId="77777777" w:rsidR="001960CE" w:rsidRPr="005B6C8E" w:rsidRDefault="001960CE" w:rsidP="00CF470D">
      <w:pPr>
        <w:widowControl w:val="0"/>
        <w:numPr>
          <w:ilvl w:val="0"/>
          <w:numId w:val="54"/>
        </w:numPr>
        <w:adjustRightInd w:val="0"/>
        <w:ind w:left="426" w:hanging="426"/>
        <w:jc w:val="left"/>
        <w:textAlignment w:val="baseline"/>
      </w:pPr>
      <w:r w:rsidRPr="005B6C8E">
        <w:rPr>
          <w:rFonts w:cs="Arial"/>
          <w:color w:val="222222"/>
        </w:rPr>
        <w:t xml:space="preserve">The current PBS restrictions do not align with clinical guidelines, </w:t>
      </w:r>
      <w:r w:rsidRPr="005B6C8E">
        <w:t xml:space="preserve">limiting the use of PBS subsidised PAH medicines to patients in WHO FC III-IV at the time they initiate treatment. The 2015 ERS/ERC guidelines and the CHEST guideline both recommend monotherapy for patients in WHO FC II with oral medicines (PDE-5 inhibitors, ERAs and sGC </w:t>
      </w:r>
      <w:r>
        <w:t>stimulators).</w:t>
      </w:r>
    </w:p>
    <w:p w14:paraId="5C9B167A" w14:textId="77777777" w:rsidR="001960CE" w:rsidRPr="00241F40" w:rsidRDefault="001960CE" w:rsidP="00CF470D">
      <w:pPr>
        <w:widowControl w:val="0"/>
        <w:numPr>
          <w:ilvl w:val="0"/>
          <w:numId w:val="54"/>
        </w:numPr>
        <w:adjustRightInd w:val="0"/>
        <w:ind w:left="426" w:hanging="426"/>
        <w:jc w:val="left"/>
        <w:textAlignment w:val="baseline"/>
        <w:rPr>
          <w:rFonts w:eastAsia="Calibri"/>
        </w:rPr>
      </w:pPr>
      <w:r>
        <w:rPr>
          <w:szCs w:val="24"/>
        </w:rPr>
        <w:t>These c</w:t>
      </w:r>
      <w:r w:rsidRPr="005B6C8E">
        <w:rPr>
          <w:szCs w:val="24"/>
        </w:rPr>
        <w:t xml:space="preserve">linical guidelines consider an assessment of a patient’s risk of disease </w:t>
      </w:r>
      <w:r w:rsidRPr="005B6C8E">
        <w:rPr>
          <w:rFonts w:eastAsia="Calibri"/>
          <w:szCs w:val="24"/>
        </w:rPr>
        <w:t xml:space="preserve">deterioration or prognosis as key </w:t>
      </w:r>
      <w:r>
        <w:rPr>
          <w:rFonts w:eastAsia="Calibri"/>
          <w:szCs w:val="24"/>
        </w:rPr>
        <w:t>to the</w:t>
      </w:r>
      <w:r w:rsidRPr="005B6C8E">
        <w:rPr>
          <w:rFonts w:eastAsia="Calibri"/>
          <w:szCs w:val="24"/>
        </w:rPr>
        <w:t xml:space="preserve"> determination of </w:t>
      </w:r>
      <w:r>
        <w:rPr>
          <w:rFonts w:eastAsia="Calibri"/>
          <w:szCs w:val="24"/>
        </w:rPr>
        <w:t xml:space="preserve">initial pharmacotherapy. However, </w:t>
      </w:r>
      <w:r w:rsidRPr="005B6C8E">
        <w:rPr>
          <w:rFonts w:eastAsia="Calibri"/>
          <w:szCs w:val="24"/>
        </w:rPr>
        <w:t>PBS restrictions</w:t>
      </w:r>
      <w:r>
        <w:rPr>
          <w:rFonts w:eastAsia="Calibri"/>
          <w:szCs w:val="24"/>
        </w:rPr>
        <w:t>,</w:t>
      </w:r>
      <w:r w:rsidRPr="005B6C8E">
        <w:rPr>
          <w:rFonts w:eastAsia="Calibri"/>
          <w:szCs w:val="24"/>
        </w:rPr>
        <w:t xml:space="preserve"> TGA indications</w:t>
      </w:r>
      <w:r>
        <w:rPr>
          <w:rFonts w:eastAsia="Calibri"/>
          <w:szCs w:val="24"/>
        </w:rPr>
        <w:t xml:space="preserve"> and trial populations</w:t>
      </w:r>
      <w:r w:rsidRPr="005B6C8E">
        <w:rPr>
          <w:rFonts w:eastAsia="Calibri"/>
          <w:szCs w:val="24"/>
        </w:rPr>
        <w:t xml:space="preserve"> are silent on risk. </w:t>
      </w:r>
      <w:r>
        <w:rPr>
          <w:rFonts w:eastAsia="Calibri"/>
          <w:szCs w:val="24"/>
        </w:rPr>
        <w:t xml:space="preserve">Patients in </w:t>
      </w:r>
      <w:r w:rsidRPr="005B6C8E">
        <w:rPr>
          <w:rFonts w:eastAsia="Calibri"/>
          <w:szCs w:val="24"/>
        </w:rPr>
        <w:t xml:space="preserve">WHO FC II PAH </w:t>
      </w:r>
      <w:r>
        <w:rPr>
          <w:rFonts w:eastAsia="Calibri"/>
          <w:szCs w:val="24"/>
        </w:rPr>
        <w:t>may be</w:t>
      </w:r>
      <w:r w:rsidRPr="005B6C8E">
        <w:rPr>
          <w:rFonts w:eastAsia="Calibri"/>
          <w:szCs w:val="24"/>
        </w:rPr>
        <w:t xml:space="preserve"> considered</w:t>
      </w:r>
      <w:r>
        <w:rPr>
          <w:rFonts w:eastAsia="Calibri"/>
          <w:szCs w:val="24"/>
        </w:rPr>
        <w:t xml:space="preserve"> to be at </w:t>
      </w:r>
      <w:r w:rsidRPr="005B6C8E">
        <w:rPr>
          <w:rFonts w:eastAsia="Calibri"/>
          <w:szCs w:val="24"/>
        </w:rPr>
        <w:t xml:space="preserve">low </w:t>
      </w:r>
      <w:r>
        <w:rPr>
          <w:rFonts w:eastAsia="Calibri"/>
          <w:szCs w:val="24"/>
        </w:rPr>
        <w:t xml:space="preserve">or </w:t>
      </w:r>
      <w:r w:rsidRPr="005B6C8E">
        <w:rPr>
          <w:rFonts w:eastAsia="Calibri"/>
          <w:szCs w:val="24"/>
        </w:rPr>
        <w:t xml:space="preserve">intermediate risk </w:t>
      </w:r>
      <w:r>
        <w:rPr>
          <w:rFonts w:eastAsia="Calibri"/>
          <w:szCs w:val="24"/>
        </w:rPr>
        <w:t>and ERS/ERC clinical guidelines support initial monotherapy for low risk treatment naïve patients.</w:t>
      </w:r>
    </w:p>
    <w:p w14:paraId="44BA3E21" w14:textId="77777777" w:rsidR="001960CE" w:rsidRPr="008412EB" w:rsidRDefault="001960CE" w:rsidP="00CF470D">
      <w:pPr>
        <w:widowControl w:val="0"/>
        <w:numPr>
          <w:ilvl w:val="0"/>
          <w:numId w:val="54"/>
        </w:numPr>
        <w:adjustRightInd w:val="0"/>
        <w:ind w:left="426" w:hanging="426"/>
        <w:jc w:val="left"/>
        <w:textAlignment w:val="baseline"/>
        <w:rPr>
          <w:rFonts w:eastAsia="Calibri"/>
        </w:rPr>
      </w:pPr>
      <w:r>
        <w:rPr>
          <w:rFonts w:eastAsia="Calibri"/>
          <w:szCs w:val="24"/>
        </w:rPr>
        <w:t>T</w:t>
      </w:r>
      <w:r w:rsidRPr="005B6C8E">
        <w:rPr>
          <w:rFonts w:eastAsia="Calibri"/>
          <w:szCs w:val="24"/>
        </w:rPr>
        <w:t xml:space="preserve">here is no single set of criteria universally recommended to assess PAH risk </w:t>
      </w:r>
      <w:r>
        <w:rPr>
          <w:rFonts w:eastAsia="Calibri"/>
          <w:szCs w:val="24"/>
        </w:rPr>
        <w:t>of disease deterioration</w:t>
      </w:r>
      <w:r w:rsidRPr="005B6C8E">
        <w:rPr>
          <w:rFonts w:eastAsia="Calibri"/>
          <w:szCs w:val="24"/>
        </w:rPr>
        <w:t>.</w:t>
      </w:r>
    </w:p>
    <w:p w14:paraId="37EE62D6" w14:textId="77777777" w:rsidR="001960CE" w:rsidRPr="00267078" w:rsidRDefault="001960CE" w:rsidP="00CF470D">
      <w:pPr>
        <w:widowControl w:val="0"/>
        <w:numPr>
          <w:ilvl w:val="0"/>
          <w:numId w:val="54"/>
        </w:numPr>
        <w:adjustRightInd w:val="0"/>
        <w:ind w:left="426" w:hanging="426"/>
        <w:jc w:val="left"/>
        <w:textAlignment w:val="baseline"/>
        <w:rPr>
          <w:rFonts w:eastAsia="Calibri"/>
        </w:rPr>
      </w:pPr>
      <w:r w:rsidRPr="00267078">
        <w:rPr>
          <w:rFonts w:eastAsia="Calibri"/>
        </w:rPr>
        <w:t xml:space="preserve">The </w:t>
      </w:r>
      <w:r w:rsidRPr="00CF470D">
        <w:t>systematic</w:t>
      </w:r>
      <w:r w:rsidRPr="00267078">
        <w:rPr>
          <w:rFonts w:eastAsia="Calibri"/>
        </w:rPr>
        <w:t xml:space="preserve"> review conducted in TOR 4 identified the following evidence to support the use of PAH medicines in patients presenting in WHO FC </w:t>
      </w:r>
      <w:r w:rsidR="00F836D6">
        <w:rPr>
          <w:rFonts w:eastAsia="Calibri"/>
        </w:rPr>
        <w:t xml:space="preserve">I </w:t>
      </w:r>
      <w:r w:rsidRPr="00267078">
        <w:rPr>
          <w:rFonts w:eastAsia="Calibri"/>
        </w:rPr>
        <w:t xml:space="preserve">or </w:t>
      </w:r>
      <w:r w:rsidR="00F836D6">
        <w:rPr>
          <w:rFonts w:eastAsia="Calibri"/>
        </w:rPr>
        <w:t>II</w:t>
      </w:r>
      <w:r w:rsidRPr="00267078">
        <w:rPr>
          <w:rFonts w:eastAsia="Calibri"/>
        </w:rPr>
        <w:t>:</w:t>
      </w:r>
    </w:p>
    <w:p w14:paraId="4F528654" w14:textId="77777777" w:rsidR="001960CE" w:rsidRPr="00267078" w:rsidRDefault="001960CE" w:rsidP="006B5AB0">
      <w:pPr>
        <w:pStyle w:val="ListParagraph"/>
        <w:widowControl w:val="0"/>
        <w:numPr>
          <w:ilvl w:val="0"/>
          <w:numId w:val="44"/>
        </w:numPr>
        <w:adjustRightInd w:val="0"/>
        <w:ind w:left="851"/>
        <w:contextualSpacing w:val="0"/>
        <w:jc w:val="left"/>
        <w:textAlignment w:val="baseline"/>
      </w:pPr>
      <w:r w:rsidRPr="00267078">
        <w:rPr>
          <w:szCs w:val="24"/>
        </w:rPr>
        <w:t xml:space="preserve">Four RCTs compared </w:t>
      </w:r>
      <w:r w:rsidRPr="00267078">
        <w:t>ERAs to placebo and all reported ERAs to significantly reduce clinical worsening</w:t>
      </w:r>
      <w:r>
        <w:t>. T</w:t>
      </w:r>
      <w:r w:rsidRPr="00267078">
        <w:t xml:space="preserve">wo trials reported improvement in WHO FC following treatment, and two of three trials reported significant improvements in 6MWD. </w:t>
      </w:r>
      <w:r w:rsidRPr="00013D64">
        <w:t>Two trials found no significant difference in all</w:t>
      </w:r>
      <w:r w:rsidR="00D96719">
        <w:t>-</w:t>
      </w:r>
      <w:r w:rsidRPr="00013D64">
        <w:t>cause mortality when treated with bosentan or macitentan compared to placebo</w:t>
      </w:r>
      <w:r>
        <w:t>, however these trials may not have been powered to detect a mortality difference.</w:t>
      </w:r>
    </w:p>
    <w:p w14:paraId="2BF83582" w14:textId="77777777" w:rsidR="001960CE" w:rsidRPr="00267078" w:rsidRDefault="001960CE" w:rsidP="00CF470D">
      <w:pPr>
        <w:pStyle w:val="ListParagraph"/>
        <w:widowControl w:val="0"/>
        <w:numPr>
          <w:ilvl w:val="0"/>
          <w:numId w:val="44"/>
        </w:numPr>
        <w:adjustRightInd w:val="0"/>
        <w:ind w:left="851"/>
        <w:contextualSpacing w:val="0"/>
        <w:jc w:val="left"/>
        <w:textAlignment w:val="baseline"/>
      </w:pPr>
      <w:r w:rsidRPr="00267078">
        <w:t xml:space="preserve">Three trials and two cohort studies compared PDE-5 inhibitor monotherapy to placebo </w:t>
      </w:r>
      <w:r w:rsidRPr="006B5AB0">
        <w:rPr>
          <w:szCs w:val="24"/>
        </w:rPr>
        <w:t>in</w:t>
      </w:r>
      <w:r w:rsidRPr="00267078">
        <w:t xml:space="preserve"> WHO FC </w:t>
      </w:r>
      <w:r w:rsidR="00F836D6">
        <w:t>II</w:t>
      </w:r>
      <w:r w:rsidRPr="00267078">
        <w:t xml:space="preserve"> and all studies were </w:t>
      </w:r>
      <w:r>
        <w:t>assessed as</w:t>
      </w:r>
      <w:r w:rsidRPr="00267078">
        <w:t xml:space="preserve"> low quality. There were no statistically significant improvements in WHO FC or mortality. Two studies reported improvements in 6MWD, and for one study this differe</w:t>
      </w:r>
      <w:r w:rsidR="00F836D6">
        <w:t>nce was clinically significant.</w:t>
      </w:r>
    </w:p>
    <w:p w14:paraId="6C2992C4" w14:textId="77777777" w:rsidR="001960CE" w:rsidRPr="00731E4D" w:rsidRDefault="001960CE" w:rsidP="00CF470D">
      <w:pPr>
        <w:pStyle w:val="ListParagraph"/>
        <w:widowControl w:val="0"/>
        <w:numPr>
          <w:ilvl w:val="0"/>
          <w:numId w:val="44"/>
        </w:numPr>
        <w:adjustRightInd w:val="0"/>
        <w:ind w:left="851"/>
        <w:contextualSpacing w:val="0"/>
        <w:jc w:val="left"/>
        <w:textAlignment w:val="baseline"/>
      </w:pPr>
      <w:r w:rsidRPr="006B5AB0">
        <w:rPr>
          <w:szCs w:val="24"/>
        </w:rPr>
        <w:t>One</w:t>
      </w:r>
      <w:r w:rsidRPr="00731E4D">
        <w:t xml:space="preserve"> RCT compared the use of sGC stimulator medication to placebo in patients with WHO FC I/II PAH. </w:t>
      </w:r>
      <w:r w:rsidR="00C07794">
        <w:rPr>
          <w:noProof/>
          <w:color w:val="000000"/>
          <w:highlight w:val="black"/>
        </w:rPr>
        <w:t>''''''' ''''''' '''''''''''''''''' ''''' '' ''''''''''''''' '''' '''''''''''''''''' '''''''''''' ''''''''' ''''''' ''''' '''''''''''''''''' ''''''''''''''''''' '''' '''''''''''''' '''''''''''''''''''''' ''''''''''''''''''' '''''''''''''''''''''''''''''' '''' ''''''''''''' '''' '''''''''' ''''' '''''''''''' ''''''''' '''''''''''''''' ''''''''''''''''''' '''''''''''''''''''''''''''''' '''' '''''''''''' ''''''' '''''''''''''''''''''''''''''' ''''''''''''''''''''' '''' '''''''''' ''''''''''''' '''''''' ''''''' '''''''''''''''''''</w:t>
      </w:r>
    </w:p>
    <w:p w14:paraId="11F0618B" w14:textId="77777777" w:rsidR="001960CE" w:rsidRPr="00013D64" w:rsidRDefault="001960CE" w:rsidP="00CF470D">
      <w:pPr>
        <w:widowControl w:val="0"/>
        <w:numPr>
          <w:ilvl w:val="0"/>
          <w:numId w:val="54"/>
        </w:numPr>
        <w:adjustRightInd w:val="0"/>
        <w:ind w:left="426" w:hanging="426"/>
        <w:jc w:val="left"/>
        <w:textAlignment w:val="baseline"/>
        <w:rPr>
          <w:rFonts w:eastAsia="Calibri"/>
          <w:szCs w:val="24"/>
        </w:rPr>
      </w:pPr>
      <w:r w:rsidRPr="00013D64">
        <w:rPr>
          <w:rFonts w:eastAsia="Calibri"/>
          <w:szCs w:val="24"/>
        </w:rPr>
        <w:t xml:space="preserve">There was </w:t>
      </w:r>
      <w:r w:rsidRPr="00CF470D">
        <w:t>limited</w:t>
      </w:r>
      <w:r w:rsidRPr="00013D64">
        <w:rPr>
          <w:rFonts w:eastAsia="Calibri"/>
          <w:szCs w:val="24"/>
        </w:rPr>
        <w:t xml:space="preserve"> evidence available on the comparative safety of monotherapy with PAH medicines versus placebo for WHO FC l or ll.</w:t>
      </w:r>
    </w:p>
    <w:p w14:paraId="4DDABA2F" w14:textId="77777777" w:rsidR="001960CE" w:rsidRPr="00CA69F2" w:rsidRDefault="00D96719" w:rsidP="006B5AB0">
      <w:pPr>
        <w:widowControl w:val="0"/>
        <w:numPr>
          <w:ilvl w:val="0"/>
          <w:numId w:val="54"/>
        </w:numPr>
        <w:adjustRightInd w:val="0"/>
        <w:ind w:left="426" w:hanging="426"/>
        <w:jc w:val="left"/>
        <w:textAlignment w:val="baseline"/>
      </w:pPr>
      <w:r>
        <w:lastRenderedPageBreak/>
        <w:t>O</w:t>
      </w:r>
      <w:r w:rsidR="001960CE" w:rsidRPr="00CA69F2">
        <w:t>ption</w:t>
      </w:r>
      <w:r>
        <w:t xml:space="preserve"> 1</w:t>
      </w:r>
      <w:r w:rsidR="001960CE" w:rsidRPr="00CA69F2">
        <w:t xml:space="preserve"> would increase the number of people eligible for PBS-listed PAH medicines, thereby impacting the cost-effectiveness that was originally assessed by the PBAC and the total cost to the PBS.</w:t>
      </w:r>
    </w:p>
    <w:p w14:paraId="5B2568C0" w14:textId="77777777" w:rsidR="001960CE" w:rsidRDefault="001960CE" w:rsidP="001960CE">
      <w:pPr>
        <w:widowControl w:val="0"/>
        <w:numPr>
          <w:ilvl w:val="0"/>
          <w:numId w:val="54"/>
        </w:numPr>
        <w:adjustRightInd w:val="0"/>
        <w:ind w:left="426" w:hanging="426"/>
        <w:jc w:val="left"/>
        <w:textAlignment w:val="baseline"/>
      </w:pPr>
      <w:r w:rsidRPr="005935A9">
        <w:t>To date, the PBAC has not had the opportunity to consider a submission from any industry sponsor to consider the effectiveness and cost-effectiveness of PAH targeted medicines in WHO FC II patients.</w:t>
      </w:r>
    </w:p>
    <w:p w14:paraId="4530791F" w14:textId="77777777" w:rsidR="001960CE" w:rsidRPr="005935A9" w:rsidRDefault="001960CE" w:rsidP="001960CE">
      <w:pPr>
        <w:widowControl w:val="0"/>
        <w:numPr>
          <w:ilvl w:val="0"/>
          <w:numId w:val="54"/>
        </w:numPr>
        <w:adjustRightInd w:val="0"/>
        <w:ind w:left="426" w:hanging="426"/>
        <w:jc w:val="left"/>
        <w:textAlignment w:val="baseline"/>
      </w:pPr>
      <w:r>
        <w:t>According to the registry data approximately 20% of patients were classified as having WHO FC II symptoms at time of diagnosis. The majority of patients presented in WHO FC III.</w:t>
      </w:r>
    </w:p>
    <w:p w14:paraId="6FA37F43" w14:textId="77777777" w:rsidR="001960CE" w:rsidRPr="005B6C8E" w:rsidRDefault="001960CE" w:rsidP="001960CE">
      <w:pPr>
        <w:spacing w:before="120"/>
        <w:ind w:left="360" w:hanging="360"/>
        <w:jc w:val="left"/>
        <w:rPr>
          <w:szCs w:val="24"/>
          <w:u w:val="single"/>
        </w:rPr>
      </w:pPr>
      <w:r w:rsidRPr="005B6C8E">
        <w:rPr>
          <w:szCs w:val="24"/>
          <w:u w:val="single"/>
        </w:rPr>
        <w:t>Stakeholder views</w:t>
      </w:r>
    </w:p>
    <w:p w14:paraId="6E5627D8" w14:textId="77777777" w:rsidR="001960CE" w:rsidRDefault="001960CE" w:rsidP="001960CE">
      <w:pPr>
        <w:widowControl w:val="0"/>
        <w:numPr>
          <w:ilvl w:val="0"/>
          <w:numId w:val="54"/>
        </w:numPr>
        <w:adjustRightInd w:val="0"/>
        <w:ind w:left="426" w:hanging="426"/>
        <w:jc w:val="left"/>
        <w:textAlignment w:val="baseline"/>
      </w:pPr>
      <w:r w:rsidRPr="005935A9">
        <w:t>There is a demand from patients and prescribers for access to PBS subsidised PAH medicines to treat WHO FC II PAH.</w:t>
      </w:r>
    </w:p>
    <w:p w14:paraId="7A438912" w14:textId="77777777" w:rsidR="002979B2" w:rsidRPr="00502C90" w:rsidRDefault="002979B2" w:rsidP="00502C90">
      <w:pPr>
        <w:spacing w:before="120"/>
        <w:ind w:left="360" w:hanging="360"/>
        <w:jc w:val="left"/>
        <w:rPr>
          <w:szCs w:val="24"/>
          <w:u w:val="single"/>
        </w:rPr>
      </w:pPr>
      <w:r w:rsidRPr="00502C90">
        <w:rPr>
          <w:szCs w:val="24"/>
          <w:u w:val="single"/>
        </w:rPr>
        <w:t>Reference Group views</w:t>
      </w:r>
    </w:p>
    <w:p w14:paraId="0BEE5E45" w14:textId="77777777" w:rsidR="00CE43D0" w:rsidRDefault="00CE43D0" w:rsidP="00502C90">
      <w:pPr>
        <w:widowControl w:val="0"/>
        <w:numPr>
          <w:ilvl w:val="0"/>
          <w:numId w:val="54"/>
        </w:numPr>
        <w:adjustRightInd w:val="0"/>
        <w:ind w:left="426" w:hanging="426"/>
        <w:jc w:val="left"/>
        <w:textAlignment w:val="baseline"/>
      </w:pPr>
      <w:r>
        <w:t>The Reference Group supported Option 1. The Reference Group was not supportive of the suggestion to assess cost-effectiveness in this population. The modelling for this disease has been highly uncertain in the past and is unlikely to be significantly different for patients presenting in WHO FC II.</w:t>
      </w:r>
    </w:p>
    <w:p w14:paraId="52A331BD" w14:textId="77777777" w:rsidR="00CE43D0" w:rsidRDefault="00CE43D0" w:rsidP="00502C90">
      <w:pPr>
        <w:widowControl w:val="0"/>
        <w:numPr>
          <w:ilvl w:val="0"/>
          <w:numId w:val="54"/>
        </w:numPr>
        <w:adjustRightInd w:val="0"/>
        <w:ind w:left="426" w:hanging="426"/>
        <w:jc w:val="left"/>
        <w:textAlignment w:val="baseline"/>
      </w:pPr>
      <w:r>
        <w:t xml:space="preserve">There is similar evidence of benefit in WHO FCII and FCIII from the same trials (but different sub-groups) for ERAs (EARLY, ARIES-1, ARIES-2, SERAPHIN), PDE-5 inhibitors (PHIRST, SUPER-1) and sGC stimulators (PATENT-1). </w:t>
      </w:r>
      <w:r w:rsidR="00AA35AB">
        <w:t>However,</w:t>
      </w:r>
      <w:r>
        <w:t xml:space="preserve"> there was little trial evidence to assess the comparative safety of PAH medicines in FCII. Despite this, the Reference Group considered the safety profile in FCII would be similar to patients treated in FC III/IV. In addition, the close monitoring of these patients in clinical practice would ensure that any adverse events are identified and mana</w:t>
      </w:r>
      <w:r w:rsidR="00F836D6">
        <w:t>ged appropriately.</w:t>
      </w:r>
    </w:p>
    <w:p w14:paraId="59B81419" w14:textId="77777777" w:rsidR="00CE43D0" w:rsidRPr="005B6C8E" w:rsidRDefault="00CE43D0" w:rsidP="008476B6">
      <w:pPr>
        <w:pStyle w:val="Heading4"/>
      </w:pPr>
      <w:r w:rsidRPr="005B6C8E">
        <w:t>Option 2</w:t>
      </w:r>
      <w:r w:rsidR="00224232">
        <w:t>:</w:t>
      </w:r>
      <w:r w:rsidRPr="005B6C8E">
        <w:t xml:space="preserve"> Extend PBS </w:t>
      </w:r>
      <w:r>
        <w:t>restrictions for specific combinations of ERA’s, PDE-5 inhibitors, sGC stimulators</w:t>
      </w:r>
      <w:r w:rsidRPr="005B6C8E">
        <w:t xml:space="preserve"> </w:t>
      </w:r>
      <w:r>
        <w:t xml:space="preserve">and prostanoids </w:t>
      </w:r>
      <w:r w:rsidRPr="005B6C8E">
        <w:t xml:space="preserve">to </w:t>
      </w:r>
      <w:r>
        <w:t xml:space="preserve">include dual combination therapy </w:t>
      </w:r>
      <w:r w:rsidRPr="005B6C8E">
        <w:t>for</w:t>
      </w:r>
      <w:r>
        <w:t xml:space="preserve"> patients presenting with</w:t>
      </w:r>
      <w:r w:rsidRPr="005B6C8E">
        <w:t xml:space="preserve"> WHO Functional Class II </w:t>
      </w:r>
      <w:r>
        <w:t>symptoms.</w:t>
      </w:r>
    </w:p>
    <w:p w14:paraId="05E7E744" w14:textId="77777777" w:rsidR="00CE43D0" w:rsidRPr="005B6C8E" w:rsidRDefault="00CE43D0" w:rsidP="008476B6">
      <w:pPr>
        <w:spacing w:before="120"/>
        <w:ind w:left="360" w:hanging="360"/>
        <w:jc w:val="left"/>
        <w:rPr>
          <w:szCs w:val="24"/>
          <w:u w:val="single"/>
        </w:rPr>
      </w:pPr>
      <w:r w:rsidRPr="005B6C8E">
        <w:rPr>
          <w:szCs w:val="24"/>
          <w:u w:val="single"/>
        </w:rPr>
        <w:t>Current TGA</w:t>
      </w:r>
      <w:r>
        <w:rPr>
          <w:szCs w:val="24"/>
          <w:u w:val="single"/>
        </w:rPr>
        <w:t xml:space="preserve"> registration</w:t>
      </w:r>
      <w:r w:rsidRPr="005B6C8E">
        <w:rPr>
          <w:szCs w:val="24"/>
          <w:u w:val="single"/>
        </w:rPr>
        <w:t xml:space="preserve">/PBS restrictions for PAH medicines </w:t>
      </w:r>
      <w:r>
        <w:rPr>
          <w:szCs w:val="24"/>
          <w:u w:val="single"/>
        </w:rPr>
        <w:t xml:space="preserve">in combination </w:t>
      </w:r>
      <w:r w:rsidRPr="005B6C8E">
        <w:rPr>
          <w:szCs w:val="24"/>
          <w:u w:val="single"/>
        </w:rPr>
        <w:t xml:space="preserve">in WHO FC </w:t>
      </w:r>
      <w:r>
        <w:rPr>
          <w:szCs w:val="24"/>
          <w:u w:val="single"/>
        </w:rPr>
        <w:t>II</w:t>
      </w:r>
      <w:r w:rsidRPr="005B6C8E">
        <w:rPr>
          <w:szCs w:val="24"/>
          <w:u w:val="single"/>
        </w:rPr>
        <w:t xml:space="preserve"> </w:t>
      </w:r>
    </w:p>
    <w:p w14:paraId="2C9FC990" w14:textId="77777777" w:rsidR="00CE43D0" w:rsidRPr="005935A9" w:rsidRDefault="00CE43D0" w:rsidP="00A44E11">
      <w:pPr>
        <w:widowControl w:val="0"/>
        <w:adjustRightInd w:val="0"/>
        <w:jc w:val="left"/>
        <w:textAlignment w:val="baseline"/>
      </w:pPr>
      <w:r w:rsidRPr="005935A9">
        <w:t>The following targeted PAH medicines are TGA approved for add-on or combination therapy:</w:t>
      </w:r>
    </w:p>
    <w:p w14:paraId="09045316" w14:textId="77777777" w:rsidR="00CE43D0" w:rsidRPr="005B6C8E" w:rsidRDefault="00CE43D0" w:rsidP="008476B6">
      <w:pPr>
        <w:pStyle w:val="ListParagraph"/>
        <w:widowControl w:val="0"/>
        <w:numPr>
          <w:ilvl w:val="0"/>
          <w:numId w:val="50"/>
        </w:numPr>
        <w:adjustRightInd w:val="0"/>
        <w:spacing w:after="120"/>
        <w:jc w:val="left"/>
        <w:textAlignment w:val="baseline"/>
        <w:rPr>
          <w:szCs w:val="24"/>
        </w:rPr>
      </w:pPr>
      <w:r>
        <w:rPr>
          <w:szCs w:val="24"/>
        </w:rPr>
        <w:t>a</w:t>
      </w:r>
      <w:r w:rsidRPr="005B6C8E">
        <w:rPr>
          <w:szCs w:val="24"/>
        </w:rPr>
        <w:t>mbrisentan plus tadalafil</w:t>
      </w:r>
    </w:p>
    <w:p w14:paraId="05F42832" w14:textId="77777777" w:rsidR="00CE43D0" w:rsidRPr="005B6C8E" w:rsidRDefault="00CE43D0" w:rsidP="008476B6">
      <w:pPr>
        <w:pStyle w:val="ListParagraph"/>
        <w:widowControl w:val="0"/>
        <w:numPr>
          <w:ilvl w:val="0"/>
          <w:numId w:val="50"/>
        </w:numPr>
        <w:adjustRightInd w:val="0"/>
        <w:spacing w:after="120"/>
        <w:jc w:val="left"/>
        <w:textAlignment w:val="baseline"/>
        <w:rPr>
          <w:szCs w:val="24"/>
        </w:rPr>
      </w:pPr>
      <w:r>
        <w:rPr>
          <w:szCs w:val="24"/>
        </w:rPr>
        <w:t>m</w:t>
      </w:r>
      <w:r w:rsidRPr="005B6C8E">
        <w:rPr>
          <w:szCs w:val="24"/>
        </w:rPr>
        <w:t>acitentan plus PDE-5 or iloprost</w:t>
      </w:r>
    </w:p>
    <w:p w14:paraId="02B6B84C" w14:textId="77777777" w:rsidR="00CE43D0" w:rsidRPr="005B6C8E" w:rsidRDefault="00CE43D0" w:rsidP="008476B6">
      <w:pPr>
        <w:pStyle w:val="ListParagraph"/>
        <w:widowControl w:val="0"/>
        <w:numPr>
          <w:ilvl w:val="0"/>
          <w:numId w:val="50"/>
        </w:numPr>
        <w:adjustRightInd w:val="0"/>
        <w:spacing w:after="120"/>
        <w:jc w:val="left"/>
        <w:textAlignment w:val="baseline"/>
        <w:rPr>
          <w:szCs w:val="24"/>
        </w:rPr>
      </w:pPr>
      <w:r>
        <w:rPr>
          <w:szCs w:val="24"/>
        </w:rPr>
        <w:t>r</w:t>
      </w:r>
      <w:r w:rsidRPr="005B6C8E">
        <w:rPr>
          <w:szCs w:val="24"/>
        </w:rPr>
        <w:t>iociguat plus ERA or iloprost</w:t>
      </w:r>
      <w:r w:rsidR="000415A4">
        <w:rPr>
          <w:szCs w:val="24"/>
        </w:rPr>
        <w:t>.</w:t>
      </w:r>
    </w:p>
    <w:p w14:paraId="0692834D" w14:textId="77777777" w:rsidR="008B6118" w:rsidRDefault="00CE43D0" w:rsidP="008476B6">
      <w:pPr>
        <w:spacing w:before="120"/>
        <w:ind w:left="360" w:hanging="360"/>
        <w:jc w:val="left"/>
      </w:pPr>
      <w:r w:rsidRPr="005935A9">
        <w:lastRenderedPageBreak/>
        <w:t>The current PBS restrictions do not allow for subsidised use of any targeted PAH medicines in WHO FC II PAH.</w:t>
      </w:r>
    </w:p>
    <w:p w14:paraId="1B956F29" w14:textId="0C8FE009" w:rsidR="00CE43D0" w:rsidRPr="005B6C8E" w:rsidRDefault="00CE43D0" w:rsidP="008476B6">
      <w:pPr>
        <w:spacing w:before="120"/>
        <w:ind w:left="360" w:hanging="360"/>
        <w:jc w:val="left"/>
        <w:rPr>
          <w:szCs w:val="24"/>
          <w:u w:val="single"/>
        </w:rPr>
      </w:pPr>
      <w:bookmarkStart w:id="141" w:name="_GoBack"/>
      <w:bookmarkEnd w:id="141"/>
      <w:r w:rsidRPr="005B6C8E">
        <w:rPr>
          <w:szCs w:val="24"/>
          <w:u w:val="single"/>
        </w:rPr>
        <w:t>Issues for Consideration</w:t>
      </w:r>
      <w:r w:rsidR="00DF4467">
        <w:rPr>
          <w:szCs w:val="24"/>
          <w:u w:val="single"/>
        </w:rPr>
        <w:t xml:space="preserve"> (In addition to Option 3)</w:t>
      </w:r>
    </w:p>
    <w:p w14:paraId="4ED62D3E" w14:textId="77777777" w:rsidR="00CE43D0" w:rsidRPr="00664FCB" w:rsidRDefault="00CE43D0" w:rsidP="008476B6">
      <w:pPr>
        <w:pStyle w:val="ListParagraph"/>
        <w:widowControl w:val="0"/>
        <w:numPr>
          <w:ilvl w:val="0"/>
          <w:numId w:val="38"/>
        </w:numPr>
        <w:adjustRightInd w:val="0"/>
        <w:spacing w:after="120"/>
        <w:jc w:val="left"/>
        <w:textAlignment w:val="baseline"/>
        <w:rPr>
          <w:szCs w:val="24"/>
        </w:rPr>
      </w:pPr>
      <w:r w:rsidRPr="00664FCB">
        <w:rPr>
          <w:szCs w:val="24"/>
        </w:rPr>
        <w:t>AMBITION was the only trial reporting on the effectiveness of PDE-5 and ERA in initial combination therapy</w:t>
      </w:r>
      <w:r>
        <w:rPr>
          <w:szCs w:val="24"/>
        </w:rPr>
        <w:t>. Outcomes of a sub-group analysis by WHO FC II support combination therapy over monotherapy in regard to clinical failure.</w:t>
      </w:r>
    </w:p>
    <w:p w14:paraId="099289F4" w14:textId="77777777" w:rsidR="00CE43D0" w:rsidRPr="00E5630F" w:rsidRDefault="00CE43D0" w:rsidP="001A11BF">
      <w:pPr>
        <w:widowControl w:val="0"/>
        <w:numPr>
          <w:ilvl w:val="0"/>
          <w:numId w:val="54"/>
        </w:numPr>
        <w:adjustRightInd w:val="0"/>
        <w:ind w:left="426" w:hanging="426"/>
        <w:jc w:val="left"/>
        <w:textAlignment w:val="baseline"/>
      </w:pPr>
      <w:r w:rsidRPr="008476B6">
        <w:t>There were no statistically significant differences in the effectiveness of treatment for patients receiving initial combination therapy versus monotherapy and patients receiving sequential combination therapy ver</w:t>
      </w:r>
      <w:r w:rsidRPr="00CE4D79">
        <w:t>sus monotherapy.</w:t>
      </w:r>
    </w:p>
    <w:p w14:paraId="55C314BB" w14:textId="77777777" w:rsidR="00CE43D0" w:rsidRPr="00CE4D79" w:rsidRDefault="00CE43D0" w:rsidP="001A11BF">
      <w:pPr>
        <w:widowControl w:val="0"/>
        <w:numPr>
          <w:ilvl w:val="0"/>
          <w:numId w:val="54"/>
        </w:numPr>
        <w:adjustRightInd w:val="0"/>
        <w:ind w:left="426" w:hanging="426"/>
        <w:jc w:val="left"/>
        <w:textAlignment w:val="baseline"/>
      </w:pPr>
      <w:r w:rsidRPr="008476B6">
        <w:t>Use of initial combination therapies in general may be contrary to Quality use of Medicine principles, whereby response to a single medicine should be confirmed prior to initiating a second medicine. According to current PBS restrictions i</w:t>
      </w:r>
      <w:r w:rsidRPr="00CE4D79">
        <w:t>f there is no response (i.e. stability or improvement of disease) to the first PAH therapy, the medicine should be ceased.</w:t>
      </w:r>
    </w:p>
    <w:p w14:paraId="37FF2187" w14:textId="77777777" w:rsidR="00CE43D0" w:rsidRPr="005F4AF3" w:rsidRDefault="00CE43D0" w:rsidP="001A11BF">
      <w:pPr>
        <w:widowControl w:val="0"/>
        <w:numPr>
          <w:ilvl w:val="0"/>
          <w:numId w:val="54"/>
        </w:numPr>
        <w:adjustRightInd w:val="0"/>
        <w:ind w:left="426" w:hanging="426"/>
        <w:jc w:val="left"/>
        <w:textAlignment w:val="baseline"/>
      </w:pPr>
      <w:r w:rsidRPr="00725C6C">
        <w:t>To date, the PBAC has not had the opportunity to consider an application from any industry sponso</w:t>
      </w:r>
      <w:r w:rsidRPr="005F4AF3">
        <w:t>r to assess the cost-effectiveness of the treatment of patients with PAH presenting in WHO FC II with two targeted PAH medicines in either initial or sequential combinations.</w:t>
      </w:r>
    </w:p>
    <w:p w14:paraId="51B5F87B" w14:textId="77777777" w:rsidR="00CE43D0" w:rsidRPr="005B6C8E" w:rsidRDefault="00CE43D0" w:rsidP="008476B6">
      <w:pPr>
        <w:spacing w:before="120"/>
        <w:ind w:left="360" w:hanging="360"/>
        <w:jc w:val="left"/>
        <w:rPr>
          <w:szCs w:val="24"/>
          <w:u w:val="single"/>
        </w:rPr>
      </w:pPr>
      <w:r w:rsidRPr="005B6C8E">
        <w:rPr>
          <w:szCs w:val="24"/>
          <w:u w:val="single"/>
        </w:rPr>
        <w:t>Stakeholder views</w:t>
      </w:r>
    </w:p>
    <w:p w14:paraId="4D0A689D" w14:textId="77777777" w:rsidR="00FA5DA2" w:rsidRDefault="00CE43D0" w:rsidP="001A11BF">
      <w:pPr>
        <w:spacing w:before="120"/>
        <w:ind w:left="360" w:hanging="360"/>
        <w:jc w:val="left"/>
      </w:pPr>
      <w:r w:rsidRPr="00725C6C">
        <w:t>Consumers suggested that earlier treatment and combination therapy led to better health outcomes and questioned why treatment is not available for FC II patients whose health is only going to d</w:t>
      </w:r>
      <w:r w:rsidR="000415A4">
        <w:t>eteriorate.</w:t>
      </w:r>
    </w:p>
    <w:p w14:paraId="235C3863" w14:textId="77777777" w:rsidR="00CE43D0" w:rsidRDefault="00CE43D0" w:rsidP="001A11BF">
      <w:pPr>
        <w:spacing w:before="120"/>
        <w:ind w:left="360" w:hanging="360"/>
        <w:jc w:val="left"/>
        <w:rPr>
          <w:szCs w:val="24"/>
          <w:u w:val="single"/>
        </w:rPr>
      </w:pPr>
      <w:r w:rsidRPr="001A11BF">
        <w:rPr>
          <w:szCs w:val="24"/>
          <w:u w:val="single"/>
        </w:rPr>
        <w:t>Reference Group views</w:t>
      </w:r>
    </w:p>
    <w:p w14:paraId="23EBF047" w14:textId="77777777" w:rsidR="00CE43D0" w:rsidRDefault="00CE43D0" w:rsidP="001A11BF">
      <w:pPr>
        <w:widowControl w:val="0"/>
        <w:numPr>
          <w:ilvl w:val="0"/>
          <w:numId w:val="54"/>
        </w:numPr>
        <w:adjustRightInd w:val="0"/>
        <w:ind w:left="426" w:hanging="426"/>
        <w:jc w:val="left"/>
        <w:textAlignment w:val="baseline"/>
      </w:pPr>
      <w:r>
        <w:t>The Reference Group considered that Option 3 should</w:t>
      </w:r>
      <w:r w:rsidR="000415A4">
        <w:t xml:space="preserve"> be considered before Option 2.</w:t>
      </w:r>
    </w:p>
    <w:p w14:paraId="2D6DA41E" w14:textId="77777777" w:rsidR="00CE43D0" w:rsidRPr="00CE43D0" w:rsidRDefault="00CE43D0" w:rsidP="001A11BF">
      <w:pPr>
        <w:widowControl w:val="0"/>
        <w:numPr>
          <w:ilvl w:val="0"/>
          <w:numId w:val="54"/>
        </w:numPr>
        <w:adjustRightInd w:val="0"/>
        <w:ind w:left="426" w:hanging="426"/>
        <w:jc w:val="left"/>
        <w:textAlignment w:val="baseline"/>
      </w:pPr>
      <w:r w:rsidRPr="007E1E0F">
        <w:t>As for Option 3</w:t>
      </w:r>
      <w:r w:rsidR="003F5F8B">
        <w:t>,</w:t>
      </w:r>
      <w:r w:rsidRPr="007E1E0F">
        <w:t xml:space="preserve"> the </w:t>
      </w:r>
      <w:r>
        <w:rPr>
          <w:szCs w:val="24"/>
        </w:rPr>
        <w:t>Reference Group</w:t>
      </w:r>
      <w:r w:rsidRPr="007E1E0F">
        <w:t xml:space="preserve"> support</w:t>
      </w:r>
      <w:r>
        <w:t>ed</w:t>
      </w:r>
      <w:r w:rsidRPr="007E1E0F">
        <w:t xml:space="preserve"> initial sequential combination therapy in WHO FC II and</w:t>
      </w:r>
      <w:r>
        <w:t xml:space="preserve"> considered</w:t>
      </w:r>
      <w:r w:rsidRPr="007E1E0F">
        <w:t xml:space="preserve"> that combination therapy in </w:t>
      </w:r>
      <w:r>
        <w:t xml:space="preserve">WHO </w:t>
      </w:r>
      <w:r w:rsidRPr="007E1E0F">
        <w:t>FC</w:t>
      </w:r>
      <w:r w:rsidR="001A11BF">
        <w:t xml:space="preserve"> </w:t>
      </w:r>
      <w:r w:rsidRPr="007E1E0F">
        <w:t xml:space="preserve">II should be at clinician’s discretion around risk of </w:t>
      </w:r>
      <w:r w:rsidRPr="001A11BF">
        <w:t>deterioration.</w:t>
      </w:r>
    </w:p>
    <w:p w14:paraId="623DE1F2" w14:textId="77777777" w:rsidR="001960CE" w:rsidRPr="005B6C8E" w:rsidRDefault="001960CE" w:rsidP="001960CE">
      <w:pPr>
        <w:jc w:val="left"/>
        <w:rPr>
          <w:b/>
          <w:i/>
          <w:szCs w:val="24"/>
        </w:rPr>
      </w:pPr>
      <w:r w:rsidRPr="005B6C8E">
        <w:rPr>
          <w:b/>
          <w:i/>
          <w:szCs w:val="24"/>
        </w:rPr>
        <w:t>Option 3</w:t>
      </w:r>
      <w:r w:rsidR="00224232">
        <w:rPr>
          <w:b/>
          <w:i/>
          <w:szCs w:val="24"/>
        </w:rPr>
        <w:t>:</w:t>
      </w:r>
      <w:r w:rsidRPr="005B6C8E">
        <w:rPr>
          <w:b/>
          <w:i/>
          <w:szCs w:val="24"/>
        </w:rPr>
        <w:t xml:space="preserve"> Extend PBS subsidised access to combination (initial combination and/or sequential combination) therapy with </w:t>
      </w:r>
      <w:r>
        <w:rPr>
          <w:b/>
          <w:i/>
          <w:szCs w:val="24"/>
        </w:rPr>
        <w:t>various combinations of ERAs and PDE-5 inhibitors, sGC stimulators and prostanoids</w:t>
      </w:r>
      <w:r w:rsidRPr="005B6C8E">
        <w:rPr>
          <w:b/>
          <w:i/>
          <w:szCs w:val="24"/>
        </w:rPr>
        <w:t xml:space="preserve"> for patient</w:t>
      </w:r>
      <w:r w:rsidR="00E61B59">
        <w:rPr>
          <w:b/>
          <w:i/>
          <w:szCs w:val="24"/>
        </w:rPr>
        <w:t>s</w:t>
      </w:r>
      <w:r w:rsidRPr="005B6C8E">
        <w:rPr>
          <w:b/>
          <w:i/>
          <w:szCs w:val="24"/>
        </w:rPr>
        <w:t xml:space="preserve"> with PAH in WHO FC III-IV.</w:t>
      </w:r>
    </w:p>
    <w:p w14:paraId="7B11F2F4" w14:textId="77777777" w:rsidR="001960CE" w:rsidRPr="005B6C8E" w:rsidRDefault="001960CE" w:rsidP="001960CE">
      <w:pPr>
        <w:pStyle w:val="ListParagraph"/>
        <w:ind w:left="0"/>
        <w:jc w:val="left"/>
        <w:rPr>
          <w:szCs w:val="24"/>
        </w:rPr>
      </w:pPr>
      <w:r w:rsidRPr="005B6C8E">
        <w:rPr>
          <w:szCs w:val="24"/>
        </w:rPr>
        <w:t xml:space="preserve">Specific treatment options </w:t>
      </w:r>
      <w:r>
        <w:rPr>
          <w:szCs w:val="24"/>
        </w:rPr>
        <w:t xml:space="preserve">could </w:t>
      </w:r>
      <w:r w:rsidRPr="005B6C8E">
        <w:rPr>
          <w:szCs w:val="24"/>
        </w:rPr>
        <w:t>include any or all of the following:</w:t>
      </w:r>
    </w:p>
    <w:p w14:paraId="7AA26602" w14:textId="77777777" w:rsidR="001960CE" w:rsidRPr="005B6C8E" w:rsidRDefault="001960CE" w:rsidP="001960CE">
      <w:pPr>
        <w:pStyle w:val="ListParagraph"/>
        <w:widowControl w:val="0"/>
        <w:numPr>
          <w:ilvl w:val="0"/>
          <w:numId w:val="37"/>
        </w:numPr>
        <w:adjustRightInd w:val="0"/>
        <w:ind w:left="709" w:hanging="283"/>
        <w:contextualSpacing w:val="0"/>
        <w:jc w:val="left"/>
        <w:textAlignment w:val="baseline"/>
        <w:rPr>
          <w:szCs w:val="24"/>
        </w:rPr>
      </w:pPr>
      <w:r>
        <w:rPr>
          <w:szCs w:val="24"/>
        </w:rPr>
        <w:t>d</w:t>
      </w:r>
      <w:r w:rsidRPr="005B6C8E">
        <w:rPr>
          <w:szCs w:val="24"/>
        </w:rPr>
        <w:t>ual combination therapy for patients in FC III-IV (initial and/or sequential)</w:t>
      </w:r>
    </w:p>
    <w:p w14:paraId="4330662B" w14:textId="77777777" w:rsidR="001960CE" w:rsidRPr="005B6C8E" w:rsidRDefault="001960CE" w:rsidP="001960CE">
      <w:pPr>
        <w:pStyle w:val="ListParagraph"/>
        <w:widowControl w:val="0"/>
        <w:numPr>
          <w:ilvl w:val="0"/>
          <w:numId w:val="37"/>
        </w:numPr>
        <w:adjustRightInd w:val="0"/>
        <w:ind w:left="709" w:hanging="283"/>
        <w:contextualSpacing w:val="0"/>
        <w:jc w:val="left"/>
        <w:textAlignment w:val="baseline"/>
        <w:rPr>
          <w:szCs w:val="24"/>
        </w:rPr>
      </w:pPr>
      <w:r>
        <w:rPr>
          <w:szCs w:val="24"/>
        </w:rPr>
        <w:t>d</w:t>
      </w:r>
      <w:r w:rsidRPr="005B6C8E">
        <w:rPr>
          <w:szCs w:val="24"/>
        </w:rPr>
        <w:t>ual combination therapy for patients in FC IV (initial and/or sequential)</w:t>
      </w:r>
    </w:p>
    <w:p w14:paraId="32CC5ACF" w14:textId="77777777" w:rsidR="001960CE" w:rsidRPr="005B6C8E" w:rsidRDefault="001960CE" w:rsidP="001960CE">
      <w:pPr>
        <w:pStyle w:val="ListParagraph"/>
        <w:widowControl w:val="0"/>
        <w:numPr>
          <w:ilvl w:val="0"/>
          <w:numId w:val="37"/>
        </w:numPr>
        <w:adjustRightInd w:val="0"/>
        <w:ind w:left="709" w:hanging="283"/>
        <w:contextualSpacing w:val="0"/>
        <w:jc w:val="left"/>
        <w:textAlignment w:val="baseline"/>
        <w:rPr>
          <w:szCs w:val="24"/>
        </w:rPr>
      </w:pPr>
      <w:r>
        <w:rPr>
          <w:szCs w:val="24"/>
        </w:rPr>
        <w:t>t</w:t>
      </w:r>
      <w:r w:rsidRPr="005B6C8E">
        <w:rPr>
          <w:szCs w:val="24"/>
        </w:rPr>
        <w:t>riple combination therapy for patient in FC III- IV (initial and/or sequential)</w:t>
      </w:r>
    </w:p>
    <w:p w14:paraId="64C49336" w14:textId="77777777" w:rsidR="001960CE" w:rsidRPr="005B6C8E" w:rsidRDefault="001960CE" w:rsidP="001960CE">
      <w:pPr>
        <w:pStyle w:val="ListParagraph"/>
        <w:widowControl w:val="0"/>
        <w:numPr>
          <w:ilvl w:val="0"/>
          <w:numId w:val="37"/>
        </w:numPr>
        <w:adjustRightInd w:val="0"/>
        <w:ind w:left="709" w:hanging="283"/>
        <w:contextualSpacing w:val="0"/>
        <w:jc w:val="left"/>
        <w:textAlignment w:val="baseline"/>
        <w:rPr>
          <w:szCs w:val="24"/>
        </w:rPr>
      </w:pPr>
      <w:r>
        <w:rPr>
          <w:szCs w:val="24"/>
        </w:rPr>
        <w:lastRenderedPageBreak/>
        <w:t>t</w:t>
      </w:r>
      <w:r w:rsidRPr="005B6C8E">
        <w:rPr>
          <w:szCs w:val="24"/>
        </w:rPr>
        <w:t xml:space="preserve">riple combination therapy for patient in FC IV </w:t>
      </w:r>
      <w:r>
        <w:rPr>
          <w:szCs w:val="24"/>
        </w:rPr>
        <w:t xml:space="preserve">alone </w:t>
      </w:r>
      <w:r w:rsidRPr="005B6C8E">
        <w:rPr>
          <w:szCs w:val="24"/>
        </w:rPr>
        <w:t>(initial and/or sequential)</w:t>
      </w:r>
      <w:r>
        <w:rPr>
          <w:szCs w:val="24"/>
        </w:rPr>
        <w:t>.</w:t>
      </w:r>
    </w:p>
    <w:p w14:paraId="64505A8D" w14:textId="77777777" w:rsidR="001960CE" w:rsidRPr="005B6C8E" w:rsidRDefault="001960CE" w:rsidP="001960CE">
      <w:pPr>
        <w:spacing w:before="120"/>
        <w:jc w:val="left"/>
        <w:rPr>
          <w:szCs w:val="24"/>
          <w:u w:val="single"/>
        </w:rPr>
      </w:pPr>
      <w:r w:rsidRPr="005B6C8E">
        <w:rPr>
          <w:szCs w:val="24"/>
          <w:u w:val="single"/>
        </w:rPr>
        <w:t>Current TGA</w:t>
      </w:r>
      <w:r>
        <w:rPr>
          <w:szCs w:val="24"/>
          <w:u w:val="single"/>
        </w:rPr>
        <w:t xml:space="preserve"> registration</w:t>
      </w:r>
      <w:r w:rsidRPr="005B6C8E">
        <w:rPr>
          <w:szCs w:val="24"/>
          <w:u w:val="single"/>
        </w:rPr>
        <w:t xml:space="preserve">/PBS restrictions for PAH medicines in </w:t>
      </w:r>
      <w:r>
        <w:rPr>
          <w:szCs w:val="24"/>
          <w:u w:val="single"/>
        </w:rPr>
        <w:t xml:space="preserve">combination in </w:t>
      </w:r>
      <w:r w:rsidRPr="005B6C8E">
        <w:rPr>
          <w:szCs w:val="24"/>
          <w:u w:val="single"/>
        </w:rPr>
        <w:t xml:space="preserve">WHO FC </w:t>
      </w:r>
      <w:r>
        <w:rPr>
          <w:szCs w:val="24"/>
          <w:u w:val="single"/>
        </w:rPr>
        <w:t>III</w:t>
      </w:r>
      <w:r w:rsidRPr="005B6C8E">
        <w:rPr>
          <w:szCs w:val="24"/>
          <w:u w:val="single"/>
        </w:rPr>
        <w:t xml:space="preserve"> and </w:t>
      </w:r>
      <w:r>
        <w:rPr>
          <w:szCs w:val="24"/>
          <w:u w:val="single"/>
        </w:rPr>
        <w:t>IV</w:t>
      </w:r>
      <w:r w:rsidRPr="005B6C8E">
        <w:rPr>
          <w:szCs w:val="24"/>
          <w:u w:val="single"/>
        </w:rPr>
        <w:t xml:space="preserve"> </w:t>
      </w:r>
    </w:p>
    <w:p w14:paraId="79AECE8D" w14:textId="77777777" w:rsidR="001960CE" w:rsidRPr="00664FCB" w:rsidRDefault="001960CE" w:rsidP="001960CE">
      <w:pPr>
        <w:spacing w:before="120"/>
        <w:jc w:val="left"/>
        <w:rPr>
          <w:szCs w:val="24"/>
        </w:rPr>
      </w:pPr>
      <w:r w:rsidRPr="00664FCB">
        <w:rPr>
          <w:szCs w:val="24"/>
        </w:rPr>
        <w:t xml:space="preserve">The following medicines are TGA registered for use in dual therapy in WHO FC </w:t>
      </w:r>
      <w:r>
        <w:rPr>
          <w:szCs w:val="24"/>
        </w:rPr>
        <w:t>III</w:t>
      </w:r>
      <w:r w:rsidRPr="00664FCB">
        <w:rPr>
          <w:szCs w:val="24"/>
        </w:rPr>
        <w:t xml:space="preserve"> and </w:t>
      </w:r>
      <w:r>
        <w:rPr>
          <w:szCs w:val="24"/>
        </w:rPr>
        <w:t>IV</w:t>
      </w:r>
      <w:r w:rsidRPr="00664FCB">
        <w:rPr>
          <w:szCs w:val="24"/>
        </w:rPr>
        <w:t>:</w:t>
      </w:r>
    </w:p>
    <w:p w14:paraId="4236F6AD" w14:textId="77777777" w:rsidR="001960CE" w:rsidRPr="00EA4A2A" w:rsidRDefault="001960CE" w:rsidP="001960CE">
      <w:pPr>
        <w:pStyle w:val="ListParagraph"/>
        <w:widowControl w:val="0"/>
        <w:numPr>
          <w:ilvl w:val="0"/>
          <w:numId w:val="45"/>
        </w:numPr>
        <w:adjustRightInd w:val="0"/>
        <w:spacing w:after="120"/>
        <w:ind w:left="720"/>
        <w:contextualSpacing w:val="0"/>
        <w:jc w:val="left"/>
        <w:textAlignment w:val="baseline"/>
        <w:rPr>
          <w:szCs w:val="24"/>
        </w:rPr>
      </w:pPr>
      <w:r w:rsidRPr="00EA4A2A">
        <w:rPr>
          <w:szCs w:val="24"/>
        </w:rPr>
        <w:t xml:space="preserve">ambrisentan in combination with tadalafil </w:t>
      </w:r>
    </w:p>
    <w:p w14:paraId="51A223A3" w14:textId="77777777" w:rsidR="001960CE" w:rsidRPr="00EA4A2A" w:rsidRDefault="001960CE" w:rsidP="001960CE">
      <w:pPr>
        <w:pStyle w:val="ListParagraph"/>
        <w:widowControl w:val="0"/>
        <w:numPr>
          <w:ilvl w:val="0"/>
          <w:numId w:val="46"/>
        </w:numPr>
        <w:adjustRightInd w:val="0"/>
        <w:spacing w:after="120"/>
        <w:ind w:left="720"/>
        <w:contextualSpacing w:val="0"/>
        <w:jc w:val="left"/>
        <w:textAlignment w:val="baseline"/>
        <w:rPr>
          <w:szCs w:val="24"/>
        </w:rPr>
      </w:pPr>
      <w:r w:rsidRPr="00EA4A2A">
        <w:rPr>
          <w:szCs w:val="24"/>
        </w:rPr>
        <w:t xml:space="preserve">macitentan in combination with </w:t>
      </w:r>
      <w:r>
        <w:rPr>
          <w:szCs w:val="24"/>
        </w:rPr>
        <w:t>a PDE-5 inhibitor</w:t>
      </w:r>
      <w:r w:rsidRPr="00EA4A2A">
        <w:rPr>
          <w:szCs w:val="24"/>
        </w:rPr>
        <w:t xml:space="preserve"> or inhaled prostanoids </w:t>
      </w:r>
    </w:p>
    <w:p w14:paraId="543E076B" w14:textId="77777777" w:rsidR="001960CE" w:rsidRPr="00EA4A2A" w:rsidRDefault="001960CE" w:rsidP="001960CE">
      <w:pPr>
        <w:pStyle w:val="ListParagraph"/>
        <w:widowControl w:val="0"/>
        <w:numPr>
          <w:ilvl w:val="0"/>
          <w:numId w:val="47"/>
        </w:numPr>
        <w:adjustRightInd w:val="0"/>
        <w:spacing w:after="120"/>
        <w:ind w:left="720"/>
        <w:contextualSpacing w:val="0"/>
        <w:jc w:val="left"/>
        <w:textAlignment w:val="baseline"/>
        <w:rPr>
          <w:szCs w:val="24"/>
        </w:rPr>
      </w:pPr>
      <w:r w:rsidRPr="00EA4A2A">
        <w:rPr>
          <w:szCs w:val="24"/>
        </w:rPr>
        <w:t xml:space="preserve">riociguat in combination with </w:t>
      </w:r>
      <w:r>
        <w:rPr>
          <w:szCs w:val="24"/>
        </w:rPr>
        <w:t xml:space="preserve">ERAs </w:t>
      </w:r>
      <w:r w:rsidRPr="00EA4A2A">
        <w:rPr>
          <w:szCs w:val="24"/>
        </w:rPr>
        <w:t>or inhaled or subcutaneous prostanoids</w:t>
      </w:r>
    </w:p>
    <w:p w14:paraId="6AAF8097" w14:textId="77777777" w:rsidR="001960CE" w:rsidRPr="00EA4A2A" w:rsidRDefault="001960CE" w:rsidP="001960CE">
      <w:pPr>
        <w:pStyle w:val="ListParagraph"/>
        <w:widowControl w:val="0"/>
        <w:numPr>
          <w:ilvl w:val="0"/>
          <w:numId w:val="48"/>
        </w:numPr>
        <w:adjustRightInd w:val="0"/>
        <w:spacing w:after="120"/>
        <w:ind w:left="720"/>
        <w:contextualSpacing w:val="0"/>
        <w:jc w:val="left"/>
        <w:textAlignment w:val="baseline"/>
        <w:rPr>
          <w:szCs w:val="24"/>
        </w:rPr>
      </w:pPr>
      <w:r w:rsidRPr="00EA4A2A">
        <w:rPr>
          <w:szCs w:val="24"/>
        </w:rPr>
        <w:t>selexipag</w:t>
      </w:r>
      <w:r>
        <w:rPr>
          <w:szCs w:val="24"/>
        </w:rPr>
        <w:t xml:space="preserve"> (not PBS listed)</w:t>
      </w:r>
      <w:r w:rsidRPr="00EA4A2A">
        <w:rPr>
          <w:szCs w:val="24"/>
        </w:rPr>
        <w:t xml:space="preserve"> in combination with an ERA and/or a PDE</w:t>
      </w:r>
      <w:r>
        <w:rPr>
          <w:szCs w:val="24"/>
        </w:rPr>
        <w:t>-</w:t>
      </w:r>
      <w:r w:rsidRPr="00EA4A2A">
        <w:rPr>
          <w:szCs w:val="24"/>
        </w:rPr>
        <w:t>5inhibitor</w:t>
      </w:r>
      <w:r>
        <w:rPr>
          <w:szCs w:val="24"/>
        </w:rPr>
        <w:t>.</w:t>
      </w:r>
    </w:p>
    <w:p w14:paraId="69E51032" w14:textId="77777777" w:rsidR="001960CE" w:rsidRPr="00664FCB" w:rsidRDefault="00A44E11" w:rsidP="001960CE">
      <w:pPr>
        <w:spacing w:before="120"/>
        <w:jc w:val="left"/>
        <w:rPr>
          <w:szCs w:val="24"/>
        </w:rPr>
      </w:pPr>
      <w:r>
        <w:rPr>
          <w:szCs w:val="24"/>
        </w:rPr>
        <w:t>Selexipag is</w:t>
      </w:r>
      <w:r w:rsidR="001960CE" w:rsidRPr="00664FCB">
        <w:rPr>
          <w:szCs w:val="24"/>
        </w:rPr>
        <w:t xml:space="preserve"> TGA indicated for use in triple therapy</w:t>
      </w:r>
      <w:r w:rsidRPr="00A44E11">
        <w:rPr>
          <w:szCs w:val="24"/>
        </w:rPr>
        <w:t xml:space="preserve"> </w:t>
      </w:r>
      <w:r w:rsidRPr="00EA4A2A">
        <w:rPr>
          <w:szCs w:val="24"/>
        </w:rPr>
        <w:t>with an ERA and/or a PDE</w:t>
      </w:r>
      <w:r>
        <w:rPr>
          <w:szCs w:val="24"/>
        </w:rPr>
        <w:t>-</w:t>
      </w:r>
      <w:r w:rsidRPr="00EA4A2A">
        <w:rPr>
          <w:szCs w:val="24"/>
        </w:rPr>
        <w:t>5 inhibitor</w:t>
      </w:r>
      <w:r w:rsidR="001960CE" w:rsidRPr="00664FCB">
        <w:rPr>
          <w:szCs w:val="24"/>
        </w:rPr>
        <w:t xml:space="preserve"> </w:t>
      </w:r>
      <w:r>
        <w:rPr>
          <w:szCs w:val="24"/>
        </w:rPr>
        <w:t>for patients presenting in</w:t>
      </w:r>
      <w:r w:rsidR="001960CE" w:rsidRPr="00664FCB">
        <w:rPr>
          <w:szCs w:val="24"/>
        </w:rPr>
        <w:t xml:space="preserve"> WHO FC </w:t>
      </w:r>
      <w:r w:rsidR="001960CE">
        <w:rPr>
          <w:szCs w:val="24"/>
        </w:rPr>
        <w:t>III and I</w:t>
      </w:r>
      <w:r w:rsidR="000415A4">
        <w:rPr>
          <w:szCs w:val="24"/>
        </w:rPr>
        <w:t>V.</w:t>
      </w:r>
    </w:p>
    <w:p w14:paraId="13AB4B39" w14:textId="77777777" w:rsidR="001960CE" w:rsidRPr="005B6C8E" w:rsidRDefault="001960CE" w:rsidP="002C4D4C">
      <w:pPr>
        <w:spacing w:before="120"/>
        <w:jc w:val="left"/>
        <w:rPr>
          <w:szCs w:val="24"/>
          <w:u w:val="single"/>
        </w:rPr>
      </w:pPr>
      <w:r w:rsidRPr="005B6C8E">
        <w:rPr>
          <w:szCs w:val="24"/>
          <w:u w:val="single"/>
        </w:rPr>
        <w:t>Issues for Consideration</w:t>
      </w:r>
    </w:p>
    <w:p w14:paraId="2D718341" w14:textId="77777777" w:rsidR="001960CE" w:rsidRPr="005B6C8E" w:rsidRDefault="001960CE" w:rsidP="001960CE">
      <w:pPr>
        <w:pStyle w:val="ListParagraph"/>
        <w:widowControl w:val="0"/>
        <w:numPr>
          <w:ilvl w:val="0"/>
          <w:numId w:val="35"/>
        </w:numPr>
        <w:adjustRightInd w:val="0"/>
        <w:spacing w:before="120"/>
        <w:ind w:left="567" w:hanging="567"/>
        <w:contextualSpacing w:val="0"/>
        <w:jc w:val="left"/>
        <w:textAlignment w:val="baseline"/>
        <w:rPr>
          <w:szCs w:val="24"/>
        </w:rPr>
      </w:pPr>
      <w:r w:rsidRPr="005B6C8E">
        <w:rPr>
          <w:szCs w:val="24"/>
        </w:rPr>
        <w:t xml:space="preserve">The 2015 </w:t>
      </w:r>
      <w:r>
        <w:rPr>
          <w:szCs w:val="24"/>
        </w:rPr>
        <w:t xml:space="preserve">ERS/ESC </w:t>
      </w:r>
      <w:r w:rsidRPr="005B6C8E">
        <w:rPr>
          <w:szCs w:val="24"/>
        </w:rPr>
        <w:t>gui</w:t>
      </w:r>
      <w:r>
        <w:rPr>
          <w:szCs w:val="24"/>
        </w:rPr>
        <w:t>delines and the CHEST guideline support combination therapy for patients with moderate risk</w:t>
      </w:r>
      <w:r w:rsidRPr="005B6C8E">
        <w:rPr>
          <w:szCs w:val="24"/>
        </w:rPr>
        <w:t xml:space="preserve"> </w:t>
      </w:r>
      <w:r>
        <w:rPr>
          <w:szCs w:val="24"/>
        </w:rPr>
        <w:t xml:space="preserve">and </w:t>
      </w:r>
      <w:r w:rsidRPr="005B6C8E">
        <w:rPr>
          <w:szCs w:val="24"/>
        </w:rPr>
        <w:t>suggest</w:t>
      </w:r>
      <w:r>
        <w:rPr>
          <w:szCs w:val="24"/>
        </w:rPr>
        <w:t xml:space="preserve"> t</w:t>
      </w:r>
      <w:r w:rsidRPr="005B6C8E">
        <w:rPr>
          <w:szCs w:val="24"/>
        </w:rPr>
        <w:t>he overall treatment goal</w:t>
      </w:r>
      <w:r>
        <w:rPr>
          <w:szCs w:val="24"/>
        </w:rPr>
        <w:t xml:space="preserve"> </w:t>
      </w:r>
      <w:r w:rsidRPr="005B6C8E">
        <w:rPr>
          <w:szCs w:val="24"/>
        </w:rPr>
        <w:t>is to achieve a low risk status which is usually associated with good exercise capacity, good quality of life, good RV function and a low mortality risk (WHO FC II). Patient</w:t>
      </w:r>
      <w:r>
        <w:rPr>
          <w:szCs w:val="24"/>
        </w:rPr>
        <w:t>s</w:t>
      </w:r>
      <w:r w:rsidRPr="005B6C8E">
        <w:rPr>
          <w:szCs w:val="24"/>
        </w:rPr>
        <w:t xml:space="preserve"> who are stabilised on one PAH medicine or those who improve slightly, can still receive additional PAH medicines if treatment goals are not met.</w:t>
      </w:r>
    </w:p>
    <w:p w14:paraId="76C51B45" w14:textId="77777777" w:rsidR="001960CE" w:rsidRDefault="001960CE" w:rsidP="001960CE">
      <w:pPr>
        <w:pStyle w:val="ListParagraph"/>
        <w:widowControl w:val="0"/>
        <w:numPr>
          <w:ilvl w:val="0"/>
          <w:numId w:val="35"/>
        </w:numPr>
        <w:adjustRightInd w:val="0"/>
        <w:spacing w:before="120"/>
        <w:ind w:left="567" w:hanging="567"/>
        <w:contextualSpacing w:val="0"/>
        <w:jc w:val="left"/>
        <w:textAlignment w:val="baseline"/>
        <w:rPr>
          <w:szCs w:val="24"/>
        </w:rPr>
      </w:pPr>
      <w:r w:rsidRPr="005B6C8E">
        <w:rPr>
          <w:szCs w:val="24"/>
        </w:rPr>
        <w:t xml:space="preserve">The 2015 </w:t>
      </w:r>
      <w:r>
        <w:rPr>
          <w:szCs w:val="24"/>
        </w:rPr>
        <w:t xml:space="preserve">ERS/ESC </w:t>
      </w:r>
      <w:r w:rsidRPr="005B6C8E">
        <w:rPr>
          <w:szCs w:val="24"/>
        </w:rPr>
        <w:t>gui</w:t>
      </w:r>
      <w:r>
        <w:rPr>
          <w:szCs w:val="24"/>
        </w:rPr>
        <w:t xml:space="preserve">delines and the CHEST guideline </w:t>
      </w:r>
      <w:r w:rsidRPr="005B6C8E">
        <w:t>concur that the standard of care for patients WHO FC II-IV with inadequate clinical response to monotherapy is to continue on the current therapy and add a further agent from a different class (up to a maximum of 3 PAH medicines,</w:t>
      </w:r>
      <w:r w:rsidRPr="005B6C8E">
        <w:rPr>
          <w:szCs w:val="24"/>
        </w:rPr>
        <w:t xml:space="preserve"> combinations of PDE-5 inhibitors or sGC </w:t>
      </w:r>
      <w:r>
        <w:rPr>
          <w:szCs w:val="24"/>
        </w:rPr>
        <w:t>stimulators</w:t>
      </w:r>
      <w:r w:rsidRPr="005B6C8E">
        <w:rPr>
          <w:szCs w:val="24"/>
        </w:rPr>
        <w:t xml:space="preserve"> with ERAs and prostanoids are recommended</w:t>
      </w:r>
      <w:r>
        <w:rPr>
          <w:szCs w:val="24"/>
        </w:rPr>
        <w:t>).</w:t>
      </w:r>
    </w:p>
    <w:p w14:paraId="02B40AED" w14:textId="77777777" w:rsidR="001960CE" w:rsidRDefault="001960CE" w:rsidP="001960CE">
      <w:pPr>
        <w:pStyle w:val="ListParagraph"/>
        <w:widowControl w:val="0"/>
        <w:numPr>
          <w:ilvl w:val="0"/>
          <w:numId w:val="41"/>
        </w:numPr>
        <w:adjustRightInd w:val="0"/>
        <w:spacing w:before="120"/>
        <w:ind w:left="567" w:hanging="567"/>
        <w:contextualSpacing w:val="0"/>
        <w:jc w:val="left"/>
        <w:textAlignment w:val="baseline"/>
      </w:pPr>
      <w:r w:rsidRPr="005B6C8E">
        <w:rPr>
          <w:szCs w:val="24"/>
        </w:rPr>
        <w:t xml:space="preserve">The 2015 </w:t>
      </w:r>
      <w:r>
        <w:rPr>
          <w:szCs w:val="24"/>
        </w:rPr>
        <w:t xml:space="preserve">ERS/ESC </w:t>
      </w:r>
      <w:r w:rsidRPr="005B6C8E">
        <w:rPr>
          <w:szCs w:val="24"/>
        </w:rPr>
        <w:t>gui</w:t>
      </w:r>
      <w:r>
        <w:rPr>
          <w:szCs w:val="24"/>
        </w:rPr>
        <w:t xml:space="preserve">delines and the CHEST guideline </w:t>
      </w:r>
      <w:r w:rsidRPr="005B6C8E">
        <w:t xml:space="preserve">recommend initial combination therapy for </w:t>
      </w:r>
      <w:r>
        <w:t xml:space="preserve">patients presenting with </w:t>
      </w:r>
      <w:r w:rsidRPr="005B6C8E">
        <w:t xml:space="preserve">WHO FC III and WHO FC IV </w:t>
      </w:r>
      <w:r>
        <w:t xml:space="preserve">assessed </w:t>
      </w:r>
      <w:r w:rsidRPr="005B6C8E">
        <w:t>with high risk factors.</w:t>
      </w:r>
    </w:p>
    <w:p w14:paraId="5013C617" w14:textId="77777777" w:rsidR="001960CE" w:rsidRPr="00BE4BFD" w:rsidRDefault="001960CE" w:rsidP="001960CE">
      <w:pPr>
        <w:pStyle w:val="ListParagraph"/>
        <w:widowControl w:val="0"/>
        <w:numPr>
          <w:ilvl w:val="0"/>
          <w:numId w:val="41"/>
        </w:numPr>
        <w:adjustRightInd w:val="0"/>
        <w:spacing w:before="120"/>
        <w:ind w:left="567" w:hanging="567"/>
        <w:contextualSpacing w:val="0"/>
        <w:jc w:val="left"/>
        <w:textAlignment w:val="baseline"/>
      </w:pPr>
      <w:r w:rsidRPr="00BE4BFD">
        <w:t xml:space="preserve">Use of initial combination therapies in general is contrary to Quality </w:t>
      </w:r>
      <w:r>
        <w:t>U</w:t>
      </w:r>
      <w:r w:rsidRPr="00BE4BFD">
        <w:t>se of Medicine principles</w:t>
      </w:r>
      <w:r>
        <w:t xml:space="preserve"> in Australia</w:t>
      </w:r>
      <w:r w:rsidRPr="00BE4BFD">
        <w:t>, whereby response to a single medicine should be confirmed prior to initiating a second medicine. According to current PBS restrictions if there is no response (i.e. stability or improvement of disease) to the first PAH therapy, the medicine should be ceased.</w:t>
      </w:r>
    </w:p>
    <w:p w14:paraId="21A34FB4" w14:textId="77777777" w:rsidR="001960CE" w:rsidRPr="00664FCB" w:rsidRDefault="001960CE" w:rsidP="001960CE">
      <w:pPr>
        <w:pStyle w:val="ListParagraph"/>
        <w:widowControl w:val="0"/>
        <w:numPr>
          <w:ilvl w:val="0"/>
          <w:numId w:val="41"/>
        </w:numPr>
        <w:adjustRightInd w:val="0"/>
        <w:spacing w:after="120"/>
        <w:ind w:left="567" w:hanging="567"/>
        <w:jc w:val="left"/>
        <w:textAlignment w:val="baseline"/>
        <w:rPr>
          <w:szCs w:val="24"/>
        </w:rPr>
      </w:pPr>
      <w:r>
        <w:rPr>
          <w:szCs w:val="24"/>
        </w:rPr>
        <w:t>According to the literature review in TOR 4, t</w:t>
      </w:r>
      <w:r w:rsidRPr="005B6C8E">
        <w:rPr>
          <w:szCs w:val="24"/>
        </w:rPr>
        <w:t>he</w:t>
      </w:r>
      <w:r>
        <w:rPr>
          <w:szCs w:val="24"/>
        </w:rPr>
        <w:t xml:space="preserve"> majority of the </w:t>
      </w:r>
      <w:r w:rsidRPr="005B6C8E">
        <w:rPr>
          <w:szCs w:val="24"/>
        </w:rPr>
        <w:t xml:space="preserve">available clinical trial evidence to support </w:t>
      </w:r>
      <w:r>
        <w:rPr>
          <w:szCs w:val="24"/>
        </w:rPr>
        <w:t>c</w:t>
      </w:r>
      <w:r w:rsidRPr="005B6C8E">
        <w:rPr>
          <w:szCs w:val="24"/>
        </w:rPr>
        <w:t xml:space="preserve">ombination therapy with PAH medicines </w:t>
      </w:r>
      <w:r w:rsidRPr="00664FCB">
        <w:rPr>
          <w:szCs w:val="24"/>
        </w:rPr>
        <w:t>is in the whole PAH population and not presented according to WHO FC</w:t>
      </w:r>
      <w:r>
        <w:rPr>
          <w:szCs w:val="24"/>
        </w:rPr>
        <w:t xml:space="preserve"> III/IV</w:t>
      </w:r>
      <w:r w:rsidRPr="00664FCB">
        <w:rPr>
          <w:szCs w:val="24"/>
        </w:rPr>
        <w:t>.</w:t>
      </w:r>
      <w:r>
        <w:rPr>
          <w:szCs w:val="24"/>
        </w:rPr>
        <w:t xml:space="preserve"> The exception was the four trials that assessed the benefit of adding ERA to a prostanoid or vice versa, that were </w:t>
      </w:r>
      <w:r>
        <w:rPr>
          <w:szCs w:val="24"/>
        </w:rPr>
        <w:lastRenderedPageBreak/>
        <w:t>all conducted in predominantly patients in WHO FC III or IV.</w:t>
      </w:r>
    </w:p>
    <w:p w14:paraId="113573BA" w14:textId="77777777" w:rsidR="001960CE" w:rsidRPr="00FC07B4" w:rsidRDefault="001960CE" w:rsidP="001960CE">
      <w:pPr>
        <w:widowControl w:val="0"/>
        <w:numPr>
          <w:ilvl w:val="0"/>
          <w:numId w:val="53"/>
        </w:numPr>
        <w:adjustRightInd w:val="0"/>
        <w:spacing w:before="120"/>
        <w:jc w:val="left"/>
        <w:textAlignment w:val="baseline"/>
      </w:pPr>
      <w:r w:rsidRPr="00664FCB">
        <w:rPr>
          <w:szCs w:val="24"/>
        </w:rPr>
        <w:t>In most dual combination PAH therapy trials there was some evidence to suggest benefit from adding a second PAH medicines compared to being treated with monotherapy</w:t>
      </w:r>
      <w:r>
        <w:rPr>
          <w:szCs w:val="24"/>
        </w:rPr>
        <w:t>, noting much of this evidence relied on sub-group analyses for WHO FC III/IV</w:t>
      </w:r>
      <w:r w:rsidDel="00FC7F5E">
        <w:rPr>
          <w:szCs w:val="24"/>
        </w:rPr>
        <w:t xml:space="preserve"> </w:t>
      </w:r>
      <w:r>
        <w:rPr>
          <w:szCs w:val="24"/>
        </w:rPr>
        <w:t>or the whole PAH population.</w:t>
      </w:r>
    </w:p>
    <w:p w14:paraId="4AA5570C" w14:textId="77777777" w:rsidR="001960CE" w:rsidRDefault="001960CE" w:rsidP="001960CE">
      <w:pPr>
        <w:pStyle w:val="ListParagraph"/>
        <w:widowControl w:val="0"/>
        <w:numPr>
          <w:ilvl w:val="0"/>
          <w:numId w:val="41"/>
        </w:numPr>
        <w:adjustRightInd w:val="0"/>
        <w:spacing w:after="120"/>
        <w:ind w:left="567" w:hanging="567"/>
        <w:jc w:val="left"/>
        <w:textAlignment w:val="baseline"/>
        <w:rPr>
          <w:szCs w:val="24"/>
        </w:rPr>
      </w:pPr>
      <w:r>
        <w:rPr>
          <w:szCs w:val="24"/>
        </w:rPr>
        <w:t>Overall i</w:t>
      </w:r>
      <w:r w:rsidRPr="00634C1A">
        <w:rPr>
          <w:szCs w:val="24"/>
        </w:rPr>
        <w:t>n terms of safety, combination therapy could be non-inferior to monotherapy, noting some uncertainty</w:t>
      </w:r>
      <w:r>
        <w:rPr>
          <w:szCs w:val="24"/>
        </w:rPr>
        <w:t xml:space="preserve"> and also paucity of data.</w:t>
      </w:r>
    </w:p>
    <w:p w14:paraId="44095534" w14:textId="77777777" w:rsidR="001960CE" w:rsidRPr="00634C1A" w:rsidRDefault="001960CE" w:rsidP="001960CE">
      <w:pPr>
        <w:pStyle w:val="ListParagraph"/>
        <w:widowControl w:val="0"/>
        <w:numPr>
          <w:ilvl w:val="0"/>
          <w:numId w:val="41"/>
        </w:numPr>
        <w:adjustRightInd w:val="0"/>
        <w:spacing w:after="120"/>
        <w:ind w:left="567" w:hanging="567"/>
        <w:jc w:val="left"/>
        <w:textAlignment w:val="baseline"/>
        <w:rPr>
          <w:szCs w:val="24"/>
        </w:rPr>
      </w:pPr>
      <w:r w:rsidRPr="00634C1A">
        <w:rPr>
          <w:szCs w:val="24"/>
        </w:rPr>
        <w:t xml:space="preserve">There is </w:t>
      </w:r>
      <w:r>
        <w:rPr>
          <w:szCs w:val="24"/>
        </w:rPr>
        <w:t xml:space="preserve">a </w:t>
      </w:r>
      <w:r w:rsidRPr="00634C1A">
        <w:rPr>
          <w:szCs w:val="24"/>
        </w:rPr>
        <w:t>possible safety concern for serious adverse events (AEs) in the subgroup of patients with PAH-CTD treated with a PDE-5 inhibitor in addition to an ERA.</w:t>
      </w:r>
    </w:p>
    <w:p w14:paraId="351690AC" w14:textId="77777777" w:rsidR="001960CE" w:rsidRPr="00634C1A" w:rsidRDefault="001960CE" w:rsidP="001960CE">
      <w:pPr>
        <w:pStyle w:val="ListParagraph"/>
        <w:widowControl w:val="0"/>
        <w:numPr>
          <w:ilvl w:val="0"/>
          <w:numId w:val="41"/>
        </w:numPr>
        <w:adjustRightInd w:val="0"/>
        <w:spacing w:after="120"/>
        <w:ind w:left="567" w:hanging="567"/>
        <w:jc w:val="left"/>
        <w:textAlignment w:val="baseline"/>
        <w:rPr>
          <w:szCs w:val="24"/>
        </w:rPr>
      </w:pPr>
      <w:r>
        <w:rPr>
          <w:szCs w:val="24"/>
        </w:rPr>
        <w:t>There</w:t>
      </w:r>
      <w:r w:rsidRPr="00634C1A">
        <w:rPr>
          <w:szCs w:val="24"/>
        </w:rPr>
        <w:t xml:space="preserve"> is considerable uncertainty as to whether the use of a prostanoid in addition to an ERA is likely to be as safe as ERA monotherapy in patients with WHO FC III/IV PAH</w:t>
      </w:r>
      <w:r>
        <w:rPr>
          <w:szCs w:val="24"/>
        </w:rPr>
        <w:t>.</w:t>
      </w:r>
    </w:p>
    <w:p w14:paraId="3DB8D5B9" w14:textId="77777777" w:rsidR="001960CE" w:rsidRPr="00132005" w:rsidRDefault="00C07794" w:rsidP="001960CE">
      <w:pPr>
        <w:keepNext/>
        <w:keepLines/>
        <w:spacing w:before="120"/>
        <w:ind w:left="720"/>
        <w:jc w:val="left"/>
        <w:rPr>
          <w:b/>
          <w:sz w:val="16"/>
          <w:szCs w:val="16"/>
          <w:highlight w:val="black"/>
        </w:rPr>
      </w:pPr>
      <w:r w:rsidRPr="00132005">
        <w:rPr>
          <w:b/>
          <w:noProof/>
          <w:color w:val="000000"/>
          <w:sz w:val="16"/>
          <w:szCs w:val="16"/>
          <w:highlight w:val="black"/>
        </w:rPr>
        <w:t>'''''''''''''''''''''''' '''' ''''''''''''''''''' '' ''''''''''</w:t>
      </w:r>
    </w:p>
    <w:p w14:paraId="76EBFFBB" w14:textId="77777777" w:rsidR="001960CE" w:rsidRPr="00132005" w:rsidRDefault="00C07794" w:rsidP="00C07794">
      <w:pPr>
        <w:keepNext/>
        <w:keepLines/>
        <w:widowControl w:val="0"/>
        <w:spacing w:before="120"/>
        <w:ind w:left="1080" w:hanging="360"/>
        <w:jc w:val="left"/>
        <w:textAlignment w:val="baseline"/>
        <w:rPr>
          <w:sz w:val="16"/>
          <w:szCs w:val="16"/>
          <w:highlight w:val="black"/>
        </w:rPr>
      </w:pPr>
      <w:r w:rsidRPr="00132005">
        <w:rPr>
          <w:rFonts w:ascii="Courier New" w:hAnsi="Courier New" w:cs="Courier New"/>
          <w:noProof/>
          <w:color w:val="000000"/>
          <w:sz w:val="16"/>
          <w:szCs w:val="16"/>
          <w:highlight w:val="black"/>
        </w:rPr>
        <w:t>'''''''''' '''' '''''''''''''''''' '''' ''''''''' ''''''' '''''''''' ''''''''' '''''''''' ''' ''''''''''''''''''''''''' '''''''''''''''''''' '''' ''''' ''''''''''''''' '''''''''''''''' '''''''''''''''''''' ''''''' ''''''''''''' ''''''''''''' '''''''''' ''' '''''' '''''''''''''''''' '''' ''''''''''' ''' '''''''''''''''''''' '''''''''''''''''''' '''' '''''''''''''''''''' ''''''''''''''''''''''''''''</w:t>
      </w:r>
    </w:p>
    <w:p w14:paraId="56BEADDB" w14:textId="77777777" w:rsidR="001960CE" w:rsidRPr="00132005" w:rsidRDefault="00C07794" w:rsidP="001960CE">
      <w:pPr>
        <w:keepNext/>
        <w:keepLines/>
        <w:spacing w:before="120"/>
        <w:ind w:left="720"/>
        <w:jc w:val="left"/>
        <w:rPr>
          <w:b/>
          <w:sz w:val="16"/>
          <w:szCs w:val="16"/>
          <w:highlight w:val="black"/>
        </w:rPr>
      </w:pPr>
      <w:r w:rsidRPr="00132005">
        <w:rPr>
          <w:b/>
          <w:noProof/>
          <w:color w:val="000000"/>
          <w:sz w:val="16"/>
          <w:szCs w:val="16"/>
          <w:highlight w:val="black"/>
        </w:rPr>
        <w:t>''''''''''''''''''''''' '''' ''''''''''''''''''''' '' '''''''</w:t>
      </w:r>
    </w:p>
    <w:p w14:paraId="6C208D63" w14:textId="77777777" w:rsidR="001960CE" w:rsidRPr="005B6C8E" w:rsidRDefault="001960CE" w:rsidP="001960CE">
      <w:pPr>
        <w:keepNext/>
        <w:keepLines/>
        <w:widowControl w:val="0"/>
        <w:numPr>
          <w:ilvl w:val="0"/>
          <w:numId w:val="52"/>
        </w:numPr>
        <w:spacing w:before="120"/>
        <w:ind w:left="567" w:hanging="567"/>
        <w:jc w:val="left"/>
        <w:textAlignment w:val="baseline"/>
        <w:rPr>
          <w:szCs w:val="24"/>
        </w:rPr>
      </w:pPr>
      <w:r>
        <w:rPr>
          <w:szCs w:val="24"/>
        </w:rPr>
        <w:t>T</w:t>
      </w:r>
      <w:r w:rsidRPr="005B6C8E">
        <w:rPr>
          <w:szCs w:val="24"/>
        </w:rPr>
        <w:t>here were no trials or larger observational studies found that</w:t>
      </w:r>
      <w:r>
        <w:rPr>
          <w:szCs w:val="24"/>
        </w:rPr>
        <w:t xml:space="preserve"> included current PBS PAH medicines that</w:t>
      </w:r>
      <w:r w:rsidRPr="005B6C8E">
        <w:rPr>
          <w:szCs w:val="24"/>
        </w:rPr>
        <w:t xml:space="preserve"> compared triple combination therapy with dual combination therapy in any patients with PAH.</w:t>
      </w:r>
    </w:p>
    <w:p w14:paraId="37DCFF35" w14:textId="77777777" w:rsidR="001960CE" w:rsidRDefault="001960CE" w:rsidP="001960CE">
      <w:pPr>
        <w:keepNext/>
        <w:keepLines/>
        <w:widowControl w:val="0"/>
        <w:numPr>
          <w:ilvl w:val="0"/>
          <w:numId w:val="52"/>
        </w:numPr>
        <w:spacing w:before="120"/>
        <w:ind w:left="567" w:hanging="567"/>
        <w:jc w:val="left"/>
        <w:textAlignment w:val="baseline"/>
        <w:rPr>
          <w:szCs w:val="24"/>
        </w:rPr>
      </w:pPr>
      <w:r w:rsidRPr="00AB67D8" w:rsidDel="00950BE2">
        <w:rPr>
          <w:szCs w:val="24"/>
        </w:rPr>
        <w:t>Registry data identifies that currently about 40% of patients receive dual combination therapy and 10% triple combination therapy.</w:t>
      </w:r>
    </w:p>
    <w:p w14:paraId="343771FE" w14:textId="77777777" w:rsidR="001960CE" w:rsidRDefault="001960CE" w:rsidP="001960CE">
      <w:pPr>
        <w:keepNext/>
        <w:keepLines/>
        <w:widowControl w:val="0"/>
        <w:numPr>
          <w:ilvl w:val="0"/>
          <w:numId w:val="52"/>
        </w:numPr>
        <w:spacing w:before="120"/>
        <w:ind w:left="567" w:hanging="567"/>
        <w:jc w:val="left"/>
        <w:textAlignment w:val="baseline"/>
      </w:pPr>
      <w:r w:rsidRPr="00AB67D8">
        <w:t xml:space="preserve">The PBAC has </w:t>
      </w:r>
      <w:r>
        <w:t>considered two</w:t>
      </w:r>
      <w:r w:rsidRPr="00AB67D8">
        <w:t xml:space="preserve"> submission</w:t>
      </w:r>
      <w:r>
        <w:t>s</w:t>
      </w:r>
      <w:r w:rsidRPr="00AB67D8">
        <w:t xml:space="preserve"> for combination therapy; selexipag in combination with and ERA and</w:t>
      </w:r>
      <w:r>
        <w:t xml:space="preserve"> or</w:t>
      </w:r>
      <w:r w:rsidRPr="00AB67D8">
        <w:t xml:space="preserve"> PDE-5 (</w:t>
      </w:r>
      <w:r>
        <w:t xml:space="preserve">Selexipag </w:t>
      </w:r>
      <w:r w:rsidRPr="00AB67D8">
        <w:t>P</w:t>
      </w:r>
      <w:r>
        <w:t xml:space="preserve">ublic </w:t>
      </w:r>
      <w:r w:rsidRPr="00AB67D8">
        <w:t>S</w:t>
      </w:r>
      <w:r>
        <w:t xml:space="preserve">ummary </w:t>
      </w:r>
      <w:r w:rsidRPr="00AB67D8">
        <w:t>D</w:t>
      </w:r>
      <w:r>
        <w:t>ocument</w:t>
      </w:r>
      <w:r w:rsidRPr="00AB67D8">
        <w:t>s</w:t>
      </w:r>
      <w:r>
        <w:t xml:space="preserve">, </w:t>
      </w:r>
      <w:r w:rsidRPr="00AB67D8">
        <w:t xml:space="preserve">2016 and 2017). Both submissions were rejected </w:t>
      </w:r>
      <w:r>
        <w:t>because</w:t>
      </w:r>
      <w:r w:rsidRPr="00AB67D8">
        <w:t xml:space="preserve"> the </w:t>
      </w:r>
      <w:r>
        <w:t>magnitude and clinical relevance of any benefit remained unclear and the cost-effectiveness analysis presented a high and uncertain ICER.</w:t>
      </w:r>
    </w:p>
    <w:p w14:paraId="4E1CD9AA" w14:textId="77777777" w:rsidR="001960CE" w:rsidRPr="00AB67D8" w:rsidRDefault="001960CE" w:rsidP="001960CE">
      <w:pPr>
        <w:keepNext/>
        <w:keepLines/>
        <w:widowControl w:val="0"/>
        <w:numPr>
          <w:ilvl w:val="0"/>
          <w:numId w:val="52"/>
        </w:numPr>
        <w:spacing w:before="120"/>
        <w:ind w:left="567" w:hanging="567"/>
        <w:jc w:val="left"/>
        <w:textAlignment w:val="baseline"/>
      </w:pPr>
      <w:r>
        <w:t xml:space="preserve">PBAC </w:t>
      </w:r>
      <w:r w:rsidR="002C4D4C">
        <w:t xml:space="preserve">has in the past </w:t>
      </w:r>
      <w:r>
        <w:t xml:space="preserve">noted </w:t>
      </w:r>
      <w:r w:rsidRPr="00AB67D8">
        <w:t>that cost-effectiveness in the setting of monotherapy cannot necessarily be generalised to cost-effectiveness in the setting of combination therapy (Selexipag Public Summary Document, March 2016).</w:t>
      </w:r>
    </w:p>
    <w:p w14:paraId="43D73808" w14:textId="77777777" w:rsidR="001960CE" w:rsidRPr="005B6C8E" w:rsidRDefault="001960CE" w:rsidP="001960CE">
      <w:pPr>
        <w:spacing w:before="120"/>
        <w:ind w:left="360" w:hanging="360"/>
        <w:jc w:val="left"/>
        <w:rPr>
          <w:szCs w:val="24"/>
          <w:u w:val="single"/>
        </w:rPr>
      </w:pPr>
      <w:r w:rsidRPr="005B6C8E">
        <w:rPr>
          <w:szCs w:val="24"/>
          <w:u w:val="single"/>
        </w:rPr>
        <w:t>Stakeholder views</w:t>
      </w:r>
    </w:p>
    <w:p w14:paraId="328D6C9D" w14:textId="77777777" w:rsidR="001960CE" w:rsidRPr="005B6C8E" w:rsidRDefault="001960CE">
      <w:pPr>
        <w:pStyle w:val="ListParagraph"/>
        <w:widowControl w:val="0"/>
        <w:numPr>
          <w:ilvl w:val="0"/>
          <w:numId w:val="35"/>
        </w:numPr>
        <w:adjustRightInd w:val="0"/>
        <w:spacing w:after="120"/>
        <w:ind w:left="567" w:hanging="567"/>
        <w:contextualSpacing w:val="0"/>
        <w:jc w:val="left"/>
        <w:textAlignment w:val="baseline"/>
        <w:rPr>
          <w:szCs w:val="24"/>
        </w:rPr>
      </w:pPr>
      <w:r w:rsidRPr="005B6C8E">
        <w:rPr>
          <w:szCs w:val="24"/>
        </w:rPr>
        <w:t xml:space="preserve">The majority of consumers </w:t>
      </w:r>
      <w:r w:rsidR="007A59FC">
        <w:rPr>
          <w:szCs w:val="24"/>
        </w:rPr>
        <w:t xml:space="preserve">and prescribers are supportive of </w:t>
      </w:r>
      <w:r w:rsidR="005C669A">
        <w:rPr>
          <w:szCs w:val="24"/>
        </w:rPr>
        <w:t>subsidised a</w:t>
      </w:r>
      <w:r w:rsidR="007A59FC">
        <w:rPr>
          <w:szCs w:val="24"/>
        </w:rPr>
        <w:t>cces</w:t>
      </w:r>
      <w:r w:rsidR="005C669A">
        <w:rPr>
          <w:szCs w:val="24"/>
        </w:rPr>
        <w:t>s</w:t>
      </w:r>
      <w:r w:rsidR="007A59FC">
        <w:rPr>
          <w:szCs w:val="24"/>
        </w:rPr>
        <w:t xml:space="preserve"> to combination</w:t>
      </w:r>
      <w:r w:rsidR="005C669A">
        <w:rPr>
          <w:szCs w:val="24"/>
        </w:rPr>
        <w:t xml:space="preserve"> PAH</w:t>
      </w:r>
      <w:r w:rsidR="007A59FC">
        <w:rPr>
          <w:szCs w:val="24"/>
        </w:rPr>
        <w:t xml:space="preserve"> therap</w:t>
      </w:r>
      <w:r w:rsidR="005C669A">
        <w:rPr>
          <w:szCs w:val="24"/>
        </w:rPr>
        <w:t>ies.</w:t>
      </w:r>
    </w:p>
    <w:p w14:paraId="768C977A" w14:textId="77777777" w:rsidR="002979B2" w:rsidRPr="00FA5DA2" w:rsidRDefault="001960CE" w:rsidP="00FA5DA2">
      <w:pPr>
        <w:pStyle w:val="ListParagraph"/>
        <w:widowControl w:val="0"/>
        <w:numPr>
          <w:ilvl w:val="0"/>
          <w:numId w:val="35"/>
        </w:numPr>
        <w:adjustRightInd w:val="0"/>
        <w:spacing w:after="120"/>
        <w:ind w:left="567" w:hanging="567"/>
        <w:contextualSpacing w:val="0"/>
        <w:jc w:val="left"/>
        <w:textAlignment w:val="baseline"/>
        <w:rPr>
          <w:szCs w:val="24"/>
        </w:rPr>
      </w:pPr>
      <w:r w:rsidRPr="005B6C8E">
        <w:rPr>
          <w:szCs w:val="24"/>
        </w:rPr>
        <w:t>Consumers experience anxiety about the continued availability</w:t>
      </w:r>
      <w:r w:rsidR="007A59FC">
        <w:rPr>
          <w:szCs w:val="24"/>
        </w:rPr>
        <w:t xml:space="preserve"> and financial burden </w:t>
      </w:r>
      <w:r w:rsidRPr="005B6C8E">
        <w:rPr>
          <w:szCs w:val="24"/>
        </w:rPr>
        <w:t>of PAH medicines, especially at the time when particular pharmaceutical acces</w:t>
      </w:r>
      <w:r>
        <w:rPr>
          <w:szCs w:val="24"/>
        </w:rPr>
        <w:t xml:space="preserve">s </w:t>
      </w:r>
      <w:r>
        <w:rPr>
          <w:szCs w:val="24"/>
        </w:rPr>
        <w:lastRenderedPageBreak/>
        <w:t>programs or drug trials end.</w:t>
      </w:r>
    </w:p>
    <w:p w14:paraId="0A9C185D" w14:textId="77777777" w:rsidR="002979B2" w:rsidRPr="002979B2" w:rsidRDefault="002979B2" w:rsidP="00502C90">
      <w:pPr>
        <w:spacing w:before="120"/>
        <w:ind w:left="360" w:hanging="360"/>
        <w:jc w:val="left"/>
        <w:rPr>
          <w:szCs w:val="24"/>
          <w:u w:val="single"/>
        </w:rPr>
      </w:pPr>
      <w:r w:rsidRPr="002979B2">
        <w:rPr>
          <w:szCs w:val="24"/>
          <w:u w:val="single"/>
        </w:rPr>
        <w:t>Reference Group views</w:t>
      </w:r>
    </w:p>
    <w:p w14:paraId="215F50C6" w14:textId="77777777" w:rsidR="00CE43D0" w:rsidRPr="00840044" w:rsidRDefault="00CE43D0" w:rsidP="00502C90">
      <w:pPr>
        <w:pStyle w:val="ListParagraph"/>
        <w:widowControl w:val="0"/>
        <w:numPr>
          <w:ilvl w:val="0"/>
          <w:numId w:val="35"/>
        </w:numPr>
        <w:adjustRightInd w:val="0"/>
        <w:spacing w:after="120"/>
        <w:ind w:left="567" w:hanging="567"/>
        <w:contextualSpacing w:val="0"/>
        <w:jc w:val="left"/>
        <w:textAlignment w:val="baseline"/>
        <w:rPr>
          <w:szCs w:val="24"/>
        </w:rPr>
      </w:pPr>
      <w:r w:rsidRPr="00CE43D0">
        <w:rPr>
          <w:szCs w:val="24"/>
        </w:rPr>
        <w:t xml:space="preserve">The </w:t>
      </w:r>
      <w:r>
        <w:rPr>
          <w:szCs w:val="24"/>
        </w:rPr>
        <w:t>Reference Group</w:t>
      </w:r>
      <w:r w:rsidRPr="00CE43D0">
        <w:rPr>
          <w:szCs w:val="24"/>
        </w:rPr>
        <w:t xml:space="preserve"> </w:t>
      </w:r>
      <w:r w:rsidR="005C669A">
        <w:rPr>
          <w:szCs w:val="24"/>
        </w:rPr>
        <w:t>were supportive of subsidising</w:t>
      </w:r>
      <w:r w:rsidRPr="00CE43D0">
        <w:rPr>
          <w:szCs w:val="24"/>
        </w:rPr>
        <w:t xml:space="preserve"> initial sequential combination therapy for patients in WHO FC III and IV and advised that clinicians introduce medicines </w:t>
      </w:r>
      <w:r w:rsidR="005C669A">
        <w:rPr>
          <w:szCs w:val="24"/>
        </w:rPr>
        <w:t>one at a time</w:t>
      </w:r>
      <w:r w:rsidRPr="00CE43D0">
        <w:rPr>
          <w:szCs w:val="24"/>
        </w:rPr>
        <w:t xml:space="preserve">, consistent with QUM and the medicines’ Product Information. </w:t>
      </w:r>
      <w:r w:rsidRPr="00AD1E14">
        <w:rPr>
          <w:szCs w:val="24"/>
        </w:rPr>
        <w:t>PAH medicines are initiated separately to ensure adverse side effects, if they occur</w:t>
      </w:r>
      <w:r w:rsidRPr="00840044">
        <w:rPr>
          <w:szCs w:val="24"/>
        </w:rPr>
        <w:t>, can be attributed to the correct medicine. However the second PAH medicines is added after a month or six weeks without the requirement for the patient’s condition to deteriorate further or have repeated right heart catheterisation.</w:t>
      </w:r>
    </w:p>
    <w:p w14:paraId="60AA7D1E" w14:textId="77777777" w:rsidR="00CE43D0" w:rsidRPr="00CE43D0" w:rsidRDefault="00CE43D0" w:rsidP="00502C90">
      <w:pPr>
        <w:pStyle w:val="ListParagraph"/>
        <w:widowControl w:val="0"/>
        <w:numPr>
          <w:ilvl w:val="0"/>
          <w:numId w:val="35"/>
        </w:numPr>
        <w:adjustRightInd w:val="0"/>
        <w:spacing w:after="120"/>
        <w:ind w:left="567" w:hanging="567"/>
        <w:contextualSpacing w:val="0"/>
        <w:jc w:val="left"/>
        <w:textAlignment w:val="baseline"/>
        <w:rPr>
          <w:szCs w:val="24"/>
        </w:rPr>
      </w:pPr>
      <w:r w:rsidRPr="00840044">
        <w:rPr>
          <w:szCs w:val="24"/>
        </w:rPr>
        <w:t xml:space="preserve">The </w:t>
      </w:r>
      <w:r>
        <w:rPr>
          <w:szCs w:val="24"/>
        </w:rPr>
        <w:t>Reference Group</w:t>
      </w:r>
      <w:r w:rsidRPr="00CE43D0">
        <w:rPr>
          <w:szCs w:val="24"/>
        </w:rPr>
        <w:t xml:space="preserve"> </w:t>
      </w:r>
      <w:r w:rsidR="00705B01">
        <w:rPr>
          <w:szCs w:val="24"/>
        </w:rPr>
        <w:t xml:space="preserve">noted the DUSC comments and </w:t>
      </w:r>
      <w:r w:rsidRPr="00CE43D0">
        <w:rPr>
          <w:szCs w:val="24"/>
        </w:rPr>
        <w:t>advised that clinicians have tried switching of PAH medicines</w:t>
      </w:r>
      <w:r w:rsidR="00705B01">
        <w:rPr>
          <w:szCs w:val="24"/>
        </w:rPr>
        <w:t xml:space="preserve"> in the past </w:t>
      </w:r>
      <w:r w:rsidRPr="00CE43D0">
        <w:rPr>
          <w:szCs w:val="24"/>
        </w:rPr>
        <w:t>and experienced poor outcomes for patients. Therefore, clinical trials</w:t>
      </w:r>
      <w:r w:rsidR="00705B01">
        <w:rPr>
          <w:szCs w:val="24"/>
        </w:rPr>
        <w:t xml:space="preserve"> that</w:t>
      </w:r>
      <w:r w:rsidRPr="00CE43D0">
        <w:rPr>
          <w:szCs w:val="24"/>
        </w:rPr>
        <w:t xml:space="preserve"> compar</w:t>
      </w:r>
      <w:r w:rsidR="00705B01">
        <w:rPr>
          <w:szCs w:val="24"/>
        </w:rPr>
        <w:t>ed</w:t>
      </w:r>
      <w:r w:rsidRPr="00CE43D0">
        <w:rPr>
          <w:szCs w:val="24"/>
        </w:rPr>
        <w:t xml:space="preserve"> switching medicines to combination therapy would not be forthcoming.</w:t>
      </w:r>
    </w:p>
    <w:p w14:paraId="078EC2CA" w14:textId="77777777" w:rsidR="00CE43D0" w:rsidRPr="00CE43D0" w:rsidRDefault="00CE43D0" w:rsidP="00502C90">
      <w:pPr>
        <w:pStyle w:val="ListParagraph"/>
        <w:widowControl w:val="0"/>
        <w:numPr>
          <w:ilvl w:val="0"/>
          <w:numId w:val="35"/>
        </w:numPr>
        <w:adjustRightInd w:val="0"/>
        <w:spacing w:after="120"/>
        <w:ind w:left="567" w:hanging="567"/>
        <w:contextualSpacing w:val="0"/>
        <w:jc w:val="left"/>
        <w:textAlignment w:val="baseline"/>
        <w:rPr>
          <w:szCs w:val="24"/>
        </w:rPr>
      </w:pPr>
      <w:r w:rsidRPr="00AD1E14">
        <w:rPr>
          <w:szCs w:val="24"/>
        </w:rPr>
        <w:t xml:space="preserve">Once </w:t>
      </w:r>
      <w:r w:rsidR="001A11BF">
        <w:rPr>
          <w:szCs w:val="24"/>
        </w:rPr>
        <w:t xml:space="preserve">the </w:t>
      </w:r>
      <w:r w:rsidRPr="00AD1E14">
        <w:rPr>
          <w:szCs w:val="24"/>
        </w:rPr>
        <w:t xml:space="preserve">PBAC has made recommendations for the Review Options, the current PBS restrictions would need to be redrafted and presented again to the </w:t>
      </w:r>
      <w:r>
        <w:rPr>
          <w:szCs w:val="24"/>
        </w:rPr>
        <w:t>Reference Group</w:t>
      </w:r>
      <w:r w:rsidRPr="00CE43D0">
        <w:rPr>
          <w:szCs w:val="24"/>
        </w:rPr>
        <w:t xml:space="preserve"> and </w:t>
      </w:r>
      <w:r w:rsidR="001A11BF">
        <w:rPr>
          <w:szCs w:val="24"/>
        </w:rPr>
        <w:t xml:space="preserve">the </w:t>
      </w:r>
      <w:r w:rsidRPr="00CE43D0">
        <w:rPr>
          <w:szCs w:val="24"/>
        </w:rPr>
        <w:t xml:space="preserve">PBAC. The </w:t>
      </w:r>
      <w:r>
        <w:rPr>
          <w:szCs w:val="24"/>
        </w:rPr>
        <w:t>Reference Group</w:t>
      </w:r>
      <w:r w:rsidRPr="00CE43D0">
        <w:rPr>
          <w:szCs w:val="24"/>
        </w:rPr>
        <w:t xml:space="preserve"> members offered their assistance in this process.</w:t>
      </w:r>
    </w:p>
    <w:p w14:paraId="0AD37F86" w14:textId="77777777" w:rsidR="00CE43D0" w:rsidRPr="00CE43D0" w:rsidRDefault="00CE43D0" w:rsidP="00502C90">
      <w:pPr>
        <w:pStyle w:val="ListParagraph"/>
        <w:widowControl w:val="0"/>
        <w:numPr>
          <w:ilvl w:val="0"/>
          <w:numId w:val="35"/>
        </w:numPr>
        <w:adjustRightInd w:val="0"/>
        <w:spacing w:after="120"/>
        <w:ind w:left="567" w:hanging="567"/>
        <w:contextualSpacing w:val="0"/>
        <w:jc w:val="left"/>
        <w:textAlignment w:val="baseline"/>
        <w:rPr>
          <w:szCs w:val="24"/>
        </w:rPr>
      </w:pPr>
      <w:r w:rsidRPr="00CE43D0">
        <w:rPr>
          <w:szCs w:val="24"/>
        </w:rPr>
        <w:t xml:space="preserve">The </w:t>
      </w:r>
      <w:r>
        <w:rPr>
          <w:szCs w:val="24"/>
        </w:rPr>
        <w:t>Reference Group</w:t>
      </w:r>
      <w:r w:rsidRPr="00CE43D0">
        <w:rPr>
          <w:szCs w:val="24"/>
        </w:rPr>
        <w:t xml:space="preserve"> considered that a reapplication to the PBS would be appropriate for patients who failed therapy in WHO FC II and progressed to WHO FC III, includi</w:t>
      </w:r>
      <w:r>
        <w:rPr>
          <w:szCs w:val="24"/>
        </w:rPr>
        <w:t xml:space="preserve">ng a full clinical assessment. </w:t>
      </w:r>
      <w:r w:rsidRPr="00CE43D0">
        <w:rPr>
          <w:szCs w:val="24"/>
        </w:rPr>
        <w:t xml:space="preserve">The </w:t>
      </w:r>
      <w:r>
        <w:rPr>
          <w:szCs w:val="24"/>
        </w:rPr>
        <w:t>Reference Group</w:t>
      </w:r>
      <w:r w:rsidRPr="00CE43D0">
        <w:rPr>
          <w:szCs w:val="24"/>
        </w:rPr>
        <w:t xml:space="preserve"> considered this should not restrict any medicine (group) from being prescribed again for patients in WHO FC III.</w:t>
      </w:r>
    </w:p>
    <w:p w14:paraId="6ECFFDBC" w14:textId="77777777" w:rsidR="00CE43D0" w:rsidRPr="00AD1E14" w:rsidRDefault="00CE43D0" w:rsidP="000415A4">
      <w:pPr>
        <w:pStyle w:val="ListParagraph"/>
        <w:widowControl w:val="0"/>
        <w:numPr>
          <w:ilvl w:val="0"/>
          <w:numId w:val="35"/>
        </w:numPr>
        <w:adjustRightInd w:val="0"/>
        <w:spacing w:after="360"/>
        <w:ind w:left="567" w:hanging="567"/>
        <w:contextualSpacing w:val="0"/>
        <w:jc w:val="left"/>
        <w:textAlignment w:val="baseline"/>
        <w:rPr>
          <w:szCs w:val="24"/>
        </w:rPr>
      </w:pPr>
      <w:r w:rsidRPr="00AD1E14">
        <w:rPr>
          <w:szCs w:val="24"/>
        </w:rPr>
        <w:t xml:space="preserve">The </w:t>
      </w:r>
      <w:r>
        <w:rPr>
          <w:szCs w:val="24"/>
        </w:rPr>
        <w:t>Reference Group</w:t>
      </w:r>
      <w:r w:rsidRPr="00CE43D0">
        <w:rPr>
          <w:szCs w:val="24"/>
        </w:rPr>
        <w:t xml:space="preserve"> considered that prescribers should be able to determine the particular combination of medicine suitable for their patients, instead of specifying medicine combinations </w:t>
      </w:r>
      <w:r w:rsidRPr="00AD1E14">
        <w:rPr>
          <w:szCs w:val="24"/>
        </w:rPr>
        <w:t>in the PBS restrictions.</w:t>
      </w:r>
    </w:p>
    <w:p w14:paraId="3C460F21" w14:textId="77777777" w:rsidR="001960CE" w:rsidRDefault="001960CE" w:rsidP="001960CE">
      <w:pPr>
        <w:jc w:val="left"/>
        <w:rPr>
          <w:b/>
          <w:i/>
          <w:szCs w:val="24"/>
        </w:rPr>
      </w:pPr>
      <w:r w:rsidRPr="005B6C8E">
        <w:rPr>
          <w:b/>
          <w:i/>
          <w:szCs w:val="24"/>
        </w:rPr>
        <w:t>Option</w:t>
      </w:r>
      <w:r>
        <w:rPr>
          <w:b/>
          <w:i/>
          <w:szCs w:val="24"/>
        </w:rPr>
        <w:t xml:space="preserve"> 4</w:t>
      </w:r>
      <w:r w:rsidR="00224232">
        <w:rPr>
          <w:b/>
          <w:i/>
          <w:szCs w:val="24"/>
        </w:rPr>
        <w:t>:</w:t>
      </w:r>
      <w:r w:rsidRPr="005B6C8E">
        <w:rPr>
          <w:b/>
          <w:i/>
          <w:szCs w:val="24"/>
        </w:rPr>
        <w:t xml:space="preserve"> </w:t>
      </w:r>
      <w:r>
        <w:rPr>
          <w:b/>
          <w:i/>
          <w:szCs w:val="24"/>
        </w:rPr>
        <w:t>To align PBS restrictions for PAH medicines with clinical treatment guidelines, consider:</w:t>
      </w:r>
    </w:p>
    <w:p w14:paraId="66BF4C50" w14:textId="77777777" w:rsidR="001960CE" w:rsidRDefault="001960CE" w:rsidP="001960CE">
      <w:pPr>
        <w:widowControl w:val="0"/>
        <w:numPr>
          <w:ilvl w:val="1"/>
          <w:numId w:val="40"/>
        </w:numPr>
        <w:adjustRightInd w:val="0"/>
        <w:ind w:left="0" w:firstLine="0"/>
        <w:jc w:val="left"/>
        <w:textAlignment w:val="baseline"/>
        <w:rPr>
          <w:b/>
          <w:i/>
          <w:szCs w:val="24"/>
        </w:rPr>
      </w:pPr>
      <w:r>
        <w:rPr>
          <w:b/>
          <w:i/>
          <w:szCs w:val="24"/>
        </w:rPr>
        <w:t>including a NOTE in the PBS restrictions identifying the need for a positive vasoreactivity test prior to trialling vasodilator (calcium channel blocker) treatment</w:t>
      </w:r>
      <w:r w:rsidR="002C4D4C">
        <w:rPr>
          <w:b/>
          <w:i/>
          <w:szCs w:val="24"/>
        </w:rPr>
        <w:t>;</w:t>
      </w:r>
      <w:r>
        <w:rPr>
          <w:b/>
          <w:i/>
          <w:szCs w:val="24"/>
        </w:rPr>
        <w:t xml:space="preserve"> and</w:t>
      </w:r>
    </w:p>
    <w:p w14:paraId="53DF8568" w14:textId="77777777" w:rsidR="001960CE" w:rsidRDefault="001960CE" w:rsidP="001960CE">
      <w:pPr>
        <w:widowControl w:val="0"/>
        <w:numPr>
          <w:ilvl w:val="1"/>
          <w:numId w:val="40"/>
        </w:numPr>
        <w:adjustRightInd w:val="0"/>
        <w:spacing w:before="120"/>
        <w:ind w:left="0" w:firstLine="0"/>
        <w:jc w:val="left"/>
        <w:textAlignment w:val="baseline"/>
        <w:rPr>
          <w:b/>
          <w:i/>
          <w:szCs w:val="24"/>
        </w:rPr>
      </w:pPr>
      <w:r w:rsidRPr="007C14F5">
        <w:rPr>
          <w:b/>
          <w:i/>
          <w:szCs w:val="24"/>
        </w:rPr>
        <w:t>removing the requirement for a tr</w:t>
      </w:r>
      <w:r>
        <w:rPr>
          <w:b/>
          <w:i/>
          <w:szCs w:val="24"/>
        </w:rPr>
        <w:t>ia</w:t>
      </w:r>
      <w:r w:rsidRPr="007C14F5">
        <w:rPr>
          <w:b/>
          <w:i/>
          <w:szCs w:val="24"/>
        </w:rPr>
        <w:t>l of vasodilator</w:t>
      </w:r>
      <w:r w:rsidRPr="0096521B">
        <w:rPr>
          <w:b/>
          <w:i/>
          <w:szCs w:val="24"/>
        </w:rPr>
        <w:t xml:space="preserve"> </w:t>
      </w:r>
      <w:r>
        <w:rPr>
          <w:b/>
          <w:i/>
          <w:szCs w:val="24"/>
        </w:rPr>
        <w:t xml:space="preserve">(calcium channel blockers) </w:t>
      </w:r>
      <w:r w:rsidRPr="007C14F5">
        <w:rPr>
          <w:b/>
          <w:i/>
          <w:szCs w:val="24"/>
        </w:rPr>
        <w:t>for PAH-CTD</w:t>
      </w:r>
      <w:r>
        <w:rPr>
          <w:b/>
          <w:i/>
          <w:szCs w:val="24"/>
        </w:rPr>
        <w:t>.</w:t>
      </w:r>
      <w:r w:rsidRPr="007C14F5">
        <w:rPr>
          <w:b/>
          <w:i/>
          <w:szCs w:val="24"/>
        </w:rPr>
        <w:t xml:space="preserve"> </w:t>
      </w:r>
    </w:p>
    <w:p w14:paraId="410DD9A6" w14:textId="77777777" w:rsidR="001960CE" w:rsidRPr="004B4FB9" w:rsidRDefault="001960CE" w:rsidP="001960CE">
      <w:pPr>
        <w:spacing w:before="120"/>
        <w:jc w:val="left"/>
        <w:rPr>
          <w:szCs w:val="24"/>
          <w:u w:val="single"/>
        </w:rPr>
      </w:pPr>
      <w:r w:rsidRPr="004B4FB9">
        <w:rPr>
          <w:szCs w:val="24"/>
          <w:u w:val="single"/>
        </w:rPr>
        <w:t>Current PBS restriction criterion</w:t>
      </w:r>
    </w:p>
    <w:p w14:paraId="4B637A3D" w14:textId="77777777" w:rsidR="001960CE" w:rsidRPr="005B6C8E" w:rsidRDefault="001960CE" w:rsidP="001960CE">
      <w:pPr>
        <w:spacing w:after="120"/>
        <w:jc w:val="left"/>
      </w:pPr>
      <w:r w:rsidRPr="005B6C8E">
        <w:t>To access PAH medicines, current PBS restriction</w:t>
      </w:r>
      <w:r>
        <w:t>s</w:t>
      </w:r>
      <w:r w:rsidRPr="005B6C8E">
        <w:t xml:space="preserve"> require evidence of prior vasodilator treatment</w:t>
      </w:r>
      <w:r w:rsidR="00CE43D0">
        <w:t xml:space="preserve"> (CCBs)</w:t>
      </w:r>
      <w:r w:rsidRPr="005B6C8E">
        <w:t xml:space="preserve"> in patients</w:t>
      </w:r>
      <w:r>
        <w:t xml:space="preserve"> as follows:</w:t>
      </w:r>
    </w:p>
    <w:p w14:paraId="42555432" w14:textId="77777777" w:rsidR="001960CE" w:rsidRPr="005B6C8E" w:rsidRDefault="005F2F5B" w:rsidP="001960CE">
      <w:pPr>
        <w:shd w:val="clear" w:color="auto" w:fill="FFFFFF"/>
        <w:spacing w:after="240" w:line="300" w:lineRule="atLeast"/>
        <w:jc w:val="left"/>
      </w:pPr>
      <w:r>
        <w:t>..</w:t>
      </w:r>
      <w:r w:rsidR="001960CE" w:rsidRPr="005B6C8E">
        <w:t xml:space="preserve">.Patient must have WHO Functional Class III idiopathic, hereditable, drug-induced </w:t>
      </w:r>
      <w:r w:rsidR="000415A4">
        <w:t>PAH or PAH secondary to CTD PAH</w:t>
      </w:r>
    </w:p>
    <w:p w14:paraId="5E8BDA6E" w14:textId="77777777" w:rsidR="001960CE" w:rsidRPr="005B6C8E" w:rsidRDefault="001960CE" w:rsidP="001960CE">
      <w:pPr>
        <w:shd w:val="clear" w:color="auto" w:fill="FFFFFF"/>
        <w:spacing w:after="240" w:line="300" w:lineRule="atLeast"/>
        <w:jc w:val="left"/>
      </w:pPr>
      <w:r w:rsidRPr="005B6C8E">
        <w:lastRenderedPageBreak/>
        <w:t>AND</w:t>
      </w:r>
    </w:p>
    <w:p w14:paraId="364786C0" w14:textId="77777777" w:rsidR="001960CE" w:rsidRPr="005B6C8E" w:rsidRDefault="001960CE" w:rsidP="001960CE">
      <w:pPr>
        <w:shd w:val="clear" w:color="auto" w:fill="FFFFFF"/>
        <w:spacing w:after="240" w:line="300" w:lineRule="atLeast"/>
        <w:jc w:val="left"/>
      </w:pPr>
      <w:r w:rsidRPr="005B6C8E">
        <w:t>Patient must have a mean right atrial pressure of 8 mmHg or less as measured by right hea</w:t>
      </w:r>
      <w:r w:rsidR="005F2F5B">
        <w:t>rt catheterisation (RHC); …</w:t>
      </w:r>
    </w:p>
    <w:p w14:paraId="710956F4" w14:textId="77777777" w:rsidR="001960CE" w:rsidRPr="005B6C8E" w:rsidRDefault="001960CE" w:rsidP="001960CE">
      <w:pPr>
        <w:shd w:val="clear" w:color="auto" w:fill="FFFFFF"/>
        <w:spacing w:after="240" w:line="300" w:lineRule="atLeast"/>
        <w:jc w:val="left"/>
      </w:pPr>
      <w:r w:rsidRPr="005B6C8E">
        <w:t>….Patient must have failed to respond to 6 or more weeks of appropriate vasodilator treatment unless intolerance or a contraindication to such treatment exists, Details of prior vasodilator treatment, including the dose and duration of treatment, must be provided at the time of application. Where the patient has an adverse event to a vasodilator or where vasodilator treatment is contraindicated, details of the nature of the adverse event or contraindication according to the Therapeutic Goods Administration (TGA) approved Product Information must also be provided with the application.</w:t>
      </w:r>
    </w:p>
    <w:p w14:paraId="0E59BB5D" w14:textId="77777777" w:rsidR="001960CE" w:rsidRPr="004B4FB9" w:rsidRDefault="001960CE" w:rsidP="001960CE">
      <w:pPr>
        <w:spacing w:before="120"/>
        <w:ind w:left="360" w:hanging="360"/>
        <w:jc w:val="left"/>
        <w:rPr>
          <w:szCs w:val="24"/>
          <w:u w:val="single"/>
        </w:rPr>
      </w:pPr>
      <w:r w:rsidRPr="004B4FB9">
        <w:rPr>
          <w:szCs w:val="24"/>
          <w:u w:val="single"/>
        </w:rPr>
        <w:t>Issues for consideration</w:t>
      </w:r>
    </w:p>
    <w:p w14:paraId="2375A7D8" w14:textId="77777777" w:rsidR="001960CE" w:rsidRPr="005B6C8E" w:rsidRDefault="001960CE" w:rsidP="001960CE">
      <w:pPr>
        <w:widowControl w:val="0"/>
        <w:numPr>
          <w:ilvl w:val="0"/>
          <w:numId w:val="51"/>
        </w:numPr>
        <w:adjustRightInd w:val="0"/>
        <w:spacing w:after="120"/>
        <w:jc w:val="left"/>
        <w:textAlignment w:val="baseline"/>
      </w:pPr>
      <w:r w:rsidRPr="005B6C8E">
        <w:t xml:space="preserve">Clinical guidelines identify that vasodilator treatment with high doses </w:t>
      </w:r>
      <w:r w:rsidR="00F21561">
        <w:t xml:space="preserve">of </w:t>
      </w:r>
      <w:r w:rsidR="0088227B">
        <w:t>CCBs</w:t>
      </w:r>
      <w:r w:rsidRPr="005B6C8E">
        <w:t xml:space="preserve"> leads to a favourable response in only a </w:t>
      </w:r>
      <w:r w:rsidR="00705B01">
        <w:t xml:space="preserve">small number </w:t>
      </w:r>
      <w:r w:rsidRPr="005B6C8E">
        <w:t>of pati</w:t>
      </w:r>
      <w:r>
        <w:t>ents with PAH in WHO FC II-III.</w:t>
      </w:r>
    </w:p>
    <w:p w14:paraId="73B4C0C3" w14:textId="77777777" w:rsidR="001960CE" w:rsidRPr="005B6C8E" w:rsidRDefault="001960CE" w:rsidP="001960CE">
      <w:pPr>
        <w:widowControl w:val="0"/>
        <w:numPr>
          <w:ilvl w:val="0"/>
          <w:numId w:val="51"/>
        </w:numPr>
        <w:adjustRightInd w:val="0"/>
        <w:spacing w:after="120"/>
        <w:jc w:val="left"/>
        <w:textAlignment w:val="baseline"/>
      </w:pPr>
      <w:r w:rsidRPr="005B6C8E">
        <w:t>Clinical guidelines</w:t>
      </w:r>
      <w:r w:rsidR="00705B01">
        <w:t xml:space="preserve"> only</w:t>
      </w:r>
      <w:r w:rsidRPr="005B6C8E">
        <w:t xml:space="preserve"> recommend vasoreactivity testing in patients with IPAH, HPAH and PAH</w:t>
      </w:r>
      <w:r w:rsidR="00705B01">
        <w:t xml:space="preserve"> to </w:t>
      </w:r>
      <w:r w:rsidRPr="005B6C8E">
        <w:t>detect patients who can be treated with high doses of a CC</w:t>
      </w:r>
      <w:r w:rsidRPr="0061262A">
        <w:t>B</w:t>
      </w:r>
      <w:r w:rsidRPr="005B6C8E">
        <w:t>. However, unlike PBS restrictions, guidelines do not recommend a trial of CCB</w:t>
      </w:r>
      <w:r w:rsidR="00725C6C">
        <w:t>s</w:t>
      </w:r>
      <w:r w:rsidR="00725C6C" w:rsidRPr="005B6C8E">
        <w:t xml:space="preserve"> </w:t>
      </w:r>
      <w:r w:rsidRPr="005B6C8E">
        <w:t>for treatment of PAH</w:t>
      </w:r>
      <w:r>
        <w:t xml:space="preserve"> </w:t>
      </w:r>
      <w:r w:rsidRPr="005B6C8E">
        <w:t>- CTD.</w:t>
      </w:r>
    </w:p>
    <w:p w14:paraId="7853FAFD" w14:textId="77777777" w:rsidR="00FA5DA2" w:rsidRPr="00355EFF" w:rsidRDefault="001960CE" w:rsidP="00355EFF">
      <w:pPr>
        <w:widowControl w:val="0"/>
        <w:numPr>
          <w:ilvl w:val="0"/>
          <w:numId w:val="51"/>
        </w:numPr>
        <w:adjustRightInd w:val="0"/>
        <w:spacing w:after="120"/>
        <w:jc w:val="left"/>
        <w:textAlignment w:val="baseline"/>
      </w:pPr>
      <w:r w:rsidRPr="007C14F5">
        <w:t>Clinical guidelines recommend that patients who have not undergone a vasoreactivity study during right heart catherisation (RHC) or those with a negative study should not be started on CCBs because of potential severe side effects (e.g. hypotension, syncope and RV failure)</w:t>
      </w:r>
      <w:r>
        <w:t>.</w:t>
      </w:r>
    </w:p>
    <w:p w14:paraId="48D0A961" w14:textId="77777777" w:rsidR="001960CE" w:rsidRPr="007C14F5" w:rsidRDefault="001960CE" w:rsidP="00FA5DA2">
      <w:pPr>
        <w:spacing w:before="120"/>
        <w:ind w:left="360" w:hanging="360"/>
        <w:jc w:val="left"/>
        <w:rPr>
          <w:szCs w:val="24"/>
          <w:u w:val="single"/>
        </w:rPr>
      </w:pPr>
      <w:r w:rsidRPr="007C14F5">
        <w:rPr>
          <w:szCs w:val="24"/>
          <w:u w:val="single"/>
        </w:rPr>
        <w:t>Stakeholder views</w:t>
      </w:r>
    </w:p>
    <w:p w14:paraId="07FED69E" w14:textId="77777777" w:rsidR="001A11BF" w:rsidRDefault="0085343D">
      <w:pPr>
        <w:jc w:val="left"/>
        <w:rPr>
          <w:szCs w:val="24"/>
          <w:u w:val="single"/>
        </w:rPr>
      </w:pPr>
      <w:r>
        <w:t>S</w:t>
      </w:r>
      <w:r w:rsidR="001960CE" w:rsidRPr="00114B98">
        <w:t>takeholder</w:t>
      </w:r>
      <w:r>
        <w:t>s</w:t>
      </w:r>
      <w:r w:rsidR="001960CE" w:rsidRPr="00114B98">
        <w:t xml:space="preserve"> suggest a review of the</w:t>
      </w:r>
      <w:r>
        <w:t xml:space="preserve"> current PBS restriction</w:t>
      </w:r>
      <w:r w:rsidR="001960CE" w:rsidRPr="00114B98">
        <w:t xml:space="preserve"> criteria </w:t>
      </w:r>
      <w:r>
        <w:t xml:space="preserve">including </w:t>
      </w:r>
      <w:r w:rsidR="001960CE" w:rsidRPr="00114B98">
        <w:t xml:space="preserve">the </w:t>
      </w:r>
      <w:r>
        <w:t xml:space="preserve">requirement for patients to trial 6 weeks </w:t>
      </w:r>
      <w:r w:rsidR="001960CE" w:rsidRPr="00114B98">
        <w:t>of vasodilator therapy</w:t>
      </w:r>
      <w:r w:rsidR="00502C90">
        <w:t xml:space="preserve"> with CCBs</w:t>
      </w:r>
      <w:r w:rsidR="000415A4">
        <w:t>.</w:t>
      </w:r>
    </w:p>
    <w:p w14:paraId="567C1FD9" w14:textId="77777777" w:rsidR="002979B2" w:rsidRPr="002979B2" w:rsidRDefault="002979B2" w:rsidP="00502C90">
      <w:pPr>
        <w:jc w:val="left"/>
        <w:rPr>
          <w:szCs w:val="24"/>
          <w:u w:val="single"/>
        </w:rPr>
      </w:pPr>
      <w:r w:rsidRPr="002979B2">
        <w:rPr>
          <w:szCs w:val="24"/>
          <w:u w:val="single"/>
        </w:rPr>
        <w:t>Reference Group views</w:t>
      </w:r>
    </w:p>
    <w:p w14:paraId="72DEA75D" w14:textId="77777777" w:rsidR="001F318A" w:rsidRDefault="00CE43D0" w:rsidP="00840044">
      <w:pPr>
        <w:pStyle w:val="ListParagraph"/>
        <w:numPr>
          <w:ilvl w:val="0"/>
          <w:numId w:val="51"/>
        </w:numPr>
        <w:spacing w:after="120"/>
        <w:jc w:val="left"/>
      </w:pPr>
      <w:r w:rsidRPr="007E1E0F">
        <w:t>The Reference Group noted</w:t>
      </w:r>
      <w:r w:rsidR="00840044">
        <w:t xml:space="preserve"> that CCBs</w:t>
      </w:r>
      <w:r w:rsidR="00840044" w:rsidRPr="00840044">
        <w:t xml:space="preserve"> (typically high dose) are now reserved</w:t>
      </w:r>
      <w:r w:rsidR="0027270C">
        <w:t xml:space="preserve"> </w:t>
      </w:r>
      <w:r w:rsidR="00840044" w:rsidRPr="00840044">
        <w:t xml:space="preserve">for </w:t>
      </w:r>
      <w:r w:rsidR="001F318A">
        <w:t xml:space="preserve">the following patients: </w:t>
      </w:r>
    </w:p>
    <w:p w14:paraId="62C78B53" w14:textId="77777777" w:rsidR="001F318A" w:rsidRDefault="00840044" w:rsidP="00FA5DA2">
      <w:pPr>
        <w:pStyle w:val="ListParagraph"/>
        <w:numPr>
          <w:ilvl w:val="1"/>
          <w:numId w:val="51"/>
        </w:numPr>
        <w:spacing w:after="120"/>
        <w:jc w:val="left"/>
      </w:pPr>
      <w:r w:rsidRPr="00840044">
        <w:t xml:space="preserve">NYHA Functional Class (FC) II and III patients without </w:t>
      </w:r>
      <w:r w:rsidR="001F318A">
        <w:t>r</w:t>
      </w:r>
      <w:r w:rsidRPr="00840044">
        <w:t xml:space="preserve">ight </w:t>
      </w:r>
      <w:r w:rsidR="001F318A">
        <w:t>v</w:t>
      </w:r>
      <w:r w:rsidRPr="00840044">
        <w:t>entricular failure</w:t>
      </w:r>
      <w:r w:rsidR="001F318A">
        <w:t>; and</w:t>
      </w:r>
    </w:p>
    <w:p w14:paraId="1C38E8C3" w14:textId="77777777" w:rsidR="001F318A" w:rsidRDefault="00840044" w:rsidP="00FA5DA2">
      <w:pPr>
        <w:pStyle w:val="ListParagraph"/>
        <w:numPr>
          <w:ilvl w:val="1"/>
          <w:numId w:val="51"/>
        </w:numPr>
        <w:spacing w:after="120"/>
        <w:jc w:val="left"/>
      </w:pPr>
      <w:r w:rsidRPr="00840044">
        <w:t>idiopathic, anorexigen induced or hereditable PAH</w:t>
      </w:r>
      <w:r w:rsidR="001F318A">
        <w:t>; and</w:t>
      </w:r>
    </w:p>
    <w:p w14:paraId="4E46531C" w14:textId="77777777" w:rsidR="001F318A" w:rsidRDefault="00840044" w:rsidP="00FA5DA2">
      <w:pPr>
        <w:pStyle w:val="ListParagraph"/>
        <w:numPr>
          <w:ilvl w:val="1"/>
          <w:numId w:val="51"/>
        </w:numPr>
        <w:spacing w:after="120"/>
        <w:jc w:val="left"/>
      </w:pPr>
      <w:r w:rsidRPr="00840044">
        <w:t>who have a positive acute vasodilator response (now well</w:t>
      </w:r>
      <w:r w:rsidR="000415A4">
        <w:t xml:space="preserve"> defined by Sitbon et al 2005).</w:t>
      </w:r>
    </w:p>
    <w:p w14:paraId="7AEF43F1" w14:textId="77777777" w:rsidR="00CE43D0" w:rsidRDefault="00840044" w:rsidP="001F318A">
      <w:pPr>
        <w:pStyle w:val="ListParagraph"/>
        <w:numPr>
          <w:ilvl w:val="0"/>
          <w:numId w:val="51"/>
        </w:numPr>
        <w:spacing w:after="120"/>
        <w:jc w:val="left"/>
      </w:pPr>
      <w:r w:rsidRPr="00840044">
        <w:t xml:space="preserve">Approximately 5% of these patients overall (50% of the acute responders) have an enduring (years and even decades) response often returning to NYHA FC I or II with normal or near normal haemodynamics. In the soon to be published Nice 2018 Classification this distinct but uncommon phenotype will have a specific designation </w:t>
      </w:r>
      <w:r w:rsidRPr="00840044">
        <w:lastRenderedPageBreak/>
        <w:t>with</w:t>
      </w:r>
      <w:r>
        <w:t xml:space="preserve">in the overall classification. </w:t>
      </w:r>
      <w:r w:rsidRPr="00840044">
        <w:t>As over 95% of Group 1 (PAH) patients will derive no benefit, suffer harm and/or have effective therapy delayed, the routine use of high dose calcium channel blocker as pulmonary vasodilator therapy is strongly discouraged.</w:t>
      </w:r>
    </w:p>
    <w:p w14:paraId="480E6E89" w14:textId="77777777" w:rsidR="001A11BF" w:rsidRDefault="000122B6" w:rsidP="001A11BF">
      <w:pPr>
        <w:widowControl w:val="0"/>
        <w:numPr>
          <w:ilvl w:val="0"/>
          <w:numId w:val="51"/>
        </w:numPr>
        <w:adjustRightInd w:val="0"/>
        <w:jc w:val="left"/>
        <w:textAlignment w:val="baseline"/>
      </w:pPr>
      <w:r w:rsidRPr="00E97FBA">
        <w:t xml:space="preserve">The </w:t>
      </w:r>
      <w:r w:rsidR="0088227B">
        <w:t>Reference Group</w:t>
      </w:r>
      <w:r>
        <w:t xml:space="preserve"> consider</w:t>
      </w:r>
      <w:r w:rsidR="0088227B">
        <w:t>ed</w:t>
      </w:r>
      <w:r>
        <w:t xml:space="preserve"> that </w:t>
      </w:r>
      <w:r w:rsidR="00840044">
        <w:t>the present PBS requirement that all PAH patient need to be treated with a CCB for eight weeks (if mean right atrial pressure &lt;8mmHg) is not supported by evidence and should be removed.</w:t>
      </w:r>
    </w:p>
    <w:p w14:paraId="6CB34C84" w14:textId="77777777" w:rsidR="00AD1E14" w:rsidRPr="001A11BF" w:rsidRDefault="00AD1E14" w:rsidP="001A11BF">
      <w:pPr>
        <w:widowControl w:val="0"/>
        <w:adjustRightInd w:val="0"/>
        <w:jc w:val="left"/>
        <w:textAlignment w:val="baseline"/>
      </w:pPr>
      <w:r w:rsidRPr="001A11BF">
        <w:rPr>
          <w:b/>
          <w:u w:val="single"/>
        </w:rPr>
        <w:t>Additional comments on PBS Restriction</w:t>
      </w:r>
    </w:p>
    <w:p w14:paraId="358B607C" w14:textId="77777777" w:rsidR="00AD1E14" w:rsidRDefault="00AD1E14" w:rsidP="00AD1E14">
      <w:pPr>
        <w:pStyle w:val="ListParagraph"/>
        <w:numPr>
          <w:ilvl w:val="0"/>
          <w:numId w:val="51"/>
        </w:numPr>
        <w:spacing w:after="120"/>
        <w:jc w:val="left"/>
      </w:pPr>
      <w:r w:rsidRPr="009536F2">
        <w:t xml:space="preserve">The </w:t>
      </w:r>
      <w:r>
        <w:rPr>
          <w:szCs w:val="24"/>
        </w:rPr>
        <w:t>Reference Group</w:t>
      </w:r>
      <w:r w:rsidRPr="009536F2">
        <w:t xml:space="preserve"> considered a right heart catherisation (RHC) essential to the diagnosis of PAH. The </w:t>
      </w:r>
      <w:r>
        <w:rPr>
          <w:szCs w:val="24"/>
        </w:rPr>
        <w:t>Reference Group</w:t>
      </w:r>
      <w:r w:rsidRPr="009536F2">
        <w:t xml:space="preserve"> considered that evidence of consultation with a second expert clinician should</w:t>
      </w:r>
      <w:r>
        <w:t xml:space="preserve"> be</w:t>
      </w:r>
      <w:r w:rsidRPr="009536F2">
        <w:t xml:space="preserve"> provided by the treating clinician </w:t>
      </w:r>
      <w:r>
        <w:t>seeking exemption from a RHC for a patient</w:t>
      </w:r>
      <w:r w:rsidRPr="009536F2">
        <w:t>.</w:t>
      </w:r>
      <w:r>
        <w:t xml:space="preserve"> This requirement could be stipulated in the restriction and evidence of such consultation provided to </w:t>
      </w:r>
      <w:r w:rsidR="00A43B3C">
        <w:t xml:space="preserve">Services Australia </w:t>
      </w:r>
      <w:r>
        <w:t>when seeking authorisation to prescribe PAH medicines without RHC results.</w:t>
      </w:r>
    </w:p>
    <w:p w14:paraId="3F014AB1" w14:textId="77777777" w:rsidR="001960CE" w:rsidRPr="00C2124B" w:rsidRDefault="001960CE" w:rsidP="001960CE">
      <w:pPr>
        <w:pStyle w:val="Heading4"/>
      </w:pPr>
      <w:r w:rsidRPr="005B6C8E">
        <w:t xml:space="preserve">Option </w:t>
      </w:r>
      <w:r>
        <w:t>5</w:t>
      </w:r>
      <w:r w:rsidRPr="005B6C8E">
        <w:t xml:space="preserve">: </w:t>
      </w:r>
      <w:r>
        <w:t>E</w:t>
      </w:r>
      <w:r w:rsidRPr="005B6C8E">
        <w:t xml:space="preserve">xtend PBS restrictions to include the remaining WHO </w:t>
      </w:r>
      <w:r>
        <w:t xml:space="preserve">Group I </w:t>
      </w:r>
      <w:r w:rsidRPr="005B6C8E">
        <w:t xml:space="preserve">PAH subtypes associated with </w:t>
      </w:r>
      <w:r w:rsidR="00A43B3C">
        <w:t xml:space="preserve">human </w:t>
      </w:r>
      <w:r w:rsidR="00A43B3C" w:rsidRPr="006D2935">
        <w:t xml:space="preserve">immunodeficiency virus </w:t>
      </w:r>
      <w:r w:rsidR="00A43B3C">
        <w:t>(</w:t>
      </w:r>
      <w:r w:rsidRPr="000408BA">
        <w:t>HIV</w:t>
      </w:r>
      <w:r w:rsidR="00A43B3C">
        <w:t>)</w:t>
      </w:r>
      <w:r w:rsidRPr="000408BA">
        <w:t xml:space="preserve"> infection; portal hypertension; and schistosomiasis </w:t>
      </w:r>
      <w:r>
        <w:t>in WHO FC III/IV</w:t>
      </w:r>
      <w:r w:rsidR="009017B1">
        <w:t>.</w:t>
      </w:r>
    </w:p>
    <w:p w14:paraId="2F9B3361" w14:textId="77777777" w:rsidR="001960CE" w:rsidRPr="005B6C8E" w:rsidRDefault="001960CE" w:rsidP="001960CE">
      <w:pPr>
        <w:spacing w:before="120"/>
        <w:ind w:left="360" w:hanging="360"/>
        <w:jc w:val="left"/>
        <w:rPr>
          <w:szCs w:val="24"/>
          <w:u w:val="single"/>
        </w:rPr>
      </w:pPr>
      <w:r w:rsidRPr="005B6C8E">
        <w:rPr>
          <w:szCs w:val="24"/>
          <w:u w:val="single"/>
        </w:rPr>
        <w:t>Current TGA/PBS restriction</w:t>
      </w:r>
    </w:p>
    <w:p w14:paraId="700EEA39" w14:textId="77777777" w:rsidR="001960CE" w:rsidRPr="005B6C8E" w:rsidRDefault="001960CE" w:rsidP="001960CE">
      <w:pPr>
        <w:pStyle w:val="ListParagraph"/>
        <w:widowControl w:val="0"/>
        <w:numPr>
          <w:ilvl w:val="0"/>
          <w:numId w:val="36"/>
        </w:numPr>
        <w:adjustRightInd w:val="0"/>
        <w:spacing w:before="200"/>
        <w:ind w:left="357" w:hanging="357"/>
        <w:contextualSpacing w:val="0"/>
        <w:jc w:val="left"/>
        <w:textAlignment w:val="baseline"/>
        <w:rPr>
          <w:szCs w:val="24"/>
        </w:rPr>
      </w:pPr>
      <w:r w:rsidRPr="005B6C8E">
        <w:rPr>
          <w:szCs w:val="24"/>
        </w:rPr>
        <w:t xml:space="preserve">The current PBS restrictions </w:t>
      </w:r>
      <w:r>
        <w:rPr>
          <w:szCs w:val="24"/>
        </w:rPr>
        <w:t>restrict subsidy of</w:t>
      </w:r>
      <w:r w:rsidRPr="005B6C8E">
        <w:rPr>
          <w:szCs w:val="24"/>
        </w:rPr>
        <w:t xml:space="preserve"> PAH medicines by PAH disease subtype</w:t>
      </w:r>
      <w:r>
        <w:rPr>
          <w:szCs w:val="24"/>
        </w:rPr>
        <w:t>,</w:t>
      </w:r>
      <w:r w:rsidRPr="005B6C8E">
        <w:rPr>
          <w:szCs w:val="24"/>
        </w:rPr>
        <w:t xml:space="preserve"> </w:t>
      </w:r>
      <w:r>
        <w:rPr>
          <w:szCs w:val="24"/>
        </w:rPr>
        <w:t>WHO </w:t>
      </w:r>
      <w:r w:rsidRPr="005B6C8E">
        <w:rPr>
          <w:szCs w:val="24"/>
        </w:rPr>
        <w:t>FC and line of treatment.</w:t>
      </w:r>
    </w:p>
    <w:p w14:paraId="073C92AF" w14:textId="77777777" w:rsidR="001960CE" w:rsidRPr="005B6C8E" w:rsidRDefault="001960CE" w:rsidP="001960CE">
      <w:pPr>
        <w:pStyle w:val="ListParagraph"/>
        <w:widowControl w:val="0"/>
        <w:numPr>
          <w:ilvl w:val="0"/>
          <w:numId w:val="36"/>
        </w:numPr>
        <w:adjustRightInd w:val="0"/>
        <w:contextualSpacing w:val="0"/>
        <w:jc w:val="left"/>
        <w:textAlignment w:val="baseline"/>
        <w:rPr>
          <w:szCs w:val="24"/>
        </w:rPr>
      </w:pPr>
      <w:r w:rsidRPr="005B6C8E">
        <w:rPr>
          <w:szCs w:val="24"/>
        </w:rPr>
        <w:t xml:space="preserve">There is no PBS subsidised treatment with PAH medicines for the following three PAH subtypes: PAH associated with </w:t>
      </w:r>
      <w:bookmarkStart w:id="142" w:name="_Hlk511072062"/>
      <w:r w:rsidRPr="005B6C8E">
        <w:rPr>
          <w:szCs w:val="24"/>
        </w:rPr>
        <w:t xml:space="preserve">HIV infection; portal hypertension; and </w:t>
      </w:r>
      <w:r>
        <w:rPr>
          <w:szCs w:val="24"/>
        </w:rPr>
        <w:t>schistosomiasis</w:t>
      </w:r>
      <w:r w:rsidRPr="005B6C8E">
        <w:rPr>
          <w:szCs w:val="24"/>
        </w:rPr>
        <w:t>.</w:t>
      </w:r>
    </w:p>
    <w:bookmarkEnd w:id="142"/>
    <w:p w14:paraId="39D3EE5C" w14:textId="77777777" w:rsidR="0024496B" w:rsidRDefault="001960CE" w:rsidP="00CE4D79">
      <w:pPr>
        <w:pStyle w:val="ListParagraph"/>
        <w:widowControl w:val="0"/>
        <w:numPr>
          <w:ilvl w:val="0"/>
          <w:numId w:val="36"/>
        </w:numPr>
        <w:adjustRightInd w:val="0"/>
        <w:contextualSpacing w:val="0"/>
        <w:jc w:val="left"/>
        <w:textAlignment w:val="baseline"/>
        <w:rPr>
          <w:szCs w:val="24"/>
        </w:rPr>
      </w:pPr>
      <w:r w:rsidRPr="00A0733C">
        <w:rPr>
          <w:szCs w:val="24"/>
        </w:rPr>
        <w:t>There are examples of other small PAH sub-groups for whom PAH medicines are not TGA indicated but PBS subsidised</w:t>
      </w:r>
      <w:r>
        <w:rPr>
          <w:szCs w:val="24"/>
        </w:rPr>
        <w:t>,</w:t>
      </w:r>
      <w:r w:rsidRPr="00A0733C">
        <w:rPr>
          <w:szCs w:val="24"/>
        </w:rPr>
        <w:t xml:space="preserve"> e.g. bosentan, macitentan, ambrisentan, epoprostenol and riocig</w:t>
      </w:r>
      <w:r>
        <w:rPr>
          <w:szCs w:val="24"/>
        </w:rPr>
        <w:t>uat for anorexigen-induced PAH.</w:t>
      </w:r>
    </w:p>
    <w:p w14:paraId="126C0E66" w14:textId="77777777" w:rsidR="0024496B" w:rsidRDefault="0024496B">
      <w:pPr>
        <w:jc w:val="left"/>
        <w:rPr>
          <w:szCs w:val="24"/>
        </w:rPr>
      </w:pPr>
      <w:r>
        <w:rPr>
          <w:szCs w:val="24"/>
        </w:rPr>
        <w:br w:type="page"/>
      </w:r>
    </w:p>
    <w:p w14:paraId="567123C3" w14:textId="77777777" w:rsidR="001960CE" w:rsidRPr="00BF244C" w:rsidRDefault="001960CE" w:rsidP="001960CE">
      <w:pPr>
        <w:pStyle w:val="Caption"/>
        <w:rPr>
          <w:rFonts w:cs="Arial"/>
          <w:szCs w:val="24"/>
        </w:rPr>
      </w:pPr>
      <w:bookmarkStart w:id="143" w:name="_Toc511029428"/>
      <w:r w:rsidRPr="00BF244C">
        <w:rPr>
          <w:rFonts w:cs="Arial"/>
          <w:szCs w:val="24"/>
        </w:rPr>
        <w:lastRenderedPageBreak/>
        <w:t>Alignment of ARTG indications with PBS listings (not accounting for WHO FC)</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3"/>
        <w:gridCol w:w="1125"/>
        <w:gridCol w:w="1125"/>
        <w:gridCol w:w="1250"/>
        <w:gridCol w:w="1250"/>
        <w:gridCol w:w="1250"/>
        <w:gridCol w:w="1403"/>
      </w:tblGrid>
      <w:tr w:rsidR="001960CE" w:rsidRPr="005935A9" w14:paraId="711B5B8C" w14:textId="77777777" w:rsidTr="004C78E9">
        <w:trPr>
          <w:tblHeader/>
        </w:trPr>
        <w:tc>
          <w:tcPr>
            <w:tcW w:w="894" w:type="pct"/>
            <w:shd w:val="clear" w:color="auto" w:fill="BFBFBF"/>
            <w:vAlign w:val="center"/>
          </w:tcPr>
          <w:p w14:paraId="4D75DF55" w14:textId="77777777" w:rsidR="001960CE" w:rsidRPr="00DE148E" w:rsidRDefault="001960CE" w:rsidP="004C78E9">
            <w:pPr>
              <w:keepNext/>
              <w:spacing w:beforeLines="40" w:before="96" w:afterLines="40" w:after="96" w:line="240" w:lineRule="auto"/>
              <w:jc w:val="left"/>
              <w:rPr>
                <w:rFonts w:ascii="Arial" w:hAnsi="Arial" w:cs="Arial"/>
                <w:b/>
                <w:caps/>
                <w:color w:val="000000"/>
                <w:spacing w:val="5"/>
                <w:kern w:val="28"/>
                <w:sz w:val="20"/>
                <w:lang w:val="en-US"/>
              </w:rPr>
            </w:pPr>
            <w:r w:rsidRPr="00DE148E">
              <w:rPr>
                <w:rFonts w:ascii="Arial" w:hAnsi="Arial" w:cs="Arial"/>
                <w:b/>
                <w:sz w:val="20"/>
              </w:rPr>
              <w:t>Treatment</w:t>
            </w:r>
          </w:p>
        </w:tc>
        <w:tc>
          <w:tcPr>
            <w:tcW w:w="624" w:type="pct"/>
            <w:shd w:val="clear" w:color="auto" w:fill="BFBFBF"/>
            <w:vAlign w:val="center"/>
          </w:tcPr>
          <w:p w14:paraId="3E05A482" w14:textId="77777777" w:rsidR="001960CE" w:rsidRPr="00DE148E" w:rsidRDefault="001960CE" w:rsidP="004C78E9">
            <w:pPr>
              <w:keepNext/>
              <w:spacing w:beforeLines="40" w:before="96" w:afterLines="40" w:after="96" w:line="240" w:lineRule="auto"/>
              <w:jc w:val="center"/>
              <w:rPr>
                <w:rFonts w:ascii="Arial" w:hAnsi="Arial" w:cs="Arial"/>
                <w:b/>
                <w:caps/>
                <w:color w:val="000000"/>
                <w:spacing w:val="5"/>
                <w:kern w:val="28"/>
                <w:sz w:val="20"/>
                <w:lang w:val="en-US"/>
              </w:rPr>
            </w:pPr>
            <w:r w:rsidRPr="00DE148E">
              <w:rPr>
                <w:rFonts w:ascii="Arial" w:hAnsi="Arial" w:cs="Arial"/>
                <w:b/>
                <w:sz w:val="20"/>
              </w:rPr>
              <w:t>IPAH</w:t>
            </w:r>
          </w:p>
        </w:tc>
        <w:tc>
          <w:tcPr>
            <w:tcW w:w="624" w:type="pct"/>
            <w:shd w:val="clear" w:color="auto" w:fill="BFBFBF"/>
            <w:vAlign w:val="center"/>
          </w:tcPr>
          <w:p w14:paraId="7984E6E4"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t>HPAH</w:t>
            </w:r>
          </w:p>
        </w:tc>
        <w:tc>
          <w:tcPr>
            <w:tcW w:w="693" w:type="pct"/>
            <w:shd w:val="clear" w:color="auto" w:fill="BFBFBF"/>
            <w:vAlign w:val="center"/>
          </w:tcPr>
          <w:p w14:paraId="7A9AA698"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t>PAH-CTD</w:t>
            </w:r>
          </w:p>
        </w:tc>
        <w:tc>
          <w:tcPr>
            <w:tcW w:w="693" w:type="pct"/>
            <w:shd w:val="clear" w:color="auto" w:fill="BFBFBF"/>
            <w:vAlign w:val="center"/>
          </w:tcPr>
          <w:p w14:paraId="19F61978"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t>PAH-CHD</w:t>
            </w:r>
          </w:p>
        </w:tc>
        <w:tc>
          <w:tcPr>
            <w:tcW w:w="693" w:type="pct"/>
            <w:shd w:val="clear" w:color="auto" w:fill="BFBFBF"/>
            <w:vAlign w:val="center"/>
          </w:tcPr>
          <w:p w14:paraId="113BDB00" w14:textId="77777777" w:rsidR="001960CE" w:rsidRPr="00DE148E" w:rsidRDefault="001960CE" w:rsidP="004C78E9">
            <w:pPr>
              <w:keepNext/>
              <w:spacing w:beforeLines="40" w:before="96" w:afterLines="40" w:after="96" w:line="240" w:lineRule="auto"/>
              <w:jc w:val="center"/>
              <w:rPr>
                <w:rFonts w:ascii="Arial" w:hAnsi="Arial" w:cs="Arial"/>
                <w:b/>
                <w:sz w:val="20"/>
              </w:rPr>
            </w:pPr>
            <w:r>
              <w:rPr>
                <w:rFonts w:ascii="Arial" w:hAnsi="Arial" w:cs="Arial"/>
                <w:b/>
                <w:sz w:val="20"/>
              </w:rPr>
              <w:t>Drug induced</w:t>
            </w:r>
            <w:r w:rsidRPr="00DE148E">
              <w:rPr>
                <w:rFonts w:ascii="Arial" w:hAnsi="Arial" w:cs="Arial"/>
                <w:b/>
                <w:sz w:val="20"/>
              </w:rPr>
              <w:t xml:space="preserve"> PAH</w:t>
            </w:r>
          </w:p>
        </w:tc>
        <w:tc>
          <w:tcPr>
            <w:tcW w:w="778" w:type="pct"/>
            <w:shd w:val="clear" w:color="auto" w:fill="BFBFBF"/>
            <w:vAlign w:val="center"/>
          </w:tcPr>
          <w:p w14:paraId="404D50A3" w14:textId="77777777" w:rsidR="001960CE" w:rsidRPr="00DE148E" w:rsidRDefault="001960CE" w:rsidP="004C78E9">
            <w:pPr>
              <w:keepNext/>
              <w:spacing w:beforeLines="40" w:before="96" w:afterLines="40" w:after="96" w:line="240" w:lineRule="auto"/>
              <w:jc w:val="center"/>
              <w:rPr>
                <w:rFonts w:ascii="Arial" w:hAnsi="Arial" w:cs="Arial"/>
                <w:b/>
                <w:sz w:val="20"/>
              </w:rPr>
            </w:pPr>
            <w:r>
              <w:rPr>
                <w:rFonts w:ascii="Arial" w:hAnsi="Arial" w:cs="Arial"/>
                <w:b/>
                <w:sz w:val="20"/>
              </w:rPr>
              <w:t>Anorexigen induced</w:t>
            </w:r>
            <w:r w:rsidRPr="00DE148E">
              <w:rPr>
                <w:rFonts w:ascii="Arial" w:hAnsi="Arial" w:cs="Arial"/>
                <w:b/>
                <w:sz w:val="20"/>
              </w:rPr>
              <w:t xml:space="preserve"> PAH</w:t>
            </w:r>
          </w:p>
        </w:tc>
      </w:tr>
      <w:tr w:rsidR="001960CE" w:rsidRPr="005935A9" w14:paraId="437DB068" w14:textId="77777777" w:rsidTr="004C78E9">
        <w:tc>
          <w:tcPr>
            <w:tcW w:w="894" w:type="pct"/>
            <w:tcBorders>
              <w:bottom w:val="single" w:sz="4" w:space="0" w:color="auto"/>
            </w:tcBorders>
            <w:shd w:val="clear" w:color="auto" w:fill="auto"/>
            <w:vAlign w:val="center"/>
          </w:tcPr>
          <w:p w14:paraId="4193FE00"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Macitentan</w:t>
            </w:r>
          </w:p>
        </w:tc>
        <w:tc>
          <w:tcPr>
            <w:tcW w:w="624" w:type="pct"/>
            <w:tcBorders>
              <w:bottom w:val="single" w:sz="4" w:space="0" w:color="auto"/>
            </w:tcBorders>
            <w:shd w:val="clear" w:color="auto" w:fill="auto"/>
            <w:vAlign w:val="center"/>
          </w:tcPr>
          <w:p w14:paraId="65840E74"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tcBorders>
              <w:bottom w:val="single" w:sz="4" w:space="0" w:color="auto"/>
            </w:tcBorders>
            <w:vAlign w:val="center"/>
          </w:tcPr>
          <w:p w14:paraId="162B6AC9"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tcBorders>
              <w:bottom w:val="single" w:sz="4" w:space="0" w:color="auto"/>
            </w:tcBorders>
            <w:vAlign w:val="center"/>
          </w:tcPr>
          <w:p w14:paraId="1AAC510D"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tcBorders>
              <w:bottom w:val="single" w:sz="4" w:space="0" w:color="auto"/>
            </w:tcBorders>
            <w:vAlign w:val="center"/>
          </w:tcPr>
          <w:p w14:paraId="5FAE23C2"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tcBorders>
              <w:bottom w:val="single" w:sz="4" w:space="0" w:color="auto"/>
            </w:tcBorders>
          </w:tcPr>
          <w:p w14:paraId="369EA09E"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9B"/>
            </w:r>
          </w:p>
        </w:tc>
        <w:tc>
          <w:tcPr>
            <w:tcW w:w="778" w:type="pct"/>
            <w:tcBorders>
              <w:bottom w:val="single" w:sz="4" w:space="0" w:color="auto"/>
            </w:tcBorders>
            <w:vAlign w:val="center"/>
          </w:tcPr>
          <w:p w14:paraId="7E84B0C0"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CB"/>
            </w:r>
          </w:p>
        </w:tc>
      </w:tr>
      <w:tr w:rsidR="001960CE" w:rsidRPr="005935A9" w14:paraId="6DEFBCA6" w14:textId="77777777" w:rsidTr="004C78E9">
        <w:tc>
          <w:tcPr>
            <w:tcW w:w="894" w:type="pct"/>
            <w:tcBorders>
              <w:bottom w:val="nil"/>
            </w:tcBorders>
            <w:shd w:val="clear" w:color="auto" w:fill="auto"/>
            <w:vAlign w:val="center"/>
          </w:tcPr>
          <w:p w14:paraId="47E56CF5"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Ambrisentan</w:t>
            </w:r>
          </w:p>
        </w:tc>
        <w:tc>
          <w:tcPr>
            <w:tcW w:w="624" w:type="pct"/>
            <w:tcBorders>
              <w:bottom w:val="nil"/>
            </w:tcBorders>
            <w:shd w:val="clear" w:color="auto" w:fill="auto"/>
            <w:vAlign w:val="center"/>
          </w:tcPr>
          <w:p w14:paraId="4791D16A"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tcBorders>
              <w:bottom w:val="nil"/>
            </w:tcBorders>
            <w:vAlign w:val="center"/>
          </w:tcPr>
          <w:p w14:paraId="401BA441"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sz w:val="20"/>
              </w:rPr>
              <w:sym w:font="Wingdings 2" w:char="F0D2"/>
            </w:r>
            <w:r w:rsidRPr="00DE148E">
              <w:rPr>
                <w:rFonts w:ascii="Arial" w:hAnsi="Arial" w:cs="Arial"/>
                <w:sz w:val="20"/>
              </w:rPr>
              <w:sym w:font="Wingdings 2" w:char="F0CB"/>
            </w:r>
          </w:p>
        </w:tc>
        <w:tc>
          <w:tcPr>
            <w:tcW w:w="693" w:type="pct"/>
            <w:tcBorders>
              <w:bottom w:val="nil"/>
            </w:tcBorders>
            <w:vAlign w:val="center"/>
          </w:tcPr>
          <w:p w14:paraId="7F7915CB"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tcBorders>
              <w:bottom w:val="nil"/>
            </w:tcBorders>
            <w:vAlign w:val="center"/>
          </w:tcPr>
          <w:p w14:paraId="63461830"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9B"/>
            </w:r>
          </w:p>
        </w:tc>
        <w:tc>
          <w:tcPr>
            <w:tcW w:w="693" w:type="pct"/>
            <w:tcBorders>
              <w:bottom w:val="nil"/>
            </w:tcBorders>
          </w:tcPr>
          <w:p w14:paraId="131AC4A1"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9B"/>
            </w:r>
          </w:p>
        </w:tc>
        <w:tc>
          <w:tcPr>
            <w:tcW w:w="778" w:type="pct"/>
            <w:tcBorders>
              <w:bottom w:val="nil"/>
            </w:tcBorders>
            <w:vAlign w:val="center"/>
          </w:tcPr>
          <w:p w14:paraId="04F60A24"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CB"/>
            </w:r>
          </w:p>
        </w:tc>
      </w:tr>
      <w:tr w:rsidR="001960CE" w:rsidRPr="005935A9" w14:paraId="04EA6A40" w14:textId="77777777" w:rsidTr="004C78E9">
        <w:tc>
          <w:tcPr>
            <w:tcW w:w="894" w:type="pct"/>
            <w:shd w:val="clear" w:color="auto" w:fill="auto"/>
            <w:vAlign w:val="center"/>
          </w:tcPr>
          <w:p w14:paraId="212527A4"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Bosentan</w:t>
            </w:r>
          </w:p>
        </w:tc>
        <w:tc>
          <w:tcPr>
            <w:tcW w:w="624" w:type="pct"/>
            <w:shd w:val="clear" w:color="auto" w:fill="auto"/>
            <w:vAlign w:val="center"/>
          </w:tcPr>
          <w:p w14:paraId="296E7175"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vAlign w:val="center"/>
          </w:tcPr>
          <w:p w14:paraId="0D0355CC"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53FF20BD"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7D97E43F"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tcPr>
          <w:p w14:paraId="471C532D"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9B"/>
            </w:r>
          </w:p>
        </w:tc>
        <w:tc>
          <w:tcPr>
            <w:tcW w:w="778" w:type="pct"/>
            <w:vAlign w:val="center"/>
          </w:tcPr>
          <w:p w14:paraId="24AFBCCA"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CB"/>
            </w:r>
          </w:p>
        </w:tc>
      </w:tr>
      <w:tr w:rsidR="001960CE" w:rsidRPr="005935A9" w14:paraId="35E8AA59" w14:textId="77777777" w:rsidTr="004C78E9">
        <w:tc>
          <w:tcPr>
            <w:tcW w:w="894" w:type="pct"/>
            <w:vAlign w:val="center"/>
          </w:tcPr>
          <w:p w14:paraId="2FFADD10"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Sildenafil</w:t>
            </w:r>
            <w:r>
              <w:rPr>
                <w:rFonts w:ascii="Arial" w:hAnsi="Arial" w:cs="Arial"/>
                <w:sz w:val="20"/>
                <w:vertAlign w:val="superscript"/>
              </w:rPr>
              <w:t>a</w:t>
            </w:r>
          </w:p>
        </w:tc>
        <w:tc>
          <w:tcPr>
            <w:tcW w:w="624" w:type="pct"/>
            <w:vAlign w:val="center"/>
          </w:tcPr>
          <w:p w14:paraId="45FF710D" w14:textId="77777777" w:rsidR="001960CE" w:rsidRPr="00DE148E" w:rsidRDefault="001960CE" w:rsidP="004C78E9">
            <w:pPr>
              <w:keepNext/>
              <w:spacing w:beforeLines="40" w:before="96" w:afterLines="40" w:after="96" w:line="240" w:lineRule="auto"/>
              <w:jc w:val="center"/>
              <w:rPr>
                <w:rFonts w:ascii="Arial" w:hAnsi="Arial" w:cs="Arial"/>
                <w:b/>
                <w:caps/>
                <w:spacing w:val="5"/>
                <w:kern w:val="28"/>
                <w:sz w:val="20"/>
                <w:lang w:val="en-US"/>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vAlign w:val="center"/>
          </w:tcPr>
          <w:p w14:paraId="73A0C913"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CB"/>
            </w:r>
          </w:p>
        </w:tc>
        <w:tc>
          <w:tcPr>
            <w:tcW w:w="693" w:type="pct"/>
            <w:vAlign w:val="center"/>
          </w:tcPr>
          <w:p w14:paraId="7A4ED76F"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3DABAF24"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9B"/>
            </w:r>
          </w:p>
        </w:tc>
        <w:tc>
          <w:tcPr>
            <w:tcW w:w="693" w:type="pct"/>
          </w:tcPr>
          <w:p w14:paraId="7E6ACE9E"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9B"/>
            </w:r>
          </w:p>
        </w:tc>
        <w:tc>
          <w:tcPr>
            <w:tcW w:w="778" w:type="pct"/>
            <w:vAlign w:val="center"/>
          </w:tcPr>
          <w:p w14:paraId="62857BBB"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CB"/>
            </w:r>
          </w:p>
        </w:tc>
      </w:tr>
      <w:tr w:rsidR="001960CE" w:rsidRPr="005935A9" w14:paraId="3026D46C" w14:textId="77777777" w:rsidTr="004C78E9">
        <w:tc>
          <w:tcPr>
            <w:tcW w:w="894" w:type="pct"/>
            <w:vAlign w:val="center"/>
          </w:tcPr>
          <w:p w14:paraId="39DBE403"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Tadalafil</w:t>
            </w:r>
            <w:r>
              <w:rPr>
                <w:rFonts w:ascii="Arial" w:hAnsi="Arial" w:cs="Arial"/>
                <w:sz w:val="20"/>
                <w:vertAlign w:val="superscript"/>
              </w:rPr>
              <w:t>a</w:t>
            </w:r>
          </w:p>
        </w:tc>
        <w:tc>
          <w:tcPr>
            <w:tcW w:w="624" w:type="pct"/>
            <w:vAlign w:val="center"/>
          </w:tcPr>
          <w:p w14:paraId="43C70C19" w14:textId="77777777" w:rsidR="001960CE" w:rsidRPr="00DE148E" w:rsidRDefault="001960CE" w:rsidP="004C78E9">
            <w:pPr>
              <w:keepNext/>
              <w:spacing w:beforeLines="40" w:before="96" w:afterLines="40" w:after="96" w:line="240" w:lineRule="auto"/>
              <w:jc w:val="center"/>
              <w:rPr>
                <w:rFonts w:ascii="Arial" w:hAnsi="Arial" w:cs="Arial"/>
                <w:b/>
                <w:caps/>
                <w:spacing w:val="5"/>
                <w:kern w:val="28"/>
                <w:sz w:val="20"/>
                <w:lang w:val="en-US"/>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vAlign w:val="center"/>
          </w:tcPr>
          <w:p w14:paraId="46280016"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CB"/>
            </w:r>
          </w:p>
        </w:tc>
        <w:tc>
          <w:tcPr>
            <w:tcW w:w="693" w:type="pct"/>
            <w:vAlign w:val="center"/>
          </w:tcPr>
          <w:p w14:paraId="07982024"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7215B7E0"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9B"/>
            </w:r>
          </w:p>
        </w:tc>
        <w:tc>
          <w:tcPr>
            <w:tcW w:w="693" w:type="pct"/>
          </w:tcPr>
          <w:p w14:paraId="463C126C"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9B"/>
            </w:r>
          </w:p>
        </w:tc>
        <w:tc>
          <w:tcPr>
            <w:tcW w:w="778" w:type="pct"/>
            <w:vAlign w:val="center"/>
          </w:tcPr>
          <w:p w14:paraId="099B916E" w14:textId="77777777" w:rsidR="001960CE" w:rsidRPr="00C2124B" w:rsidRDefault="001960CE" w:rsidP="004C78E9">
            <w:pPr>
              <w:keepNext/>
              <w:spacing w:beforeLines="40" w:before="96" w:afterLines="40" w:after="96" w:line="240" w:lineRule="auto"/>
              <w:jc w:val="center"/>
              <w:rPr>
                <w:rFonts w:ascii="Arial" w:hAnsi="Arial" w:cs="Arial"/>
                <w:color w:val="A6A6A6"/>
                <w:sz w:val="20"/>
              </w:rPr>
            </w:pPr>
            <w:r w:rsidRPr="00C2124B">
              <w:rPr>
                <w:rFonts w:ascii="Arial" w:hAnsi="Arial" w:cs="Arial"/>
                <w:color w:val="A6A6A6"/>
                <w:sz w:val="20"/>
              </w:rPr>
              <w:sym w:font="Wingdings 2" w:char="F052"/>
            </w:r>
            <w:r w:rsidRPr="00DE148E">
              <w:rPr>
                <w:rFonts w:ascii="Arial" w:hAnsi="Arial" w:cs="Arial"/>
                <w:sz w:val="20"/>
              </w:rPr>
              <w:sym w:font="Wingdings 2" w:char="F0CB"/>
            </w:r>
          </w:p>
        </w:tc>
      </w:tr>
      <w:tr w:rsidR="001960CE" w:rsidRPr="005935A9" w14:paraId="049B9A3D" w14:textId="77777777" w:rsidTr="004C78E9">
        <w:tc>
          <w:tcPr>
            <w:tcW w:w="894" w:type="pct"/>
            <w:vAlign w:val="center"/>
          </w:tcPr>
          <w:p w14:paraId="5CAFF432"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 xml:space="preserve">Riociguat </w:t>
            </w:r>
          </w:p>
        </w:tc>
        <w:tc>
          <w:tcPr>
            <w:tcW w:w="624" w:type="pct"/>
            <w:vAlign w:val="center"/>
          </w:tcPr>
          <w:p w14:paraId="65380E82" w14:textId="77777777" w:rsidR="001960CE" w:rsidRPr="00DE148E" w:rsidRDefault="001960CE" w:rsidP="004C78E9">
            <w:pPr>
              <w:keepNext/>
              <w:spacing w:beforeLines="40" w:before="96" w:afterLines="40" w:after="96" w:line="240" w:lineRule="auto"/>
              <w:jc w:val="center"/>
              <w:rPr>
                <w:rFonts w:ascii="Arial" w:hAnsi="Arial" w:cs="Arial"/>
                <w:b/>
                <w:caps/>
                <w:color w:val="000000"/>
                <w:spacing w:val="5"/>
                <w:kern w:val="28"/>
                <w:sz w:val="20"/>
                <w:lang w:val="en-US"/>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vAlign w:val="center"/>
          </w:tcPr>
          <w:p w14:paraId="32918418"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138551A8"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7C9A51B3"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tcPr>
          <w:p w14:paraId="473D3EA8"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9B"/>
            </w:r>
          </w:p>
        </w:tc>
        <w:tc>
          <w:tcPr>
            <w:tcW w:w="778" w:type="pct"/>
            <w:vAlign w:val="center"/>
          </w:tcPr>
          <w:p w14:paraId="13998BF9"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CB"/>
            </w:r>
          </w:p>
        </w:tc>
      </w:tr>
      <w:tr w:rsidR="001960CE" w:rsidRPr="005935A9" w14:paraId="1943EFEF" w14:textId="77777777" w:rsidTr="004C78E9">
        <w:tc>
          <w:tcPr>
            <w:tcW w:w="894" w:type="pct"/>
            <w:vAlign w:val="center"/>
          </w:tcPr>
          <w:p w14:paraId="6078D446" w14:textId="77777777" w:rsidR="001960CE" w:rsidRPr="00DE148E" w:rsidRDefault="001960CE" w:rsidP="004C78E9">
            <w:pPr>
              <w:keepNext/>
              <w:spacing w:beforeLines="40" w:before="96" w:afterLines="40" w:after="96" w:line="240" w:lineRule="auto"/>
              <w:jc w:val="left"/>
              <w:rPr>
                <w:rFonts w:ascii="Arial" w:hAnsi="Arial" w:cs="Arial"/>
                <w:sz w:val="20"/>
              </w:rPr>
            </w:pPr>
            <w:r w:rsidRPr="00DE148E">
              <w:rPr>
                <w:rFonts w:ascii="Arial" w:hAnsi="Arial" w:cs="Arial"/>
                <w:sz w:val="20"/>
              </w:rPr>
              <w:t>Iloprost</w:t>
            </w:r>
          </w:p>
        </w:tc>
        <w:tc>
          <w:tcPr>
            <w:tcW w:w="624" w:type="pct"/>
            <w:vAlign w:val="center"/>
          </w:tcPr>
          <w:p w14:paraId="16747186"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24" w:type="pct"/>
            <w:vAlign w:val="center"/>
          </w:tcPr>
          <w:p w14:paraId="0C33F155"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CB"/>
            </w:r>
          </w:p>
        </w:tc>
        <w:tc>
          <w:tcPr>
            <w:tcW w:w="693" w:type="pct"/>
            <w:vAlign w:val="center"/>
          </w:tcPr>
          <w:p w14:paraId="3FBE0094"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693" w:type="pct"/>
            <w:vAlign w:val="center"/>
          </w:tcPr>
          <w:p w14:paraId="7728F82B" w14:textId="77777777" w:rsidR="001960CE" w:rsidRPr="00DE148E" w:rsidRDefault="001960CE" w:rsidP="004C78E9">
            <w:pPr>
              <w:keepNext/>
              <w:spacing w:beforeLines="40" w:before="96" w:afterLines="40" w:after="96" w:line="240" w:lineRule="auto"/>
              <w:jc w:val="center"/>
              <w:rPr>
                <w:rFonts w:ascii="Arial" w:hAnsi="Arial" w:cs="Arial"/>
                <w:sz w:val="20"/>
              </w:rPr>
            </w:pPr>
            <w:r w:rsidRPr="00DE148E">
              <w:rPr>
                <w:rFonts w:ascii="Arial" w:hAnsi="Arial" w:cs="Arial"/>
                <w:sz w:val="20"/>
              </w:rPr>
              <w:sym w:font="Wingdings 2" w:char="F0D2"/>
            </w:r>
            <w:r w:rsidRPr="00DE148E">
              <w:rPr>
                <w:rFonts w:ascii="Arial" w:hAnsi="Arial" w:cs="Arial"/>
                <w:sz w:val="20"/>
              </w:rPr>
              <w:sym w:font="Wingdings 2" w:char="F09B"/>
            </w:r>
          </w:p>
        </w:tc>
        <w:tc>
          <w:tcPr>
            <w:tcW w:w="693" w:type="pct"/>
          </w:tcPr>
          <w:p w14:paraId="79C5719E"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c>
          <w:tcPr>
            <w:tcW w:w="778" w:type="pct"/>
            <w:vAlign w:val="center"/>
          </w:tcPr>
          <w:p w14:paraId="26A4BF19" w14:textId="77777777" w:rsidR="001960CE" w:rsidRPr="00DE148E" w:rsidRDefault="001960CE" w:rsidP="004C78E9">
            <w:pPr>
              <w:keepNext/>
              <w:spacing w:beforeLines="40" w:before="96" w:afterLines="40" w:after="96" w:line="240" w:lineRule="auto"/>
              <w:jc w:val="center"/>
              <w:rPr>
                <w:rFonts w:ascii="Arial" w:hAnsi="Arial" w:cs="Arial"/>
                <w:b/>
                <w:sz w:val="20"/>
              </w:rPr>
            </w:pPr>
            <w:r w:rsidRPr="00DE148E">
              <w:rPr>
                <w:rFonts w:ascii="Arial" w:hAnsi="Arial" w:cs="Arial"/>
                <w:b/>
                <w:sz w:val="20"/>
              </w:rPr>
              <w:sym w:font="Wingdings 2" w:char="F052"/>
            </w:r>
            <w:r w:rsidRPr="00DE148E">
              <w:rPr>
                <w:rFonts w:ascii="Arial" w:hAnsi="Arial" w:cs="Arial"/>
                <w:sz w:val="20"/>
              </w:rPr>
              <w:sym w:font="Wingdings 2" w:char="F0CB"/>
            </w:r>
          </w:p>
        </w:tc>
      </w:tr>
      <w:tr w:rsidR="001960CE" w:rsidRPr="005935A9" w14:paraId="11DBE272" w14:textId="77777777" w:rsidTr="004C78E9">
        <w:tc>
          <w:tcPr>
            <w:tcW w:w="894" w:type="pct"/>
            <w:vAlign w:val="center"/>
          </w:tcPr>
          <w:p w14:paraId="5E587319" w14:textId="77777777" w:rsidR="001960CE" w:rsidRPr="00DE148E" w:rsidRDefault="001960CE" w:rsidP="004C78E9">
            <w:pPr>
              <w:keepNext/>
              <w:spacing w:beforeLines="40" w:before="96" w:afterLines="40" w:after="96" w:line="240" w:lineRule="auto"/>
              <w:ind w:right="34"/>
              <w:jc w:val="left"/>
              <w:rPr>
                <w:rFonts w:ascii="Arial" w:hAnsi="Arial" w:cs="Arial"/>
                <w:sz w:val="20"/>
              </w:rPr>
            </w:pPr>
            <w:r w:rsidRPr="00DE148E">
              <w:rPr>
                <w:rFonts w:ascii="Arial" w:hAnsi="Arial" w:cs="Arial"/>
                <w:sz w:val="20"/>
              </w:rPr>
              <w:t>Epoprostenol</w:t>
            </w:r>
          </w:p>
        </w:tc>
        <w:tc>
          <w:tcPr>
            <w:tcW w:w="624" w:type="pct"/>
            <w:vAlign w:val="center"/>
          </w:tcPr>
          <w:p w14:paraId="024466AB" w14:textId="77777777" w:rsidR="001960CE" w:rsidRPr="00DE148E" w:rsidRDefault="001960CE" w:rsidP="004C78E9">
            <w:pPr>
              <w:pStyle w:val="TableText0"/>
              <w:keepNext/>
              <w:spacing w:beforeLines="40" w:before="96" w:afterLines="40" w:after="96"/>
              <w:jc w:val="center"/>
              <w:rPr>
                <w:rFonts w:ascii="Arial" w:hAnsi="Arial"/>
                <w:b/>
                <w:caps/>
                <w:color w:val="000000"/>
                <w:spacing w:val="5"/>
                <w:kern w:val="28"/>
                <w:szCs w:val="20"/>
                <w:lang w:val="en-US"/>
              </w:rPr>
            </w:pPr>
            <w:r w:rsidRPr="00DE148E">
              <w:rPr>
                <w:rFonts w:ascii="Arial" w:hAnsi="Arial"/>
                <w:b/>
                <w:szCs w:val="20"/>
              </w:rPr>
              <w:sym w:font="Wingdings 2" w:char="F052"/>
            </w:r>
            <w:r w:rsidRPr="00DE148E">
              <w:rPr>
                <w:rFonts w:ascii="Arial" w:hAnsi="Arial"/>
                <w:szCs w:val="20"/>
              </w:rPr>
              <w:sym w:font="Wingdings 2" w:char="F0CB"/>
            </w:r>
          </w:p>
        </w:tc>
        <w:tc>
          <w:tcPr>
            <w:tcW w:w="624" w:type="pct"/>
            <w:vAlign w:val="center"/>
          </w:tcPr>
          <w:p w14:paraId="152366C5" w14:textId="77777777" w:rsidR="001960CE" w:rsidRPr="00DE148E" w:rsidRDefault="001960CE" w:rsidP="004C78E9">
            <w:pPr>
              <w:pStyle w:val="TableText0"/>
              <w:keepNext/>
              <w:spacing w:beforeLines="40" w:before="96" w:afterLines="40" w:after="96"/>
              <w:jc w:val="center"/>
              <w:rPr>
                <w:rFonts w:ascii="Arial" w:hAnsi="Arial"/>
                <w:b/>
                <w:szCs w:val="20"/>
              </w:rPr>
            </w:pPr>
            <w:r w:rsidRPr="00DE148E">
              <w:rPr>
                <w:rFonts w:ascii="Arial" w:hAnsi="Arial"/>
                <w:b/>
                <w:szCs w:val="20"/>
              </w:rPr>
              <w:sym w:font="Wingdings 2" w:char="F052"/>
            </w:r>
            <w:r w:rsidRPr="00DE148E">
              <w:rPr>
                <w:rFonts w:ascii="Arial" w:hAnsi="Arial"/>
                <w:szCs w:val="20"/>
              </w:rPr>
              <w:sym w:font="Wingdings 2" w:char="F0CB"/>
            </w:r>
          </w:p>
        </w:tc>
        <w:tc>
          <w:tcPr>
            <w:tcW w:w="693" w:type="pct"/>
            <w:vAlign w:val="center"/>
          </w:tcPr>
          <w:p w14:paraId="0A2A5356" w14:textId="77777777" w:rsidR="001960CE" w:rsidRPr="00DE148E" w:rsidRDefault="001960CE" w:rsidP="004C78E9">
            <w:pPr>
              <w:pStyle w:val="TableText0"/>
              <w:keepNext/>
              <w:spacing w:beforeLines="40" w:before="96" w:afterLines="40" w:after="96"/>
              <w:jc w:val="center"/>
              <w:rPr>
                <w:rFonts w:ascii="Arial" w:hAnsi="Arial"/>
                <w:b/>
                <w:szCs w:val="20"/>
              </w:rPr>
            </w:pPr>
            <w:r w:rsidRPr="00DE148E">
              <w:rPr>
                <w:rFonts w:ascii="Arial" w:hAnsi="Arial"/>
                <w:b/>
                <w:szCs w:val="20"/>
              </w:rPr>
              <w:sym w:font="Wingdings 2" w:char="F052"/>
            </w:r>
            <w:r w:rsidRPr="00DE148E">
              <w:rPr>
                <w:rFonts w:ascii="Arial" w:hAnsi="Arial"/>
                <w:szCs w:val="20"/>
              </w:rPr>
              <w:sym w:font="Wingdings 2" w:char="F0CB"/>
            </w:r>
          </w:p>
        </w:tc>
        <w:tc>
          <w:tcPr>
            <w:tcW w:w="693" w:type="pct"/>
            <w:vAlign w:val="center"/>
          </w:tcPr>
          <w:p w14:paraId="14CBC477" w14:textId="77777777" w:rsidR="001960CE" w:rsidRPr="00DE148E" w:rsidRDefault="001960CE" w:rsidP="004C78E9">
            <w:pPr>
              <w:pStyle w:val="TableText0"/>
              <w:keepNext/>
              <w:spacing w:beforeLines="40" w:before="96" w:afterLines="40" w:after="96"/>
              <w:jc w:val="center"/>
              <w:rPr>
                <w:rFonts w:ascii="Arial" w:hAnsi="Arial"/>
                <w:szCs w:val="20"/>
              </w:rPr>
            </w:pPr>
            <w:r w:rsidRPr="00DE148E">
              <w:rPr>
                <w:rFonts w:ascii="Arial" w:hAnsi="Arial"/>
                <w:szCs w:val="20"/>
              </w:rPr>
              <w:sym w:font="Wingdings 2" w:char="F0D2"/>
            </w:r>
            <w:r w:rsidRPr="00DE148E">
              <w:rPr>
                <w:rFonts w:ascii="Arial" w:hAnsi="Arial"/>
                <w:szCs w:val="20"/>
              </w:rPr>
              <w:sym w:font="Wingdings 2" w:char="F09B"/>
            </w:r>
          </w:p>
        </w:tc>
        <w:tc>
          <w:tcPr>
            <w:tcW w:w="693" w:type="pct"/>
          </w:tcPr>
          <w:p w14:paraId="683CC1E0" w14:textId="77777777" w:rsidR="001960CE" w:rsidRPr="00DE148E" w:rsidRDefault="001960CE" w:rsidP="004C78E9">
            <w:pPr>
              <w:pStyle w:val="TableText0"/>
              <w:keepNext/>
              <w:spacing w:beforeLines="40" w:before="96" w:afterLines="40" w:after="96"/>
              <w:jc w:val="center"/>
              <w:rPr>
                <w:rFonts w:ascii="Arial" w:hAnsi="Arial"/>
                <w:szCs w:val="20"/>
              </w:rPr>
            </w:pPr>
            <w:r w:rsidRPr="00DE148E">
              <w:rPr>
                <w:rFonts w:ascii="Arial" w:hAnsi="Arial"/>
              </w:rPr>
              <w:sym w:font="Wingdings 2" w:char="F0D2"/>
            </w:r>
            <w:r w:rsidRPr="00DE148E">
              <w:rPr>
                <w:rFonts w:ascii="Arial" w:hAnsi="Arial"/>
              </w:rPr>
              <w:sym w:font="Wingdings 2" w:char="F09B"/>
            </w:r>
          </w:p>
        </w:tc>
        <w:tc>
          <w:tcPr>
            <w:tcW w:w="778" w:type="pct"/>
            <w:vAlign w:val="center"/>
          </w:tcPr>
          <w:p w14:paraId="7DE69480" w14:textId="77777777" w:rsidR="001960CE" w:rsidRPr="00DE148E" w:rsidRDefault="001960CE" w:rsidP="004C78E9">
            <w:pPr>
              <w:pStyle w:val="TableText0"/>
              <w:keepNext/>
              <w:spacing w:beforeLines="40" w:before="96" w:afterLines="40" w:after="96"/>
              <w:jc w:val="center"/>
              <w:rPr>
                <w:rFonts w:ascii="Arial" w:hAnsi="Arial"/>
                <w:szCs w:val="20"/>
              </w:rPr>
            </w:pPr>
            <w:r w:rsidRPr="00DE148E">
              <w:rPr>
                <w:rFonts w:ascii="Arial" w:hAnsi="Arial"/>
                <w:szCs w:val="20"/>
              </w:rPr>
              <w:sym w:font="Wingdings 2" w:char="F0D2"/>
            </w:r>
            <w:r w:rsidRPr="00DE148E">
              <w:rPr>
                <w:rFonts w:ascii="Arial" w:hAnsi="Arial"/>
                <w:szCs w:val="20"/>
              </w:rPr>
              <w:sym w:font="Wingdings 2" w:char="F0CB"/>
            </w:r>
          </w:p>
        </w:tc>
      </w:tr>
    </w:tbl>
    <w:p w14:paraId="3B8AF147" w14:textId="77777777" w:rsidR="001960CE" w:rsidRPr="00DE148E" w:rsidRDefault="001960CE" w:rsidP="001960CE">
      <w:pPr>
        <w:tabs>
          <w:tab w:val="left" w:pos="2600"/>
        </w:tabs>
        <w:spacing w:after="60" w:line="240" w:lineRule="auto"/>
        <w:jc w:val="left"/>
        <w:rPr>
          <w:rFonts w:ascii="Arial" w:hAnsi="Arial" w:cs="Arial"/>
          <w:sz w:val="16"/>
          <w:szCs w:val="16"/>
        </w:rPr>
      </w:pPr>
      <w:r w:rsidRPr="00DE148E">
        <w:rPr>
          <w:rFonts w:ascii="Arial" w:hAnsi="Arial" w:cs="Arial"/>
          <w:b/>
          <w:sz w:val="16"/>
          <w:szCs w:val="16"/>
        </w:rPr>
        <w:sym w:font="Wingdings 2" w:char="F052"/>
      </w:r>
      <w:r w:rsidRPr="00DE148E">
        <w:rPr>
          <w:rFonts w:ascii="Arial" w:hAnsi="Arial" w:cs="Arial"/>
          <w:sz w:val="16"/>
          <w:szCs w:val="16"/>
        </w:rPr>
        <w:t xml:space="preserve"> = ARTG registered indication; </w:t>
      </w:r>
      <w:r w:rsidRPr="00DE148E">
        <w:rPr>
          <w:rFonts w:ascii="Arial" w:hAnsi="Arial" w:cs="Arial"/>
          <w:sz w:val="16"/>
          <w:szCs w:val="16"/>
        </w:rPr>
        <w:sym w:font="Wingdings 2" w:char="F0D2"/>
      </w:r>
      <w:r w:rsidRPr="00DE148E">
        <w:rPr>
          <w:rFonts w:ascii="Arial" w:hAnsi="Arial" w:cs="Arial"/>
          <w:sz w:val="16"/>
          <w:szCs w:val="16"/>
        </w:rPr>
        <w:t xml:space="preserve"> = not an ARTG registered indication; </w:t>
      </w:r>
      <w:r w:rsidRPr="00DE148E">
        <w:rPr>
          <w:rFonts w:ascii="Arial" w:hAnsi="Arial" w:cs="Arial"/>
          <w:sz w:val="16"/>
          <w:szCs w:val="16"/>
        </w:rPr>
        <w:sym w:font="Wingdings 2" w:char="F0CB"/>
      </w:r>
      <w:r w:rsidRPr="00DE148E">
        <w:rPr>
          <w:rFonts w:ascii="Arial" w:hAnsi="Arial" w:cs="Arial"/>
          <w:sz w:val="16"/>
          <w:szCs w:val="16"/>
        </w:rPr>
        <w:t xml:space="preserve"> = PBS indication; </w:t>
      </w:r>
      <w:r w:rsidRPr="00DE148E">
        <w:rPr>
          <w:rFonts w:ascii="Arial" w:hAnsi="Arial" w:cs="Arial"/>
          <w:sz w:val="16"/>
          <w:szCs w:val="16"/>
        </w:rPr>
        <w:sym w:font="Wingdings 2" w:char="F09B"/>
      </w:r>
      <w:r w:rsidRPr="00DE148E">
        <w:rPr>
          <w:rFonts w:ascii="Arial" w:hAnsi="Arial" w:cs="Arial"/>
          <w:sz w:val="16"/>
          <w:szCs w:val="16"/>
        </w:rPr>
        <w:t xml:space="preserve"> = not PBS listed for this indication</w:t>
      </w:r>
    </w:p>
    <w:p w14:paraId="5C56FDAB" w14:textId="77777777" w:rsidR="001960CE" w:rsidRPr="000408BA" w:rsidRDefault="001960CE" w:rsidP="001960CE">
      <w:pPr>
        <w:spacing w:after="240" w:line="240" w:lineRule="auto"/>
        <w:jc w:val="left"/>
        <w:rPr>
          <w:rFonts w:ascii="Arial" w:hAnsi="Arial" w:cs="Arial"/>
          <w:sz w:val="16"/>
          <w:szCs w:val="16"/>
        </w:rPr>
      </w:pPr>
      <w:r>
        <w:rPr>
          <w:rFonts w:ascii="Arial" w:hAnsi="Arial" w:cs="Arial"/>
          <w:sz w:val="16"/>
          <w:szCs w:val="16"/>
        </w:rPr>
        <w:t>a</w:t>
      </w:r>
      <w:r w:rsidRPr="00DE148E">
        <w:rPr>
          <w:rFonts w:ascii="Arial" w:hAnsi="Arial" w:cs="Arial"/>
          <w:sz w:val="16"/>
          <w:szCs w:val="16"/>
        </w:rPr>
        <w:t>: Sildenafil and tadalafil are indicated for PAH in general (in grey) – efficacy shown only in IPAH and PAH-CTD (in black)</w:t>
      </w:r>
    </w:p>
    <w:p w14:paraId="104E70E6" w14:textId="77777777" w:rsidR="001960CE" w:rsidRPr="004B4FB9" w:rsidRDefault="001960CE" w:rsidP="001960CE">
      <w:pPr>
        <w:pStyle w:val="ListParagraph"/>
        <w:widowControl w:val="0"/>
        <w:numPr>
          <w:ilvl w:val="0"/>
          <w:numId w:val="36"/>
        </w:numPr>
        <w:adjustRightInd w:val="0"/>
        <w:contextualSpacing w:val="0"/>
        <w:jc w:val="left"/>
        <w:textAlignment w:val="baseline"/>
        <w:rPr>
          <w:szCs w:val="24"/>
        </w:rPr>
      </w:pPr>
      <w:r>
        <w:rPr>
          <w:szCs w:val="24"/>
        </w:rPr>
        <w:t xml:space="preserve">The PBS </w:t>
      </w:r>
      <w:r w:rsidRPr="00A0733C">
        <w:rPr>
          <w:szCs w:val="24"/>
        </w:rPr>
        <w:t>subsidises only one PAH medicine for drug-induced PAH (iloprost</w:t>
      </w:r>
      <w:r>
        <w:rPr>
          <w:szCs w:val="24"/>
        </w:rPr>
        <w:t>).</w:t>
      </w:r>
    </w:p>
    <w:p w14:paraId="2C4DF0FC" w14:textId="77777777" w:rsidR="001960CE" w:rsidRPr="005B6C8E" w:rsidRDefault="001960CE" w:rsidP="001960CE">
      <w:pPr>
        <w:pStyle w:val="ListParagraph"/>
        <w:widowControl w:val="0"/>
        <w:numPr>
          <w:ilvl w:val="0"/>
          <w:numId w:val="36"/>
        </w:numPr>
        <w:adjustRightInd w:val="0"/>
        <w:contextualSpacing w:val="0"/>
        <w:jc w:val="left"/>
        <w:textAlignment w:val="baseline"/>
        <w:rPr>
          <w:szCs w:val="24"/>
        </w:rPr>
      </w:pPr>
      <w:r w:rsidRPr="005B6C8E">
        <w:rPr>
          <w:szCs w:val="24"/>
        </w:rPr>
        <w:t xml:space="preserve">A small number </w:t>
      </w:r>
      <w:r w:rsidR="002C4D4C">
        <w:rPr>
          <w:szCs w:val="24"/>
        </w:rPr>
        <w:t xml:space="preserve">of </w:t>
      </w:r>
      <w:r w:rsidRPr="005B6C8E">
        <w:rPr>
          <w:szCs w:val="24"/>
        </w:rPr>
        <w:t xml:space="preserve">medicines and combinations (sildenafil, tadalafil, ambrisentan plus tadalafil) are TGA registered for the treatment of all </w:t>
      </w:r>
      <w:r>
        <w:rPr>
          <w:szCs w:val="24"/>
        </w:rPr>
        <w:t>of WHO Group I PAH.</w:t>
      </w:r>
    </w:p>
    <w:p w14:paraId="4522CDB0" w14:textId="77777777" w:rsidR="001960CE" w:rsidRPr="005B6C8E" w:rsidRDefault="001960CE" w:rsidP="001960CE">
      <w:pPr>
        <w:spacing w:before="120"/>
        <w:ind w:left="360" w:hanging="360"/>
        <w:jc w:val="left"/>
        <w:rPr>
          <w:szCs w:val="24"/>
          <w:u w:val="single"/>
        </w:rPr>
      </w:pPr>
      <w:r>
        <w:rPr>
          <w:szCs w:val="24"/>
          <w:u w:val="single"/>
        </w:rPr>
        <w:t>Issues for consideration</w:t>
      </w:r>
    </w:p>
    <w:p w14:paraId="6339A01E" w14:textId="77777777" w:rsidR="001960CE" w:rsidRPr="005B6C8E" w:rsidRDefault="001960CE" w:rsidP="001960CE">
      <w:pPr>
        <w:pStyle w:val="ListParagraph"/>
        <w:widowControl w:val="0"/>
        <w:numPr>
          <w:ilvl w:val="0"/>
          <w:numId w:val="36"/>
        </w:numPr>
        <w:adjustRightInd w:val="0"/>
        <w:contextualSpacing w:val="0"/>
        <w:jc w:val="left"/>
        <w:textAlignment w:val="baseline"/>
        <w:rPr>
          <w:szCs w:val="24"/>
        </w:rPr>
      </w:pPr>
      <w:r>
        <w:rPr>
          <w:szCs w:val="24"/>
        </w:rPr>
        <w:t xml:space="preserve">The </w:t>
      </w:r>
      <w:r w:rsidR="00A43B3C">
        <w:rPr>
          <w:szCs w:val="24"/>
        </w:rPr>
        <w:t xml:space="preserve">2015 </w:t>
      </w:r>
      <w:r w:rsidRPr="005B6C8E">
        <w:rPr>
          <w:szCs w:val="24"/>
        </w:rPr>
        <w:t xml:space="preserve">ESC/ERS Guidelines recommend using </w:t>
      </w:r>
      <w:r>
        <w:rPr>
          <w:szCs w:val="24"/>
        </w:rPr>
        <w:t xml:space="preserve">all </w:t>
      </w:r>
      <w:r w:rsidRPr="005B6C8E">
        <w:rPr>
          <w:szCs w:val="24"/>
        </w:rPr>
        <w:t xml:space="preserve">PAH medicines for all </w:t>
      </w:r>
      <w:r>
        <w:rPr>
          <w:szCs w:val="24"/>
        </w:rPr>
        <w:t xml:space="preserve">of the </w:t>
      </w:r>
      <w:r w:rsidRPr="005B6C8E">
        <w:rPr>
          <w:szCs w:val="24"/>
        </w:rPr>
        <w:t>WHO Group I PAH subtypes irrespective of the subtype or line of treatment</w:t>
      </w:r>
      <w:r>
        <w:rPr>
          <w:szCs w:val="24"/>
        </w:rPr>
        <w:t>.</w:t>
      </w:r>
    </w:p>
    <w:p w14:paraId="34C08E2B" w14:textId="77777777" w:rsidR="001960CE" w:rsidRPr="005B6C8E" w:rsidRDefault="001960CE" w:rsidP="00623CD5">
      <w:pPr>
        <w:jc w:val="left"/>
        <w:rPr>
          <w:szCs w:val="24"/>
          <w:u w:val="single"/>
        </w:rPr>
      </w:pPr>
      <w:r w:rsidRPr="005B6C8E">
        <w:rPr>
          <w:szCs w:val="24"/>
          <w:u w:val="single"/>
        </w:rPr>
        <w:t>Stakeholder comments</w:t>
      </w:r>
    </w:p>
    <w:p w14:paraId="5A1AD758" w14:textId="77777777" w:rsidR="001960CE" w:rsidRDefault="001960CE" w:rsidP="001960CE">
      <w:pPr>
        <w:widowControl w:val="0"/>
        <w:numPr>
          <w:ilvl w:val="0"/>
          <w:numId w:val="42"/>
        </w:numPr>
        <w:adjustRightInd w:val="0"/>
        <w:ind w:left="567" w:hanging="567"/>
        <w:jc w:val="left"/>
        <w:textAlignment w:val="baseline"/>
      </w:pPr>
      <w:r>
        <w:t>Stakeholders s</w:t>
      </w:r>
      <w:r w:rsidRPr="005B6C8E">
        <w:t>t</w:t>
      </w:r>
      <w:r>
        <w:t>rongly believe</w:t>
      </w:r>
      <w:r w:rsidRPr="005B6C8E">
        <w:t xml:space="preserve"> that PAH medicines should not be reimbursed based on the cause of PAH or FC, and suggests PAH medicines should be available to all PAH patients regardless of what type, FC or severity of PAH disease they have.</w:t>
      </w:r>
    </w:p>
    <w:p w14:paraId="52C42EFF" w14:textId="77777777" w:rsidR="002979B2" w:rsidRPr="002979B2" w:rsidRDefault="002979B2" w:rsidP="00502C90">
      <w:pPr>
        <w:spacing w:before="120"/>
        <w:jc w:val="left"/>
        <w:rPr>
          <w:szCs w:val="24"/>
          <w:u w:val="single"/>
        </w:rPr>
      </w:pPr>
      <w:r w:rsidRPr="002979B2">
        <w:rPr>
          <w:szCs w:val="24"/>
          <w:u w:val="single"/>
        </w:rPr>
        <w:t>Reference Group views</w:t>
      </w:r>
    </w:p>
    <w:p w14:paraId="4B4BD948" w14:textId="77777777" w:rsidR="00AB62B2" w:rsidRPr="004E41EB" w:rsidRDefault="000122B6" w:rsidP="00AB62B2">
      <w:pPr>
        <w:spacing w:after="120"/>
        <w:jc w:val="left"/>
      </w:pPr>
      <w:r>
        <w:t>The Reference Group support</w:t>
      </w:r>
      <w:r w:rsidR="00AB62B2">
        <w:t xml:space="preserve">ed </w:t>
      </w:r>
      <w:r>
        <w:t xml:space="preserve">extending the PBS restrictions to include the remaining WHO Group I PAH subtypes. </w:t>
      </w:r>
      <w:r w:rsidR="00924192">
        <w:t>These PAH subtypes incl</w:t>
      </w:r>
      <w:r w:rsidR="00355EFF">
        <w:t xml:space="preserve">ude very small populations and </w:t>
      </w:r>
      <w:r w:rsidR="00924192">
        <w:t>therefore it is</w:t>
      </w:r>
      <w:r w:rsidR="00AB62B2">
        <w:t xml:space="preserve"> unlikely</w:t>
      </w:r>
      <w:r w:rsidR="00AB62B2" w:rsidRPr="004E41EB">
        <w:t xml:space="preserve"> that</w:t>
      </w:r>
      <w:r w:rsidR="00AB62B2">
        <w:t xml:space="preserve"> clinical data </w:t>
      </w:r>
      <w:r w:rsidR="00F06DBF">
        <w:t xml:space="preserve">would </w:t>
      </w:r>
      <w:r w:rsidR="00725C6C">
        <w:t xml:space="preserve">be forthcoming </w:t>
      </w:r>
      <w:r w:rsidR="00AB62B2">
        <w:t xml:space="preserve">to support </w:t>
      </w:r>
      <w:r w:rsidR="00924192">
        <w:t xml:space="preserve">the </w:t>
      </w:r>
      <w:r w:rsidR="00AB62B2">
        <w:t>eff</w:t>
      </w:r>
      <w:r w:rsidR="00924192">
        <w:t>ectiveness</w:t>
      </w:r>
      <w:r w:rsidR="00AB62B2">
        <w:t xml:space="preserve"> of PAH medicines</w:t>
      </w:r>
      <w:r w:rsidR="00924192">
        <w:t>.</w:t>
      </w:r>
    </w:p>
    <w:p w14:paraId="37DB8788" w14:textId="77777777" w:rsidR="000122B6" w:rsidRDefault="000122B6" w:rsidP="000122B6">
      <w:pPr>
        <w:spacing w:after="120"/>
        <w:jc w:val="left"/>
      </w:pPr>
      <w:r>
        <w:t>The Reference Group consider</w:t>
      </w:r>
      <w:r w:rsidR="00AB62B2">
        <w:t>ed</w:t>
      </w:r>
      <w:r>
        <w:t xml:space="preserve"> that the PBS restriction should not </w:t>
      </w:r>
      <w:r w:rsidR="00AB62B2">
        <w:t>detail</w:t>
      </w:r>
      <w:r>
        <w:t xml:space="preserve"> the type of PAH</w:t>
      </w:r>
      <w:r w:rsidR="009C51C9">
        <w:t xml:space="preserve"> as t</w:t>
      </w:r>
      <w:r w:rsidR="005F4AF3">
        <w:t>reatment recommendations in t</w:t>
      </w:r>
      <w:r w:rsidR="005F4AF3" w:rsidRPr="003740D8">
        <w:t>he 2015 ESC ERS guidelines apply to</w:t>
      </w:r>
      <w:r w:rsidR="005F4AF3">
        <w:t xml:space="preserve"> all WHO Group I type </w:t>
      </w:r>
      <w:r w:rsidR="009C51C9">
        <w:t>patients</w:t>
      </w:r>
      <w:r>
        <w:t>.</w:t>
      </w:r>
    </w:p>
    <w:p w14:paraId="7BEB4737" w14:textId="77777777" w:rsidR="001960CE" w:rsidRPr="005B6C8E" w:rsidRDefault="001960CE" w:rsidP="001960CE">
      <w:pPr>
        <w:pStyle w:val="Heading4"/>
      </w:pPr>
      <w:r w:rsidRPr="005B6C8E">
        <w:lastRenderedPageBreak/>
        <w:t xml:space="preserve">Option </w:t>
      </w:r>
      <w:r>
        <w:t>6</w:t>
      </w:r>
      <w:r w:rsidRPr="005B6C8E">
        <w:t xml:space="preserve">: </w:t>
      </w:r>
      <w:r>
        <w:t>Request the Department of Health to r</w:t>
      </w:r>
      <w:r w:rsidRPr="005B6C8E">
        <w:t>eview the guideline for PAH Designated Prescribing Centres</w:t>
      </w:r>
      <w:r>
        <w:t xml:space="preserve"> in regard to specific recommendations on patient numbers</w:t>
      </w:r>
      <w:r w:rsidR="009017B1">
        <w:t>.</w:t>
      </w:r>
    </w:p>
    <w:p w14:paraId="0C180EE1" w14:textId="77777777" w:rsidR="001960CE" w:rsidRPr="005B6C8E" w:rsidRDefault="001960CE" w:rsidP="001960CE">
      <w:pPr>
        <w:spacing w:before="120"/>
        <w:jc w:val="left"/>
        <w:rPr>
          <w:szCs w:val="24"/>
          <w:u w:val="single"/>
        </w:rPr>
      </w:pPr>
      <w:r w:rsidRPr="005B6C8E">
        <w:rPr>
          <w:szCs w:val="24"/>
          <w:u w:val="single"/>
        </w:rPr>
        <w:t>Current restriction</w:t>
      </w:r>
    </w:p>
    <w:p w14:paraId="11FF97FF" w14:textId="77777777" w:rsidR="001960CE" w:rsidRPr="005B6C8E" w:rsidRDefault="001960CE" w:rsidP="001960CE">
      <w:pPr>
        <w:pStyle w:val="ListParagraph"/>
        <w:ind w:left="0"/>
        <w:jc w:val="left"/>
        <w:rPr>
          <w:szCs w:val="24"/>
        </w:rPr>
      </w:pPr>
      <w:r w:rsidRPr="005B6C8E">
        <w:rPr>
          <w:szCs w:val="24"/>
        </w:rPr>
        <w:t>To access PBS subsidised PAH medicines:</w:t>
      </w:r>
    </w:p>
    <w:p w14:paraId="1576C557" w14:textId="77777777" w:rsidR="001960CE" w:rsidRPr="005B6C8E" w:rsidRDefault="001960CE" w:rsidP="001960CE">
      <w:pPr>
        <w:pStyle w:val="ListParagraph"/>
        <w:widowControl w:val="0"/>
        <w:numPr>
          <w:ilvl w:val="0"/>
          <w:numId w:val="43"/>
        </w:numPr>
        <w:adjustRightInd w:val="0"/>
        <w:contextualSpacing w:val="0"/>
        <w:jc w:val="left"/>
        <w:textAlignment w:val="baseline"/>
        <w:rPr>
          <w:szCs w:val="24"/>
        </w:rPr>
      </w:pPr>
      <w:r w:rsidRPr="005B6C8E">
        <w:rPr>
          <w:i/>
          <w:szCs w:val="24"/>
        </w:rPr>
        <w:t>…Patient must have been assessed by a physician at a designated hospital</w:t>
      </w:r>
      <w:r w:rsidRPr="005B6C8E">
        <w:rPr>
          <w:szCs w:val="24"/>
        </w:rPr>
        <w:t>…</w:t>
      </w:r>
    </w:p>
    <w:p w14:paraId="087D5AD3" w14:textId="77777777" w:rsidR="001960CE" w:rsidRDefault="001960CE" w:rsidP="001960CE">
      <w:pPr>
        <w:pStyle w:val="ListParagraph"/>
        <w:widowControl w:val="0"/>
        <w:numPr>
          <w:ilvl w:val="0"/>
          <w:numId w:val="34"/>
        </w:numPr>
        <w:adjustRightInd w:val="0"/>
        <w:spacing w:before="120"/>
        <w:contextualSpacing w:val="0"/>
        <w:jc w:val="left"/>
        <w:textAlignment w:val="baseline"/>
        <w:rPr>
          <w:szCs w:val="24"/>
        </w:rPr>
      </w:pPr>
      <w:r w:rsidRPr="005B6C8E">
        <w:rPr>
          <w:szCs w:val="24"/>
        </w:rPr>
        <w:t xml:space="preserve">The Department (TAAD, PHIP Supply Program Section) is managing the </w:t>
      </w:r>
      <w:r w:rsidRPr="005B6C8E">
        <w:rPr>
          <w:i/>
          <w:szCs w:val="24"/>
        </w:rPr>
        <w:t>Highly Specialised Drugs (HSD) Programme</w:t>
      </w:r>
      <w:r w:rsidRPr="005B6C8E">
        <w:rPr>
          <w:szCs w:val="24"/>
        </w:rPr>
        <w:t>, which includes access to PAH medicines through PAH Designated Prescribing Centres. This area assesses applications for hospitals to become a PAH Designated Prescribing Centre based on guidelines.</w:t>
      </w:r>
    </w:p>
    <w:p w14:paraId="4C11F751" w14:textId="77777777" w:rsidR="001960CE" w:rsidRPr="00B61FF5" w:rsidRDefault="001960CE" w:rsidP="001960CE">
      <w:pPr>
        <w:spacing w:before="120"/>
        <w:jc w:val="left"/>
        <w:rPr>
          <w:szCs w:val="24"/>
          <w:u w:val="single"/>
        </w:rPr>
      </w:pPr>
      <w:r>
        <w:rPr>
          <w:szCs w:val="24"/>
          <w:u w:val="single"/>
        </w:rPr>
        <w:t>Issues for Consideration</w:t>
      </w:r>
    </w:p>
    <w:p w14:paraId="6849ADC6" w14:textId="77777777" w:rsidR="001960CE" w:rsidRPr="00ED6B15" w:rsidRDefault="001960CE" w:rsidP="001960CE">
      <w:pPr>
        <w:pStyle w:val="ListParagraph"/>
        <w:widowControl w:val="0"/>
        <w:numPr>
          <w:ilvl w:val="0"/>
          <w:numId w:val="34"/>
        </w:numPr>
        <w:adjustRightInd w:val="0"/>
        <w:spacing w:before="120"/>
        <w:contextualSpacing w:val="0"/>
        <w:jc w:val="left"/>
        <w:textAlignment w:val="baseline"/>
        <w:rPr>
          <w:szCs w:val="24"/>
        </w:rPr>
      </w:pPr>
      <w:r>
        <w:rPr>
          <w:szCs w:val="24"/>
        </w:rPr>
        <w:t xml:space="preserve">Current Australian guidelines and criteria for PAH designated prescribing centres do not specify minimum patient numbers. </w:t>
      </w:r>
      <w:r w:rsidRPr="00ED6B15">
        <w:rPr>
          <w:szCs w:val="24"/>
        </w:rPr>
        <w:t xml:space="preserve">This may be because the Australian population </w:t>
      </w:r>
      <w:r>
        <w:rPr>
          <w:szCs w:val="24"/>
        </w:rPr>
        <w:t xml:space="preserve">is spread </w:t>
      </w:r>
      <w:r w:rsidRPr="00ED6B15">
        <w:rPr>
          <w:szCs w:val="24"/>
        </w:rPr>
        <w:t>over a large and diverse country.</w:t>
      </w:r>
    </w:p>
    <w:p w14:paraId="6D9C6C7A" w14:textId="77777777" w:rsidR="001960CE" w:rsidRPr="005B6C8E" w:rsidRDefault="001960CE" w:rsidP="001960CE">
      <w:pPr>
        <w:pStyle w:val="ListParagraph"/>
        <w:widowControl w:val="0"/>
        <w:numPr>
          <w:ilvl w:val="0"/>
          <w:numId w:val="36"/>
        </w:numPr>
        <w:adjustRightInd w:val="0"/>
        <w:contextualSpacing w:val="0"/>
        <w:jc w:val="left"/>
        <w:textAlignment w:val="baseline"/>
        <w:rPr>
          <w:szCs w:val="24"/>
        </w:rPr>
      </w:pPr>
      <w:r w:rsidRPr="005B6C8E">
        <w:rPr>
          <w:szCs w:val="24"/>
        </w:rPr>
        <w:t xml:space="preserve">The </w:t>
      </w:r>
      <w:r w:rsidR="00A43B3C">
        <w:rPr>
          <w:szCs w:val="24"/>
        </w:rPr>
        <w:t xml:space="preserve">2015 </w:t>
      </w:r>
      <w:r w:rsidRPr="005B6C8E">
        <w:rPr>
          <w:szCs w:val="24"/>
        </w:rPr>
        <w:t xml:space="preserve">ESC/ERS Guidelines make specific recommendations on the facilities and skills required for a referral centre. In particular, the ideal number of patients seen by an adult centre each year is recommended to be no fewer than 200, of which at least half have a final diagnosis of PAH. In countries with a population of </w:t>
      </w:r>
      <w:r>
        <w:rPr>
          <w:szCs w:val="24"/>
        </w:rPr>
        <w:t xml:space="preserve">over </w:t>
      </w:r>
      <w:r w:rsidRPr="005B6C8E">
        <w:rPr>
          <w:szCs w:val="24"/>
        </w:rPr>
        <w:t>10 million, adult centres should ideally expand to acc</w:t>
      </w:r>
      <w:r>
        <w:rPr>
          <w:szCs w:val="24"/>
        </w:rPr>
        <w:t>ommodate 300 patients annually.</w:t>
      </w:r>
    </w:p>
    <w:p w14:paraId="24FA8593" w14:textId="77777777" w:rsidR="001960CE" w:rsidRDefault="001960CE" w:rsidP="001960CE">
      <w:pPr>
        <w:pStyle w:val="ListParagraph"/>
        <w:widowControl w:val="0"/>
        <w:numPr>
          <w:ilvl w:val="0"/>
          <w:numId w:val="36"/>
        </w:numPr>
        <w:adjustRightInd w:val="0"/>
        <w:contextualSpacing w:val="0"/>
        <w:jc w:val="left"/>
        <w:textAlignment w:val="baseline"/>
        <w:rPr>
          <w:szCs w:val="24"/>
        </w:rPr>
      </w:pPr>
      <w:r w:rsidRPr="005B6C8E">
        <w:rPr>
          <w:szCs w:val="24"/>
        </w:rPr>
        <w:t xml:space="preserve">The </w:t>
      </w:r>
      <w:r w:rsidR="00A43B3C">
        <w:rPr>
          <w:szCs w:val="24"/>
        </w:rPr>
        <w:t xml:space="preserve">2015 </w:t>
      </w:r>
      <w:r w:rsidRPr="005B6C8E">
        <w:rPr>
          <w:szCs w:val="24"/>
        </w:rPr>
        <w:t>ESC/ERS Guidelines also recommend that a referral centre, as a minimum, should follow at least 50 patients with PAH or chronic thromboembolic pulmonary hypertension (CTEPH) and receive at least two new referrals per month with documented PAH or CTEPH.</w:t>
      </w:r>
    </w:p>
    <w:p w14:paraId="39E3189E" w14:textId="77777777" w:rsidR="00924192" w:rsidRPr="001B0315" w:rsidRDefault="00924192" w:rsidP="00924192">
      <w:pPr>
        <w:pStyle w:val="ListParagraph"/>
        <w:widowControl w:val="0"/>
        <w:numPr>
          <w:ilvl w:val="0"/>
          <w:numId w:val="36"/>
        </w:numPr>
        <w:adjustRightInd w:val="0"/>
        <w:contextualSpacing w:val="0"/>
        <w:jc w:val="left"/>
        <w:textAlignment w:val="baseline"/>
        <w:rPr>
          <w:szCs w:val="24"/>
        </w:rPr>
      </w:pPr>
      <w:r w:rsidRPr="005B6C8E">
        <w:rPr>
          <w:szCs w:val="24"/>
        </w:rPr>
        <w:t>There are over 60 PAH Designated Prescribing Centres in Australia</w:t>
      </w:r>
      <w:r>
        <w:rPr>
          <w:szCs w:val="24"/>
        </w:rPr>
        <w:t xml:space="preserve"> and 77 per cent</w:t>
      </w:r>
      <w:r w:rsidRPr="005774BD">
        <w:rPr>
          <w:szCs w:val="24"/>
        </w:rPr>
        <w:t xml:space="preserve"> of the centres are located in </w:t>
      </w:r>
      <w:r>
        <w:rPr>
          <w:szCs w:val="24"/>
        </w:rPr>
        <w:t>metropolitan areas.</w:t>
      </w:r>
    </w:p>
    <w:p w14:paraId="5834326C" w14:textId="77777777" w:rsidR="001960CE" w:rsidRPr="005B6C8E" w:rsidRDefault="001960CE" w:rsidP="001960CE">
      <w:pPr>
        <w:pStyle w:val="ListParagraph"/>
        <w:widowControl w:val="0"/>
        <w:numPr>
          <w:ilvl w:val="0"/>
          <w:numId w:val="36"/>
        </w:numPr>
        <w:adjustRightInd w:val="0"/>
        <w:contextualSpacing w:val="0"/>
        <w:jc w:val="left"/>
        <w:textAlignment w:val="baseline"/>
        <w:rPr>
          <w:szCs w:val="24"/>
        </w:rPr>
      </w:pPr>
      <w:r w:rsidRPr="005B6C8E">
        <w:rPr>
          <w:szCs w:val="24"/>
        </w:rPr>
        <w:t xml:space="preserve">Based on PBS prescription data, the number of patients </w:t>
      </w:r>
      <w:r w:rsidR="00A940EF">
        <w:rPr>
          <w:szCs w:val="24"/>
        </w:rPr>
        <w:t>treated with PBS subsidised</w:t>
      </w:r>
      <w:r w:rsidRPr="005B6C8E">
        <w:rPr>
          <w:szCs w:val="24"/>
        </w:rPr>
        <w:t xml:space="preserve"> PAH medicines in 2016 was about 2,400.</w:t>
      </w:r>
      <w:r w:rsidR="00924192">
        <w:rPr>
          <w:szCs w:val="24"/>
        </w:rPr>
        <w:t xml:space="preserve"> Therefore o</w:t>
      </w:r>
      <w:r w:rsidRPr="005B6C8E">
        <w:rPr>
          <w:szCs w:val="24"/>
        </w:rPr>
        <w:t>n average, each centre would see about 40 patients with PAH annually.</w:t>
      </w:r>
    </w:p>
    <w:p w14:paraId="657F4EF2" w14:textId="77777777" w:rsidR="001960CE" w:rsidRPr="005B6C8E" w:rsidRDefault="001960CE" w:rsidP="001960CE">
      <w:pPr>
        <w:spacing w:before="120"/>
        <w:jc w:val="left"/>
        <w:rPr>
          <w:szCs w:val="24"/>
          <w:u w:val="single"/>
        </w:rPr>
      </w:pPr>
      <w:r w:rsidRPr="005B6C8E">
        <w:rPr>
          <w:szCs w:val="24"/>
          <w:u w:val="single"/>
        </w:rPr>
        <w:t>Stakeholder views</w:t>
      </w:r>
    </w:p>
    <w:p w14:paraId="60048177" w14:textId="77777777" w:rsidR="001960CE" w:rsidRPr="001B0315" w:rsidRDefault="001960CE" w:rsidP="001960CE">
      <w:pPr>
        <w:widowControl w:val="0"/>
        <w:numPr>
          <w:ilvl w:val="0"/>
          <w:numId w:val="36"/>
        </w:numPr>
        <w:adjustRightInd w:val="0"/>
        <w:jc w:val="left"/>
        <w:textAlignment w:val="baseline"/>
        <w:rPr>
          <w:szCs w:val="24"/>
        </w:rPr>
      </w:pPr>
      <w:r>
        <w:rPr>
          <w:szCs w:val="24"/>
        </w:rPr>
        <w:t>Stakeholders suggested</w:t>
      </w:r>
      <w:r w:rsidRPr="001B0315">
        <w:rPr>
          <w:szCs w:val="24"/>
        </w:rPr>
        <w:t xml:space="preserve"> the review should explore what constitutes a designated Pulmonary Hypertension (PH) centre and collaboration between centres to improve equity of </w:t>
      </w:r>
      <w:r w:rsidR="00924192">
        <w:rPr>
          <w:szCs w:val="24"/>
        </w:rPr>
        <w:t>access to</w:t>
      </w:r>
      <w:r w:rsidRPr="001B0315">
        <w:rPr>
          <w:szCs w:val="24"/>
        </w:rPr>
        <w:t xml:space="preserve"> PAH medicines.</w:t>
      </w:r>
    </w:p>
    <w:p w14:paraId="27E78D1F" w14:textId="77777777" w:rsidR="002979B2" w:rsidRPr="002979B2" w:rsidRDefault="002979B2" w:rsidP="001A11BF">
      <w:pPr>
        <w:spacing w:before="120"/>
        <w:jc w:val="left"/>
        <w:rPr>
          <w:szCs w:val="24"/>
          <w:u w:val="single"/>
        </w:rPr>
      </w:pPr>
      <w:r w:rsidRPr="002979B2">
        <w:rPr>
          <w:szCs w:val="24"/>
          <w:u w:val="single"/>
        </w:rPr>
        <w:t>Reference Group views</w:t>
      </w:r>
    </w:p>
    <w:p w14:paraId="791D9E66" w14:textId="77777777" w:rsidR="00AD1E14" w:rsidRPr="00840044" w:rsidRDefault="00AD1E14" w:rsidP="001A11BF">
      <w:pPr>
        <w:pStyle w:val="ListParagraph"/>
        <w:widowControl w:val="0"/>
        <w:numPr>
          <w:ilvl w:val="0"/>
          <w:numId w:val="36"/>
        </w:numPr>
        <w:adjustRightInd w:val="0"/>
        <w:contextualSpacing w:val="0"/>
        <w:jc w:val="left"/>
        <w:textAlignment w:val="baseline"/>
        <w:rPr>
          <w:szCs w:val="24"/>
        </w:rPr>
      </w:pPr>
      <w:r w:rsidRPr="00AD1E14">
        <w:rPr>
          <w:szCs w:val="24"/>
        </w:rPr>
        <w:t xml:space="preserve">The Reference Group supported a review of the PAH Designated Prescribing Centres. </w:t>
      </w:r>
      <w:r w:rsidR="00924192">
        <w:rPr>
          <w:szCs w:val="24"/>
        </w:rPr>
        <w:lastRenderedPageBreak/>
        <w:t xml:space="preserve">There </w:t>
      </w:r>
      <w:r w:rsidR="00DB4D3A">
        <w:rPr>
          <w:szCs w:val="24"/>
        </w:rPr>
        <w:t>is</w:t>
      </w:r>
      <w:r w:rsidR="00924192">
        <w:rPr>
          <w:szCs w:val="24"/>
        </w:rPr>
        <w:t xml:space="preserve"> </w:t>
      </w:r>
      <w:r w:rsidRPr="00AD1E14">
        <w:rPr>
          <w:szCs w:val="24"/>
        </w:rPr>
        <w:t xml:space="preserve">concern </w:t>
      </w:r>
      <w:r w:rsidR="00924192">
        <w:rPr>
          <w:szCs w:val="24"/>
        </w:rPr>
        <w:t>about</w:t>
      </w:r>
      <w:r w:rsidR="00355EFF">
        <w:rPr>
          <w:szCs w:val="24"/>
        </w:rPr>
        <w:t xml:space="preserve"> </w:t>
      </w:r>
      <w:r w:rsidRPr="00840044">
        <w:rPr>
          <w:szCs w:val="24"/>
        </w:rPr>
        <w:t>the high number of centres</w:t>
      </w:r>
      <w:r w:rsidR="00DB4D3A">
        <w:rPr>
          <w:szCs w:val="24"/>
        </w:rPr>
        <w:t xml:space="preserve">, therefore </w:t>
      </w:r>
      <w:r w:rsidRPr="00840044">
        <w:rPr>
          <w:szCs w:val="24"/>
        </w:rPr>
        <w:t xml:space="preserve">there </w:t>
      </w:r>
      <w:r w:rsidR="00DB4D3A">
        <w:rPr>
          <w:szCs w:val="24"/>
        </w:rPr>
        <w:t xml:space="preserve">may </w:t>
      </w:r>
      <w:r w:rsidRPr="00840044">
        <w:rPr>
          <w:szCs w:val="24"/>
        </w:rPr>
        <w:t>be a case for tightening the criteria for treatment centres due to the speci</w:t>
      </w:r>
      <w:r w:rsidR="00DB4D3A">
        <w:rPr>
          <w:szCs w:val="24"/>
        </w:rPr>
        <w:t>fic</w:t>
      </w:r>
      <w:r w:rsidRPr="00840044">
        <w:rPr>
          <w:szCs w:val="24"/>
        </w:rPr>
        <w:t xml:space="preserve"> ex</w:t>
      </w:r>
      <w:r>
        <w:rPr>
          <w:szCs w:val="24"/>
        </w:rPr>
        <w:t>pertise required to treat PAH.</w:t>
      </w:r>
    </w:p>
    <w:p w14:paraId="00529B7B" w14:textId="77777777" w:rsidR="00F63AEE" w:rsidRPr="00AD1E14" w:rsidRDefault="00AD1E14" w:rsidP="00AD1E14">
      <w:pPr>
        <w:pStyle w:val="ListParagraph"/>
        <w:widowControl w:val="0"/>
        <w:numPr>
          <w:ilvl w:val="0"/>
          <w:numId w:val="36"/>
        </w:numPr>
        <w:adjustRightInd w:val="0"/>
        <w:contextualSpacing w:val="0"/>
        <w:jc w:val="left"/>
        <w:textAlignment w:val="baseline"/>
        <w:rPr>
          <w:szCs w:val="24"/>
        </w:rPr>
      </w:pPr>
      <w:r w:rsidRPr="00840044">
        <w:rPr>
          <w:szCs w:val="24"/>
        </w:rPr>
        <w:t>The Reference Group noted the importance of patient safety and the difficulty of ensuring this while maintaining equity of access in regard to treatment for patients in rural and remote locations. The Reference Group suggested a “hub-and-spoke” model may be the most effective approach.</w:t>
      </w:r>
    </w:p>
    <w:p w14:paraId="7C236ADD" w14:textId="77777777" w:rsidR="001960CE" w:rsidRDefault="001960CE">
      <w:pPr>
        <w:jc w:val="left"/>
        <w:rPr>
          <w:rFonts w:eastAsia="Calibri" w:cs="Times New Roman"/>
          <w:szCs w:val="24"/>
          <w:lang w:eastAsia="en-US"/>
        </w:rPr>
      </w:pPr>
      <w:r>
        <w:br w:type="page"/>
      </w:r>
    </w:p>
    <w:p w14:paraId="75C78E6E" w14:textId="77777777" w:rsidR="001960CE" w:rsidRPr="00591E58" w:rsidRDefault="001960CE" w:rsidP="001960CE">
      <w:pPr>
        <w:pStyle w:val="Bullettext"/>
        <w:numPr>
          <w:ilvl w:val="0"/>
          <w:numId w:val="0"/>
        </w:numPr>
        <w:spacing w:after="0" w:line="276" w:lineRule="auto"/>
        <w:ind w:left="426"/>
      </w:pPr>
    </w:p>
    <w:p w14:paraId="03AFFAA4" w14:textId="77777777" w:rsidR="00FF3B31" w:rsidRPr="009F466A" w:rsidRDefault="00FF3B31" w:rsidP="00C21496">
      <w:pPr>
        <w:pStyle w:val="Heading1"/>
        <w:jc w:val="left"/>
        <w:rPr>
          <w:sz w:val="40"/>
          <w:szCs w:val="40"/>
        </w:rPr>
      </w:pPr>
      <w:bookmarkStart w:id="144" w:name="_Appendix_A_-"/>
      <w:bookmarkStart w:id="145" w:name="_Appendix_A_–"/>
      <w:bookmarkStart w:id="146" w:name="_Appendix_B_–"/>
      <w:bookmarkStart w:id="147" w:name="_Appendix_C_–"/>
      <w:bookmarkStart w:id="148" w:name="_Toc526944017"/>
      <w:bookmarkEnd w:id="136"/>
      <w:bookmarkEnd w:id="144"/>
      <w:bookmarkEnd w:id="145"/>
      <w:bookmarkEnd w:id="146"/>
      <w:bookmarkEnd w:id="147"/>
      <w:r w:rsidRPr="009F466A">
        <w:rPr>
          <w:sz w:val="40"/>
          <w:szCs w:val="40"/>
        </w:rPr>
        <w:t>References</w:t>
      </w:r>
      <w:bookmarkEnd w:id="148"/>
    </w:p>
    <w:sectPr w:rsidR="00FF3B31" w:rsidRPr="009F466A" w:rsidSect="00864DBF">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A160" w14:textId="77777777" w:rsidR="00764992" w:rsidRDefault="00764992" w:rsidP="00131A64">
      <w:pPr>
        <w:spacing w:after="0" w:line="240" w:lineRule="auto"/>
      </w:pPr>
      <w:r>
        <w:separator/>
      </w:r>
    </w:p>
  </w:endnote>
  <w:endnote w:type="continuationSeparator" w:id="0">
    <w:p w14:paraId="0E34E436" w14:textId="77777777" w:rsidR="00764992" w:rsidRDefault="00764992" w:rsidP="00131A64">
      <w:pPr>
        <w:spacing w:after="0" w:line="240" w:lineRule="auto"/>
      </w:pPr>
      <w:r>
        <w:continuationSeparator/>
      </w:r>
    </w:p>
  </w:endnote>
  <w:endnote w:id="1">
    <w:p w14:paraId="7156F9F9" w14:textId="77777777" w:rsidR="00764992" w:rsidRPr="00132005" w:rsidRDefault="00764992" w:rsidP="00995798">
      <w:pPr>
        <w:pStyle w:val="EndnoteText"/>
        <w:tabs>
          <w:tab w:val="left" w:pos="426"/>
        </w:tabs>
        <w:ind w:left="426" w:hanging="426"/>
        <w:jc w:val="left"/>
        <w:rPr>
          <w:rFonts w:asciiTheme="minorHAnsi" w:hAnsiTheme="minorHAnsi" w:cstheme="minorHAnsi"/>
          <w:sz w:val="24"/>
          <w:szCs w:val="24"/>
        </w:rPr>
      </w:pPr>
      <w:r w:rsidRPr="00995798">
        <w:rPr>
          <w:rStyle w:val="EndnoteReference"/>
          <w:rFonts w:ascii="Cambria" w:hAnsi="Cambria"/>
        </w:rPr>
        <w:endnoteRef/>
      </w:r>
      <w:r w:rsidRPr="00995798">
        <w:rPr>
          <w:rFonts w:ascii="Cambria" w:hAnsi="Cambria"/>
        </w:rPr>
        <w:t xml:space="preserve"> </w:t>
      </w:r>
      <w:r w:rsidRPr="00995798">
        <w:rPr>
          <w:rFonts w:ascii="Cambria" w:hAnsi="Cambria"/>
        </w:rPr>
        <w:tab/>
      </w:r>
      <w:r w:rsidRPr="00132005">
        <w:rPr>
          <w:rFonts w:asciiTheme="minorHAnsi" w:hAnsiTheme="minorHAnsi" w:cstheme="minorHAnsi"/>
          <w:sz w:val="24"/>
          <w:szCs w:val="24"/>
        </w:rPr>
        <w:t xml:space="preserve">Galie N, Manes A, Negro L, Palazzini M, Bacchi-Reggiani ML, Branzi A. A meta-analysis of randomized controlled trials in pulmonary arterial hypertension. </w:t>
      </w:r>
      <w:r w:rsidRPr="00132005">
        <w:rPr>
          <w:rFonts w:asciiTheme="minorHAnsi" w:hAnsiTheme="minorHAnsi" w:cstheme="minorHAnsi"/>
          <w:i/>
          <w:sz w:val="24"/>
          <w:szCs w:val="24"/>
        </w:rPr>
        <w:t>Eur Heart J</w:t>
      </w:r>
      <w:r w:rsidRPr="00132005">
        <w:rPr>
          <w:rFonts w:asciiTheme="minorHAnsi" w:hAnsiTheme="minorHAnsi" w:cstheme="minorHAnsi"/>
          <w:sz w:val="24"/>
          <w:szCs w:val="24"/>
        </w:rPr>
        <w:t>. 2009;30(4):394-403.</w:t>
      </w:r>
    </w:p>
  </w:endnote>
  <w:endnote w:id="2">
    <w:p w14:paraId="30C0BB05" w14:textId="77777777" w:rsidR="00764992" w:rsidRPr="00995798" w:rsidRDefault="00764992" w:rsidP="00995798">
      <w:pPr>
        <w:pStyle w:val="EndnoteText"/>
        <w:tabs>
          <w:tab w:val="left" w:pos="426"/>
        </w:tabs>
        <w:ind w:left="426" w:hanging="426"/>
        <w:jc w:val="left"/>
        <w:rPr>
          <w:rFonts w:ascii="Cambria" w:hAnsi="Cambria"/>
        </w:rPr>
      </w:pPr>
      <w:r w:rsidRPr="00995798">
        <w:rPr>
          <w:rStyle w:val="EndnoteReference"/>
          <w:rFonts w:ascii="Cambria" w:hAnsi="Cambria"/>
        </w:rPr>
        <w:endnoteRef/>
      </w:r>
      <w:r w:rsidRPr="00995798">
        <w:rPr>
          <w:rFonts w:ascii="Cambria" w:hAnsi="Cambria"/>
        </w:rPr>
        <w:t xml:space="preserve"> </w:t>
      </w:r>
      <w:r w:rsidRPr="00995798">
        <w:rPr>
          <w:rFonts w:ascii="Cambria" w:hAnsi="Cambria"/>
        </w:rPr>
        <w:tab/>
      </w:r>
      <w:r w:rsidRPr="00132005">
        <w:rPr>
          <w:rFonts w:asciiTheme="minorHAnsi" w:hAnsiTheme="minorHAnsi" w:cstheme="minorHAnsi"/>
          <w:sz w:val="24"/>
          <w:szCs w:val="24"/>
        </w:rPr>
        <w:t>Galie N, Manes A, Negro L, Palazzini M, Bacchi-Reggiani ML, Branzi A. A meta-analysis of randomized controlled trials in pulmonary arterial hypertension. Eur Heart J. 2009; 30(4):394-403.</w:t>
      </w:r>
    </w:p>
  </w:endnote>
  <w:endnote w:id="3">
    <w:p w14:paraId="6CD38881" w14:textId="77777777" w:rsidR="00764992" w:rsidRPr="00132005" w:rsidRDefault="00764992" w:rsidP="00995798">
      <w:pPr>
        <w:pStyle w:val="EndnoteText"/>
        <w:tabs>
          <w:tab w:val="left" w:pos="426"/>
        </w:tabs>
        <w:jc w:val="left"/>
        <w:rPr>
          <w:rFonts w:asciiTheme="minorHAnsi" w:hAnsiTheme="minorHAnsi" w:cstheme="minorHAnsi"/>
          <w:sz w:val="24"/>
          <w:szCs w:val="24"/>
        </w:rPr>
      </w:pPr>
      <w:r w:rsidRPr="00995798">
        <w:rPr>
          <w:rStyle w:val="EndnoteReference"/>
          <w:rFonts w:ascii="Cambria" w:hAnsi="Cambria"/>
        </w:rPr>
        <w:endnoteRef/>
      </w:r>
      <w:r w:rsidRPr="00995798">
        <w:rPr>
          <w:rFonts w:ascii="Cambria" w:hAnsi="Cambria"/>
        </w:rPr>
        <w:t xml:space="preserve"> </w:t>
      </w:r>
      <w:r w:rsidRPr="00995798">
        <w:rPr>
          <w:rFonts w:ascii="Cambria" w:hAnsi="Cambria"/>
        </w:rPr>
        <w:tab/>
      </w:r>
      <w:r w:rsidRPr="00132005">
        <w:rPr>
          <w:rFonts w:asciiTheme="minorHAnsi" w:hAnsiTheme="minorHAnsi" w:cstheme="minorHAnsi"/>
          <w:sz w:val="24"/>
          <w:szCs w:val="24"/>
        </w:rPr>
        <w:t>Peacock AJ, Murphy NF, McMurray JJV, Caballero L, Stewart S. An epidemiological</w:t>
      </w:r>
    </w:p>
    <w:p w14:paraId="0A28A6F7" w14:textId="77777777" w:rsidR="00764992" w:rsidRPr="00995798" w:rsidRDefault="00764992" w:rsidP="00995798">
      <w:pPr>
        <w:pStyle w:val="EndnoteText"/>
        <w:ind w:left="426"/>
        <w:jc w:val="left"/>
        <w:rPr>
          <w:rFonts w:ascii="Cambria" w:hAnsi="Cambria"/>
        </w:rPr>
      </w:pPr>
      <w:r w:rsidRPr="00132005">
        <w:rPr>
          <w:rFonts w:asciiTheme="minorHAnsi" w:hAnsiTheme="minorHAnsi" w:cstheme="minorHAnsi"/>
          <w:sz w:val="24"/>
          <w:szCs w:val="24"/>
        </w:rPr>
        <w:t>study of pulmonary arterial hypertension. Eur Respir J 2007;30:104–109.</w:t>
      </w:r>
    </w:p>
  </w:endnote>
  <w:endnote w:id="4">
    <w:p w14:paraId="549A0CFF" w14:textId="77777777" w:rsidR="00764992" w:rsidRPr="00995798" w:rsidRDefault="00764992" w:rsidP="00995798">
      <w:pPr>
        <w:pStyle w:val="EndnoteText"/>
        <w:tabs>
          <w:tab w:val="left" w:pos="426"/>
        </w:tabs>
        <w:ind w:left="426" w:hanging="426"/>
        <w:jc w:val="left"/>
        <w:rPr>
          <w:rFonts w:ascii="Cambria" w:hAnsi="Cambria"/>
        </w:rPr>
      </w:pPr>
      <w:r w:rsidRPr="00995798">
        <w:rPr>
          <w:rStyle w:val="EndnoteReference"/>
          <w:rFonts w:ascii="Cambria" w:hAnsi="Cambria"/>
        </w:rPr>
        <w:endnoteRef/>
      </w:r>
      <w:r w:rsidRPr="00995798">
        <w:rPr>
          <w:rFonts w:ascii="Cambria" w:hAnsi="Cambria"/>
        </w:rPr>
        <w:t xml:space="preserve"> </w:t>
      </w:r>
      <w:r w:rsidRPr="00995798">
        <w:rPr>
          <w:rFonts w:ascii="Cambria" w:hAnsi="Cambria"/>
        </w:rPr>
        <w:tab/>
      </w:r>
      <w:r w:rsidRPr="00132005">
        <w:rPr>
          <w:rFonts w:asciiTheme="minorHAnsi" w:hAnsiTheme="minorHAnsi" w:cstheme="minorHAnsi"/>
          <w:sz w:val="24"/>
          <w:szCs w:val="24"/>
        </w:rPr>
        <w:t>Drug utilisation sub-committee (DUSC). Pulmonary Arterial Hypertension (PAH) medicines utilisation analysis. February 2015.</w:t>
      </w:r>
      <w:r w:rsidRPr="00995798">
        <w:rPr>
          <w:rFonts w:ascii="Cambria" w:hAnsi="Cambria"/>
        </w:rPr>
        <w:t xml:space="preserve">  </w:t>
      </w:r>
      <w:hyperlink r:id="rId1" w:history="1">
        <w:r w:rsidRPr="00132005">
          <w:rPr>
            <w:rStyle w:val="Hyperlink"/>
            <w:rFonts w:asciiTheme="minorHAnsi" w:hAnsiTheme="minorHAnsi" w:cstheme="minorHAnsi"/>
            <w:sz w:val="24"/>
            <w:szCs w:val="24"/>
          </w:rPr>
          <w:t>http://www.pbs.gov.au/info/industry/listing/participants/public-release-docs/pulm-art-hypertension/pulmonary-arterial-hypertension-pah-medicines-utilisation</w:t>
        </w:r>
      </w:hyperlink>
      <w:r w:rsidRPr="00132005">
        <w:rPr>
          <w:rFonts w:asciiTheme="minorHAnsi" w:hAnsiTheme="minorHAnsi" w:cstheme="minorHAnsi"/>
          <w:sz w:val="24"/>
          <w:szCs w:val="24"/>
        </w:rPr>
        <w:t xml:space="preserve"> [Accessed 19 March 2018]</w:t>
      </w:r>
    </w:p>
  </w:endnote>
  <w:endnote w:id="5">
    <w:p w14:paraId="34F1867A" w14:textId="77777777" w:rsidR="00764992" w:rsidRPr="00995798" w:rsidRDefault="00764992" w:rsidP="00A94DF2">
      <w:pPr>
        <w:pStyle w:val="EndnoteText"/>
        <w:tabs>
          <w:tab w:val="left" w:pos="426"/>
        </w:tabs>
        <w:ind w:left="426" w:hanging="426"/>
        <w:jc w:val="left"/>
        <w:rPr>
          <w:rFonts w:ascii="Cambria" w:hAnsi="Cambria"/>
        </w:rPr>
      </w:pPr>
      <w:r w:rsidRPr="00995798">
        <w:rPr>
          <w:rStyle w:val="EndnoteReference"/>
          <w:rFonts w:ascii="Cambria" w:hAnsi="Cambria"/>
        </w:rPr>
        <w:endnoteRef/>
      </w:r>
      <w:r w:rsidRPr="00995798">
        <w:rPr>
          <w:rFonts w:ascii="Cambria" w:hAnsi="Cambria"/>
        </w:rPr>
        <w:t xml:space="preserve"> </w:t>
      </w:r>
      <w:r w:rsidRPr="00995798">
        <w:rPr>
          <w:rFonts w:ascii="Cambria" w:hAnsi="Cambria"/>
        </w:rPr>
        <w:tab/>
      </w:r>
      <w:r w:rsidRPr="00132005">
        <w:rPr>
          <w:rFonts w:asciiTheme="minorHAnsi" w:hAnsiTheme="minorHAnsi" w:cstheme="minorHAnsi"/>
          <w:sz w:val="24"/>
          <w:szCs w:val="24"/>
        </w:rPr>
        <w:t>Galie N, Humbert M, Vachiery JL, Gibbs S, Lang I, Torbicki A, et al. 2015 ESC/ERS Guidelines for the diagnosis and treatment of pulmonary hypertension: The Joint Task Force for the Diagnosis and Treatment of Pulmonary Hypertension of the European Society of Cardiology (ESC) and the European Respiratory Society (ERS): Endorsed by: Association for European Paediatric and Congenital Cardiology (AEPC), International Society for Heart and Lung Transplantation (ISHLT). Eur Respir J. 2015; 46(4):903-75.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askerville">
    <w:altName w:val="Times New Roman"/>
    <w:charset w:val="00"/>
    <w:family w:val="auto"/>
    <w:pitch w:val="variable"/>
    <w:sig w:usb0="80000063"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Humanist 77 7 B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587D" w14:textId="77777777" w:rsidR="00764992" w:rsidRDefault="0076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501581"/>
      <w:docPartObj>
        <w:docPartGallery w:val="Page Numbers (Bottom of Page)"/>
        <w:docPartUnique/>
      </w:docPartObj>
    </w:sdtPr>
    <w:sdtEndPr>
      <w:rPr>
        <w:noProof/>
      </w:rPr>
    </w:sdtEndPr>
    <w:sdtContent>
      <w:p w14:paraId="0D1BB26C" w14:textId="341F8685" w:rsidR="00764992" w:rsidRDefault="00764992" w:rsidP="00454291">
        <w:pPr>
          <w:pStyle w:val="Footer"/>
          <w:jc w:val="right"/>
        </w:pPr>
        <w:r>
          <w:fldChar w:fldCharType="begin"/>
        </w:r>
        <w:r>
          <w:instrText xml:space="preserve"> PAGE   \* MERGEFORMAT </w:instrText>
        </w:r>
        <w:r>
          <w:fldChar w:fldCharType="separate"/>
        </w:r>
        <w:r w:rsidR="008B6118">
          <w:rPr>
            <w:noProof/>
          </w:rPr>
          <w:t>19</w:t>
        </w:r>
        <w:r>
          <w:rPr>
            <w:noProof/>
          </w:rPr>
          <w:fldChar w:fldCharType="end"/>
        </w:r>
      </w:p>
    </w:sdtContent>
  </w:sdt>
  <w:p w14:paraId="7A98971F" w14:textId="77777777" w:rsidR="00764992" w:rsidRPr="00212FCE" w:rsidRDefault="00764992" w:rsidP="004C1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88843"/>
      <w:docPartObj>
        <w:docPartGallery w:val="Page Numbers (Bottom of Page)"/>
        <w:docPartUnique/>
      </w:docPartObj>
    </w:sdtPr>
    <w:sdtEndPr>
      <w:rPr>
        <w:noProof/>
      </w:rPr>
    </w:sdtEndPr>
    <w:sdtContent>
      <w:p w14:paraId="20D7C378" w14:textId="77777777" w:rsidR="00764992" w:rsidRDefault="00764992">
        <w:pPr>
          <w:pStyle w:val="Footer"/>
          <w:jc w:val="right"/>
        </w:pPr>
      </w:p>
    </w:sdtContent>
  </w:sdt>
  <w:p w14:paraId="107285B3" w14:textId="77777777" w:rsidR="00764992" w:rsidRDefault="00764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51476"/>
      <w:docPartObj>
        <w:docPartGallery w:val="Page Numbers (Bottom of Page)"/>
        <w:docPartUnique/>
      </w:docPartObj>
    </w:sdtPr>
    <w:sdtEndPr>
      <w:rPr>
        <w:noProof/>
      </w:rPr>
    </w:sdtEndPr>
    <w:sdtContent>
      <w:p w14:paraId="7DC51285" w14:textId="77777777" w:rsidR="00764992" w:rsidRPr="00A013C4" w:rsidRDefault="00764992" w:rsidP="00870A3E">
        <w:pPr>
          <w:pStyle w:val="Footer"/>
          <w:jc w:val="center"/>
          <w:rPr>
            <w:b/>
            <w:sz w:val="20"/>
          </w:rPr>
        </w:pPr>
      </w:p>
      <w:p w14:paraId="0C6467BD" w14:textId="40D10130" w:rsidR="00764992" w:rsidRDefault="00764992">
        <w:pPr>
          <w:pStyle w:val="Footer"/>
          <w:jc w:val="right"/>
        </w:pPr>
        <w:r>
          <w:fldChar w:fldCharType="begin"/>
        </w:r>
        <w:r>
          <w:instrText xml:space="preserve"> PAGE   \* MERGEFORMAT </w:instrText>
        </w:r>
        <w:r>
          <w:fldChar w:fldCharType="separate"/>
        </w:r>
        <w:r w:rsidR="008B6118">
          <w:rPr>
            <w:noProof/>
          </w:rPr>
          <w:t>59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1D03" w14:textId="77777777" w:rsidR="00764992" w:rsidRDefault="00764992" w:rsidP="00131A64">
      <w:pPr>
        <w:spacing w:after="0" w:line="240" w:lineRule="auto"/>
      </w:pPr>
      <w:r>
        <w:separator/>
      </w:r>
    </w:p>
  </w:footnote>
  <w:footnote w:type="continuationSeparator" w:id="0">
    <w:p w14:paraId="7D2CEDBD" w14:textId="77777777" w:rsidR="00764992" w:rsidRDefault="00764992" w:rsidP="0013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6DA6" w14:textId="77777777" w:rsidR="00764992" w:rsidRDefault="00764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976A9" w14:textId="77777777" w:rsidR="00764992" w:rsidRPr="00A14932" w:rsidRDefault="00764992" w:rsidP="00A14932">
    <w:pPr>
      <w:pStyle w:val="Header"/>
      <w:pBdr>
        <w:bottom w:val="single" w:sz="4" w:space="1" w:color="auto"/>
      </w:pBdr>
      <w:rPr>
        <w:rFonts w:cstheme="minorHAnsi"/>
        <w:sz w:val="20"/>
        <w:szCs w:val="20"/>
      </w:rPr>
    </w:pPr>
    <w:r w:rsidRPr="001E41E4">
      <w:rPr>
        <w:rFonts w:cstheme="minorHAnsi"/>
        <w:sz w:val="20"/>
        <w:szCs w:val="20"/>
      </w:rPr>
      <w:t>Pos</w:t>
    </w:r>
    <w:r>
      <w:rPr>
        <w:rFonts w:cstheme="minorHAnsi"/>
        <w:sz w:val="20"/>
        <w:szCs w:val="20"/>
      </w:rPr>
      <w:t>t-market review of PAH medicines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E4A7" w14:textId="77777777" w:rsidR="00764992" w:rsidRDefault="00764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098F" w14:textId="77777777" w:rsidR="00764992" w:rsidRDefault="00764992" w:rsidP="00F95766">
    <w:pPr>
      <w:pStyle w:val="Header"/>
      <w:pBdr>
        <w:bottom w:val="single" w:sz="4" w:space="1" w:color="auto"/>
      </w:pBdr>
      <w:rPr>
        <w:rFonts w:cstheme="minorHAnsi"/>
        <w:sz w:val="20"/>
        <w:szCs w:val="20"/>
      </w:rPr>
    </w:pPr>
    <w:r w:rsidRPr="001E41E4">
      <w:rPr>
        <w:rFonts w:cstheme="minorHAnsi"/>
        <w:sz w:val="20"/>
        <w:szCs w:val="20"/>
      </w:rPr>
      <w:t>Post-market review of PAH medicines</w:t>
    </w:r>
  </w:p>
  <w:p w14:paraId="698058F0" w14:textId="77777777" w:rsidR="00764992" w:rsidRDefault="007649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FD22" w14:textId="77777777" w:rsidR="00764992" w:rsidRDefault="007649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3A36" w14:textId="77777777" w:rsidR="00764992" w:rsidRDefault="00764992" w:rsidP="00F95766">
    <w:pPr>
      <w:pStyle w:val="Header"/>
      <w:pBdr>
        <w:bottom w:val="single" w:sz="4" w:space="1" w:color="auto"/>
      </w:pBdr>
      <w:rPr>
        <w:rFonts w:cstheme="minorHAnsi"/>
        <w:sz w:val="20"/>
        <w:szCs w:val="20"/>
      </w:rPr>
    </w:pPr>
    <w:r w:rsidRPr="001E41E4">
      <w:rPr>
        <w:rFonts w:cstheme="minorHAnsi"/>
        <w:sz w:val="20"/>
        <w:szCs w:val="20"/>
      </w:rPr>
      <w:t>Post-market review of PAH medicines</w:t>
    </w:r>
  </w:p>
  <w:p w14:paraId="25EB1298" w14:textId="77777777" w:rsidR="00764992" w:rsidRDefault="007649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96A9" w14:textId="77777777" w:rsidR="00764992" w:rsidRDefault="00764992" w:rsidP="00F95766">
    <w:pPr>
      <w:pStyle w:val="Header"/>
      <w:pBdr>
        <w:bottom w:val="single" w:sz="4" w:space="1" w:color="auto"/>
      </w:pBdr>
      <w:rPr>
        <w:rFonts w:cstheme="minorHAnsi"/>
        <w:sz w:val="20"/>
        <w:szCs w:val="20"/>
      </w:rPr>
    </w:pPr>
    <w:r w:rsidRPr="001E41E4">
      <w:rPr>
        <w:rFonts w:cstheme="minorHAnsi"/>
        <w:sz w:val="20"/>
        <w:szCs w:val="20"/>
      </w:rPr>
      <w:t>Post-market review of PAH medicines</w:t>
    </w:r>
  </w:p>
  <w:p w14:paraId="2F6ABAAC" w14:textId="77777777" w:rsidR="00764992" w:rsidRDefault="0076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0C2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531F"/>
    <w:multiLevelType w:val="hybridMultilevel"/>
    <w:tmpl w:val="CC24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00D4B"/>
    <w:multiLevelType w:val="hybridMultilevel"/>
    <w:tmpl w:val="565091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746AE5"/>
    <w:multiLevelType w:val="hybridMultilevel"/>
    <w:tmpl w:val="3BAED67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217F5"/>
    <w:multiLevelType w:val="hybridMultilevel"/>
    <w:tmpl w:val="73E2240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0B4578A3"/>
    <w:multiLevelType w:val="multilevel"/>
    <w:tmpl w:val="ABA44B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3256E"/>
    <w:multiLevelType w:val="hybridMultilevel"/>
    <w:tmpl w:val="E32A6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71DF7"/>
    <w:multiLevelType w:val="hybridMultilevel"/>
    <w:tmpl w:val="99E0D05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14951C0"/>
    <w:multiLevelType w:val="hybridMultilevel"/>
    <w:tmpl w:val="DEB2F22A"/>
    <w:lvl w:ilvl="0" w:tplc="7ECA6BCC">
      <w:start w:val="1"/>
      <w:numFmt w:val="bullet"/>
      <w:pStyle w:val="Bullettextsecondlevel"/>
      <w:lvlText w:val=""/>
      <w:lvlJc w:val="left"/>
      <w:pPr>
        <w:ind w:left="814"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12" w15:restartNumberingAfterBreak="0">
    <w:nsid w:val="133E749A"/>
    <w:multiLevelType w:val="hybridMultilevel"/>
    <w:tmpl w:val="31BA2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37D9F"/>
    <w:multiLevelType w:val="hybridMultilevel"/>
    <w:tmpl w:val="132A9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E16C0F"/>
    <w:multiLevelType w:val="hybridMultilevel"/>
    <w:tmpl w:val="B3C03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1C4126D1"/>
    <w:multiLevelType w:val="hybridMultilevel"/>
    <w:tmpl w:val="A0684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D14F8"/>
    <w:multiLevelType w:val="hybridMultilevel"/>
    <w:tmpl w:val="E524431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A07EC"/>
    <w:multiLevelType w:val="singleLevel"/>
    <w:tmpl w:val="FC24B238"/>
    <w:lvl w:ilvl="0">
      <w:start w:val="1"/>
      <w:numFmt w:val="decimal"/>
      <w:pStyle w:val="ESNumberedSectionHeading"/>
      <w:lvlText w:val="A.%1"/>
      <w:lvlJc w:val="left"/>
      <w:pPr>
        <w:ind w:left="644" w:hanging="360"/>
      </w:pPr>
      <w:rPr>
        <w:rFonts w:ascii="Calibri" w:hAnsi="Calibri" w:hint="default"/>
        <w:b/>
        <w:i w:val="0"/>
        <w:color w:val="auto"/>
        <w:sz w:val="24"/>
      </w:rPr>
    </w:lvl>
  </w:abstractNum>
  <w:abstractNum w:abstractNumId="1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9" w15:restartNumberingAfterBreak="0">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0" w15:restartNumberingAfterBreak="0">
    <w:nsid w:val="25C53B03"/>
    <w:multiLevelType w:val="multilevel"/>
    <w:tmpl w:val="4CACDF0C"/>
    <w:styleLink w:val="Headings"/>
    <w:lvl w:ilvl="0">
      <w:start w:val="4"/>
      <w:numFmt w:val="decimal"/>
      <w:suff w:val="nothing"/>
      <w:lvlText w:val="Section %1"/>
      <w:lvlJc w:val="left"/>
      <w:pPr>
        <w:ind w:left="3403"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63E44C2"/>
    <w:multiLevelType w:val="hybridMultilevel"/>
    <w:tmpl w:val="3398DEAC"/>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7A17B9B"/>
    <w:multiLevelType w:val="hybridMultilevel"/>
    <w:tmpl w:val="78FA6E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134323"/>
    <w:multiLevelType w:val="hybridMultilevel"/>
    <w:tmpl w:val="ACB665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AB7DA9"/>
    <w:multiLevelType w:val="hybridMultilevel"/>
    <w:tmpl w:val="118C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FB56E0D"/>
    <w:multiLevelType w:val="hybridMultilevel"/>
    <w:tmpl w:val="543A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A57E8C"/>
    <w:multiLevelType w:val="hybridMultilevel"/>
    <w:tmpl w:val="0B60A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7FB4D65"/>
    <w:multiLevelType w:val="hybridMultilevel"/>
    <w:tmpl w:val="A160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C866CB"/>
    <w:multiLevelType w:val="hybridMultilevel"/>
    <w:tmpl w:val="B9A0AE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A517A5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510C8E"/>
    <w:multiLevelType w:val="multilevel"/>
    <w:tmpl w:val="526C7668"/>
    <w:styleLink w:val="Numberedlist"/>
    <w:lvl w:ilvl="0">
      <w:start w:val="1"/>
      <w:numFmt w:val="none"/>
      <w:lvlText w:val="(%11)"/>
      <w:lvlJc w:val="left"/>
      <w:pPr>
        <w:ind w:left="0" w:firstLine="0"/>
      </w:pPr>
      <w:rPr>
        <w:rFonts w:hint="default"/>
      </w:rPr>
    </w:lvl>
    <w:lvl w:ilvl="1">
      <w:start w:val="2"/>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3ED07B66"/>
    <w:multiLevelType w:val="hybridMultilevel"/>
    <w:tmpl w:val="6C52ED0A"/>
    <w:lvl w:ilvl="0" w:tplc="1840BCC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A26C83"/>
    <w:multiLevelType w:val="hybridMultilevel"/>
    <w:tmpl w:val="620285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14D7816"/>
    <w:multiLevelType w:val="hybridMultilevel"/>
    <w:tmpl w:val="35D6A3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2D5DB8"/>
    <w:multiLevelType w:val="hybridMultilevel"/>
    <w:tmpl w:val="FF308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C9616B"/>
    <w:multiLevelType w:val="hybridMultilevel"/>
    <w:tmpl w:val="0046C9B8"/>
    <w:styleLink w:val="1111111"/>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0" w15:restartNumberingAfterBreak="0">
    <w:nsid w:val="49CF3EF9"/>
    <w:multiLevelType w:val="multilevel"/>
    <w:tmpl w:val="CD5CE8D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A774D2"/>
    <w:multiLevelType w:val="hybridMultilevel"/>
    <w:tmpl w:val="E542B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D903835"/>
    <w:multiLevelType w:val="singleLevel"/>
    <w:tmpl w:val="48C4148A"/>
    <w:lvl w:ilvl="0">
      <w:numFmt w:val="bullet"/>
      <w:pStyle w:val="Bullet"/>
      <w:lvlText w:val=""/>
      <w:lvlJc w:val="left"/>
      <w:pPr>
        <w:tabs>
          <w:tab w:val="num" w:pos="1440"/>
        </w:tabs>
        <w:ind w:left="1440" w:hanging="720"/>
      </w:pPr>
      <w:rPr>
        <w:rFonts w:ascii="Symbol" w:hAnsi="Symbol" w:hint="default"/>
        <w:sz w:val="22"/>
      </w:rPr>
    </w:lvl>
  </w:abstractNum>
  <w:abstractNum w:abstractNumId="43" w15:restartNumberingAfterBreak="0">
    <w:nsid w:val="615E2866"/>
    <w:multiLevelType w:val="hybridMultilevel"/>
    <w:tmpl w:val="FBBAC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B32BE"/>
    <w:multiLevelType w:val="hybridMultilevel"/>
    <w:tmpl w:val="2788D6C6"/>
    <w:lvl w:ilvl="0" w:tplc="B0DA2C7E">
      <w:start w:val="1"/>
      <w:numFmt w:val="decimal"/>
      <w:pStyle w:val="MainBodySectionHeading-numbered"/>
      <w:lvlText w:val="A.%1"/>
      <w:lvlJc w:val="left"/>
      <w:pPr>
        <w:ind w:left="720" w:hanging="360"/>
      </w:pPr>
      <w:rPr>
        <w:rFonts w:ascii="Calibri" w:hAnsi="Calibri" w:hint="default"/>
        <w:b/>
        <w:i w:val="0"/>
        <w:color w:val="auto"/>
        <w:sz w:val="28"/>
      </w:rPr>
    </w:lvl>
    <w:lvl w:ilvl="1" w:tplc="3412F0B6" w:tentative="1">
      <w:start w:val="1"/>
      <w:numFmt w:val="lowerLetter"/>
      <w:lvlText w:val="%2."/>
      <w:lvlJc w:val="left"/>
      <w:pPr>
        <w:ind w:left="1440" w:hanging="360"/>
      </w:pPr>
    </w:lvl>
    <w:lvl w:ilvl="2" w:tplc="0A2C92E8" w:tentative="1">
      <w:start w:val="1"/>
      <w:numFmt w:val="lowerRoman"/>
      <w:lvlText w:val="%3."/>
      <w:lvlJc w:val="right"/>
      <w:pPr>
        <w:ind w:left="2160" w:hanging="180"/>
      </w:pPr>
    </w:lvl>
    <w:lvl w:ilvl="3" w:tplc="51E06328" w:tentative="1">
      <w:start w:val="1"/>
      <w:numFmt w:val="decimal"/>
      <w:lvlText w:val="%4."/>
      <w:lvlJc w:val="left"/>
      <w:pPr>
        <w:ind w:left="2880" w:hanging="360"/>
      </w:pPr>
    </w:lvl>
    <w:lvl w:ilvl="4" w:tplc="55121EB0" w:tentative="1">
      <w:start w:val="1"/>
      <w:numFmt w:val="lowerLetter"/>
      <w:lvlText w:val="%5."/>
      <w:lvlJc w:val="left"/>
      <w:pPr>
        <w:ind w:left="3600" w:hanging="360"/>
      </w:pPr>
    </w:lvl>
    <w:lvl w:ilvl="5" w:tplc="C0BC6618" w:tentative="1">
      <w:start w:val="1"/>
      <w:numFmt w:val="lowerRoman"/>
      <w:lvlText w:val="%6."/>
      <w:lvlJc w:val="right"/>
      <w:pPr>
        <w:ind w:left="4320" w:hanging="180"/>
      </w:pPr>
    </w:lvl>
    <w:lvl w:ilvl="6" w:tplc="2C762004" w:tentative="1">
      <w:start w:val="1"/>
      <w:numFmt w:val="decimal"/>
      <w:lvlText w:val="%7."/>
      <w:lvlJc w:val="left"/>
      <w:pPr>
        <w:ind w:left="5040" w:hanging="360"/>
      </w:pPr>
    </w:lvl>
    <w:lvl w:ilvl="7" w:tplc="AAE0D5E4" w:tentative="1">
      <w:start w:val="1"/>
      <w:numFmt w:val="lowerLetter"/>
      <w:lvlText w:val="%8."/>
      <w:lvlJc w:val="left"/>
      <w:pPr>
        <w:ind w:left="5760" w:hanging="360"/>
      </w:pPr>
    </w:lvl>
    <w:lvl w:ilvl="8" w:tplc="37CCD67A" w:tentative="1">
      <w:start w:val="1"/>
      <w:numFmt w:val="lowerRoman"/>
      <w:lvlText w:val="%9."/>
      <w:lvlJc w:val="right"/>
      <w:pPr>
        <w:ind w:left="6480" w:hanging="180"/>
      </w:pPr>
    </w:lvl>
  </w:abstractNum>
  <w:abstractNum w:abstractNumId="45" w15:restartNumberingAfterBreak="0">
    <w:nsid w:val="66602CAE"/>
    <w:multiLevelType w:val="hybridMultilevel"/>
    <w:tmpl w:val="AB5A19D2"/>
    <w:styleLink w:val="ESSectionheading-numbered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BA14CF"/>
    <w:multiLevelType w:val="hybridMultilevel"/>
    <w:tmpl w:val="12EC5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6EA50F2D"/>
    <w:multiLevelType w:val="hybridMultilevel"/>
    <w:tmpl w:val="D57A5C0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1CC010C"/>
    <w:multiLevelType w:val="hybridMultilevel"/>
    <w:tmpl w:val="AEA2094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1C3D6A"/>
    <w:multiLevelType w:val="hybridMultilevel"/>
    <w:tmpl w:val="8CBA2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5626F0"/>
    <w:multiLevelType w:val="hybridMultilevel"/>
    <w:tmpl w:val="030658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C006CE5"/>
    <w:multiLevelType w:val="hybridMultilevel"/>
    <w:tmpl w:val="C2CA6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200C70"/>
    <w:multiLevelType w:val="multilevel"/>
    <w:tmpl w:val="37B0CA18"/>
    <w:lvl w:ilvl="0">
      <w:start w:val="1"/>
      <w:numFmt w:val="none"/>
      <w:pStyle w:val="ESSectionHeading-numbered0"/>
      <w:lvlText w:val="A.1"/>
      <w:lvlJc w:val="left"/>
      <w:pPr>
        <w:ind w:left="1134" w:hanging="1134"/>
      </w:pPr>
      <w:rPr>
        <w:rFonts w:ascii="Calibri" w:hAnsi="Calibri" w:hint="default"/>
        <w:b/>
        <w:i w:val="0"/>
        <w:color w:val="auto"/>
        <w:sz w:val="24"/>
      </w:rPr>
    </w:lvl>
    <w:lvl w:ilvl="1">
      <w:start w:val="2"/>
      <w:numFmt w:val="decimal"/>
      <w:lvlText w:val="B.%2"/>
      <w:lvlJc w:val="left"/>
      <w:pPr>
        <w:ind w:left="1134" w:hanging="1134"/>
      </w:pPr>
      <w:rPr>
        <w:rFonts w:ascii="Calibri" w:hAnsi="Calibri" w:hint="default"/>
        <w:b/>
        <w:i w:val="0"/>
        <w:color w:val="auto"/>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53" w15:restartNumberingAfterBreak="0">
    <w:nsid w:val="7D903E9A"/>
    <w:multiLevelType w:val="hybridMultilevel"/>
    <w:tmpl w:val="A8E26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9"/>
  </w:num>
  <w:num w:numId="2">
    <w:abstractNumId w:val="2"/>
  </w:num>
  <w:num w:numId="3">
    <w:abstractNumId w:val="38"/>
  </w:num>
  <w:num w:numId="4">
    <w:abstractNumId w:val="9"/>
  </w:num>
  <w:num w:numId="5">
    <w:abstractNumId w:val="30"/>
  </w:num>
  <w:num w:numId="6">
    <w:abstractNumId w:val="13"/>
  </w:num>
  <w:num w:numId="7">
    <w:abstractNumId w:val="26"/>
  </w:num>
  <w:num w:numId="8">
    <w:abstractNumId w:val="28"/>
  </w:num>
  <w:num w:numId="9">
    <w:abstractNumId w:val="7"/>
  </w:num>
  <w:num w:numId="10">
    <w:abstractNumId w:val="10"/>
  </w:num>
  <w:num w:numId="11">
    <w:abstractNumId w:val="27"/>
  </w:num>
  <w:num w:numId="12">
    <w:abstractNumId w:val="16"/>
  </w:num>
  <w:num w:numId="13">
    <w:abstractNumId w:val="19"/>
  </w:num>
  <w:num w:numId="14">
    <w:abstractNumId w:val="33"/>
  </w:num>
  <w:num w:numId="15">
    <w:abstractNumId w:val="32"/>
  </w:num>
  <w:num w:numId="16">
    <w:abstractNumId w:val="39"/>
  </w:num>
  <w:num w:numId="17">
    <w:abstractNumId w:val="18"/>
  </w:num>
  <w:num w:numId="18">
    <w:abstractNumId w:val="17"/>
  </w:num>
  <w:num w:numId="19">
    <w:abstractNumId w:val="45"/>
  </w:num>
  <w:num w:numId="20">
    <w:abstractNumId w:val="53"/>
  </w:num>
  <w:num w:numId="21">
    <w:abstractNumId w:val="8"/>
  </w:num>
  <w:num w:numId="22">
    <w:abstractNumId w:val="43"/>
  </w:num>
  <w:num w:numId="23">
    <w:abstractNumId w:val="25"/>
  </w:num>
  <w:num w:numId="24">
    <w:abstractNumId w:val="42"/>
  </w:num>
  <w:num w:numId="25">
    <w:abstractNumId w:val="11"/>
  </w:num>
  <w:num w:numId="26">
    <w:abstractNumId w:val="54"/>
  </w:num>
  <w:num w:numId="27">
    <w:abstractNumId w:val="44"/>
  </w:num>
  <w:num w:numId="28">
    <w:abstractNumId w:val="52"/>
  </w:num>
  <w:num w:numId="29">
    <w:abstractNumId w:val="0"/>
  </w:num>
  <w:num w:numId="30">
    <w:abstractNumId w:val="49"/>
  </w:num>
  <w:num w:numId="31">
    <w:abstractNumId w:val="20"/>
  </w:num>
  <w:num w:numId="32">
    <w:abstractNumId w:val="29"/>
  </w:num>
  <w:num w:numId="33">
    <w:abstractNumId w:val="14"/>
  </w:num>
  <w:num w:numId="34">
    <w:abstractNumId w:val="34"/>
  </w:num>
  <w:num w:numId="35">
    <w:abstractNumId w:val="12"/>
  </w:num>
  <w:num w:numId="36">
    <w:abstractNumId w:val="51"/>
  </w:num>
  <w:num w:numId="37">
    <w:abstractNumId w:val="21"/>
  </w:num>
  <w:num w:numId="38">
    <w:abstractNumId w:val="46"/>
  </w:num>
  <w:num w:numId="39">
    <w:abstractNumId w:val="6"/>
  </w:num>
  <w:num w:numId="40">
    <w:abstractNumId w:val="40"/>
  </w:num>
  <w:num w:numId="41">
    <w:abstractNumId w:val="37"/>
  </w:num>
  <w:num w:numId="42">
    <w:abstractNumId w:val="50"/>
  </w:num>
  <w:num w:numId="43">
    <w:abstractNumId w:val="3"/>
  </w:num>
  <w:num w:numId="44">
    <w:abstractNumId w:val="31"/>
  </w:num>
  <w:num w:numId="45">
    <w:abstractNumId w:val="23"/>
  </w:num>
  <w:num w:numId="46">
    <w:abstractNumId w:val="4"/>
  </w:num>
  <w:num w:numId="47">
    <w:abstractNumId w:val="48"/>
  </w:num>
  <w:num w:numId="48">
    <w:abstractNumId w:val="22"/>
  </w:num>
  <w:num w:numId="49">
    <w:abstractNumId w:val="5"/>
  </w:num>
  <w:num w:numId="50">
    <w:abstractNumId w:val="35"/>
  </w:num>
  <w:num w:numId="51">
    <w:abstractNumId w:val="36"/>
  </w:num>
  <w:num w:numId="52">
    <w:abstractNumId w:val="41"/>
  </w:num>
  <w:num w:numId="53">
    <w:abstractNumId w:val="47"/>
  </w:num>
  <w:num w:numId="54">
    <w:abstractNumId w:val="24"/>
  </w:num>
  <w:num w:numId="55">
    <w:abstractNumId w:val="26"/>
  </w:num>
  <w:num w:numId="56">
    <w:abstractNumId w:val="26"/>
  </w:num>
  <w:num w:numId="57">
    <w:abstractNumId w:val="26"/>
  </w:num>
  <w:num w:numId="58">
    <w:abstractNumId w:val="12"/>
  </w:num>
  <w:num w:numId="59">
    <w:abstractNumId w:val="15"/>
  </w:num>
  <w:num w:numId="60">
    <w:abstractNumId w:val="1"/>
  </w:num>
  <w:num w:numId="61">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d559px9awvxvyeprsvpw50k9p0x002z2wf0&quot;&gt;Asthma EndNote Library&lt;record-ids&gt;&lt;item&gt;764&lt;/item&gt;&lt;item&gt;766&lt;/item&gt;&lt;item&gt;768&lt;/item&gt;&lt;item&gt;769&lt;/item&gt;&lt;item&gt;770&lt;/item&gt;&lt;item&gt;771&lt;/item&gt;&lt;item&gt;772&lt;/item&gt;&lt;item&gt;777&lt;/item&gt;&lt;item&gt;782&lt;/item&gt;&lt;item&gt;783&lt;/item&gt;&lt;item&gt;784&lt;/item&gt;&lt;item&gt;786&lt;/item&gt;&lt;item&gt;789&lt;/item&gt;&lt;item&gt;796&lt;/item&gt;&lt;item&gt;800&lt;/item&gt;&lt;item&gt;801&lt;/item&gt;&lt;item&gt;802&lt;/item&gt;&lt;item&gt;805&lt;/item&gt;&lt;item&gt;806&lt;/item&gt;&lt;item&gt;807&lt;/item&gt;&lt;item&gt;810&lt;/item&gt;&lt;item&gt;814&lt;/item&gt;&lt;item&gt;815&lt;/item&gt;&lt;item&gt;816&lt;/item&gt;&lt;item&gt;817&lt;/item&gt;&lt;item&gt;822&lt;/item&gt;&lt;item&gt;824&lt;/item&gt;&lt;item&gt;825&lt;/item&gt;&lt;item&gt;826&lt;/item&gt;&lt;item&gt;827&lt;/item&gt;&lt;item&gt;829&lt;/item&gt;&lt;item&gt;832&lt;/item&gt;&lt;item&gt;835&lt;/item&gt;&lt;item&gt;836&lt;/item&gt;&lt;item&gt;838&lt;/item&gt;&lt;item&gt;845&lt;/item&gt;&lt;item&gt;848&lt;/item&gt;&lt;item&gt;850&lt;/item&gt;&lt;item&gt;852&lt;/item&gt;&lt;item&gt;855&lt;/item&gt;&lt;item&gt;857&lt;/item&gt;&lt;item&gt;860&lt;/item&gt;&lt;item&gt;861&lt;/item&gt;&lt;item&gt;869&lt;/item&gt;&lt;item&gt;870&lt;/item&gt;&lt;item&gt;878&lt;/item&gt;&lt;item&gt;879&lt;/item&gt;&lt;item&gt;880&lt;/item&gt;&lt;item&gt;886&lt;/item&gt;&lt;item&gt;904&lt;/item&gt;&lt;item&gt;905&lt;/item&gt;&lt;item&gt;918&lt;/item&gt;&lt;item&gt;921&lt;/item&gt;&lt;item&gt;926&lt;/item&gt;&lt;item&gt;929&lt;/item&gt;&lt;item&gt;934&lt;/item&gt;&lt;item&gt;936&lt;/item&gt;&lt;item&gt;941&lt;/item&gt;&lt;item&gt;947&lt;/item&gt;&lt;item&gt;955&lt;/item&gt;&lt;item&gt;961&lt;/item&gt;&lt;item&gt;962&lt;/item&gt;&lt;item&gt;964&lt;/item&gt;&lt;item&gt;969&lt;/item&gt;&lt;item&gt;977&lt;/item&gt;&lt;item&gt;988&lt;/item&gt;&lt;item&gt;989&lt;/item&gt;&lt;item&gt;990&lt;/item&gt;&lt;item&gt;996&lt;/item&gt;&lt;item&gt;997&lt;/item&gt;&lt;item&gt;998&lt;/item&gt;&lt;item&gt;999&lt;/item&gt;&lt;item&gt;1001&lt;/item&gt;&lt;item&gt;1003&lt;/item&gt;&lt;item&gt;1004&lt;/item&gt;&lt;item&gt;1007&lt;/item&gt;&lt;item&gt;1008&lt;/item&gt;&lt;item&gt;1009&lt;/item&gt;&lt;item&gt;1010&lt;/item&gt;&lt;item&gt;1012&lt;/item&gt;&lt;item&gt;1013&lt;/item&gt;&lt;item&gt;1015&lt;/item&gt;&lt;item&gt;1016&lt;/item&gt;&lt;item&gt;1017&lt;/item&gt;&lt;item&gt;1019&lt;/item&gt;&lt;item&gt;1020&lt;/item&gt;&lt;item&gt;1021&lt;/item&gt;&lt;item&gt;1024&lt;/item&gt;&lt;item&gt;1025&lt;/item&gt;&lt;item&gt;1026&lt;/item&gt;&lt;item&gt;1027&lt;/item&gt;&lt;item&gt;1028&lt;/item&gt;&lt;item&gt;1029&lt;/item&gt;&lt;item&gt;1030&lt;/item&gt;&lt;item&gt;1031&lt;/item&gt;&lt;item&gt;1032&lt;/item&gt;&lt;item&gt;1036&lt;/item&gt;&lt;item&gt;1037&lt;/item&gt;&lt;item&gt;1039&lt;/item&gt;&lt;item&gt;1040&lt;/item&gt;&lt;item&gt;1042&lt;/item&gt;&lt;item&gt;1046&lt;/item&gt;&lt;item&gt;1047&lt;/item&gt;&lt;item&gt;1048&lt;/item&gt;&lt;item&gt;1049&lt;/item&gt;&lt;item&gt;1051&lt;/item&gt;&lt;item&gt;1052&lt;/item&gt;&lt;item&gt;1053&lt;/item&gt;&lt;item&gt;1055&lt;/item&gt;&lt;item&gt;1060&lt;/item&gt;&lt;item&gt;1068&lt;/item&gt;&lt;item&gt;1069&lt;/item&gt;&lt;item&gt;1070&lt;/item&gt;&lt;item&gt;1071&lt;/item&gt;&lt;item&gt;1072&lt;/item&gt;&lt;item&gt;1073&lt;/item&gt;&lt;item&gt;1074&lt;/item&gt;&lt;item&gt;1075&lt;/item&gt;&lt;item&gt;1076&lt;/item&gt;&lt;item&gt;1077&lt;/item&gt;&lt;item&gt;1078&lt;/item&gt;&lt;item&gt;1079&lt;/item&gt;&lt;item&gt;1080&lt;/item&gt;&lt;item&gt;1084&lt;/item&gt;&lt;item&gt;1085&lt;/item&gt;&lt;item&gt;1086&lt;/item&gt;&lt;item&gt;1087&lt;/item&gt;&lt;item&gt;1088&lt;/item&gt;&lt;item&gt;1091&lt;/item&gt;&lt;item&gt;1095&lt;/item&gt;&lt;item&gt;1106&lt;/item&gt;&lt;item&gt;1110&lt;/item&gt;&lt;item&gt;1121&lt;/item&gt;&lt;item&gt;1124&lt;/item&gt;&lt;item&gt;1125&lt;/item&gt;&lt;item&gt;1126&lt;/item&gt;&lt;item&gt;1127&lt;/item&gt;&lt;item&gt;1128&lt;/item&gt;&lt;item&gt;1129&lt;/item&gt;&lt;item&gt;1130&lt;/item&gt;&lt;item&gt;1132&lt;/item&gt;&lt;item&gt;1133&lt;/item&gt;&lt;item&gt;1134&lt;/item&gt;&lt;item&gt;1135&lt;/item&gt;&lt;item&gt;1136&lt;/item&gt;&lt;item&gt;1159&lt;/item&gt;&lt;item&gt;1166&lt;/item&gt;&lt;/record-ids&gt;&lt;/item&gt;&lt;/Libraries&gt;"/>
  </w:docVars>
  <w:rsids>
    <w:rsidRoot w:val="008D0D0C"/>
    <w:rsid w:val="00000E60"/>
    <w:rsid w:val="00000E81"/>
    <w:rsid w:val="00002EF5"/>
    <w:rsid w:val="0000568D"/>
    <w:rsid w:val="000064E0"/>
    <w:rsid w:val="000074DA"/>
    <w:rsid w:val="000122B6"/>
    <w:rsid w:val="000122DB"/>
    <w:rsid w:val="00015414"/>
    <w:rsid w:val="000179B4"/>
    <w:rsid w:val="0002154C"/>
    <w:rsid w:val="0002201F"/>
    <w:rsid w:val="000223C1"/>
    <w:rsid w:val="000223D2"/>
    <w:rsid w:val="0002281B"/>
    <w:rsid w:val="00022ED8"/>
    <w:rsid w:val="000230A6"/>
    <w:rsid w:val="000235A6"/>
    <w:rsid w:val="00023A50"/>
    <w:rsid w:val="0002500F"/>
    <w:rsid w:val="000253E9"/>
    <w:rsid w:val="00025F4E"/>
    <w:rsid w:val="000265EC"/>
    <w:rsid w:val="000269D3"/>
    <w:rsid w:val="00026DB6"/>
    <w:rsid w:val="000273CD"/>
    <w:rsid w:val="000276EC"/>
    <w:rsid w:val="00027CA6"/>
    <w:rsid w:val="00027E8D"/>
    <w:rsid w:val="00030D5A"/>
    <w:rsid w:val="00031935"/>
    <w:rsid w:val="00031F5D"/>
    <w:rsid w:val="000328B5"/>
    <w:rsid w:val="00033B67"/>
    <w:rsid w:val="00034B71"/>
    <w:rsid w:val="000358F7"/>
    <w:rsid w:val="00041577"/>
    <w:rsid w:val="000415A4"/>
    <w:rsid w:val="00041E94"/>
    <w:rsid w:val="0004288C"/>
    <w:rsid w:val="00045E05"/>
    <w:rsid w:val="00046E01"/>
    <w:rsid w:val="000506CB"/>
    <w:rsid w:val="0005072C"/>
    <w:rsid w:val="000523FD"/>
    <w:rsid w:val="0005267C"/>
    <w:rsid w:val="00054219"/>
    <w:rsid w:val="00055439"/>
    <w:rsid w:val="00057CC1"/>
    <w:rsid w:val="00057E72"/>
    <w:rsid w:val="000603FB"/>
    <w:rsid w:val="00060F4E"/>
    <w:rsid w:val="00062850"/>
    <w:rsid w:val="0006497A"/>
    <w:rsid w:val="0006501B"/>
    <w:rsid w:val="00065764"/>
    <w:rsid w:val="00065C00"/>
    <w:rsid w:val="000663D3"/>
    <w:rsid w:val="00066EA1"/>
    <w:rsid w:val="00067C30"/>
    <w:rsid w:val="00070850"/>
    <w:rsid w:val="0007148C"/>
    <w:rsid w:val="00071984"/>
    <w:rsid w:val="00072409"/>
    <w:rsid w:val="00073BF6"/>
    <w:rsid w:val="000755B3"/>
    <w:rsid w:val="00075CB2"/>
    <w:rsid w:val="0007635D"/>
    <w:rsid w:val="00080BEA"/>
    <w:rsid w:val="00081DCB"/>
    <w:rsid w:val="00082A22"/>
    <w:rsid w:val="00083616"/>
    <w:rsid w:val="00087D22"/>
    <w:rsid w:val="00091938"/>
    <w:rsid w:val="00091FDD"/>
    <w:rsid w:val="000935DE"/>
    <w:rsid w:val="000944DB"/>
    <w:rsid w:val="00094653"/>
    <w:rsid w:val="00094B05"/>
    <w:rsid w:val="00094B19"/>
    <w:rsid w:val="00095EFB"/>
    <w:rsid w:val="0009621D"/>
    <w:rsid w:val="000963F0"/>
    <w:rsid w:val="000A1734"/>
    <w:rsid w:val="000A2E84"/>
    <w:rsid w:val="000A3B71"/>
    <w:rsid w:val="000A4B4F"/>
    <w:rsid w:val="000A4BF1"/>
    <w:rsid w:val="000A4FA9"/>
    <w:rsid w:val="000A54B2"/>
    <w:rsid w:val="000A5656"/>
    <w:rsid w:val="000A5AD0"/>
    <w:rsid w:val="000A7005"/>
    <w:rsid w:val="000A74CF"/>
    <w:rsid w:val="000A7BC4"/>
    <w:rsid w:val="000B0192"/>
    <w:rsid w:val="000B08B7"/>
    <w:rsid w:val="000B1445"/>
    <w:rsid w:val="000B1785"/>
    <w:rsid w:val="000B320D"/>
    <w:rsid w:val="000B3355"/>
    <w:rsid w:val="000B397E"/>
    <w:rsid w:val="000B4D83"/>
    <w:rsid w:val="000B59A9"/>
    <w:rsid w:val="000B612B"/>
    <w:rsid w:val="000C0AF6"/>
    <w:rsid w:val="000C0B54"/>
    <w:rsid w:val="000C2807"/>
    <w:rsid w:val="000C3409"/>
    <w:rsid w:val="000C5294"/>
    <w:rsid w:val="000C7B1E"/>
    <w:rsid w:val="000D21FC"/>
    <w:rsid w:val="000D568E"/>
    <w:rsid w:val="000D5E22"/>
    <w:rsid w:val="000D6085"/>
    <w:rsid w:val="000D735B"/>
    <w:rsid w:val="000E11CB"/>
    <w:rsid w:val="000E260D"/>
    <w:rsid w:val="000E2AB4"/>
    <w:rsid w:val="000E524B"/>
    <w:rsid w:val="000E5495"/>
    <w:rsid w:val="000F1D60"/>
    <w:rsid w:val="000F254B"/>
    <w:rsid w:val="000F2556"/>
    <w:rsid w:val="000F3BC0"/>
    <w:rsid w:val="000F72BC"/>
    <w:rsid w:val="00101F92"/>
    <w:rsid w:val="001021C8"/>
    <w:rsid w:val="0010401C"/>
    <w:rsid w:val="00105D06"/>
    <w:rsid w:val="001101C2"/>
    <w:rsid w:val="00110BAF"/>
    <w:rsid w:val="00110C23"/>
    <w:rsid w:val="00111072"/>
    <w:rsid w:val="00112827"/>
    <w:rsid w:val="00112C29"/>
    <w:rsid w:val="00113260"/>
    <w:rsid w:val="00113BBC"/>
    <w:rsid w:val="0011480E"/>
    <w:rsid w:val="00115A41"/>
    <w:rsid w:val="00117B58"/>
    <w:rsid w:val="00121BD5"/>
    <w:rsid w:val="0012304D"/>
    <w:rsid w:val="001234CB"/>
    <w:rsid w:val="001259DE"/>
    <w:rsid w:val="001268FF"/>
    <w:rsid w:val="001278F8"/>
    <w:rsid w:val="00131A64"/>
    <w:rsid w:val="00131C7E"/>
    <w:rsid w:val="00132005"/>
    <w:rsid w:val="00133745"/>
    <w:rsid w:val="00134E08"/>
    <w:rsid w:val="001351AC"/>
    <w:rsid w:val="001379D4"/>
    <w:rsid w:val="00137D8F"/>
    <w:rsid w:val="0014080B"/>
    <w:rsid w:val="00140A2B"/>
    <w:rsid w:val="0014316A"/>
    <w:rsid w:val="00143204"/>
    <w:rsid w:val="001443F2"/>
    <w:rsid w:val="00145F88"/>
    <w:rsid w:val="00146FA9"/>
    <w:rsid w:val="00152166"/>
    <w:rsid w:val="00152289"/>
    <w:rsid w:val="00152D47"/>
    <w:rsid w:val="00153744"/>
    <w:rsid w:val="00153E2A"/>
    <w:rsid w:val="0015593C"/>
    <w:rsid w:val="0015631D"/>
    <w:rsid w:val="001578B6"/>
    <w:rsid w:val="00157DCB"/>
    <w:rsid w:val="0016033A"/>
    <w:rsid w:val="00162049"/>
    <w:rsid w:val="0016331A"/>
    <w:rsid w:val="00163881"/>
    <w:rsid w:val="00163B99"/>
    <w:rsid w:val="00163F63"/>
    <w:rsid w:val="00165056"/>
    <w:rsid w:val="001658D7"/>
    <w:rsid w:val="00165D31"/>
    <w:rsid w:val="00165EF0"/>
    <w:rsid w:val="00166AC7"/>
    <w:rsid w:val="0016740F"/>
    <w:rsid w:val="00170585"/>
    <w:rsid w:val="001705EA"/>
    <w:rsid w:val="00172E4C"/>
    <w:rsid w:val="001735E0"/>
    <w:rsid w:val="00175D4E"/>
    <w:rsid w:val="00176B12"/>
    <w:rsid w:val="0017746E"/>
    <w:rsid w:val="00177619"/>
    <w:rsid w:val="00177B3C"/>
    <w:rsid w:val="00177CE5"/>
    <w:rsid w:val="001809AC"/>
    <w:rsid w:val="00181E0F"/>
    <w:rsid w:val="00183A07"/>
    <w:rsid w:val="00184491"/>
    <w:rsid w:val="0018489E"/>
    <w:rsid w:val="001869BF"/>
    <w:rsid w:val="001875B5"/>
    <w:rsid w:val="00187AB4"/>
    <w:rsid w:val="0019150C"/>
    <w:rsid w:val="001939EA"/>
    <w:rsid w:val="00193CE6"/>
    <w:rsid w:val="00194DC1"/>
    <w:rsid w:val="001951EA"/>
    <w:rsid w:val="001960CE"/>
    <w:rsid w:val="00196629"/>
    <w:rsid w:val="00196A47"/>
    <w:rsid w:val="00197098"/>
    <w:rsid w:val="00197BFC"/>
    <w:rsid w:val="001A11BF"/>
    <w:rsid w:val="001A1AD7"/>
    <w:rsid w:val="001A1E58"/>
    <w:rsid w:val="001A2F37"/>
    <w:rsid w:val="001A35B9"/>
    <w:rsid w:val="001A384F"/>
    <w:rsid w:val="001A491F"/>
    <w:rsid w:val="001A4F17"/>
    <w:rsid w:val="001A63CD"/>
    <w:rsid w:val="001A7729"/>
    <w:rsid w:val="001B1577"/>
    <w:rsid w:val="001B2868"/>
    <w:rsid w:val="001B48DC"/>
    <w:rsid w:val="001C0980"/>
    <w:rsid w:val="001C162F"/>
    <w:rsid w:val="001C1C3E"/>
    <w:rsid w:val="001C3147"/>
    <w:rsid w:val="001C35C9"/>
    <w:rsid w:val="001C3A7E"/>
    <w:rsid w:val="001C4051"/>
    <w:rsid w:val="001C4363"/>
    <w:rsid w:val="001C4E7D"/>
    <w:rsid w:val="001C4EE1"/>
    <w:rsid w:val="001C6B9D"/>
    <w:rsid w:val="001C7CCF"/>
    <w:rsid w:val="001D0E78"/>
    <w:rsid w:val="001D255D"/>
    <w:rsid w:val="001D2DF0"/>
    <w:rsid w:val="001D2DF9"/>
    <w:rsid w:val="001D320C"/>
    <w:rsid w:val="001D3573"/>
    <w:rsid w:val="001D38D2"/>
    <w:rsid w:val="001D3EDF"/>
    <w:rsid w:val="001D687C"/>
    <w:rsid w:val="001E04F1"/>
    <w:rsid w:val="001E19BF"/>
    <w:rsid w:val="001E33D0"/>
    <w:rsid w:val="001E4089"/>
    <w:rsid w:val="001E41E4"/>
    <w:rsid w:val="001E4260"/>
    <w:rsid w:val="001E4A4C"/>
    <w:rsid w:val="001E5510"/>
    <w:rsid w:val="001E63E5"/>
    <w:rsid w:val="001F19D6"/>
    <w:rsid w:val="001F1CD5"/>
    <w:rsid w:val="001F27B0"/>
    <w:rsid w:val="001F2E47"/>
    <w:rsid w:val="001F318A"/>
    <w:rsid w:val="001F326A"/>
    <w:rsid w:val="001F39F6"/>
    <w:rsid w:val="001F4BBA"/>
    <w:rsid w:val="001F750F"/>
    <w:rsid w:val="002001E6"/>
    <w:rsid w:val="00200248"/>
    <w:rsid w:val="002012C2"/>
    <w:rsid w:val="00203BFB"/>
    <w:rsid w:val="00204221"/>
    <w:rsid w:val="00204D93"/>
    <w:rsid w:val="00205C1C"/>
    <w:rsid w:val="0021091E"/>
    <w:rsid w:val="00211130"/>
    <w:rsid w:val="002128D6"/>
    <w:rsid w:val="00212FCE"/>
    <w:rsid w:val="00213139"/>
    <w:rsid w:val="00213F09"/>
    <w:rsid w:val="002153BD"/>
    <w:rsid w:val="00216527"/>
    <w:rsid w:val="00220104"/>
    <w:rsid w:val="00220EDF"/>
    <w:rsid w:val="00224232"/>
    <w:rsid w:val="00224A73"/>
    <w:rsid w:val="002256C3"/>
    <w:rsid w:val="00227620"/>
    <w:rsid w:val="00230B8A"/>
    <w:rsid w:val="002317FC"/>
    <w:rsid w:val="00231C65"/>
    <w:rsid w:val="00232251"/>
    <w:rsid w:val="002327D9"/>
    <w:rsid w:val="0023483F"/>
    <w:rsid w:val="00235E0A"/>
    <w:rsid w:val="00236763"/>
    <w:rsid w:val="002415C6"/>
    <w:rsid w:val="00241B75"/>
    <w:rsid w:val="00242062"/>
    <w:rsid w:val="002428A6"/>
    <w:rsid w:val="00243AD5"/>
    <w:rsid w:val="00243F48"/>
    <w:rsid w:val="00243FA1"/>
    <w:rsid w:val="00243FBF"/>
    <w:rsid w:val="0024496B"/>
    <w:rsid w:val="002466BE"/>
    <w:rsid w:val="00246CDF"/>
    <w:rsid w:val="00247AC2"/>
    <w:rsid w:val="00247F11"/>
    <w:rsid w:val="002500A6"/>
    <w:rsid w:val="00250C50"/>
    <w:rsid w:val="00251678"/>
    <w:rsid w:val="0025194B"/>
    <w:rsid w:val="002523EA"/>
    <w:rsid w:val="00253ABB"/>
    <w:rsid w:val="00257D4E"/>
    <w:rsid w:val="00257F1A"/>
    <w:rsid w:val="00261A56"/>
    <w:rsid w:val="00261A7D"/>
    <w:rsid w:val="002629CB"/>
    <w:rsid w:val="00263FE1"/>
    <w:rsid w:val="0026530E"/>
    <w:rsid w:val="00266E02"/>
    <w:rsid w:val="00267C57"/>
    <w:rsid w:val="00270470"/>
    <w:rsid w:val="00270D86"/>
    <w:rsid w:val="002717D1"/>
    <w:rsid w:val="00271DE2"/>
    <w:rsid w:val="00272185"/>
    <w:rsid w:val="0027270C"/>
    <w:rsid w:val="00275FBC"/>
    <w:rsid w:val="00277BAE"/>
    <w:rsid w:val="0028045F"/>
    <w:rsid w:val="00283857"/>
    <w:rsid w:val="00284512"/>
    <w:rsid w:val="00285854"/>
    <w:rsid w:val="00285C95"/>
    <w:rsid w:val="002868EB"/>
    <w:rsid w:val="00287013"/>
    <w:rsid w:val="002873B8"/>
    <w:rsid w:val="00287BED"/>
    <w:rsid w:val="00291605"/>
    <w:rsid w:val="00291955"/>
    <w:rsid w:val="00291DFF"/>
    <w:rsid w:val="00293E81"/>
    <w:rsid w:val="00294174"/>
    <w:rsid w:val="002941E4"/>
    <w:rsid w:val="00296B13"/>
    <w:rsid w:val="002971B9"/>
    <w:rsid w:val="002979B2"/>
    <w:rsid w:val="00297B37"/>
    <w:rsid w:val="00297CBA"/>
    <w:rsid w:val="002A0772"/>
    <w:rsid w:val="002A07AF"/>
    <w:rsid w:val="002A0833"/>
    <w:rsid w:val="002A25CD"/>
    <w:rsid w:val="002A29AC"/>
    <w:rsid w:val="002A470A"/>
    <w:rsid w:val="002A49C0"/>
    <w:rsid w:val="002A5E72"/>
    <w:rsid w:val="002A7B5F"/>
    <w:rsid w:val="002B0137"/>
    <w:rsid w:val="002B1993"/>
    <w:rsid w:val="002B1CA8"/>
    <w:rsid w:val="002B299E"/>
    <w:rsid w:val="002B2C1A"/>
    <w:rsid w:val="002B3771"/>
    <w:rsid w:val="002B453F"/>
    <w:rsid w:val="002B4E50"/>
    <w:rsid w:val="002B621A"/>
    <w:rsid w:val="002B649F"/>
    <w:rsid w:val="002B6569"/>
    <w:rsid w:val="002B6D4B"/>
    <w:rsid w:val="002C082C"/>
    <w:rsid w:val="002C1299"/>
    <w:rsid w:val="002C27E0"/>
    <w:rsid w:val="002C3109"/>
    <w:rsid w:val="002C3B52"/>
    <w:rsid w:val="002C47CE"/>
    <w:rsid w:val="002C4D4C"/>
    <w:rsid w:val="002C4D7E"/>
    <w:rsid w:val="002C7876"/>
    <w:rsid w:val="002C7ABB"/>
    <w:rsid w:val="002D1DBF"/>
    <w:rsid w:val="002D2CAB"/>
    <w:rsid w:val="002D2CBD"/>
    <w:rsid w:val="002D3BA3"/>
    <w:rsid w:val="002D3EA5"/>
    <w:rsid w:val="002D48E6"/>
    <w:rsid w:val="002D4C49"/>
    <w:rsid w:val="002D5645"/>
    <w:rsid w:val="002D5AB9"/>
    <w:rsid w:val="002D7187"/>
    <w:rsid w:val="002E1D76"/>
    <w:rsid w:val="002E28EC"/>
    <w:rsid w:val="002E41E6"/>
    <w:rsid w:val="002E47C6"/>
    <w:rsid w:val="002E57C2"/>
    <w:rsid w:val="002F0315"/>
    <w:rsid w:val="002F13BF"/>
    <w:rsid w:val="002F19C2"/>
    <w:rsid w:val="002F1CBE"/>
    <w:rsid w:val="002F3DA1"/>
    <w:rsid w:val="002F40FE"/>
    <w:rsid w:val="003013BC"/>
    <w:rsid w:val="00301A17"/>
    <w:rsid w:val="00302DF8"/>
    <w:rsid w:val="00302F1F"/>
    <w:rsid w:val="0030305C"/>
    <w:rsid w:val="00304DFF"/>
    <w:rsid w:val="00304F8D"/>
    <w:rsid w:val="003060AD"/>
    <w:rsid w:val="0030695F"/>
    <w:rsid w:val="003072C9"/>
    <w:rsid w:val="0030771F"/>
    <w:rsid w:val="00310196"/>
    <w:rsid w:val="00311566"/>
    <w:rsid w:val="00314958"/>
    <w:rsid w:val="00316A02"/>
    <w:rsid w:val="00317D31"/>
    <w:rsid w:val="003218AB"/>
    <w:rsid w:val="00321982"/>
    <w:rsid w:val="00321DBE"/>
    <w:rsid w:val="00323A47"/>
    <w:rsid w:val="0032418B"/>
    <w:rsid w:val="00324EEC"/>
    <w:rsid w:val="00325490"/>
    <w:rsid w:val="00325CA6"/>
    <w:rsid w:val="00327DB0"/>
    <w:rsid w:val="00330D1C"/>
    <w:rsid w:val="0033250D"/>
    <w:rsid w:val="003326B2"/>
    <w:rsid w:val="003340FB"/>
    <w:rsid w:val="00336005"/>
    <w:rsid w:val="00343A91"/>
    <w:rsid w:val="00343E8B"/>
    <w:rsid w:val="00344373"/>
    <w:rsid w:val="003445DF"/>
    <w:rsid w:val="00344C9B"/>
    <w:rsid w:val="00345876"/>
    <w:rsid w:val="00345DA9"/>
    <w:rsid w:val="00346BA3"/>
    <w:rsid w:val="00346DC8"/>
    <w:rsid w:val="00351C05"/>
    <w:rsid w:val="00352D4A"/>
    <w:rsid w:val="00353B9F"/>
    <w:rsid w:val="00354AEA"/>
    <w:rsid w:val="00355E49"/>
    <w:rsid w:val="00355EFF"/>
    <w:rsid w:val="0035601F"/>
    <w:rsid w:val="003600D5"/>
    <w:rsid w:val="00360774"/>
    <w:rsid w:val="00361602"/>
    <w:rsid w:val="00361C0B"/>
    <w:rsid w:val="00364192"/>
    <w:rsid w:val="00365033"/>
    <w:rsid w:val="00365072"/>
    <w:rsid w:val="003656BB"/>
    <w:rsid w:val="00366226"/>
    <w:rsid w:val="0036779C"/>
    <w:rsid w:val="003711D4"/>
    <w:rsid w:val="003714D0"/>
    <w:rsid w:val="0037156A"/>
    <w:rsid w:val="00373B5B"/>
    <w:rsid w:val="00373D11"/>
    <w:rsid w:val="00373FE0"/>
    <w:rsid w:val="0037566F"/>
    <w:rsid w:val="0037685D"/>
    <w:rsid w:val="00376FDE"/>
    <w:rsid w:val="0037787F"/>
    <w:rsid w:val="003805D2"/>
    <w:rsid w:val="00380BDA"/>
    <w:rsid w:val="00382266"/>
    <w:rsid w:val="00383388"/>
    <w:rsid w:val="0038388A"/>
    <w:rsid w:val="00386E0E"/>
    <w:rsid w:val="00387A70"/>
    <w:rsid w:val="00390316"/>
    <w:rsid w:val="0039202A"/>
    <w:rsid w:val="00393753"/>
    <w:rsid w:val="00394233"/>
    <w:rsid w:val="003A1768"/>
    <w:rsid w:val="003A492B"/>
    <w:rsid w:val="003A765E"/>
    <w:rsid w:val="003B00E9"/>
    <w:rsid w:val="003B04F1"/>
    <w:rsid w:val="003B2C19"/>
    <w:rsid w:val="003B415F"/>
    <w:rsid w:val="003B4C11"/>
    <w:rsid w:val="003B577F"/>
    <w:rsid w:val="003B69D9"/>
    <w:rsid w:val="003B773A"/>
    <w:rsid w:val="003B78AD"/>
    <w:rsid w:val="003C2D08"/>
    <w:rsid w:val="003C329C"/>
    <w:rsid w:val="003C4AFD"/>
    <w:rsid w:val="003C4B35"/>
    <w:rsid w:val="003C54DB"/>
    <w:rsid w:val="003D0BBD"/>
    <w:rsid w:val="003D1F1C"/>
    <w:rsid w:val="003D2261"/>
    <w:rsid w:val="003D3F4D"/>
    <w:rsid w:val="003D4285"/>
    <w:rsid w:val="003D4B4D"/>
    <w:rsid w:val="003E2066"/>
    <w:rsid w:val="003E2602"/>
    <w:rsid w:val="003E338B"/>
    <w:rsid w:val="003E3641"/>
    <w:rsid w:val="003E3905"/>
    <w:rsid w:val="003E46B3"/>
    <w:rsid w:val="003E617B"/>
    <w:rsid w:val="003E6E50"/>
    <w:rsid w:val="003E716F"/>
    <w:rsid w:val="003F0123"/>
    <w:rsid w:val="003F2EB2"/>
    <w:rsid w:val="003F49EF"/>
    <w:rsid w:val="003F541C"/>
    <w:rsid w:val="003F5F8B"/>
    <w:rsid w:val="003F627A"/>
    <w:rsid w:val="00402B39"/>
    <w:rsid w:val="00402EDF"/>
    <w:rsid w:val="00406336"/>
    <w:rsid w:val="00406B68"/>
    <w:rsid w:val="00406F77"/>
    <w:rsid w:val="004079FE"/>
    <w:rsid w:val="004112F3"/>
    <w:rsid w:val="00411C79"/>
    <w:rsid w:val="0041360B"/>
    <w:rsid w:val="0041405D"/>
    <w:rsid w:val="00414537"/>
    <w:rsid w:val="00414DBB"/>
    <w:rsid w:val="004159AB"/>
    <w:rsid w:val="00417BCE"/>
    <w:rsid w:val="00417E4C"/>
    <w:rsid w:val="00420737"/>
    <w:rsid w:val="00421BA6"/>
    <w:rsid w:val="00422086"/>
    <w:rsid w:val="004222D1"/>
    <w:rsid w:val="00423A6F"/>
    <w:rsid w:val="004249B8"/>
    <w:rsid w:val="00427FF4"/>
    <w:rsid w:val="0043006E"/>
    <w:rsid w:val="00430AA7"/>
    <w:rsid w:val="0043146C"/>
    <w:rsid w:val="0043400B"/>
    <w:rsid w:val="00435C7C"/>
    <w:rsid w:val="00436FE7"/>
    <w:rsid w:val="00441F01"/>
    <w:rsid w:val="00442CB3"/>
    <w:rsid w:val="0044383C"/>
    <w:rsid w:val="00444DF2"/>
    <w:rsid w:val="004509F7"/>
    <w:rsid w:val="00450C9E"/>
    <w:rsid w:val="00451306"/>
    <w:rsid w:val="00451F0E"/>
    <w:rsid w:val="004526CB"/>
    <w:rsid w:val="00453FE8"/>
    <w:rsid w:val="00454291"/>
    <w:rsid w:val="00454E5A"/>
    <w:rsid w:val="00455F4A"/>
    <w:rsid w:val="00457E7E"/>
    <w:rsid w:val="00461BC4"/>
    <w:rsid w:val="00462DE1"/>
    <w:rsid w:val="00463760"/>
    <w:rsid w:val="0046458B"/>
    <w:rsid w:val="00464857"/>
    <w:rsid w:val="004652A1"/>
    <w:rsid w:val="004658B5"/>
    <w:rsid w:val="00465ECF"/>
    <w:rsid w:val="00466C51"/>
    <w:rsid w:val="004703C0"/>
    <w:rsid w:val="00470DD3"/>
    <w:rsid w:val="004733E1"/>
    <w:rsid w:val="0047342A"/>
    <w:rsid w:val="0047458A"/>
    <w:rsid w:val="00475058"/>
    <w:rsid w:val="004755F1"/>
    <w:rsid w:val="00475FAF"/>
    <w:rsid w:val="00476E22"/>
    <w:rsid w:val="00476F86"/>
    <w:rsid w:val="00477C4F"/>
    <w:rsid w:val="00480124"/>
    <w:rsid w:val="00480450"/>
    <w:rsid w:val="00483148"/>
    <w:rsid w:val="00484769"/>
    <w:rsid w:val="00485A1B"/>
    <w:rsid w:val="0048707C"/>
    <w:rsid w:val="0048720C"/>
    <w:rsid w:val="00487624"/>
    <w:rsid w:val="004878EA"/>
    <w:rsid w:val="00490491"/>
    <w:rsid w:val="00490FBE"/>
    <w:rsid w:val="0049125A"/>
    <w:rsid w:val="0049591C"/>
    <w:rsid w:val="00496BE4"/>
    <w:rsid w:val="004A0228"/>
    <w:rsid w:val="004A0E15"/>
    <w:rsid w:val="004A1130"/>
    <w:rsid w:val="004A141D"/>
    <w:rsid w:val="004A2446"/>
    <w:rsid w:val="004A27D0"/>
    <w:rsid w:val="004A3239"/>
    <w:rsid w:val="004A36FF"/>
    <w:rsid w:val="004A42B5"/>
    <w:rsid w:val="004A4A37"/>
    <w:rsid w:val="004A4D62"/>
    <w:rsid w:val="004B11B2"/>
    <w:rsid w:val="004B35EB"/>
    <w:rsid w:val="004B43EC"/>
    <w:rsid w:val="004B4E2E"/>
    <w:rsid w:val="004B5553"/>
    <w:rsid w:val="004B6997"/>
    <w:rsid w:val="004B6F8E"/>
    <w:rsid w:val="004C0069"/>
    <w:rsid w:val="004C17C8"/>
    <w:rsid w:val="004C215E"/>
    <w:rsid w:val="004C28F7"/>
    <w:rsid w:val="004C2C8F"/>
    <w:rsid w:val="004C3737"/>
    <w:rsid w:val="004C3F6A"/>
    <w:rsid w:val="004C5556"/>
    <w:rsid w:val="004C66D3"/>
    <w:rsid w:val="004C6955"/>
    <w:rsid w:val="004C7170"/>
    <w:rsid w:val="004C78E9"/>
    <w:rsid w:val="004D11B7"/>
    <w:rsid w:val="004D1978"/>
    <w:rsid w:val="004D2141"/>
    <w:rsid w:val="004D4765"/>
    <w:rsid w:val="004D548D"/>
    <w:rsid w:val="004D5E71"/>
    <w:rsid w:val="004D61D9"/>
    <w:rsid w:val="004D687E"/>
    <w:rsid w:val="004D6B71"/>
    <w:rsid w:val="004D7A6F"/>
    <w:rsid w:val="004E064D"/>
    <w:rsid w:val="004E1B15"/>
    <w:rsid w:val="004E2E82"/>
    <w:rsid w:val="004E33B9"/>
    <w:rsid w:val="004E3BA2"/>
    <w:rsid w:val="004E3E6C"/>
    <w:rsid w:val="004E5298"/>
    <w:rsid w:val="004E6FB0"/>
    <w:rsid w:val="004F2DFA"/>
    <w:rsid w:val="004F48FB"/>
    <w:rsid w:val="004F4DAC"/>
    <w:rsid w:val="004F537C"/>
    <w:rsid w:val="004F5DAB"/>
    <w:rsid w:val="004F6747"/>
    <w:rsid w:val="004F754A"/>
    <w:rsid w:val="00500DDE"/>
    <w:rsid w:val="00501D43"/>
    <w:rsid w:val="00502C90"/>
    <w:rsid w:val="00502DD7"/>
    <w:rsid w:val="00503BA5"/>
    <w:rsid w:val="00505354"/>
    <w:rsid w:val="00511310"/>
    <w:rsid w:val="005113A5"/>
    <w:rsid w:val="00512841"/>
    <w:rsid w:val="00512FB7"/>
    <w:rsid w:val="00513518"/>
    <w:rsid w:val="00513966"/>
    <w:rsid w:val="00514529"/>
    <w:rsid w:val="00514D55"/>
    <w:rsid w:val="00515E82"/>
    <w:rsid w:val="00516017"/>
    <w:rsid w:val="00516142"/>
    <w:rsid w:val="00516647"/>
    <w:rsid w:val="00516893"/>
    <w:rsid w:val="005170E1"/>
    <w:rsid w:val="00521A74"/>
    <w:rsid w:val="00522795"/>
    <w:rsid w:val="00524821"/>
    <w:rsid w:val="005261DD"/>
    <w:rsid w:val="00526815"/>
    <w:rsid w:val="00527296"/>
    <w:rsid w:val="00527B9D"/>
    <w:rsid w:val="00530EE8"/>
    <w:rsid w:val="00532B79"/>
    <w:rsid w:val="00534537"/>
    <w:rsid w:val="00534A78"/>
    <w:rsid w:val="00536057"/>
    <w:rsid w:val="00536BAA"/>
    <w:rsid w:val="005370E4"/>
    <w:rsid w:val="00540A51"/>
    <w:rsid w:val="00540D49"/>
    <w:rsid w:val="005413D8"/>
    <w:rsid w:val="00542003"/>
    <w:rsid w:val="005431DA"/>
    <w:rsid w:val="00543DA7"/>
    <w:rsid w:val="00544D44"/>
    <w:rsid w:val="00544FEB"/>
    <w:rsid w:val="0054650B"/>
    <w:rsid w:val="00547BC2"/>
    <w:rsid w:val="00550857"/>
    <w:rsid w:val="00550D93"/>
    <w:rsid w:val="005513B7"/>
    <w:rsid w:val="00552D07"/>
    <w:rsid w:val="005538AB"/>
    <w:rsid w:val="00553ED8"/>
    <w:rsid w:val="00554736"/>
    <w:rsid w:val="005552B7"/>
    <w:rsid w:val="00556E9A"/>
    <w:rsid w:val="00560094"/>
    <w:rsid w:val="005616D3"/>
    <w:rsid w:val="005626A2"/>
    <w:rsid w:val="005629ED"/>
    <w:rsid w:val="0056526D"/>
    <w:rsid w:val="00566544"/>
    <w:rsid w:val="005670D9"/>
    <w:rsid w:val="005671A1"/>
    <w:rsid w:val="00567E71"/>
    <w:rsid w:val="00567FF4"/>
    <w:rsid w:val="00570836"/>
    <w:rsid w:val="00570E82"/>
    <w:rsid w:val="005718EB"/>
    <w:rsid w:val="005719C2"/>
    <w:rsid w:val="0057325D"/>
    <w:rsid w:val="005735CE"/>
    <w:rsid w:val="005743AF"/>
    <w:rsid w:val="005743E3"/>
    <w:rsid w:val="0057592C"/>
    <w:rsid w:val="0057755C"/>
    <w:rsid w:val="00582341"/>
    <w:rsid w:val="00583CEA"/>
    <w:rsid w:val="0058420A"/>
    <w:rsid w:val="0058687C"/>
    <w:rsid w:val="0059122B"/>
    <w:rsid w:val="00591D08"/>
    <w:rsid w:val="00592BA4"/>
    <w:rsid w:val="0059639B"/>
    <w:rsid w:val="00596630"/>
    <w:rsid w:val="0059707B"/>
    <w:rsid w:val="005A059D"/>
    <w:rsid w:val="005A1799"/>
    <w:rsid w:val="005A179F"/>
    <w:rsid w:val="005A3035"/>
    <w:rsid w:val="005A39C4"/>
    <w:rsid w:val="005A4EE4"/>
    <w:rsid w:val="005A6124"/>
    <w:rsid w:val="005A708C"/>
    <w:rsid w:val="005A76ED"/>
    <w:rsid w:val="005A7BB7"/>
    <w:rsid w:val="005B122A"/>
    <w:rsid w:val="005B1FB7"/>
    <w:rsid w:val="005B2EA3"/>
    <w:rsid w:val="005B3C03"/>
    <w:rsid w:val="005B7347"/>
    <w:rsid w:val="005B7553"/>
    <w:rsid w:val="005C0A8C"/>
    <w:rsid w:val="005C4339"/>
    <w:rsid w:val="005C55C2"/>
    <w:rsid w:val="005C669A"/>
    <w:rsid w:val="005D008B"/>
    <w:rsid w:val="005D22B6"/>
    <w:rsid w:val="005D3592"/>
    <w:rsid w:val="005D6165"/>
    <w:rsid w:val="005E0C7B"/>
    <w:rsid w:val="005E2478"/>
    <w:rsid w:val="005E27BC"/>
    <w:rsid w:val="005E4BE5"/>
    <w:rsid w:val="005E5658"/>
    <w:rsid w:val="005E5D8C"/>
    <w:rsid w:val="005E661E"/>
    <w:rsid w:val="005E71F8"/>
    <w:rsid w:val="005E7312"/>
    <w:rsid w:val="005E7771"/>
    <w:rsid w:val="005F0672"/>
    <w:rsid w:val="005F2C24"/>
    <w:rsid w:val="005F2F5B"/>
    <w:rsid w:val="005F4AF3"/>
    <w:rsid w:val="005F4FF9"/>
    <w:rsid w:val="005F5FDA"/>
    <w:rsid w:val="005F7E69"/>
    <w:rsid w:val="00601985"/>
    <w:rsid w:val="00601F48"/>
    <w:rsid w:val="006025F0"/>
    <w:rsid w:val="00602D43"/>
    <w:rsid w:val="00602FE0"/>
    <w:rsid w:val="006049D3"/>
    <w:rsid w:val="00610233"/>
    <w:rsid w:val="00610555"/>
    <w:rsid w:val="0061233D"/>
    <w:rsid w:val="0061262A"/>
    <w:rsid w:val="006127CC"/>
    <w:rsid w:val="00613AE4"/>
    <w:rsid w:val="00613C16"/>
    <w:rsid w:val="00614D7D"/>
    <w:rsid w:val="00614DF8"/>
    <w:rsid w:val="00615320"/>
    <w:rsid w:val="006218F0"/>
    <w:rsid w:val="006228E6"/>
    <w:rsid w:val="0062324B"/>
    <w:rsid w:val="00623B3D"/>
    <w:rsid w:val="00623CD5"/>
    <w:rsid w:val="00624C49"/>
    <w:rsid w:val="006250FB"/>
    <w:rsid w:val="006253FA"/>
    <w:rsid w:val="006263CD"/>
    <w:rsid w:val="00631602"/>
    <w:rsid w:val="00632BE7"/>
    <w:rsid w:val="00632DCB"/>
    <w:rsid w:val="00633BEC"/>
    <w:rsid w:val="00633C6D"/>
    <w:rsid w:val="00634F2D"/>
    <w:rsid w:val="006356D2"/>
    <w:rsid w:val="0063760E"/>
    <w:rsid w:val="00637ED7"/>
    <w:rsid w:val="00641AE9"/>
    <w:rsid w:val="00642F6F"/>
    <w:rsid w:val="006433E6"/>
    <w:rsid w:val="00643B2A"/>
    <w:rsid w:val="00644E07"/>
    <w:rsid w:val="00644FE8"/>
    <w:rsid w:val="0064535D"/>
    <w:rsid w:val="00646E12"/>
    <w:rsid w:val="006471C8"/>
    <w:rsid w:val="006505A7"/>
    <w:rsid w:val="006516F8"/>
    <w:rsid w:val="00651C72"/>
    <w:rsid w:val="006521F6"/>
    <w:rsid w:val="006531FE"/>
    <w:rsid w:val="00653AF4"/>
    <w:rsid w:val="00654D25"/>
    <w:rsid w:val="006570C4"/>
    <w:rsid w:val="006571DB"/>
    <w:rsid w:val="00657AD1"/>
    <w:rsid w:val="006606CD"/>
    <w:rsid w:val="0066141C"/>
    <w:rsid w:val="006614B8"/>
    <w:rsid w:val="006632BE"/>
    <w:rsid w:val="00664B01"/>
    <w:rsid w:val="006651AD"/>
    <w:rsid w:val="006651FC"/>
    <w:rsid w:val="00667C30"/>
    <w:rsid w:val="00673061"/>
    <w:rsid w:val="006749D7"/>
    <w:rsid w:val="006750D0"/>
    <w:rsid w:val="00675614"/>
    <w:rsid w:val="006778C1"/>
    <w:rsid w:val="00677E52"/>
    <w:rsid w:val="0068307C"/>
    <w:rsid w:val="006836E2"/>
    <w:rsid w:val="006856E8"/>
    <w:rsid w:val="006857DD"/>
    <w:rsid w:val="00695CA8"/>
    <w:rsid w:val="00697213"/>
    <w:rsid w:val="00697D76"/>
    <w:rsid w:val="006A0CCD"/>
    <w:rsid w:val="006A1E3E"/>
    <w:rsid w:val="006A2421"/>
    <w:rsid w:val="006A351B"/>
    <w:rsid w:val="006A3F98"/>
    <w:rsid w:val="006A44B7"/>
    <w:rsid w:val="006A4973"/>
    <w:rsid w:val="006A54CD"/>
    <w:rsid w:val="006A7BA6"/>
    <w:rsid w:val="006A7FF3"/>
    <w:rsid w:val="006A7FFD"/>
    <w:rsid w:val="006B0315"/>
    <w:rsid w:val="006B04FE"/>
    <w:rsid w:val="006B1BC4"/>
    <w:rsid w:val="006B32B9"/>
    <w:rsid w:val="006B3B35"/>
    <w:rsid w:val="006B4531"/>
    <w:rsid w:val="006B59AF"/>
    <w:rsid w:val="006B5AB0"/>
    <w:rsid w:val="006B67E2"/>
    <w:rsid w:val="006B6C2B"/>
    <w:rsid w:val="006B7E87"/>
    <w:rsid w:val="006C0469"/>
    <w:rsid w:val="006C14D5"/>
    <w:rsid w:val="006C480E"/>
    <w:rsid w:val="006C5BB9"/>
    <w:rsid w:val="006C66D1"/>
    <w:rsid w:val="006D0740"/>
    <w:rsid w:val="006D096A"/>
    <w:rsid w:val="006D0DD7"/>
    <w:rsid w:val="006D0F83"/>
    <w:rsid w:val="006D1E73"/>
    <w:rsid w:val="006D200B"/>
    <w:rsid w:val="006D2935"/>
    <w:rsid w:val="006D3A74"/>
    <w:rsid w:val="006D4837"/>
    <w:rsid w:val="006D544C"/>
    <w:rsid w:val="006D6E84"/>
    <w:rsid w:val="006E0C88"/>
    <w:rsid w:val="006E16D9"/>
    <w:rsid w:val="006E1F3E"/>
    <w:rsid w:val="006E25F4"/>
    <w:rsid w:val="006E4647"/>
    <w:rsid w:val="006E4B79"/>
    <w:rsid w:val="006E5079"/>
    <w:rsid w:val="006E5E5B"/>
    <w:rsid w:val="006E6626"/>
    <w:rsid w:val="006E6F1B"/>
    <w:rsid w:val="006E7BB1"/>
    <w:rsid w:val="006F01BA"/>
    <w:rsid w:val="006F115F"/>
    <w:rsid w:val="006F2F6A"/>
    <w:rsid w:val="006F6458"/>
    <w:rsid w:val="006F74BB"/>
    <w:rsid w:val="006F79F1"/>
    <w:rsid w:val="007026C5"/>
    <w:rsid w:val="007042EC"/>
    <w:rsid w:val="007048F9"/>
    <w:rsid w:val="0070495F"/>
    <w:rsid w:val="0070594E"/>
    <w:rsid w:val="00705B01"/>
    <w:rsid w:val="00705FAF"/>
    <w:rsid w:val="00706E28"/>
    <w:rsid w:val="00710DD3"/>
    <w:rsid w:val="0071128F"/>
    <w:rsid w:val="0071163E"/>
    <w:rsid w:val="007135ED"/>
    <w:rsid w:val="00713895"/>
    <w:rsid w:val="007141EB"/>
    <w:rsid w:val="00714DEB"/>
    <w:rsid w:val="00715B41"/>
    <w:rsid w:val="00720F68"/>
    <w:rsid w:val="007210D1"/>
    <w:rsid w:val="00721C7A"/>
    <w:rsid w:val="007238B8"/>
    <w:rsid w:val="0072460E"/>
    <w:rsid w:val="0072506F"/>
    <w:rsid w:val="00725C6C"/>
    <w:rsid w:val="00726F51"/>
    <w:rsid w:val="0072798C"/>
    <w:rsid w:val="00727D0D"/>
    <w:rsid w:val="00727F87"/>
    <w:rsid w:val="007304DD"/>
    <w:rsid w:val="00731E4D"/>
    <w:rsid w:val="0073496D"/>
    <w:rsid w:val="00734F50"/>
    <w:rsid w:val="00734FA1"/>
    <w:rsid w:val="0073538D"/>
    <w:rsid w:val="00737C4B"/>
    <w:rsid w:val="00741407"/>
    <w:rsid w:val="0074192E"/>
    <w:rsid w:val="0074603A"/>
    <w:rsid w:val="0074798A"/>
    <w:rsid w:val="0075069C"/>
    <w:rsid w:val="00750CFE"/>
    <w:rsid w:val="00751E0E"/>
    <w:rsid w:val="0075528A"/>
    <w:rsid w:val="007565FB"/>
    <w:rsid w:val="00756CF0"/>
    <w:rsid w:val="00756DAD"/>
    <w:rsid w:val="00761639"/>
    <w:rsid w:val="007619B5"/>
    <w:rsid w:val="007624B1"/>
    <w:rsid w:val="00763CE3"/>
    <w:rsid w:val="00763D40"/>
    <w:rsid w:val="007643C2"/>
    <w:rsid w:val="0076477B"/>
    <w:rsid w:val="00764992"/>
    <w:rsid w:val="00764DCC"/>
    <w:rsid w:val="00766AC8"/>
    <w:rsid w:val="00766BD8"/>
    <w:rsid w:val="00766E47"/>
    <w:rsid w:val="007731BE"/>
    <w:rsid w:val="00774D4F"/>
    <w:rsid w:val="00775885"/>
    <w:rsid w:val="00776CFE"/>
    <w:rsid w:val="00777386"/>
    <w:rsid w:val="00780583"/>
    <w:rsid w:val="00782661"/>
    <w:rsid w:val="00782D15"/>
    <w:rsid w:val="00783172"/>
    <w:rsid w:val="0078397A"/>
    <w:rsid w:val="00783BF7"/>
    <w:rsid w:val="00784291"/>
    <w:rsid w:val="00785393"/>
    <w:rsid w:val="00786A01"/>
    <w:rsid w:val="00787960"/>
    <w:rsid w:val="00790FD4"/>
    <w:rsid w:val="00791CED"/>
    <w:rsid w:val="00793D4E"/>
    <w:rsid w:val="00794D79"/>
    <w:rsid w:val="00796197"/>
    <w:rsid w:val="00796F04"/>
    <w:rsid w:val="007A34F8"/>
    <w:rsid w:val="007A38D4"/>
    <w:rsid w:val="007A59FC"/>
    <w:rsid w:val="007A7107"/>
    <w:rsid w:val="007B0092"/>
    <w:rsid w:val="007B1A53"/>
    <w:rsid w:val="007B2AA4"/>
    <w:rsid w:val="007B4F23"/>
    <w:rsid w:val="007B54FD"/>
    <w:rsid w:val="007B7EE5"/>
    <w:rsid w:val="007C209D"/>
    <w:rsid w:val="007C3257"/>
    <w:rsid w:val="007C3363"/>
    <w:rsid w:val="007C5F8B"/>
    <w:rsid w:val="007C6664"/>
    <w:rsid w:val="007C6C91"/>
    <w:rsid w:val="007D112B"/>
    <w:rsid w:val="007D170B"/>
    <w:rsid w:val="007D1934"/>
    <w:rsid w:val="007D261A"/>
    <w:rsid w:val="007D30C5"/>
    <w:rsid w:val="007D4133"/>
    <w:rsid w:val="007D4961"/>
    <w:rsid w:val="007D4AC4"/>
    <w:rsid w:val="007D6E70"/>
    <w:rsid w:val="007D7B36"/>
    <w:rsid w:val="007E04EC"/>
    <w:rsid w:val="007E0732"/>
    <w:rsid w:val="007E0E6B"/>
    <w:rsid w:val="007E1C8A"/>
    <w:rsid w:val="007E5938"/>
    <w:rsid w:val="007E63DF"/>
    <w:rsid w:val="007E6979"/>
    <w:rsid w:val="007E7937"/>
    <w:rsid w:val="007F2C49"/>
    <w:rsid w:val="007F2CE4"/>
    <w:rsid w:val="007F3002"/>
    <w:rsid w:val="007F4E20"/>
    <w:rsid w:val="007F5423"/>
    <w:rsid w:val="007F73C7"/>
    <w:rsid w:val="008003C6"/>
    <w:rsid w:val="00800984"/>
    <w:rsid w:val="00802DCE"/>
    <w:rsid w:val="0080302C"/>
    <w:rsid w:val="00804405"/>
    <w:rsid w:val="00804E7E"/>
    <w:rsid w:val="00806DA1"/>
    <w:rsid w:val="00807084"/>
    <w:rsid w:val="00807AB5"/>
    <w:rsid w:val="008101C8"/>
    <w:rsid w:val="00811484"/>
    <w:rsid w:val="0081166E"/>
    <w:rsid w:val="008119F3"/>
    <w:rsid w:val="008122BD"/>
    <w:rsid w:val="00812A99"/>
    <w:rsid w:val="00813452"/>
    <w:rsid w:val="00813D51"/>
    <w:rsid w:val="00815B96"/>
    <w:rsid w:val="008166C2"/>
    <w:rsid w:val="00817892"/>
    <w:rsid w:val="00817899"/>
    <w:rsid w:val="00820063"/>
    <w:rsid w:val="00820081"/>
    <w:rsid w:val="008204BC"/>
    <w:rsid w:val="00820A11"/>
    <w:rsid w:val="00822099"/>
    <w:rsid w:val="0082235D"/>
    <w:rsid w:val="00825845"/>
    <w:rsid w:val="00825D96"/>
    <w:rsid w:val="0083256E"/>
    <w:rsid w:val="00836CE4"/>
    <w:rsid w:val="00836F4E"/>
    <w:rsid w:val="008370B4"/>
    <w:rsid w:val="0083794D"/>
    <w:rsid w:val="00840044"/>
    <w:rsid w:val="008421D5"/>
    <w:rsid w:val="00843965"/>
    <w:rsid w:val="008476B6"/>
    <w:rsid w:val="00850A5B"/>
    <w:rsid w:val="00851105"/>
    <w:rsid w:val="00852208"/>
    <w:rsid w:val="00852488"/>
    <w:rsid w:val="0085343D"/>
    <w:rsid w:val="00856010"/>
    <w:rsid w:val="008567AC"/>
    <w:rsid w:val="00857CFD"/>
    <w:rsid w:val="00860C6C"/>
    <w:rsid w:val="00861B7F"/>
    <w:rsid w:val="0086324F"/>
    <w:rsid w:val="008639AE"/>
    <w:rsid w:val="00864DBF"/>
    <w:rsid w:val="00865713"/>
    <w:rsid w:val="008663C1"/>
    <w:rsid w:val="00870A3E"/>
    <w:rsid w:val="008715B5"/>
    <w:rsid w:val="0087339D"/>
    <w:rsid w:val="0087438E"/>
    <w:rsid w:val="00876B6E"/>
    <w:rsid w:val="008804D4"/>
    <w:rsid w:val="0088227B"/>
    <w:rsid w:val="00885751"/>
    <w:rsid w:val="00890C85"/>
    <w:rsid w:val="00892191"/>
    <w:rsid w:val="00892EB8"/>
    <w:rsid w:val="00894F2A"/>
    <w:rsid w:val="008979BD"/>
    <w:rsid w:val="008A0533"/>
    <w:rsid w:val="008A51B4"/>
    <w:rsid w:val="008A6F9C"/>
    <w:rsid w:val="008A7885"/>
    <w:rsid w:val="008B0C33"/>
    <w:rsid w:val="008B19CE"/>
    <w:rsid w:val="008B2B25"/>
    <w:rsid w:val="008B31F4"/>
    <w:rsid w:val="008B4058"/>
    <w:rsid w:val="008B580D"/>
    <w:rsid w:val="008B58D4"/>
    <w:rsid w:val="008B6118"/>
    <w:rsid w:val="008B687F"/>
    <w:rsid w:val="008B69E5"/>
    <w:rsid w:val="008B72B7"/>
    <w:rsid w:val="008B7DBF"/>
    <w:rsid w:val="008C0597"/>
    <w:rsid w:val="008C0BAD"/>
    <w:rsid w:val="008C20D1"/>
    <w:rsid w:val="008C5503"/>
    <w:rsid w:val="008D0D0C"/>
    <w:rsid w:val="008D158C"/>
    <w:rsid w:val="008D3A74"/>
    <w:rsid w:val="008D5BD1"/>
    <w:rsid w:val="008D64DD"/>
    <w:rsid w:val="008D76C3"/>
    <w:rsid w:val="008E0677"/>
    <w:rsid w:val="008E2196"/>
    <w:rsid w:val="008E3D6B"/>
    <w:rsid w:val="008E4A45"/>
    <w:rsid w:val="008E5939"/>
    <w:rsid w:val="008E5952"/>
    <w:rsid w:val="008E7ED3"/>
    <w:rsid w:val="008F0472"/>
    <w:rsid w:val="008F3516"/>
    <w:rsid w:val="008F5D2C"/>
    <w:rsid w:val="008F5D46"/>
    <w:rsid w:val="008F752B"/>
    <w:rsid w:val="008F76EA"/>
    <w:rsid w:val="0090072F"/>
    <w:rsid w:val="00900BA5"/>
    <w:rsid w:val="009017B1"/>
    <w:rsid w:val="009020A4"/>
    <w:rsid w:val="0090212C"/>
    <w:rsid w:val="00902CB7"/>
    <w:rsid w:val="00902FF4"/>
    <w:rsid w:val="00903B03"/>
    <w:rsid w:val="00904208"/>
    <w:rsid w:val="00904D22"/>
    <w:rsid w:val="00904FDA"/>
    <w:rsid w:val="00905CE9"/>
    <w:rsid w:val="00906A22"/>
    <w:rsid w:val="009073F6"/>
    <w:rsid w:val="00910971"/>
    <w:rsid w:val="00911EC6"/>
    <w:rsid w:val="00914776"/>
    <w:rsid w:val="009152D4"/>
    <w:rsid w:val="00917AD5"/>
    <w:rsid w:val="00917C06"/>
    <w:rsid w:val="00920003"/>
    <w:rsid w:val="00921F46"/>
    <w:rsid w:val="009220A4"/>
    <w:rsid w:val="0092287C"/>
    <w:rsid w:val="00922FA9"/>
    <w:rsid w:val="00923556"/>
    <w:rsid w:val="0092417E"/>
    <w:rsid w:val="00924192"/>
    <w:rsid w:val="00925895"/>
    <w:rsid w:val="00925B77"/>
    <w:rsid w:val="00925FEC"/>
    <w:rsid w:val="00926429"/>
    <w:rsid w:val="00927C5B"/>
    <w:rsid w:val="00930609"/>
    <w:rsid w:val="00930C4A"/>
    <w:rsid w:val="00931B5A"/>
    <w:rsid w:val="00931F14"/>
    <w:rsid w:val="00932022"/>
    <w:rsid w:val="00932CB4"/>
    <w:rsid w:val="00933218"/>
    <w:rsid w:val="0093379B"/>
    <w:rsid w:val="00933BCB"/>
    <w:rsid w:val="00934991"/>
    <w:rsid w:val="00940373"/>
    <w:rsid w:val="00940AA8"/>
    <w:rsid w:val="00943F49"/>
    <w:rsid w:val="009449C3"/>
    <w:rsid w:val="00944DAB"/>
    <w:rsid w:val="00945921"/>
    <w:rsid w:val="00950B3E"/>
    <w:rsid w:val="00950F99"/>
    <w:rsid w:val="00951466"/>
    <w:rsid w:val="009522D7"/>
    <w:rsid w:val="00953B36"/>
    <w:rsid w:val="009549E5"/>
    <w:rsid w:val="0095566B"/>
    <w:rsid w:val="009567F6"/>
    <w:rsid w:val="009621F1"/>
    <w:rsid w:val="00963A31"/>
    <w:rsid w:val="00963B62"/>
    <w:rsid w:val="009650E0"/>
    <w:rsid w:val="00965260"/>
    <w:rsid w:val="00966639"/>
    <w:rsid w:val="00966CD3"/>
    <w:rsid w:val="00967644"/>
    <w:rsid w:val="00970E95"/>
    <w:rsid w:val="0097161D"/>
    <w:rsid w:val="00971BFC"/>
    <w:rsid w:val="0098022D"/>
    <w:rsid w:val="0098064D"/>
    <w:rsid w:val="00980710"/>
    <w:rsid w:val="00980775"/>
    <w:rsid w:val="00981C16"/>
    <w:rsid w:val="00983F56"/>
    <w:rsid w:val="00984028"/>
    <w:rsid w:val="009840CB"/>
    <w:rsid w:val="00984AB6"/>
    <w:rsid w:val="00985439"/>
    <w:rsid w:val="00986399"/>
    <w:rsid w:val="00986B3D"/>
    <w:rsid w:val="00986BE2"/>
    <w:rsid w:val="00987D6D"/>
    <w:rsid w:val="009915C5"/>
    <w:rsid w:val="00991918"/>
    <w:rsid w:val="009920DF"/>
    <w:rsid w:val="00995798"/>
    <w:rsid w:val="009977A6"/>
    <w:rsid w:val="00997F3E"/>
    <w:rsid w:val="009A0599"/>
    <w:rsid w:val="009A1E28"/>
    <w:rsid w:val="009A1FDE"/>
    <w:rsid w:val="009A2210"/>
    <w:rsid w:val="009A2D56"/>
    <w:rsid w:val="009A439E"/>
    <w:rsid w:val="009A52BE"/>
    <w:rsid w:val="009A595F"/>
    <w:rsid w:val="009A5E20"/>
    <w:rsid w:val="009A710B"/>
    <w:rsid w:val="009A7307"/>
    <w:rsid w:val="009B206D"/>
    <w:rsid w:val="009B27AC"/>
    <w:rsid w:val="009B2F8C"/>
    <w:rsid w:val="009B346E"/>
    <w:rsid w:val="009B404A"/>
    <w:rsid w:val="009B56EE"/>
    <w:rsid w:val="009B58B2"/>
    <w:rsid w:val="009C002E"/>
    <w:rsid w:val="009C392A"/>
    <w:rsid w:val="009C3E4B"/>
    <w:rsid w:val="009C51C9"/>
    <w:rsid w:val="009C5797"/>
    <w:rsid w:val="009C7563"/>
    <w:rsid w:val="009C77C1"/>
    <w:rsid w:val="009C7E9D"/>
    <w:rsid w:val="009D0B97"/>
    <w:rsid w:val="009D1060"/>
    <w:rsid w:val="009D69FF"/>
    <w:rsid w:val="009D6BFE"/>
    <w:rsid w:val="009E0923"/>
    <w:rsid w:val="009E202F"/>
    <w:rsid w:val="009E2F0F"/>
    <w:rsid w:val="009E3EBD"/>
    <w:rsid w:val="009E413A"/>
    <w:rsid w:val="009E44E8"/>
    <w:rsid w:val="009E4AD9"/>
    <w:rsid w:val="009E543A"/>
    <w:rsid w:val="009E5A8D"/>
    <w:rsid w:val="009E5BC9"/>
    <w:rsid w:val="009E61C2"/>
    <w:rsid w:val="009E6459"/>
    <w:rsid w:val="009E7818"/>
    <w:rsid w:val="009F3FA8"/>
    <w:rsid w:val="009F44C4"/>
    <w:rsid w:val="009F459F"/>
    <w:rsid w:val="009F466A"/>
    <w:rsid w:val="009F611D"/>
    <w:rsid w:val="00A000FD"/>
    <w:rsid w:val="00A01918"/>
    <w:rsid w:val="00A03A49"/>
    <w:rsid w:val="00A04228"/>
    <w:rsid w:val="00A04A60"/>
    <w:rsid w:val="00A058DA"/>
    <w:rsid w:val="00A05AEE"/>
    <w:rsid w:val="00A1231E"/>
    <w:rsid w:val="00A1339D"/>
    <w:rsid w:val="00A14932"/>
    <w:rsid w:val="00A15C57"/>
    <w:rsid w:val="00A175B2"/>
    <w:rsid w:val="00A205F6"/>
    <w:rsid w:val="00A20F3A"/>
    <w:rsid w:val="00A2113B"/>
    <w:rsid w:val="00A22B8D"/>
    <w:rsid w:val="00A24650"/>
    <w:rsid w:val="00A24754"/>
    <w:rsid w:val="00A24CD3"/>
    <w:rsid w:val="00A25A93"/>
    <w:rsid w:val="00A307BF"/>
    <w:rsid w:val="00A3085A"/>
    <w:rsid w:val="00A31B33"/>
    <w:rsid w:val="00A31C5E"/>
    <w:rsid w:val="00A32555"/>
    <w:rsid w:val="00A3327B"/>
    <w:rsid w:val="00A33DE8"/>
    <w:rsid w:val="00A35925"/>
    <w:rsid w:val="00A3599C"/>
    <w:rsid w:val="00A363F1"/>
    <w:rsid w:val="00A365C7"/>
    <w:rsid w:val="00A40021"/>
    <w:rsid w:val="00A4053B"/>
    <w:rsid w:val="00A41970"/>
    <w:rsid w:val="00A43797"/>
    <w:rsid w:val="00A43B3C"/>
    <w:rsid w:val="00A43C34"/>
    <w:rsid w:val="00A43DF8"/>
    <w:rsid w:val="00A44348"/>
    <w:rsid w:val="00A44E11"/>
    <w:rsid w:val="00A4503B"/>
    <w:rsid w:val="00A507AE"/>
    <w:rsid w:val="00A50EFF"/>
    <w:rsid w:val="00A520CD"/>
    <w:rsid w:val="00A523E3"/>
    <w:rsid w:val="00A53D2E"/>
    <w:rsid w:val="00A56281"/>
    <w:rsid w:val="00A601D3"/>
    <w:rsid w:val="00A601FC"/>
    <w:rsid w:val="00A60FA0"/>
    <w:rsid w:val="00A6202F"/>
    <w:rsid w:val="00A63A95"/>
    <w:rsid w:val="00A64700"/>
    <w:rsid w:val="00A65365"/>
    <w:rsid w:val="00A66C9D"/>
    <w:rsid w:val="00A67D07"/>
    <w:rsid w:val="00A7144F"/>
    <w:rsid w:val="00A714A0"/>
    <w:rsid w:val="00A72F8D"/>
    <w:rsid w:val="00A73033"/>
    <w:rsid w:val="00A73192"/>
    <w:rsid w:val="00A7323A"/>
    <w:rsid w:val="00A73804"/>
    <w:rsid w:val="00A73C6F"/>
    <w:rsid w:val="00A8016D"/>
    <w:rsid w:val="00A80560"/>
    <w:rsid w:val="00A80956"/>
    <w:rsid w:val="00A80ACF"/>
    <w:rsid w:val="00A83A77"/>
    <w:rsid w:val="00A83EC5"/>
    <w:rsid w:val="00A861FE"/>
    <w:rsid w:val="00A8714C"/>
    <w:rsid w:val="00A90D85"/>
    <w:rsid w:val="00A91AF5"/>
    <w:rsid w:val="00A928C9"/>
    <w:rsid w:val="00A930EC"/>
    <w:rsid w:val="00A93450"/>
    <w:rsid w:val="00A940EF"/>
    <w:rsid w:val="00A94DF2"/>
    <w:rsid w:val="00A959D5"/>
    <w:rsid w:val="00A95E28"/>
    <w:rsid w:val="00A961BF"/>
    <w:rsid w:val="00A97D8D"/>
    <w:rsid w:val="00AA01C1"/>
    <w:rsid w:val="00AA35AB"/>
    <w:rsid w:val="00AA3A0F"/>
    <w:rsid w:val="00AA4B84"/>
    <w:rsid w:val="00AA4EDC"/>
    <w:rsid w:val="00AA5086"/>
    <w:rsid w:val="00AA5636"/>
    <w:rsid w:val="00AA61D7"/>
    <w:rsid w:val="00AA6298"/>
    <w:rsid w:val="00AA7A1C"/>
    <w:rsid w:val="00AB0E5F"/>
    <w:rsid w:val="00AB2499"/>
    <w:rsid w:val="00AB25E0"/>
    <w:rsid w:val="00AB59A7"/>
    <w:rsid w:val="00AB620D"/>
    <w:rsid w:val="00AB62B2"/>
    <w:rsid w:val="00AB766A"/>
    <w:rsid w:val="00AC15E3"/>
    <w:rsid w:val="00AC2153"/>
    <w:rsid w:val="00AC3BE3"/>
    <w:rsid w:val="00AC44AE"/>
    <w:rsid w:val="00AC4A52"/>
    <w:rsid w:val="00AC7B69"/>
    <w:rsid w:val="00AD0BF8"/>
    <w:rsid w:val="00AD0CC4"/>
    <w:rsid w:val="00AD0F78"/>
    <w:rsid w:val="00AD187B"/>
    <w:rsid w:val="00AD1E14"/>
    <w:rsid w:val="00AD1E80"/>
    <w:rsid w:val="00AD3C30"/>
    <w:rsid w:val="00AD689E"/>
    <w:rsid w:val="00AD6E28"/>
    <w:rsid w:val="00AD7B43"/>
    <w:rsid w:val="00AE0045"/>
    <w:rsid w:val="00AE0EF3"/>
    <w:rsid w:val="00AE1036"/>
    <w:rsid w:val="00AE2558"/>
    <w:rsid w:val="00AE4E0C"/>
    <w:rsid w:val="00AE4F76"/>
    <w:rsid w:val="00AE5728"/>
    <w:rsid w:val="00AE5E84"/>
    <w:rsid w:val="00AE6E77"/>
    <w:rsid w:val="00AE72B7"/>
    <w:rsid w:val="00AE740F"/>
    <w:rsid w:val="00AE7563"/>
    <w:rsid w:val="00AE7AD5"/>
    <w:rsid w:val="00AE7D00"/>
    <w:rsid w:val="00AF0471"/>
    <w:rsid w:val="00AF13DB"/>
    <w:rsid w:val="00AF2DF6"/>
    <w:rsid w:val="00AF5FFC"/>
    <w:rsid w:val="00AF6714"/>
    <w:rsid w:val="00B0077F"/>
    <w:rsid w:val="00B01A20"/>
    <w:rsid w:val="00B031BD"/>
    <w:rsid w:val="00B03487"/>
    <w:rsid w:val="00B036C5"/>
    <w:rsid w:val="00B050AB"/>
    <w:rsid w:val="00B06A27"/>
    <w:rsid w:val="00B06F17"/>
    <w:rsid w:val="00B115A2"/>
    <w:rsid w:val="00B12CCC"/>
    <w:rsid w:val="00B13F28"/>
    <w:rsid w:val="00B14CBF"/>
    <w:rsid w:val="00B1528E"/>
    <w:rsid w:val="00B1590A"/>
    <w:rsid w:val="00B15E45"/>
    <w:rsid w:val="00B17C12"/>
    <w:rsid w:val="00B2035E"/>
    <w:rsid w:val="00B20628"/>
    <w:rsid w:val="00B20722"/>
    <w:rsid w:val="00B20752"/>
    <w:rsid w:val="00B21668"/>
    <w:rsid w:val="00B224F3"/>
    <w:rsid w:val="00B22FB6"/>
    <w:rsid w:val="00B236CB"/>
    <w:rsid w:val="00B23B2F"/>
    <w:rsid w:val="00B30488"/>
    <w:rsid w:val="00B306D6"/>
    <w:rsid w:val="00B325E0"/>
    <w:rsid w:val="00B33812"/>
    <w:rsid w:val="00B359C5"/>
    <w:rsid w:val="00B36D30"/>
    <w:rsid w:val="00B373AD"/>
    <w:rsid w:val="00B405BD"/>
    <w:rsid w:val="00B409CF"/>
    <w:rsid w:val="00B40EFC"/>
    <w:rsid w:val="00B42F00"/>
    <w:rsid w:val="00B432D8"/>
    <w:rsid w:val="00B454DD"/>
    <w:rsid w:val="00B45FB2"/>
    <w:rsid w:val="00B46D8F"/>
    <w:rsid w:val="00B474EA"/>
    <w:rsid w:val="00B47A53"/>
    <w:rsid w:val="00B506D8"/>
    <w:rsid w:val="00B51625"/>
    <w:rsid w:val="00B517A6"/>
    <w:rsid w:val="00B52BE6"/>
    <w:rsid w:val="00B54685"/>
    <w:rsid w:val="00B55BBD"/>
    <w:rsid w:val="00B565EE"/>
    <w:rsid w:val="00B575CB"/>
    <w:rsid w:val="00B600BA"/>
    <w:rsid w:val="00B6014A"/>
    <w:rsid w:val="00B6064E"/>
    <w:rsid w:val="00B61A69"/>
    <w:rsid w:val="00B63B31"/>
    <w:rsid w:val="00B65026"/>
    <w:rsid w:val="00B66044"/>
    <w:rsid w:val="00B6608F"/>
    <w:rsid w:val="00B70458"/>
    <w:rsid w:val="00B7096A"/>
    <w:rsid w:val="00B71AE0"/>
    <w:rsid w:val="00B72A70"/>
    <w:rsid w:val="00B72C7B"/>
    <w:rsid w:val="00B7300C"/>
    <w:rsid w:val="00B7303A"/>
    <w:rsid w:val="00B7378C"/>
    <w:rsid w:val="00B74B4A"/>
    <w:rsid w:val="00B7653F"/>
    <w:rsid w:val="00B7655C"/>
    <w:rsid w:val="00B7672C"/>
    <w:rsid w:val="00B772FC"/>
    <w:rsid w:val="00B82831"/>
    <w:rsid w:val="00B82B2A"/>
    <w:rsid w:val="00B8308F"/>
    <w:rsid w:val="00B8309D"/>
    <w:rsid w:val="00B85A1C"/>
    <w:rsid w:val="00B86E2A"/>
    <w:rsid w:val="00B90361"/>
    <w:rsid w:val="00B906AC"/>
    <w:rsid w:val="00B930C9"/>
    <w:rsid w:val="00B95164"/>
    <w:rsid w:val="00B96E4E"/>
    <w:rsid w:val="00BA25E0"/>
    <w:rsid w:val="00BA2A85"/>
    <w:rsid w:val="00BA54EE"/>
    <w:rsid w:val="00BB08E4"/>
    <w:rsid w:val="00BB1BFF"/>
    <w:rsid w:val="00BB2461"/>
    <w:rsid w:val="00BB6048"/>
    <w:rsid w:val="00BB7462"/>
    <w:rsid w:val="00BB7B7F"/>
    <w:rsid w:val="00BC20AA"/>
    <w:rsid w:val="00BC2821"/>
    <w:rsid w:val="00BC2CE9"/>
    <w:rsid w:val="00BC305E"/>
    <w:rsid w:val="00BC36B3"/>
    <w:rsid w:val="00BC3DCC"/>
    <w:rsid w:val="00BC4C2E"/>
    <w:rsid w:val="00BC6607"/>
    <w:rsid w:val="00BC6D6A"/>
    <w:rsid w:val="00BC7811"/>
    <w:rsid w:val="00BD035F"/>
    <w:rsid w:val="00BD33BC"/>
    <w:rsid w:val="00BD50A8"/>
    <w:rsid w:val="00BD67FA"/>
    <w:rsid w:val="00BD6B46"/>
    <w:rsid w:val="00BD7DE4"/>
    <w:rsid w:val="00BE0045"/>
    <w:rsid w:val="00BE0AFE"/>
    <w:rsid w:val="00BE1A98"/>
    <w:rsid w:val="00BE346F"/>
    <w:rsid w:val="00BE6BBA"/>
    <w:rsid w:val="00BE6E19"/>
    <w:rsid w:val="00BF26C1"/>
    <w:rsid w:val="00BF2E3D"/>
    <w:rsid w:val="00BF423F"/>
    <w:rsid w:val="00BF521D"/>
    <w:rsid w:val="00C0136B"/>
    <w:rsid w:val="00C02806"/>
    <w:rsid w:val="00C02A2A"/>
    <w:rsid w:val="00C064E1"/>
    <w:rsid w:val="00C075E2"/>
    <w:rsid w:val="00C07794"/>
    <w:rsid w:val="00C07B38"/>
    <w:rsid w:val="00C1009F"/>
    <w:rsid w:val="00C101BF"/>
    <w:rsid w:val="00C10642"/>
    <w:rsid w:val="00C11604"/>
    <w:rsid w:val="00C11611"/>
    <w:rsid w:val="00C11F3B"/>
    <w:rsid w:val="00C125B8"/>
    <w:rsid w:val="00C128DF"/>
    <w:rsid w:val="00C149B6"/>
    <w:rsid w:val="00C154C0"/>
    <w:rsid w:val="00C16A76"/>
    <w:rsid w:val="00C20810"/>
    <w:rsid w:val="00C212D4"/>
    <w:rsid w:val="00C21496"/>
    <w:rsid w:val="00C21B14"/>
    <w:rsid w:val="00C21E8F"/>
    <w:rsid w:val="00C21EEB"/>
    <w:rsid w:val="00C220DD"/>
    <w:rsid w:val="00C22237"/>
    <w:rsid w:val="00C2346E"/>
    <w:rsid w:val="00C243D2"/>
    <w:rsid w:val="00C24C6B"/>
    <w:rsid w:val="00C25AD7"/>
    <w:rsid w:val="00C25EA7"/>
    <w:rsid w:val="00C30CB1"/>
    <w:rsid w:val="00C316EB"/>
    <w:rsid w:val="00C31C47"/>
    <w:rsid w:val="00C323FE"/>
    <w:rsid w:val="00C32759"/>
    <w:rsid w:val="00C34BB5"/>
    <w:rsid w:val="00C34CDD"/>
    <w:rsid w:val="00C3505E"/>
    <w:rsid w:val="00C35089"/>
    <w:rsid w:val="00C355D1"/>
    <w:rsid w:val="00C36C49"/>
    <w:rsid w:val="00C376CC"/>
    <w:rsid w:val="00C43F41"/>
    <w:rsid w:val="00C4672E"/>
    <w:rsid w:val="00C51109"/>
    <w:rsid w:val="00C51DC9"/>
    <w:rsid w:val="00C5246F"/>
    <w:rsid w:val="00C52843"/>
    <w:rsid w:val="00C529D3"/>
    <w:rsid w:val="00C52A1B"/>
    <w:rsid w:val="00C52D5D"/>
    <w:rsid w:val="00C554ED"/>
    <w:rsid w:val="00C55BE1"/>
    <w:rsid w:val="00C56846"/>
    <w:rsid w:val="00C605C9"/>
    <w:rsid w:val="00C60C35"/>
    <w:rsid w:val="00C63CAA"/>
    <w:rsid w:val="00C71EB3"/>
    <w:rsid w:val="00C73E61"/>
    <w:rsid w:val="00C7642B"/>
    <w:rsid w:val="00C812F7"/>
    <w:rsid w:val="00C8182C"/>
    <w:rsid w:val="00C82CD7"/>
    <w:rsid w:val="00C82EC0"/>
    <w:rsid w:val="00C8345F"/>
    <w:rsid w:val="00C84BD1"/>
    <w:rsid w:val="00C85263"/>
    <w:rsid w:val="00C8633D"/>
    <w:rsid w:val="00C87130"/>
    <w:rsid w:val="00C90EEA"/>
    <w:rsid w:val="00C917E8"/>
    <w:rsid w:val="00C928C1"/>
    <w:rsid w:val="00C95EC9"/>
    <w:rsid w:val="00CA142D"/>
    <w:rsid w:val="00CA165A"/>
    <w:rsid w:val="00CA2E2A"/>
    <w:rsid w:val="00CA4536"/>
    <w:rsid w:val="00CA46D8"/>
    <w:rsid w:val="00CA6275"/>
    <w:rsid w:val="00CB0C3B"/>
    <w:rsid w:val="00CB13F3"/>
    <w:rsid w:val="00CB21D2"/>
    <w:rsid w:val="00CB3E2B"/>
    <w:rsid w:val="00CB4607"/>
    <w:rsid w:val="00CB523C"/>
    <w:rsid w:val="00CB6352"/>
    <w:rsid w:val="00CB66A1"/>
    <w:rsid w:val="00CB6861"/>
    <w:rsid w:val="00CB6CB6"/>
    <w:rsid w:val="00CB6DDD"/>
    <w:rsid w:val="00CC1191"/>
    <w:rsid w:val="00CC1DEE"/>
    <w:rsid w:val="00CC2777"/>
    <w:rsid w:val="00CC2978"/>
    <w:rsid w:val="00CC4194"/>
    <w:rsid w:val="00CC4D4B"/>
    <w:rsid w:val="00CC4ED4"/>
    <w:rsid w:val="00CC569D"/>
    <w:rsid w:val="00CC56C8"/>
    <w:rsid w:val="00CC58FA"/>
    <w:rsid w:val="00CC6167"/>
    <w:rsid w:val="00CC79E1"/>
    <w:rsid w:val="00CC7D2E"/>
    <w:rsid w:val="00CD0040"/>
    <w:rsid w:val="00CD0DAF"/>
    <w:rsid w:val="00CD1C39"/>
    <w:rsid w:val="00CD3000"/>
    <w:rsid w:val="00CD35CE"/>
    <w:rsid w:val="00CD4132"/>
    <w:rsid w:val="00CD42C3"/>
    <w:rsid w:val="00CD4763"/>
    <w:rsid w:val="00CD5644"/>
    <w:rsid w:val="00CD5AE4"/>
    <w:rsid w:val="00CD64AB"/>
    <w:rsid w:val="00CD6B55"/>
    <w:rsid w:val="00CD6DEA"/>
    <w:rsid w:val="00CD7278"/>
    <w:rsid w:val="00CD7290"/>
    <w:rsid w:val="00CD7AC7"/>
    <w:rsid w:val="00CE1578"/>
    <w:rsid w:val="00CE1AF8"/>
    <w:rsid w:val="00CE2C4B"/>
    <w:rsid w:val="00CE36D9"/>
    <w:rsid w:val="00CE43D0"/>
    <w:rsid w:val="00CE4BFC"/>
    <w:rsid w:val="00CE4D20"/>
    <w:rsid w:val="00CE4D79"/>
    <w:rsid w:val="00CE4EDA"/>
    <w:rsid w:val="00CE72BD"/>
    <w:rsid w:val="00CF1116"/>
    <w:rsid w:val="00CF12B3"/>
    <w:rsid w:val="00CF1593"/>
    <w:rsid w:val="00CF259C"/>
    <w:rsid w:val="00CF37E8"/>
    <w:rsid w:val="00CF470D"/>
    <w:rsid w:val="00CF495D"/>
    <w:rsid w:val="00CF4A32"/>
    <w:rsid w:val="00CF4D5C"/>
    <w:rsid w:val="00D00AAD"/>
    <w:rsid w:val="00D00DFF"/>
    <w:rsid w:val="00D01832"/>
    <w:rsid w:val="00D02026"/>
    <w:rsid w:val="00D0274E"/>
    <w:rsid w:val="00D03F65"/>
    <w:rsid w:val="00D05066"/>
    <w:rsid w:val="00D051C5"/>
    <w:rsid w:val="00D05469"/>
    <w:rsid w:val="00D05817"/>
    <w:rsid w:val="00D05E9A"/>
    <w:rsid w:val="00D06B99"/>
    <w:rsid w:val="00D072A5"/>
    <w:rsid w:val="00D10412"/>
    <w:rsid w:val="00D10573"/>
    <w:rsid w:val="00D13DE4"/>
    <w:rsid w:val="00D146BD"/>
    <w:rsid w:val="00D14BC8"/>
    <w:rsid w:val="00D14FDD"/>
    <w:rsid w:val="00D15EB5"/>
    <w:rsid w:val="00D20C22"/>
    <w:rsid w:val="00D228A6"/>
    <w:rsid w:val="00D2344A"/>
    <w:rsid w:val="00D23B93"/>
    <w:rsid w:val="00D2461A"/>
    <w:rsid w:val="00D24C21"/>
    <w:rsid w:val="00D2655D"/>
    <w:rsid w:val="00D27F3A"/>
    <w:rsid w:val="00D31792"/>
    <w:rsid w:val="00D3254D"/>
    <w:rsid w:val="00D32A7C"/>
    <w:rsid w:val="00D34163"/>
    <w:rsid w:val="00D35BBD"/>
    <w:rsid w:val="00D35D87"/>
    <w:rsid w:val="00D35E40"/>
    <w:rsid w:val="00D35E60"/>
    <w:rsid w:val="00D35EC1"/>
    <w:rsid w:val="00D361A3"/>
    <w:rsid w:val="00D41B75"/>
    <w:rsid w:val="00D41BC9"/>
    <w:rsid w:val="00D42777"/>
    <w:rsid w:val="00D42ADA"/>
    <w:rsid w:val="00D4407C"/>
    <w:rsid w:val="00D464B9"/>
    <w:rsid w:val="00D46A1F"/>
    <w:rsid w:val="00D502E8"/>
    <w:rsid w:val="00D50564"/>
    <w:rsid w:val="00D507D6"/>
    <w:rsid w:val="00D509E7"/>
    <w:rsid w:val="00D50D4F"/>
    <w:rsid w:val="00D5482D"/>
    <w:rsid w:val="00D54E31"/>
    <w:rsid w:val="00D56068"/>
    <w:rsid w:val="00D56831"/>
    <w:rsid w:val="00D57423"/>
    <w:rsid w:val="00D60513"/>
    <w:rsid w:val="00D61117"/>
    <w:rsid w:val="00D61DF2"/>
    <w:rsid w:val="00D623C2"/>
    <w:rsid w:val="00D62887"/>
    <w:rsid w:val="00D62A6A"/>
    <w:rsid w:val="00D6348C"/>
    <w:rsid w:val="00D63758"/>
    <w:rsid w:val="00D63A5E"/>
    <w:rsid w:val="00D64639"/>
    <w:rsid w:val="00D64E57"/>
    <w:rsid w:val="00D6514C"/>
    <w:rsid w:val="00D65931"/>
    <w:rsid w:val="00D661C8"/>
    <w:rsid w:val="00D67843"/>
    <w:rsid w:val="00D6795A"/>
    <w:rsid w:val="00D67E5A"/>
    <w:rsid w:val="00D738D9"/>
    <w:rsid w:val="00D73E11"/>
    <w:rsid w:val="00D74FB7"/>
    <w:rsid w:val="00D76663"/>
    <w:rsid w:val="00D8109B"/>
    <w:rsid w:val="00D810E0"/>
    <w:rsid w:val="00D81199"/>
    <w:rsid w:val="00D816C0"/>
    <w:rsid w:val="00D8361B"/>
    <w:rsid w:val="00D84386"/>
    <w:rsid w:val="00D845C2"/>
    <w:rsid w:val="00D854A2"/>
    <w:rsid w:val="00D856EA"/>
    <w:rsid w:val="00D85767"/>
    <w:rsid w:val="00D85949"/>
    <w:rsid w:val="00D86D1A"/>
    <w:rsid w:val="00D90396"/>
    <w:rsid w:val="00D94DE8"/>
    <w:rsid w:val="00D95A5C"/>
    <w:rsid w:val="00D96719"/>
    <w:rsid w:val="00D96A5E"/>
    <w:rsid w:val="00D96B97"/>
    <w:rsid w:val="00D96D26"/>
    <w:rsid w:val="00D973A4"/>
    <w:rsid w:val="00D973DB"/>
    <w:rsid w:val="00D97F61"/>
    <w:rsid w:val="00DA151A"/>
    <w:rsid w:val="00DA1833"/>
    <w:rsid w:val="00DA32F8"/>
    <w:rsid w:val="00DA5D18"/>
    <w:rsid w:val="00DA60DB"/>
    <w:rsid w:val="00DA695A"/>
    <w:rsid w:val="00DA6DDC"/>
    <w:rsid w:val="00DA71E4"/>
    <w:rsid w:val="00DA764C"/>
    <w:rsid w:val="00DA7FD1"/>
    <w:rsid w:val="00DB2BB6"/>
    <w:rsid w:val="00DB3E79"/>
    <w:rsid w:val="00DB45F6"/>
    <w:rsid w:val="00DB4B2B"/>
    <w:rsid w:val="00DB4D3A"/>
    <w:rsid w:val="00DB6B9E"/>
    <w:rsid w:val="00DB7261"/>
    <w:rsid w:val="00DC1289"/>
    <w:rsid w:val="00DC1A25"/>
    <w:rsid w:val="00DC42CD"/>
    <w:rsid w:val="00DC49E6"/>
    <w:rsid w:val="00DC75BD"/>
    <w:rsid w:val="00DD2C33"/>
    <w:rsid w:val="00DD35EC"/>
    <w:rsid w:val="00DD6C75"/>
    <w:rsid w:val="00DD714F"/>
    <w:rsid w:val="00DD762D"/>
    <w:rsid w:val="00DE066C"/>
    <w:rsid w:val="00DE0BC8"/>
    <w:rsid w:val="00DE0DE9"/>
    <w:rsid w:val="00DE3777"/>
    <w:rsid w:val="00DE3FC3"/>
    <w:rsid w:val="00DE539F"/>
    <w:rsid w:val="00DE5A7D"/>
    <w:rsid w:val="00DE5CA2"/>
    <w:rsid w:val="00DE5D23"/>
    <w:rsid w:val="00DE7A92"/>
    <w:rsid w:val="00DF01DE"/>
    <w:rsid w:val="00DF108A"/>
    <w:rsid w:val="00DF13EB"/>
    <w:rsid w:val="00DF2B11"/>
    <w:rsid w:val="00DF41E8"/>
    <w:rsid w:val="00DF4467"/>
    <w:rsid w:val="00DF4C3C"/>
    <w:rsid w:val="00DF4F1C"/>
    <w:rsid w:val="00DF525A"/>
    <w:rsid w:val="00DF594B"/>
    <w:rsid w:val="00DF6120"/>
    <w:rsid w:val="00DF6812"/>
    <w:rsid w:val="00E00FAA"/>
    <w:rsid w:val="00E01DDB"/>
    <w:rsid w:val="00E042B5"/>
    <w:rsid w:val="00E05033"/>
    <w:rsid w:val="00E0592A"/>
    <w:rsid w:val="00E065C3"/>
    <w:rsid w:val="00E0729C"/>
    <w:rsid w:val="00E10828"/>
    <w:rsid w:val="00E10B04"/>
    <w:rsid w:val="00E10B3E"/>
    <w:rsid w:val="00E118AE"/>
    <w:rsid w:val="00E13F56"/>
    <w:rsid w:val="00E14ABF"/>
    <w:rsid w:val="00E14DD7"/>
    <w:rsid w:val="00E153B7"/>
    <w:rsid w:val="00E154A9"/>
    <w:rsid w:val="00E1556A"/>
    <w:rsid w:val="00E163DD"/>
    <w:rsid w:val="00E1666F"/>
    <w:rsid w:val="00E17E93"/>
    <w:rsid w:val="00E202FB"/>
    <w:rsid w:val="00E2170E"/>
    <w:rsid w:val="00E21F4D"/>
    <w:rsid w:val="00E24F00"/>
    <w:rsid w:val="00E277BE"/>
    <w:rsid w:val="00E27EEE"/>
    <w:rsid w:val="00E30026"/>
    <w:rsid w:val="00E30DDB"/>
    <w:rsid w:val="00E32265"/>
    <w:rsid w:val="00E3406E"/>
    <w:rsid w:val="00E3430C"/>
    <w:rsid w:val="00E34345"/>
    <w:rsid w:val="00E3503A"/>
    <w:rsid w:val="00E35570"/>
    <w:rsid w:val="00E356E8"/>
    <w:rsid w:val="00E35976"/>
    <w:rsid w:val="00E35CF1"/>
    <w:rsid w:val="00E41269"/>
    <w:rsid w:val="00E4187D"/>
    <w:rsid w:val="00E43870"/>
    <w:rsid w:val="00E442AB"/>
    <w:rsid w:val="00E46BAB"/>
    <w:rsid w:val="00E46C7A"/>
    <w:rsid w:val="00E47424"/>
    <w:rsid w:val="00E47602"/>
    <w:rsid w:val="00E47B35"/>
    <w:rsid w:val="00E5176A"/>
    <w:rsid w:val="00E51A3B"/>
    <w:rsid w:val="00E52243"/>
    <w:rsid w:val="00E5254C"/>
    <w:rsid w:val="00E525A8"/>
    <w:rsid w:val="00E537C1"/>
    <w:rsid w:val="00E55678"/>
    <w:rsid w:val="00E567F9"/>
    <w:rsid w:val="00E572BC"/>
    <w:rsid w:val="00E60221"/>
    <w:rsid w:val="00E605F1"/>
    <w:rsid w:val="00E611EB"/>
    <w:rsid w:val="00E61376"/>
    <w:rsid w:val="00E6193B"/>
    <w:rsid w:val="00E61A31"/>
    <w:rsid w:val="00E61B59"/>
    <w:rsid w:val="00E63277"/>
    <w:rsid w:val="00E6381F"/>
    <w:rsid w:val="00E6495C"/>
    <w:rsid w:val="00E65DB5"/>
    <w:rsid w:val="00E660FD"/>
    <w:rsid w:val="00E702F8"/>
    <w:rsid w:val="00E70338"/>
    <w:rsid w:val="00E70B9F"/>
    <w:rsid w:val="00E73B57"/>
    <w:rsid w:val="00E73D0F"/>
    <w:rsid w:val="00E74843"/>
    <w:rsid w:val="00E750BB"/>
    <w:rsid w:val="00E8168D"/>
    <w:rsid w:val="00E816BC"/>
    <w:rsid w:val="00E83707"/>
    <w:rsid w:val="00E83969"/>
    <w:rsid w:val="00E85C53"/>
    <w:rsid w:val="00E86A20"/>
    <w:rsid w:val="00E94BF8"/>
    <w:rsid w:val="00E950F8"/>
    <w:rsid w:val="00E95CE8"/>
    <w:rsid w:val="00E96AE2"/>
    <w:rsid w:val="00E96ECC"/>
    <w:rsid w:val="00E96EE0"/>
    <w:rsid w:val="00EA03BA"/>
    <w:rsid w:val="00EA0855"/>
    <w:rsid w:val="00EA1649"/>
    <w:rsid w:val="00EA23E9"/>
    <w:rsid w:val="00EA37D5"/>
    <w:rsid w:val="00EA5108"/>
    <w:rsid w:val="00EA73E0"/>
    <w:rsid w:val="00EB0B0F"/>
    <w:rsid w:val="00EB1037"/>
    <w:rsid w:val="00EB15F0"/>
    <w:rsid w:val="00EB3551"/>
    <w:rsid w:val="00EB58EE"/>
    <w:rsid w:val="00EB668D"/>
    <w:rsid w:val="00EB6E0D"/>
    <w:rsid w:val="00EB6F55"/>
    <w:rsid w:val="00EB71D4"/>
    <w:rsid w:val="00EB7429"/>
    <w:rsid w:val="00EB7F81"/>
    <w:rsid w:val="00EC02B7"/>
    <w:rsid w:val="00EC05D7"/>
    <w:rsid w:val="00EC0F1A"/>
    <w:rsid w:val="00EC1701"/>
    <w:rsid w:val="00EC4BEB"/>
    <w:rsid w:val="00EC4DC0"/>
    <w:rsid w:val="00EC64E0"/>
    <w:rsid w:val="00ED0974"/>
    <w:rsid w:val="00ED2320"/>
    <w:rsid w:val="00ED25C7"/>
    <w:rsid w:val="00ED3729"/>
    <w:rsid w:val="00ED5300"/>
    <w:rsid w:val="00ED5A71"/>
    <w:rsid w:val="00ED5F2C"/>
    <w:rsid w:val="00ED6978"/>
    <w:rsid w:val="00ED7569"/>
    <w:rsid w:val="00ED7DD3"/>
    <w:rsid w:val="00ED7E44"/>
    <w:rsid w:val="00EE04DC"/>
    <w:rsid w:val="00EE0BFA"/>
    <w:rsid w:val="00EE3506"/>
    <w:rsid w:val="00EE3910"/>
    <w:rsid w:val="00EE3F8A"/>
    <w:rsid w:val="00EE43FE"/>
    <w:rsid w:val="00EE4CBC"/>
    <w:rsid w:val="00EE5784"/>
    <w:rsid w:val="00EE59D4"/>
    <w:rsid w:val="00EE645D"/>
    <w:rsid w:val="00EF0202"/>
    <w:rsid w:val="00EF0F8D"/>
    <w:rsid w:val="00EF11C0"/>
    <w:rsid w:val="00EF2778"/>
    <w:rsid w:val="00EF3871"/>
    <w:rsid w:val="00EF3F72"/>
    <w:rsid w:val="00EF4B5D"/>
    <w:rsid w:val="00EF551B"/>
    <w:rsid w:val="00EF639B"/>
    <w:rsid w:val="00EF7177"/>
    <w:rsid w:val="00F01A23"/>
    <w:rsid w:val="00F027C9"/>
    <w:rsid w:val="00F0435A"/>
    <w:rsid w:val="00F04539"/>
    <w:rsid w:val="00F0497E"/>
    <w:rsid w:val="00F0541B"/>
    <w:rsid w:val="00F06DBF"/>
    <w:rsid w:val="00F10BC1"/>
    <w:rsid w:val="00F11B5C"/>
    <w:rsid w:val="00F126E5"/>
    <w:rsid w:val="00F12C84"/>
    <w:rsid w:val="00F161EF"/>
    <w:rsid w:val="00F163D2"/>
    <w:rsid w:val="00F16959"/>
    <w:rsid w:val="00F16C67"/>
    <w:rsid w:val="00F210FB"/>
    <w:rsid w:val="00F21561"/>
    <w:rsid w:val="00F2180B"/>
    <w:rsid w:val="00F2219C"/>
    <w:rsid w:val="00F30045"/>
    <w:rsid w:val="00F30A1A"/>
    <w:rsid w:val="00F30C0A"/>
    <w:rsid w:val="00F33341"/>
    <w:rsid w:val="00F339C0"/>
    <w:rsid w:val="00F33D31"/>
    <w:rsid w:val="00F356E9"/>
    <w:rsid w:val="00F359C7"/>
    <w:rsid w:val="00F3687A"/>
    <w:rsid w:val="00F369E4"/>
    <w:rsid w:val="00F36FF4"/>
    <w:rsid w:val="00F40C4A"/>
    <w:rsid w:val="00F40F41"/>
    <w:rsid w:val="00F42008"/>
    <w:rsid w:val="00F42484"/>
    <w:rsid w:val="00F447BC"/>
    <w:rsid w:val="00F4520A"/>
    <w:rsid w:val="00F45A2E"/>
    <w:rsid w:val="00F45FF1"/>
    <w:rsid w:val="00F460A7"/>
    <w:rsid w:val="00F47137"/>
    <w:rsid w:val="00F537A3"/>
    <w:rsid w:val="00F53CC2"/>
    <w:rsid w:val="00F551E5"/>
    <w:rsid w:val="00F559DB"/>
    <w:rsid w:val="00F5703F"/>
    <w:rsid w:val="00F57406"/>
    <w:rsid w:val="00F60239"/>
    <w:rsid w:val="00F6164D"/>
    <w:rsid w:val="00F61B46"/>
    <w:rsid w:val="00F61F2E"/>
    <w:rsid w:val="00F63AEE"/>
    <w:rsid w:val="00F648BC"/>
    <w:rsid w:val="00F64985"/>
    <w:rsid w:val="00F64FD1"/>
    <w:rsid w:val="00F65834"/>
    <w:rsid w:val="00F66D12"/>
    <w:rsid w:val="00F67DB0"/>
    <w:rsid w:val="00F70139"/>
    <w:rsid w:val="00F70509"/>
    <w:rsid w:val="00F707AF"/>
    <w:rsid w:val="00F72F9A"/>
    <w:rsid w:val="00F73F7C"/>
    <w:rsid w:val="00F73FB7"/>
    <w:rsid w:val="00F74769"/>
    <w:rsid w:val="00F76347"/>
    <w:rsid w:val="00F76830"/>
    <w:rsid w:val="00F80E94"/>
    <w:rsid w:val="00F80F3D"/>
    <w:rsid w:val="00F82A75"/>
    <w:rsid w:val="00F836D6"/>
    <w:rsid w:val="00F8384D"/>
    <w:rsid w:val="00F848A7"/>
    <w:rsid w:val="00F85D0A"/>
    <w:rsid w:val="00F8687A"/>
    <w:rsid w:val="00F86F94"/>
    <w:rsid w:val="00F87329"/>
    <w:rsid w:val="00F87510"/>
    <w:rsid w:val="00F91E26"/>
    <w:rsid w:val="00F92516"/>
    <w:rsid w:val="00F939EA"/>
    <w:rsid w:val="00F950CA"/>
    <w:rsid w:val="00F95766"/>
    <w:rsid w:val="00F960CC"/>
    <w:rsid w:val="00FA3085"/>
    <w:rsid w:val="00FA4535"/>
    <w:rsid w:val="00FA542F"/>
    <w:rsid w:val="00FA5DA2"/>
    <w:rsid w:val="00FA6F70"/>
    <w:rsid w:val="00FA7DD5"/>
    <w:rsid w:val="00FB02F0"/>
    <w:rsid w:val="00FB060F"/>
    <w:rsid w:val="00FB0BCB"/>
    <w:rsid w:val="00FB1EFA"/>
    <w:rsid w:val="00FB1F1B"/>
    <w:rsid w:val="00FB4B72"/>
    <w:rsid w:val="00FB5523"/>
    <w:rsid w:val="00FB58FB"/>
    <w:rsid w:val="00FB780D"/>
    <w:rsid w:val="00FB7D62"/>
    <w:rsid w:val="00FC36B2"/>
    <w:rsid w:val="00FC37EA"/>
    <w:rsid w:val="00FC614B"/>
    <w:rsid w:val="00FC6EEC"/>
    <w:rsid w:val="00FD24E7"/>
    <w:rsid w:val="00FD3078"/>
    <w:rsid w:val="00FD5D5C"/>
    <w:rsid w:val="00FD6033"/>
    <w:rsid w:val="00FE03DC"/>
    <w:rsid w:val="00FE056C"/>
    <w:rsid w:val="00FE3BDE"/>
    <w:rsid w:val="00FE53C4"/>
    <w:rsid w:val="00FE5CB7"/>
    <w:rsid w:val="00FF1B56"/>
    <w:rsid w:val="00FF1BA1"/>
    <w:rsid w:val="00FF32A4"/>
    <w:rsid w:val="00FF3B31"/>
    <w:rsid w:val="00FF519C"/>
    <w:rsid w:val="00FF5849"/>
    <w:rsid w:val="00FF593A"/>
    <w:rsid w:val="00FF6202"/>
    <w:rsid w:val="00FF6557"/>
    <w:rsid w:val="00FF65F8"/>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56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52"/>
    <w:pPr>
      <w:jc w:val="both"/>
    </w:pPr>
    <w:rPr>
      <w:rFonts w:asciiTheme="minorHAnsi" w:hAnsiTheme="minorHAnsi"/>
    </w:rPr>
  </w:style>
  <w:style w:type="paragraph" w:styleId="Heading1">
    <w:name w:val="heading 1"/>
    <w:basedOn w:val="Heading2"/>
    <w:next w:val="Normal"/>
    <w:link w:val="Heading1Char"/>
    <w:qFormat/>
    <w:rsid w:val="004C215E"/>
    <w:pPr>
      <w:spacing w:before="0" w:after="120"/>
      <w:jc w:val="center"/>
      <w:outlineLvl w:val="0"/>
    </w:pPr>
  </w:style>
  <w:style w:type="paragraph" w:styleId="Heading2">
    <w:name w:val="heading 2"/>
    <w:basedOn w:val="Normal"/>
    <w:next w:val="Normal"/>
    <w:link w:val="Heading2Char"/>
    <w:unhideWhenUsed/>
    <w:qFormat/>
    <w:rsid w:val="00C56846"/>
    <w:pPr>
      <w:keepNext/>
      <w:keepLines/>
      <w:spacing w:before="480" w:after="240"/>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nhideWhenUsed/>
    <w:qFormat/>
    <w:rsid w:val="003E2066"/>
    <w:pPr>
      <w:keepNext/>
      <w:keepLines/>
      <w:spacing w:before="300" w:after="0"/>
      <w:outlineLvl w:val="2"/>
    </w:pPr>
    <w:rPr>
      <w:rFonts w:eastAsiaTheme="majorEastAsia" w:cstheme="majorBidi"/>
      <w:b/>
      <w:bCs/>
      <w:i/>
      <w:sz w:val="30"/>
    </w:rPr>
  </w:style>
  <w:style w:type="paragraph" w:styleId="Heading4">
    <w:name w:val="heading 4"/>
    <w:basedOn w:val="Normal"/>
    <w:next w:val="Normal"/>
    <w:link w:val="Heading4Char"/>
    <w:unhideWhenUsed/>
    <w:qFormat/>
    <w:rsid w:val="001960CE"/>
    <w:pPr>
      <w:keepNext/>
      <w:keepLines/>
      <w:spacing w:before="240" w:after="120"/>
      <w:jc w:val="left"/>
      <w:outlineLvl w:val="3"/>
    </w:pPr>
    <w:rPr>
      <w:rFonts w:eastAsiaTheme="majorEastAsia" w:cstheme="majorBidi"/>
      <w:b/>
      <w:bCs/>
      <w:i/>
      <w:iCs/>
    </w:rPr>
  </w:style>
  <w:style w:type="paragraph" w:styleId="Heading5">
    <w:name w:val="heading 5"/>
    <w:basedOn w:val="Normal"/>
    <w:next w:val="Normal"/>
    <w:link w:val="Heading5Char"/>
    <w:unhideWhenUsed/>
    <w:qFormat/>
    <w:rsid w:val="00532B79"/>
    <w:pPr>
      <w:keepNext/>
      <w:keepLines/>
      <w:numPr>
        <w:ilvl w:val="4"/>
        <w:numId w:val="4"/>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nhideWhenUsed/>
    <w:qFormat/>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nhideWhenUsed/>
    <w:qFormat/>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nhideWhenUsed/>
    <w:qFormat/>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pp Heading 3"/>
    <w:basedOn w:val="Normal"/>
    <w:next w:val="Normal"/>
    <w:link w:val="Heading9Char"/>
    <w:unhideWhenUsed/>
    <w:qFormat/>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15E"/>
    <w:rPr>
      <w:rFonts w:asciiTheme="majorHAnsi" w:eastAsiaTheme="majorEastAsia" w:hAnsiTheme="majorHAnsi" w:cstheme="majorBidi"/>
      <w:b/>
      <w:bCs/>
      <w:color w:val="4F81BD" w:themeColor="accent1"/>
      <w:sz w:val="32"/>
      <w:szCs w:val="26"/>
    </w:rPr>
  </w:style>
  <w:style w:type="character" w:customStyle="1" w:styleId="Heading2Char">
    <w:name w:val="Heading 2 Char"/>
    <w:basedOn w:val="DefaultParagraphFont"/>
    <w:link w:val="Heading2"/>
    <w:rsid w:val="00C56846"/>
    <w:rPr>
      <w:rFonts w:asciiTheme="minorHAnsi" w:eastAsiaTheme="majorEastAsia" w:hAnsiTheme="minorHAnsi" w:cstheme="majorBidi"/>
      <w:b/>
      <w:bCs/>
      <w:color w:val="4F81BD" w:themeColor="accent1"/>
      <w:sz w:val="32"/>
      <w:szCs w:val="26"/>
    </w:rPr>
  </w:style>
  <w:style w:type="character" w:customStyle="1" w:styleId="Heading3Char">
    <w:name w:val="Heading 3 Char"/>
    <w:basedOn w:val="DefaultParagraphFont"/>
    <w:link w:val="Heading3"/>
    <w:rsid w:val="003E2066"/>
    <w:rPr>
      <w:rFonts w:asciiTheme="minorHAnsi" w:eastAsiaTheme="majorEastAsia" w:hAnsiTheme="minorHAnsi" w:cstheme="majorBidi"/>
      <w:b/>
      <w:bCs/>
      <w:i/>
      <w:sz w:val="30"/>
    </w:rPr>
  </w:style>
  <w:style w:type="paragraph" w:styleId="ListParagraph">
    <w:name w:val="List Paragraph"/>
    <w:aliases w:val="Footnote,BulletPoints,List Paragraph1,Recommendation,Paragraph"/>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nhideWhenUsed/>
    <w:rsid w:val="00856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qFormat/>
    <w:rsid w:val="00FF593A"/>
    <w:rPr>
      <w:sz w:val="16"/>
      <w:szCs w:val="16"/>
    </w:rPr>
  </w:style>
  <w:style w:type="paragraph" w:styleId="CommentText">
    <w:name w:val="annotation text"/>
    <w:basedOn w:val="Normal"/>
    <w:link w:val="CommentTextChar"/>
    <w:unhideWhenUsed/>
    <w:rsid w:val="00FF593A"/>
    <w:pPr>
      <w:spacing w:line="240" w:lineRule="auto"/>
    </w:pPr>
    <w:rPr>
      <w:sz w:val="20"/>
      <w:szCs w:val="20"/>
    </w:rPr>
  </w:style>
  <w:style w:type="character" w:customStyle="1" w:styleId="CommentTextChar">
    <w:name w:val="Comment Text Char"/>
    <w:basedOn w:val="DefaultParagraphFont"/>
    <w:link w:val="CommentText"/>
    <w:rsid w:val="00FF593A"/>
    <w:rPr>
      <w:sz w:val="20"/>
      <w:szCs w:val="20"/>
    </w:rPr>
  </w:style>
  <w:style w:type="paragraph" w:styleId="CommentSubject">
    <w:name w:val="annotation subject"/>
    <w:basedOn w:val="CommentText"/>
    <w:next w:val="CommentText"/>
    <w:link w:val="CommentSubjectChar"/>
    <w:unhideWhenUsed/>
    <w:rsid w:val="00FF593A"/>
    <w:rPr>
      <w:b/>
      <w:bCs/>
    </w:rPr>
  </w:style>
  <w:style w:type="character" w:customStyle="1" w:styleId="CommentSubjectChar">
    <w:name w:val="Comment Subject Char"/>
    <w:basedOn w:val="CommentTextChar"/>
    <w:link w:val="CommentSubject"/>
    <w:rsid w:val="00FF593A"/>
    <w:rPr>
      <w:b/>
      <w:bCs/>
      <w:sz w:val="20"/>
      <w:szCs w:val="20"/>
    </w:rPr>
  </w:style>
  <w:style w:type="paragraph" w:styleId="BodyTextIndent3">
    <w:name w:val="Body Text Indent 3"/>
    <w:basedOn w:val="Normal"/>
    <w:link w:val="BodyTextIndent3Char"/>
    <w:rsid w:val="00981C16"/>
    <w:pPr>
      <w:spacing w:after="120" w:line="240" w:lineRule="auto"/>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basedOn w:val="DefaultParagraphFont"/>
    <w:link w:val="Heading4"/>
    <w:rsid w:val="001960CE"/>
    <w:rPr>
      <w:rFonts w:asciiTheme="minorHAnsi" w:eastAsiaTheme="majorEastAsia" w:hAnsiTheme="minorHAnsi" w:cstheme="majorBidi"/>
      <w:b/>
      <w:bCs/>
      <w:i/>
      <w:iCs/>
    </w:rPr>
  </w:style>
  <w:style w:type="character" w:customStyle="1" w:styleId="Heading5Char">
    <w:name w:val="Heading 5 Char"/>
    <w:basedOn w:val="DefaultParagraphFont"/>
    <w:link w:val="Heading5"/>
    <w:rsid w:val="00532B79"/>
    <w:rPr>
      <w:rFonts w:asciiTheme="minorHAnsi" w:eastAsiaTheme="majorEastAsia" w:hAnsiTheme="minorHAnsi" w:cstheme="majorBidi"/>
      <w:color w:val="243F60" w:themeColor="accent1" w:themeShade="7F"/>
    </w:rPr>
  </w:style>
  <w:style w:type="character" w:customStyle="1" w:styleId="Heading6Char">
    <w:name w:val="Heading 6 Char"/>
    <w:basedOn w:val="DefaultParagraphFont"/>
    <w:link w:val="Heading6"/>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pp Heading 3 Char"/>
    <w:basedOn w:val="DefaultParagraphFont"/>
    <w:link w:val="Heading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qFormat/>
    <w:rsid w:val="00C34CDD"/>
    <w:pPr>
      <w:spacing w:after="100"/>
    </w:pPr>
  </w:style>
  <w:style w:type="paragraph" w:styleId="TOC2">
    <w:name w:val="toc 2"/>
    <w:basedOn w:val="Normal"/>
    <w:next w:val="Normal"/>
    <w:autoRedefine/>
    <w:uiPriority w:val="39"/>
    <w:unhideWhenUsed/>
    <w:qFormat/>
    <w:rsid w:val="00C34CDD"/>
    <w:pPr>
      <w:spacing w:after="100"/>
      <w:ind w:left="240"/>
    </w:pPr>
  </w:style>
  <w:style w:type="paragraph" w:styleId="TOC3">
    <w:name w:val="toc 3"/>
    <w:basedOn w:val="Normal"/>
    <w:next w:val="Normal"/>
    <w:autoRedefine/>
    <w:uiPriority w:val="39"/>
    <w:unhideWhenUsed/>
    <w:qFormat/>
    <w:rsid w:val="00C34CDD"/>
    <w:pPr>
      <w:spacing w:after="100"/>
      <w:ind w:left="480"/>
    </w:pPr>
  </w:style>
  <w:style w:type="paragraph" w:styleId="NoSpacing">
    <w:name w:val="No Spacing"/>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qFormat/>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basedOn w:val="TableNormal"/>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line="240" w:lineRule="auto"/>
    </w:pPr>
    <w:rPr>
      <w:rFonts w:ascii="MuseeBold" w:eastAsia="Times New Roman" w:hAnsi="MuseeBold" w:cs="Times New Roman"/>
      <w:szCs w:val="24"/>
    </w:rPr>
  </w:style>
  <w:style w:type="paragraph" w:customStyle="1" w:styleId="Heading5new">
    <w:name w:val="Heading 5 new"/>
    <w:basedOn w:val="NormalWeb"/>
    <w:link w:val="Heading5newChar"/>
    <w:qFormat/>
    <w:rsid w:val="00DA60DB"/>
    <w:pPr>
      <w:spacing w:before="200" w:beforeAutospacing="0" w:after="0" w:afterAutospacing="0" w:line="23" w:lineRule="atLeast"/>
    </w:pPr>
    <w:rPr>
      <w:i/>
      <w:color w:val="000000"/>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DA60DB"/>
    <w:rPr>
      <w:rFonts w:ascii="Cambria" w:eastAsia="Times New Roman" w:hAnsi="Cambria" w:cs="Times New Roman"/>
      <w:i/>
      <w:color w:val="000000"/>
      <w:szCs w:val="24"/>
    </w:rPr>
  </w:style>
  <w:style w:type="paragraph" w:customStyle="1" w:styleId="Heading4new">
    <w:name w:val="Heading 4 new"/>
    <w:basedOn w:val="Heading5new"/>
    <w:link w:val="Heading4newChar"/>
    <w:qFormat/>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nhideWhenUsed/>
    <w:rsid w:val="00082A2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082A22"/>
    <w:rPr>
      <w:rFonts w:ascii="Calibri" w:eastAsia="Times New Roman" w:hAnsi="Calibri" w:cs="Times New Roman"/>
      <w:sz w:val="20"/>
      <w:szCs w:val="20"/>
      <w:lang w:eastAsia="en-AU"/>
    </w:rPr>
  </w:style>
  <w:style w:type="character" w:styleId="FootnoteReference">
    <w:name w:val="footnote reference"/>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qFormat/>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rsid w:val="004C215E"/>
    <w:rPr>
      <w:rFonts w:ascii="Calibri" w:eastAsia="Times New Roman" w:hAnsi="Calibri" w:cs="Times New Roman"/>
      <w:i/>
      <w:iCs/>
      <w:color w:val="000000"/>
      <w:sz w:val="22"/>
    </w:rPr>
  </w:style>
  <w:style w:type="paragraph" w:styleId="EndnoteText">
    <w:name w:val="endnote text"/>
    <w:basedOn w:val="Normal"/>
    <w:link w:val="EndnoteTextChar"/>
    <w:unhideWhenUsed/>
    <w:rsid w:val="00082A22"/>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082A22"/>
    <w:rPr>
      <w:rFonts w:ascii="Calibri" w:eastAsia="Times New Roman" w:hAnsi="Calibri" w:cs="Times New Roman"/>
      <w:sz w:val="20"/>
      <w:szCs w:val="20"/>
      <w:lang w:eastAsia="en-AU"/>
    </w:rPr>
  </w:style>
  <w:style w:type="character" w:styleId="EndnoteReference">
    <w:name w:val="endnote reference"/>
    <w:unhideWhenUsed/>
    <w:rsid w:val="00082A22"/>
    <w:rPr>
      <w:vertAlign w:val="superscript"/>
    </w:rPr>
  </w:style>
  <w:style w:type="paragraph" w:customStyle="1" w:styleId="para">
    <w:name w:val="para"/>
    <w:basedOn w:val="Normal"/>
    <w:rsid w:val="00601F48"/>
    <w:pPr>
      <w:spacing w:before="100" w:beforeAutospacing="1" w:after="100" w:afterAutospacing="1" w:line="240" w:lineRule="auto"/>
    </w:pPr>
    <w:rPr>
      <w:rFonts w:eastAsia="Times New Roman" w:cs="Times New Roman"/>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rsid w:val="00066EA1"/>
    <w:pPr>
      <w:spacing w:before="60" w:after="40" w:line="240" w:lineRule="auto"/>
    </w:pPr>
    <w:rPr>
      <w:rFonts w:eastAsia="Times New Roman" w:cs="Times New Roman"/>
      <w:b/>
      <w:bCs/>
      <w:szCs w:val="18"/>
    </w:rPr>
  </w:style>
  <w:style w:type="paragraph" w:customStyle="1" w:styleId="ListBullet1">
    <w:name w:val="List Bullet1"/>
    <w:basedOn w:val="Normal"/>
    <w:uiPriority w:val="5"/>
    <w:qFormat/>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qFormat/>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qFormat/>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qFormat/>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qFormat/>
    <w:rsid w:val="004C215E"/>
    <w:rPr>
      <w:i/>
      <w:iCs/>
    </w:rPr>
  </w:style>
  <w:style w:type="paragraph" w:customStyle="1" w:styleId="Heading51">
    <w:name w:val="Heading 51"/>
    <w:basedOn w:val="Normal"/>
    <w:link w:val="heading5Char0"/>
    <w:qFormat/>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BodyText1">
    <w:name w:val="Body Text1"/>
    <w:basedOn w:val="Normal"/>
    <w:link w:val="BodytextChar"/>
    <w:uiPriority w:val="1"/>
    <w:qFormat/>
    <w:rsid w:val="004C215E"/>
    <w:pPr>
      <w:shd w:val="clear" w:color="auto" w:fill="FFFFFF" w:themeFill="background1"/>
      <w:spacing w:before="120" w:after="120" w:line="260" w:lineRule="exact"/>
      <w:jc w:val="left"/>
    </w:pPr>
    <w:rPr>
      <w:rFonts w:ascii="Arial" w:eastAsia="Times New Roman" w:hAnsi="Arial" w:cs="Arial"/>
      <w:sz w:val="20"/>
      <w:szCs w:val="20"/>
    </w:rPr>
  </w:style>
  <w:style w:type="character" w:customStyle="1" w:styleId="BodytextChar">
    <w:name w:val="Body text Char"/>
    <w:basedOn w:val="DefaultParagraphFont"/>
    <w:link w:val="BodyText1"/>
    <w:uiPriority w:val="1"/>
    <w:rsid w:val="004C215E"/>
    <w:rPr>
      <w:rFonts w:ascii="Arial" w:eastAsia="Times New Roman" w:hAnsi="Arial" w:cs="Arial"/>
      <w:sz w:val="20"/>
      <w:szCs w:val="20"/>
      <w:shd w:val="clear" w:color="auto" w:fill="FFFFFF" w:themeFill="background1"/>
    </w:rPr>
  </w:style>
  <w:style w:type="paragraph" w:customStyle="1" w:styleId="Tablefootnote">
    <w:name w:val="Table footnote"/>
    <w:basedOn w:val="Normal"/>
    <w:next w:val="BodyText1"/>
    <w:link w:val="TablefootnoteCharChar"/>
    <w:uiPriority w:val="57"/>
    <w:rsid w:val="00ED25C7"/>
    <w:pPr>
      <w:spacing w:before="60" w:after="60" w:line="240" w:lineRule="auto"/>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BodyText1"/>
    <w:link w:val="TabletitleChar"/>
    <w:qFormat/>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line="240" w:lineRule="auto"/>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line="240" w:lineRule="auto"/>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Paragraph Char"/>
    <w:basedOn w:val="DefaultParagraphFont"/>
    <w:link w:val="ListParagraph"/>
    <w:uiPriority w:val="34"/>
    <w:locked/>
    <w:rsid w:val="004C215E"/>
    <w:rPr>
      <w:rFonts w:ascii="Cambria" w:hAnsi="Cambria"/>
    </w:rPr>
  </w:style>
  <w:style w:type="paragraph" w:customStyle="1" w:styleId="ExSTableHeader">
    <w:name w:val="ExS Table Header"/>
    <w:basedOn w:val="BodyText"/>
    <w:link w:val="ExSTableHeaderChar"/>
    <w:qFormat/>
    <w:rsid w:val="00DE5CA2"/>
    <w:pPr>
      <w:spacing w:before="240" w:after="0"/>
    </w:pPr>
    <w:rPr>
      <w:rFonts w:eastAsia="Calibri" w:cs="Arial"/>
      <w:b/>
      <w:sz w:val="22"/>
      <w:szCs w:val="24"/>
      <w:lang w:eastAsia="en-US"/>
    </w:rPr>
  </w:style>
  <w:style w:type="character" w:customStyle="1" w:styleId="ExSTableHeaderChar">
    <w:name w:val="ExS Table Header Char"/>
    <w:basedOn w:val="BodyTextChar0"/>
    <w:link w:val="ExSTableHeader"/>
    <w:rsid w:val="00DE5CA2"/>
    <w:rPr>
      <w:rFonts w:ascii="Cambria" w:eastAsia="Calibri" w:hAnsi="Cambria" w:cs="Arial"/>
      <w:b/>
      <w:sz w:val="22"/>
      <w:szCs w:val="24"/>
      <w:lang w:eastAsia="en-US"/>
    </w:rPr>
  </w:style>
  <w:style w:type="paragraph" w:styleId="BodyText">
    <w:name w:val="Body Text"/>
    <w:basedOn w:val="Normal"/>
    <w:link w:val="BodyTextChar0"/>
    <w:unhideWhenUsed/>
    <w:rsid w:val="00DE5CA2"/>
    <w:pPr>
      <w:spacing w:after="120"/>
    </w:pPr>
  </w:style>
  <w:style w:type="character" w:customStyle="1" w:styleId="BodyTextChar0">
    <w:name w:val="Body Text Char"/>
    <w:basedOn w:val="DefaultParagraphFont"/>
    <w:link w:val="BodyText"/>
    <w:rsid w:val="00DE5CA2"/>
    <w:rPr>
      <w:rFonts w:ascii="Cambria" w:hAnsi="Cambria"/>
    </w:rPr>
  </w:style>
  <w:style w:type="paragraph" w:customStyle="1" w:styleId="Bullettext">
    <w:name w:val="Bullet text"/>
    <w:link w:val="BullettextChar"/>
    <w:qFormat/>
    <w:rsid w:val="008C0BAD"/>
    <w:pPr>
      <w:numPr>
        <w:numId w:val="7"/>
      </w:numPr>
      <w:spacing w:before="120" w:after="60" w:line="240" w:lineRule="auto"/>
      <w:contextualSpacing/>
    </w:pPr>
    <w:rPr>
      <w:rFonts w:asciiTheme="minorHAnsi" w:eastAsia="Calibri" w:hAnsiTheme="minorHAnsi" w:cs="Times New Roman"/>
      <w:szCs w:val="24"/>
      <w:lang w:eastAsia="en-US"/>
    </w:rPr>
  </w:style>
  <w:style w:type="character" w:customStyle="1" w:styleId="BullettextChar">
    <w:name w:val="Bullet text Char"/>
    <w:link w:val="Bullettext"/>
    <w:rsid w:val="008C0BAD"/>
    <w:rPr>
      <w:rFonts w:asciiTheme="minorHAnsi" w:eastAsia="Calibri" w:hAnsiTheme="minorHAnsi" w:cs="Times New Roman"/>
      <w:szCs w:val="24"/>
      <w:lang w:eastAsia="en-US"/>
    </w:rPr>
  </w:style>
  <w:style w:type="paragraph" w:customStyle="1" w:styleId="Tabletext">
    <w:name w:val="Table text"/>
    <w:basedOn w:val="Normal"/>
    <w:link w:val="TabletextChar"/>
    <w:qFormat/>
    <w:rsid w:val="00505354"/>
    <w:pPr>
      <w:autoSpaceDE w:val="0"/>
      <w:autoSpaceDN w:val="0"/>
      <w:adjustRightInd w:val="0"/>
      <w:spacing w:before="60" w:after="60" w:line="240" w:lineRule="auto"/>
      <w:jc w:val="left"/>
    </w:pPr>
    <w:rPr>
      <w:rFonts w:ascii="Arial" w:eastAsiaTheme="minorEastAsia" w:hAnsi="Arial" w:cs="Calibri"/>
      <w:sz w:val="20"/>
      <w:szCs w:val="20"/>
    </w:rPr>
  </w:style>
  <w:style w:type="character" w:customStyle="1" w:styleId="TabletextChar">
    <w:name w:val="Table text Char"/>
    <w:basedOn w:val="DefaultParagraphFont"/>
    <w:link w:val="Tabletext"/>
    <w:rsid w:val="00505354"/>
    <w:rPr>
      <w:rFonts w:ascii="Arial" w:eastAsiaTheme="minorEastAsia" w:hAnsi="Arial" w:cs="Calibri"/>
      <w:sz w:val="20"/>
      <w:szCs w:val="20"/>
    </w:rPr>
  </w:style>
  <w:style w:type="paragraph" w:customStyle="1" w:styleId="05Tabletext">
    <w:name w:val="05 Table text"/>
    <w:next w:val="06Tabletextspacebefore"/>
    <w:qFormat/>
    <w:rsid w:val="00AD689E"/>
    <w:pPr>
      <w:spacing w:before="20" w:after="0" w:line="240" w:lineRule="auto"/>
      <w:ind w:left="57" w:right="57"/>
    </w:pPr>
    <w:rPr>
      <w:rFonts w:ascii="Arial Narrow" w:eastAsia="Calibri" w:hAnsi="Arial Narrow" w:cs="Times New Roman"/>
      <w:sz w:val="18"/>
      <w:szCs w:val="24"/>
      <w:lang w:eastAsia="en-US"/>
    </w:rPr>
  </w:style>
  <w:style w:type="paragraph" w:customStyle="1" w:styleId="06Tabletextspacebefore">
    <w:name w:val="06 Table text space before"/>
    <w:qFormat/>
    <w:rsid w:val="00AD689E"/>
    <w:pPr>
      <w:spacing w:before="80" w:after="0" w:line="240" w:lineRule="auto"/>
      <w:ind w:left="57" w:right="57"/>
    </w:pPr>
    <w:rPr>
      <w:rFonts w:ascii="Arial Narrow" w:eastAsia="Calibri" w:hAnsi="Arial Narrow" w:cs="Times New Roman"/>
      <w:sz w:val="18"/>
      <w:szCs w:val="24"/>
      <w:lang w:eastAsia="en-US"/>
    </w:rPr>
  </w:style>
  <w:style w:type="paragraph" w:customStyle="1" w:styleId="01TableHEADINGleftaligned">
    <w:name w:val="01 Table HEADING left aligned"/>
    <w:basedOn w:val="BodyText"/>
    <w:qFormat/>
    <w:rsid w:val="00A94DF2"/>
    <w:pPr>
      <w:keepNext/>
      <w:spacing w:before="60" w:after="40" w:line="240" w:lineRule="auto"/>
      <w:ind w:left="57" w:right="57"/>
      <w:jc w:val="left"/>
    </w:pPr>
    <w:rPr>
      <w:rFonts w:eastAsia="Calibri" w:cs="Times New Roman"/>
      <w:b/>
      <w:szCs w:val="24"/>
      <w:lang w:eastAsia="en-US"/>
    </w:rPr>
  </w:style>
  <w:style w:type="paragraph" w:customStyle="1" w:styleId="ExSFigureHeader">
    <w:name w:val="ExS Figure Header"/>
    <w:basedOn w:val="BodyText"/>
    <w:link w:val="ExSFigureHeaderChar"/>
    <w:qFormat/>
    <w:rsid w:val="00A67D07"/>
    <w:pPr>
      <w:spacing w:before="240" w:after="0"/>
    </w:pPr>
    <w:rPr>
      <w:rFonts w:eastAsia="Calibri" w:cs="Times New Roman"/>
      <w:b/>
      <w:szCs w:val="24"/>
      <w:lang w:eastAsia="en-US"/>
    </w:rPr>
  </w:style>
  <w:style w:type="character" w:customStyle="1" w:styleId="ExSFigureHeaderChar">
    <w:name w:val="ExS Figure Header Char"/>
    <w:basedOn w:val="BodyTextChar0"/>
    <w:link w:val="ExSFigureHeader"/>
    <w:rsid w:val="00A67D07"/>
    <w:rPr>
      <w:rFonts w:ascii="Cambria" w:eastAsia="Calibri" w:hAnsi="Cambria" w:cs="Times New Roman"/>
      <w:b/>
      <w:szCs w:val="24"/>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066EA1"/>
    <w:rPr>
      <w:rFonts w:asciiTheme="minorHAnsi" w:eastAsia="Times New Roman" w:hAnsiTheme="minorHAnsi" w:cs="Times New Roman"/>
      <w:b/>
      <w:bCs/>
      <w:szCs w:val="18"/>
    </w:rPr>
  </w:style>
  <w:style w:type="paragraph" w:customStyle="1" w:styleId="ToR">
    <w:name w:val="ToR"/>
    <w:next w:val="BodyText"/>
    <w:qFormat/>
    <w:rsid w:val="00321DBE"/>
    <w:pPr>
      <w:tabs>
        <w:tab w:val="left" w:pos="794"/>
      </w:tabs>
      <w:spacing w:before="240" w:after="0"/>
      <w:jc w:val="both"/>
    </w:pPr>
    <w:rPr>
      <w:rFonts w:ascii="Cambria" w:eastAsia="Calibri" w:hAnsi="Cambria" w:cs="Times New Roman"/>
      <w:i/>
      <w:szCs w:val="24"/>
      <w:lang w:eastAsia="en-US"/>
    </w:rPr>
  </w:style>
  <w:style w:type="paragraph" w:customStyle="1" w:styleId="ToRsinboxwithhangingindent">
    <w:name w:val="ToRs in box with hanging indent"/>
    <w:qFormat/>
    <w:rsid w:val="00321DBE"/>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after="0"/>
      <w:ind w:left="1304" w:hanging="1304"/>
      <w:jc w:val="both"/>
    </w:pPr>
    <w:rPr>
      <w:rFonts w:ascii="Cambria" w:eastAsia="Calibri" w:hAnsi="Cambria" w:cs="Times New Roman"/>
      <w:szCs w:val="24"/>
      <w:lang w:eastAsia="en-US"/>
    </w:rPr>
  </w:style>
  <w:style w:type="paragraph" w:customStyle="1" w:styleId="ToRinbox">
    <w:name w:val="ToR in box"/>
    <w:basedOn w:val="ToRsinboxwithhangingindent"/>
    <w:qFormat/>
    <w:rsid w:val="00321DBE"/>
    <w:pPr>
      <w:pBdr>
        <w:top w:val="single" w:sz="4" w:space="6" w:color="auto"/>
        <w:bottom w:val="single" w:sz="4" w:space="6" w:color="auto"/>
      </w:pBdr>
      <w:tabs>
        <w:tab w:val="clear" w:pos="1304"/>
      </w:tabs>
      <w:ind w:left="0" w:firstLine="0"/>
    </w:pPr>
  </w:style>
  <w:style w:type="paragraph" w:customStyle="1" w:styleId="Bullettextsecondlevel">
    <w:name w:val="Bullet text second level"/>
    <w:qFormat/>
    <w:rsid w:val="00EA0855"/>
    <w:pPr>
      <w:numPr>
        <w:numId w:val="10"/>
      </w:numPr>
      <w:spacing w:after="0"/>
      <w:ind w:left="851" w:hanging="284"/>
      <w:jc w:val="both"/>
    </w:pPr>
    <w:rPr>
      <w:rFonts w:asciiTheme="minorHAnsi" w:eastAsia="Calibri" w:hAnsiTheme="minorHAnsi" w:cs="Times New Roman"/>
      <w:szCs w:val="24"/>
      <w:lang w:eastAsia="en-US"/>
    </w:rPr>
  </w:style>
  <w:style w:type="paragraph" w:customStyle="1" w:styleId="BodyTextnospacebefore">
    <w:name w:val="Body Text – no space before"/>
    <w:next w:val="BodyText"/>
    <w:qFormat/>
    <w:rsid w:val="000D735B"/>
    <w:pPr>
      <w:jc w:val="both"/>
    </w:pPr>
    <w:rPr>
      <w:rFonts w:asciiTheme="minorHAnsi" w:eastAsia="Calibri" w:hAnsiTheme="minorHAnsi" w:cs="Times New Roman"/>
      <w:szCs w:val="24"/>
      <w:lang w:eastAsia="en-US"/>
    </w:rPr>
  </w:style>
  <w:style w:type="paragraph" w:styleId="TableofAuthorities">
    <w:name w:val="table of authorities"/>
    <w:basedOn w:val="Normal"/>
    <w:next w:val="Normal"/>
    <w:uiPriority w:val="99"/>
    <w:semiHidden/>
    <w:unhideWhenUsed/>
    <w:rsid w:val="00321DBE"/>
    <w:pPr>
      <w:spacing w:before="240" w:after="0"/>
      <w:ind w:left="240" w:hanging="240"/>
    </w:pPr>
    <w:rPr>
      <w:rFonts w:eastAsia="Calibri" w:cs="Times New Roman"/>
      <w:szCs w:val="24"/>
      <w:lang w:eastAsia="en-US"/>
    </w:rPr>
  </w:style>
  <w:style w:type="paragraph" w:customStyle="1" w:styleId="10TableorFigurefootnote">
    <w:name w:val="10 Table or Figure footnote"/>
    <w:qFormat/>
    <w:rsid w:val="00321DBE"/>
    <w:pPr>
      <w:keepNext/>
      <w:spacing w:after="0" w:line="240" w:lineRule="auto"/>
    </w:pPr>
    <w:rPr>
      <w:rFonts w:ascii="Arial Narrow" w:eastAsia="Calibri" w:hAnsi="Arial Narrow" w:cs="Times New Roman"/>
      <w:sz w:val="16"/>
      <w:szCs w:val="24"/>
      <w:lang w:eastAsia="en-US"/>
    </w:rPr>
  </w:style>
  <w:style w:type="paragraph" w:customStyle="1" w:styleId="11TableorFigurefootnotenostick">
    <w:name w:val="11 Table or Figure footnote – no stick"/>
    <w:next w:val="BodyText"/>
    <w:qFormat/>
    <w:rsid w:val="00321DBE"/>
    <w:pPr>
      <w:spacing w:after="360" w:line="240" w:lineRule="auto"/>
    </w:pPr>
    <w:rPr>
      <w:rFonts w:ascii="Arial Narrow" w:eastAsia="Calibri" w:hAnsi="Arial Narrow" w:cs="Times New Roman"/>
      <w:sz w:val="16"/>
      <w:szCs w:val="24"/>
      <w:lang w:eastAsia="en-US"/>
    </w:rPr>
  </w:style>
  <w:style w:type="paragraph" w:customStyle="1" w:styleId="02TableHEADINGcentred">
    <w:name w:val="02 Table HEADING centred"/>
    <w:qFormat/>
    <w:rsid w:val="00321DBE"/>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09Tablerightaligned">
    <w:name w:val="09 Table right aligned ($)"/>
    <w:qFormat/>
    <w:rsid w:val="00321DBE"/>
    <w:pPr>
      <w:spacing w:before="20" w:after="0" w:line="240" w:lineRule="auto"/>
      <w:ind w:left="57" w:right="170"/>
      <w:jc w:val="right"/>
    </w:pPr>
    <w:rPr>
      <w:rFonts w:ascii="Arial Narrow" w:eastAsia="Calibri" w:hAnsi="Arial Narrow" w:cs="Times New Roman"/>
      <w:sz w:val="18"/>
      <w:szCs w:val="24"/>
      <w:lang w:eastAsia="en-US"/>
    </w:rPr>
  </w:style>
  <w:style w:type="paragraph" w:customStyle="1" w:styleId="07Tablebullet">
    <w:name w:val="07 Table bullet"/>
    <w:qFormat/>
    <w:rsid w:val="00321DBE"/>
    <w:pPr>
      <w:numPr>
        <w:numId w:val="11"/>
      </w:numPr>
      <w:spacing w:after="0" w:line="240" w:lineRule="auto"/>
      <w:ind w:left="227" w:right="57" w:hanging="170"/>
    </w:pPr>
    <w:rPr>
      <w:rFonts w:ascii="Arial Narrow" w:eastAsia="Calibri" w:hAnsi="Arial Narrow" w:cs="Times New Roman"/>
      <w:sz w:val="18"/>
      <w:szCs w:val="24"/>
      <w:lang w:eastAsia="en-US"/>
    </w:rPr>
  </w:style>
  <w:style w:type="numbering" w:customStyle="1" w:styleId="Headings">
    <w:name w:val="Headings"/>
    <w:uiPriority w:val="99"/>
    <w:rsid w:val="00321DBE"/>
    <w:pPr>
      <w:numPr>
        <w:numId w:val="31"/>
      </w:numPr>
    </w:pPr>
  </w:style>
  <w:style w:type="paragraph" w:customStyle="1" w:styleId="Picturewithbox">
    <w:name w:val="Picture with box"/>
    <w:next w:val="11TableorFigurefootnotenostick"/>
    <w:qFormat/>
    <w:rsid w:val="00321DBE"/>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szCs w:val="24"/>
      <w:lang w:eastAsia="en-US"/>
    </w:rPr>
  </w:style>
  <w:style w:type="paragraph" w:styleId="TableofFigures">
    <w:name w:val="table of figures"/>
    <w:aliases w:val="- TOC for list of Figures or Tables"/>
    <w:uiPriority w:val="99"/>
    <w:unhideWhenUsed/>
    <w:rsid w:val="00321DBE"/>
    <w:pPr>
      <w:spacing w:after="0" w:line="240" w:lineRule="auto"/>
      <w:ind w:left="1418" w:right="567" w:hanging="1418"/>
    </w:pPr>
    <w:rPr>
      <w:rFonts w:ascii="Cambria" w:eastAsia="Calibri" w:hAnsi="Cambria" w:cs="Times New Roman"/>
      <w:szCs w:val="24"/>
      <w:lang w:eastAsia="en-US"/>
    </w:rPr>
  </w:style>
  <w:style w:type="paragraph" w:customStyle="1" w:styleId="Titlepage">
    <w:name w:val="Title page"/>
    <w:qFormat/>
    <w:rsid w:val="00321DBE"/>
    <w:pPr>
      <w:spacing w:before="120" w:after="0"/>
      <w:jc w:val="center"/>
    </w:pPr>
    <w:rPr>
      <w:rFonts w:ascii="Cambria" w:eastAsia="Calibri" w:hAnsi="Cambria" w:cs="Times New Roman"/>
      <w:sz w:val="40"/>
      <w:szCs w:val="40"/>
      <w:lang w:eastAsia="en-US"/>
    </w:rPr>
  </w:style>
  <w:style w:type="paragraph" w:styleId="TOAHeading">
    <w:name w:val="toa heading"/>
    <w:basedOn w:val="Normal"/>
    <w:next w:val="Normal"/>
    <w:uiPriority w:val="99"/>
    <w:semiHidden/>
    <w:unhideWhenUsed/>
    <w:rsid w:val="00321DBE"/>
    <w:pPr>
      <w:spacing w:before="240" w:after="0"/>
    </w:pPr>
    <w:rPr>
      <w:rFonts w:asciiTheme="majorHAnsi" w:eastAsiaTheme="majorEastAsia" w:hAnsiTheme="majorHAnsi" w:cstheme="majorBidi"/>
      <w:b/>
      <w:bCs/>
      <w:szCs w:val="24"/>
      <w:lang w:eastAsia="en-US"/>
    </w:rPr>
  </w:style>
  <w:style w:type="paragraph" w:customStyle="1" w:styleId="TableorFigurefootnote">
    <w:name w:val="Table or Figure footnote"/>
    <w:next w:val="BodyText"/>
    <w:qFormat/>
    <w:rsid w:val="00321DBE"/>
    <w:pPr>
      <w:spacing w:after="240" w:line="240" w:lineRule="auto"/>
      <w:contextualSpacing/>
    </w:pPr>
    <w:rPr>
      <w:rFonts w:ascii="Garamond" w:eastAsia="Calibri" w:hAnsi="Garamond" w:cs="Times New Roman"/>
      <w:sz w:val="16"/>
      <w:lang w:eastAsia="en-US"/>
    </w:rPr>
  </w:style>
  <w:style w:type="paragraph" w:customStyle="1" w:styleId="08Tablebulletsecondlevel">
    <w:name w:val="08 Table bullet second level"/>
    <w:qFormat/>
    <w:rsid w:val="00321DBE"/>
    <w:pPr>
      <w:numPr>
        <w:numId w:val="13"/>
      </w:numPr>
      <w:spacing w:after="0" w:line="240" w:lineRule="auto"/>
      <w:ind w:left="397" w:hanging="170"/>
    </w:pPr>
    <w:rPr>
      <w:rFonts w:ascii="Arial Narrow" w:eastAsia="Calibri" w:hAnsi="Arial Narrow" w:cs="Times New Roman"/>
      <w:sz w:val="18"/>
      <w:szCs w:val="24"/>
      <w:lang w:eastAsia="en-US"/>
    </w:rPr>
  </w:style>
  <w:style w:type="paragraph" w:customStyle="1" w:styleId="03TableHEADINGrightaligned">
    <w:name w:val="03 Table HEADING right aligned ($)"/>
    <w:qFormat/>
    <w:rsid w:val="00321DBE"/>
    <w:pPr>
      <w:keepNext/>
      <w:spacing w:before="60" w:after="0" w:line="240" w:lineRule="auto"/>
      <w:ind w:left="57" w:right="170"/>
      <w:jc w:val="right"/>
    </w:pPr>
    <w:rPr>
      <w:rFonts w:ascii="Arial Narrow" w:eastAsia="Calibri" w:hAnsi="Arial Narrow" w:cs="Times New Roman"/>
      <w:b/>
      <w:sz w:val="18"/>
      <w:szCs w:val="24"/>
      <w:lang w:eastAsia="en-US"/>
    </w:rPr>
  </w:style>
  <w:style w:type="paragraph" w:customStyle="1" w:styleId="04Tablesubheading">
    <w:name w:val="04 Table subheading"/>
    <w:qFormat/>
    <w:rsid w:val="00321DBE"/>
    <w:pPr>
      <w:keepNext/>
      <w:spacing w:before="20" w:after="0" w:line="240" w:lineRule="auto"/>
      <w:ind w:left="57" w:right="57"/>
    </w:pPr>
    <w:rPr>
      <w:rFonts w:ascii="Arial Narrow" w:eastAsia="Calibri" w:hAnsi="Arial Narrow" w:cs="Times New Roman"/>
      <w:b/>
      <w:sz w:val="18"/>
      <w:szCs w:val="24"/>
      <w:lang w:eastAsia="en-US"/>
    </w:rPr>
  </w:style>
  <w:style w:type="paragraph" w:customStyle="1" w:styleId="FooterwithLandscape">
    <w:name w:val="Footer with # Landscape"/>
    <w:qFormat/>
    <w:rsid w:val="00321DBE"/>
    <w:pPr>
      <w:pBdr>
        <w:top w:val="single" w:sz="4" w:space="1" w:color="auto"/>
      </w:pBdr>
      <w:tabs>
        <w:tab w:val="right" w:pos="14572"/>
      </w:tabs>
      <w:spacing w:before="240" w:after="0" w:line="240" w:lineRule="auto"/>
    </w:pPr>
    <w:rPr>
      <w:rFonts w:ascii="Cambria" w:eastAsia="Calibri" w:hAnsi="Cambria" w:cs="Times New Roman"/>
      <w:sz w:val="20"/>
      <w:szCs w:val="24"/>
      <w:lang w:eastAsia="en-US"/>
    </w:rPr>
  </w:style>
  <w:style w:type="paragraph" w:customStyle="1" w:styleId="FooterwithPortrait">
    <w:name w:val="Footer with # Portrait"/>
    <w:basedOn w:val="FooterwithLandscape"/>
    <w:qFormat/>
    <w:rsid w:val="00321DBE"/>
    <w:pPr>
      <w:tabs>
        <w:tab w:val="clear" w:pos="14572"/>
        <w:tab w:val="right" w:pos="9639"/>
      </w:tabs>
    </w:pPr>
  </w:style>
  <w:style w:type="paragraph" w:customStyle="1" w:styleId="08Bulletsseriesofsentences">
    <w:name w:val="08. Bullets – series of sentences"/>
    <w:link w:val="08BulletsseriesofsentencesChar"/>
    <w:qFormat/>
    <w:rsid w:val="00FB060F"/>
    <w:pPr>
      <w:spacing w:before="120" w:after="0" w:line="240" w:lineRule="auto"/>
    </w:pPr>
    <w:rPr>
      <w:rFonts w:asciiTheme="minorHAnsi" w:eastAsia="Calibri" w:hAnsiTheme="minorHAnsi" w:cs="Times New Roman"/>
      <w:lang w:eastAsia="en-US"/>
    </w:rPr>
  </w:style>
  <w:style w:type="character" w:customStyle="1" w:styleId="08BulletsseriesofsentencesChar">
    <w:name w:val="08. Bullets – series of sentences Char"/>
    <w:link w:val="08Bulletsseriesofsentences"/>
    <w:rsid w:val="00FB060F"/>
    <w:rPr>
      <w:rFonts w:asciiTheme="minorHAnsi" w:eastAsia="Calibri" w:hAnsiTheme="minorHAnsi" w:cs="Times New Roman"/>
      <w:lang w:eastAsia="en-US"/>
    </w:rPr>
  </w:style>
  <w:style w:type="numbering" w:customStyle="1" w:styleId="NoList1">
    <w:name w:val="No List1"/>
    <w:next w:val="NoList"/>
    <w:uiPriority w:val="99"/>
    <w:semiHidden/>
    <w:unhideWhenUsed/>
    <w:rsid w:val="00321DBE"/>
  </w:style>
  <w:style w:type="numbering" w:customStyle="1" w:styleId="Numberedlist">
    <w:name w:val="Numbered list"/>
    <w:uiPriority w:val="99"/>
    <w:rsid w:val="00321DBE"/>
    <w:pPr>
      <w:numPr>
        <w:numId w:val="14"/>
      </w:numPr>
    </w:pPr>
  </w:style>
  <w:style w:type="numbering" w:styleId="111111">
    <w:name w:val="Outline List 2"/>
    <w:basedOn w:val="NoList"/>
    <w:uiPriority w:val="99"/>
    <w:semiHidden/>
    <w:unhideWhenUsed/>
    <w:rsid w:val="00321DBE"/>
    <w:pPr>
      <w:numPr>
        <w:numId w:val="15"/>
      </w:numPr>
    </w:pPr>
  </w:style>
  <w:style w:type="numbering" w:customStyle="1" w:styleId="NoList2">
    <w:name w:val="No List2"/>
    <w:next w:val="NoList"/>
    <w:uiPriority w:val="99"/>
    <w:semiHidden/>
    <w:unhideWhenUsed/>
    <w:rsid w:val="00321DBE"/>
  </w:style>
  <w:style w:type="numbering" w:customStyle="1" w:styleId="Numberedlist1">
    <w:name w:val="Numbered list1"/>
    <w:uiPriority w:val="99"/>
    <w:rsid w:val="00321DBE"/>
    <w:pPr>
      <w:numPr>
        <w:numId w:val="12"/>
      </w:numPr>
    </w:pPr>
  </w:style>
  <w:style w:type="numbering" w:customStyle="1" w:styleId="1111111">
    <w:name w:val="1 / 1.1 / 1.1.11"/>
    <w:basedOn w:val="NoList"/>
    <w:next w:val="111111"/>
    <w:uiPriority w:val="99"/>
    <w:semiHidden/>
    <w:unhideWhenUsed/>
    <w:rsid w:val="00321DBE"/>
    <w:pPr>
      <w:numPr>
        <w:numId w:val="16"/>
      </w:numPr>
    </w:pPr>
  </w:style>
  <w:style w:type="paragraph" w:customStyle="1" w:styleId="References">
    <w:name w:val="References"/>
    <w:qFormat/>
    <w:rsid w:val="00321DBE"/>
    <w:pPr>
      <w:spacing w:before="80" w:after="0" w:line="240" w:lineRule="auto"/>
      <w:ind w:left="284" w:hanging="284"/>
    </w:pPr>
    <w:rPr>
      <w:rFonts w:ascii="Cambria" w:eastAsia="Calibri" w:hAnsi="Cambria" w:cs="Times New Roman"/>
      <w:sz w:val="18"/>
      <w:szCs w:val="24"/>
      <w:lang w:eastAsia="en-US"/>
    </w:rPr>
  </w:style>
  <w:style w:type="character" w:styleId="IntenseEmphasis">
    <w:name w:val="Intense Emphasis"/>
    <w:basedOn w:val="DefaultParagraphFont"/>
    <w:uiPriority w:val="21"/>
    <w:qFormat/>
    <w:rsid w:val="00321DBE"/>
    <w:rPr>
      <w:b/>
      <w:bCs/>
      <w:i/>
      <w:iCs/>
      <w:color w:val="4F81BD" w:themeColor="accent1"/>
    </w:rPr>
  </w:style>
  <w:style w:type="paragraph" w:styleId="Subtitle">
    <w:name w:val="Subtitle"/>
    <w:basedOn w:val="Normal"/>
    <w:next w:val="Normal"/>
    <w:link w:val="SubtitleChar"/>
    <w:qFormat/>
    <w:rsid w:val="00321DBE"/>
    <w:pPr>
      <w:numPr>
        <w:ilvl w:val="1"/>
      </w:numPr>
      <w:spacing w:after="0" w:line="240" w:lineRule="auto"/>
      <w:jc w:val="left"/>
    </w:pPr>
    <w:rPr>
      <w:rFonts w:asciiTheme="majorHAnsi" w:eastAsiaTheme="majorEastAsia" w:hAnsiTheme="majorHAnsi" w:cstheme="majorBidi"/>
      <w:iCs/>
      <w:spacing w:val="15"/>
      <w:szCs w:val="24"/>
      <w:lang w:eastAsia="en-US"/>
    </w:rPr>
  </w:style>
  <w:style w:type="character" w:customStyle="1" w:styleId="SubtitleChar">
    <w:name w:val="Subtitle Char"/>
    <w:basedOn w:val="DefaultParagraphFont"/>
    <w:link w:val="Subtitle"/>
    <w:rsid w:val="00321DBE"/>
    <w:rPr>
      <w:rFonts w:asciiTheme="majorHAnsi" w:eastAsiaTheme="majorEastAsia" w:hAnsiTheme="majorHAnsi" w:cstheme="majorBidi"/>
      <w:iCs/>
      <w:spacing w:val="15"/>
      <w:szCs w:val="24"/>
      <w:lang w:eastAsia="en-US"/>
    </w:rPr>
  </w:style>
  <w:style w:type="paragraph" w:customStyle="1" w:styleId="HeaderTable">
    <w:name w:val="Header Table"/>
    <w:basedOn w:val="Caption"/>
    <w:link w:val="HeaderTableChar"/>
    <w:qFormat/>
    <w:rsid w:val="00321DBE"/>
    <w:pPr>
      <w:keepNext/>
      <w:spacing w:before="240"/>
      <w:ind w:left="1418" w:hanging="1418"/>
    </w:pPr>
    <w:rPr>
      <w:rFonts w:ascii="Arial" w:eastAsia="Calibri" w:hAnsi="Arial"/>
      <w:bCs w:val="0"/>
      <w:iCs/>
      <w:sz w:val="20"/>
      <w:lang w:eastAsia="en-US"/>
    </w:rPr>
  </w:style>
  <w:style w:type="paragraph" w:customStyle="1" w:styleId="HeaderFigure">
    <w:name w:val="Header Figure"/>
    <w:basedOn w:val="Caption"/>
    <w:link w:val="HeaderFigureChar"/>
    <w:qFormat/>
    <w:rsid w:val="00321DBE"/>
    <w:pPr>
      <w:keepNext/>
      <w:spacing w:before="240"/>
      <w:ind w:left="1418" w:hanging="1418"/>
    </w:pPr>
    <w:rPr>
      <w:rFonts w:ascii="Arial" w:eastAsia="Calibri" w:hAnsi="Arial"/>
      <w:bCs w:val="0"/>
      <w:iCs/>
      <w:sz w:val="20"/>
      <w:lang w:eastAsia="en-US"/>
    </w:rPr>
  </w:style>
  <w:style w:type="character" w:customStyle="1" w:styleId="HeaderTableChar">
    <w:name w:val="Header Table Char"/>
    <w:basedOn w:val="CaptionChar"/>
    <w:link w:val="HeaderTable"/>
    <w:rsid w:val="00321DBE"/>
    <w:rPr>
      <w:rFonts w:ascii="Arial" w:eastAsia="Calibri" w:hAnsi="Arial" w:cs="Times New Roman"/>
      <w:b/>
      <w:bCs w:val="0"/>
      <w:iCs/>
      <w:sz w:val="20"/>
      <w:szCs w:val="18"/>
      <w:lang w:eastAsia="en-US"/>
    </w:rPr>
  </w:style>
  <w:style w:type="character" w:customStyle="1" w:styleId="HeaderFigureChar">
    <w:name w:val="Header Figure Char"/>
    <w:basedOn w:val="CaptionChar"/>
    <w:link w:val="HeaderFigure"/>
    <w:rsid w:val="00321DBE"/>
    <w:rPr>
      <w:rFonts w:ascii="Arial" w:eastAsia="Calibri" w:hAnsi="Arial" w:cs="Times New Roman"/>
      <w:b/>
      <w:bCs w:val="0"/>
      <w:iCs/>
      <w:sz w:val="20"/>
      <w:szCs w:val="18"/>
      <w:lang w:eastAsia="en-US"/>
    </w:rPr>
  </w:style>
  <w:style w:type="paragraph" w:customStyle="1" w:styleId="ToR3Tableheader">
    <w:name w:val="ToR3 Table header"/>
    <w:basedOn w:val="Caption"/>
    <w:link w:val="ToR3TableheaderChar"/>
    <w:qFormat/>
    <w:rsid w:val="00321DBE"/>
    <w:pPr>
      <w:keepNext/>
      <w:spacing w:before="240"/>
      <w:ind w:left="1418" w:hanging="1418"/>
    </w:pPr>
    <w:rPr>
      <w:rFonts w:ascii="Arial" w:eastAsia="Calibri" w:hAnsi="Arial"/>
      <w:bCs w:val="0"/>
      <w:iCs/>
      <w:sz w:val="20"/>
      <w:lang w:eastAsia="en-US"/>
    </w:rPr>
  </w:style>
  <w:style w:type="character" w:customStyle="1" w:styleId="ToR3TableheaderChar">
    <w:name w:val="ToR3 Table header Char"/>
    <w:basedOn w:val="DefaultParagraphFont"/>
    <w:link w:val="ToR3Tableheader"/>
    <w:rsid w:val="00321DBE"/>
    <w:rPr>
      <w:rFonts w:ascii="Arial" w:eastAsia="Calibri" w:hAnsi="Arial" w:cs="Times New Roman"/>
      <w:b/>
      <w:iCs/>
      <w:sz w:val="20"/>
      <w:szCs w:val="18"/>
      <w:lang w:eastAsia="en-US"/>
    </w:rPr>
  </w:style>
  <w:style w:type="paragraph" w:customStyle="1" w:styleId="Tablenote">
    <w:name w:val="Table note"/>
    <w:basedOn w:val="Normal"/>
    <w:link w:val="TablenoteChar"/>
    <w:qFormat/>
    <w:rsid w:val="00505354"/>
    <w:pPr>
      <w:spacing w:line="240" w:lineRule="auto"/>
      <w:contextualSpacing/>
    </w:pPr>
    <w:rPr>
      <w:rFonts w:ascii="Arial" w:eastAsiaTheme="minorEastAsia" w:hAnsi="Arial" w:cs="Baskerville"/>
      <w:sz w:val="18"/>
      <w:szCs w:val="20"/>
    </w:rPr>
  </w:style>
  <w:style w:type="character" w:customStyle="1" w:styleId="TablenoteChar">
    <w:name w:val="Table note Char"/>
    <w:basedOn w:val="DefaultParagraphFont"/>
    <w:link w:val="Tablenote"/>
    <w:rsid w:val="00505354"/>
    <w:rPr>
      <w:rFonts w:ascii="Arial" w:eastAsiaTheme="minorEastAsia" w:hAnsi="Arial" w:cs="Baskerville"/>
      <w:sz w:val="18"/>
      <w:szCs w:val="20"/>
    </w:rPr>
  </w:style>
  <w:style w:type="table" w:customStyle="1" w:styleId="TableGrid7">
    <w:name w:val="Table Grid7"/>
    <w:basedOn w:val="TableNormal"/>
    <w:next w:val="TableGrid"/>
    <w:uiPriority w:val="59"/>
    <w:rsid w:val="00321DBE"/>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ofreference">
    <w:name w:val="Term of reference"/>
    <w:basedOn w:val="Normal"/>
    <w:link w:val="TermofreferenceChar"/>
    <w:qFormat/>
    <w:rsid w:val="00321DBE"/>
    <w:pPr>
      <w:pBdr>
        <w:top w:val="single" w:sz="4" w:space="1" w:color="auto"/>
        <w:left w:val="single" w:sz="4" w:space="4" w:color="auto"/>
        <w:bottom w:val="single" w:sz="4" w:space="1" w:color="auto"/>
        <w:right w:val="single" w:sz="4" w:space="4" w:color="auto"/>
      </w:pBdr>
      <w:spacing w:line="240" w:lineRule="auto"/>
      <w:jc w:val="center"/>
    </w:pPr>
    <w:rPr>
      <w:rFonts w:ascii="Calibri" w:eastAsiaTheme="minorEastAsia" w:hAnsi="Calibri"/>
      <w:b/>
      <w:color w:val="365F91" w:themeColor="accent1" w:themeShade="BF"/>
      <w:szCs w:val="24"/>
    </w:rPr>
  </w:style>
  <w:style w:type="paragraph" w:customStyle="1" w:styleId="Tablename">
    <w:name w:val="Table name"/>
    <w:basedOn w:val="Caption"/>
    <w:link w:val="TablenameChar"/>
    <w:qFormat/>
    <w:rsid w:val="00321DBE"/>
    <w:pPr>
      <w:keepNext/>
      <w:spacing w:after="60"/>
      <w:jc w:val="left"/>
    </w:pPr>
    <w:rPr>
      <w:rFonts w:ascii="Calibri" w:eastAsiaTheme="minorEastAsia" w:hAnsi="Calibri"/>
      <w:lang w:eastAsia="en-US"/>
    </w:rPr>
  </w:style>
  <w:style w:type="character" w:customStyle="1" w:styleId="TermofreferenceChar">
    <w:name w:val="Term of reference Char"/>
    <w:basedOn w:val="DefaultParagraphFont"/>
    <w:link w:val="Termofreference"/>
    <w:rsid w:val="00321DBE"/>
    <w:rPr>
      <w:rFonts w:ascii="Calibri" w:eastAsiaTheme="minorEastAsia" w:hAnsi="Calibri"/>
      <w:b/>
      <w:color w:val="365F91" w:themeColor="accent1" w:themeShade="BF"/>
      <w:szCs w:val="24"/>
    </w:rPr>
  </w:style>
  <w:style w:type="character" w:customStyle="1" w:styleId="TablenameChar">
    <w:name w:val="Table name Char"/>
    <w:basedOn w:val="CaptionChar"/>
    <w:link w:val="Tablename"/>
    <w:rsid w:val="00321DBE"/>
    <w:rPr>
      <w:rFonts w:ascii="Calibri" w:eastAsiaTheme="minorEastAsia" w:hAnsi="Calibri" w:cs="Times New Roman"/>
      <w:b/>
      <w:bCs/>
      <w:szCs w:val="18"/>
      <w:lang w:eastAsia="en-US"/>
    </w:rPr>
  </w:style>
  <w:style w:type="paragraph" w:customStyle="1" w:styleId="Figurename">
    <w:name w:val="Figure name"/>
    <w:basedOn w:val="Normal"/>
    <w:link w:val="FigurenameChar"/>
    <w:qFormat/>
    <w:rsid w:val="00321DBE"/>
    <w:pPr>
      <w:spacing w:before="60" w:after="60" w:line="240" w:lineRule="auto"/>
      <w:jc w:val="left"/>
    </w:pPr>
    <w:rPr>
      <w:rFonts w:ascii="Calibri" w:eastAsiaTheme="minorEastAsia" w:hAnsi="Calibri"/>
      <w:b/>
      <w:szCs w:val="24"/>
      <w:lang w:val="en-US" w:eastAsia="en-US"/>
    </w:rPr>
  </w:style>
  <w:style w:type="paragraph" w:customStyle="1" w:styleId="Figurenote">
    <w:name w:val="Figure note"/>
    <w:basedOn w:val="Normal"/>
    <w:link w:val="FigurenoteChar"/>
    <w:qFormat/>
    <w:rsid w:val="00321DBE"/>
    <w:pPr>
      <w:spacing w:before="60" w:after="60" w:line="240" w:lineRule="auto"/>
      <w:jc w:val="left"/>
    </w:pPr>
    <w:rPr>
      <w:rFonts w:eastAsiaTheme="minorEastAsia"/>
      <w:sz w:val="20"/>
      <w:szCs w:val="20"/>
      <w:lang w:eastAsia="en-US"/>
    </w:rPr>
  </w:style>
  <w:style w:type="character" w:customStyle="1" w:styleId="FigurenameChar">
    <w:name w:val="Figure name Char"/>
    <w:basedOn w:val="DefaultParagraphFont"/>
    <w:link w:val="Figurename"/>
    <w:rsid w:val="00321DBE"/>
    <w:rPr>
      <w:rFonts w:ascii="Calibri" w:eastAsiaTheme="minorEastAsia" w:hAnsi="Calibri"/>
      <w:b/>
      <w:szCs w:val="24"/>
      <w:lang w:val="en-US" w:eastAsia="en-US"/>
    </w:rPr>
  </w:style>
  <w:style w:type="character" w:customStyle="1" w:styleId="FigurenoteChar">
    <w:name w:val="Figure note Char"/>
    <w:basedOn w:val="DefaultParagraphFont"/>
    <w:link w:val="Figurenote"/>
    <w:rsid w:val="00321DBE"/>
    <w:rPr>
      <w:rFonts w:asciiTheme="minorHAnsi" w:eastAsiaTheme="minorEastAsia" w:hAnsiTheme="minorHAnsi"/>
      <w:sz w:val="20"/>
      <w:szCs w:val="20"/>
      <w:lang w:eastAsia="en-US"/>
    </w:rPr>
  </w:style>
  <w:style w:type="paragraph" w:customStyle="1" w:styleId="EndNoteBibliographyTitle">
    <w:name w:val="EndNote Bibliography Title"/>
    <w:basedOn w:val="Normal"/>
    <w:link w:val="EndNoteBibliographyTitleChar"/>
    <w:rsid w:val="00321DBE"/>
    <w:pPr>
      <w:spacing w:after="0" w:line="240" w:lineRule="auto"/>
      <w:jc w:val="center"/>
    </w:pPr>
    <w:rPr>
      <w:rFonts w:eastAsiaTheme="minorEastAsia" w:cs="Calibri"/>
      <w:noProof/>
      <w:sz w:val="20"/>
      <w:szCs w:val="20"/>
    </w:rPr>
  </w:style>
  <w:style w:type="character" w:customStyle="1" w:styleId="EndNoteBibliographyTitleChar">
    <w:name w:val="EndNote Bibliography Title Char"/>
    <w:basedOn w:val="TabletextChar"/>
    <w:link w:val="EndNoteBibliographyTitle"/>
    <w:rsid w:val="00321DBE"/>
    <w:rPr>
      <w:rFonts w:ascii="Cambria" w:eastAsiaTheme="minorEastAsia" w:hAnsi="Cambria" w:cs="Calibri"/>
      <w:noProof/>
      <w:sz w:val="20"/>
      <w:szCs w:val="20"/>
    </w:rPr>
  </w:style>
  <w:style w:type="paragraph" w:customStyle="1" w:styleId="EndNoteBibliography">
    <w:name w:val="EndNote Bibliography"/>
    <w:basedOn w:val="Normal"/>
    <w:link w:val="EndNoteBibliographyChar"/>
    <w:rsid w:val="00321DBE"/>
    <w:pPr>
      <w:spacing w:line="240" w:lineRule="auto"/>
      <w:jc w:val="left"/>
    </w:pPr>
    <w:rPr>
      <w:rFonts w:eastAsiaTheme="minorEastAsia" w:cs="Calibri"/>
      <w:noProof/>
      <w:sz w:val="20"/>
      <w:szCs w:val="20"/>
    </w:rPr>
  </w:style>
  <w:style w:type="character" w:customStyle="1" w:styleId="EndNoteBibliographyChar">
    <w:name w:val="EndNote Bibliography Char"/>
    <w:basedOn w:val="TabletextChar"/>
    <w:link w:val="EndNoteBibliography"/>
    <w:rsid w:val="00321DBE"/>
    <w:rPr>
      <w:rFonts w:ascii="Cambria" w:eastAsiaTheme="minorEastAsia" w:hAnsi="Cambria" w:cs="Calibri"/>
      <w:noProof/>
      <w:sz w:val="20"/>
      <w:szCs w:val="20"/>
    </w:rPr>
  </w:style>
  <w:style w:type="table" w:customStyle="1" w:styleId="TableGrid8">
    <w:name w:val="Table Grid8"/>
    <w:basedOn w:val="TableNormal"/>
    <w:next w:val="TableGrid"/>
    <w:rsid w:val="00321DB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Sectionheading-numbered">
    <w:name w:val="ES. Section heading - numbered"/>
    <w:uiPriority w:val="99"/>
    <w:rsid w:val="00321DBE"/>
    <w:pPr>
      <w:numPr>
        <w:numId w:val="17"/>
      </w:numPr>
    </w:pPr>
  </w:style>
  <w:style w:type="paragraph" w:customStyle="1" w:styleId="TableHeading">
    <w:name w:val="TableHeading"/>
    <w:basedOn w:val="Normal"/>
    <w:link w:val="TableHeadingChar"/>
    <w:qFormat/>
    <w:rsid w:val="00321DBE"/>
    <w:pPr>
      <w:keepNext/>
      <w:tabs>
        <w:tab w:val="left" w:pos="993"/>
      </w:tabs>
      <w:spacing w:before="40" w:after="40" w:line="240" w:lineRule="auto"/>
      <w:ind w:left="992" w:hanging="992"/>
      <w:jc w:val="left"/>
    </w:pPr>
    <w:rPr>
      <w:rFonts w:ascii="Arial Narrow" w:eastAsia="Times New Roman" w:hAnsi="Arial Narrow" w:cs="Tahoma"/>
      <w:b/>
      <w:sz w:val="20"/>
      <w:szCs w:val="20"/>
    </w:rPr>
  </w:style>
  <w:style w:type="character" w:customStyle="1" w:styleId="TableHeadingChar">
    <w:name w:val="TableHeading Char"/>
    <w:link w:val="TableHeading"/>
    <w:rsid w:val="00321DBE"/>
    <w:rPr>
      <w:rFonts w:ascii="Arial Narrow" w:eastAsia="Times New Roman" w:hAnsi="Arial Narrow" w:cs="Tahoma"/>
      <w:b/>
      <w:sz w:val="20"/>
      <w:szCs w:val="20"/>
    </w:rPr>
  </w:style>
  <w:style w:type="paragraph" w:customStyle="1" w:styleId="ESNumberedSectionHeading">
    <w:name w:val="ES Numbered Section Heading"/>
    <w:link w:val="ESNumberedSectionHeadingChar"/>
    <w:qFormat/>
    <w:rsid w:val="00321DBE"/>
    <w:pPr>
      <w:keepNext/>
      <w:numPr>
        <w:numId w:val="18"/>
      </w:numPr>
      <w:spacing w:before="240" w:after="120" w:line="312" w:lineRule="auto"/>
      <w:ind w:left="1134" w:hanging="1134"/>
      <w:outlineLvl w:val="2"/>
    </w:pPr>
    <w:rPr>
      <w:rFonts w:cs="Tahoma"/>
      <w:smallCaps/>
      <w:szCs w:val="24"/>
    </w:rPr>
  </w:style>
  <w:style w:type="character" w:customStyle="1" w:styleId="ESNumberedSectionHeadingChar">
    <w:name w:val="ES Numbered Section Heading Char"/>
    <w:basedOn w:val="DefaultParagraphFont"/>
    <w:link w:val="ESNumberedSectionHeading"/>
    <w:rsid w:val="00321DBE"/>
    <w:rPr>
      <w:rFonts w:cs="Tahoma"/>
      <w:smallCaps/>
      <w:szCs w:val="24"/>
    </w:rPr>
  </w:style>
  <w:style w:type="table" w:customStyle="1" w:styleId="TableGrid9">
    <w:name w:val="Table Grid9"/>
    <w:basedOn w:val="TableNormal"/>
    <w:next w:val="TableGrid"/>
    <w:uiPriority w:val="59"/>
    <w:rsid w:val="00321DBE"/>
    <w:pPr>
      <w:spacing w:before="40" w:after="4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321DBE"/>
    <w:pPr>
      <w:spacing w:before="60" w:after="60" w:line="240" w:lineRule="auto"/>
      <w:jc w:val="left"/>
    </w:pPr>
    <w:rPr>
      <w:rFonts w:ascii="Arial Narrow" w:eastAsia="Times New Roman" w:hAnsi="Arial Narrow" w:cs="Arial"/>
      <w:sz w:val="18"/>
    </w:rPr>
  </w:style>
  <w:style w:type="paragraph" w:customStyle="1" w:styleId="tabletext1">
    <w:name w:val="table text"/>
    <w:basedOn w:val="TableText0"/>
    <w:rsid w:val="00321DBE"/>
    <w:pPr>
      <w:keepNext/>
    </w:pPr>
    <w:rPr>
      <w:color w:val="000000"/>
      <w:szCs w:val="20"/>
    </w:rPr>
  </w:style>
  <w:style w:type="paragraph" w:customStyle="1" w:styleId="TableParagraph">
    <w:name w:val="Table Paragraph"/>
    <w:basedOn w:val="Normal"/>
    <w:uiPriority w:val="1"/>
    <w:qFormat/>
    <w:rsid w:val="00321DBE"/>
    <w:pPr>
      <w:widowControl w:val="0"/>
      <w:spacing w:after="0" w:line="240" w:lineRule="auto"/>
      <w:jc w:val="left"/>
    </w:pPr>
    <w:rPr>
      <w:sz w:val="22"/>
      <w:lang w:val="en-US" w:eastAsia="en-US"/>
    </w:rPr>
  </w:style>
  <w:style w:type="table" w:customStyle="1" w:styleId="TableGrid10">
    <w:name w:val="Table Grid10"/>
    <w:basedOn w:val="TableNormal"/>
    <w:next w:val="TableGrid"/>
    <w:rsid w:val="00321DB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Table">
    <w:name w:val="Background Table"/>
    <w:basedOn w:val="Caption"/>
    <w:link w:val="BackgroundTableChar"/>
    <w:qFormat/>
    <w:rsid w:val="00321DBE"/>
    <w:pPr>
      <w:keepNext/>
      <w:ind w:left="1418" w:hanging="1418"/>
    </w:pPr>
    <w:rPr>
      <w:rFonts w:ascii="Arial" w:eastAsia="Calibri" w:hAnsi="Arial"/>
      <w:bCs w:val="0"/>
      <w:iCs/>
      <w:sz w:val="20"/>
      <w:lang w:eastAsia="en-US"/>
    </w:rPr>
  </w:style>
  <w:style w:type="character" w:customStyle="1" w:styleId="BackgroundTableChar">
    <w:name w:val="Background Table Char"/>
    <w:basedOn w:val="CaptionChar"/>
    <w:link w:val="BackgroundTable"/>
    <w:rsid w:val="00321DBE"/>
    <w:rPr>
      <w:rFonts w:ascii="Arial" w:eastAsia="Calibri" w:hAnsi="Arial" w:cs="Times New Roman"/>
      <w:b/>
      <w:bCs w:val="0"/>
      <w:iCs/>
      <w:sz w:val="20"/>
      <w:szCs w:val="18"/>
      <w:lang w:eastAsia="en-US"/>
    </w:rPr>
  </w:style>
  <w:style w:type="numbering" w:customStyle="1" w:styleId="ESSectionheading-numbered1">
    <w:name w:val="ES. Section heading - numbered1"/>
    <w:uiPriority w:val="99"/>
    <w:rsid w:val="00321DBE"/>
    <w:pPr>
      <w:numPr>
        <w:numId w:val="19"/>
      </w:numPr>
    </w:pPr>
  </w:style>
  <w:style w:type="character" w:customStyle="1" w:styleId="cell-value">
    <w:name w:val="cell-value"/>
    <w:basedOn w:val="DefaultParagraphFont"/>
    <w:rsid w:val="00321DBE"/>
  </w:style>
  <w:style w:type="character" w:customStyle="1" w:styleId="cell">
    <w:name w:val="cell"/>
    <w:basedOn w:val="DefaultParagraphFont"/>
    <w:rsid w:val="00321DBE"/>
  </w:style>
  <w:style w:type="character" w:customStyle="1" w:styleId="block">
    <w:name w:val="block"/>
    <w:basedOn w:val="DefaultParagraphFont"/>
    <w:rsid w:val="00321DBE"/>
  </w:style>
  <w:style w:type="paragraph" w:customStyle="1" w:styleId="CM27">
    <w:name w:val="CM27"/>
    <w:basedOn w:val="Normal"/>
    <w:next w:val="Normal"/>
    <w:uiPriority w:val="99"/>
    <w:rsid w:val="00321DBE"/>
    <w:pPr>
      <w:autoSpaceDE w:val="0"/>
      <w:autoSpaceDN w:val="0"/>
      <w:adjustRightInd w:val="0"/>
      <w:spacing w:after="0" w:line="240" w:lineRule="auto"/>
      <w:jc w:val="left"/>
    </w:pPr>
    <w:rPr>
      <w:rFonts w:ascii="Arial" w:hAnsi="Arial" w:cs="Arial"/>
      <w:szCs w:val="24"/>
      <w:lang w:eastAsia="en-US"/>
    </w:rPr>
  </w:style>
  <w:style w:type="paragraph" w:customStyle="1" w:styleId="CM34">
    <w:name w:val="CM34"/>
    <w:basedOn w:val="Normal"/>
    <w:next w:val="Normal"/>
    <w:uiPriority w:val="99"/>
    <w:rsid w:val="00321DBE"/>
    <w:pPr>
      <w:autoSpaceDE w:val="0"/>
      <w:autoSpaceDN w:val="0"/>
      <w:adjustRightInd w:val="0"/>
      <w:spacing w:after="0" w:line="240" w:lineRule="auto"/>
      <w:jc w:val="left"/>
    </w:pPr>
    <w:rPr>
      <w:rFonts w:ascii="Times New Roman" w:hAnsi="Times New Roman" w:cs="Times New Roman"/>
      <w:szCs w:val="24"/>
      <w:lang w:eastAsia="en-US"/>
    </w:rPr>
  </w:style>
  <w:style w:type="paragraph" w:customStyle="1" w:styleId="CM28">
    <w:name w:val="CM28"/>
    <w:basedOn w:val="Normal"/>
    <w:next w:val="Normal"/>
    <w:uiPriority w:val="99"/>
    <w:rsid w:val="00321DBE"/>
    <w:pPr>
      <w:autoSpaceDE w:val="0"/>
      <w:autoSpaceDN w:val="0"/>
      <w:adjustRightInd w:val="0"/>
      <w:spacing w:after="0" w:line="240" w:lineRule="auto"/>
      <w:jc w:val="left"/>
    </w:pPr>
    <w:rPr>
      <w:rFonts w:ascii="Times New Roman" w:hAnsi="Times New Roman" w:cs="Times New Roman"/>
      <w:szCs w:val="24"/>
      <w:lang w:eastAsia="en-US"/>
    </w:rPr>
  </w:style>
  <w:style w:type="character" w:customStyle="1" w:styleId="PersonalComposeStyle">
    <w:name w:val="Personal Compose Style"/>
    <w:basedOn w:val="DefaultParagraphFont"/>
    <w:rsid w:val="00321DBE"/>
    <w:rPr>
      <w:rFonts w:ascii="Arial" w:hAnsi="Arial" w:cs="Arial"/>
      <w:color w:val="auto"/>
      <w:sz w:val="20"/>
    </w:rPr>
  </w:style>
  <w:style w:type="character" w:customStyle="1" w:styleId="PersonalReplyStyle">
    <w:name w:val="Personal Reply Style"/>
    <w:basedOn w:val="DefaultParagraphFont"/>
    <w:rsid w:val="00321DBE"/>
    <w:rPr>
      <w:rFonts w:ascii="Arial" w:hAnsi="Arial" w:cs="Arial"/>
      <w:color w:val="auto"/>
      <w:sz w:val="20"/>
    </w:rPr>
  </w:style>
  <w:style w:type="paragraph" w:customStyle="1" w:styleId="Bullet">
    <w:name w:val="Bullet"/>
    <w:basedOn w:val="Normal"/>
    <w:rsid w:val="00321DBE"/>
    <w:pPr>
      <w:numPr>
        <w:numId w:val="24"/>
      </w:numPr>
      <w:spacing w:after="240" w:line="312" w:lineRule="auto"/>
      <w:jc w:val="left"/>
    </w:pPr>
    <w:rPr>
      <w:rFonts w:ascii="Calibri" w:eastAsia="Times New Roman" w:hAnsi="Calibri" w:cs="Tahoma"/>
      <w:sz w:val="22"/>
    </w:rPr>
  </w:style>
  <w:style w:type="paragraph" w:styleId="Date">
    <w:name w:val="Date"/>
    <w:basedOn w:val="Normal"/>
    <w:next w:val="Normal"/>
    <w:link w:val="DateChar"/>
    <w:rsid w:val="00321DBE"/>
    <w:pPr>
      <w:spacing w:after="240" w:line="312" w:lineRule="auto"/>
      <w:ind w:right="113"/>
      <w:jc w:val="right"/>
    </w:pPr>
    <w:rPr>
      <w:rFonts w:ascii="Arial" w:eastAsia="Times New Roman" w:hAnsi="Arial" w:cs="Tahoma"/>
      <w:b/>
      <w:sz w:val="36"/>
    </w:rPr>
  </w:style>
  <w:style w:type="character" w:customStyle="1" w:styleId="DateChar">
    <w:name w:val="Date Char"/>
    <w:basedOn w:val="DefaultParagraphFont"/>
    <w:link w:val="Date"/>
    <w:rsid w:val="00321DBE"/>
    <w:rPr>
      <w:rFonts w:ascii="Arial" w:eastAsia="Times New Roman" w:hAnsi="Arial" w:cs="Tahoma"/>
      <w:b/>
      <w:sz w:val="36"/>
    </w:rPr>
  </w:style>
  <w:style w:type="paragraph" w:customStyle="1" w:styleId="Summaryboxtext">
    <w:name w:val="Summary box text"/>
    <w:basedOn w:val="Normal"/>
    <w:rsid w:val="00321DBE"/>
    <w:pPr>
      <w:spacing w:after="100" w:afterAutospacing="1" w:line="312" w:lineRule="auto"/>
      <w:jc w:val="left"/>
    </w:pPr>
    <w:rPr>
      <w:rFonts w:ascii="Arial Narrow" w:eastAsia="Times New Roman" w:hAnsi="Arial Narrow" w:cs="Tahoma"/>
      <w:sz w:val="22"/>
    </w:rPr>
  </w:style>
  <w:style w:type="paragraph" w:customStyle="1" w:styleId="Summaryboxheading">
    <w:name w:val="Summary box heading"/>
    <w:basedOn w:val="Summaryboxtext"/>
    <w:rsid w:val="00321DBE"/>
    <w:pPr>
      <w:spacing w:before="120"/>
    </w:pPr>
    <w:rPr>
      <w:b/>
    </w:rPr>
  </w:style>
  <w:style w:type="paragraph" w:customStyle="1" w:styleId="Heading2a">
    <w:name w:val="Heading 2a"/>
    <w:basedOn w:val="Heading2"/>
    <w:rsid w:val="00321DBE"/>
    <w:pPr>
      <w:keepLines w:val="0"/>
      <w:spacing w:before="0" w:after="120" w:line="240" w:lineRule="auto"/>
      <w:jc w:val="left"/>
      <w:outlineLvl w:val="9"/>
    </w:pPr>
    <w:rPr>
      <w:rFonts w:ascii="Arial Narrow" w:eastAsia="Times New Roman" w:hAnsi="Arial Narrow" w:cs="Tahoma"/>
      <w:color w:val="auto"/>
      <w:sz w:val="22"/>
      <w:szCs w:val="22"/>
    </w:rPr>
  </w:style>
  <w:style w:type="character" w:styleId="PageNumber">
    <w:name w:val="page number"/>
    <w:rsid w:val="00321DBE"/>
    <w:rPr>
      <w:rFonts w:ascii="Tahoma" w:hAnsi="Tahoma"/>
      <w:b/>
      <w:sz w:val="18"/>
    </w:rPr>
  </w:style>
  <w:style w:type="paragraph" w:customStyle="1" w:styleId="PublicationTitle">
    <w:name w:val="PublicationTitle"/>
    <w:basedOn w:val="Normal"/>
    <w:rsid w:val="00321DBE"/>
    <w:pPr>
      <w:spacing w:after="240" w:line="480" w:lineRule="exact"/>
      <w:ind w:right="113"/>
      <w:jc w:val="right"/>
    </w:pPr>
    <w:rPr>
      <w:rFonts w:ascii="Arial" w:eastAsia="Times New Roman" w:hAnsi="Arial" w:cs="Tahoma"/>
      <w:b/>
      <w:i/>
      <w:sz w:val="44"/>
    </w:rPr>
  </w:style>
  <w:style w:type="paragraph" w:customStyle="1" w:styleId="Sub-title">
    <w:name w:val="Sub-title"/>
    <w:basedOn w:val="Normal"/>
    <w:rsid w:val="00321DBE"/>
    <w:pPr>
      <w:spacing w:after="240" w:line="312" w:lineRule="auto"/>
      <w:ind w:right="113"/>
      <w:jc w:val="right"/>
    </w:pPr>
    <w:rPr>
      <w:rFonts w:ascii="Arial" w:eastAsia="Times New Roman" w:hAnsi="Arial" w:cs="Tahoma"/>
      <w:b/>
      <w:sz w:val="32"/>
    </w:rPr>
  </w:style>
  <w:style w:type="paragraph" w:customStyle="1" w:styleId="TableText2">
    <w:name w:val="TableText"/>
    <w:basedOn w:val="Normal"/>
    <w:link w:val="TableTextChar1"/>
    <w:rsid w:val="00321DBE"/>
    <w:pPr>
      <w:keepNext/>
      <w:spacing w:before="40" w:after="40" w:line="312" w:lineRule="auto"/>
      <w:jc w:val="left"/>
    </w:pPr>
    <w:rPr>
      <w:rFonts w:ascii="Arial Narrow" w:eastAsia="Times New Roman" w:hAnsi="Arial Narrow" w:cs="Tahoma"/>
      <w:sz w:val="18"/>
    </w:rPr>
  </w:style>
  <w:style w:type="character" w:customStyle="1" w:styleId="TableTextChar1">
    <w:name w:val="TableText Char"/>
    <w:link w:val="TableText2"/>
    <w:rsid w:val="00321DBE"/>
    <w:rPr>
      <w:rFonts w:ascii="Arial Narrow" w:eastAsia="Times New Roman" w:hAnsi="Arial Narrow" w:cs="Tahoma"/>
      <w:sz w:val="18"/>
    </w:rPr>
  </w:style>
  <w:style w:type="paragraph" w:customStyle="1" w:styleId="TableName0">
    <w:name w:val="TableName"/>
    <w:basedOn w:val="TableText2"/>
    <w:link w:val="TableNameChar0"/>
    <w:rsid w:val="00321DBE"/>
    <w:pPr>
      <w:ind w:left="1440" w:hanging="720"/>
    </w:pPr>
    <w:rPr>
      <w:b/>
      <w:sz w:val="20"/>
    </w:rPr>
  </w:style>
  <w:style w:type="character" w:customStyle="1" w:styleId="TableNameChar0">
    <w:name w:val="TableName Char"/>
    <w:link w:val="TableName0"/>
    <w:rsid w:val="00321DBE"/>
    <w:rPr>
      <w:rFonts w:ascii="Arial Narrow" w:eastAsia="Times New Roman" w:hAnsi="Arial Narrow" w:cs="Tahoma"/>
      <w:b/>
      <w:sz w:val="20"/>
    </w:rPr>
  </w:style>
  <w:style w:type="paragraph" w:customStyle="1" w:styleId="TableNotes">
    <w:name w:val="TableNotes"/>
    <w:basedOn w:val="TableText2"/>
    <w:link w:val="TableNotesChar"/>
    <w:rsid w:val="00321DBE"/>
    <w:pPr>
      <w:keepNext w:val="0"/>
      <w:keepLines/>
      <w:spacing w:before="0" w:after="360"/>
      <w:ind w:left="720"/>
      <w:contextualSpacing/>
    </w:pPr>
    <w:rPr>
      <w:sz w:val="16"/>
    </w:rPr>
  </w:style>
  <w:style w:type="character" w:customStyle="1" w:styleId="TableNotesChar">
    <w:name w:val="TableNotes Char"/>
    <w:link w:val="TableNotes"/>
    <w:rsid w:val="00321DBE"/>
    <w:rPr>
      <w:rFonts w:ascii="Arial Narrow" w:eastAsia="Times New Roman" w:hAnsi="Arial Narrow" w:cs="Tahoma"/>
      <w:sz w:val="16"/>
    </w:rPr>
  </w:style>
  <w:style w:type="paragraph" w:styleId="Title">
    <w:name w:val="Title"/>
    <w:basedOn w:val="Normal"/>
    <w:link w:val="TitleChar"/>
    <w:qFormat/>
    <w:rsid w:val="00321DBE"/>
    <w:pPr>
      <w:spacing w:after="240" w:line="312" w:lineRule="auto"/>
      <w:jc w:val="center"/>
    </w:pPr>
    <w:rPr>
      <w:rFonts w:ascii="Arial" w:eastAsia="Times New Roman" w:hAnsi="Arial" w:cs="Tahoma"/>
      <w:b/>
      <w:smallCaps/>
      <w:sz w:val="44"/>
    </w:rPr>
  </w:style>
  <w:style w:type="character" w:customStyle="1" w:styleId="TitleChar">
    <w:name w:val="Title Char"/>
    <w:basedOn w:val="DefaultParagraphFont"/>
    <w:link w:val="Title"/>
    <w:rsid w:val="00321DBE"/>
    <w:rPr>
      <w:rFonts w:ascii="Arial" w:eastAsia="Times New Roman" w:hAnsi="Arial" w:cs="Tahoma"/>
      <w:b/>
      <w:smallCaps/>
      <w:sz w:val="44"/>
    </w:rPr>
  </w:style>
  <w:style w:type="paragraph" w:customStyle="1" w:styleId="Dash">
    <w:name w:val="Dash"/>
    <w:basedOn w:val="Normal"/>
    <w:rsid w:val="00321DBE"/>
    <w:pPr>
      <w:numPr>
        <w:numId w:val="25"/>
      </w:numPr>
      <w:spacing w:after="240" w:line="312" w:lineRule="auto"/>
      <w:jc w:val="left"/>
    </w:pPr>
    <w:rPr>
      <w:rFonts w:ascii="Calibri" w:eastAsia="Times New Roman" w:hAnsi="Calibri" w:cs="Tahoma"/>
      <w:sz w:val="22"/>
    </w:rPr>
  </w:style>
  <w:style w:type="paragraph" w:customStyle="1" w:styleId="TableHeading0">
    <w:name w:val="Table Heading"/>
    <w:basedOn w:val="Normal"/>
    <w:next w:val="Normal"/>
    <w:rsid w:val="00321DBE"/>
    <w:pPr>
      <w:keepNext/>
      <w:spacing w:before="40" w:after="40" w:line="312" w:lineRule="auto"/>
      <w:jc w:val="left"/>
    </w:pPr>
    <w:rPr>
      <w:rFonts w:ascii="Arial" w:eastAsia="Times New Roman" w:hAnsi="Arial" w:cs="Tahoma"/>
      <w:b/>
      <w:sz w:val="18"/>
      <w:lang w:val="en-GB" w:eastAsia="en-US"/>
    </w:rPr>
  </w:style>
  <w:style w:type="character" w:customStyle="1" w:styleId="TableTextChar0">
    <w:name w:val="Table Text Char"/>
    <w:link w:val="TableText0"/>
    <w:rsid w:val="00321DBE"/>
    <w:rPr>
      <w:rFonts w:ascii="Arial Narrow" w:eastAsia="Times New Roman" w:hAnsi="Arial Narrow" w:cs="Arial"/>
      <w:sz w:val="18"/>
    </w:rPr>
  </w:style>
  <w:style w:type="paragraph" w:customStyle="1" w:styleId="Boxname">
    <w:name w:val="Box name"/>
    <w:basedOn w:val="TableName0"/>
    <w:link w:val="BoxnameChar"/>
    <w:rsid w:val="00321DBE"/>
  </w:style>
  <w:style w:type="character" w:customStyle="1" w:styleId="BoxnameChar">
    <w:name w:val="Box name Char"/>
    <w:basedOn w:val="TableNameChar0"/>
    <w:link w:val="Boxname"/>
    <w:rsid w:val="00321DBE"/>
    <w:rPr>
      <w:rFonts w:ascii="Arial Narrow" w:eastAsia="Times New Roman" w:hAnsi="Arial Narrow" w:cs="Tahoma"/>
      <w:b/>
      <w:sz w:val="20"/>
    </w:rPr>
  </w:style>
  <w:style w:type="paragraph" w:customStyle="1" w:styleId="StyleTableTextArialNarrowFirstline045cm">
    <w:name w:val="Style Table Text + Arial Narrow First line:  0.45 cm"/>
    <w:basedOn w:val="TableText0"/>
    <w:rsid w:val="00321DBE"/>
    <w:pPr>
      <w:keepNext/>
      <w:spacing w:before="40" w:after="360"/>
      <w:ind w:firstLine="720"/>
    </w:pPr>
    <w:rPr>
      <w:rFonts w:cs="Tahoma"/>
      <w:sz w:val="20"/>
      <w:lang w:eastAsia="en-US"/>
    </w:rPr>
  </w:style>
  <w:style w:type="paragraph" w:customStyle="1" w:styleId="TableNamea">
    <w:name w:val="Table Name(a)"/>
    <w:basedOn w:val="Normal"/>
    <w:rsid w:val="00321DBE"/>
    <w:pPr>
      <w:keepNext/>
      <w:spacing w:before="120" w:after="120" w:line="312" w:lineRule="auto"/>
      <w:ind w:left="1077" w:hanging="1077"/>
      <w:jc w:val="left"/>
    </w:pPr>
    <w:rPr>
      <w:rFonts w:ascii="Arial" w:eastAsia="Times New Roman" w:hAnsi="Arial" w:cs="Tahoma"/>
      <w:b/>
      <w:sz w:val="20"/>
      <w:lang w:eastAsia="en-US"/>
    </w:rPr>
  </w:style>
  <w:style w:type="paragraph" w:styleId="DocumentMap">
    <w:name w:val="Document Map"/>
    <w:basedOn w:val="Normal"/>
    <w:link w:val="DocumentMapChar"/>
    <w:rsid w:val="00321DBE"/>
    <w:pPr>
      <w:spacing w:after="240" w:line="312" w:lineRule="auto"/>
      <w:jc w:val="left"/>
    </w:pPr>
    <w:rPr>
      <w:rFonts w:ascii="Calibri" w:eastAsia="Times New Roman" w:hAnsi="Calibri" w:cs="Tahoma"/>
      <w:sz w:val="16"/>
      <w:szCs w:val="16"/>
    </w:rPr>
  </w:style>
  <w:style w:type="character" w:customStyle="1" w:styleId="DocumentMapChar">
    <w:name w:val="Document Map Char"/>
    <w:basedOn w:val="DefaultParagraphFont"/>
    <w:link w:val="DocumentMap"/>
    <w:rsid w:val="00321DBE"/>
    <w:rPr>
      <w:rFonts w:ascii="Calibri" w:eastAsia="Times New Roman" w:hAnsi="Calibri" w:cs="Tahoma"/>
      <w:sz w:val="16"/>
      <w:szCs w:val="16"/>
    </w:rPr>
  </w:style>
  <w:style w:type="paragraph" w:customStyle="1" w:styleId="figureheading">
    <w:name w:val="figure heading"/>
    <w:basedOn w:val="Normal"/>
    <w:rsid w:val="00321DBE"/>
    <w:pPr>
      <w:keepNext/>
      <w:spacing w:before="120" w:after="120" w:line="312" w:lineRule="auto"/>
      <w:ind w:left="1077" w:hanging="1077"/>
      <w:jc w:val="left"/>
    </w:pPr>
    <w:rPr>
      <w:rFonts w:ascii="Arial" w:eastAsia="Times New Roman" w:hAnsi="Arial" w:cs="Tahoma"/>
      <w:b/>
      <w:sz w:val="20"/>
      <w:lang w:eastAsia="en-US"/>
    </w:rPr>
  </w:style>
  <w:style w:type="paragraph" w:customStyle="1" w:styleId="Nnumberedlist">
    <w:name w:val="Nnumbered list"/>
    <w:basedOn w:val="Normal"/>
    <w:rsid w:val="00321DBE"/>
    <w:pPr>
      <w:numPr>
        <w:numId w:val="26"/>
      </w:numPr>
      <w:spacing w:after="240" w:line="312" w:lineRule="auto"/>
      <w:jc w:val="left"/>
    </w:pPr>
    <w:rPr>
      <w:rFonts w:ascii="Calibri" w:eastAsia="Times New Roman" w:hAnsi="Calibri" w:cs="Tahoma"/>
      <w:sz w:val="22"/>
    </w:rPr>
  </w:style>
  <w:style w:type="paragraph" w:customStyle="1" w:styleId="Figure">
    <w:name w:val="Figure"/>
    <w:basedOn w:val="TableName0"/>
    <w:rsid w:val="00321DBE"/>
    <w:pPr>
      <w:spacing w:before="120" w:after="120"/>
      <w:ind w:left="1800" w:hanging="1080"/>
    </w:pPr>
  </w:style>
  <w:style w:type="paragraph" w:customStyle="1" w:styleId="Equation">
    <w:name w:val="Equation"/>
    <w:basedOn w:val="Header"/>
    <w:rsid w:val="00321DBE"/>
    <w:pPr>
      <w:tabs>
        <w:tab w:val="clear" w:pos="4513"/>
        <w:tab w:val="clear" w:pos="9026"/>
      </w:tabs>
      <w:spacing w:after="240" w:line="312" w:lineRule="auto"/>
      <w:jc w:val="left"/>
    </w:pPr>
    <w:rPr>
      <w:rFonts w:ascii="Arial Narrow" w:eastAsia="Times New Roman" w:hAnsi="Arial Narrow" w:cs="Tahoma"/>
      <w:sz w:val="20"/>
    </w:rPr>
  </w:style>
  <w:style w:type="paragraph" w:customStyle="1" w:styleId="AHTAaddresslines">
    <w:name w:val="AHTA address lines"/>
    <w:basedOn w:val="PlainText"/>
    <w:rsid w:val="00321DBE"/>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321DBE"/>
    <w:pPr>
      <w:spacing w:after="0" w:line="312" w:lineRule="auto"/>
      <w:jc w:val="left"/>
    </w:pPr>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321DBE"/>
    <w:rPr>
      <w:rFonts w:ascii="Courier New" w:eastAsia="Times New Roman" w:hAnsi="Courier New" w:cs="Courier New"/>
      <w:sz w:val="20"/>
      <w:lang w:eastAsia="en-US"/>
    </w:rPr>
  </w:style>
  <w:style w:type="character" w:customStyle="1" w:styleId="regulartext">
    <w:name w:val="regulartext"/>
    <w:basedOn w:val="DefaultParagraphFont"/>
    <w:rsid w:val="00321DBE"/>
  </w:style>
  <w:style w:type="paragraph" w:customStyle="1" w:styleId="bodytext0">
    <w:name w:val="bodytext"/>
    <w:basedOn w:val="Normal"/>
    <w:rsid w:val="00321DBE"/>
    <w:pPr>
      <w:spacing w:before="100" w:beforeAutospacing="1" w:after="100" w:afterAutospacing="1" w:line="312" w:lineRule="auto"/>
      <w:jc w:val="left"/>
    </w:pPr>
    <w:rPr>
      <w:rFonts w:ascii="Times New Roman" w:eastAsia="Times New Roman" w:hAnsi="Times New Roman" w:cs="Tahoma"/>
      <w:sz w:val="22"/>
      <w:szCs w:val="24"/>
    </w:rPr>
  </w:style>
  <w:style w:type="character" w:customStyle="1" w:styleId="mainsubheader1">
    <w:name w:val="mainsubheader1"/>
    <w:rsid w:val="00321DBE"/>
    <w:rPr>
      <w:b/>
      <w:bCs/>
    </w:rPr>
  </w:style>
  <w:style w:type="paragraph" w:customStyle="1" w:styleId="Bullet12">
    <w:name w:val="Bullet+12"/>
    <w:basedOn w:val="Normal"/>
    <w:rsid w:val="00321DBE"/>
    <w:pPr>
      <w:tabs>
        <w:tab w:val="num" w:pos="357"/>
      </w:tabs>
      <w:spacing w:after="240" w:line="312" w:lineRule="auto"/>
      <w:ind w:left="357" w:hanging="357"/>
      <w:jc w:val="left"/>
    </w:pPr>
    <w:rPr>
      <w:rFonts w:ascii="Times New Roman" w:eastAsia="Times New Roman" w:hAnsi="Times New Roman" w:cs="Tahoma"/>
      <w:sz w:val="22"/>
      <w:lang w:eastAsia="en-US"/>
    </w:rPr>
  </w:style>
  <w:style w:type="paragraph" w:customStyle="1" w:styleId="Bullet6">
    <w:name w:val="Bullet+6"/>
    <w:basedOn w:val="Normal"/>
    <w:rsid w:val="00321DBE"/>
    <w:pPr>
      <w:tabs>
        <w:tab w:val="num" w:pos="578"/>
      </w:tabs>
      <w:spacing w:after="0" w:line="312" w:lineRule="auto"/>
      <w:ind w:left="578" w:hanging="360"/>
      <w:jc w:val="left"/>
    </w:pPr>
    <w:rPr>
      <w:rFonts w:ascii="Times New Roman" w:eastAsia="Times New Roman" w:hAnsi="Times New Roman" w:cs="Tahoma"/>
      <w:sz w:val="22"/>
      <w:szCs w:val="24"/>
    </w:rPr>
  </w:style>
  <w:style w:type="table" w:styleId="TableClassic1">
    <w:name w:val="Table Classic 1"/>
    <w:basedOn w:val="TableNormal"/>
    <w:rsid w:val="00321DBE"/>
    <w:pPr>
      <w:spacing w:after="240" w:line="312" w:lineRule="auto"/>
    </w:pPr>
    <w:rPr>
      <w:rFonts w:eastAsia="Times New Roman" w:cs="Times New Roman"/>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1">
    <w:name w:val="Style1"/>
    <w:basedOn w:val="Normal"/>
    <w:rsid w:val="00321DBE"/>
    <w:pPr>
      <w:tabs>
        <w:tab w:val="left" w:pos="720"/>
      </w:tabs>
      <w:spacing w:after="0" w:line="240" w:lineRule="auto"/>
      <w:jc w:val="left"/>
    </w:pPr>
    <w:rPr>
      <w:rFonts w:ascii="Bookman Old Style" w:eastAsia="Times New Roman" w:hAnsi="Bookman Old Style" w:cs="Times New Roman"/>
      <w:sz w:val="20"/>
      <w:szCs w:val="20"/>
      <w:lang w:val="en-US" w:eastAsia="en-US"/>
    </w:rPr>
  </w:style>
  <w:style w:type="character" w:customStyle="1" w:styleId="st1">
    <w:name w:val="st1"/>
    <w:basedOn w:val="DefaultParagraphFont"/>
    <w:rsid w:val="00321DBE"/>
  </w:style>
  <w:style w:type="table" w:customStyle="1" w:styleId="TableGrid11">
    <w:name w:val="Table Grid11"/>
    <w:basedOn w:val="TableNormal"/>
    <w:next w:val="TableGrid"/>
    <w:rsid w:val="00321DBE"/>
    <w:pPr>
      <w:spacing w:before="40" w:after="40" w:line="240" w:lineRule="auto"/>
    </w:pPr>
    <w:rPr>
      <w:rFonts w:ascii="Arial Narrow" w:eastAsia="Times New Roman" w:hAnsi="Arial Narrow"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arlett" w:hAnsi="Marlett"/>
        <w:b w:val="0"/>
        <w:sz w:val="20"/>
      </w:rPr>
    </w:tblStylePr>
  </w:style>
  <w:style w:type="paragraph" w:customStyle="1" w:styleId="desc">
    <w:name w:val="desc"/>
    <w:basedOn w:val="Normal"/>
    <w:rsid w:val="00321DBE"/>
    <w:pPr>
      <w:spacing w:before="100" w:beforeAutospacing="1" w:after="100" w:afterAutospacing="1" w:line="240" w:lineRule="auto"/>
      <w:jc w:val="left"/>
    </w:pPr>
    <w:rPr>
      <w:rFonts w:ascii="Times New Roman" w:eastAsia="Times New Roman" w:hAnsi="Times New Roman" w:cs="Times New Roman"/>
      <w:sz w:val="22"/>
      <w:szCs w:val="24"/>
    </w:rPr>
  </w:style>
  <w:style w:type="paragraph" w:customStyle="1" w:styleId="details">
    <w:name w:val="details"/>
    <w:basedOn w:val="Normal"/>
    <w:rsid w:val="00321DBE"/>
    <w:pPr>
      <w:spacing w:before="100" w:beforeAutospacing="1" w:after="100" w:afterAutospacing="1" w:line="240" w:lineRule="auto"/>
      <w:jc w:val="left"/>
    </w:pPr>
    <w:rPr>
      <w:rFonts w:ascii="Times New Roman" w:eastAsia="Times New Roman" w:hAnsi="Times New Roman" w:cs="Times New Roman"/>
      <w:sz w:val="22"/>
      <w:szCs w:val="24"/>
    </w:rPr>
  </w:style>
  <w:style w:type="character" w:customStyle="1" w:styleId="jrnl">
    <w:name w:val="jrnl"/>
    <w:basedOn w:val="DefaultParagraphFont"/>
    <w:rsid w:val="00321DBE"/>
  </w:style>
  <w:style w:type="character" w:customStyle="1" w:styleId="A5">
    <w:name w:val="A5"/>
    <w:uiPriority w:val="99"/>
    <w:rsid w:val="00321DBE"/>
    <w:rPr>
      <w:rFonts w:cs="Humanist 77 7 BT"/>
      <w:color w:val="000000"/>
      <w:sz w:val="11"/>
      <w:szCs w:val="11"/>
    </w:rPr>
  </w:style>
  <w:style w:type="paragraph" w:customStyle="1" w:styleId="TOCHeading1">
    <w:name w:val="TOC Heading1"/>
    <w:basedOn w:val="Heading1"/>
    <w:next w:val="Normal"/>
    <w:uiPriority w:val="39"/>
    <w:unhideWhenUsed/>
    <w:qFormat/>
    <w:rsid w:val="00321DBE"/>
    <w:pPr>
      <w:spacing w:before="480" w:after="0"/>
      <w:jc w:val="left"/>
      <w:outlineLvl w:val="9"/>
    </w:pPr>
    <w:rPr>
      <w:rFonts w:ascii="Cambria" w:eastAsia="MS Gothic" w:hAnsi="Cambria" w:cs="Times New Roman"/>
      <w:smallCaps/>
      <w:color w:val="365F91"/>
      <w:sz w:val="28"/>
      <w:szCs w:val="28"/>
      <w:lang w:val="en-US" w:eastAsia="en-US"/>
    </w:rPr>
  </w:style>
  <w:style w:type="character" w:customStyle="1" w:styleId="highlight">
    <w:name w:val="highlight"/>
    <w:basedOn w:val="DefaultParagraphFont"/>
    <w:rsid w:val="00321DBE"/>
  </w:style>
  <w:style w:type="paragraph" w:customStyle="1" w:styleId="ESSectionHeading-numbered0">
    <w:name w:val="ES. Section Heading - numbered"/>
    <w:basedOn w:val="Heading3"/>
    <w:link w:val="ESSectionHeading-numberedChar"/>
    <w:rsid w:val="00321DBE"/>
    <w:pPr>
      <w:keepLines w:val="0"/>
      <w:numPr>
        <w:numId w:val="28"/>
      </w:numPr>
      <w:spacing w:before="240" w:after="120" w:line="312" w:lineRule="auto"/>
      <w:jc w:val="left"/>
    </w:pPr>
    <w:rPr>
      <w:rFonts w:ascii="Calibri" w:eastAsia="Times New Roman" w:hAnsi="Calibri" w:cs="Tahoma"/>
      <w:bCs w:val="0"/>
      <w:smallCaps/>
      <w:szCs w:val="24"/>
      <w:lang w:eastAsia="en-US"/>
    </w:rPr>
  </w:style>
  <w:style w:type="paragraph" w:customStyle="1" w:styleId="MainBodySectionHeading-numbered">
    <w:name w:val="Main Body Section Heading - numbered"/>
    <w:basedOn w:val="Heading2"/>
    <w:link w:val="MainBodySectionHeading-numberedChar"/>
    <w:rsid w:val="00321DBE"/>
    <w:pPr>
      <w:keepLines w:val="0"/>
      <w:numPr>
        <w:numId w:val="27"/>
      </w:numPr>
      <w:spacing w:before="0" w:after="120" w:line="240" w:lineRule="auto"/>
      <w:ind w:left="567" w:hanging="567"/>
      <w:jc w:val="left"/>
    </w:pPr>
    <w:rPr>
      <w:rFonts w:ascii="Arial Narrow" w:eastAsia="Times New Roman" w:hAnsi="Arial Narrow" w:cs="Tahoma"/>
      <w:color w:val="4F81BD"/>
      <w:lang w:eastAsia="en-US"/>
    </w:rPr>
  </w:style>
  <w:style w:type="character" w:customStyle="1" w:styleId="ESSectionHeading-numberedChar">
    <w:name w:val="ES. Section Heading - numbered Char"/>
    <w:basedOn w:val="Heading3Char"/>
    <w:link w:val="ESSectionHeading-numbered0"/>
    <w:rsid w:val="00321DBE"/>
    <w:rPr>
      <w:rFonts w:ascii="Calibri" w:eastAsia="Times New Roman" w:hAnsi="Calibri" w:cs="Tahoma"/>
      <w:b/>
      <w:bCs w:val="0"/>
      <w:i/>
      <w:smallCaps/>
      <w:sz w:val="30"/>
      <w:szCs w:val="24"/>
      <w:lang w:eastAsia="en-US"/>
    </w:rPr>
  </w:style>
  <w:style w:type="character" w:customStyle="1" w:styleId="MainBodySectionHeading-numberedChar">
    <w:name w:val="Main Body Section Heading - numbered Char"/>
    <w:basedOn w:val="Heading2Char"/>
    <w:link w:val="MainBodySectionHeading-numbered"/>
    <w:rsid w:val="00321DBE"/>
    <w:rPr>
      <w:rFonts w:ascii="Arial Narrow" w:eastAsia="Times New Roman" w:hAnsi="Arial Narrow" w:cs="Tahoma"/>
      <w:b/>
      <w:bCs/>
      <w:color w:val="4F81BD"/>
      <w:sz w:val="32"/>
      <w:szCs w:val="26"/>
      <w:lang w:eastAsia="en-US"/>
    </w:rPr>
  </w:style>
  <w:style w:type="paragraph" w:customStyle="1" w:styleId="Tablenotes0">
    <w:name w:val="Tablenotes"/>
    <w:basedOn w:val="Normal"/>
    <w:link w:val="TablenotesChar0"/>
    <w:qFormat/>
    <w:rsid w:val="00321DBE"/>
    <w:pPr>
      <w:widowControl w:val="0"/>
      <w:spacing w:before="40" w:after="240" w:line="240" w:lineRule="auto"/>
    </w:pPr>
    <w:rPr>
      <w:rFonts w:ascii="Arial Narrow" w:eastAsia="SimSun" w:hAnsi="Arial Narrow" w:cs="Arial"/>
      <w:snapToGrid w:val="0"/>
      <w:sz w:val="20"/>
      <w:szCs w:val="20"/>
      <w:lang w:eastAsia="en-US"/>
    </w:rPr>
  </w:style>
  <w:style w:type="character" w:customStyle="1" w:styleId="TablenotesChar0">
    <w:name w:val="Tablenotes Char"/>
    <w:basedOn w:val="DefaultParagraphFont"/>
    <w:link w:val="Tablenotes0"/>
    <w:rsid w:val="00321DBE"/>
    <w:rPr>
      <w:rFonts w:ascii="Arial Narrow" w:eastAsia="SimSun" w:hAnsi="Arial Narrow" w:cs="Arial"/>
      <w:snapToGrid w:val="0"/>
      <w:sz w:val="20"/>
      <w:szCs w:val="20"/>
      <w:lang w:eastAsia="en-US"/>
    </w:rPr>
  </w:style>
  <w:style w:type="paragraph" w:customStyle="1" w:styleId="TableNotes18">
    <w:name w:val="TableNotes+18"/>
    <w:basedOn w:val="TableText2"/>
    <w:uiPriority w:val="99"/>
    <w:rsid w:val="00321DBE"/>
    <w:pPr>
      <w:keepNext w:val="0"/>
      <w:keepLines/>
      <w:spacing w:before="0" w:after="360" w:line="240" w:lineRule="auto"/>
      <w:ind w:left="720"/>
    </w:pPr>
    <w:rPr>
      <w:rFonts w:cs="Times New Roman"/>
      <w:color w:val="000000"/>
      <w:szCs w:val="21"/>
    </w:rPr>
  </w:style>
  <w:style w:type="paragraph" w:customStyle="1" w:styleId="TableNotes00">
    <w:name w:val="TableNotes+0"/>
    <w:basedOn w:val="TableNotes18"/>
    <w:uiPriority w:val="99"/>
    <w:rsid w:val="00321DBE"/>
    <w:pPr>
      <w:keepNext/>
      <w:spacing w:after="0"/>
    </w:pPr>
  </w:style>
  <w:style w:type="paragraph" w:customStyle="1" w:styleId="TFAbbrevs0">
    <w:name w:val="TFAbbrevs+0"/>
    <w:basedOn w:val="Normal"/>
    <w:qFormat/>
    <w:rsid w:val="00321DBE"/>
    <w:pPr>
      <w:keepNext/>
      <w:keepLines/>
      <w:spacing w:after="0" w:line="240" w:lineRule="auto"/>
      <w:jc w:val="left"/>
    </w:pPr>
    <w:rPr>
      <w:rFonts w:ascii="Arial Narrow" w:eastAsia="Times New Roman" w:hAnsi="Arial Narrow" w:cs="Times New Roman"/>
      <w:color w:val="000000"/>
      <w:sz w:val="18"/>
      <w:szCs w:val="18"/>
    </w:rPr>
  </w:style>
  <w:style w:type="paragraph" w:customStyle="1" w:styleId="TFAbbrevs18">
    <w:name w:val="TFAbbrevs+18"/>
    <w:basedOn w:val="TFAbbrevs0"/>
    <w:next w:val="Normal"/>
    <w:qFormat/>
    <w:rsid w:val="00321DBE"/>
    <w:pPr>
      <w:spacing w:after="360"/>
    </w:pPr>
  </w:style>
  <w:style w:type="paragraph" w:customStyle="1" w:styleId="Comment">
    <w:name w:val="Comment"/>
    <w:basedOn w:val="Normal"/>
    <w:link w:val="CommentChar"/>
    <w:rsid w:val="00321DBE"/>
    <w:pPr>
      <w:tabs>
        <w:tab w:val="num" w:pos="720"/>
      </w:tabs>
      <w:spacing w:after="240" w:line="312" w:lineRule="auto"/>
    </w:pPr>
    <w:rPr>
      <w:rFonts w:ascii="Calibri" w:eastAsia="Times New Roman" w:hAnsi="Calibri" w:cs="Tahoma"/>
      <w:i/>
      <w:sz w:val="22"/>
    </w:rPr>
  </w:style>
  <w:style w:type="character" w:customStyle="1" w:styleId="CommentChar">
    <w:name w:val="Comment Char"/>
    <w:basedOn w:val="DefaultParagraphFont"/>
    <w:link w:val="Comment"/>
    <w:rsid w:val="00321DBE"/>
    <w:rPr>
      <w:rFonts w:ascii="Calibri" w:eastAsia="Times New Roman" w:hAnsi="Calibri" w:cs="Tahoma"/>
      <w:i/>
      <w:sz w:val="22"/>
    </w:rPr>
  </w:style>
  <w:style w:type="paragraph" w:customStyle="1" w:styleId="hidden">
    <w:name w:val="hidden"/>
    <w:basedOn w:val="Normal"/>
    <w:qFormat/>
    <w:rsid w:val="00321DBE"/>
    <w:pPr>
      <w:spacing w:after="240" w:line="312" w:lineRule="auto"/>
      <w:jc w:val="left"/>
    </w:pPr>
    <w:rPr>
      <w:rFonts w:ascii="Calibri" w:eastAsia="Times New Roman" w:hAnsi="Calibri" w:cs="Tahoma"/>
      <w:sz w:val="22"/>
    </w:rPr>
  </w:style>
  <w:style w:type="paragraph" w:customStyle="1" w:styleId="Guidelines">
    <w:name w:val="Guidelines"/>
    <w:basedOn w:val="Normal"/>
    <w:link w:val="GuidelinesChar"/>
    <w:qFormat/>
    <w:rsid w:val="00321DBE"/>
    <w:pPr>
      <w:spacing w:after="240" w:line="312" w:lineRule="auto"/>
    </w:pPr>
    <w:rPr>
      <w:rFonts w:ascii="Calibri" w:eastAsia="Times New Roman" w:hAnsi="Calibri" w:cs="Tahoma"/>
      <w:vanish/>
      <w:color w:val="C00000"/>
      <w:sz w:val="22"/>
    </w:rPr>
  </w:style>
  <w:style w:type="character" w:customStyle="1" w:styleId="GuidelinesChar">
    <w:name w:val="Guidelines Char"/>
    <w:basedOn w:val="DefaultParagraphFont"/>
    <w:link w:val="Guidelines"/>
    <w:rsid w:val="00321DBE"/>
    <w:rPr>
      <w:rFonts w:ascii="Calibri" w:eastAsia="Times New Roman" w:hAnsi="Calibri" w:cs="Tahoma"/>
      <w:vanish/>
      <w:color w:val="C00000"/>
      <w:sz w:val="22"/>
    </w:rPr>
  </w:style>
  <w:style w:type="table" w:customStyle="1" w:styleId="TableGrid51">
    <w:name w:val="Table Grid5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nt">
    <w:name w:val="Table font"/>
    <w:basedOn w:val="Normal"/>
    <w:link w:val="TablefontChar"/>
    <w:qFormat/>
    <w:rsid w:val="00321DBE"/>
    <w:pPr>
      <w:spacing w:before="120" w:after="120" w:line="240" w:lineRule="auto"/>
      <w:jc w:val="left"/>
    </w:pPr>
    <w:rPr>
      <w:rFonts w:ascii="Arial Narrow" w:eastAsia="Calibri" w:hAnsi="Arial Narrow" w:cs="Times New Roman"/>
      <w:sz w:val="18"/>
      <w:lang w:eastAsia="en-US"/>
    </w:rPr>
  </w:style>
  <w:style w:type="character" w:customStyle="1" w:styleId="TablefontChar">
    <w:name w:val="Table font Char"/>
    <w:basedOn w:val="DefaultParagraphFont"/>
    <w:link w:val="Tablefont"/>
    <w:rsid w:val="00321DBE"/>
    <w:rPr>
      <w:rFonts w:ascii="Arial Narrow" w:eastAsia="Calibri" w:hAnsi="Arial Narrow" w:cs="Times New Roman"/>
      <w:sz w:val="18"/>
      <w:lang w:eastAsia="en-US"/>
    </w:rPr>
  </w:style>
  <w:style w:type="character" w:customStyle="1" w:styleId="label">
    <w:name w:val="label"/>
    <w:basedOn w:val="DefaultParagraphFont"/>
    <w:rsid w:val="00321DBE"/>
  </w:style>
  <w:style w:type="character" w:customStyle="1" w:styleId="quality-sign">
    <w:name w:val="quality-sign"/>
    <w:basedOn w:val="DefaultParagraphFont"/>
    <w:rsid w:val="00321DBE"/>
  </w:style>
  <w:style w:type="table" w:customStyle="1" w:styleId="TableGrid52">
    <w:name w:val="Table Grid52"/>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321DBE"/>
    <w:pPr>
      <w:spacing w:after="0" w:line="240" w:lineRule="auto"/>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left">
    <w:name w:val="Table Text 1 (left)"/>
    <w:basedOn w:val="Normal"/>
    <w:link w:val="TableText1leftChar"/>
    <w:qFormat/>
    <w:rsid w:val="00532B79"/>
    <w:pPr>
      <w:spacing w:before="40" w:after="40" w:line="240" w:lineRule="auto"/>
      <w:jc w:val="left"/>
    </w:pPr>
    <w:rPr>
      <w:rFonts w:ascii="Arial" w:eastAsia="SimSun" w:hAnsi="Arial" w:cs="Calibri"/>
      <w:sz w:val="20"/>
      <w:szCs w:val="20"/>
      <w:lang w:val="en-GB" w:eastAsia="en-US"/>
    </w:rPr>
  </w:style>
  <w:style w:type="character" w:customStyle="1" w:styleId="TableText1leftChar">
    <w:name w:val="Table Text 1 (left) Char"/>
    <w:link w:val="TableText1left"/>
    <w:locked/>
    <w:rsid w:val="00532B79"/>
    <w:rPr>
      <w:rFonts w:ascii="Arial" w:eastAsia="SimSun" w:hAnsi="Arial" w:cs="Calibri"/>
      <w:sz w:val="20"/>
      <w:szCs w:val="20"/>
      <w:lang w:val="en-GB" w:eastAsia="en-US"/>
    </w:rPr>
  </w:style>
  <w:style w:type="table" w:customStyle="1" w:styleId="TableGrid581">
    <w:name w:val="Table Grid58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321DBE"/>
    <w:pPr>
      <w:spacing w:before="40" w:after="40" w:line="240" w:lineRule="auto"/>
    </w:pPr>
    <w:rPr>
      <w:rFonts w:ascii="Arial Narrow" w:eastAsia="Times New Roman" w:hAnsi="Arial Narrow"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numbering" w:customStyle="1" w:styleId="NoList11">
    <w:name w:val="No List11"/>
    <w:next w:val="NoList"/>
    <w:uiPriority w:val="99"/>
    <w:semiHidden/>
    <w:unhideWhenUsed/>
    <w:rsid w:val="00321DBE"/>
  </w:style>
  <w:style w:type="table" w:customStyle="1" w:styleId="TableGrid12">
    <w:name w:val="Table Grid12"/>
    <w:basedOn w:val="TableNormal"/>
    <w:next w:val="TableGrid"/>
    <w:uiPriority w:val="59"/>
    <w:rsid w:val="00321DBE"/>
    <w:pPr>
      <w:spacing w:before="40" w:after="40" w:line="240" w:lineRule="auto"/>
    </w:pPr>
    <w:rPr>
      <w:rFonts w:ascii="Calibri" w:eastAsia="Times New Roman" w:hAnsi="Calibri"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321DBE"/>
    <w:pPr>
      <w:spacing w:after="240" w:line="312" w:lineRule="auto"/>
    </w:pPr>
    <w:rPr>
      <w:rFonts w:eastAsia="Times New Roman" w:cs="Times New Roman"/>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
    <w:name w:val="Table Grid512"/>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321DBE"/>
    <w:pPr>
      <w:spacing w:before="40" w:after="40" w:line="240" w:lineRule="auto"/>
      <w:ind w:right="-57"/>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321DBE"/>
    <w:pPr>
      <w:spacing w:after="0" w:line="240" w:lineRule="auto"/>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21DBE"/>
    <w:pPr>
      <w:numPr>
        <w:numId w:val="29"/>
      </w:numPr>
      <w:spacing w:after="0" w:line="240" w:lineRule="auto"/>
      <w:contextualSpacing/>
      <w:jc w:val="left"/>
    </w:pPr>
    <w:rPr>
      <w:rFonts w:ascii="Times New Roman" w:eastAsia="Times New Roman" w:hAnsi="Times New Roman" w:cs="Times New Roman"/>
      <w:szCs w:val="20"/>
      <w:lang w:eastAsia="en-US"/>
    </w:rPr>
  </w:style>
  <w:style w:type="paragraph" w:customStyle="1" w:styleId="TableTextDusc">
    <w:name w:val="Table Text _Dusc"/>
    <w:basedOn w:val="Normal"/>
    <w:link w:val="TableTextDuscChar"/>
    <w:qFormat/>
    <w:rsid w:val="00AA4B84"/>
    <w:pPr>
      <w:autoSpaceDE w:val="0"/>
      <w:autoSpaceDN w:val="0"/>
      <w:adjustRightInd w:val="0"/>
      <w:spacing w:before="60" w:after="60" w:line="240" w:lineRule="auto"/>
      <w:jc w:val="left"/>
    </w:pPr>
    <w:rPr>
      <w:rFonts w:ascii="Arial" w:eastAsia="MS Mincho" w:hAnsi="Arial" w:cs="Calibri"/>
      <w:sz w:val="20"/>
      <w:szCs w:val="20"/>
    </w:rPr>
  </w:style>
  <w:style w:type="character" w:customStyle="1" w:styleId="TableTextDuscChar">
    <w:name w:val="Table Text _Dusc Char"/>
    <w:basedOn w:val="DefaultParagraphFont"/>
    <w:link w:val="TableTextDusc"/>
    <w:rsid w:val="00AA4B84"/>
    <w:rPr>
      <w:rFonts w:ascii="Arial" w:eastAsia="MS Mincho" w:hAnsi="Arial" w:cs="Calibri"/>
      <w:sz w:val="20"/>
      <w:szCs w:val="20"/>
    </w:rPr>
  </w:style>
  <w:style w:type="paragraph" w:customStyle="1" w:styleId="MDSubsubheding">
    <w:name w:val="MD_Sub sub heding"/>
    <w:basedOn w:val="Heading3"/>
    <w:next w:val="Normal"/>
    <w:qFormat/>
    <w:rsid w:val="00CD5644"/>
    <w:pPr>
      <w:spacing w:before="0" w:after="200" w:line="240" w:lineRule="auto"/>
      <w:jc w:val="left"/>
    </w:pPr>
    <w:rPr>
      <w:sz w:val="28"/>
      <w:szCs w:val="28"/>
    </w:rPr>
  </w:style>
  <w:style w:type="paragraph" w:customStyle="1" w:styleId="ToRText">
    <w:name w:val="ToR Text"/>
    <w:basedOn w:val="Normal"/>
    <w:link w:val="ToRTextChar"/>
    <w:qFormat/>
    <w:rsid w:val="004D7A6F"/>
    <w:pPr>
      <w:pBdr>
        <w:top w:val="single" w:sz="4" w:space="1" w:color="auto"/>
        <w:left w:val="single" w:sz="4" w:space="4" w:color="auto"/>
        <w:bottom w:val="single" w:sz="4" w:space="1" w:color="auto"/>
        <w:right w:val="single" w:sz="4" w:space="4" w:color="auto"/>
      </w:pBdr>
      <w:spacing w:line="240" w:lineRule="auto"/>
      <w:jc w:val="left"/>
    </w:pPr>
    <w:rPr>
      <w:rFonts w:cstheme="minorHAnsi"/>
      <w:b/>
      <w:color w:val="365F91" w:themeColor="accent1" w:themeShade="BF"/>
    </w:rPr>
  </w:style>
  <w:style w:type="character" w:customStyle="1" w:styleId="ToRTextChar">
    <w:name w:val="ToR Text Char"/>
    <w:basedOn w:val="DefaultParagraphFont"/>
    <w:link w:val="ToRText"/>
    <w:rsid w:val="004D7A6F"/>
    <w:rPr>
      <w:rFonts w:asciiTheme="minorHAnsi" w:hAnsiTheme="minorHAnsi" w:cstheme="minorHAnsi"/>
      <w:b/>
      <w:color w:val="365F91" w:themeColor="accent1" w:themeShade="BF"/>
    </w:rPr>
  </w:style>
  <w:style w:type="character" w:customStyle="1" w:styleId="TabletitleChar">
    <w:name w:val="Table title Char"/>
    <w:basedOn w:val="DefaultParagraphFont"/>
    <w:link w:val="Tabletitle"/>
    <w:locked/>
    <w:rsid w:val="00A2113B"/>
    <w:rPr>
      <w:rFonts w:ascii="Arial Narrow" w:eastAsia="Times New Roman" w:hAnsi="Arial Narrow" w:cs="Arial"/>
      <w:b/>
      <w:caps/>
      <w:color w:val="4B306A"/>
      <w:sz w:val="16"/>
      <w:szCs w:val="2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4975">
      <w:bodyDiv w:val="1"/>
      <w:marLeft w:val="0"/>
      <w:marRight w:val="0"/>
      <w:marTop w:val="0"/>
      <w:marBottom w:val="0"/>
      <w:divBdr>
        <w:top w:val="none" w:sz="0" w:space="0" w:color="auto"/>
        <w:left w:val="none" w:sz="0" w:space="0" w:color="auto"/>
        <w:bottom w:val="none" w:sz="0" w:space="0" w:color="auto"/>
        <w:right w:val="none" w:sz="0" w:space="0" w:color="auto"/>
      </w:divBdr>
    </w:div>
    <w:div w:id="32072882">
      <w:bodyDiv w:val="1"/>
      <w:marLeft w:val="0"/>
      <w:marRight w:val="0"/>
      <w:marTop w:val="0"/>
      <w:marBottom w:val="0"/>
      <w:divBdr>
        <w:top w:val="none" w:sz="0" w:space="0" w:color="auto"/>
        <w:left w:val="none" w:sz="0" w:space="0" w:color="auto"/>
        <w:bottom w:val="none" w:sz="0" w:space="0" w:color="auto"/>
        <w:right w:val="none" w:sz="0" w:space="0" w:color="auto"/>
      </w:divBdr>
    </w:div>
    <w:div w:id="40829544">
      <w:bodyDiv w:val="1"/>
      <w:marLeft w:val="0"/>
      <w:marRight w:val="0"/>
      <w:marTop w:val="0"/>
      <w:marBottom w:val="0"/>
      <w:divBdr>
        <w:top w:val="none" w:sz="0" w:space="0" w:color="auto"/>
        <w:left w:val="none" w:sz="0" w:space="0" w:color="auto"/>
        <w:bottom w:val="none" w:sz="0" w:space="0" w:color="auto"/>
        <w:right w:val="none" w:sz="0" w:space="0" w:color="auto"/>
      </w:divBdr>
    </w:div>
    <w:div w:id="80489018">
      <w:bodyDiv w:val="1"/>
      <w:marLeft w:val="0"/>
      <w:marRight w:val="0"/>
      <w:marTop w:val="0"/>
      <w:marBottom w:val="0"/>
      <w:divBdr>
        <w:top w:val="none" w:sz="0" w:space="0" w:color="auto"/>
        <w:left w:val="none" w:sz="0" w:space="0" w:color="auto"/>
        <w:bottom w:val="none" w:sz="0" w:space="0" w:color="auto"/>
        <w:right w:val="none" w:sz="0" w:space="0" w:color="auto"/>
      </w:divBdr>
    </w:div>
    <w:div w:id="82992838">
      <w:bodyDiv w:val="1"/>
      <w:marLeft w:val="0"/>
      <w:marRight w:val="0"/>
      <w:marTop w:val="0"/>
      <w:marBottom w:val="0"/>
      <w:divBdr>
        <w:top w:val="none" w:sz="0" w:space="0" w:color="auto"/>
        <w:left w:val="none" w:sz="0" w:space="0" w:color="auto"/>
        <w:bottom w:val="none" w:sz="0" w:space="0" w:color="auto"/>
        <w:right w:val="none" w:sz="0" w:space="0" w:color="auto"/>
      </w:divBdr>
    </w:div>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89848">
      <w:bodyDiv w:val="1"/>
      <w:marLeft w:val="0"/>
      <w:marRight w:val="0"/>
      <w:marTop w:val="0"/>
      <w:marBottom w:val="0"/>
      <w:divBdr>
        <w:top w:val="none" w:sz="0" w:space="0" w:color="auto"/>
        <w:left w:val="none" w:sz="0" w:space="0" w:color="auto"/>
        <w:bottom w:val="none" w:sz="0" w:space="0" w:color="auto"/>
        <w:right w:val="none" w:sz="0" w:space="0" w:color="auto"/>
      </w:divBdr>
    </w:div>
    <w:div w:id="135495186">
      <w:bodyDiv w:val="1"/>
      <w:marLeft w:val="0"/>
      <w:marRight w:val="0"/>
      <w:marTop w:val="0"/>
      <w:marBottom w:val="0"/>
      <w:divBdr>
        <w:top w:val="none" w:sz="0" w:space="0" w:color="auto"/>
        <w:left w:val="none" w:sz="0" w:space="0" w:color="auto"/>
        <w:bottom w:val="none" w:sz="0" w:space="0" w:color="auto"/>
        <w:right w:val="none" w:sz="0" w:space="0" w:color="auto"/>
      </w:divBdr>
    </w:div>
    <w:div w:id="182786103">
      <w:bodyDiv w:val="1"/>
      <w:marLeft w:val="0"/>
      <w:marRight w:val="0"/>
      <w:marTop w:val="0"/>
      <w:marBottom w:val="0"/>
      <w:divBdr>
        <w:top w:val="none" w:sz="0" w:space="0" w:color="auto"/>
        <w:left w:val="none" w:sz="0" w:space="0" w:color="auto"/>
        <w:bottom w:val="none" w:sz="0" w:space="0" w:color="auto"/>
        <w:right w:val="none" w:sz="0" w:space="0" w:color="auto"/>
      </w:divBdr>
    </w:div>
    <w:div w:id="188760750">
      <w:bodyDiv w:val="1"/>
      <w:marLeft w:val="0"/>
      <w:marRight w:val="0"/>
      <w:marTop w:val="0"/>
      <w:marBottom w:val="0"/>
      <w:divBdr>
        <w:top w:val="none" w:sz="0" w:space="0" w:color="auto"/>
        <w:left w:val="none" w:sz="0" w:space="0" w:color="auto"/>
        <w:bottom w:val="none" w:sz="0" w:space="0" w:color="auto"/>
        <w:right w:val="none" w:sz="0" w:space="0" w:color="auto"/>
      </w:divBdr>
    </w:div>
    <w:div w:id="199821585">
      <w:bodyDiv w:val="1"/>
      <w:marLeft w:val="0"/>
      <w:marRight w:val="0"/>
      <w:marTop w:val="0"/>
      <w:marBottom w:val="0"/>
      <w:divBdr>
        <w:top w:val="none" w:sz="0" w:space="0" w:color="auto"/>
        <w:left w:val="none" w:sz="0" w:space="0" w:color="auto"/>
        <w:bottom w:val="none" w:sz="0" w:space="0" w:color="auto"/>
        <w:right w:val="none" w:sz="0" w:space="0" w:color="auto"/>
      </w:divBdr>
    </w:div>
    <w:div w:id="207496127">
      <w:bodyDiv w:val="1"/>
      <w:marLeft w:val="0"/>
      <w:marRight w:val="0"/>
      <w:marTop w:val="0"/>
      <w:marBottom w:val="0"/>
      <w:divBdr>
        <w:top w:val="none" w:sz="0" w:space="0" w:color="auto"/>
        <w:left w:val="none" w:sz="0" w:space="0" w:color="auto"/>
        <w:bottom w:val="none" w:sz="0" w:space="0" w:color="auto"/>
        <w:right w:val="none" w:sz="0" w:space="0" w:color="auto"/>
      </w:divBdr>
    </w:div>
    <w:div w:id="229849476">
      <w:bodyDiv w:val="1"/>
      <w:marLeft w:val="0"/>
      <w:marRight w:val="0"/>
      <w:marTop w:val="0"/>
      <w:marBottom w:val="0"/>
      <w:divBdr>
        <w:top w:val="none" w:sz="0" w:space="0" w:color="auto"/>
        <w:left w:val="none" w:sz="0" w:space="0" w:color="auto"/>
        <w:bottom w:val="none" w:sz="0" w:space="0" w:color="auto"/>
        <w:right w:val="none" w:sz="0" w:space="0" w:color="auto"/>
      </w:divBdr>
    </w:div>
    <w:div w:id="238642010">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1304647">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35689943">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71868023">
      <w:bodyDiv w:val="1"/>
      <w:marLeft w:val="0"/>
      <w:marRight w:val="0"/>
      <w:marTop w:val="0"/>
      <w:marBottom w:val="0"/>
      <w:divBdr>
        <w:top w:val="none" w:sz="0" w:space="0" w:color="auto"/>
        <w:left w:val="none" w:sz="0" w:space="0" w:color="auto"/>
        <w:bottom w:val="none" w:sz="0" w:space="0" w:color="auto"/>
        <w:right w:val="none" w:sz="0" w:space="0" w:color="auto"/>
      </w:divBdr>
    </w:div>
    <w:div w:id="510074753">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48078387">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3584612">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48553878">
      <w:bodyDiv w:val="1"/>
      <w:marLeft w:val="0"/>
      <w:marRight w:val="0"/>
      <w:marTop w:val="0"/>
      <w:marBottom w:val="0"/>
      <w:divBdr>
        <w:top w:val="none" w:sz="0" w:space="0" w:color="auto"/>
        <w:left w:val="none" w:sz="0" w:space="0" w:color="auto"/>
        <w:bottom w:val="none" w:sz="0" w:space="0" w:color="auto"/>
        <w:right w:val="none" w:sz="0" w:space="0" w:color="auto"/>
      </w:divBdr>
    </w:div>
    <w:div w:id="662588064">
      <w:bodyDiv w:val="1"/>
      <w:marLeft w:val="0"/>
      <w:marRight w:val="0"/>
      <w:marTop w:val="0"/>
      <w:marBottom w:val="0"/>
      <w:divBdr>
        <w:top w:val="none" w:sz="0" w:space="0" w:color="auto"/>
        <w:left w:val="none" w:sz="0" w:space="0" w:color="auto"/>
        <w:bottom w:val="none" w:sz="0" w:space="0" w:color="auto"/>
        <w:right w:val="none" w:sz="0" w:space="0" w:color="auto"/>
      </w:divBdr>
    </w:div>
    <w:div w:id="674840103">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799567433">
      <w:bodyDiv w:val="1"/>
      <w:marLeft w:val="0"/>
      <w:marRight w:val="0"/>
      <w:marTop w:val="0"/>
      <w:marBottom w:val="0"/>
      <w:divBdr>
        <w:top w:val="none" w:sz="0" w:space="0" w:color="auto"/>
        <w:left w:val="none" w:sz="0" w:space="0" w:color="auto"/>
        <w:bottom w:val="none" w:sz="0" w:space="0" w:color="auto"/>
        <w:right w:val="none" w:sz="0" w:space="0" w:color="auto"/>
      </w:divBdr>
    </w:div>
    <w:div w:id="945426348">
      <w:bodyDiv w:val="1"/>
      <w:marLeft w:val="0"/>
      <w:marRight w:val="0"/>
      <w:marTop w:val="0"/>
      <w:marBottom w:val="0"/>
      <w:divBdr>
        <w:top w:val="none" w:sz="0" w:space="0" w:color="auto"/>
        <w:left w:val="none" w:sz="0" w:space="0" w:color="auto"/>
        <w:bottom w:val="none" w:sz="0" w:space="0" w:color="auto"/>
        <w:right w:val="none" w:sz="0" w:space="0" w:color="auto"/>
      </w:divBdr>
    </w:div>
    <w:div w:id="957374382">
      <w:bodyDiv w:val="1"/>
      <w:marLeft w:val="0"/>
      <w:marRight w:val="0"/>
      <w:marTop w:val="0"/>
      <w:marBottom w:val="0"/>
      <w:divBdr>
        <w:top w:val="none" w:sz="0" w:space="0" w:color="auto"/>
        <w:left w:val="none" w:sz="0" w:space="0" w:color="auto"/>
        <w:bottom w:val="none" w:sz="0" w:space="0" w:color="auto"/>
        <w:right w:val="none" w:sz="0" w:space="0" w:color="auto"/>
      </w:divBdr>
    </w:div>
    <w:div w:id="981621973">
      <w:bodyDiv w:val="1"/>
      <w:marLeft w:val="0"/>
      <w:marRight w:val="0"/>
      <w:marTop w:val="0"/>
      <w:marBottom w:val="0"/>
      <w:divBdr>
        <w:top w:val="none" w:sz="0" w:space="0" w:color="auto"/>
        <w:left w:val="none" w:sz="0" w:space="0" w:color="auto"/>
        <w:bottom w:val="none" w:sz="0" w:space="0" w:color="auto"/>
        <w:right w:val="none" w:sz="0" w:space="0" w:color="auto"/>
      </w:divBdr>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0597019">
      <w:bodyDiv w:val="1"/>
      <w:marLeft w:val="0"/>
      <w:marRight w:val="0"/>
      <w:marTop w:val="0"/>
      <w:marBottom w:val="0"/>
      <w:divBdr>
        <w:top w:val="none" w:sz="0" w:space="0" w:color="auto"/>
        <w:left w:val="none" w:sz="0" w:space="0" w:color="auto"/>
        <w:bottom w:val="none" w:sz="0" w:space="0" w:color="auto"/>
        <w:right w:val="none" w:sz="0" w:space="0" w:color="auto"/>
      </w:divBdr>
    </w:div>
    <w:div w:id="10413970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07886703">
      <w:bodyDiv w:val="1"/>
      <w:marLeft w:val="0"/>
      <w:marRight w:val="0"/>
      <w:marTop w:val="0"/>
      <w:marBottom w:val="0"/>
      <w:divBdr>
        <w:top w:val="none" w:sz="0" w:space="0" w:color="auto"/>
        <w:left w:val="none" w:sz="0" w:space="0" w:color="auto"/>
        <w:bottom w:val="none" w:sz="0" w:space="0" w:color="auto"/>
        <w:right w:val="none" w:sz="0" w:space="0" w:color="auto"/>
      </w:divBdr>
    </w:div>
    <w:div w:id="1126969021">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7545553">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263340830">
      <w:bodyDiv w:val="1"/>
      <w:marLeft w:val="0"/>
      <w:marRight w:val="0"/>
      <w:marTop w:val="0"/>
      <w:marBottom w:val="0"/>
      <w:divBdr>
        <w:top w:val="none" w:sz="0" w:space="0" w:color="auto"/>
        <w:left w:val="none" w:sz="0" w:space="0" w:color="auto"/>
        <w:bottom w:val="none" w:sz="0" w:space="0" w:color="auto"/>
        <w:right w:val="none" w:sz="0" w:space="0" w:color="auto"/>
      </w:divBdr>
    </w:div>
    <w:div w:id="1297485555">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25351027">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17941194">
      <w:bodyDiv w:val="1"/>
      <w:marLeft w:val="0"/>
      <w:marRight w:val="0"/>
      <w:marTop w:val="0"/>
      <w:marBottom w:val="0"/>
      <w:divBdr>
        <w:top w:val="none" w:sz="0" w:space="0" w:color="auto"/>
        <w:left w:val="none" w:sz="0" w:space="0" w:color="auto"/>
        <w:bottom w:val="none" w:sz="0" w:space="0" w:color="auto"/>
        <w:right w:val="none" w:sz="0" w:space="0" w:color="auto"/>
      </w:divBdr>
    </w:div>
    <w:div w:id="1419401204">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448115519">
      <w:bodyDiv w:val="1"/>
      <w:marLeft w:val="0"/>
      <w:marRight w:val="0"/>
      <w:marTop w:val="0"/>
      <w:marBottom w:val="0"/>
      <w:divBdr>
        <w:top w:val="none" w:sz="0" w:space="0" w:color="auto"/>
        <w:left w:val="none" w:sz="0" w:space="0" w:color="auto"/>
        <w:bottom w:val="none" w:sz="0" w:space="0" w:color="auto"/>
        <w:right w:val="none" w:sz="0" w:space="0" w:color="auto"/>
      </w:divBdr>
    </w:div>
    <w:div w:id="145498189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560743337">
      <w:bodyDiv w:val="1"/>
      <w:marLeft w:val="0"/>
      <w:marRight w:val="0"/>
      <w:marTop w:val="0"/>
      <w:marBottom w:val="0"/>
      <w:divBdr>
        <w:top w:val="none" w:sz="0" w:space="0" w:color="auto"/>
        <w:left w:val="none" w:sz="0" w:space="0" w:color="auto"/>
        <w:bottom w:val="none" w:sz="0" w:space="0" w:color="auto"/>
        <w:right w:val="none" w:sz="0" w:space="0" w:color="auto"/>
      </w:divBdr>
    </w:div>
    <w:div w:id="1593125206">
      <w:bodyDiv w:val="1"/>
      <w:marLeft w:val="0"/>
      <w:marRight w:val="0"/>
      <w:marTop w:val="0"/>
      <w:marBottom w:val="0"/>
      <w:divBdr>
        <w:top w:val="none" w:sz="0" w:space="0" w:color="auto"/>
        <w:left w:val="none" w:sz="0" w:space="0" w:color="auto"/>
        <w:bottom w:val="none" w:sz="0" w:space="0" w:color="auto"/>
        <w:right w:val="none" w:sz="0" w:space="0" w:color="auto"/>
      </w:divBdr>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18492">
      <w:bodyDiv w:val="1"/>
      <w:marLeft w:val="0"/>
      <w:marRight w:val="0"/>
      <w:marTop w:val="0"/>
      <w:marBottom w:val="0"/>
      <w:divBdr>
        <w:top w:val="none" w:sz="0" w:space="0" w:color="auto"/>
        <w:left w:val="none" w:sz="0" w:space="0" w:color="auto"/>
        <w:bottom w:val="none" w:sz="0" w:space="0" w:color="auto"/>
        <w:right w:val="none" w:sz="0" w:space="0" w:color="auto"/>
      </w:divBdr>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033170">
      <w:bodyDiv w:val="1"/>
      <w:marLeft w:val="0"/>
      <w:marRight w:val="0"/>
      <w:marTop w:val="0"/>
      <w:marBottom w:val="0"/>
      <w:divBdr>
        <w:top w:val="none" w:sz="0" w:space="0" w:color="auto"/>
        <w:left w:val="none" w:sz="0" w:space="0" w:color="auto"/>
        <w:bottom w:val="none" w:sz="0" w:space="0" w:color="auto"/>
        <w:right w:val="none" w:sz="0" w:space="0" w:color="auto"/>
      </w:divBdr>
    </w:div>
    <w:div w:id="1752046312">
      <w:bodyDiv w:val="1"/>
      <w:marLeft w:val="0"/>
      <w:marRight w:val="0"/>
      <w:marTop w:val="0"/>
      <w:marBottom w:val="0"/>
      <w:divBdr>
        <w:top w:val="none" w:sz="0" w:space="0" w:color="auto"/>
        <w:left w:val="none" w:sz="0" w:space="0" w:color="auto"/>
        <w:bottom w:val="none" w:sz="0" w:space="0" w:color="auto"/>
        <w:right w:val="none" w:sz="0" w:space="0" w:color="auto"/>
      </w:divBdr>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58037825">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49501295">
      <w:bodyDiv w:val="1"/>
      <w:marLeft w:val="0"/>
      <w:marRight w:val="0"/>
      <w:marTop w:val="0"/>
      <w:marBottom w:val="0"/>
      <w:divBdr>
        <w:top w:val="none" w:sz="0" w:space="0" w:color="auto"/>
        <w:left w:val="none" w:sz="0" w:space="0" w:color="auto"/>
        <w:bottom w:val="none" w:sz="0" w:space="0" w:color="auto"/>
        <w:right w:val="none" w:sz="0" w:space="0" w:color="auto"/>
      </w:divBdr>
    </w:div>
    <w:div w:id="1958952697">
      <w:bodyDiv w:val="1"/>
      <w:marLeft w:val="0"/>
      <w:marRight w:val="0"/>
      <w:marTop w:val="0"/>
      <w:marBottom w:val="0"/>
      <w:divBdr>
        <w:top w:val="none" w:sz="0" w:space="0" w:color="auto"/>
        <w:left w:val="none" w:sz="0" w:space="0" w:color="auto"/>
        <w:bottom w:val="none" w:sz="0" w:space="0" w:color="auto"/>
        <w:right w:val="none" w:sz="0" w:space="0" w:color="auto"/>
      </w:divBdr>
    </w:div>
    <w:div w:id="1963805284">
      <w:bodyDiv w:val="1"/>
      <w:marLeft w:val="0"/>
      <w:marRight w:val="0"/>
      <w:marTop w:val="0"/>
      <w:marBottom w:val="0"/>
      <w:divBdr>
        <w:top w:val="none" w:sz="0" w:space="0" w:color="auto"/>
        <w:left w:val="none" w:sz="0" w:space="0" w:color="auto"/>
        <w:bottom w:val="none" w:sz="0" w:space="0" w:color="auto"/>
        <w:right w:val="none" w:sz="0" w:space="0" w:color="auto"/>
      </w:divBdr>
    </w:div>
    <w:div w:id="1986428814">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08752677">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86874358">
      <w:bodyDiv w:val="1"/>
      <w:marLeft w:val="0"/>
      <w:marRight w:val="0"/>
      <w:marTop w:val="0"/>
      <w:marBottom w:val="0"/>
      <w:divBdr>
        <w:top w:val="none" w:sz="0" w:space="0" w:color="auto"/>
        <w:left w:val="none" w:sz="0" w:space="0" w:color="auto"/>
        <w:bottom w:val="none" w:sz="0" w:space="0" w:color="auto"/>
        <w:right w:val="none" w:sz="0" w:space="0" w:color="auto"/>
      </w:divBdr>
    </w:div>
    <w:div w:id="2087724761">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www.pbs.gov.au/info/industry/listing/participants/public-release-docs/pulm-art-hypertension/pulmonary-arterial-hypertension-pah-medicines-uti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23197</Words>
  <Characters>132227</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2020-05-05T02:28:00Z</dcterms:created>
  <dcterms:modified xsi:type="dcterms:W3CDTF">2020-05-12T23:47:00Z</dcterms:modified>
</cp:coreProperties>
</file>