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DC" w:rsidRPr="00B9437D" w:rsidRDefault="00D560DC" w:rsidP="00BD39A7">
      <w:pPr>
        <w:pStyle w:val="Titlepage"/>
        <w:spacing w:before="3000"/>
        <w:ind w:firstLine="720"/>
        <w:jc w:val="both"/>
        <w:rPr>
          <w:rFonts w:asciiTheme="minorHAnsi" w:hAnsiTheme="minorHAnsi" w:cstheme="minorHAnsi"/>
          <w:b/>
          <w:sz w:val="52"/>
          <w:szCs w:val="52"/>
        </w:rPr>
      </w:pPr>
      <w:bookmarkStart w:id="0" w:name="_GoBack"/>
      <w:bookmarkEnd w:id="0"/>
      <w:r w:rsidRPr="00B9437D">
        <w:rPr>
          <w:rFonts w:asciiTheme="minorHAnsi" w:hAnsiTheme="minorHAnsi" w:cstheme="minorHAnsi"/>
          <w:b/>
          <w:sz w:val="52"/>
          <w:szCs w:val="52"/>
        </w:rPr>
        <w:t>Pharmaceutical Benefits Scheme</w:t>
      </w:r>
    </w:p>
    <w:p w:rsidR="00B15758" w:rsidRPr="00B9437D" w:rsidRDefault="00B15758" w:rsidP="00B15758">
      <w:pPr>
        <w:spacing w:before="480" w:after="240" w:line="240" w:lineRule="auto"/>
        <w:jc w:val="center"/>
        <w:rPr>
          <w:rFonts w:asciiTheme="minorHAnsi" w:hAnsiTheme="minorHAnsi" w:cstheme="minorHAnsi"/>
          <w:b/>
          <w:sz w:val="40"/>
          <w:szCs w:val="40"/>
        </w:rPr>
      </w:pPr>
      <w:r w:rsidRPr="00B9437D">
        <w:rPr>
          <w:rFonts w:asciiTheme="minorHAnsi" w:hAnsiTheme="minorHAnsi" w:cstheme="minorHAnsi"/>
          <w:b/>
          <w:sz w:val="40"/>
          <w:szCs w:val="40"/>
        </w:rPr>
        <w:t>Post-market Review of</w:t>
      </w:r>
    </w:p>
    <w:p w:rsidR="00B15758" w:rsidRPr="00B9437D" w:rsidRDefault="00B15758" w:rsidP="00B15758">
      <w:pPr>
        <w:spacing w:before="240" w:line="240" w:lineRule="auto"/>
        <w:jc w:val="center"/>
        <w:rPr>
          <w:rFonts w:asciiTheme="minorHAnsi" w:hAnsiTheme="minorHAnsi" w:cstheme="minorHAnsi"/>
          <w:b/>
          <w:color w:val="365F91" w:themeColor="accent1" w:themeShade="BF"/>
          <w:sz w:val="40"/>
          <w:szCs w:val="40"/>
        </w:rPr>
      </w:pPr>
      <w:r w:rsidRPr="00B9437D">
        <w:rPr>
          <w:rFonts w:asciiTheme="minorHAnsi" w:hAnsiTheme="minorHAnsi" w:cstheme="minorHAnsi"/>
          <w:b/>
          <w:color w:val="365F91" w:themeColor="accent1" w:themeShade="BF"/>
          <w:sz w:val="40"/>
          <w:szCs w:val="40"/>
        </w:rPr>
        <w:t>Medicines to treat Pulmonary Arterial Hypertension</w:t>
      </w:r>
    </w:p>
    <w:p w:rsidR="00B15758" w:rsidRPr="00B9437D" w:rsidRDefault="00B15758" w:rsidP="00E17C81">
      <w:pPr>
        <w:spacing w:before="240" w:after="1920" w:line="240" w:lineRule="auto"/>
        <w:jc w:val="center"/>
        <w:rPr>
          <w:rFonts w:asciiTheme="minorHAnsi" w:hAnsiTheme="minorHAnsi" w:cstheme="minorHAnsi"/>
          <w:b/>
          <w:color w:val="365F91" w:themeColor="accent1" w:themeShade="BF"/>
          <w:sz w:val="40"/>
          <w:szCs w:val="40"/>
        </w:rPr>
      </w:pPr>
      <w:r w:rsidRPr="00B9437D">
        <w:rPr>
          <w:rFonts w:asciiTheme="minorHAnsi" w:hAnsiTheme="minorHAnsi" w:cstheme="minorHAnsi"/>
          <w:b/>
          <w:color w:val="365F91" w:themeColor="accent1" w:themeShade="BF"/>
          <w:sz w:val="40"/>
          <w:szCs w:val="40"/>
        </w:rPr>
        <w:t>Term of Reference 2</w:t>
      </w:r>
    </w:p>
    <w:p w:rsidR="00B15758" w:rsidRPr="00B9437D" w:rsidRDefault="00B15758" w:rsidP="00B15758">
      <w:pPr>
        <w:spacing w:before="240" w:line="240" w:lineRule="auto"/>
        <w:jc w:val="center"/>
        <w:rPr>
          <w:rFonts w:asciiTheme="minorHAnsi" w:hAnsiTheme="minorHAnsi" w:cstheme="minorHAnsi"/>
          <w:b/>
          <w:color w:val="365F91" w:themeColor="accent1" w:themeShade="BF"/>
          <w:sz w:val="32"/>
          <w:szCs w:val="32"/>
        </w:rPr>
      </w:pPr>
      <w:r w:rsidRPr="00B9437D">
        <w:rPr>
          <w:rFonts w:asciiTheme="minorHAnsi" w:hAnsiTheme="minorHAnsi" w:cstheme="minorHAnsi"/>
          <w:b/>
          <w:color w:val="365F91" w:themeColor="accent1" w:themeShade="BF"/>
          <w:sz w:val="32"/>
          <w:szCs w:val="32"/>
        </w:rPr>
        <w:t xml:space="preserve">Final Report </w:t>
      </w:r>
    </w:p>
    <w:p w:rsidR="00B15758" w:rsidRDefault="00B15758" w:rsidP="00E17C81">
      <w:pPr>
        <w:spacing w:before="240" w:after="1920" w:line="240" w:lineRule="auto"/>
        <w:jc w:val="center"/>
        <w:rPr>
          <w:rFonts w:asciiTheme="minorHAnsi" w:hAnsiTheme="minorHAnsi" w:cstheme="minorHAnsi"/>
          <w:b/>
          <w:color w:val="365F91" w:themeColor="accent1" w:themeShade="BF"/>
          <w:sz w:val="32"/>
          <w:szCs w:val="32"/>
        </w:rPr>
      </w:pPr>
      <w:r w:rsidRPr="00B9437D">
        <w:rPr>
          <w:rFonts w:asciiTheme="minorHAnsi" w:hAnsiTheme="minorHAnsi" w:cstheme="minorHAnsi"/>
          <w:b/>
          <w:color w:val="365F91" w:themeColor="accent1" w:themeShade="BF"/>
          <w:sz w:val="32"/>
          <w:szCs w:val="32"/>
        </w:rPr>
        <w:t>November 2018</w:t>
      </w:r>
    </w:p>
    <w:p w:rsidR="00E17C81" w:rsidRPr="00E17C81" w:rsidRDefault="00E17C81" w:rsidP="00E17C81">
      <w:pPr>
        <w:spacing w:before="240" w:after="1920" w:line="240" w:lineRule="auto"/>
        <w:jc w:val="center"/>
        <w:rPr>
          <w:rFonts w:asciiTheme="minorHAnsi" w:hAnsiTheme="minorHAnsi" w:cstheme="minorHAnsi"/>
          <w:b/>
          <w:color w:val="365F91" w:themeColor="accent1" w:themeShade="BF"/>
          <w:sz w:val="32"/>
          <w:szCs w:val="32"/>
        </w:rPr>
      </w:pPr>
    </w:p>
    <w:p w:rsidR="003351F5" w:rsidRPr="00B15758" w:rsidRDefault="003351F5" w:rsidP="00B15758">
      <w:pPr>
        <w:rPr>
          <w:lang w:eastAsia="en-US"/>
        </w:rPr>
        <w:sectPr w:rsidR="003351F5" w:rsidRPr="00B15758" w:rsidSect="00CC1D2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titlePg/>
          <w:docGrid w:linePitch="360"/>
        </w:sectPr>
      </w:pPr>
    </w:p>
    <w:p w:rsidR="003351F5" w:rsidRPr="00CF5AA6" w:rsidRDefault="00BD39A7" w:rsidP="00BD39A7">
      <w:pPr>
        <w:spacing w:before="480" w:after="240" w:line="240" w:lineRule="auto"/>
        <w:jc w:val="left"/>
        <w:rPr>
          <w:rFonts w:ascii="Calibri" w:hAnsi="Calibri"/>
          <w:sz w:val="40"/>
          <w:szCs w:val="40"/>
        </w:rPr>
      </w:pPr>
      <w:r w:rsidRPr="00CF5AA6">
        <w:rPr>
          <w:rFonts w:ascii="Calibri" w:hAnsi="Calibri"/>
          <w:b/>
          <w:color w:val="365F91" w:themeColor="accent1" w:themeShade="BF"/>
          <w:sz w:val="40"/>
          <w:szCs w:val="40"/>
        </w:rPr>
        <w:lastRenderedPageBreak/>
        <w:t>Term of Reference 2</w:t>
      </w:r>
    </w:p>
    <w:sdt>
      <w:sdtPr>
        <w:rPr>
          <w:b/>
          <w:bCs/>
        </w:rPr>
        <w:id w:val="253712644"/>
        <w:docPartObj>
          <w:docPartGallery w:val="Table of Contents"/>
          <w:docPartUnique/>
        </w:docPartObj>
      </w:sdtPr>
      <w:sdtEndPr>
        <w:rPr>
          <w:rFonts w:asciiTheme="minorHAnsi" w:hAnsiTheme="minorHAnsi" w:cstheme="minorHAnsi"/>
          <w:b w:val="0"/>
          <w:bCs w:val="0"/>
          <w:noProof/>
        </w:rPr>
      </w:sdtEndPr>
      <w:sdtContent>
        <w:bookmarkStart w:id="1" w:name="_Toc505071879" w:displacedByCustomXml="prev"/>
        <w:bookmarkStart w:id="2" w:name="_Toc508969410" w:displacedByCustomXml="prev"/>
        <w:bookmarkStart w:id="3" w:name="_Toc508969573" w:displacedByCustomXml="prev"/>
        <w:bookmarkStart w:id="4" w:name="_Toc509584372" w:displacedByCustomXml="prev"/>
        <w:p w:rsidR="00D560DC" w:rsidRPr="00CF5AA6" w:rsidRDefault="00D560DC" w:rsidP="00BD39A7">
          <w:pPr>
            <w:spacing w:before="240" w:line="240" w:lineRule="auto"/>
            <w:jc w:val="left"/>
            <w:rPr>
              <w:rFonts w:ascii="Calibri" w:hAnsi="Calibri"/>
              <w:b/>
              <w:color w:val="548DD4" w:themeColor="text2" w:themeTint="99"/>
              <w:sz w:val="32"/>
              <w:szCs w:val="32"/>
            </w:rPr>
          </w:pPr>
          <w:r w:rsidRPr="00CF5AA6">
            <w:rPr>
              <w:rFonts w:ascii="Calibri" w:hAnsi="Calibri"/>
              <w:b/>
              <w:color w:val="548DD4" w:themeColor="text2" w:themeTint="99"/>
              <w:sz w:val="32"/>
              <w:szCs w:val="32"/>
            </w:rPr>
            <w:t>Contents</w:t>
          </w:r>
          <w:bookmarkEnd w:id="4"/>
          <w:bookmarkEnd w:id="3"/>
          <w:bookmarkEnd w:id="2"/>
          <w:bookmarkEnd w:id="1"/>
        </w:p>
        <w:p w:rsidR="00B9437D" w:rsidRPr="00F26F91" w:rsidRDefault="00B9437D">
          <w:pPr>
            <w:pStyle w:val="TOC1"/>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List of Tables</w:t>
          </w:r>
          <w:r w:rsidRPr="00F26F91">
            <w:rPr>
              <w:rFonts w:asciiTheme="minorHAnsi" w:hAnsiTheme="minorHAnsi" w:cstheme="minorHAnsi"/>
              <w:noProof/>
              <w:webHidden/>
            </w:rPr>
            <w:tab/>
            <w:t>3</w:t>
          </w:r>
        </w:p>
        <w:p w:rsidR="00B9437D" w:rsidRPr="00F26F91" w:rsidRDefault="00B9437D">
          <w:pPr>
            <w:pStyle w:val="TOC1"/>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List of Figures</w:t>
          </w:r>
          <w:r w:rsidRPr="00F26F91">
            <w:rPr>
              <w:rFonts w:asciiTheme="minorHAnsi" w:hAnsiTheme="minorHAnsi" w:cstheme="minorHAnsi"/>
              <w:noProof/>
              <w:webHidden/>
            </w:rPr>
            <w:tab/>
            <w:t>3</w:t>
          </w:r>
        </w:p>
        <w:p w:rsidR="00B9437D" w:rsidRPr="00F26F91" w:rsidRDefault="00B9437D">
          <w:pPr>
            <w:pStyle w:val="TOC1"/>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Abbreviations</w:t>
          </w:r>
          <w:r w:rsidRPr="00F26F91">
            <w:rPr>
              <w:rFonts w:asciiTheme="minorHAnsi" w:hAnsiTheme="minorHAnsi" w:cstheme="minorHAnsi"/>
              <w:noProof/>
              <w:webHidden/>
            </w:rPr>
            <w:tab/>
            <w:t>4</w:t>
          </w:r>
        </w:p>
        <w:p w:rsidR="00B9437D" w:rsidRPr="00F26F91" w:rsidRDefault="00B9437D">
          <w:pPr>
            <w:pStyle w:val="TOC1"/>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Section 2: ToR 2 PAH Medicines Utilisation Analysis</w:t>
          </w:r>
          <w:r w:rsidRPr="00F26F91">
            <w:rPr>
              <w:rFonts w:asciiTheme="minorHAnsi" w:hAnsiTheme="minorHAnsi" w:cstheme="minorHAnsi"/>
              <w:noProof/>
              <w:webHidden/>
            </w:rPr>
            <w:tab/>
            <w:t>6</w:t>
          </w:r>
        </w:p>
        <w:p w:rsidR="00B9437D" w:rsidRPr="00F26F91" w:rsidRDefault="00B9437D">
          <w:pPr>
            <w:pStyle w:val="TOC2"/>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2.1 Key findings</w:t>
          </w:r>
          <w:r w:rsidRPr="00F26F91">
            <w:rPr>
              <w:rFonts w:asciiTheme="minorHAnsi" w:hAnsiTheme="minorHAnsi" w:cstheme="minorHAnsi"/>
              <w:noProof/>
              <w:webHidden/>
            </w:rPr>
            <w:tab/>
            <w:t>6</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PBS/RPBS Claims Data</w:t>
          </w:r>
          <w:r w:rsidRPr="00F26F91">
            <w:rPr>
              <w:rFonts w:asciiTheme="minorHAnsi" w:hAnsiTheme="minorHAnsi" w:cstheme="minorHAnsi"/>
              <w:noProof/>
              <w:webHidden/>
            </w:rPr>
            <w:tab/>
            <w:t>6</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Pulmonary Hypertension Society of Australia and New Zealand (PHSANZ) Registry</w:t>
          </w:r>
          <w:r w:rsidRPr="00F26F91">
            <w:rPr>
              <w:rFonts w:asciiTheme="minorHAnsi" w:hAnsiTheme="minorHAnsi" w:cstheme="minorHAnsi"/>
              <w:noProof/>
              <w:webHidden/>
            </w:rPr>
            <w:tab/>
            <w:t>6</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Australian Scleroderma Interest Group Registry (ASIG)</w:t>
          </w:r>
          <w:r w:rsidRPr="00F26F91">
            <w:rPr>
              <w:rFonts w:asciiTheme="minorHAnsi" w:hAnsiTheme="minorHAnsi" w:cstheme="minorHAnsi"/>
              <w:noProof/>
              <w:webHidden/>
            </w:rPr>
            <w:tab/>
            <w:t>7</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Overall conclusions</w:t>
          </w:r>
          <w:r w:rsidRPr="00F26F91">
            <w:rPr>
              <w:rFonts w:asciiTheme="minorHAnsi" w:hAnsiTheme="minorHAnsi" w:cstheme="minorHAnsi"/>
              <w:noProof/>
              <w:webHidden/>
            </w:rPr>
            <w:tab/>
            <w:t>7</w:t>
          </w:r>
        </w:p>
        <w:p w:rsidR="00B9437D" w:rsidRPr="00F26F91" w:rsidRDefault="00B9437D">
          <w:pPr>
            <w:pStyle w:val="TOC2"/>
            <w:tabs>
              <w:tab w:val="right" w:leader="dot" w:pos="9016"/>
            </w:tabs>
            <w:rPr>
              <w:rFonts w:asciiTheme="minorHAnsi" w:eastAsiaTheme="minorEastAsia" w:hAnsiTheme="minorHAnsi" w:cstheme="minorHAnsi"/>
              <w:noProof/>
              <w:sz w:val="22"/>
            </w:rPr>
          </w:pPr>
          <w:r w:rsidRPr="000E117F">
            <w:rPr>
              <w:rFonts w:asciiTheme="minorHAnsi" w:eastAsia="Times New Roman" w:hAnsiTheme="minorHAnsi" w:cstheme="minorHAnsi"/>
              <w:i/>
              <w:noProof/>
            </w:rPr>
            <w:t>2.1.1 Stakeholder views</w:t>
          </w:r>
          <w:r w:rsidRPr="00F26F91">
            <w:rPr>
              <w:rFonts w:asciiTheme="minorHAnsi" w:hAnsiTheme="minorHAnsi" w:cstheme="minorHAnsi"/>
              <w:noProof/>
              <w:webHidden/>
            </w:rPr>
            <w:tab/>
            <w:t>7</w:t>
          </w:r>
        </w:p>
        <w:p w:rsidR="00B9437D" w:rsidRPr="00F26F91" w:rsidRDefault="00B9437D">
          <w:pPr>
            <w:pStyle w:val="TOC2"/>
            <w:tabs>
              <w:tab w:val="right" w:leader="dot" w:pos="9016"/>
            </w:tabs>
            <w:rPr>
              <w:rFonts w:asciiTheme="minorHAnsi" w:eastAsiaTheme="minorEastAsia" w:hAnsiTheme="minorHAnsi" w:cstheme="minorHAnsi"/>
              <w:noProof/>
              <w:sz w:val="22"/>
            </w:rPr>
          </w:pPr>
          <w:r w:rsidRPr="000E117F">
            <w:rPr>
              <w:rFonts w:asciiTheme="minorHAnsi" w:eastAsia="Times New Roman" w:hAnsiTheme="minorHAnsi" w:cstheme="minorHAnsi"/>
              <w:i/>
              <w:noProof/>
            </w:rPr>
            <w:t>2.1.2 Consumer views</w:t>
          </w:r>
          <w:r w:rsidRPr="00F26F91">
            <w:rPr>
              <w:rFonts w:asciiTheme="minorHAnsi" w:hAnsiTheme="minorHAnsi" w:cstheme="minorHAnsi"/>
              <w:noProof/>
              <w:webHidden/>
            </w:rPr>
            <w:tab/>
            <w:t>8</w:t>
          </w:r>
        </w:p>
        <w:p w:rsidR="00B9437D" w:rsidRPr="00F26F91" w:rsidRDefault="00B9437D">
          <w:pPr>
            <w:pStyle w:val="TOC2"/>
            <w:tabs>
              <w:tab w:val="left" w:pos="880"/>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2.2</w:t>
          </w:r>
          <w:r w:rsidRPr="00F26F91">
            <w:rPr>
              <w:rFonts w:asciiTheme="minorHAnsi" w:eastAsiaTheme="minorEastAsia" w:hAnsiTheme="minorHAnsi" w:cstheme="minorHAnsi"/>
              <w:noProof/>
              <w:sz w:val="22"/>
            </w:rPr>
            <w:tab/>
          </w:r>
          <w:r w:rsidRPr="000E117F">
            <w:rPr>
              <w:rFonts w:asciiTheme="minorHAnsi" w:hAnsiTheme="minorHAnsi" w:cstheme="minorHAnsi"/>
              <w:noProof/>
            </w:rPr>
            <w:t>Introduction</w:t>
          </w:r>
          <w:r w:rsidRPr="00F26F91">
            <w:rPr>
              <w:rFonts w:asciiTheme="minorHAnsi" w:hAnsiTheme="minorHAnsi" w:cstheme="minorHAnsi"/>
              <w:noProof/>
              <w:webHidden/>
            </w:rPr>
            <w:tab/>
            <w:t>8</w:t>
          </w:r>
        </w:p>
        <w:p w:rsidR="00B9437D" w:rsidRPr="00F26F91" w:rsidRDefault="00B9437D">
          <w:pPr>
            <w:pStyle w:val="TOC2"/>
            <w:tabs>
              <w:tab w:val="left" w:pos="880"/>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2.3</w:t>
          </w:r>
          <w:r w:rsidRPr="00F26F91">
            <w:rPr>
              <w:rFonts w:asciiTheme="minorHAnsi" w:eastAsiaTheme="minorEastAsia" w:hAnsiTheme="minorHAnsi" w:cstheme="minorHAnsi"/>
              <w:noProof/>
              <w:sz w:val="22"/>
            </w:rPr>
            <w:tab/>
          </w:r>
          <w:r w:rsidRPr="000E117F">
            <w:rPr>
              <w:rFonts w:asciiTheme="minorHAnsi" w:hAnsiTheme="minorHAnsi" w:cstheme="minorHAnsi"/>
              <w:noProof/>
            </w:rPr>
            <w:t>Utilisation analysis methodology</w:t>
          </w:r>
          <w:r w:rsidRPr="00F26F91">
            <w:rPr>
              <w:rFonts w:asciiTheme="minorHAnsi" w:hAnsiTheme="minorHAnsi" w:cstheme="minorHAnsi"/>
              <w:noProof/>
              <w:webHidden/>
            </w:rPr>
            <w:tab/>
            <w:t>9</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2.3.1 PBS/RPBS claims data utilisation analysis methodology</w:t>
          </w:r>
          <w:r w:rsidRPr="00F26F91">
            <w:rPr>
              <w:rFonts w:asciiTheme="minorHAnsi" w:hAnsiTheme="minorHAnsi" w:cstheme="minorHAnsi"/>
              <w:noProof/>
              <w:webHidden/>
            </w:rPr>
            <w:tab/>
            <w:t>9</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Data sources, setting and population</w:t>
          </w:r>
          <w:r w:rsidRPr="00F26F91">
            <w:rPr>
              <w:rFonts w:asciiTheme="minorHAnsi" w:hAnsiTheme="minorHAnsi" w:cstheme="minorHAnsi"/>
              <w:noProof/>
              <w:webHidden/>
            </w:rPr>
            <w:tab/>
            <w:t>9</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2.3.2 PHSANZ Registry utilisation analysis methodology</w:t>
          </w:r>
          <w:r w:rsidRPr="00F26F91">
            <w:rPr>
              <w:rFonts w:asciiTheme="minorHAnsi" w:hAnsiTheme="minorHAnsi" w:cstheme="minorHAnsi"/>
              <w:noProof/>
              <w:webHidden/>
            </w:rPr>
            <w:tab/>
            <w:t>10</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2.3.3 ASIG utilisation analysis methodology</w:t>
          </w:r>
          <w:r w:rsidRPr="00F26F91">
            <w:rPr>
              <w:rFonts w:asciiTheme="minorHAnsi" w:hAnsiTheme="minorHAnsi" w:cstheme="minorHAnsi"/>
              <w:noProof/>
              <w:webHidden/>
            </w:rPr>
            <w:tab/>
            <w:t>11</w:t>
          </w:r>
        </w:p>
        <w:p w:rsidR="00B9437D" w:rsidRPr="00F26F91" w:rsidRDefault="00B9437D">
          <w:pPr>
            <w:pStyle w:val="TOC2"/>
            <w:tabs>
              <w:tab w:val="left" w:pos="880"/>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2.4</w:t>
          </w:r>
          <w:r w:rsidRPr="00F26F91">
            <w:rPr>
              <w:rFonts w:asciiTheme="minorHAnsi" w:eastAsiaTheme="minorEastAsia" w:hAnsiTheme="minorHAnsi" w:cstheme="minorHAnsi"/>
              <w:noProof/>
              <w:sz w:val="22"/>
            </w:rPr>
            <w:tab/>
          </w:r>
          <w:r w:rsidRPr="000E117F">
            <w:rPr>
              <w:rFonts w:asciiTheme="minorHAnsi" w:hAnsiTheme="minorHAnsi" w:cstheme="minorHAnsi"/>
              <w:noProof/>
            </w:rPr>
            <w:t>Results of utilisation analysis</w:t>
          </w:r>
          <w:r w:rsidRPr="00F26F91">
            <w:rPr>
              <w:rFonts w:asciiTheme="minorHAnsi" w:hAnsiTheme="minorHAnsi" w:cstheme="minorHAnsi"/>
              <w:noProof/>
              <w:webHidden/>
            </w:rPr>
            <w:tab/>
            <w:t>12</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2.4.1 Trends in PAH dispensing</w:t>
          </w:r>
          <w:r w:rsidRPr="00F26F91">
            <w:rPr>
              <w:rFonts w:asciiTheme="minorHAnsi" w:hAnsiTheme="minorHAnsi" w:cstheme="minorHAnsi"/>
              <w:noProof/>
              <w:webHidden/>
            </w:rPr>
            <w:tab/>
            <w:t>12</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2.4.2 Prevalence of PAH medicine use</w:t>
          </w:r>
          <w:r w:rsidRPr="00F26F91">
            <w:rPr>
              <w:rFonts w:asciiTheme="minorHAnsi" w:hAnsiTheme="minorHAnsi" w:cstheme="minorHAnsi"/>
              <w:noProof/>
              <w:webHidden/>
            </w:rPr>
            <w:tab/>
            <w:t>15</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2.4.3 Incidence of PAH medicine use in PBS data</w:t>
          </w:r>
          <w:r w:rsidRPr="00F26F91">
            <w:rPr>
              <w:rFonts w:asciiTheme="minorHAnsi" w:hAnsiTheme="minorHAnsi" w:cstheme="minorHAnsi"/>
              <w:noProof/>
              <w:webHidden/>
            </w:rPr>
            <w:tab/>
            <w:t>20</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2.4.4 Time on treatment from PBS data</w:t>
          </w:r>
          <w:r w:rsidRPr="00F26F91">
            <w:rPr>
              <w:rFonts w:asciiTheme="minorHAnsi" w:hAnsiTheme="minorHAnsi" w:cstheme="minorHAnsi"/>
              <w:noProof/>
              <w:webHidden/>
            </w:rPr>
            <w:tab/>
            <w:t>21</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2.4.5 Switching</w:t>
          </w:r>
          <w:r w:rsidRPr="00F26F91">
            <w:rPr>
              <w:rFonts w:asciiTheme="minorHAnsi" w:hAnsiTheme="minorHAnsi" w:cstheme="minorHAnsi"/>
              <w:noProof/>
              <w:webHidden/>
            </w:rPr>
            <w:tab/>
            <w:t>22</w:t>
          </w:r>
        </w:p>
        <w:p w:rsidR="00B9437D" w:rsidRPr="00F26F91" w:rsidRDefault="00B9437D">
          <w:pPr>
            <w:pStyle w:val="TOC3"/>
            <w:tabs>
              <w:tab w:val="right" w:leader="dot" w:pos="9016"/>
            </w:tabs>
            <w:rPr>
              <w:rFonts w:asciiTheme="minorHAnsi" w:eastAsiaTheme="minorEastAsia" w:hAnsiTheme="minorHAnsi" w:cstheme="minorHAnsi"/>
              <w:noProof/>
              <w:sz w:val="22"/>
            </w:rPr>
          </w:pPr>
          <w:r w:rsidRPr="000E117F">
            <w:rPr>
              <w:rFonts w:asciiTheme="minorHAnsi" w:hAnsiTheme="minorHAnsi" w:cstheme="minorHAnsi"/>
              <w:noProof/>
            </w:rPr>
            <w:t>2.4.6 Combination treatment</w:t>
          </w:r>
          <w:r w:rsidRPr="00F26F91">
            <w:rPr>
              <w:rFonts w:asciiTheme="minorHAnsi" w:hAnsiTheme="minorHAnsi" w:cstheme="minorHAnsi"/>
              <w:noProof/>
              <w:webHidden/>
            </w:rPr>
            <w:tab/>
            <w:t>23</w:t>
          </w:r>
        </w:p>
        <w:p w:rsidR="0054207F" w:rsidRPr="002F6D64" w:rsidRDefault="00F53DF5">
          <w:pPr>
            <w:rPr>
              <w:rFonts w:asciiTheme="minorHAnsi" w:hAnsiTheme="minorHAnsi" w:cstheme="minorHAnsi"/>
              <w:b/>
              <w:bCs/>
              <w:noProof/>
            </w:rPr>
          </w:pPr>
        </w:p>
      </w:sdtContent>
    </w:sdt>
    <w:p w:rsidR="0079231F" w:rsidRDefault="0079231F">
      <w:pPr>
        <w:jc w:val="left"/>
        <w:rPr>
          <w:rFonts w:asciiTheme="minorHAnsi" w:eastAsiaTheme="majorEastAsia" w:hAnsiTheme="minorHAnsi" w:cstheme="majorBidi"/>
          <w:b/>
          <w:bCs/>
          <w:color w:val="4F81BD" w:themeColor="accent1"/>
          <w:sz w:val="40"/>
          <w:szCs w:val="26"/>
        </w:rPr>
      </w:pPr>
      <w:bookmarkStart w:id="5" w:name="_Toc481076737"/>
      <w:r w:rsidRPr="00CF5AA6">
        <w:rPr>
          <w:rFonts w:ascii="Calibri" w:hAnsi="Calibri"/>
        </w:rPr>
        <w:br w:type="page"/>
      </w:r>
    </w:p>
    <w:p w:rsidR="0084301E" w:rsidRDefault="0084301E" w:rsidP="000B2B6F">
      <w:pPr>
        <w:pStyle w:val="Heading1"/>
        <w:spacing w:before="240"/>
        <w:sectPr w:rsidR="0084301E" w:rsidSect="003351F5">
          <w:headerReference w:type="first" r:id="rId13"/>
          <w:pgSz w:w="11906" w:h="16838"/>
          <w:pgMar w:top="1440" w:right="1440" w:bottom="1440" w:left="1440" w:header="708" w:footer="708" w:gutter="0"/>
          <w:cols w:space="708"/>
          <w:titlePg/>
          <w:docGrid w:linePitch="360"/>
        </w:sectPr>
      </w:pPr>
      <w:bookmarkStart w:id="6" w:name="_Toc511041602"/>
      <w:bookmarkEnd w:id="5"/>
    </w:p>
    <w:p w:rsidR="004C298F" w:rsidRPr="000B2B6F" w:rsidRDefault="00D560DC" w:rsidP="000B2B6F">
      <w:pPr>
        <w:pStyle w:val="Heading1"/>
        <w:spacing w:before="240"/>
      </w:pPr>
      <w:bookmarkStart w:id="7" w:name="_Toc36810511"/>
      <w:r w:rsidRPr="0003313D">
        <w:lastRenderedPageBreak/>
        <w:t xml:space="preserve">List of </w:t>
      </w:r>
      <w:r w:rsidRPr="00D560DC">
        <w:t>Tables</w:t>
      </w:r>
      <w:bookmarkEnd w:id="6"/>
      <w:bookmarkEnd w:id="7"/>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Table 2.1</w:t>
      </w:r>
      <w:r w:rsidRPr="00070C40">
        <w:rPr>
          <w:rFonts w:eastAsiaTheme="minorEastAsia"/>
          <w:b w:val="0"/>
          <w:bCs w:val="0"/>
          <w:noProof/>
          <w:sz w:val="24"/>
          <w:szCs w:val="24"/>
        </w:rPr>
        <w:tab/>
      </w:r>
      <w:r w:rsidRPr="000E117F">
        <w:rPr>
          <w:b w:val="0"/>
          <w:noProof/>
          <w:sz w:val="24"/>
          <w:szCs w:val="24"/>
        </w:rPr>
        <w:t>List of PAH medicines available from 2013-2016</w:t>
      </w:r>
      <w:r w:rsidRPr="00070C40">
        <w:rPr>
          <w:b w:val="0"/>
          <w:noProof/>
          <w:webHidden/>
          <w:sz w:val="24"/>
          <w:szCs w:val="24"/>
        </w:rPr>
        <w:tab/>
      </w:r>
      <w:r w:rsidR="00843A81">
        <w:rPr>
          <w:b w:val="0"/>
          <w:noProof/>
          <w:webHidden/>
          <w:sz w:val="24"/>
          <w:szCs w:val="24"/>
        </w:rPr>
        <w:t>10</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Table 2.2</w:t>
      </w:r>
      <w:r w:rsidRPr="00070C40">
        <w:rPr>
          <w:rFonts w:eastAsiaTheme="minorEastAsia"/>
          <w:b w:val="0"/>
          <w:bCs w:val="0"/>
          <w:noProof/>
          <w:sz w:val="24"/>
          <w:szCs w:val="24"/>
        </w:rPr>
        <w:tab/>
      </w:r>
      <w:r w:rsidRPr="000E117F">
        <w:rPr>
          <w:b w:val="0"/>
          <w:noProof/>
          <w:sz w:val="24"/>
          <w:szCs w:val="24"/>
        </w:rPr>
        <w:t>Number of PBS/RPBS PAH dispensings and PBS benefits paid (in millions) by year</w:t>
      </w:r>
      <w:r w:rsidRPr="00070C40">
        <w:rPr>
          <w:b w:val="0"/>
          <w:noProof/>
          <w:webHidden/>
          <w:sz w:val="24"/>
          <w:szCs w:val="24"/>
        </w:rPr>
        <w:tab/>
        <w:t>12</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Table 2.3</w:t>
      </w:r>
      <w:r w:rsidRPr="00070C40">
        <w:rPr>
          <w:rFonts w:eastAsiaTheme="minorEastAsia"/>
          <w:b w:val="0"/>
          <w:bCs w:val="0"/>
          <w:noProof/>
          <w:sz w:val="24"/>
          <w:szCs w:val="24"/>
        </w:rPr>
        <w:tab/>
      </w:r>
      <w:r w:rsidRPr="000E117F">
        <w:rPr>
          <w:b w:val="0"/>
          <w:noProof/>
          <w:sz w:val="24"/>
          <w:szCs w:val="24"/>
        </w:rPr>
        <w:t>Annual number of incident (new) users by first medicine dispensed</w:t>
      </w:r>
      <w:r w:rsidRPr="00070C40">
        <w:rPr>
          <w:b w:val="0"/>
          <w:noProof/>
          <w:webHidden/>
          <w:sz w:val="24"/>
          <w:szCs w:val="24"/>
        </w:rPr>
        <w:tab/>
      </w:r>
      <w:r w:rsidR="00843A81">
        <w:rPr>
          <w:b w:val="0"/>
          <w:noProof/>
          <w:webHidden/>
          <w:sz w:val="24"/>
          <w:szCs w:val="24"/>
        </w:rPr>
        <w:t>20</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Table 2.4</w:t>
      </w:r>
      <w:r w:rsidRPr="00070C40">
        <w:rPr>
          <w:rFonts w:eastAsiaTheme="minorEastAsia"/>
          <w:b w:val="0"/>
          <w:bCs w:val="0"/>
          <w:noProof/>
          <w:sz w:val="24"/>
          <w:szCs w:val="24"/>
        </w:rPr>
        <w:tab/>
      </w:r>
      <w:r w:rsidRPr="000E117F">
        <w:rPr>
          <w:b w:val="0"/>
          <w:noProof/>
          <w:sz w:val="24"/>
          <w:szCs w:val="24"/>
        </w:rPr>
        <w:t>Annual incidence of PAH use per 1,000,000 population by patient demographics</w:t>
      </w:r>
      <w:r w:rsidRPr="00070C40">
        <w:rPr>
          <w:b w:val="0"/>
          <w:noProof/>
          <w:webHidden/>
          <w:sz w:val="24"/>
          <w:szCs w:val="24"/>
        </w:rPr>
        <w:tab/>
        <w:t>20</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Table 2.5</w:t>
      </w:r>
      <w:r w:rsidRPr="00070C40">
        <w:rPr>
          <w:rFonts w:eastAsiaTheme="minorEastAsia"/>
          <w:b w:val="0"/>
          <w:bCs w:val="0"/>
          <w:noProof/>
          <w:sz w:val="24"/>
          <w:szCs w:val="24"/>
        </w:rPr>
        <w:tab/>
      </w:r>
      <w:r w:rsidRPr="000E117F">
        <w:rPr>
          <w:b w:val="0"/>
          <w:noProof/>
          <w:sz w:val="24"/>
          <w:szCs w:val="24"/>
        </w:rPr>
        <w:t>Persistence with treatment in first 720 days among incident PAH medicine users in 2014</w:t>
      </w:r>
      <w:r w:rsidRPr="00070C40">
        <w:rPr>
          <w:b w:val="0"/>
          <w:noProof/>
          <w:webHidden/>
          <w:sz w:val="24"/>
          <w:szCs w:val="24"/>
        </w:rPr>
        <w:tab/>
        <w:t>2</w:t>
      </w:r>
      <w:r w:rsidR="00843A81">
        <w:rPr>
          <w:b w:val="0"/>
          <w:noProof/>
          <w:webHidden/>
          <w:sz w:val="24"/>
          <w:szCs w:val="24"/>
        </w:rPr>
        <w:t>2</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Table 2.6</w:t>
      </w:r>
      <w:r w:rsidRPr="00070C40">
        <w:rPr>
          <w:rFonts w:eastAsiaTheme="minorEastAsia"/>
          <w:b w:val="0"/>
          <w:bCs w:val="0"/>
          <w:noProof/>
          <w:sz w:val="24"/>
          <w:szCs w:val="24"/>
        </w:rPr>
        <w:tab/>
      </w:r>
      <w:r w:rsidRPr="000E117F">
        <w:rPr>
          <w:b w:val="0"/>
          <w:noProof/>
          <w:sz w:val="24"/>
          <w:szCs w:val="24"/>
        </w:rPr>
        <w:t>Switching between PAH medicines among prevalent users 2013-2016</w:t>
      </w:r>
      <w:r w:rsidRPr="00070C40">
        <w:rPr>
          <w:b w:val="0"/>
          <w:noProof/>
          <w:webHidden/>
          <w:sz w:val="24"/>
          <w:szCs w:val="24"/>
        </w:rPr>
        <w:tab/>
        <w:t>2</w:t>
      </w:r>
      <w:r w:rsidR="00843A81">
        <w:rPr>
          <w:b w:val="0"/>
          <w:noProof/>
          <w:webHidden/>
          <w:sz w:val="24"/>
          <w:szCs w:val="24"/>
        </w:rPr>
        <w:t>3</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Table 2.7</w:t>
      </w:r>
      <w:r w:rsidRPr="00070C40">
        <w:rPr>
          <w:rFonts w:eastAsiaTheme="minorEastAsia"/>
          <w:b w:val="0"/>
          <w:bCs w:val="0"/>
          <w:noProof/>
          <w:sz w:val="24"/>
          <w:szCs w:val="24"/>
        </w:rPr>
        <w:tab/>
      </w:r>
      <w:r w:rsidRPr="000E117F">
        <w:rPr>
          <w:b w:val="0"/>
          <w:noProof/>
          <w:sz w:val="24"/>
          <w:szCs w:val="24"/>
        </w:rPr>
        <w:t>Characteristics of combination treatment</w:t>
      </w:r>
      <w:r w:rsidRPr="00070C40">
        <w:rPr>
          <w:b w:val="0"/>
          <w:noProof/>
          <w:webHidden/>
          <w:sz w:val="24"/>
          <w:szCs w:val="24"/>
        </w:rPr>
        <w:tab/>
        <w:t>2</w:t>
      </w:r>
      <w:r w:rsidR="00843A81">
        <w:rPr>
          <w:b w:val="0"/>
          <w:noProof/>
          <w:webHidden/>
          <w:sz w:val="24"/>
          <w:szCs w:val="24"/>
        </w:rPr>
        <w:t>4</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Table 2.8</w:t>
      </w:r>
      <w:r w:rsidRPr="00070C40">
        <w:rPr>
          <w:rFonts w:eastAsiaTheme="minorEastAsia"/>
          <w:b w:val="0"/>
          <w:bCs w:val="0"/>
          <w:noProof/>
          <w:sz w:val="24"/>
          <w:szCs w:val="24"/>
        </w:rPr>
        <w:tab/>
      </w:r>
      <w:r w:rsidRPr="000E117F">
        <w:rPr>
          <w:b w:val="0"/>
          <w:noProof/>
          <w:sz w:val="24"/>
          <w:szCs w:val="24"/>
        </w:rPr>
        <w:t>Characteristics of combination treatment – sensitivity analysis</w:t>
      </w:r>
      <w:r w:rsidRPr="00070C40">
        <w:rPr>
          <w:b w:val="0"/>
          <w:noProof/>
          <w:webHidden/>
          <w:sz w:val="24"/>
          <w:szCs w:val="24"/>
        </w:rPr>
        <w:tab/>
        <w:t>2</w:t>
      </w:r>
      <w:r w:rsidR="00843A81">
        <w:rPr>
          <w:b w:val="0"/>
          <w:noProof/>
          <w:webHidden/>
          <w:sz w:val="24"/>
          <w:szCs w:val="24"/>
        </w:rPr>
        <w:t>4</w:t>
      </w:r>
    </w:p>
    <w:p w:rsidR="00070C40" w:rsidRDefault="00070C40" w:rsidP="000D0FF3">
      <w:pPr>
        <w:pStyle w:val="Heading1"/>
        <w:spacing w:line="240" w:lineRule="auto"/>
      </w:pPr>
    </w:p>
    <w:p w:rsidR="00431842" w:rsidRPr="00070C40" w:rsidRDefault="00431842" w:rsidP="00070C40">
      <w:pPr>
        <w:pStyle w:val="Heading1"/>
        <w:spacing w:before="240"/>
      </w:pPr>
      <w:bookmarkStart w:id="8" w:name="_Toc36810512"/>
      <w:r w:rsidRPr="00070C40">
        <w:t>List of F</w:t>
      </w:r>
      <w:r w:rsidR="000B2B6F" w:rsidRPr="00070C40">
        <w:t>igures</w:t>
      </w:r>
      <w:bookmarkEnd w:id="8"/>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Figure 2.1</w:t>
      </w:r>
      <w:r w:rsidRPr="00070C40">
        <w:rPr>
          <w:rFonts w:eastAsiaTheme="minorEastAsia"/>
          <w:b w:val="0"/>
          <w:bCs w:val="0"/>
          <w:noProof/>
          <w:sz w:val="24"/>
          <w:szCs w:val="24"/>
        </w:rPr>
        <w:tab/>
      </w:r>
      <w:r w:rsidRPr="000E117F">
        <w:rPr>
          <w:b w:val="0"/>
          <w:noProof/>
          <w:sz w:val="24"/>
          <w:szCs w:val="24"/>
        </w:rPr>
        <w:t>Quarterly PBS dispensing by PAH medicine, 2013-2016</w:t>
      </w:r>
      <w:r w:rsidRPr="00070C40">
        <w:rPr>
          <w:b w:val="0"/>
          <w:noProof/>
          <w:webHidden/>
          <w:sz w:val="24"/>
          <w:szCs w:val="24"/>
        </w:rPr>
        <w:tab/>
        <w:t>1</w:t>
      </w:r>
      <w:r w:rsidR="00843A81">
        <w:rPr>
          <w:b w:val="0"/>
          <w:noProof/>
          <w:webHidden/>
          <w:sz w:val="24"/>
          <w:szCs w:val="24"/>
        </w:rPr>
        <w:t>4</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Figure 2.2</w:t>
      </w:r>
      <w:r w:rsidRPr="00070C40">
        <w:rPr>
          <w:rFonts w:eastAsiaTheme="minorEastAsia"/>
          <w:b w:val="0"/>
          <w:bCs w:val="0"/>
          <w:noProof/>
          <w:sz w:val="24"/>
          <w:szCs w:val="24"/>
        </w:rPr>
        <w:tab/>
      </w:r>
      <w:r w:rsidRPr="000E117F">
        <w:rPr>
          <w:b w:val="0"/>
          <w:noProof/>
          <w:sz w:val="24"/>
          <w:szCs w:val="24"/>
        </w:rPr>
        <w:t>Quarterly PBS benefit paid by medicine (in millions AUD)</w:t>
      </w:r>
      <w:r w:rsidRPr="00070C40">
        <w:rPr>
          <w:b w:val="0"/>
          <w:noProof/>
          <w:webHidden/>
          <w:sz w:val="24"/>
          <w:szCs w:val="24"/>
        </w:rPr>
        <w:tab/>
        <w:t>1</w:t>
      </w:r>
      <w:r w:rsidR="00843A81">
        <w:rPr>
          <w:b w:val="0"/>
          <w:noProof/>
          <w:webHidden/>
          <w:sz w:val="24"/>
          <w:szCs w:val="24"/>
        </w:rPr>
        <w:t>4</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Figure 2.3</w:t>
      </w:r>
      <w:r w:rsidRPr="00070C40">
        <w:rPr>
          <w:rFonts w:eastAsiaTheme="minorEastAsia"/>
          <w:b w:val="0"/>
          <w:bCs w:val="0"/>
          <w:noProof/>
          <w:sz w:val="24"/>
          <w:szCs w:val="24"/>
        </w:rPr>
        <w:tab/>
      </w:r>
      <w:r w:rsidRPr="000E117F">
        <w:rPr>
          <w:b w:val="0"/>
          <w:noProof/>
          <w:sz w:val="24"/>
          <w:szCs w:val="24"/>
        </w:rPr>
        <w:t>Quarterly prevalence per 1,000,000 population by medicine class</w:t>
      </w:r>
      <w:r w:rsidRPr="00070C40">
        <w:rPr>
          <w:b w:val="0"/>
          <w:noProof/>
          <w:webHidden/>
          <w:sz w:val="24"/>
          <w:szCs w:val="24"/>
        </w:rPr>
        <w:tab/>
        <w:t>1</w:t>
      </w:r>
      <w:r w:rsidR="00843A81">
        <w:rPr>
          <w:b w:val="0"/>
          <w:noProof/>
          <w:webHidden/>
          <w:sz w:val="24"/>
          <w:szCs w:val="24"/>
        </w:rPr>
        <w:t>6</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Figure 2.4</w:t>
      </w:r>
      <w:r w:rsidRPr="00070C40">
        <w:rPr>
          <w:rFonts w:eastAsiaTheme="minorEastAsia"/>
          <w:b w:val="0"/>
          <w:bCs w:val="0"/>
          <w:noProof/>
          <w:sz w:val="24"/>
          <w:szCs w:val="24"/>
        </w:rPr>
        <w:tab/>
      </w:r>
      <w:r w:rsidRPr="000E117F">
        <w:rPr>
          <w:b w:val="0"/>
          <w:noProof/>
          <w:sz w:val="24"/>
          <w:szCs w:val="24"/>
        </w:rPr>
        <w:t>Quarterly prevalence per 1,000,000 population by sex</w:t>
      </w:r>
      <w:r w:rsidRPr="00070C40">
        <w:rPr>
          <w:b w:val="0"/>
          <w:noProof/>
          <w:webHidden/>
          <w:sz w:val="24"/>
          <w:szCs w:val="24"/>
        </w:rPr>
        <w:tab/>
        <w:t>1</w:t>
      </w:r>
      <w:r w:rsidR="00843A81">
        <w:rPr>
          <w:b w:val="0"/>
          <w:noProof/>
          <w:webHidden/>
          <w:sz w:val="24"/>
          <w:szCs w:val="24"/>
        </w:rPr>
        <w:t>6</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Figure 2.5</w:t>
      </w:r>
      <w:r w:rsidRPr="00070C40">
        <w:rPr>
          <w:rFonts w:eastAsiaTheme="minorEastAsia"/>
          <w:b w:val="0"/>
          <w:bCs w:val="0"/>
          <w:noProof/>
          <w:sz w:val="24"/>
          <w:szCs w:val="24"/>
        </w:rPr>
        <w:tab/>
      </w:r>
      <w:r w:rsidRPr="000E117F">
        <w:rPr>
          <w:b w:val="0"/>
          <w:noProof/>
          <w:sz w:val="24"/>
          <w:szCs w:val="24"/>
        </w:rPr>
        <w:t>Quarterly prevalence per 1,000,000 population by sex and age group</w:t>
      </w:r>
      <w:r w:rsidRPr="00070C40">
        <w:rPr>
          <w:b w:val="0"/>
          <w:noProof/>
          <w:webHidden/>
          <w:sz w:val="24"/>
          <w:szCs w:val="24"/>
        </w:rPr>
        <w:tab/>
        <w:t>1</w:t>
      </w:r>
      <w:r w:rsidR="00843A81">
        <w:rPr>
          <w:b w:val="0"/>
          <w:noProof/>
          <w:webHidden/>
          <w:sz w:val="24"/>
          <w:szCs w:val="24"/>
        </w:rPr>
        <w:t>7</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Figure 2.6</w:t>
      </w:r>
      <w:r w:rsidRPr="00070C40">
        <w:rPr>
          <w:rFonts w:eastAsiaTheme="minorEastAsia"/>
          <w:b w:val="0"/>
          <w:bCs w:val="0"/>
          <w:noProof/>
          <w:sz w:val="24"/>
          <w:szCs w:val="24"/>
        </w:rPr>
        <w:tab/>
      </w:r>
      <w:r w:rsidRPr="000E117F">
        <w:rPr>
          <w:b w:val="0"/>
          <w:noProof/>
          <w:sz w:val="24"/>
          <w:szCs w:val="24"/>
        </w:rPr>
        <w:t xml:space="preserve">Quarterly prevalence per 1,000,000 population by </w:t>
      </w:r>
      <w:r w:rsidR="000E117F">
        <w:rPr>
          <w:b w:val="0"/>
          <w:noProof/>
          <w:color w:val="000000"/>
          <w:sz w:val="24"/>
          <w:szCs w:val="24"/>
          <w:highlight w:val="black"/>
        </w:rPr>
        <w:t>''''''''''''' '''''''''</w:t>
      </w:r>
      <w:r w:rsidRPr="00070C40">
        <w:rPr>
          <w:b w:val="0"/>
          <w:noProof/>
          <w:webHidden/>
          <w:sz w:val="24"/>
          <w:szCs w:val="24"/>
        </w:rPr>
        <w:tab/>
        <w:t>1</w:t>
      </w:r>
      <w:r w:rsidR="00843A81">
        <w:rPr>
          <w:b w:val="0"/>
          <w:noProof/>
          <w:webHidden/>
          <w:sz w:val="24"/>
          <w:szCs w:val="24"/>
        </w:rPr>
        <w:t>8</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Figure 2.7</w:t>
      </w:r>
      <w:r w:rsidRPr="00070C40">
        <w:rPr>
          <w:rFonts w:eastAsiaTheme="minorEastAsia"/>
          <w:b w:val="0"/>
          <w:bCs w:val="0"/>
          <w:noProof/>
          <w:sz w:val="24"/>
          <w:szCs w:val="24"/>
        </w:rPr>
        <w:tab/>
      </w:r>
      <w:r w:rsidRPr="000E117F">
        <w:rPr>
          <w:b w:val="0"/>
          <w:noProof/>
          <w:sz w:val="24"/>
          <w:szCs w:val="24"/>
        </w:rPr>
        <w:t>PHSANZ cohort WHO FC categorisation at time of diagnosis and time of last assessment</w:t>
      </w:r>
      <w:r w:rsidRPr="00070C40">
        <w:rPr>
          <w:b w:val="0"/>
          <w:noProof/>
          <w:webHidden/>
          <w:sz w:val="24"/>
          <w:szCs w:val="24"/>
        </w:rPr>
        <w:tab/>
        <w:t>1</w:t>
      </w:r>
      <w:r w:rsidR="00843A81">
        <w:rPr>
          <w:b w:val="0"/>
          <w:noProof/>
          <w:webHidden/>
          <w:sz w:val="24"/>
          <w:szCs w:val="24"/>
        </w:rPr>
        <w:t>8</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Figure 2.8</w:t>
      </w:r>
      <w:r w:rsidRPr="00070C40">
        <w:rPr>
          <w:rFonts w:eastAsiaTheme="minorEastAsia"/>
          <w:b w:val="0"/>
          <w:bCs w:val="0"/>
          <w:noProof/>
          <w:sz w:val="24"/>
          <w:szCs w:val="24"/>
        </w:rPr>
        <w:tab/>
      </w:r>
      <w:r w:rsidRPr="000E117F">
        <w:rPr>
          <w:b w:val="0"/>
          <w:noProof/>
          <w:sz w:val="24"/>
          <w:szCs w:val="24"/>
        </w:rPr>
        <w:t>ASCS cohort WHO FC categorisation at time of diagnosis and time of last assessment (index visit)</w:t>
      </w:r>
      <w:r w:rsidRPr="00070C40">
        <w:rPr>
          <w:b w:val="0"/>
          <w:noProof/>
          <w:webHidden/>
          <w:sz w:val="24"/>
          <w:szCs w:val="24"/>
        </w:rPr>
        <w:tab/>
        <w:t>1</w:t>
      </w:r>
      <w:r w:rsidR="00843A81">
        <w:rPr>
          <w:b w:val="0"/>
          <w:noProof/>
          <w:webHidden/>
          <w:sz w:val="24"/>
          <w:szCs w:val="24"/>
        </w:rPr>
        <w:t>9</w:t>
      </w:r>
    </w:p>
    <w:p w:rsidR="00070C40" w:rsidRPr="00070C40" w:rsidRDefault="00070C40">
      <w:pPr>
        <w:pStyle w:val="TableofFigures"/>
        <w:tabs>
          <w:tab w:val="left" w:pos="1100"/>
          <w:tab w:val="right" w:leader="dot" w:pos="9016"/>
        </w:tabs>
        <w:rPr>
          <w:rFonts w:eastAsiaTheme="minorEastAsia"/>
          <w:b w:val="0"/>
          <w:bCs w:val="0"/>
          <w:noProof/>
          <w:sz w:val="24"/>
          <w:szCs w:val="24"/>
        </w:rPr>
      </w:pPr>
      <w:r w:rsidRPr="000E117F">
        <w:rPr>
          <w:b w:val="0"/>
          <w:noProof/>
          <w:sz w:val="24"/>
          <w:szCs w:val="24"/>
        </w:rPr>
        <w:t>Figure 2.9</w:t>
      </w:r>
      <w:r w:rsidRPr="00070C40">
        <w:rPr>
          <w:rFonts w:eastAsiaTheme="minorEastAsia"/>
          <w:b w:val="0"/>
          <w:bCs w:val="0"/>
          <w:noProof/>
          <w:sz w:val="24"/>
          <w:szCs w:val="24"/>
        </w:rPr>
        <w:tab/>
      </w:r>
      <w:r w:rsidRPr="000E117F">
        <w:rPr>
          <w:b w:val="0"/>
          <w:noProof/>
          <w:sz w:val="24"/>
          <w:szCs w:val="24"/>
        </w:rPr>
        <w:t>Quarterly incidence and prevalence of use per 1,000,000 population</w:t>
      </w:r>
      <w:r w:rsidRPr="00070C40">
        <w:rPr>
          <w:b w:val="0"/>
          <w:noProof/>
          <w:webHidden/>
          <w:sz w:val="24"/>
          <w:szCs w:val="24"/>
        </w:rPr>
        <w:tab/>
      </w:r>
      <w:r w:rsidR="00843A81">
        <w:rPr>
          <w:b w:val="0"/>
          <w:noProof/>
          <w:webHidden/>
          <w:sz w:val="24"/>
          <w:szCs w:val="24"/>
        </w:rPr>
        <w:t>20</w:t>
      </w:r>
    </w:p>
    <w:p w:rsidR="00BD39A7" w:rsidRDefault="00BD39A7" w:rsidP="00F35F30">
      <w:pPr>
        <w:pStyle w:val="Heading1"/>
        <w:rPr>
          <w:b w:val="0"/>
          <w:sz w:val="24"/>
          <w:szCs w:val="24"/>
        </w:rPr>
      </w:pPr>
      <w:bookmarkStart w:id="9" w:name="_Toc388453120"/>
    </w:p>
    <w:p w:rsidR="00BD39A7" w:rsidRDefault="00BD39A7">
      <w:pPr>
        <w:jc w:val="left"/>
        <w:rPr>
          <w:rFonts w:asciiTheme="minorHAnsi" w:eastAsiaTheme="majorEastAsia" w:hAnsiTheme="minorHAnsi" w:cstheme="majorBidi"/>
          <w:bCs/>
          <w:color w:val="4F81BD" w:themeColor="accent1"/>
          <w:szCs w:val="24"/>
        </w:rPr>
      </w:pPr>
      <w:r w:rsidRPr="00CF5AA6">
        <w:rPr>
          <w:rFonts w:ascii="Calibri" w:hAnsi="Calibri"/>
          <w:b/>
          <w:szCs w:val="24"/>
        </w:rPr>
        <w:br w:type="page"/>
      </w:r>
    </w:p>
    <w:p w:rsidR="00BD39A7" w:rsidRPr="008370B4" w:rsidRDefault="00BD39A7" w:rsidP="00BD39A7">
      <w:pPr>
        <w:pStyle w:val="Heading1"/>
      </w:pPr>
      <w:bookmarkStart w:id="10" w:name="_Toc36810513"/>
      <w:r w:rsidRPr="00D560DC">
        <w:lastRenderedPageBreak/>
        <w:t>Abbreviations</w:t>
      </w:r>
      <w:bookmarkEnd w:id="10"/>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6660"/>
      </w:tblGrid>
      <w:tr w:rsidR="00BD39A7" w:rsidRPr="00CF5AA6" w:rsidTr="0084301E">
        <w:trPr>
          <w:trHeight w:val="411"/>
        </w:trPr>
        <w:tc>
          <w:tcPr>
            <w:tcW w:w="1980" w:type="dxa"/>
            <w:shd w:val="clear" w:color="auto" w:fill="BFBFBF" w:themeFill="background1" w:themeFillShade="BF"/>
            <w:vAlign w:val="bottom"/>
          </w:tcPr>
          <w:p w:rsidR="00BD39A7" w:rsidRPr="00CF5AA6" w:rsidRDefault="00BD39A7" w:rsidP="0084301E">
            <w:pPr>
              <w:spacing w:before="60" w:after="60" w:line="240" w:lineRule="auto"/>
              <w:rPr>
                <w:rFonts w:ascii="Calibri" w:hAnsi="Calibri" w:cs="Arial"/>
                <w:b/>
                <w:szCs w:val="24"/>
              </w:rPr>
            </w:pPr>
            <w:r w:rsidRPr="00CF5AA6">
              <w:rPr>
                <w:rFonts w:ascii="Calibri" w:hAnsi="Calibri" w:cs="Arial"/>
                <w:b/>
                <w:szCs w:val="24"/>
              </w:rPr>
              <w:t>Abbreviation</w:t>
            </w:r>
          </w:p>
        </w:tc>
        <w:tc>
          <w:tcPr>
            <w:tcW w:w="6660" w:type="dxa"/>
            <w:shd w:val="clear" w:color="auto" w:fill="BFBFBF" w:themeFill="background1" w:themeFillShade="BF"/>
            <w:vAlign w:val="bottom"/>
          </w:tcPr>
          <w:p w:rsidR="00BD39A7" w:rsidRPr="00CF5AA6" w:rsidRDefault="00BD39A7" w:rsidP="0084301E">
            <w:pPr>
              <w:spacing w:before="60" w:after="60" w:line="240" w:lineRule="auto"/>
              <w:rPr>
                <w:rFonts w:ascii="Calibri" w:hAnsi="Calibri" w:cs="Arial"/>
                <w:b/>
                <w:szCs w:val="24"/>
              </w:rPr>
            </w:pPr>
            <w:r w:rsidRPr="00CF5AA6">
              <w:rPr>
                <w:rFonts w:ascii="Calibri" w:hAnsi="Calibri" w:cs="Arial"/>
                <w:b/>
                <w:szCs w:val="24"/>
              </w:rPr>
              <w:t xml:space="preserve">Full Name / Wording </w:t>
            </w:r>
          </w:p>
        </w:tc>
      </w:tr>
      <w:tr w:rsidR="00BD39A7" w:rsidRPr="00CF5AA6" w:rsidTr="0084301E">
        <w:trPr>
          <w:trHeight w:val="453"/>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µg</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micrograms</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ABS</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Australian Bureau of Statistics</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ASCS</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Australian Scleroderma Cohort Study</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ASIG</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Australian Scleroderma Interest Group</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ATC</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Anatomical Therapeutic Chemical</w:t>
            </w:r>
          </w:p>
        </w:tc>
      </w:tr>
      <w:tr w:rsidR="0034400E" w:rsidRPr="00CF5AA6" w:rsidTr="00C413ED">
        <w:trPr>
          <w:trHeight w:val="70"/>
        </w:trPr>
        <w:tc>
          <w:tcPr>
            <w:tcW w:w="1980" w:type="dxa"/>
            <w:shd w:val="clear" w:color="auto" w:fill="auto"/>
            <w:vAlign w:val="center"/>
          </w:tcPr>
          <w:p w:rsidR="0034400E" w:rsidRPr="00CF5AA6" w:rsidRDefault="0034400E" w:rsidP="0084301E">
            <w:pPr>
              <w:spacing w:before="60" w:after="60" w:line="240" w:lineRule="auto"/>
              <w:jc w:val="left"/>
              <w:rPr>
                <w:rFonts w:ascii="Calibri" w:hAnsi="Calibri"/>
                <w:szCs w:val="24"/>
              </w:rPr>
            </w:pPr>
            <w:r w:rsidRPr="00CF5AA6">
              <w:rPr>
                <w:rFonts w:ascii="Calibri" w:hAnsi="Calibri"/>
                <w:szCs w:val="24"/>
              </w:rPr>
              <w:t>AUD</w:t>
            </w:r>
          </w:p>
        </w:tc>
        <w:tc>
          <w:tcPr>
            <w:tcW w:w="6660" w:type="dxa"/>
            <w:shd w:val="clear" w:color="auto" w:fill="auto"/>
            <w:vAlign w:val="center"/>
          </w:tcPr>
          <w:p w:rsidR="0034400E" w:rsidRPr="00CF5AA6" w:rsidRDefault="0034400E" w:rsidP="0084301E">
            <w:pPr>
              <w:spacing w:before="60" w:after="60" w:line="240" w:lineRule="auto"/>
              <w:jc w:val="left"/>
              <w:rPr>
                <w:rFonts w:ascii="Calibri" w:hAnsi="Calibri"/>
                <w:szCs w:val="24"/>
              </w:rPr>
            </w:pPr>
            <w:r w:rsidRPr="00CF5AA6">
              <w:rPr>
                <w:rFonts w:ascii="Calibri" w:hAnsi="Calibri"/>
                <w:szCs w:val="24"/>
              </w:rPr>
              <w:t>Australian dollars</w:t>
            </w:r>
          </w:p>
        </w:tc>
      </w:tr>
      <w:tr w:rsidR="00BD39A7" w:rsidRPr="00CF5AA6" w:rsidTr="00C413ED">
        <w:trPr>
          <w:trHeight w:val="70"/>
        </w:trPr>
        <w:tc>
          <w:tcPr>
            <w:tcW w:w="1980" w:type="dxa"/>
            <w:shd w:val="clear" w:color="auto" w:fill="auto"/>
            <w:vAlign w:val="center"/>
          </w:tcPr>
          <w:p w:rsidR="00BD39A7" w:rsidRPr="00CF5AA6" w:rsidRDefault="00C413ED" w:rsidP="0084301E">
            <w:pPr>
              <w:spacing w:before="60" w:after="60" w:line="240" w:lineRule="auto"/>
              <w:jc w:val="left"/>
              <w:rPr>
                <w:rFonts w:ascii="Calibri" w:hAnsi="Calibri"/>
                <w:szCs w:val="24"/>
              </w:rPr>
            </w:pPr>
            <w:r w:rsidRPr="00CF5AA6">
              <w:rPr>
                <w:rFonts w:ascii="Calibri" w:hAnsi="Calibri"/>
                <w:szCs w:val="24"/>
              </w:rPr>
              <w:t>PAH-CHD</w:t>
            </w:r>
          </w:p>
        </w:tc>
        <w:tc>
          <w:tcPr>
            <w:tcW w:w="6660" w:type="dxa"/>
            <w:shd w:val="clear" w:color="auto" w:fill="auto"/>
            <w:vAlign w:val="center"/>
          </w:tcPr>
          <w:p w:rsidR="00BD39A7" w:rsidRPr="00CF5AA6" w:rsidRDefault="00C413ED" w:rsidP="0084301E">
            <w:pPr>
              <w:spacing w:before="60" w:after="60" w:line="240" w:lineRule="auto"/>
              <w:jc w:val="left"/>
              <w:rPr>
                <w:rFonts w:ascii="Calibri" w:hAnsi="Calibri"/>
                <w:szCs w:val="24"/>
              </w:rPr>
            </w:pPr>
            <w:r w:rsidRPr="00CF5AA6">
              <w:rPr>
                <w:rFonts w:ascii="Calibri" w:hAnsi="Calibri"/>
                <w:szCs w:val="24"/>
              </w:rPr>
              <w:t>PAH associated with congenital heart disease</w:t>
            </w:r>
          </w:p>
        </w:tc>
      </w:tr>
      <w:tr w:rsidR="00BD39A7" w:rsidRPr="00CF5AA6" w:rsidTr="0084301E">
        <w:trPr>
          <w:trHeight w:val="170"/>
        </w:trPr>
        <w:tc>
          <w:tcPr>
            <w:tcW w:w="1980" w:type="dxa"/>
            <w:shd w:val="clear" w:color="auto" w:fill="auto"/>
            <w:vAlign w:val="center"/>
          </w:tcPr>
          <w:p w:rsidR="00BD39A7" w:rsidRPr="00CF5AA6" w:rsidRDefault="00C413ED" w:rsidP="00F26F91">
            <w:pPr>
              <w:spacing w:before="60" w:after="60" w:line="240" w:lineRule="auto"/>
              <w:jc w:val="left"/>
              <w:rPr>
                <w:rFonts w:ascii="Calibri" w:hAnsi="Calibri"/>
                <w:color w:val="000000"/>
                <w:szCs w:val="24"/>
              </w:rPr>
            </w:pPr>
            <w:r w:rsidRPr="00CF5AA6">
              <w:rPr>
                <w:rFonts w:ascii="Calibri" w:hAnsi="Calibri"/>
                <w:color w:val="000000"/>
                <w:szCs w:val="24"/>
              </w:rPr>
              <w:t>PA</w:t>
            </w:r>
            <w:r w:rsidR="00F26F91" w:rsidRPr="00CF5AA6">
              <w:rPr>
                <w:rFonts w:ascii="Calibri" w:hAnsi="Calibri"/>
                <w:color w:val="000000"/>
                <w:szCs w:val="24"/>
              </w:rPr>
              <w:t>H</w:t>
            </w:r>
            <w:r w:rsidRPr="00CF5AA6">
              <w:rPr>
                <w:rFonts w:ascii="Calibri" w:hAnsi="Calibri"/>
                <w:color w:val="000000"/>
                <w:szCs w:val="24"/>
              </w:rPr>
              <w:t>-CTD</w:t>
            </w:r>
          </w:p>
        </w:tc>
        <w:tc>
          <w:tcPr>
            <w:tcW w:w="6660" w:type="dxa"/>
            <w:shd w:val="clear" w:color="auto" w:fill="auto"/>
            <w:vAlign w:val="center"/>
          </w:tcPr>
          <w:p w:rsidR="00BD39A7" w:rsidRPr="00CF5AA6" w:rsidRDefault="00C413ED" w:rsidP="009C7712">
            <w:pPr>
              <w:spacing w:before="60" w:after="60" w:line="240" w:lineRule="auto"/>
              <w:jc w:val="left"/>
              <w:rPr>
                <w:rFonts w:ascii="Calibri" w:hAnsi="Calibri"/>
                <w:color w:val="000000"/>
                <w:szCs w:val="24"/>
              </w:rPr>
            </w:pPr>
            <w:r w:rsidRPr="00CF5AA6">
              <w:rPr>
                <w:rFonts w:ascii="Calibri" w:hAnsi="Calibri"/>
              </w:rPr>
              <w:t>PAH associated with connective tissue disease</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CTEPH</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Style w:val="st1"/>
                <w:rFonts w:ascii="Calibri" w:hAnsi="Calibri" w:cs="Arial"/>
              </w:rPr>
              <w:t>Chronic thromboembolic pulmonary hypertension</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proofErr w:type="spellStart"/>
            <w:r w:rsidRPr="00CF5AA6">
              <w:rPr>
                <w:rFonts w:ascii="Calibri" w:hAnsi="Calibri"/>
                <w:color w:val="000000"/>
                <w:szCs w:val="24"/>
              </w:rPr>
              <w:t>DoH</w:t>
            </w:r>
            <w:proofErr w:type="spellEnd"/>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Department of Health</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dPAH</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Drug-induced PAH</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DUSC</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Drug Utilisation Sub Committee</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ERA</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Endothelin receptor antagonist</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FC</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functional class</w:t>
            </w:r>
          </w:p>
        </w:tc>
      </w:tr>
      <w:tr w:rsidR="009C7712" w:rsidRPr="00CF5AA6" w:rsidTr="0084301E">
        <w:trPr>
          <w:trHeight w:val="170"/>
        </w:trPr>
        <w:tc>
          <w:tcPr>
            <w:tcW w:w="1980" w:type="dxa"/>
            <w:shd w:val="clear" w:color="auto" w:fill="auto"/>
            <w:vAlign w:val="center"/>
          </w:tcPr>
          <w:p w:rsidR="009C7712" w:rsidRPr="00CF5AA6" w:rsidRDefault="009C7712" w:rsidP="0084301E">
            <w:pPr>
              <w:spacing w:before="60" w:after="60" w:line="240" w:lineRule="auto"/>
              <w:jc w:val="left"/>
              <w:rPr>
                <w:rFonts w:ascii="Calibri" w:hAnsi="Calibri"/>
                <w:szCs w:val="24"/>
              </w:rPr>
            </w:pPr>
            <w:r w:rsidRPr="00CF5AA6">
              <w:rPr>
                <w:rFonts w:ascii="Calibri" w:hAnsi="Calibri"/>
                <w:szCs w:val="24"/>
              </w:rPr>
              <w:t>hPAH</w:t>
            </w:r>
          </w:p>
        </w:tc>
        <w:tc>
          <w:tcPr>
            <w:tcW w:w="6660" w:type="dxa"/>
            <w:shd w:val="clear" w:color="auto" w:fill="auto"/>
            <w:vAlign w:val="center"/>
          </w:tcPr>
          <w:p w:rsidR="009C7712" w:rsidRPr="00CF5AA6" w:rsidRDefault="009C7712" w:rsidP="0084301E">
            <w:pPr>
              <w:spacing w:before="60" w:after="60" w:line="240" w:lineRule="auto"/>
              <w:jc w:val="left"/>
              <w:rPr>
                <w:rFonts w:ascii="Calibri" w:hAnsi="Calibri"/>
                <w:szCs w:val="24"/>
              </w:rPr>
            </w:pPr>
            <w:r w:rsidRPr="00CF5AA6">
              <w:rPr>
                <w:rFonts w:ascii="Calibri" w:hAnsi="Calibri"/>
                <w:szCs w:val="24"/>
              </w:rPr>
              <w:t>Heritable PAH</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iPAH</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Idiopathic PAH</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mg</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milligrams</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mmHg</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Style w:val="y0nh2b"/>
                <w:rFonts w:ascii="Calibri" w:hAnsi="Calibri" w:cs="Arial"/>
              </w:rPr>
              <w:t>Millimetres of mercury</w:t>
            </w:r>
          </w:p>
        </w:tc>
      </w:tr>
      <w:tr w:rsidR="004235D2" w:rsidRPr="00CF5AA6" w:rsidTr="0084301E">
        <w:trPr>
          <w:trHeight w:val="170"/>
        </w:trPr>
        <w:tc>
          <w:tcPr>
            <w:tcW w:w="1980" w:type="dxa"/>
            <w:shd w:val="clear" w:color="auto" w:fill="auto"/>
            <w:vAlign w:val="center"/>
          </w:tcPr>
          <w:p w:rsidR="004235D2" w:rsidRPr="00CF5AA6" w:rsidRDefault="004235D2" w:rsidP="0084301E">
            <w:pPr>
              <w:spacing w:before="60" w:after="60" w:line="240" w:lineRule="auto"/>
              <w:jc w:val="left"/>
              <w:rPr>
                <w:rFonts w:ascii="Calibri" w:hAnsi="Calibri"/>
                <w:color w:val="000000"/>
                <w:szCs w:val="24"/>
              </w:rPr>
            </w:pPr>
            <w:r w:rsidRPr="00CF5AA6">
              <w:rPr>
                <w:rFonts w:ascii="Calibri" w:hAnsi="Calibri"/>
                <w:color w:val="000000"/>
                <w:szCs w:val="24"/>
              </w:rPr>
              <w:t>n</w:t>
            </w:r>
          </w:p>
        </w:tc>
        <w:tc>
          <w:tcPr>
            <w:tcW w:w="6660" w:type="dxa"/>
            <w:shd w:val="clear" w:color="auto" w:fill="auto"/>
            <w:vAlign w:val="center"/>
          </w:tcPr>
          <w:p w:rsidR="004235D2" w:rsidRPr="00CF5AA6" w:rsidRDefault="004235D2" w:rsidP="0084301E">
            <w:pPr>
              <w:spacing w:before="60" w:after="60" w:line="240" w:lineRule="auto"/>
              <w:jc w:val="left"/>
              <w:rPr>
                <w:rFonts w:ascii="Calibri" w:hAnsi="Calibri"/>
                <w:color w:val="000000"/>
                <w:szCs w:val="24"/>
              </w:rPr>
            </w:pPr>
            <w:r w:rsidRPr="00CF5AA6">
              <w:rPr>
                <w:rFonts w:ascii="Calibri" w:hAnsi="Calibri"/>
                <w:color w:val="000000"/>
                <w:szCs w:val="24"/>
              </w:rPr>
              <w:t>number</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PAH</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Pulmonary arterial hypertension</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PAP</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Pulmonary arterial pressure</w:t>
            </w:r>
          </w:p>
        </w:tc>
      </w:tr>
      <w:tr w:rsidR="0034400E" w:rsidRPr="00CF5AA6" w:rsidTr="002F6D64">
        <w:trPr>
          <w:trHeight w:val="170"/>
        </w:trPr>
        <w:tc>
          <w:tcPr>
            <w:tcW w:w="1980" w:type="dxa"/>
            <w:shd w:val="clear" w:color="auto" w:fill="auto"/>
          </w:tcPr>
          <w:p w:rsidR="0034400E" w:rsidRPr="00CF5AA6" w:rsidRDefault="0034400E" w:rsidP="0034400E">
            <w:pPr>
              <w:spacing w:before="60" w:after="60" w:line="240" w:lineRule="auto"/>
              <w:jc w:val="left"/>
              <w:rPr>
                <w:rFonts w:ascii="Calibri" w:hAnsi="Calibri"/>
                <w:color w:val="000000"/>
                <w:szCs w:val="24"/>
              </w:rPr>
            </w:pPr>
            <w:r w:rsidRPr="00CF5AA6">
              <w:rPr>
                <w:rFonts w:ascii="Calibri" w:hAnsi="Calibri"/>
              </w:rPr>
              <w:t>PAWP</w:t>
            </w:r>
          </w:p>
        </w:tc>
        <w:tc>
          <w:tcPr>
            <w:tcW w:w="6660" w:type="dxa"/>
            <w:shd w:val="clear" w:color="auto" w:fill="auto"/>
          </w:tcPr>
          <w:p w:rsidR="0034400E" w:rsidRPr="00CF5AA6" w:rsidRDefault="0034400E" w:rsidP="0034400E">
            <w:pPr>
              <w:spacing w:before="60" w:after="60" w:line="240" w:lineRule="auto"/>
              <w:jc w:val="left"/>
              <w:rPr>
                <w:rFonts w:ascii="Calibri" w:hAnsi="Calibri"/>
                <w:color w:val="000000"/>
                <w:szCs w:val="24"/>
              </w:rPr>
            </w:pPr>
            <w:r w:rsidRPr="00CF5AA6">
              <w:rPr>
                <w:rFonts w:ascii="Calibri" w:hAnsi="Calibri"/>
              </w:rPr>
              <w:t>Pulmonary artery wedge pressure</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PBAC</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Pharmaceutical Benefits Advisory Committee</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PBS</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Pharmaceutical Benefits Scheme</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PDE</w:t>
            </w:r>
            <w:r w:rsidR="0084301E" w:rsidRPr="00CF5AA6">
              <w:rPr>
                <w:rFonts w:ascii="Calibri" w:hAnsi="Calibri"/>
                <w:color w:val="000000"/>
                <w:szCs w:val="24"/>
              </w:rPr>
              <w:t>-</w:t>
            </w:r>
            <w:r w:rsidRPr="00CF5AA6">
              <w:rPr>
                <w:rFonts w:ascii="Calibri" w:hAnsi="Calibri"/>
                <w:color w:val="000000"/>
                <w:szCs w:val="24"/>
              </w:rPr>
              <w:t>5 inhibitor</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s="Arial"/>
                <w:color w:val="000000"/>
                <w:szCs w:val="24"/>
              </w:rPr>
            </w:pPr>
            <w:r w:rsidRPr="00CF5AA6">
              <w:rPr>
                <w:rFonts w:ascii="Calibri" w:hAnsi="Calibri"/>
                <w:color w:val="000000"/>
                <w:szCs w:val="24"/>
              </w:rPr>
              <w:t>Phosphodiesterase type</w:t>
            </w:r>
            <w:r w:rsidR="00F26F91" w:rsidRPr="00CF5AA6">
              <w:rPr>
                <w:rFonts w:ascii="Calibri" w:hAnsi="Calibri"/>
                <w:color w:val="000000"/>
                <w:szCs w:val="24"/>
              </w:rPr>
              <w:t xml:space="preserve"> </w:t>
            </w:r>
            <w:r w:rsidRPr="00CF5AA6">
              <w:rPr>
                <w:rFonts w:ascii="Calibri" w:hAnsi="Calibri"/>
                <w:color w:val="000000"/>
                <w:szCs w:val="24"/>
              </w:rPr>
              <w:t>5 inhibitor</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PGI</w:t>
            </w:r>
            <w:r w:rsidRPr="00CF5AA6">
              <w:rPr>
                <w:rFonts w:ascii="Calibri" w:hAnsi="Calibri"/>
                <w:color w:val="000000"/>
                <w:szCs w:val="24"/>
                <w:vertAlign w:val="subscript"/>
              </w:rPr>
              <w:t>2</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color w:val="000000"/>
                <w:szCs w:val="24"/>
              </w:rPr>
            </w:pPr>
            <w:r w:rsidRPr="00CF5AA6">
              <w:rPr>
                <w:rFonts w:ascii="Calibri" w:hAnsi="Calibri"/>
                <w:color w:val="000000"/>
                <w:szCs w:val="24"/>
              </w:rPr>
              <w:t>Prostacyclin analogue</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PH</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Pulmonary hypertension</w:t>
            </w:r>
          </w:p>
        </w:tc>
      </w:tr>
      <w:tr w:rsidR="00BD39A7" w:rsidRPr="00CF5AA6" w:rsidTr="0084301E">
        <w:trPr>
          <w:trHeight w:val="170"/>
        </w:trPr>
        <w:tc>
          <w:tcPr>
            <w:tcW w:w="198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hAnsi="Calibri"/>
                <w:szCs w:val="24"/>
              </w:rPr>
              <w:t>PHSANZ</w:t>
            </w:r>
          </w:p>
        </w:tc>
        <w:tc>
          <w:tcPr>
            <w:tcW w:w="6660" w:type="dxa"/>
            <w:shd w:val="clear" w:color="auto" w:fill="auto"/>
            <w:vAlign w:val="center"/>
          </w:tcPr>
          <w:p w:rsidR="00BD39A7" w:rsidRPr="00CF5AA6" w:rsidRDefault="00BD39A7" w:rsidP="0084301E">
            <w:pPr>
              <w:spacing w:before="60" w:after="60" w:line="240" w:lineRule="auto"/>
              <w:jc w:val="left"/>
              <w:rPr>
                <w:rFonts w:ascii="Calibri" w:hAnsi="Calibri"/>
                <w:szCs w:val="24"/>
              </w:rPr>
            </w:pPr>
            <w:r w:rsidRPr="00CF5AA6">
              <w:rPr>
                <w:rFonts w:ascii="Calibri" w:eastAsiaTheme="minorEastAsia" w:hAnsi="Calibri"/>
              </w:rPr>
              <w:t>Pulmonary Hypertension Society of Australia and New Zealand Registry</w:t>
            </w:r>
          </w:p>
        </w:tc>
      </w:tr>
      <w:tr w:rsidR="0034400E" w:rsidRPr="00CF5AA6" w:rsidTr="0084301E">
        <w:trPr>
          <w:trHeight w:val="170"/>
        </w:trPr>
        <w:tc>
          <w:tcPr>
            <w:tcW w:w="1980" w:type="dxa"/>
            <w:shd w:val="clear" w:color="auto" w:fill="auto"/>
            <w:vAlign w:val="center"/>
          </w:tcPr>
          <w:p w:rsidR="0034400E" w:rsidRPr="00CF5AA6" w:rsidRDefault="0034400E" w:rsidP="0034400E">
            <w:pPr>
              <w:spacing w:before="60" w:after="60" w:line="240" w:lineRule="auto"/>
              <w:jc w:val="left"/>
              <w:rPr>
                <w:rFonts w:ascii="Calibri" w:hAnsi="Calibri"/>
                <w:szCs w:val="24"/>
              </w:rPr>
            </w:pPr>
            <w:r w:rsidRPr="00CF5AA6">
              <w:rPr>
                <w:rFonts w:ascii="Calibri" w:hAnsi="Calibri"/>
                <w:szCs w:val="24"/>
              </w:rPr>
              <w:t>RPBS</w:t>
            </w:r>
          </w:p>
        </w:tc>
        <w:tc>
          <w:tcPr>
            <w:tcW w:w="6660" w:type="dxa"/>
            <w:shd w:val="clear" w:color="auto" w:fill="auto"/>
            <w:vAlign w:val="center"/>
          </w:tcPr>
          <w:p w:rsidR="0034400E" w:rsidRPr="00CF5AA6" w:rsidRDefault="0034400E" w:rsidP="0034400E">
            <w:pPr>
              <w:spacing w:before="60" w:after="60" w:line="240" w:lineRule="auto"/>
              <w:jc w:val="left"/>
              <w:rPr>
                <w:rFonts w:ascii="Calibri" w:hAnsi="Calibri"/>
                <w:szCs w:val="24"/>
              </w:rPr>
            </w:pPr>
            <w:r w:rsidRPr="00CF5AA6">
              <w:rPr>
                <w:rFonts w:ascii="Calibri" w:hAnsi="Calibri"/>
                <w:szCs w:val="24"/>
              </w:rPr>
              <w:t>Repatriation Schedule of Pharmaceutical Benefits</w:t>
            </w:r>
          </w:p>
        </w:tc>
      </w:tr>
      <w:tr w:rsidR="0034400E" w:rsidRPr="00CF5AA6" w:rsidTr="0084301E">
        <w:trPr>
          <w:trHeight w:val="170"/>
        </w:trPr>
        <w:tc>
          <w:tcPr>
            <w:tcW w:w="1980" w:type="dxa"/>
            <w:shd w:val="clear" w:color="auto" w:fill="auto"/>
            <w:vAlign w:val="center"/>
          </w:tcPr>
          <w:p w:rsidR="0034400E" w:rsidRPr="00CF5AA6" w:rsidRDefault="0034400E" w:rsidP="0034400E">
            <w:pPr>
              <w:spacing w:before="60" w:after="60" w:line="240" w:lineRule="auto"/>
              <w:jc w:val="left"/>
              <w:rPr>
                <w:rFonts w:ascii="Calibri" w:hAnsi="Calibri"/>
                <w:szCs w:val="24"/>
              </w:rPr>
            </w:pPr>
            <w:r w:rsidRPr="00CF5AA6">
              <w:rPr>
                <w:rFonts w:ascii="Calibri" w:hAnsi="Calibri"/>
                <w:szCs w:val="24"/>
              </w:rPr>
              <w:lastRenderedPageBreak/>
              <w:t>RHC</w:t>
            </w:r>
          </w:p>
        </w:tc>
        <w:tc>
          <w:tcPr>
            <w:tcW w:w="6660" w:type="dxa"/>
            <w:shd w:val="clear" w:color="auto" w:fill="auto"/>
            <w:vAlign w:val="center"/>
          </w:tcPr>
          <w:p w:rsidR="0034400E" w:rsidRPr="00CF5AA6" w:rsidRDefault="0034400E" w:rsidP="0034400E">
            <w:pPr>
              <w:spacing w:before="60" w:after="60" w:line="240" w:lineRule="auto"/>
              <w:jc w:val="left"/>
              <w:rPr>
                <w:rFonts w:ascii="Calibri" w:hAnsi="Calibri"/>
                <w:szCs w:val="24"/>
              </w:rPr>
            </w:pPr>
            <w:r w:rsidRPr="00CF5AA6">
              <w:rPr>
                <w:rFonts w:ascii="Calibri" w:hAnsi="Calibri"/>
                <w:szCs w:val="24"/>
              </w:rPr>
              <w:t>Right heart catheterisation</w:t>
            </w:r>
          </w:p>
        </w:tc>
      </w:tr>
      <w:tr w:rsidR="0034400E" w:rsidRPr="00CF5AA6" w:rsidTr="0084301E">
        <w:trPr>
          <w:trHeight w:val="170"/>
        </w:trPr>
        <w:tc>
          <w:tcPr>
            <w:tcW w:w="1980" w:type="dxa"/>
            <w:shd w:val="clear" w:color="auto" w:fill="auto"/>
            <w:vAlign w:val="center"/>
          </w:tcPr>
          <w:p w:rsidR="0034400E" w:rsidRPr="00CF5AA6" w:rsidRDefault="0034400E" w:rsidP="0034400E">
            <w:pPr>
              <w:spacing w:before="60" w:after="60" w:line="240" w:lineRule="auto"/>
              <w:jc w:val="left"/>
              <w:rPr>
                <w:rFonts w:ascii="Calibri" w:hAnsi="Calibri"/>
                <w:szCs w:val="24"/>
              </w:rPr>
            </w:pPr>
            <w:proofErr w:type="spellStart"/>
            <w:r w:rsidRPr="00CF5AA6">
              <w:rPr>
                <w:rFonts w:ascii="Calibri" w:hAnsi="Calibri"/>
                <w:szCs w:val="24"/>
              </w:rPr>
              <w:t>sGC</w:t>
            </w:r>
            <w:proofErr w:type="spellEnd"/>
          </w:p>
        </w:tc>
        <w:tc>
          <w:tcPr>
            <w:tcW w:w="6660" w:type="dxa"/>
            <w:shd w:val="clear" w:color="auto" w:fill="auto"/>
            <w:vAlign w:val="center"/>
          </w:tcPr>
          <w:p w:rsidR="0034400E" w:rsidRPr="00CF5AA6" w:rsidRDefault="0034400E" w:rsidP="0034400E">
            <w:pPr>
              <w:spacing w:before="60" w:after="60" w:line="240" w:lineRule="auto"/>
              <w:jc w:val="left"/>
              <w:rPr>
                <w:rFonts w:ascii="Calibri" w:hAnsi="Calibri"/>
                <w:szCs w:val="24"/>
              </w:rPr>
            </w:pPr>
            <w:r w:rsidRPr="00CF5AA6">
              <w:rPr>
                <w:rFonts w:ascii="Calibri" w:hAnsi="Calibri"/>
                <w:szCs w:val="24"/>
              </w:rPr>
              <w:t>Soluble guanylate cyclase</w:t>
            </w:r>
          </w:p>
        </w:tc>
      </w:tr>
      <w:tr w:rsidR="0034400E" w:rsidRPr="00CF5AA6" w:rsidTr="0084301E">
        <w:trPr>
          <w:trHeight w:val="170"/>
        </w:trPr>
        <w:tc>
          <w:tcPr>
            <w:tcW w:w="1980" w:type="dxa"/>
            <w:shd w:val="clear" w:color="auto" w:fill="auto"/>
            <w:vAlign w:val="center"/>
          </w:tcPr>
          <w:p w:rsidR="0034400E" w:rsidRPr="00CF5AA6" w:rsidRDefault="0034400E" w:rsidP="0034400E">
            <w:pPr>
              <w:spacing w:before="60" w:after="60" w:line="240" w:lineRule="auto"/>
              <w:jc w:val="left"/>
              <w:rPr>
                <w:rFonts w:ascii="Calibri" w:hAnsi="Calibri"/>
                <w:szCs w:val="24"/>
              </w:rPr>
            </w:pPr>
            <w:proofErr w:type="spellStart"/>
            <w:r w:rsidRPr="00CF5AA6">
              <w:rPr>
                <w:rFonts w:ascii="Calibri" w:hAnsi="Calibri"/>
                <w:szCs w:val="24"/>
              </w:rPr>
              <w:t>SSc</w:t>
            </w:r>
            <w:proofErr w:type="spellEnd"/>
          </w:p>
        </w:tc>
        <w:tc>
          <w:tcPr>
            <w:tcW w:w="6660" w:type="dxa"/>
            <w:shd w:val="clear" w:color="auto" w:fill="auto"/>
            <w:vAlign w:val="center"/>
          </w:tcPr>
          <w:p w:rsidR="0034400E" w:rsidRPr="00CF5AA6" w:rsidRDefault="0034400E" w:rsidP="0034400E">
            <w:pPr>
              <w:spacing w:before="60" w:after="60" w:line="240" w:lineRule="auto"/>
              <w:jc w:val="left"/>
              <w:rPr>
                <w:rFonts w:ascii="Calibri" w:hAnsi="Calibri"/>
                <w:szCs w:val="24"/>
              </w:rPr>
            </w:pPr>
            <w:r w:rsidRPr="00CF5AA6">
              <w:rPr>
                <w:rFonts w:ascii="Calibri" w:hAnsi="Calibri"/>
                <w:szCs w:val="24"/>
              </w:rPr>
              <w:t>Systemic sclerosis</w:t>
            </w:r>
          </w:p>
        </w:tc>
      </w:tr>
      <w:tr w:rsidR="0034400E" w:rsidRPr="00CF5AA6" w:rsidTr="0084301E">
        <w:trPr>
          <w:trHeight w:val="170"/>
        </w:trPr>
        <w:tc>
          <w:tcPr>
            <w:tcW w:w="1980" w:type="dxa"/>
            <w:shd w:val="clear" w:color="auto" w:fill="auto"/>
            <w:vAlign w:val="center"/>
          </w:tcPr>
          <w:p w:rsidR="0034400E" w:rsidRPr="00CF5AA6" w:rsidRDefault="0034400E" w:rsidP="0034400E">
            <w:pPr>
              <w:spacing w:before="60" w:after="60" w:line="240" w:lineRule="auto"/>
              <w:jc w:val="left"/>
              <w:rPr>
                <w:rFonts w:ascii="Calibri" w:hAnsi="Calibri"/>
                <w:color w:val="000000"/>
                <w:szCs w:val="24"/>
              </w:rPr>
            </w:pPr>
            <w:proofErr w:type="spellStart"/>
            <w:r w:rsidRPr="00CF5AA6">
              <w:rPr>
                <w:rFonts w:ascii="Calibri" w:hAnsi="Calibri"/>
                <w:color w:val="000000"/>
                <w:szCs w:val="24"/>
              </w:rPr>
              <w:t>ToR</w:t>
            </w:r>
            <w:proofErr w:type="spellEnd"/>
          </w:p>
        </w:tc>
        <w:tc>
          <w:tcPr>
            <w:tcW w:w="6660" w:type="dxa"/>
            <w:shd w:val="clear" w:color="auto" w:fill="auto"/>
            <w:vAlign w:val="center"/>
          </w:tcPr>
          <w:p w:rsidR="0034400E" w:rsidRPr="00CF5AA6" w:rsidRDefault="0034400E" w:rsidP="0034400E">
            <w:pPr>
              <w:spacing w:before="60" w:after="60" w:line="240" w:lineRule="auto"/>
              <w:jc w:val="left"/>
              <w:rPr>
                <w:rFonts w:ascii="Calibri" w:hAnsi="Calibri"/>
                <w:color w:val="000000"/>
                <w:szCs w:val="24"/>
              </w:rPr>
            </w:pPr>
            <w:r w:rsidRPr="00CF5AA6">
              <w:rPr>
                <w:rFonts w:ascii="Calibri" w:hAnsi="Calibri"/>
                <w:color w:val="000000"/>
                <w:szCs w:val="24"/>
              </w:rPr>
              <w:t>Term of Reference</w:t>
            </w:r>
          </w:p>
        </w:tc>
      </w:tr>
      <w:tr w:rsidR="0034400E" w:rsidRPr="00CF5AA6" w:rsidTr="0084301E">
        <w:trPr>
          <w:trHeight w:val="170"/>
        </w:trPr>
        <w:tc>
          <w:tcPr>
            <w:tcW w:w="1980" w:type="dxa"/>
            <w:shd w:val="clear" w:color="auto" w:fill="auto"/>
            <w:vAlign w:val="center"/>
          </w:tcPr>
          <w:p w:rsidR="0034400E" w:rsidRPr="00CF5AA6" w:rsidRDefault="0034400E" w:rsidP="0034400E">
            <w:pPr>
              <w:spacing w:before="60" w:after="60" w:line="240" w:lineRule="auto"/>
              <w:jc w:val="left"/>
              <w:rPr>
                <w:rFonts w:ascii="Calibri" w:hAnsi="Calibri" w:cs="Arial"/>
                <w:color w:val="000000"/>
                <w:szCs w:val="24"/>
              </w:rPr>
            </w:pPr>
            <w:r w:rsidRPr="00CF5AA6">
              <w:rPr>
                <w:rFonts w:ascii="Calibri" w:hAnsi="Calibri"/>
                <w:color w:val="000000"/>
                <w:szCs w:val="24"/>
              </w:rPr>
              <w:t>TGA</w:t>
            </w:r>
          </w:p>
        </w:tc>
        <w:tc>
          <w:tcPr>
            <w:tcW w:w="6660" w:type="dxa"/>
            <w:shd w:val="clear" w:color="auto" w:fill="auto"/>
            <w:vAlign w:val="center"/>
          </w:tcPr>
          <w:p w:rsidR="0034400E" w:rsidRPr="00CF5AA6" w:rsidRDefault="0034400E" w:rsidP="0034400E">
            <w:pPr>
              <w:spacing w:before="60" w:after="60" w:line="240" w:lineRule="auto"/>
              <w:jc w:val="left"/>
              <w:rPr>
                <w:rFonts w:ascii="Calibri" w:hAnsi="Calibri" w:cs="Arial"/>
                <w:color w:val="000000"/>
                <w:szCs w:val="24"/>
              </w:rPr>
            </w:pPr>
            <w:r w:rsidRPr="00CF5AA6">
              <w:rPr>
                <w:rFonts w:ascii="Calibri" w:hAnsi="Calibri"/>
                <w:color w:val="000000"/>
                <w:szCs w:val="24"/>
              </w:rPr>
              <w:t>Therapeutic Goods Administration</w:t>
            </w:r>
          </w:p>
        </w:tc>
      </w:tr>
      <w:tr w:rsidR="0034400E" w:rsidRPr="00CF5AA6" w:rsidTr="0084301E">
        <w:trPr>
          <w:trHeight w:val="170"/>
        </w:trPr>
        <w:tc>
          <w:tcPr>
            <w:tcW w:w="1980" w:type="dxa"/>
            <w:shd w:val="clear" w:color="auto" w:fill="auto"/>
            <w:vAlign w:val="center"/>
          </w:tcPr>
          <w:p w:rsidR="0034400E" w:rsidRPr="00CF5AA6" w:rsidRDefault="0034400E" w:rsidP="0034400E">
            <w:pPr>
              <w:spacing w:before="60" w:after="60" w:line="240" w:lineRule="auto"/>
              <w:jc w:val="left"/>
              <w:rPr>
                <w:rFonts w:ascii="Calibri" w:hAnsi="Calibri" w:cs="Arial"/>
                <w:color w:val="000000"/>
                <w:szCs w:val="24"/>
              </w:rPr>
            </w:pPr>
            <w:r w:rsidRPr="00CF5AA6">
              <w:rPr>
                <w:rFonts w:ascii="Calibri" w:hAnsi="Calibri"/>
                <w:color w:val="000000"/>
                <w:szCs w:val="24"/>
              </w:rPr>
              <w:t>UNSW</w:t>
            </w:r>
          </w:p>
        </w:tc>
        <w:tc>
          <w:tcPr>
            <w:tcW w:w="6660" w:type="dxa"/>
            <w:shd w:val="clear" w:color="auto" w:fill="auto"/>
            <w:vAlign w:val="center"/>
          </w:tcPr>
          <w:p w:rsidR="0034400E" w:rsidRPr="00CF5AA6" w:rsidRDefault="0034400E" w:rsidP="0034400E">
            <w:pPr>
              <w:spacing w:before="60" w:after="60" w:line="240" w:lineRule="auto"/>
              <w:jc w:val="left"/>
              <w:rPr>
                <w:rFonts w:ascii="Calibri" w:hAnsi="Calibri" w:cs="Arial"/>
                <w:color w:val="000000"/>
                <w:szCs w:val="24"/>
              </w:rPr>
            </w:pPr>
            <w:r w:rsidRPr="00CF5AA6">
              <w:rPr>
                <w:rFonts w:ascii="Calibri" w:hAnsi="Calibri"/>
                <w:color w:val="000000"/>
                <w:szCs w:val="24"/>
              </w:rPr>
              <w:t>University of New South Wales</w:t>
            </w:r>
          </w:p>
        </w:tc>
      </w:tr>
      <w:tr w:rsidR="0034400E" w:rsidRPr="00CF5AA6" w:rsidTr="0084301E">
        <w:trPr>
          <w:trHeight w:val="170"/>
        </w:trPr>
        <w:tc>
          <w:tcPr>
            <w:tcW w:w="1980" w:type="dxa"/>
            <w:shd w:val="clear" w:color="auto" w:fill="auto"/>
            <w:vAlign w:val="center"/>
          </w:tcPr>
          <w:p w:rsidR="0034400E" w:rsidRPr="00CF5AA6" w:rsidRDefault="0034400E" w:rsidP="0034400E">
            <w:pPr>
              <w:spacing w:before="60" w:after="60" w:line="240" w:lineRule="auto"/>
              <w:jc w:val="left"/>
              <w:rPr>
                <w:rFonts w:ascii="Calibri" w:hAnsi="Calibri"/>
                <w:color w:val="000000"/>
                <w:szCs w:val="24"/>
              </w:rPr>
            </w:pPr>
            <w:r w:rsidRPr="00CF5AA6">
              <w:rPr>
                <w:rFonts w:ascii="Calibri" w:hAnsi="Calibri"/>
                <w:color w:val="000000"/>
                <w:szCs w:val="24"/>
              </w:rPr>
              <w:t>WHO</w:t>
            </w:r>
          </w:p>
        </w:tc>
        <w:tc>
          <w:tcPr>
            <w:tcW w:w="6660" w:type="dxa"/>
            <w:shd w:val="clear" w:color="auto" w:fill="auto"/>
            <w:vAlign w:val="center"/>
          </w:tcPr>
          <w:p w:rsidR="0034400E" w:rsidRPr="00CF5AA6" w:rsidRDefault="0034400E" w:rsidP="0034400E">
            <w:pPr>
              <w:spacing w:before="60" w:after="60" w:line="240" w:lineRule="auto"/>
              <w:jc w:val="left"/>
              <w:rPr>
                <w:rFonts w:ascii="Calibri" w:hAnsi="Calibri"/>
                <w:color w:val="000000"/>
                <w:szCs w:val="24"/>
              </w:rPr>
            </w:pPr>
            <w:r w:rsidRPr="00CF5AA6">
              <w:rPr>
                <w:rFonts w:ascii="Calibri" w:hAnsi="Calibri"/>
                <w:color w:val="000000"/>
                <w:szCs w:val="24"/>
              </w:rPr>
              <w:t>World Health Organization</w:t>
            </w:r>
          </w:p>
        </w:tc>
      </w:tr>
    </w:tbl>
    <w:p w:rsidR="00BD39A7" w:rsidRDefault="00BD39A7" w:rsidP="00F35F30">
      <w:pPr>
        <w:pStyle w:val="Heading1"/>
        <w:rPr>
          <w:b w:val="0"/>
          <w:sz w:val="24"/>
          <w:szCs w:val="24"/>
        </w:rPr>
      </w:pPr>
    </w:p>
    <w:p w:rsidR="006D5829" w:rsidRDefault="006D5829" w:rsidP="00F35F30">
      <w:pPr>
        <w:pStyle w:val="Heading1"/>
      </w:pPr>
      <w:r>
        <w:br w:type="page"/>
      </w:r>
    </w:p>
    <w:p w:rsidR="000A1734" w:rsidRPr="00D560DC" w:rsidRDefault="00904208" w:rsidP="000B2B6F">
      <w:pPr>
        <w:pStyle w:val="Heading1"/>
      </w:pPr>
      <w:bookmarkStart w:id="11" w:name="_Toc36810514"/>
      <w:r w:rsidRPr="00D560DC">
        <w:lastRenderedPageBreak/>
        <w:t>Section</w:t>
      </w:r>
      <w:r w:rsidR="00343A91" w:rsidRPr="00D560DC">
        <w:t xml:space="preserve"> </w:t>
      </w:r>
      <w:r w:rsidR="00894F2A" w:rsidRPr="00D560DC">
        <w:t>2</w:t>
      </w:r>
      <w:r w:rsidR="00343A91" w:rsidRPr="00D560DC">
        <w:t xml:space="preserve">: </w:t>
      </w:r>
      <w:proofErr w:type="spellStart"/>
      <w:r w:rsidR="00451F0E" w:rsidRPr="00D560DC">
        <w:t>ToR</w:t>
      </w:r>
      <w:proofErr w:type="spellEnd"/>
      <w:r w:rsidR="00451F0E" w:rsidRPr="00D560DC">
        <w:t xml:space="preserve"> 2</w:t>
      </w:r>
      <w:bookmarkEnd w:id="9"/>
      <w:r w:rsidR="00D560DC">
        <w:t xml:space="preserve"> </w:t>
      </w:r>
      <w:r w:rsidR="00CC1D29" w:rsidRPr="00D560DC">
        <w:t>PAH Medicines Utilisation Analysis</w:t>
      </w:r>
      <w:bookmarkEnd w:id="11"/>
    </w:p>
    <w:p w:rsidR="00CC1D29" w:rsidRPr="00925D43" w:rsidRDefault="00CC1D29" w:rsidP="00B05E84">
      <w:pPr>
        <w:pStyle w:val="ToRinbox"/>
        <w:shd w:val="clear" w:color="auto" w:fill="F2F2F2" w:themeFill="background1" w:themeFillShade="F2"/>
        <w:jc w:val="left"/>
        <w:rPr>
          <w:rFonts w:asciiTheme="minorHAnsi" w:hAnsiTheme="minorHAnsi"/>
        </w:rPr>
      </w:pPr>
      <w:bookmarkStart w:id="12" w:name="_Toc388453121"/>
      <w:r w:rsidRPr="00925D43">
        <w:rPr>
          <w:rFonts w:asciiTheme="minorHAnsi" w:hAnsiTheme="minorHAnsi"/>
        </w:rPr>
        <w:t xml:space="preserve">Review the utilisation of </w:t>
      </w:r>
      <w:r w:rsidR="00556B6B">
        <w:rPr>
          <w:rFonts w:asciiTheme="minorHAnsi" w:hAnsiTheme="minorHAnsi"/>
        </w:rPr>
        <w:t>pulmonary arterial hypertension (</w:t>
      </w:r>
      <w:r w:rsidRPr="00925D43">
        <w:rPr>
          <w:rFonts w:asciiTheme="minorHAnsi" w:hAnsiTheme="minorHAnsi"/>
        </w:rPr>
        <w:t>PAH</w:t>
      </w:r>
      <w:r w:rsidR="00556B6B">
        <w:rPr>
          <w:rFonts w:asciiTheme="minorHAnsi" w:hAnsiTheme="minorHAnsi"/>
        </w:rPr>
        <w:t>)</w:t>
      </w:r>
      <w:r w:rsidRPr="00925D43">
        <w:rPr>
          <w:rFonts w:asciiTheme="minorHAnsi" w:hAnsiTheme="minorHAnsi"/>
        </w:rPr>
        <w:t xml:space="preserve"> medicines in Australia, including sources of data that can provide additional information on clinical use that is not available from</w:t>
      </w:r>
      <w:r w:rsidR="00556B6B">
        <w:rPr>
          <w:rFonts w:asciiTheme="minorHAnsi" w:hAnsiTheme="minorHAnsi"/>
        </w:rPr>
        <w:t xml:space="preserve"> Pharmaceutical Benefits Scheme</w:t>
      </w:r>
      <w:r w:rsidRPr="00925D43">
        <w:rPr>
          <w:rFonts w:asciiTheme="minorHAnsi" w:hAnsiTheme="minorHAnsi"/>
        </w:rPr>
        <w:t xml:space="preserve"> </w:t>
      </w:r>
      <w:r w:rsidR="00556B6B">
        <w:rPr>
          <w:rFonts w:asciiTheme="minorHAnsi" w:hAnsiTheme="minorHAnsi"/>
        </w:rPr>
        <w:t>(</w:t>
      </w:r>
      <w:r w:rsidRPr="00925D43">
        <w:rPr>
          <w:rFonts w:asciiTheme="minorHAnsi" w:hAnsiTheme="minorHAnsi"/>
        </w:rPr>
        <w:t>PBS</w:t>
      </w:r>
      <w:r w:rsidR="00556B6B">
        <w:rPr>
          <w:rFonts w:asciiTheme="minorHAnsi" w:hAnsiTheme="minorHAnsi"/>
        </w:rPr>
        <w:t>)</w:t>
      </w:r>
      <w:r w:rsidRPr="00925D43">
        <w:rPr>
          <w:rFonts w:asciiTheme="minorHAnsi" w:hAnsiTheme="minorHAnsi"/>
        </w:rPr>
        <w:t xml:space="preserve"> data.</w:t>
      </w:r>
    </w:p>
    <w:p w:rsidR="00963B62" w:rsidRPr="00F73F7C" w:rsidRDefault="00894F2A" w:rsidP="00820063">
      <w:pPr>
        <w:pStyle w:val="Heading2"/>
        <w:spacing w:before="240" w:after="200"/>
        <w:jc w:val="left"/>
        <w:rPr>
          <w:szCs w:val="32"/>
        </w:rPr>
      </w:pPr>
      <w:bookmarkStart w:id="13" w:name="_Toc36810515"/>
      <w:r>
        <w:rPr>
          <w:szCs w:val="32"/>
        </w:rPr>
        <w:t>2.1</w:t>
      </w:r>
      <w:r w:rsidR="00F73F7C">
        <w:rPr>
          <w:szCs w:val="32"/>
        </w:rPr>
        <w:t xml:space="preserve"> </w:t>
      </w:r>
      <w:r w:rsidR="00963B62" w:rsidRPr="00F73F7C">
        <w:rPr>
          <w:szCs w:val="32"/>
        </w:rPr>
        <w:t>Key findings</w:t>
      </w:r>
      <w:bookmarkEnd w:id="13"/>
      <w:r w:rsidR="00963B62" w:rsidRPr="00F73F7C">
        <w:rPr>
          <w:szCs w:val="32"/>
        </w:rPr>
        <w:t xml:space="preserve"> </w:t>
      </w:r>
      <w:bookmarkEnd w:id="12"/>
    </w:p>
    <w:p w:rsidR="00CC1D29" w:rsidRPr="002F6D64" w:rsidRDefault="00CC1D29" w:rsidP="0018725A">
      <w:pPr>
        <w:pStyle w:val="Heading3"/>
      </w:pPr>
      <w:bookmarkStart w:id="14" w:name="_Toc36810516"/>
      <w:r w:rsidRPr="002F6D64">
        <w:t>PBS/RPBS</w:t>
      </w:r>
      <w:r w:rsidR="00C86376" w:rsidRPr="002F6D64">
        <w:t xml:space="preserve"> (</w:t>
      </w:r>
      <w:r w:rsidR="00C86376" w:rsidRPr="002F6D64">
        <w:rPr>
          <w:rFonts w:ascii="Calibri" w:hAnsi="Calibri"/>
          <w:szCs w:val="24"/>
        </w:rPr>
        <w:t>Repatriation Schedule of Pharmaceutical Benefits)</w:t>
      </w:r>
      <w:r w:rsidRPr="002F6D64">
        <w:t xml:space="preserve"> </w:t>
      </w:r>
      <w:r w:rsidR="00886DD5" w:rsidRPr="002F6D64">
        <w:t>Claims Data</w:t>
      </w:r>
      <w:bookmarkEnd w:id="14"/>
      <w:r w:rsidR="009F0C29" w:rsidRPr="002F6D64">
        <w:t xml:space="preserve"> </w:t>
      </w:r>
    </w:p>
    <w:p w:rsidR="00CC1D29" w:rsidRDefault="00CC1D29" w:rsidP="009F4DA4">
      <w:pPr>
        <w:pStyle w:val="08Bulletsseriesofsentences"/>
      </w:pPr>
      <w:r w:rsidRPr="00C86376">
        <w:t>The annual number of PAH medicine dispensings increased from 20,454 in 2014 to</w:t>
      </w:r>
      <w:r w:rsidRPr="00EC5BFD">
        <w:t xml:space="preserve"> 23,375 in 2016; the corresponding PBS benefit </w:t>
      </w:r>
      <w:r w:rsidR="00070C40">
        <w:t>paid</w:t>
      </w:r>
      <w:r w:rsidRPr="00EC5BFD">
        <w:t xml:space="preserve"> increased f</w:t>
      </w:r>
      <w:r>
        <w:t>rom $53.22 million to $58.75 million.</w:t>
      </w:r>
    </w:p>
    <w:p w:rsidR="00CC1D29" w:rsidRPr="00D33F5E" w:rsidRDefault="00CC1D29" w:rsidP="009F4DA4">
      <w:pPr>
        <w:pStyle w:val="08Bulletsseriesofsentences"/>
      </w:pPr>
      <w:r w:rsidRPr="00EC5BFD">
        <w:t>Endothelin receptor antagonist</w:t>
      </w:r>
      <w:r>
        <w:t>s</w:t>
      </w:r>
      <w:r w:rsidRPr="00EC5BFD">
        <w:t xml:space="preserve"> </w:t>
      </w:r>
      <w:r>
        <w:t xml:space="preserve">(ERAs) </w:t>
      </w:r>
      <w:r w:rsidRPr="00EC5BFD">
        <w:t xml:space="preserve">were the most commonly dispensed </w:t>
      </w:r>
      <w:r>
        <w:t xml:space="preserve">medicine </w:t>
      </w:r>
      <w:r w:rsidRPr="00EC5BFD">
        <w:t xml:space="preserve">class, </w:t>
      </w:r>
      <w:r w:rsidRPr="00D33F5E">
        <w:t xml:space="preserve">accounting for 77% of all </w:t>
      </w:r>
      <w:r w:rsidR="006B404C">
        <w:t xml:space="preserve">PBS </w:t>
      </w:r>
      <w:r w:rsidR="00204B9C">
        <w:t>PAH dispensings in 2016.</w:t>
      </w:r>
    </w:p>
    <w:p w:rsidR="00CC1D29" w:rsidRPr="00D33F5E" w:rsidRDefault="00CC1D29" w:rsidP="009F4DA4">
      <w:pPr>
        <w:pStyle w:val="08Bulletsseriesofsentences"/>
      </w:pPr>
      <w:r w:rsidRPr="00CC1D29">
        <w:rPr>
          <w:rFonts w:eastAsiaTheme="minorEastAsia"/>
          <w:szCs w:val="24"/>
        </w:rPr>
        <w:t>Bosentan was the most commonly dispensed</w:t>
      </w:r>
      <w:r w:rsidR="006B404C">
        <w:rPr>
          <w:rFonts w:eastAsiaTheme="minorEastAsia"/>
          <w:szCs w:val="24"/>
        </w:rPr>
        <w:t xml:space="preserve"> PBS</w:t>
      </w:r>
      <w:r w:rsidRPr="00CC1D29">
        <w:rPr>
          <w:rFonts w:eastAsiaTheme="minorEastAsia"/>
          <w:szCs w:val="24"/>
        </w:rPr>
        <w:t xml:space="preserve"> PAH medicine in 2015 and macitentan was the most commonly dispensed PAH medicine in 2016.</w:t>
      </w:r>
    </w:p>
    <w:p w:rsidR="00D330E3" w:rsidRPr="00D330E3" w:rsidRDefault="00CC1D29" w:rsidP="009F4DA4">
      <w:pPr>
        <w:pStyle w:val="08Bulletsseriesofsentences"/>
        <w:rPr>
          <w:b/>
          <w:caps/>
        </w:rPr>
      </w:pPr>
      <w:r w:rsidRPr="00D330E3">
        <w:rPr>
          <w:rFonts w:eastAsiaTheme="minorEastAsia"/>
          <w:szCs w:val="24"/>
        </w:rPr>
        <w:t>The majority of prevalent patients treated with PAH medicines we</w:t>
      </w:r>
      <w:bookmarkStart w:id="15" w:name="_Toc508360117"/>
      <w:r w:rsidR="00204B9C">
        <w:rPr>
          <w:rFonts w:eastAsiaTheme="minorEastAsia"/>
          <w:szCs w:val="24"/>
        </w:rPr>
        <w:t>re female (73% in 2016).</w:t>
      </w:r>
    </w:p>
    <w:p w:rsidR="00CC1D29" w:rsidRPr="00D330E3" w:rsidRDefault="006B404C" w:rsidP="009F4DA4">
      <w:pPr>
        <w:pStyle w:val="08Bulletsseriesofsentences"/>
        <w:rPr>
          <w:b/>
          <w:caps/>
        </w:rPr>
      </w:pPr>
      <w:r>
        <w:t>The i</w:t>
      </w:r>
      <w:r w:rsidR="00CC1D29" w:rsidRPr="004C3845">
        <w:t xml:space="preserve">ncident </w:t>
      </w:r>
      <w:r>
        <w:t xml:space="preserve">rate for patients newly treated with </w:t>
      </w:r>
      <w:r w:rsidR="00CC1D29" w:rsidRPr="004C3845">
        <w:t>PAH medicines remained relatively stable across the study period.</w:t>
      </w:r>
      <w:bookmarkEnd w:id="15"/>
    </w:p>
    <w:p w:rsidR="00CC1D29" w:rsidRPr="00CC1D29" w:rsidRDefault="00CC1D29" w:rsidP="009F4DA4">
      <w:pPr>
        <w:pStyle w:val="08Bulletsseriesofsentences"/>
        <w:rPr>
          <w:rFonts w:ascii="Arial" w:eastAsiaTheme="minorEastAsia" w:hAnsi="Arial" w:cs="Arial"/>
          <w:b/>
          <w:caps/>
          <w:sz w:val="20"/>
          <w:szCs w:val="20"/>
        </w:rPr>
      </w:pPr>
      <w:r w:rsidRPr="00CC1D29">
        <w:rPr>
          <w:rFonts w:eastAsiaTheme="minorEastAsia"/>
          <w:szCs w:val="24"/>
        </w:rPr>
        <w:t>The highest</w:t>
      </w:r>
      <w:r w:rsidR="006B404C">
        <w:rPr>
          <w:rFonts w:eastAsiaTheme="minorEastAsia"/>
          <w:szCs w:val="24"/>
        </w:rPr>
        <w:t xml:space="preserve"> treated</w:t>
      </w:r>
      <w:r w:rsidRPr="00CC1D29">
        <w:rPr>
          <w:rFonts w:eastAsiaTheme="minorEastAsia"/>
          <w:szCs w:val="24"/>
        </w:rPr>
        <w:t xml:space="preserve"> incidence </w:t>
      </w:r>
      <w:r w:rsidR="006B404C">
        <w:rPr>
          <w:rFonts w:eastAsiaTheme="minorEastAsia"/>
          <w:szCs w:val="24"/>
        </w:rPr>
        <w:t xml:space="preserve">rate with </w:t>
      </w:r>
      <w:r w:rsidRPr="00CC1D29">
        <w:rPr>
          <w:rFonts w:eastAsiaTheme="minorEastAsia"/>
          <w:szCs w:val="24"/>
        </w:rPr>
        <w:t xml:space="preserve">PAH </w:t>
      </w:r>
      <w:r w:rsidR="006B404C">
        <w:rPr>
          <w:rFonts w:eastAsiaTheme="minorEastAsia"/>
          <w:szCs w:val="24"/>
        </w:rPr>
        <w:t xml:space="preserve">medicines </w:t>
      </w:r>
      <w:r w:rsidRPr="00CC1D29">
        <w:rPr>
          <w:rFonts w:eastAsiaTheme="minorEastAsia"/>
          <w:szCs w:val="24"/>
        </w:rPr>
        <w:t xml:space="preserve">(2014-2016) </w:t>
      </w:r>
      <w:r w:rsidR="006B404C">
        <w:rPr>
          <w:rFonts w:eastAsiaTheme="minorEastAsia"/>
          <w:szCs w:val="24"/>
        </w:rPr>
        <w:t>was in</w:t>
      </w:r>
      <w:r w:rsidR="00070C40">
        <w:rPr>
          <w:rFonts w:eastAsiaTheme="minorEastAsia"/>
          <w:szCs w:val="24"/>
        </w:rPr>
        <w:t xml:space="preserve"> females </w:t>
      </w:r>
      <w:r w:rsidR="002258F1">
        <w:rPr>
          <w:rFonts w:eastAsiaTheme="minorEastAsia"/>
          <w:szCs w:val="24"/>
        </w:rPr>
        <w:t>75-84</w:t>
      </w:r>
      <w:r w:rsidRPr="00CC1D29">
        <w:rPr>
          <w:rFonts w:eastAsiaTheme="minorEastAsia"/>
          <w:szCs w:val="24"/>
        </w:rPr>
        <w:t xml:space="preserve"> year old, followed by</w:t>
      </w:r>
      <w:r w:rsidR="006B404C">
        <w:rPr>
          <w:rFonts w:eastAsiaTheme="minorEastAsia"/>
          <w:szCs w:val="24"/>
        </w:rPr>
        <w:t xml:space="preserve"> females</w:t>
      </w:r>
      <w:r w:rsidRPr="00CC1D29">
        <w:rPr>
          <w:rFonts w:eastAsiaTheme="minorEastAsia"/>
          <w:szCs w:val="24"/>
        </w:rPr>
        <w:t xml:space="preserve"> </w:t>
      </w:r>
      <w:r w:rsidR="002258F1">
        <w:rPr>
          <w:rFonts w:eastAsiaTheme="minorEastAsia"/>
          <w:szCs w:val="24"/>
        </w:rPr>
        <w:t>65-74</w:t>
      </w:r>
      <w:r w:rsidRPr="00CC1D29">
        <w:rPr>
          <w:rFonts w:eastAsiaTheme="minorEastAsia"/>
          <w:szCs w:val="24"/>
        </w:rPr>
        <w:t xml:space="preserve"> year old.</w:t>
      </w:r>
      <w:r w:rsidR="003D172D">
        <w:rPr>
          <w:rFonts w:eastAsiaTheme="minorEastAsia"/>
          <w:szCs w:val="24"/>
        </w:rPr>
        <w:t xml:space="preserve"> </w:t>
      </w:r>
      <w:r w:rsidRPr="00CC1D29">
        <w:rPr>
          <w:rFonts w:eastAsiaTheme="minorEastAsia"/>
          <w:szCs w:val="24"/>
        </w:rPr>
        <w:t>Incidence drops rapidly after this, with the lowest incidence numbers recorded in the 85+ population.</w:t>
      </w:r>
    </w:p>
    <w:p w:rsidR="00CC1D29" w:rsidRPr="00CC1D29" w:rsidRDefault="00CC1D29" w:rsidP="009F4DA4">
      <w:pPr>
        <w:pStyle w:val="08Bulletsseriesofsentences"/>
        <w:rPr>
          <w:rFonts w:eastAsiaTheme="minorEastAsia"/>
          <w:szCs w:val="24"/>
        </w:rPr>
      </w:pPr>
      <w:r w:rsidRPr="00CC1D29">
        <w:rPr>
          <w:rFonts w:eastAsiaTheme="minorEastAsia"/>
          <w:szCs w:val="24"/>
        </w:rPr>
        <w:t>The majority of incident patients started treatment with 10 mg macitentan (57% of new patients in 2016), followed by 20 mg sildenafil (1</w:t>
      </w:r>
      <w:r w:rsidR="00070C40">
        <w:rPr>
          <w:rFonts w:eastAsiaTheme="minorEastAsia"/>
          <w:szCs w:val="24"/>
        </w:rPr>
        <w:t>8.7% of new patients in 2016).</w:t>
      </w:r>
    </w:p>
    <w:p w:rsidR="00CC1D29" w:rsidRPr="00CC1D29" w:rsidRDefault="00CC1D29" w:rsidP="009F4DA4">
      <w:pPr>
        <w:pStyle w:val="08Bulletsseriesofsentences"/>
        <w:rPr>
          <w:rFonts w:eastAsiaTheme="minorEastAsia"/>
          <w:szCs w:val="24"/>
        </w:rPr>
      </w:pPr>
      <w:r w:rsidRPr="00CC1D29">
        <w:rPr>
          <w:rFonts w:eastAsiaTheme="minorEastAsia"/>
          <w:szCs w:val="24"/>
        </w:rPr>
        <w:t xml:space="preserve">Switching between PBS-listed PAH medicines was not common. Among </w:t>
      </w:r>
      <w:proofErr w:type="gramStart"/>
      <w:r w:rsidRPr="00CC1D29">
        <w:rPr>
          <w:rFonts w:eastAsiaTheme="minorEastAsia"/>
          <w:szCs w:val="24"/>
        </w:rPr>
        <w:t>a total of 3187</w:t>
      </w:r>
      <w:proofErr w:type="gramEnd"/>
      <w:r w:rsidRPr="00CC1D29">
        <w:rPr>
          <w:rFonts w:eastAsiaTheme="minorEastAsia"/>
          <w:szCs w:val="24"/>
        </w:rPr>
        <w:t xml:space="preserve"> treated patients, 418 (13%) switched </w:t>
      </w:r>
      <w:r w:rsidR="00430270" w:rsidRPr="00430270">
        <w:rPr>
          <w:rFonts w:eastAsiaTheme="minorEastAsia"/>
          <w:szCs w:val="24"/>
        </w:rPr>
        <w:t>medicines</w:t>
      </w:r>
      <w:r w:rsidR="00430270">
        <w:rPr>
          <w:rFonts w:eastAsiaTheme="minorEastAsia"/>
          <w:szCs w:val="24"/>
        </w:rPr>
        <w:t xml:space="preserve"> between 2013 and 2016</w:t>
      </w:r>
      <w:r w:rsidRPr="00430270">
        <w:rPr>
          <w:rFonts w:eastAsiaTheme="minorEastAsia"/>
          <w:szCs w:val="24"/>
        </w:rPr>
        <w:t>.</w:t>
      </w:r>
      <w:r w:rsidRPr="00CC1D29">
        <w:rPr>
          <w:rFonts w:eastAsiaTheme="minorEastAsia"/>
          <w:szCs w:val="24"/>
        </w:rPr>
        <w:t xml:space="preserve"> Patients most commonly switched from </w:t>
      </w:r>
      <w:r w:rsidR="0039127E">
        <w:rPr>
          <w:rFonts w:eastAsiaTheme="minorEastAsia"/>
          <w:szCs w:val="24"/>
        </w:rPr>
        <w:t>phosphodiesterase-5 (</w:t>
      </w:r>
      <w:r w:rsidR="0084301E">
        <w:rPr>
          <w:rFonts w:eastAsiaTheme="minorEastAsia"/>
          <w:szCs w:val="24"/>
        </w:rPr>
        <w:t>PDE-5</w:t>
      </w:r>
      <w:r w:rsidR="0039127E">
        <w:rPr>
          <w:rFonts w:eastAsiaTheme="minorEastAsia"/>
          <w:szCs w:val="24"/>
        </w:rPr>
        <w:t>)</w:t>
      </w:r>
      <w:r w:rsidRPr="00CC1D29">
        <w:rPr>
          <w:rFonts w:eastAsiaTheme="minorEastAsia"/>
          <w:szCs w:val="24"/>
        </w:rPr>
        <w:t xml:space="preserve"> inhibitors to ERAs.</w:t>
      </w:r>
    </w:p>
    <w:p w:rsidR="00CC1D29" w:rsidRPr="00CC1D29" w:rsidRDefault="00CC1D29" w:rsidP="009F4DA4">
      <w:pPr>
        <w:pStyle w:val="08Bulletsseriesofsentences"/>
        <w:rPr>
          <w:rFonts w:eastAsiaTheme="minorEastAsia"/>
          <w:szCs w:val="24"/>
        </w:rPr>
      </w:pPr>
      <w:r w:rsidRPr="00CC1D29">
        <w:rPr>
          <w:rFonts w:eastAsiaTheme="minorEastAsia"/>
          <w:szCs w:val="24"/>
        </w:rPr>
        <w:t>Combination treatment with PBS-listed PAH medicines was very rare; using a minimum period of overlapping use of 58 days, only 13 episodes of combination treatment were observed among a total of seven individuals.</w:t>
      </w:r>
    </w:p>
    <w:p w:rsidR="00CC1D29" w:rsidRPr="00CC1D29" w:rsidRDefault="00CC1D29" w:rsidP="0018725A">
      <w:pPr>
        <w:pStyle w:val="Heading3"/>
        <w:rPr>
          <w:rFonts w:eastAsiaTheme="minorEastAsia"/>
        </w:rPr>
      </w:pPr>
      <w:bookmarkStart w:id="16" w:name="_Toc36810517"/>
      <w:r w:rsidRPr="00CC1D29">
        <w:rPr>
          <w:rFonts w:eastAsiaTheme="minorEastAsia"/>
        </w:rPr>
        <w:t xml:space="preserve">Pulmonary Hypertension Society of Australia and New Zealand </w:t>
      </w:r>
      <w:r w:rsidR="0018725A" w:rsidRPr="00CC1D29">
        <w:rPr>
          <w:rFonts w:eastAsiaTheme="minorEastAsia"/>
        </w:rPr>
        <w:t>(PHSANZ)</w:t>
      </w:r>
      <w:r w:rsidR="0018725A">
        <w:rPr>
          <w:rFonts w:eastAsiaTheme="minorEastAsia"/>
        </w:rPr>
        <w:t xml:space="preserve"> Registry</w:t>
      </w:r>
      <w:bookmarkEnd w:id="16"/>
    </w:p>
    <w:p w:rsidR="00CC1D29" w:rsidRDefault="003117F8" w:rsidP="009F4DA4">
      <w:pPr>
        <w:pStyle w:val="08Bulletsseriesofsentences"/>
      </w:pPr>
      <w:r>
        <w:t>The mean age of</w:t>
      </w:r>
      <w:r w:rsidR="00D330E3">
        <w:t xml:space="preserve"> all</w:t>
      </w:r>
      <w:r>
        <w:t xml:space="preserve"> PAH patients </w:t>
      </w:r>
      <w:r w:rsidRPr="00D330E3">
        <w:t xml:space="preserve">at </w:t>
      </w:r>
      <w:r w:rsidR="00D330E3">
        <w:t>time of diagnosis</w:t>
      </w:r>
      <w:r w:rsidRPr="00D330E3">
        <w:t xml:space="preserve"> in</w:t>
      </w:r>
      <w:r w:rsidR="002E23B7">
        <w:t xml:space="preserve"> the PH</w:t>
      </w:r>
      <w:r w:rsidR="00D330E3">
        <w:t xml:space="preserve">SANZ cohort </w:t>
      </w:r>
      <w:r w:rsidR="00471B14">
        <w:t>(n=</w:t>
      </w:r>
      <w:r w:rsidR="003B5706">
        <w:t>1071</w:t>
      </w:r>
      <w:r w:rsidR="00471B14">
        <w:t xml:space="preserve">) </w:t>
      </w:r>
      <w:r w:rsidR="00D330E3">
        <w:t>was 49.9±20.4 years</w:t>
      </w:r>
      <w:r w:rsidR="00471B14">
        <w:t xml:space="preserve"> </w:t>
      </w:r>
      <w:r w:rsidR="00CC1D29">
        <w:t xml:space="preserve">and 7.8% were aged </w:t>
      </w:r>
      <w:r w:rsidR="00D330E3">
        <w:t>under</w:t>
      </w:r>
      <w:r w:rsidR="00CC1D29">
        <w:t>18 years.</w:t>
      </w:r>
    </w:p>
    <w:p w:rsidR="00471B14" w:rsidRDefault="00471B14" w:rsidP="009F4DA4">
      <w:pPr>
        <w:pStyle w:val="08Bulletsseriesofsentences"/>
      </w:pPr>
      <w:r>
        <w:t>More than two thirds of patients were female.</w:t>
      </w:r>
    </w:p>
    <w:p w:rsidR="00CC1D29" w:rsidRDefault="00CC1D29" w:rsidP="009F4DA4">
      <w:pPr>
        <w:pStyle w:val="08Bulletsseriesofsentences"/>
      </w:pPr>
      <w:r>
        <w:lastRenderedPageBreak/>
        <w:t xml:space="preserve">Overall 49.8%, 39.8% and 10.4% of </w:t>
      </w:r>
      <w:r w:rsidR="0039127E">
        <w:t>patients</w:t>
      </w:r>
      <w:r>
        <w:t xml:space="preserve"> </w:t>
      </w:r>
      <w:proofErr w:type="gramStart"/>
      <w:r>
        <w:t>were prescribed</w:t>
      </w:r>
      <w:proofErr w:type="gramEnd"/>
      <w:r>
        <w:t xml:space="preserve"> monotherapy, dual therapy a</w:t>
      </w:r>
      <w:r w:rsidR="00204B9C">
        <w:t>nd triple therapy respectively.</w:t>
      </w:r>
    </w:p>
    <w:p w:rsidR="00CC1D29" w:rsidRDefault="00CC1D29" w:rsidP="009F4DA4">
      <w:pPr>
        <w:pStyle w:val="08Bulletsseriesofsentences"/>
      </w:pPr>
      <w:r>
        <w:t>ERAs were the most commonly prescribed medicine class amongst monotherapy patients (76.55%).</w:t>
      </w:r>
    </w:p>
    <w:p w:rsidR="00CC1D29" w:rsidRDefault="00CC1D29" w:rsidP="009F4DA4">
      <w:pPr>
        <w:pStyle w:val="08Bulletsseriesofsentences"/>
      </w:pPr>
      <w:r>
        <w:t xml:space="preserve">ERA + </w:t>
      </w:r>
      <w:r w:rsidR="0084301E">
        <w:t>PDE-5</w:t>
      </w:r>
      <w:r>
        <w:t xml:space="preserve"> inhibitors accounted for 91% of all dual therapy combinations, with the addition </w:t>
      </w:r>
      <w:r w:rsidRPr="002F6D64">
        <w:t>of a prostacyclin analogue (PGI</w:t>
      </w:r>
      <w:r w:rsidRPr="002F6D64">
        <w:rPr>
          <w:vertAlign w:val="subscript"/>
        </w:rPr>
        <w:t>2</w:t>
      </w:r>
      <w:r w:rsidRPr="002F6D64">
        <w:t>)</w:t>
      </w:r>
      <w:r w:rsidR="00121F95" w:rsidRPr="002F6D64">
        <w:t xml:space="preserve"> the</w:t>
      </w:r>
      <w:r w:rsidRPr="002F6D64">
        <w:t xml:space="preserve"> most</w:t>
      </w:r>
      <w:r>
        <w:t xml:space="preserve"> common</w:t>
      </w:r>
      <w:r w:rsidR="00121F95">
        <w:t xml:space="preserve"> regimen</w:t>
      </w:r>
      <w:r>
        <w:t xml:space="preserve"> for triple therapy.</w:t>
      </w:r>
    </w:p>
    <w:p w:rsidR="00591FCB" w:rsidRDefault="00591FCB" w:rsidP="00591FCB">
      <w:pPr>
        <w:pStyle w:val="08Bulletsseriesofsentences"/>
      </w:pPr>
      <w:r>
        <w:t>PHSANZ registry</w:t>
      </w:r>
      <w:r w:rsidR="00E958D4">
        <w:t xml:space="preserve"> data</w:t>
      </w:r>
      <w:r>
        <w:t xml:space="preserve"> indicates that approximately 20% of patients in the PAH cohort (those alive and receiving medication in 2017) were diagnosed or presented to PAH centres with symptoms classified in </w:t>
      </w:r>
      <w:r w:rsidR="00F26F91">
        <w:t>World Health Organization (</w:t>
      </w:r>
      <w:r>
        <w:t>WHO</w:t>
      </w:r>
      <w:r w:rsidR="00F26F91">
        <w:t>)</w:t>
      </w:r>
      <w:r>
        <w:t xml:space="preserve"> </w:t>
      </w:r>
      <w:r w:rsidR="00F26F91">
        <w:t>Functional Class (</w:t>
      </w:r>
      <w:r>
        <w:t>FC</w:t>
      </w:r>
      <w:r w:rsidR="00F26F91">
        <w:t>)</w:t>
      </w:r>
      <w:r>
        <w:t xml:space="preserve"> II. The majority (67%) of patients entered the cohort with WHO FC III symptoms and 6% with WHO FC IV symptoms. Information on WHO FC at time of cohort entry was not available in 6.8% of patients.</w:t>
      </w:r>
    </w:p>
    <w:p w:rsidR="00CC1D29" w:rsidRDefault="00CC1D29" w:rsidP="0018725A">
      <w:pPr>
        <w:pStyle w:val="Heading3"/>
        <w:rPr>
          <w:rFonts w:eastAsiaTheme="minorEastAsia"/>
        </w:rPr>
      </w:pPr>
      <w:bookmarkStart w:id="17" w:name="_Toc36810518"/>
      <w:r w:rsidRPr="00CC1D29">
        <w:rPr>
          <w:rFonts w:eastAsiaTheme="minorEastAsia"/>
        </w:rPr>
        <w:t>Australian Scleroderma Interest Group</w:t>
      </w:r>
      <w:r w:rsidR="001C5070">
        <w:rPr>
          <w:rFonts w:eastAsiaTheme="minorEastAsia"/>
        </w:rPr>
        <w:t xml:space="preserve"> Registry</w:t>
      </w:r>
      <w:r w:rsidRPr="00CC1D29">
        <w:rPr>
          <w:rFonts w:eastAsiaTheme="minorEastAsia"/>
        </w:rPr>
        <w:t xml:space="preserve"> (ASIG)</w:t>
      </w:r>
      <w:bookmarkEnd w:id="17"/>
    </w:p>
    <w:p w:rsidR="00CC1D29" w:rsidRPr="004C3845" w:rsidRDefault="00D330E3" w:rsidP="009F4DA4">
      <w:pPr>
        <w:pStyle w:val="08Bulletsseriesofsentences"/>
      </w:pPr>
      <w:r>
        <w:t xml:space="preserve">The mean age of all patients </w:t>
      </w:r>
      <w:r w:rsidR="0039127E" w:rsidRPr="002F6D64">
        <w:t xml:space="preserve">with </w:t>
      </w:r>
      <w:r w:rsidR="00E6675E" w:rsidRPr="002F6D64">
        <w:t xml:space="preserve">PAH associated with connective tissue </w:t>
      </w:r>
      <w:proofErr w:type="gramStart"/>
      <w:r w:rsidR="00E6675E" w:rsidRPr="002F6D64">
        <w:t>disease</w:t>
      </w:r>
      <w:proofErr w:type="gramEnd"/>
      <w:r w:rsidR="0084301E">
        <w:br/>
      </w:r>
      <w:r w:rsidR="0039127E">
        <w:t>(</w:t>
      </w:r>
      <w:r w:rsidR="00E6675E">
        <w:t>PAH-CTD</w:t>
      </w:r>
      <w:r w:rsidR="0039127E">
        <w:t xml:space="preserve">) in </w:t>
      </w:r>
      <w:r w:rsidR="00CC1D29" w:rsidRPr="004C3845">
        <w:t xml:space="preserve">the </w:t>
      </w:r>
      <w:r w:rsidR="00CC1D29">
        <w:t>Australian Scleroderma Cohort Study (ASCS)</w:t>
      </w:r>
      <w:r w:rsidR="00CC1D29" w:rsidRPr="004C3845">
        <w:t xml:space="preserve"> </w:t>
      </w:r>
      <w:r w:rsidR="00CC1D29" w:rsidRPr="003C6C7B">
        <w:t xml:space="preserve">cohort </w:t>
      </w:r>
      <w:r w:rsidR="0039127E">
        <w:t>(n=104)</w:t>
      </w:r>
      <w:r w:rsidR="00771831">
        <w:t xml:space="preserve"> at time of last assessment (index visit)</w:t>
      </w:r>
      <w:r w:rsidR="0039127E">
        <w:t xml:space="preserve"> </w:t>
      </w:r>
      <w:r w:rsidR="003117F8">
        <w:t xml:space="preserve">was </w:t>
      </w:r>
      <w:r w:rsidR="003117F8" w:rsidRPr="00146D94">
        <w:t>67 years</w:t>
      </w:r>
      <w:r>
        <w:t xml:space="preserve"> and 82% of patients </w:t>
      </w:r>
      <w:r w:rsidR="00CC1D29" w:rsidRPr="003C6C7B">
        <w:t>w</w:t>
      </w:r>
      <w:r w:rsidR="0039127E">
        <w:t>ere</w:t>
      </w:r>
      <w:r w:rsidR="00CC1D29" w:rsidRPr="004C3845">
        <w:t xml:space="preserve"> female.</w:t>
      </w:r>
    </w:p>
    <w:p w:rsidR="00CC1D29" w:rsidRDefault="00CC1D29" w:rsidP="009F4DA4">
      <w:pPr>
        <w:pStyle w:val="08Bulletsseriesofsentences"/>
      </w:pPr>
      <w:r>
        <w:t xml:space="preserve">Monotherapy, dual therapy and triple therapy </w:t>
      </w:r>
      <w:proofErr w:type="gramStart"/>
      <w:r>
        <w:t>was used</w:t>
      </w:r>
      <w:proofErr w:type="gramEnd"/>
      <w:r>
        <w:t xml:space="preserve"> by 53%, 41% and 6% of patients </w:t>
      </w:r>
      <w:r w:rsidR="0039127E">
        <w:t>respectively</w:t>
      </w:r>
      <w:r w:rsidR="00204B9C">
        <w:t>.</w:t>
      </w:r>
    </w:p>
    <w:p w:rsidR="00F72E86" w:rsidRDefault="00CC1D29" w:rsidP="009F0C29">
      <w:pPr>
        <w:pStyle w:val="08Bulletsseriesofsentences"/>
      </w:pPr>
      <w:r>
        <w:t>Macitentan was the</w:t>
      </w:r>
      <w:r w:rsidR="00886DD5">
        <w:t xml:space="preserve"> most commonly used ERA, used by</w:t>
      </w:r>
      <w:r>
        <w:t xml:space="preserve"> </w:t>
      </w:r>
      <w:r w:rsidR="00E23CB0">
        <w:t>55% (</w:t>
      </w:r>
      <w:r>
        <w:t>57</w:t>
      </w:r>
      <w:r w:rsidR="00E23CB0">
        <w:t>/</w:t>
      </w:r>
      <w:r>
        <w:t>104</w:t>
      </w:r>
      <w:r w:rsidR="00E23CB0">
        <w:t>) of</w:t>
      </w:r>
      <w:r w:rsidR="00430270">
        <w:t xml:space="preserve"> </w:t>
      </w:r>
      <w:r>
        <w:t>patients included in the study.</w:t>
      </w:r>
    </w:p>
    <w:p w:rsidR="00F72E86" w:rsidRPr="004C3845" w:rsidRDefault="00F72E86" w:rsidP="0018725A">
      <w:pPr>
        <w:pStyle w:val="Heading3"/>
      </w:pPr>
      <w:bookmarkStart w:id="18" w:name="_Toc36810519"/>
      <w:r w:rsidRPr="009F0C29">
        <w:t>Overall conclusions</w:t>
      </w:r>
      <w:bookmarkEnd w:id="18"/>
    </w:p>
    <w:p w:rsidR="00361602" w:rsidRDefault="00F72E86" w:rsidP="009F4DA4">
      <w:pPr>
        <w:pStyle w:val="08Bulletsseriesofsentences"/>
      </w:pPr>
      <w:r>
        <w:t>Across a</w:t>
      </w:r>
      <w:r w:rsidR="0084301E">
        <w:t>ll three datasets analysed, ERA</w:t>
      </w:r>
      <w:r>
        <w:t xml:space="preserve">s were the most commonly used class of PAH medicines followed by </w:t>
      </w:r>
      <w:r w:rsidR="0084301E">
        <w:t>PDE-5</w:t>
      </w:r>
      <w:r>
        <w:t xml:space="preserve"> inhibitors.</w:t>
      </w:r>
    </w:p>
    <w:p w:rsidR="008619CE" w:rsidRDefault="00F72E86" w:rsidP="008619CE">
      <w:pPr>
        <w:pStyle w:val="08Bulletsseriesofsentences"/>
      </w:pPr>
      <w:r>
        <w:t xml:space="preserve">In both </w:t>
      </w:r>
      <w:proofErr w:type="gramStart"/>
      <w:r>
        <w:t>registries</w:t>
      </w:r>
      <w:proofErr w:type="gramEnd"/>
      <w:r>
        <w:t xml:space="preserve"> approximately 50% of patients were prescribed monotherapy, 40% dual therapy and 10% triple therapy</w:t>
      </w:r>
      <w:r w:rsidR="006A49A5">
        <w:t>.</w:t>
      </w:r>
    </w:p>
    <w:p w:rsidR="00F72E86" w:rsidRDefault="008619CE" w:rsidP="008619CE">
      <w:pPr>
        <w:pStyle w:val="08Bulletsseriesofsentences"/>
      </w:pPr>
      <w:r>
        <w:t>The utilisation of PBS medicines cannot be determined according to WHO FC and the both registry data analyses did not provide specific information on the extent of patients being initiated to PAH therapy in FC II.</w:t>
      </w:r>
    </w:p>
    <w:p w:rsidR="006A49A5" w:rsidRDefault="006A49A5" w:rsidP="009F4DA4">
      <w:pPr>
        <w:pStyle w:val="08Bulletsseriesofsentences"/>
      </w:pPr>
      <w:r>
        <w:t xml:space="preserve">ERA was the most commonly prescribed monotherapy, ERA plus </w:t>
      </w:r>
      <w:r w:rsidR="0084301E">
        <w:t>PDE-5</w:t>
      </w:r>
      <w:r>
        <w:t xml:space="preserve"> inhibitor was the most commonly prescribed dual therapy combination and ERA plus </w:t>
      </w:r>
      <w:r w:rsidR="0084301E">
        <w:t>PDE-5</w:t>
      </w:r>
      <w:r>
        <w:t xml:space="preserve"> inhibitor </w:t>
      </w:r>
      <w:proofErr w:type="gramStart"/>
      <w:r w:rsidRPr="002F6D64">
        <w:t>plus</w:t>
      </w:r>
      <w:proofErr w:type="gramEnd"/>
      <w:r w:rsidRPr="002F6D64">
        <w:t xml:space="preserve"> PGI</w:t>
      </w:r>
      <w:r w:rsidRPr="002F6D64">
        <w:rPr>
          <w:vertAlign w:val="subscript"/>
        </w:rPr>
        <w:t>2</w:t>
      </w:r>
      <w:r>
        <w:rPr>
          <w:vertAlign w:val="subscript"/>
        </w:rPr>
        <w:t xml:space="preserve"> </w:t>
      </w:r>
      <w:r>
        <w:t>was the most commonly prescribed form of triple therapy.</w:t>
      </w:r>
    </w:p>
    <w:p w:rsidR="002F6C17" w:rsidRPr="00E83BDB" w:rsidRDefault="002F6C17" w:rsidP="002F6C17">
      <w:pPr>
        <w:pStyle w:val="Heading2"/>
        <w:jc w:val="left"/>
        <w:rPr>
          <w:rFonts w:eastAsia="Times New Roman"/>
          <w:i/>
          <w:color w:val="auto"/>
          <w:sz w:val="30"/>
          <w:szCs w:val="30"/>
        </w:rPr>
      </w:pPr>
      <w:bookmarkStart w:id="19" w:name="_Toc511114864"/>
      <w:bookmarkStart w:id="20" w:name="_Toc511119524"/>
      <w:bookmarkStart w:id="21" w:name="_Toc36810520"/>
      <w:r w:rsidRPr="00E83BDB">
        <w:rPr>
          <w:rFonts w:eastAsia="Times New Roman"/>
          <w:i/>
          <w:color w:val="auto"/>
          <w:sz w:val="30"/>
          <w:szCs w:val="30"/>
        </w:rPr>
        <w:t>2.1.1 Stakeholder views</w:t>
      </w:r>
      <w:bookmarkEnd w:id="19"/>
      <w:bookmarkEnd w:id="20"/>
      <w:bookmarkEnd w:id="21"/>
    </w:p>
    <w:p w:rsidR="002F6C17" w:rsidRDefault="00471B14" w:rsidP="002F6C17">
      <w:pPr>
        <w:pStyle w:val="08Bulletsseriesofsentences"/>
        <w:rPr>
          <w:rFonts w:eastAsiaTheme="minorHAnsi"/>
        </w:rPr>
      </w:pPr>
      <w:r>
        <w:t>S</w:t>
      </w:r>
      <w:r w:rsidR="002F6C17">
        <w:t xml:space="preserve">uggested methods for ensuring efficient and effective data capture of PAH medicine utilisation and outcomes, noting PBS prescriptions alone do not reflect the full utilisation of PAH medicines, such as including data sources available through the PHSANZ, which includes a national </w:t>
      </w:r>
      <w:r w:rsidR="00BF0520">
        <w:t>pulmonary hypertension (</w:t>
      </w:r>
      <w:r w:rsidR="002F6C17">
        <w:t>PH</w:t>
      </w:r>
      <w:r w:rsidR="00BF0520">
        <w:t>)</w:t>
      </w:r>
      <w:r w:rsidR="002F6C17">
        <w:t xml:space="preserve"> registry.</w:t>
      </w:r>
    </w:p>
    <w:p w:rsidR="002F6C17" w:rsidRDefault="00471B14" w:rsidP="002F6C17">
      <w:pPr>
        <w:pStyle w:val="08Bulletsseriesofsentences"/>
        <w:rPr>
          <w:rFonts w:eastAsia="Times New Roman"/>
        </w:rPr>
      </w:pPr>
      <w:r>
        <w:t>R</w:t>
      </w:r>
      <w:r w:rsidR="002F6C17">
        <w:t>ecommend ongoing post-market surveillance / registry analysis to support evidence-based decision making for PAH.</w:t>
      </w:r>
    </w:p>
    <w:p w:rsidR="002F6C17" w:rsidRDefault="00471B14" w:rsidP="002F6C17">
      <w:pPr>
        <w:pStyle w:val="08Bulletsseriesofsentences"/>
      </w:pPr>
      <w:r>
        <w:lastRenderedPageBreak/>
        <w:t xml:space="preserve">Some patients and prescribers </w:t>
      </w:r>
      <w:r w:rsidR="002F6C17">
        <w:t xml:space="preserve">noted the considerable variation in decision making </w:t>
      </w:r>
      <w:r w:rsidR="003117F8">
        <w:t>across</w:t>
      </w:r>
      <w:r w:rsidR="003D172D">
        <w:t xml:space="preserve"> </w:t>
      </w:r>
      <w:r w:rsidR="002F6C17">
        <w:t>Drug Therapeutic Committees</w:t>
      </w:r>
      <w:r w:rsidR="003117F8">
        <w:t>,</w:t>
      </w:r>
      <w:r w:rsidR="002F6C17">
        <w:t xml:space="preserve"> making access to PAH medicines potentially inequitable, and dependant on the patients’ location and institution for treatment.</w:t>
      </w:r>
    </w:p>
    <w:p w:rsidR="002F6C17" w:rsidRDefault="002F6C17" w:rsidP="002F6C17">
      <w:pPr>
        <w:pStyle w:val="08Bulletsseriesofsentences"/>
      </w:pPr>
      <w:r>
        <w:t>Stakeholders noted the review should explore what constitutes a designated PH treatment centre and collaboration between centres to improve equity of utilisation of PAH medicines. Stakeholders pointed out that variations in clinical expertise are leading to variation in treatment and outcomes, including reported differences in mortality between d</w:t>
      </w:r>
      <w:r w:rsidR="00204B9C">
        <w:t>esignated PH treatment centres.</w:t>
      </w:r>
    </w:p>
    <w:p w:rsidR="002F6C17" w:rsidRDefault="00A371CB" w:rsidP="002F6C17">
      <w:pPr>
        <w:pStyle w:val="08Bulletsseriesofsentences"/>
      </w:pPr>
      <w:r>
        <w:t>Riociguat</w:t>
      </w:r>
      <w:r w:rsidR="00BF0520">
        <w:t>,</w:t>
      </w:r>
      <w:r>
        <w:t xml:space="preserve"> which was r</w:t>
      </w:r>
      <w:r w:rsidR="002F6C17">
        <w:t>ecently</w:t>
      </w:r>
      <w:r w:rsidR="00471B14">
        <w:t xml:space="preserve"> PBS</w:t>
      </w:r>
      <w:r w:rsidR="002F6C17">
        <w:t xml:space="preserve"> listed</w:t>
      </w:r>
      <w:r>
        <w:t>,</w:t>
      </w:r>
      <w:r w:rsidR="002F6C17">
        <w:t xml:space="preserve"> is not formulary listed in any of the </w:t>
      </w:r>
      <w:proofErr w:type="gramStart"/>
      <w:r w:rsidR="002F6C17">
        <w:t>jurisdictions which</w:t>
      </w:r>
      <w:proofErr w:type="gramEnd"/>
      <w:r w:rsidR="002F6C17">
        <w:t xml:space="preserve"> responded to the request by the Council of Australian Therapeutic Advisory Groups (CATAG), nor have there been individual patient requests in those jurisdictions.</w:t>
      </w:r>
    </w:p>
    <w:p w:rsidR="002F6C17" w:rsidRDefault="00A371CB" w:rsidP="002F6C17">
      <w:pPr>
        <w:pStyle w:val="08Bulletsseriesofsentences"/>
      </w:pPr>
      <w:r>
        <w:t>P</w:t>
      </w:r>
      <w:r w:rsidR="002F6C17">
        <w:t>atients on combination therap</w:t>
      </w:r>
      <w:r>
        <w:t xml:space="preserve">ies that </w:t>
      </w:r>
      <w:proofErr w:type="gramStart"/>
      <w:r>
        <w:t>are sourced</w:t>
      </w:r>
      <w:proofErr w:type="gramEnd"/>
      <w:r>
        <w:t xml:space="preserve"> outside the </w:t>
      </w:r>
      <w:r w:rsidR="002F6C17">
        <w:t>PBS note the emotional, psychological and financial stresses</w:t>
      </w:r>
      <w:r w:rsidR="00BF0520">
        <w:t>,</w:t>
      </w:r>
      <w:r w:rsidR="002F6C17">
        <w:t xml:space="preserve"> which patients and families may feel due to the expense of treatments and concerns about medicine access.</w:t>
      </w:r>
    </w:p>
    <w:p w:rsidR="002F6C17" w:rsidRDefault="00A371CB" w:rsidP="002F6C17">
      <w:pPr>
        <w:pStyle w:val="08Bulletsseriesofsentences"/>
      </w:pPr>
      <w:r>
        <w:t xml:space="preserve">PBS </w:t>
      </w:r>
      <w:r w:rsidR="00BF0520">
        <w:t>d</w:t>
      </w:r>
      <w:r w:rsidR="002F6C17">
        <w:t>ata on riociguat will be uninformative given that it was PBS listed in early 2017.</w:t>
      </w:r>
    </w:p>
    <w:p w:rsidR="002F6C17" w:rsidRPr="00E83BDB" w:rsidRDefault="002F6C17" w:rsidP="002F6C17">
      <w:pPr>
        <w:pStyle w:val="Heading2"/>
        <w:jc w:val="left"/>
        <w:rPr>
          <w:rFonts w:eastAsia="Times New Roman"/>
          <w:i/>
          <w:color w:val="auto"/>
          <w:sz w:val="30"/>
          <w:szCs w:val="30"/>
        </w:rPr>
      </w:pPr>
      <w:bookmarkStart w:id="22" w:name="_Toc511114865"/>
      <w:bookmarkStart w:id="23" w:name="_Toc511119525"/>
      <w:bookmarkStart w:id="24" w:name="_Toc36810521"/>
      <w:r w:rsidRPr="00E83BDB">
        <w:rPr>
          <w:rFonts w:eastAsia="Times New Roman"/>
          <w:i/>
          <w:color w:val="auto"/>
          <w:sz w:val="30"/>
          <w:szCs w:val="30"/>
        </w:rPr>
        <w:t>2.1.2 Consumer views</w:t>
      </w:r>
      <w:bookmarkEnd w:id="22"/>
      <w:bookmarkEnd w:id="23"/>
      <w:bookmarkEnd w:id="24"/>
    </w:p>
    <w:p w:rsidR="002F6C17" w:rsidRPr="00E83BDB" w:rsidRDefault="002F6C17" w:rsidP="002F6C17">
      <w:pPr>
        <w:pStyle w:val="08Bulletsseriesofsentences"/>
      </w:pPr>
      <w:r w:rsidRPr="00E83BDB">
        <w:t xml:space="preserve">The majority of consumers at the Consumer Forum advised that they </w:t>
      </w:r>
      <w:r w:rsidR="00204B9C">
        <w:t>were on dual or triple therapy.</w:t>
      </w:r>
    </w:p>
    <w:p w:rsidR="002F6C17" w:rsidRPr="00E83BDB" w:rsidRDefault="002F6C17" w:rsidP="002F6C17">
      <w:pPr>
        <w:pStyle w:val="08Bulletsseriesofsentences"/>
      </w:pPr>
      <w:r w:rsidRPr="00E83BDB">
        <w:t>Consumers noted</w:t>
      </w:r>
      <w:r>
        <w:t xml:space="preserve"> that</w:t>
      </w:r>
      <w:r w:rsidRPr="00E83BDB">
        <w:t xml:space="preserve"> they accessed medicines through a range (and combination) of avenues, including through the PBS, hospitals, drug trials, compassionate access programs or private funding (often sildenafil).</w:t>
      </w:r>
    </w:p>
    <w:p w:rsidR="002F6C17" w:rsidRPr="00E83BDB" w:rsidRDefault="002F6C17" w:rsidP="002F6C17">
      <w:pPr>
        <w:pStyle w:val="08Bulletsseriesofsentences"/>
      </w:pPr>
      <w:r w:rsidRPr="00E83BDB">
        <w:t>Consumers noted the financial burden for themselves, family and friends including cost of PBS co-payments, cos</w:t>
      </w:r>
      <w:r>
        <w:t>t of privately funded medicines and</w:t>
      </w:r>
      <w:r w:rsidRPr="00E83BDB">
        <w:t xml:space="preserve"> incidental health care items and tests. This </w:t>
      </w:r>
      <w:proofErr w:type="gramStart"/>
      <w:r w:rsidR="00A371CB">
        <w:t>was</w:t>
      </w:r>
      <w:r w:rsidRPr="00E83BDB">
        <w:t xml:space="preserve"> exacerbated</w:t>
      </w:r>
      <w:proofErr w:type="gramEnd"/>
      <w:r w:rsidRPr="00E83BDB">
        <w:t xml:space="preserve"> by reduced income </w:t>
      </w:r>
      <w:r>
        <w:t>due to</w:t>
      </w:r>
      <w:r w:rsidRPr="00E83BDB">
        <w:t xml:space="preserve"> an inability to work.</w:t>
      </w:r>
    </w:p>
    <w:p w:rsidR="00C32759" w:rsidRPr="00925D43" w:rsidRDefault="00894F2A" w:rsidP="00925D43">
      <w:pPr>
        <w:pStyle w:val="Heading2"/>
      </w:pPr>
      <w:bookmarkStart w:id="25" w:name="_Toc388453122"/>
      <w:bookmarkStart w:id="26" w:name="_Toc36810522"/>
      <w:r w:rsidRPr="00925D43">
        <w:t>2</w:t>
      </w:r>
      <w:r w:rsidR="00F30A1A" w:rsidRPr="00925D43">
        <w:t>.2</w:t>
      </w:r>
      <w:r w:rsidR="00F30A1A" w:rsidRPr="00925D43">
        <w:tab/>
      </w:r>
      <w:bookmarkEnd w:id="25"/>
      <w:r w:rsidR="00CC1D29" w:rsidRPr="00925D43">
        <w:t>Introduction</w:t>
      </w:r>
      <w:bookmarkEnd w:id="26"/>
    </w:p>
    <w:p w:rsidR="00F1518F" w:rsidRDefault="00CC1D29" w:rsidP="006D5829">
      <w:pPr>
        <w:pStyle w:val="BodyTextnospacebefore"/>
        <w:spacing w:before="240"/>
      </w:pPr>
      <w:r w:rsidRPr="00C26B51">
        <w:t xml:space="preserve">The following utilisation report </w:t>
      </w:r>
      <w:proofErr w:type="gramStart"/>
      <w:r w:rsidRPr="00C26B51">
        <w:t>was compiled</w:t>
      </w:r>
      <w:proofErr w:type="gramEnd"/>
      <w:r w:rsidRPr="00C26B51">
        <w:t xml:space="preserve"> in an effort to characterise the prescribing practices of PAH medicines in Australia</w:t>
      </w:r>
      <w:r w:rsidR="00E23CB0" w:rsidRPr="00C26B51">
        <w:t xml:space="preserve">. This </w:t>
      </w:r>
      <w:r w:rsidR="00B30AA0">
        <w:t>c</w:t>
      </w:r>
      <w:r w:rsidR="00E23CB0" w:rsidRPr="00C26B51">
        <w:t xml:space="preserve">hapter summarises three separate utilisation reports </w:t>
      </w:r>
      <w:r w:rsidR="00BD2C45" w:rsidRPr="00C26B51">
        <w:t xml:space="preserve">conducted in </w:t>
      </w:r>
      <w:r w:rsidR="00E23CB0" w:rsidRPr="00C26B51">
        <w:t xml:space="preserve">the following data sources: </w:t>
      </w:r>
      <w:r w:rsidRPr="00C26B51">
        <w:t>PBS/RPBS claims data</w:t>
      </w:r>
      <w:r w:rsidR="004057A5">
        <w:t xml:space="preserve"> and registry data from the</w:t>
      </w:r>
      <w:r w:rsidR="009A6F8F">
        <w:t xml:space="preserve"> </w:t>
      </w:r>
      <w:r w:rsidR="00E23CB0" w:rsidRPr="00C26B51">
        <w:t>PHSANZ</w:t>
      </w:r>
      <w:r w:rsidR="006A49A5" w:rsidRPr="00C26B51">
        <w:t xml:space="preserve"> and</w:t>
      </w:r>
      <w:r w:rsidRPr="00C26B51">
        <w:t xml:space="preserve"> </w:t>
      </w:r>
      <w:r w:rsidR="00E23CB0" w:rsidRPr="00C26B51">
        <w:t xml:space="preserve">ASIG (refer to appendices </w:t>
      </w:r>
      <w:r w:rsidR="00B30AA0">
        <w:t>2</w:t>
      </w:r>
      <w:r w:rsidR="00712D24" w:rsidRPr="00C26B51">
        <w:t xml:space="preserve">A, </w:t>
      </w:r>
      <w:r w:rsidR="00B30AA0">
        <w:t>2</w:t>
      </w:r>
      <w:r w:rsidR="00712D24" w:rsidRPr="00C26B51">
        <w:t xml:space="preserve">B and </w:t>
      </w:r>
      <w:r w:rsidR="00B30AA0">
        <w:t>2</w:t>
      </w:r>
      <w:r w:rsidR="006A49A5" w:rsidRPr="00C26B51">
        <w:t>C)</w:t>
      </w:r>
      <w:r w:rsidR="00204B9C">
        <w:t>.</w:t>
      </w:r>
    </w:p>
    <w:p w:rsidR="008145A9" w:rsidRPr="00E17C81" w:rsidRDefault="008145A9" w:rsidP="00E17C81">
      <w:pPr>
        <w:pStyle w:val="Heading4"/>
      </w:pPr>
      <w:r w:rsidRPr="00E17C81">
        <w:t>PBS</w:t>
      </w:r>
      <w:r w:rsidR="002A6CCA">
        <w:t>/RPBS</w:t>
      </w:r>
      <w:r w:rsidRPr="00E17C81">
        <w:t xml:space="preserve"> Data</w:t>
      </w:r>
    </w:p>
    <w:p w:rsidR="00CC1D29" w:rsidRPr="00C26B51" w:rsidRDefault="00CC1D29" w:rsidP="00C26B51">
      <w:pPr>
        <w:pStyle w:val="BodyTextnospacebefore"/>
      </w:pPr>
      <w:r w:rsidRPr="00C26B51">
        <w:t xml:space="preserve">The Department of Health contracted a research team </w:t>
      </w:r>
      <w:r w:rsidRPr="002F6D64">
        <w:t xml:space="preserve">at the Centre for Big Data Research in Health from the University </w:t>
      </w:r>
      <w:proofErr w:type="gramStart"/>
      <w:r w:rsidRPr="002F6D64">
        <w:t>of</w:t>
      </w:r>
      <w:proofErr w:type="gramEnd"/>
      <w:r w:rsidRPr="002F6D64">
        <w:t xml:space="preserve"> New South Wales (UNSW</w:t>
      </w:r>
      <w:r w:rsidR="00843A81" w:rsidRPr="00843A81">
        <w:rPr>
          <w:rFonts w:cstheme="minorHAnsi"/>
        </w:rPr>
        <w:t>) t</w:t>
      </w:r>
      <w:r w:rsidRPr="002F6D64">
        <w:t>o undertake a medicine utilisation review of PBS listed PAH therapies in Australia. This review aimed</w:t>
      </w:r>
      <w:r w:rsidRPr="00BF0520">
        <w:t xml:space="preserve"> to</w:t>
      </w:r>
      <w:r w:rsidRPr="00C26B51">
        <w:t xml:space="preserve"> update and add to the Department’s previous work on PAH medicine utilisation published in February 2015 by</w:t>
      </w:r>
      <w:r w:rsidR="00EB72BF">
        <w:t xml:space="preserve"> the Drug Utilisation Sub Committee (</w:t>
      </w:r>
      <w:r w:rsidRPr="00C26B51">
        <w:t>DUSC</w:t>
      </w:r>
      <w:r w:rsidR="00EB72BF">
        <w:t>)</w:t>
      </w:r>
      <w:r w:rsidRPr="00C26B51">
        <w:t>.</w:t>
      </w:r>
    </w:p>
    <w:p w:rsidR="00CC1D29" w:rsidRPr="00626A5E" w:rsidRDefault="000121B6" w:rsidP="0018725A">
      <w:pPr>
        <w:pStyle w:val="Heading4"/>
      </w:pPr>
      <w:r>
        <w:lastRenderedPageBreak/>
        <w:t>Registry Data</w:t>
      </w:r>
    </w:p>
    <w:p w:rsidR="00CC1D29" w:rsidRPr="00146D94" w:rsidRDefault="00F1518F" w:rsidP="00764F7F">
      <w:pPr>
        <w:pStyle w:val="BodyTextnospacebefore"/>
        <w:rPr>
          <w:color w:val="333333"/>
          <w:sz w:val="21"/>
          <w:u w:val="single"/>
        </w:rPr>
      </w:pPr>
      <w:r w:rsidRPr="00764F7F">
        <w:t>The PHSANZ a</w:t>
      </w:r>
      <w:r w:rsidR="005C5DD0" w:rsidRPr="00764F7F">
        <w:t>nd A</w:t>
      </w:r>
      <w:r w:rsidR="006A49A5" w:rsidRPr="00764F7F">
        <w:t>S</w:t>
      </w:r>
      <w:r w:rsidR="005C5DD0" w:rsidRPr="004B3529">
        <w:t>IG registries</w:t>
      </w:r>
      <w:r w:rsidRPr="004B3529">
        <w:t xml:space="preserve"> i</w:t>
      </w:r>
      <w:r w:rsidR="005C5DD0" w:rsidRPr="004B3529">
        <w:t>nclude</w:t>
      </w:r>
      <w:r w:rsidR="00CC1D29" w:rsidRPr="004B3529">
        <w:t xml:space="preserve"> </w:t>
      </w:r>
      <w:r w:rsidR="00BD2C45" w:rsidRPr="002F6C17">
        <w:t xml:space="preserve">medicine </w:t>
      </w:r>
      <w:r w:rsidR="00CC1D29" w:rsidRPr="002F6C17">
        <w:t xml:space="preserve">utilisation data not captured by PBS/RPBS claims </w:t>
      </w:r>
      <w:r w:rsidRPr="002F6C17">
        <w:t>sources</w:t>
      </w:r>
      <w:r w:rsidR="00CC1D29" w:rsidRPr="002F6C17">
        <w:t xml:space="preserve">. </w:t>
      </w:r>
      <w:r w:rsidR="00146D94">
        <w:t xml:space="preserve">The PBS data does not contain any clinical information on patients, e.g. diagnosis or disease severity, nor any patient characteristics beyond basic demographic information. Therefore, the current review did not provide insights to the WHO FC of patients treated with PAH medicines or other clinically relevant information beyond what was obtainable from dispensing claims data. Based on PBS data alone, the magnitude of combination treatment with PAH medicines </w:t>
      </w:r>
      <w:proofErr w:type="gramStart"/>
      <w:r w:rsidR="00146D94">
        <w:t>was underestimated</w:t>
      </w:r>
      <w:proofErr w:type="gramEnd"/>
      <w:r w:rsidR="00146D94">
        <w:t xml:space="preserve">, as </w:t>
      </w:r>
      <w:r w:rsidR="00146D94" w:rsidRPr="00764F7F">
        <w:t xml:space="preserve">PAH medicines are only approved for PBS use </w:t>
      </w:r>
      <w:r w:rsidR="00146D94">
        <w:t>as</w:t>
      </w:r>
      <w:r w:rsidR="00146D94" w:rsidRPr="00764F7F">
        <w:t xml:space="preserve"> monotherapy</w:t>
      </w:r>
      <w:r w:rsidR="00146D94">
        <w:t xml:space="preserve">. During the observed period, additional PAH </w:t>
      </w:r>
      <w:r w:rsidR="00146D94" w:rsidRPr="009A6F2D">
        <w:t>medicine</w:t>
      </w:r>
      <w:r w:rsidR="00146D94">
        <w:t>s</w:t>
      </w:r>
      <w:r w:rsidR="00146D94" w:rsidRPr="009A6F2D">
        <w:t xml:space="preserve"> </w:t>
      </w:r>
      <w:r w:rsidR="00146D94">
        <w:t xml:space="preserve">were in </w:t>
      </w:r>
      <w:r w:rsidR="00146D94" w:rsidRPr="009A6F2D">
        <w:t>most cases</w:t>
      </w:r>
      <w:r w:rsidR="00146D94">
        <w:t xml:space="preserve"> </w:t>
      </w:r>
      <w:r w:rsidR="00146D94" w:rsidRPr="009A6F2D">
        <w:t>pro</w:t>
      </w:r>
      <w:r w:rsidR="00146D94">
        <w:t xml:space="preserve">vided through sources other than the PBS – that is, directly by hospitals, </w:t>
      </w:r>
      <w:r w:rsidR="00146D94" w:rsidRPr="009A6F2D">
        <w:t>pharmaceutical companies through compassionate access schemes or drug trials, or purchased privately</w:t>
      </w:r>
      <w:r w:rsidR="00146D94">
        <w:t>, and therefore did not appear in the PBS data.</w:t>
      </w:r>
      <w:r w:rsidR="00CC1D29" w:rsidRPr="00764F7F">
        <w:t xml:space="preserve"> Including data from these sources allows for current clinical practice in the management of PAH to </w:t>
      </w:r>
      <w:proofErr w:type="gramStart"/>
      <w:r w:rsidR="00CC1D29" w:rsidRPr="00764F7F">
        <w:t>be compared</w:t>
      </w:r>
      <w:proofErr w:type="gramEnd"/>
      <w:r w:rsidR="00CC1D29" w:rsidRPr="00764F7F">
        <w:t xml:space="preserve"> to PBS restriction provisions and </w:t>
      </w:r>
      <w:r w:rsidR="00146D94">
        <w:t xml:space="preserve">current treatment guidelines. </w:t>
      </w:r>
      <w:r w:rsidR="00BD2C45" w:rsidRPr="002E36DE">
        <w:t>The aim of obtaining data from the PHSANZ and ASIG registries was to identify the extent and form of combinat</w:t>
      </w:r>
      <w:r w:rsidR="006A49A5" w:rsidRPr="00764F7F">
        <w:t>ion therapy use in Australia.</w:t>
      </w:r>
    </w:p>
    <w:p w:rsidR="00CC1D29" w:rsidRPr="006D5829" w:rsidRDefault="00784093" w:rsidP="006D5829">
      <w:pPr>
        <w:pStyle w:val="Heading2"/>
      </w:pPr>
      <w:bookmarkStart w:id="27" w:name="_Toc508360123"/>
      <w:bookmarkStart w:id="28" w:name="_Toc36810523"/>
      <w:r>
        <w:rPr>
          <w:rStyle w:val="Heading1Char"/>
          <w:b/>
          <w:bCs/>
          <w:sz w:val="32"/>
        </w:rPr>
        <w:t>2.3</w:t>
      </w:r>
      <w:r w:rsidR="00CC1D29" w:rsidRPr="00925D43">
        <w:rPr>
          <w:rStyle w:val="Heading1Char"/>
          <w:b/>
          <w:bCs/>
          <w:sz w:val="32"/>
        </w:rPr>
        <w:tab/>
        <w:t>Utilisation analysis methodology</w:t>
      </w:r>
      <w:bookmarkEnd w:id="27"/>
      <w:bookmarkEnd w:id="28"/>
    </w:p>
    <w:p w:rsidR="00070C40" w:rsidRDefault="00784093" w:rsidP="00070C40">
      <w:pPr>
        <w:pStyle w:val="Heading3"/>
      </w:pPr>
      <w:bookmarkStart w:id="29" w:name="_Toc36810524"/>
      <w:bookmarkStart w:id="30" w:name="_Toc508360124"/>
      <w:r>
        <w:t>2.3</w:t>
      </w:r>
      <w:r w:rsidR="00CC1D29" w:rsidRPr="009A6F8F">
        <w:t>.1 PBS/RPBS</w:t>
      </w:r>
      <w:r w:rsidR="00633473" w:rsidRPr="009A6F8F">
        <w:t xml:space="preserve"> claims data</w:t>
      </w:r>
      <w:r w:rsidR="00CC1D29" w:rsidRPr="009A6F8F">
        <w:t xml:space="preserve"> utilisation analysis methodology</w:t>
      </w:r>
      <w:bookmarkEnd w:id="29"/>
      <w:r w:rsidR="00CC1D29" w:rsidRPr="009A6F8F">
        <w:t xml:space="preserve"> </w:t>
      </w:r>
      <w:bookmarkEnd w:id="30"/>
    </w:p>
    <w:p w:rsidR="00CC1D29" w:rsidRPr="00626A5E" w:rsidRDefault="00CC1D29" w:rsidP="00070C40">
      <w:pPr>
        <w:pStyle w:val="Heading3"/>
      </w:pPr>
      <w:bookmarkStart w:id="31" w:name="_Toc36810525"/>
      <w:r w:rsidRPr="00146D94">
        <w:t>Data sources</w:t>
      </w:r>
      <w:r w:rsidRPr="00626A5E">
        <w:t>, setting and population</w:t>
      </w:r>
      <w:bookmarkEnd w:id="31"/>
    </w:p>
    <w:p w:rsidR="00146D94" w:rsidRPr="00146D94" w:rsidRDefault="00CC1D29" w:rsidP="00146D94">
      <w:pPr>
        <w:pStyle w:val="BodyTextnospacebefore"/>
      </w:pPr>
      <w:r w:rsidRPr="00C8449C">
        <w:t xml:space="preserve">The analyses </w:t>
      </w:r>
      <w:r w:rsidR="00070C40">
        <w:t xml:space="preserve">(Appendix 2A) </w:t>
      </w:r>
      <w:r w:rsidRPr="00C8449C">
        <w:t>were based on PBS</w:t>
      </w:r>
      <w:r w:rsidR="002A6CCA">
        <w:t>/RPBS</w:t>
      </w:r>
      <w:r w:rsidRPr="00C8449C">
        <w:t xml:space="preserve"> dispensing data from 1 July 2013 through 31 December 2016 for the total Australian population dispense</w:t>
      </w:r>
      <w:r w:rsidR="00B30AA0">
        <w:t>d a PAH medicine at least once.</w:t>
      </w:r>
      <w:r w:rsidR="00146D94">
        <w:t xml:space="preserve"> All analyses and resulting estimates were </w:t>
      </w:r>
      <w:r w:rsidR="00146D94" w:rsidRPr="009A6F2D">
        <w:t>limited to that time-span.</w:t>
      </w:r>
    </w:p>
    <w:p w:rsidR="00CC1D29" w:rsidRDefault="00CC1D29" w:rsidP="00C26B51">
      <w:pPr>
        <w:pStyle w:val="BodyTextnospacebefore"/>
      </w:pPr>
      <w:r w:rsidRPr="000E117F">
        <w:t>Mid-year population statistics</w:t>
      </w:r>
      <w:r w:rsidRPr="00C8449C">
        <w:t xml:space="preserve"> from the Australian Bureau of Statistics (ABS) </w:t>
      </w:r>
      <w:proofErr w:type="gramStart"/>
      <w:r w:rsidRPr="00C8449C">
        <w:t>were used</w:t>
      </w:r>
      <w:proofErr w:type="gramEnd"/>
      <w:r w:rsidRPr="00C8449C">
        <w:t xml:space="preserve"> as estimates of the underlying population (denominator) for the </w:t>
      </w:r>
      <w:r w:rsidR="003423F9">
        <w:t xml:space="preserve">medicine </w:t>
      </w:r>
      <w:r w:rsidRPr="00C8449C">
        <w:t xml:space="preserve">utilisation measures described below. </w:t>
      </w:r>
      <w:r w:rsidRPr="00B979B6">
        <w:t>These</w:t>
      </w:r>
      <w:r w:rsidR="00B979B6">
        <w:t xml:space="preserve"> </w:t>
      </w:r>
      <w:proofErr w:type="gramStart"/>
      <w:r w:rsidR="00B979B6">
        <w:t>are provided</w:t>
      </w:r>
      <w:proofErr w:type="gramEnd"/>
      <w:r w:rsidR="002F6D64">
        <w:t xml:space="preserve"> </w:t>
      </w:r>
      <w:r w:rsidRPr="00C8449C">
        <w:t>stratified by patient’s age and sex</w:t>
      </w:r>
      <w:r w:rsidR="002F6D64">
        <w:t>.</w:t>
      </w:r>
    </w:p>
    <w:p w:rsidR="00CC1D29" w:rsidRDefault="00CC1D29" w:rsidP="006D5829">
      <w:pPr>
        <w:pStyle w:val="BodyTextnospacebefore"/>
      </w:pPr>
      <w:r w:rsidRPr="00C8449C">
        <w:t>In the analyses patient age was categorised into the following groups: &lt;35, 35-44, 45-54</w:t>
      </w:r>
      <w:proofErr w:type="gramStart"/>
      <w:r w:rsidRPr="00C8449C">
        <w:t>,</w:t>
      </w:r>
      <w:proofErr w:type="gramEnd"/>
      <w:r w:rsidR="004057A5">
        <w:br/>
      </w:r>
      <w:r w:rsidRPr="00C8449C">
        <w:t>55-64, 65-74, 75-84, and 85 years and older.</w:t>
      </w:r>
    </w:p>
    <w:p w:rsidR="00CC1D29" w:rsidRPr="00CC1D29" w:rsidRDefault="00CC1D29" w:rsidP="009F0C29">
      <w:pPr>
        <w:pStyle w:val="Heading4"/>
      </w:pPr>
      <w:r w:rsidRPr="00CC1D29">
        <w:t>Medicines of interest</w:t>
      </w:r>
    </w:p>
    <w:p w:rsidR="00160643" w:rsidRDefault="00CC1D29" w:rsidP="006D5829">
      <w:pPr>
        <w:pStyle w:val="BodyTextnospacebefore"/>
      </w:pPr>
      <w:r w:rsidRPr="00C8449C">
        <w:t>There were seven PBS-listed medicines indicated for t</w:t>
      </w:r>
      <w:r w:rsidR="009C7712">
        <w:t>reatment of PAH in Australia in</w:t>
      </w:r>
      <w:r w:rsidR="009C7712">
        <w:br/>
      </w:r>
      <w:r w:rsidRPr="00C8449C">
        <w:t xml:space="preserve">2013-2016: bosentan, ambrisentan, macitentan, epoprostenol, iloprost, sildenafil and tadalafil. Two further medicines used to treat PAH were not PBS-listed during the </w:t>
      </w:r>
      <w:proofErr w:type="gramStart"/>
      <w:r w:rsidRPr="00C8449C">
        <w:t>time period</w:t>
      </w:r>
      <w:proofErr w:type="gramEnd"/>
      <w:r w:rsidRPr="00C8449C">
        <w:t xml:space="preserve"> of observation: riociguat (first listed on 1 February 2017) and </w:t>
      </w:r>
      <w:proofErr w:type="spellStart"/>
      <w:r w:rsidRPr="00C8449C">
        <w:t>sitaxentan</w:t>
      </w:r>
      <w:proofErr w:type="spellEnd"/>
      <w:r w:rsidRPr="00C8449C">
        <w:t xml:space="preserve"> (listed from 1 April 2008 to 31 March 2011). Macitentan </w:t>
      </w:r>
      <w:proofErr w:type="gramStart"/>
      <w:r w:rsidRPr="00C8449C">
        <w:t>was listed</w:t>
      </w:r>
      <w:proofErr w:type="gramEnd"/>
      <w:r w:rsidRPr="00C8449C">
        <w:t xml:space="preserve"> on the PBS on 1 September 2014 (Table </w:t>
      </w:r>
      <w:r w:rsidR="00F41BAD">
        <w:t>2.</w:t>
      </w:r>
      <w:r w:rsidRPr="00C8449C">
        <w:t>1).</w:t>
      </w:r>
      <w:r w:rsidR="003D172D">
        <w:t xml:space="preserve"> </w:t>
      </w:r>
      <w:r w:rsidRPr="00C8449C">
        <w:t>Only PBS item codes with an indication for the treatment of PAH</w:t>
      </w:r>
      <w:r w:rsidR="00204B9C">
        <w:t xml:space="preserve"> were included in the analysis.</w:t>
      </w:r>
    </w:p>
    <w:p w:rsidR="00CC1D29" w:rsidRPr="00E30D2A" w:rsidRDefault="00CC1D29" w:rsidP="00E30D2A">
      <w:pPr>
        <w:pStyle w:val="Caption"/>
      </w:pPr>
      <w:bookmarkStart w:id="32" w:name="_Toc511144344"/>
      <w:r w:rsidRPr="00E30D2A">
        <w:lastRenderedPageBreak/>
        <w:t xml:space="preserve">Table </w:t>
      </w:r>
      <w:r w:rsidR="00586A81">
        <w:t>2.</w:t>
      </w:r>
      <w:r w:rsidR="00BA253F">
        <w:rPr>
          <w:noProof/>
        </w:rPr>
        <w:t>1</w:t>
      </w:r>
      <w:r w:rsidR="00B30AA0">
        <w:tab/>
      </w:r>
      <w:r w:rsidRPr="00E30D2A">
        <w:t>List of PAH medicines available from 2013-2016</w:t>
      </w:r>
      <w:bookmarkEnd w:id="32"/>
    </w:p>
    <w:tbl>
      <w:tblPr>
        <w:tblStyle w:val="TableGrid"/>
        <w:tblW w:w="0" w:type="auto"/>
        <w:tblLook w:val="04A0" w:firstRow="1" w:lastRow="0" w:firstColumn="1" w:lastColumn="0" w:noHBand="0" w:noVBand="1"/>
        <w:tblCaption w:val="List of PAH medicines available from 2013-2016"/>
        <w:tblDescription w:val="Drug name and date listed on the PBS"/>
      </w:tblPr>
      <w:tblGrid>
        <w:gridCol w:w="2235"/>
        <w:gridCol w:w="3402"/>
      </w:tblGrid>
      <w:tr w:rsidR="00CC1D29" w:rsidRPr="00CF5AA6" w:rsidTr="006F47C5">
        <w:trPr>
          <w:tblHeader/>
        </w:trPr>
        <w:tc>
          <w:tcPr>
            <w:tcW w:w="2235" w:type="dxa"/>
            <w:tcBorders>
              <w:bottom w:val="single" w:sz="4" w:space="0" w:color="auto"/>
              <w:right w:val="nil"/>
            </w:tcBorders>
            <w:shd w:val="clear" w:color="auto" w:fill="D9D9D9" w:themeFill="background1" w:themeFillShade="D9"/>
          </w:tcPr>
          <w:p w:rsidR="00CC1D29" w:rsidRPr="00CF5AA6" w:rsidRDefault="00CC1D29" w:rsidP="00070C40">
            <w:pPr>
              <w:spacing w:before="40" w:after="40"/>
              <w:jc w:val="center"/>
              <w:rPr>
                <w:rFonts w:ascii="Calibri" w:eastAsia="MS Mincho" w:hAnsi="Calibri" w:cs="Arial"/>
                <w:b/>
                <w:sz w:val="24"/>
                <w:szCs w:val="24"/>
              </w:rPr>
            </w:pPr>
            <w:r w:rsidRPr="00CF5AA6">
              <w:rPr>
                <w:rFonts w:ascii="Calibri" w:eastAsia="MS Mincho" w:hAnsi="Calibri" w:cs="Arial"/>
                <w:b/>
                <w:sz w:val="24"/>
                <w:szCs w:val="24"/>
              </w:rPr>
              <w:t>Drug name</w:t>
            </w:r>
          </w:p>
        </w:tc>
        <w:tc>
          <w:tcPr>
            <w:tcW w:w="3402" w:type="dxa"/>
            <w:tcBorders>
              <w:left w:val="nil"/>
              <w:bottom w:val="single" w:sz="4" w:space="0" w:color="auto"/>
            </w:tcBorders>
            <w:shd w:val="clear" w:color="auto" w:fill="D9D9D9" w:themeFill="background1" w:themeFillShade="D9"/>
          </w:tcPr>
          <w:p w:rsidR="00CC1D29" w:rsidRPr="00CF5AA6" w:rsidRDefault="00CC1D29" w:rsidP="00070C40">
            <w:pPr>
              <w:spacing w:before="40" w:after="40"/>
              <w:jc w:val="center"/>
              <w:rPr>
                <w:rFonts w:ascii="Calibri" w:eastAsia="MS Mincho" w:hAnsi="Calibri" w:cs="Arial"/>
                <w:b/>
                <w:sz w:val="24"/>
                <w:szCs w:val="24"/>
              </w:rPr>
            </w:pPr>
            <w:r w:rsidRPr="00CF5AA6">
              <w:rPr>
                <w:rFonts w:ascii="Calibri" w:eastAsia="MS Mincho" w:hAnsi="Calibri" w:cs="Arial"/>
                <w:b/>
                <w:sz w:val="24"/>
                <w:szCs w:val="24"/>
              </w:rPr>
              <w:t>Date listed on PBS</w:t>
            </w:r>
          </w:p>
        </w:tc>
      </w:tr>
      <w:tr w:rsidR="00CC1D29" w:rsidRPr="00370872" w:rsidTr="000341B3">
        <w:tc>
          <w:tcPr>
            <w:tcW w:w="2235" w:type="dxa"/>
            <w:tcBorders>
              <w:bottom w:val="nil"/>
              <w:right w:val="single" w:sz="4" w:space="0" w:color="auto"/>
            </w:tcBorders>
            <w:shd w:val="clear" w:color="auto" w:fill="D9D9D9" w:themeFill="background1" w:themeFillShade="D9"/>
          </w:tcPr>
          <w:p w:rsidR="00CC1D29" w:rsidRPr="00070C40" w:rsidRDefault="00CC1D29" w:rsidP="00070C40">
            <w:pPr>
              <w:spacing w:before="40" w:after="40"/>
              <w:jc w:val="left"/>
              <w:rPr>
                <w:rFonts w:ascii="Arial" w:eastAsia="MS Mincho" w:hAnsi="Arial" w:cs="Arial"/>
                <w:b/>
              </w:rPr>
            </w:pPr>
            <w:r w:rsidRPr="00070C40">
              <w:rPr>
                <w:rFonts w:ascii="Arial" w:eastAsia="MS Mincho" w:hAnsi="Arial" w:cs="Arial"/>
                <w:b/>
              </w:rPr>
              <w:t xml:space="preserve">Bosentan </w:t>
            </w:r>
          </w:p>
        </w:tc>
        <w:tc>
          <w:tcPr>
            <w:tcW w:w="3402" w:type="dxa"/>
            <w:tcBorders>
              <w:left w:val="single" w:sz="4" w:space="0" w:color="auto"/>
              <w:bottom w:val="nil"/>
            </w:tcBorders>
          </w:tcPr>
          <w:p w:rsidR="00CC1D29" w:rsidRPr="00070C40" w:rsidRDefault="00CC1D29" w:rsidP="00070C40">
            <w:pPr>
              <w:spacing w:before="40" w:after="40"/>
              <w:ind w:right="1026"/>
              <w:jc w:val="right"/>
              <w:rPr>
                <w:rFonts w:ascii="Arial" w:eastAsia="MS Mincho" w:hAnsi="Arial" w:cs="Arial"/>
              </w:rPr>
            </w:pPr>
            <w:r w:rsidRPr="00070C40">
              <w:rPr>
                <w:rFonts w:ascii="Arial" w:eastAsia="MS Mincho" w:hAnsi="Arial" w:cs="Arial"/>
              </w:rPr>
              <w:t>1 March 2004</w:t>
            </w:r>
          </w:p>
        </w:tc>
      </w:tr>
      <w:tr w:rsidR="00CC1D29" w:rsidRPr="00370872" w:rsidTr="000341B3">
        <w:tc>
          <w:tcPr>
            <w:tcW w:w="2235" w:type="dxa"/>
            <w:tcBorders>
              <w:top w:val="nil"/>
              <w:bottom w:val="nil"/>
              <w:right w:val="single" w:sz="4" w:space="0" w:color="auto"/>
            </w:tcBorders>
            <w:shd w:val="clear" w:color="auto" w:fill="D9D9D9" w:themeFill="background1" w:themeFillShade="D9"/>
          </w:tcPr>
          <w:p w:rsidR="00CC1D29" w:rsidRPr="00070C40" w:rsidRDefault="00CC1D29" w:rsidP="00070C40">
            <w:pPr>
              <w:spacing w:before="40" w:after="40"/>
              <w:jc w:val="left"/>
              <w:rPr>
                <w:rFonts w:ascii="Arial" w:eastAsia="MS Mincho" w:hAnsi="Arial" w:cs="Arial"/>
                <w:b/>
              </w:rPr>
            </w:pPr>
            <w:r w:rsidRPr="00070C40">
              <w:rPr>
                <w:rFonts w:ascii="Arial" w:eastAsia="MS Mincho" w:hAnsi="Arial" w:cs="Arial"/>
                <w:b/>
              </w:rPr>
              <w:t>Iloprost</w:t>
            </w:r>
          </w:p>
        </w:tc>
        <w:tc>
          <w:tcPr>
            <w:tcW w:w="3402" w:type="dxa"/>
            <w:tcBorders>
              <w:top w:val="nil"/>
              <w:left w:val="single" w:sz="4" w:space="0" w:color="auto"/>
              <w:bottom w:val="nil"/>
            </w:tcBorders>
          </w:tcPr>
          <w:p w:rsidR="00CC1D29" w:rsidRPr="00070C40" w:rsidRDefault="00CC1D29" w:rsidP="00070C40">
            <w:pPr>
              <w:spacing w:before="40" w:after="40"/>
              <w:ind w:right="1026"/>
              <w:jc w:val="right"/>
              <w:rPr>
                <w:rFonts w:ascii="Arial" w:eastAsia="MS Mincho" w:hAnsi="Arial" w:cs="Arial"/>
              </w:rPr>
            </w:pPr>
            <w:r w:rsidRPr="00070C40">
              <w:rPr>
                <w:rFonts w:ascii="Arial" w:eastAsia="MS Mincho" w:hAnsi="Arial" w:cs="Arial"/>
              </w:rPr>
              <w:t>1 April 2005</w:t>
            </w:r>
          </w:p>
        </w:tc>
      </w:tr>
      <w:tr w:rsidR="00CC1D29" w:rsidRPr="00370872" w:rsidTr="000341B3">
        <w:tc>
          <w:tcPr>
            <w:tcW w:w="2235" w:type="dxa"/>
            <w:tcBorders>
              <w:top w:val="nil"/>
              <w:bottom w:val="nil"/>
              <w:right w:val="single" w:sz="4" w:space="0" w:color="auto"/>
            </w:tcBorders>
            <w:shd w:val="clear" w:color="auto" w:fill="D9D9D9" w:themeFill="background1" w:themeFillShade="D9"/>
          </w:tcPr>
          <w:p w:rsidR="00CC1D29" w:rsidRPr="00070C40" w:rsidRDefault="00CC1D29" w:rsidP="00070C40">
            <w:pPr>
              <w:spacing w:before="40" w:after="40"/>
              <w:jc w:val="left"/>
              <w:rPr>
                <w:rFonts w:ascii="Arial" w:eastAsia="MS Mincho" w:hAnsi="Arial" w:cs="Arial"/>
                <w:b/>
              </w:rPr>
            </w:pPr>
            <w:r w:rsidRPr="00070C40">
              <w:rPr>
                <w:rFonts w:ascii="Arial" w:eastAsia="MS Mincho" w:hAnsi="Arial" w:cs="Arial"/>
                <w:b/>
              </w:rPr>
              <w:t>Epoprostenol</w:t>
            </w:r>
          </w:p>
        </w:tc>
        <w:tc>
          <w:tcPr>
            <w:tcW w:w="3402" w:type="dxa"/>
            <w:tcBorders>
              <w:top w:val="nil"/>
              <w:left w:val="single" w:sz="4" w:space="0" w:color="auto"/>
              <w:bottom w:val="nil"/>
            </w:tcBorders>
          </w:tcPr>
          <w:p w:rsidR="00CC1D29" w:rsidRPr="00070C40" w:rsidRDefault="00CC1D29" w:rsidP="00070C40">
            <w:pPr>
              <w:spacing w:before="40" w:after="40"/>
              <w:ind w:right="1026"/>
              <w:jc w:val="right"/>
              <w:rPr>
                <w:rFonts w:ascii="Arial" w:eastAsia="MS Mincho" w:hAnsi="Arial" w:cs="Arial"/>
              </w:rPr>
            </w:pPr>
            <w:r w:rsidRPr="00070C40">
              <w:rPr>
                <w:rFonts w:ascii="Arial" w:eastAsia="MS Mincho" w:hAnsi="Arial" w:cs="Arial"/>
              </w:rPr>
              <w:t>1 August 2006</w:t>
            </w:r>
          </w:p>
        </w:tc>
      </w:tr>
      <w:tr w:rsidR="00CC1D29" w:rsidRPr="00370872" w:rsidTr="000341B3">
        <w:tc>
          <w:tcPr>
            <w:tcW w:w="2235" w:type="dxa"/>
            <w:tcBorders>
              <w:top w:val="nil"/>
              <w:bottom w:val="nil"/>
              <w:right w:val="single" w:sz="4" w:space="0" w:color="auto"/>
            </w:tcBorders>
            <w:shd w:val="clear" w:color="auto" w:fill="D9D9D9" w:themeFill="background1" w:themeFillShade="D9"/>
          </w:tcPr>
          <w:p w:rsidR="00CC1D29" w:rsidRPr="00070C40" w:rsidRDefault="00CC1D29" w:rsidP="00070C40">
            <w:pPr>
              <w:spacing w:before="40" w:after="40"/>
              <w:jc w:val="left"/>
              <w:rPr>
                <w:rFonts w:ascii="Arial" w:eastAsia="MS Mincho" w:hAnsi="Arial" w:cs="Arial"/>
                <w:b/>
              </w:rPr>
            </w:pPr>
            <w:r w:rsidRPr="00070C40">
              <w:rPr>
                <w:rFonts w:ascii="Arial" w:eastAsia="MS Mincho" w:hAnsi="Arial" w:cs="Arial"/>
                <w:b/>
              </w:rPr>
              <w:t>Sildenafil</w:t>
            </w:r>
          </w:p>
        </w:tc>
        <w:tc>
          <w:tcPr>
            <w:tcW w:w="3402" w:type="dxa"/>
            <w:tcBorders>
              <w:top w:val="nil"/>
              <w:left w:val="single" w:sz="4" w:space="0" w:color="auto"/>
              <w:bottom w:val="nil"/>
            </w:tcBorders>
          </w:tcPr>
          <w:p w:rsidR="00CC1D29" w:rsidRPr="00070C40" w:rsidRDefault="00CC1D29" w:rsidP="00070C40">
            <w:pPr>
              <w:spacing w:before="40" w:after="40"/>
              <w:ind w:right="1026"/>
              <w:jc w:val="right"/>
              <w:rPr>
                <w:rFonts w:ascii="Arial" w:eastAsia="MS Mincho" w:hAnsi="Arial" w:cs="Arial"/>
              </w:rPr>
            </w:pPr>
            <w:r w:rsidRPr="00070C40">
              <w:rPr>
                <w:rFonts w:ascii="Arial" w:eastAsia="MS Mincho" w:hAnsi="Arial" w:cs="Arial"/>
              </w:rPr>
              <w:t>1 March 2007</w:t>
            </w:r>
          </w:p>
        </w:tc>
      </w:tr>
      <w:tr w:rsidR="00CC1D29" w:rsidRPr="00370872" w:rsidTr="000341B3">
        <w:tc>
          <w:tcPr>
            <w:tcW w:w="2235" w:type="dxa"/>
            <w:tcBorders>
              <w:top w:val="nil"/>
              <w:bottom w:val="nil"/>
              <w:right w:val="single" w:sz="4" w:space="0" w:color="auto"/>
            </w:tcBorders>
            <w:shd w:val="clear" w:color="auto" w:fill="D9D9D9" w:themeFill="background1" w:themeFillShade="D9"/>
          </w:tcPr>
          <w:p w:rsidR="00CC1D29" w:rsidRPr="00070C40" w:rsidRDefault="00CC1D29" w:rsidP="00070C40">
            <w:pPr>
              <w:spacing w:before="40" w:after="40"/>
              <w:jc w:val="left"/>
              <w:rPr>
                <w:rFonts w:ascii="Arial" w:eastAsia="MS Mincho" w:hAnsi="Arial" w:cs="Arial"/>
                <w:b/>
              </w:rPr>
            </w:pPr>
            <w:r w:rsidRPr="00070C40">
              <w:rPr>
                <w:rFonts w:ascii="Arial" w:eastAsia="MS Mincho" w:hAnsi="Arial" w:cs="Arial"/>
                <w:b/>
              </w:rPr>
              <w:t>Ambrisentan</w:t>
            </w:r>
          </w:p>
        </w:tc>
        <w:tc>
          <w:tcPr>
            <w:tcW w:w="3402" w:type="dxa"/>
            <w:tcBorders>
              <w:top w:val="nil"/>
              <w:left w:val="single" w:sz="4" w:space="0" w:color="auto"/>
              <w:bottom w:val="nil"/>
            </w:tcBorders>
          </w:tcPr>
          <w:p w:rsidR="00CC1D29" w:rsidRPr="00070C40" w:rsidRDefault="00CC1D29" w:rsidP="00070C40">
            <w:pPr>
              <w:spacing w:before="40" w:after="40"/>
              <w:ind w:right="1026"/>
              <w:jc w:val="right"/>
              <w:rPr>
                <w:rFonts w:ascii="Arial" w:eastAsia="MS Mincho" w:hAnsi="Arial" w:cs="Arial"/>
              </w:rPr>
            </w:pPr>
            <w:r w:rsidRPr="00070C40">
              <w:rPr>
                <w:rFonts w:ascii="Arial" w:eastAsia="MS Mincho" w:hAnsi="Arial" w:cs="Arial"/>
              </w:rPr>
              <w:t>1 December 2009</w:t>
            </w:r>
          </w:p>
        </w:tc>
      </w:tr>
      <w:tr w:rsidR="00CC1D29" w:rsidRPr="00370872" w:rsidTr="000341B3">
        <w:tc>
          <w:tcPr>
            <w:tcW w:w="2235" w:type="dxa"/>
            <w:tcBorders>
              <w:top w:val="nil"/>
              <w:bottom w:val="nil"/>
              <w:right w:val="single" w:sz="4" w:space="0" w:color="auto"/>
            </w:tcBorders>
            <w:shd w:val="clear" w:color="auto" w:fill="D9D9D9" w:themeFill="background1" w:themeFillShade="D9"/>
          </w:tcPr>
          <w:p w:rsidR="00CC1D29" w:rsidRPr="00070C40" w:rsidRDefault="00CC1D29" w:rsidP="00070C40">
            <w:pPr>
              <w:spacing w:before="40" w:after="40"/>
              <w:jc w:val="left"/>
              <w:rPr>
                <w:rFonts w:ascii="Arial" w:eastAsia="MS Mincho" w:hAnsi="Arial" w:cs="Arial"/>
                <w:b/>
              </w:rPr>
            </w:pPr>
            <w:r w:rsidRPr="00070C40">
              <w:rPr>
                <w:rFonts w:ascii="Arial" w:eastAsia="MS Mincho" w:hAnsi="Arial" w:cs="Arial"/>
                <w:b/>
              </w:rPr>
              <w:t>Tadalafil</w:t>
            </w:r>
          </w:p>
        </w:tc>
        <w:tc>
          <w:tcPr>
            <w:tcW w:w="3402" w:type="dxa"/>
            <w:tcBorders>
              <w:top w:val="nil"/>
              <w:left w:val="single" w:sz="4" w:space="0" w:color="auto"/>
              <w:bottom w:val="nil"/>
            </w:tcBorders>
          </w:tcPr>
          <w:p w:rsidR="00CC1D29" w:rsidRPr="00070C40" w:rsidRDefault="00CC1D29" w:rsidP="00070C40">
            <w:pPr>
              <w:spacing w:before="40" w:after="40"/>
              <w:ind w:right="1026"/>
              <w:jc w:val="right"/>
              <w:rPr>
                <w:rFonts w:ascii="Arial" w:eastAsia="MS Mincho" w:hAnsi="Arial" w:cs="Arial"/>
              </w:rPr>
            </w:pPr>
            <w:r w:rsidRPr="00070C40">
              <w:rPr>
                <w:rFonts w:ascii="Arial" w:eastAsia="MS Mincho" w:hAnsi="Arial" w:cs="Arial"/>
              </w:rPr>
              <w:t>1 April 2012</w:t>
            </w:r>
          </w:p>
        </w:tc>
      </w:tr>
      <w:tr w:rsidR="00CC1D29" w:rsidRPr="00370872" w:rsidTr="000341B3">
        <w:tc>
          <w:tcPr>
            <w:tcW w:w="2235" w:type="dxa"/>
            <w:tcBorders>
              <w:top w:val="nil"/>
              <w:right w:val="single" w:sz="4" w:space="0" w:color="auto"/>
            </w:tcBorders>
            <w:shd w:val="clear" w:color="auto" w:fill="D9D9D9" w:themeFill="background1" w:themeFillShade="D9"/>
          </w:tcPr>
          <w:p w:rsidR="00CC1D29" w:rsidRPr="00070C40" w:rsidRDefault="00CC1D29" w:rsidP="00070C40">
            <w:pPr>
              <w:spacing w:before="40" w:after="40"/>
              <w:jc w:val="left"/>
              <w:rPr>
                <w:rFonts w:ascii="Arial" w:eastAsia="MS Mincho" w:hAnsi="Arial" w:cs="Arial"/>
                <w:b/>
              </w:rPr>
            </w:pPr>
            <w:r w:rsidRPr="00070C40">
              <w:rPr>
                <w:rFonts w:ascii="Arial" w:eastAsia="MS Mincho" w:hAnsi="Arial" w:cs="Arial"/>
                <w:b/>
              </w:rPr>
              <w:t>Macitentan</w:t>
            </w:r>
          </w:p>
        </w:tc>
        <w:tc>
          <w:tcPr>
            <w:tcW w:w="3402" w:type="dxa"/>
            <w:tcBorders>
              <w:top w:val="nil"/>
              <w:left w:val="single" w:sz="4" w:space="0" w:color="auto"/>
            </w:tcBorders>
          </w:tcPr>
          <w:p w:rsidR="00CC1D29" w:rsidRPr="00070C40" w:rsidRDefault="00CC1D29" w:rsidP="00070C40">
            <w:pPr>
              <w:spacing w:before="40" w:after="40"/>
              <w:ind w:right="1026"/>
              <w:jc w:val="right"/>
              <w:rPr>
                <w:rFonts w:ascii="Arial" w:eastAsia="MS Mincho" w:hAnsi="Arial" w:cs="Arial"/>
              </w:rPr>
            </w:pPr>
            <w:r w:rsidRPr="00070C40">
              <w:rPr>
                <w:rFonts w:ascii="Arial" w:eastAsia="MS Mincho" w:hAnsi="Arial" w:cs="Arial"/>
              </w:rPr>
              <w:t>1 September 2014</w:t>
            </w:r>
          </w:p>
        </w:tc>
      </w:tr>
    </w:tbl>
    <w:p w:rsidR="00CC1D29" w:rsidRPr="00CC1D29" w:rsidRDefault="00CC1D29" w:rsidP="009F0C29">
      <w:pPr>
        <w:pStyle w:val="Heading4"/>
      </w:pPr>
      <w:r w:rsidRPr="00CC1D29">
        <w:t>Measures and data analysis</w:t>
      </w:r>
    </w:p>
    <w:p w:rsidR="00CC1D29" w:rsidRDefault="00CC1D29" w:rsidP="00C26B51">
      <w:pPr>
        <w:pStyle w:val="BodyTextnospacebefore"/>
      </w:pPr>
      <w:r>
        <w:t>Trends in PAH dispensings, prevalence of PAH medicine use, incidence of PAH medicine use, time on treatment, switching between PAH medicines and combination treatment with PAH medicines</w:t>
      </w:r>
      <w:r w:rsidR="00204B9C">
        <w:t xml:space="preserve"> from 2014- 2016 were analysed.</w:t>
      </w:r>
    </w:p>
    <w:p w:rsidR="00CC1D29" w:rsidRPr="00CC1D29" w:rsidRDefault="00CC1D29" w:rsidP="009F0C29">
      <w:pPr>
        <w:pStyle w:val="Heading4"/>
        <w:rPr>
          <w:rFonts w:eastAsia="MS Mincho"/>
        </w:rPr>
      </w:pPr>
      <w:r w:rsidRPr="00CC1D29">
        <w:rPr>
          <w:rFonts w:eastAsia="MS Mincho"/>
        </w:rPr>
        <w:t xml:space="preserve">Statistical analysis </w:t>
      </w:r>
    </w:p>
    <w:p w:rsidR="00FD5BC3" w:rsidRPr="006D5829" w:rsidRDefault="00CC1D29" w:rsidP="006D5829">
      <w:pPr>
        <w:pStyle w:val="BodyTextnospacebefore"/>
      </w:pPr>
      <w:r w:rsidRPr="00845E6B">
        <w:t xml:space="preserve">All data analysis </w:t>
      </w:r>
      <w:proofErr w:type="gramStart"/>
      <w:r>
        <w:t xml:space="preserve">was </w:t>
      </w:r>
      <w:r w:rsidRPr="00845E6B">
        <w:t>performed</w:t>
      </w:r>
      <w:proofErr w:type="gramEnd"/>
      <w:r w:rsidRPr="00845E6B">
        <w:t xml:space="preserve"> using SAS v9.4 (SAS In</w:t>
      </w:r>
      <w:r>
        <w:t>stitute Inc., Cary NC. USA),</w:t>
      </w:r>
      <w:r>
        <w:rPr>
          <w:rStyle w:val="CommentReference"/>
          <w:rFonts w:ascii="Arial" w:eastAsia="SimSun" w:hAnsi="Arial"/>
          <w:lang w:eastAsia="zh-CN"/>
        </w:rPr>
        <w:t xml:space="preserve"> </w:t>
      </w:r>
      <w:r w:rsidR="00B30AA0">
        <w:t>and R </w:t>
      </w:r>
      <w:r>
        <w:t>v3.3.3.</w:t>
      </w:r>
    </w:p>
    <w:p w:rsidR="00CC1D29" w:rsidRDefault="00784093" w:rsidP="006D5829">
      <w:pPr>
        <w:pStyle w:val="Heading3"/>
      </w:pPr>
      <w:bookmarkStart w:id="33" w:name="_Toc36810526"/>
      <w:bookmarkStart w:id="34" w:name="_Toc508360125"/>
      <w:r>
        <w:t>2.3</w:t>
      </w:r>
      <w:r w:rsidR="00CC1D29" w:rsidRPr="009A6F8F">
        <w:t>.2 PHSANZ</w:t>
      </w:r>
      <w:r w:rsidR="00633473" w:rsidRPr="009A6F8F">
        <w:t xml:space="preserve"> Registry</w:t>
      </w:r>
      <w:r w:rsidR="00CC1D29" w:rsidRPr="009A6F8F">
        <w:t xml:space="preserve"> utilisation analysis methodology</w:t>
      </w:r>
      <w:bookmarkEnd w:id="33"/>
      <w:r w:rsidR="00CC1D29" w:rsidRPr="009A6F8F">
        <w:t xml:space="preserve"> </w:t>
      </w:r>
      <w:bookmarkEnd w:id="34"/>
    </w:p>
    <w:p w:rsidR="00CC1D29" w:rsidRPr="00CC1D29" w:rsidRDefault="00CC1D29" w:rsidP="009F0C29">
      <w:pPr>
        <w:pStyle w:val="Heading4"/>
        <w:rPr>
          <w:i/>
        </w:rPr>
      </w:pPr>
      <w:r w:rsidRPr="00146D94">
        <w:rPr>
          <w:i/>
        </w:rPr>
        <w:t>Data sources,</w:t>
      </w:r>
      <w:r w:rsidRPr="00CC1D29">
        <w:rPr>
          <w:i/>
        </w:rPr>
        <w:t xml:space="preserve"> setting and population</w:t>
      </w:r>
    </w:p>
    <w:p w:rsidR="00CC1D29" w:rsidRPr="004C3845" w:rsidRDefault="00CC1D29" w:rsidP="00C26B51">
      <w:pPr>
        <w:pStyle w:val="BodyTextnospacebefore"/>
      </w:pPr>
      <w:r w:rsidRPr="004C3845">
        <w:t xml:space="preserve">Data </w:t>
      </w:r>
      <w:proofErr w:type="gramStart"/>
      <w:r w:rsidRPr="004C3845">
        <w:t>were derived</w:t>
      </w:r>
      <w:proofErr w:type="gramEnd"/>
      <w:r w:rsidRPr="004C3845">
        <w:t xml:space="preserve"> from the PHSANZ Registry to generate a cross-sectional report from a pre-specified group of registry cases (applying standardised diagnostic criteria)</w:t>
      </w:r>
      <w:r w:rsidR="003351F5">
        <w:t xml:space="preserve"> (Appendix </w:t>
      </w:r>
      <w:r w:rsidR="00070C40">
        <w:t>2</w:t>
      </w:r>
      <w:r w:rsidR="00B30AA0">
        <w:t>B)</w:t>
      </w:r>
      <w:r w:rsidRPr="004C3845">
        <w:t>.</w:t>
      </w:r>
    </w:p>
    <w:p w:rsidR="00CC1D29" w:rsidRDefault="00CC1D29" w:rsidP="00C26B51">
      <w:pPr>
        <w:pStyle w:val="BodyTextnospacebefore"/>
      </w:pPr>
      <w:r w:rsidRPr="004C3845">
        <w:t xml:space="preserve">Registry data collection commenced in December 2011, including both incidence and prevalent cases </w:t>
      </w:r>
      <w:proofErr w:type="gramStart"/>
      <w:r w:rsidRPr="004C3845">
        <w:t>being managed</w:t>
      </w:r>
      <w:proofErr w:type="gramEnd"/>
      <w:r w:rsidRPr="004C3845">
        <w:t xml:space="preserve"> by participating centres (16 in Australia and 2 in New Zealand).</w:t>
      </w:r>
      <w:r w:rsidR="003D172D">
        <w:t xml:space="preserve"> </w:t>
      </w:r>
      <w:r w:rsidRPr="004C3845">
        <w:t xml:space="preserve">All patients currently registered with the PHSANZ Registry (3,535) were </w:t>
      </w:r>
      <w:r w:rsidRPr="00C26B51">
        <w:t xml:space="preserve">potentially eligible for inclusion, using a </w:t>
      </w:r>
      <w:r w:rsidRPr="00F35F30">
        <w:t>census date of 31st December 2017</w:t>
      </w:r>
      <w:r w:rsidR="003351F5">
        <w:t xml:space="preserve"> (Appendix 2</w:t>
      </w:r>
      <w:r w:rsidRPr="00C26B51">
        <w:t xml:space="preserve">B, Figure 1, </w:t>
      </w:r>
      <w:proofErr w:type="gramStart"/>
      <w:r w:rsidRPr="00C26B51">
        <w:t>p.5</w:t>
      </w:r>
      <w:proofErr w:type="gramEnd"/>
      <w:r w:rsidRPr="00C26B51">
        <w:t>).</w:t>
      </w:r>
    </w:p>
    <w:p w:rsidR="00036AD0" w:rsidRPr="00036AD0" w:rsidRDefault="00F35F30" w:rsidP="00036AD0">
      <w:pPr>
        <w:pStyle w:val="BodyTextnospacebefore"/>
      </w:pPr>
      <w:r>
        <w:t>T</w:t>
      </w:r>
      <w:r w:rsidR="00036AD0" w:rsidRPr="004C3845">
        <w:t xml:space="preserve">hese data reflect the management of PAH cases via specialist centres (as per expert recommendations). They do not reflect therefore, the management of PAH beyond these centres. </w:t>
      </w:r>
      <w:r w:rsidR="00036AD0">
        <w:t xml:space="preserve">This data was suitable for </w:t>
      </w:r>
      <w:r w:rsidR="00036AD0" w:rsidRPr="004C3845">
        <w:t>cross-sectional</w:t>
      </w:r>
      <w:r w:rsidR="00036AD0">
        <w:t xml:space="preserve"> analysis only to determine the proportion of current patients’ receiving combinations of PAH targeted therapies. A</w:t>
      </w:r>
      <w:r w:rsidR="00036AD0" w:rsidRPr="004C3845">
        <w:t xml:space="preserve"> number of crucial issues/factors that influence the clinical management of PAH</w:t>
      </w:r>
      <w:r w:rsidR="00036AD0">
        <w:t xml:space="preserve"> cannot be reported from these datasets, along with</w:t>
      </w:r>
      <w:r w:rsidR="00036AD0" w:rsidRPr="004C3845">
        <w:t xml:space="preserve"> and any interpretation of prescribed pharmacological therapy. These include</w:t>
      </w:r>
      <w:r w:rsidR="009637B7">
        <w:t>:</w:t>
      </w:r>
      <w:r w:rsidR="00036AD0" w:rsidRPr="004C3845">
        <w:t xml:space="preserve"> 1) information on what </w:t>
      </w:r>
      <w:r w:rsidR="009637B7">
        <w:t>medicine</w:t>
      </w:r>
      <w:r w:rsidR="00036AD0" w:rsidRPr="004C3845">
        <w:t xml:space="preserve">(s) were prescribed initially and in what combination, 2) whether or not </w:t>
      </w:r>
      <w:r w:rsidR="009637B7">
        <w:t>medicines</w:t>
      </w:r>
      <w:r w:rsidR="009637B7" w:rsidRPr="004C3845">
        <w:t xml:space="preserve"> </w:t>
      </w:r>
      <w:r w:rsidR="00036AD0" w:rsidRPr="004C3845">
        <w:t xml:space="preserve">were prescribed sequentially or combined at </w:t>
      </w:r>
      <w:r>
        <w:t>initiation</w:t>
      </w:r>
      <w:r w:rsidR="00036AD0" w:rsidRPr="004C3845">
        <w:t xml:space="preserve"> 3) specific </w:t>
      </w:r>
      <w:r w:rsidR="009637B7">
        <w:t>medicine</w:t>
      </w:r>
      <w:r w:rsidR="009637B7" w:rsidRPr="004C3845">
        <w:t xml:space="preserve"> </w:t>
      </w:r>
      <w:r w:rsidR="00036AD0" w:rsidRPr="004C3845">
        <w:t>dosages, 4) the lack inferential analyses examining the potential correlation between clinical status (including functional status and haemodynamic profile) and prescribed therapy and 5) the lack of any outcome data.</w:t>
      </w:r>
    </w:p>
    <w:p w:rsidR="00CC1D29" w:rsidRPr="00CC1D29" w:rsidRDefault="00CC1D29" w:rsidP="009F0C29">
      <w:pPr>
        <w:pStyle w:val="Heading4"/>
      </w:pPr>
      <w:r w:rsidRPr="00CC1D29">
        <w:lastRenderedPageBreak/>
        <w:t>Medicines of interest</w:t>
      </w:r>
    </w:p>
    <w:p w:rsidR="00CC1D29" w:rsidRPr="004C3845" w:rsidRDefault="00CC1D29" w:rsidP="00C26B51">
      <w:pPr>
        <w:pStyle w:val="BodyTextnospacebefore"/>
      </w:pPr>
      <w:r w:rsidRPr="004C3845">
        <w:t xml:space="preserve">Data including current medication details </w:t>
      </w:r>
      <w:r>
        <w:t xml:space="preserve">updated </w:t>
      </w:r>
      <w:r w:rsidR="00164EF1">
        <w:t xml:space="preserve">between </w:t>
      </w:r>
      <w:r>
        <w:t>1 June 2017</w:t>
      </w:r>
      <w:r w:rsidR="00164EF1">
        <w:t xml:space="preserve"> and December 2017</w:t>
      </w:r>
      <w:r>
        <w:t xml:space="preserve"> was included in the analysis.</w:t>
      </w:r>
      <w:r w:rsidR="003D172D">
        <w:t xml:space="preserve"> </w:t>
      </w:r>
      <w:r>
        <w:t>Patients with no</w:t>
      </w:r>
      <w:r w:rsidR="00FC77E4">
        <w:t xml:space="preserve"> current</w:t>
      </w:r>
      <w:r>
        <w:t xml:space="preserve"> medication data </w:t>
      </w:r>
      <w:proofErr w:type="gramStart"/>
      <w:r>
        <w:t>were excluded</w:t>
      </w:r>
      <w:proofErr w:type="gramEnd"/>
      <w:r>
        <w:t>.</w:t>
      </w:r>
      <w:r w:rsidR="003D172D">
        <w:t xml:space="preserve"> </w:t>
      </w:r>
      <w:r>
        <w:t xml:space="preserve">Monotherapy, dual therapy and triple therapy cases </w:t>
      </w:r>
      <w:proofErr w:type="gramStart"/>
      <w:r>
        <w:t>were recorded</w:t>
      </w:r>
      <w:proofErr w:type="gramEnd"/>
      <w:r>
        <w:t xml:space="preserve">, with all medicines used belonging to ERA, </w:t>
      </w:r>
      <w:r w:rsidR="0084301E">
        <w:t>PDE-5 inhibitor</w:t>
      </w:r>
      <w:r>
        <w:t>, PGI</w:t>
      </w:r>
      <w:r w:rsidRPr="004C3845">
        <w:rPr>
          <w:vertAlign w:val="subscript"/>
        </w:rPr>
        <w:t>2</w:t>
      </w:r>
      <w:r w:rsidR="000121B6">
        <w:rPr>
          <w:vertAlign w:val="subscript"/>
        </w:rPr>
        <w:t>,</w:t>
      </w:r>
      <w:r>
        <w:rPr>
          <w:vertAlign w:val="subscript"/>
        </w:rPr>
        <w:t xml:space="preserve"> </w:t>
      </w:r>
      <w:r w:rsidR="00694201">
        <w:t>and soluble guanylate cyclase (</w:t>
      </w:r>
      <w:proofErr w:type="spellStart"/>
      <w:r w:rsidR="00694201">
        <w:t>sGC</w:t>
      </w:r>
      <w:proofErr w:type="spellEnd"/>
      <w:r w:rsidR="00694201">
        <w:t xml:space="preserve">) </w:t>
      </w:r>
      <w:r w:rsidR="00BF0520">
        <w:t xml:space="preserve">inhibitor </w:t>
      </w:r>
      <w:r>
        <w:t>medicine classes.</w:t>
      </w:r>
      <w:r w:rsidR="003D172D">
        <w:t xml:space="preserve"> </w:t>
      </w:r>
      <w:proofErr w:type="spellStart"/>
      <w:r>
        <w:t>Treprostinil</w:t>
      </w:r>
      <w:proofErr w:type="spellEnd"/>
      <w:r>
        <w:t xml:space="preserve"> was the only medicine included in the analysis</w:t>
      </w:r>
      <w:r w:rsidR="00BF0520">
        <w:t>,</w:t>
      </w:r>
      <w:r w:rsidR="000121B6">
        <w:t xml:space="preserve"> which </w:t>
      </w:r>
      <w:proofErr w:type="gramStart"/>
      <w:r w:rsidR="000121B6">
        <w:t>has not been</w:t>
      </w:r>
      <w:r w:rsidR="00712D24">
        <w:t xml:space="preserve"> considered by PBAC or</w:t>
      </w:r>
      <w:r w:rsidR="000121B6">
        <w:t xml:space="preserve"> listed on the PBS</w:t>
      </w:r>
      <w:proofErr w:type="gramEnd"/>
      <w:r w:rsidR="00204B9C">
        <w:t>.</w:t>
      </w:r>
    </w:p>
    <w:p w:rsidR="00CC1D29" w:rsidRPr="00CC1D29" w:rsidRDefault="00CC1D29" w:rsidP="002E23B7">
      <w:pPr>
        <w:pStyle w:val="Heading4"/>
        <w:jc w:val="left"/>
      </w:pPr>
      <w:r w:rsidRPr="00CC1D29">
        <w:t>Measures and data analysis</w:t>
      </w:r>
    </w:p>
    <w:p w:rsidR="00CC1D29" w:rsidRPr="002E23B7" w:rsidRDefault="00CC1D29" w:rsidP="002E23B7">
      <w:pPr>
        <w:pStyle w:val="BodyTextnospacebefore"/>
      </w:pPr>
      <w:r w:rsidRPr="002E23B7">
        <w:t xml:space="preserve">Characteristics of the study cohort at the point of diagnosis according </w:t>
      </w:r>
      <w:r w:rsidR="00070C40" w:rsidRPr="002E23B7">
        <w:t xml:space="preserve">to PAH subtypes was extracted. </w:t>
      </w:r>
      <w:r w:rsidRPr="002E23B7">
        <w:t>Characteristics included gender, age, WHO FC, comorbidities, and invasive haemodynamic status.</w:t>
      </w:r>
      <w:r w:rsidR="00070C40" w:rsidRPr="002E23B7">
        <w:t xml:space="preserve"> </w:t>
      </w:r>
      <w:r w:rsidRPr="002E23B7">
        <w:t xml:space="preserve">All patients listed on </w:t>
      </w:r>
      <w:r w:rsidRPr="002F6D64">
        <w:t xml:space="preserve">the </w:t>
      </w:r>
      <w:r w:rsidR="00BF0520" w:rsidRPr="002F6D64">
        <w:t xml:space="preserve">registry </w:t>
      </w:r>
      <w:r w:rsidR="00070C40" w:rsidRPr="002F6D64">
        <w:t>from its inception</w:t>
      </w:r>
      <w:r w:rsidR="00070C40" w:rsidRPr="002E23B7">
        <w:t xml:space="preserve"> in December </w:t>
      </w:r>
      <w:r w:rsidRPr="002E23B7">
        <w:t xml:space="preserve">2011 had potential for inclusion. </w:t>
      </w:r>
      <w:proofErr w:type="gramStart"/>
      <w:r w:rsidRPr="002E23B7">
        <w:t>Only patients who were alive at the census date</w:t>
      </w:r>
      <w:r w:rsidR="00070C40" w:rsidRPr="002E23B7">
        <w:t xml:space="preserve"> of 31 </w:t>
      </w:r>
      <w:r w:rsidRPr="002E23B7">
        <w:t xml:space="preserve">December 2017, were classed as having either </w:t>
      </w:r>
      <w:r w:rsidR="009C7712">
        <w:t>idiopathic PAH (</w:t>
      </w:r>
      <w:r w:rsidRPr="002E23B7">
        <w:t>iPAH</w:t>
      </w:r>
      <w:r w:rsidR="009C7712">
        <w:t>)</w:t>
      </w:r>
      <w:r w:rsidRPr="002E23B7">
        <w:t xml:space="preserve">, </w:t>
      </w:r>
      <w:r w:rsidR="009C7712">
        <w:t>heritable PAH (</w:t>
      </w:r>
      <w:r w:rsidRPr="002E23B7">
        <w:t>hPAH</w:t>
      </w:r>
      <w:r w:rsidR="009C7712">
        <w:t>)</w:t>
      </w:r>
      <w:r w:rsidRPr="002E23B7">
        <w:t>,</w:t>
      </w:r>
      <w:r w:rsidR="009C7712">
        <w:t xml:space="preserve"> drug-induced PAH</w:t>
      </w:r>
      <w:r w:rsidRPr="002E23B7">
        <w:t xml:space="preserve"> </w:t>
      </w:r>
      <w:r w:rsidR="009C7712">
        <w:t>(</w:t>
      </w:r>
      <w:r w:rsidRPr="002E23B7">
        <w:t>dPAH</w:t>
      </w:r>
      <w:r w:rsidR="009C7712" w:rsidRPr="00E6675E">
        <w:t>)</w:t>
      </w:r>
      <w:r w:rsidRPr="00E6675E">
        <w:t xml:space="preserve">, </w:t>
      </w:r>
      <w:r w:rsidR="00E6675E" w:rsidRPr="00E6675E">
        <w:t>PAH-CTD</w:t>
      </w:r>
      <w:r w:rsidRPr="00E6675E">
        <w:t xml:space="preserve"> or</w:t>
      </w:r>
      <w:r w:rsidR="00E6675E" w:rsidRPr="00E6675E">
        <w:rPr>
          <w:rFonts w:ascii="Calibri" w:hAnsi="Calibri"/>
        </w:rPr>
        <w:t xml:space="preserve"> PAH associated with congenital heart disease</w:t>
      </w:r>
      <w:r w:rsidRPr="00E6675E">
        <w:t xml:space="preserve"> </w:t>
      </w:r>
      <w:r w:rsidR="00E6675E" w:rsidRPr="00E6675E">
        <w:t>(PAH-</w:t>
      </w:r>
      <w:r w:rsidRPr="00E6675E">
        <w:t>CHD</w:t>
      </w:r>
      <w:r w:rsidR="00E6675E">
        <w:t>)</w:t>
      </w:r>
      <w:r w:rsidRPr="002E23B7">
        <w:t>, had medication details updated since 1 June 2017</w:t>
      </w:r>
      <w:r w:rsidR="000121B6" w:rsidRPr="002E23B7">
        <w:t xml:space="preserve"> </w:t>
      </w:r>
      <w:r w:rsidRPr="002E23B7">
        <w:t>and were registered via one of the 16 participating Australian Institutions were i</w:t>
      </w:r>
      <w:r w:rsidR="00E6675E">
        <w:t>ncluded in the final analysis (</w:t>
      </w:r>
      <w:r w:rsidRPr="002E23B7">
        <w:t>total 1,071 patients).</w:t>
      </w:r>
      <w:bookmarkStart w:id="35" w:name="_Toc508360126"/>
      <w:proofErr w:type="gramEnd"/>
    </w:p>
    <w:p w:rsidR="00CC1D29" w:rsidRPr="00CC1D29" w:rsidRDefault="00CC1D29" w:rsidP="00070C40">
      <w:pPr>
        <w:pStyle w:val="Heading4"/>
        <w:jc w:val="left"/>
      </w:pPr>
      <w:r w:rsidRPr="00CC1D29">
        <w:t xml:space="preserve">Statistical </w:t>
      </w:r>
      <w:r w:rsidRPr="00070C40">
        <w:t>analysis</w:t>
      </w:r>
      <w:bookmarkEnd w:id="35"/>
      <w:r w:rsidRPr="00CC1D29">
        <w:t xml:space="preserve"> </w:t>
      </w:r>
    </w:p>
    <w:p w:rsidR="00FD5BC3" w:rsidRDefault="00CC1D29" w:rsidP="006D5829">
      <w:pPr>
        <w:pStyle w:val="BodyTextnospacebefore"/>
      </w:pPr>
      <w:r w:rsidRPr="004C3845">
        <w:t>All data from eligible registry cases were analysed collectively and then according to three pre-specified subgroups.</w:t>
      </w:r>
      <w:r w:rsidR="003D172D">
        <w:t xml:space="preserve"> </w:t>
      </w:r>
      <w:r w:rsidRPr="004C3845">
        <w:t>Given the purpose and cross-sectional nature of the study, no inferential analyses were undertaken; with discrete variables presented as a frequency and proportion and continuous variables according to their central tendency including means and standard deviation.</w:t>
      </w:r>
      <w:r w:rsidR="003D172D">
        <w:t xml:space="preserve"> </w:t>
      </w:r>
      <w:r w:rsidRPr="004C3845">
        <w:t xml:space="preserve">All analyses </w:t>
      </w:r>
      <w:proofErr w:type="gramStart"/>
      <w:r w:rsidRPr="004C3845">
        <w:t>were perfor</w:t>
      </w:r>
      <w:bookmarkStart w:id="36" w:name="_Toc508360127"/>
      <w:r w:rsidR="00204B9C">
        <w:t>med</w:t>
      </w:r>
      <w:proofErr w:type="gramEnd"/>
      <w:r w:rsidR="00204B9C">
        <w:t xml:space="preserve"> with R statistical package.</w:t>
      </w:r>
    </w:p>
    <w:p w:rsidR="00CC1D29" w:rsidRDefault="00784093" w:rsidP="006D5829">
      <w:pPr>
        <w:pStyle w:val="Heading3"/>
      </w:pPr>
      <w:bookmarkStart w:id="37" w:name="_Toc36810527"/>
      <w:r>
        <w:t>2.3</w:t>
      </w:r>
      <w:r w:rsidR="00CC1D29" w:rsidRPr="009A6F8F">
        <w:t>.3 ASIG utilisation analysis methodology</w:t>
      </w:r>
      <w:bookmarkEnd w:id="37"/>
      <w:r w:rsidR="00CC1D29" w:rsidRPr="009A6F8F">
        <w:t xml:space="preserve"> </w:t>
      </w:r>
      <w:bookmarkEnd w:id="36"/>
    </w:p>
    <w:p w:rsidR="00CC1D29" w:rsidRPr="00CC1D29" w:rsidRDefault="00CC1D29" w:rsidP="009F0C29">
      <w:pPr>
        <w:pStyle w:val="Heading4"/>
      </w:pPr>
      <w:r w:rsidRPr="00146D94">
        <w:t>Data sources,</w:t>
      </w:r>
      <w:r w:rsidRPr="00CC1D29">
        <w:t xml:space="preserve"> setting and population</w:t>
      </w:r>
    </w:p>
    <w:p w:rsidR="00FA29EC" w:rsidRDefault="00CC1D29" w:rsidP="00FA29EC">
      <w:pPr>
        <w:pStyle w:val="BodyTextnospacebefore"/>
      </w:pPr>
      <w:r>
        <w:t xml:space="preserve">Patients diagnosed with </w:t>
      </w:r>
      <w:r w:rsidR="000121B6">
        <w:t>PAH</w:t>
      </w:r>
      <w:r w:rsidRPr="004C3845">
        <w:t xml:space="preserve"> in the </w:t>
      </w:r>
      <w:r w:rsidR="00BF0520">
        <w:rPr>
          <w:rFonts w:ascii="Calibri" w:hAnsi="Calibri"/>
          <w:color w:val="000000"/>
        </w:rPr>
        <w:t>Australian Scleroderma Cohort Study</w:t>
      </w:r>
      <w:r w:rsidR="00BF0520" w:rsidRPr="004C3845">
        <w:t xml:space="preserve"> </w:t>
      </w:r>
      <w:r w:rsidR="00BF0520">
        <w:t>(</w:t>
      </w:r>
      <w:r w:rsidRPr="004C3845">
        <w:t>ASCS</w:t>
      </w:r>
      <w:r w:rsidR="00BF0520">
        <w:t>)</w:t>
      </w:r>
      <w:r w:rsidRPr="004C3845">
        <w:t xml:space="preserve"> were eligible for this cross-sectional analysis</w:t>
      </w:r>
      <w:r w:rsidR="00070C40">
        <w:t xml:space="preserve"> (Appendix 2C)</w:t>
      </w:r>
      <w:r w:rsidRPr="004C3845">
        <w:t>. This registry recruits consecutive prevalent and incident patients with</w:t>
      </w:r>
      <w:r>
        <w:t xml:space="preserve"> systemic sclerosis</w:t>
      </w:r>
      <w:r w:rsidRPr="004C3845">
        <w:t xml:space="preserve"> </w:t>
      </w:r>
      <w:r>
        <w:t>(</w:t>
      </w:r>
      <w:proofErr w:type="spellStart"/>
      <w:r w:rsidR="00FA29EC" w:rsidRPr="004C3845">
        <w:t>SSc</w:t>
      </w:r>
      <w:proofErr w:type="spellEnd"/>
      <w:r w:rsidR="00FA29EC">
        <w:t>)</w:t>
      </w:r>
      <w:r w:rsidRPr="004C3845">
        <w:t xml:space="preserve"> and records clinical data annually. Comprehensive demographic and disease-related data, patient reported outcomes by questionnaire and the results of investigations </w:t>
      </w:r>
      <w:proofErr w:type="gramStart"/>
      <w:r w:rsidRPr="004C3845">
        <w:t>are recorded</w:t>
      </w:r>
      <w:proofErr w:type="gramEnd"/>
      <w:r w:rsidRPr="004C3845">
        <w:t xml:space="preserve"> in a single secured web-based online database. </w:t>
      </w:r>
      <w:r w:rsidR="00FA29EC">
        <w:t>The ASCS cohort diagnosed with PAH eligible for use in the analysis was small (n=104), representing just over 4% of the pre</w:t>
      </w:r>
      <w:r w:rsidR="00070C40">
        <w:t>valent PBS population in 2016.</w:t>
      </w:r>
    </w:p>
    <w:p w:rsidR="00CC1D29" w:rsidRPr="004C3845" w:rsidRDefault="00CC1D29" w:rsidP="00C26B51">
      <w:pPr>
        <w:pStyle w:val="BodyTextnospacebefore"/>
      </w:pPr>
      <w:r w:rsidRPr="004C3845">
        <w:t xml:space="preserve">Inclusion criteria for this analysis </w:t>
      </w:r>
      <w:proofErr w:type="gramStart"/>
      <w:r w:rsidRPr="004C3845">
        <w:t>were:</w:t>
      </w:r>
      <w:proofErr w:type="gramEnd"/>
      <w:r w:rsidRPr="004C3845">
        <w:t xml:space="preserve"> 1. patients with</w:t>
      </w:r>
      <w:r w:rsidR="003423F9">
        <w:t xml:space="preserve"> </w:t>
      </w:r>
      <w:proofErr w:type="spellStart"/>
      <w:r w:rsidR="003423F9">
        <w:t>SSc</w:t>
      </w:r>
      <w:proofErr w:type="spellEnd"/>
      <w:r w:rsidR="003423F9">
        <w:t xml:space="preserve"> and </w:t>
      </w:r>
      <w:r w:rsidR="009637B7">
        <w:t xml:space="preserve">with </w:t>
      </w:r>
      <w:r w:rsidR="003423F9">
        <w:t>mixed connective tissue disease</w:t>
      </w:r>
      <w:r w:rsidRPr="004C3845">
        <w:t xml:space="preserve">; 2. PH confirmed on </w:t>
      </w:r>
      <w:r w:rsidR="009D7865">
        <w:t>right heart catheterisation (</w:t>
      </w:r>
      <w:r w:rsidRPr="00375F33">
        <w:rPr>
          <w:rFonts w:ascii="Calibri" w:hAnsi="Calibri"/>
        </w:rPr>
        <w:t>RHC</w:t>
      </w:r>
      <w:r w:rsidR="009D7865">
        <w:rPr>
          <w:rFonts w:ascii="Calibri" w:hAnsi="Calibri"/>
        </w:rPr>
        <w:t>)</w:t>
      </w:r>
      <w:r w:rsidRPr="004C3845">
        <w:t xml:space="preserve"> with mean</w:t>
      </w:r>
      <w:r w:rsidR="00195C83">
        <w:t xml:space="preserve"> pulmonary arterial pressure</w:t>
      </w:r>
      <w:r w:rsidRPr="004C3845">
        <w:t xml:space="preserve"> </w:t>
      </w:r>
      <w:r w:rsidR="00195C83">
        <w:t>(</w:t>
      </w:r>
      <w:r w:rsidRPr="00375F33">
        <w:rPr>
          <w:rFonts w:ascii="Calibri" w:hAnsi="Calibri"/>
        </w:rPr>
        <w:t>PAP</w:t>
      </w:r>
      <w:r w:rsidR="00195C83">
        <w:rPr>
          <w:rFonts w:ascii="Calibri" w:hAnsi="Calibri"/>
        </w:rPr>
        <w:t>)</w:t>
      </w:r>
      <w:r w:rsidRPr="004C3845">
        <w:t xml:space="preserve"> </w:t>
      </w:r>
      <w:r w:rsidRPr="004C3845">
        <w:sym w:font="Symbol" w:char="F0B3"/>
      </w:r>
      <w:r w:rsidRPr="004C3845">
        <w:t xml:space="preserve"> 25mmHg; 3. </w:t>
      </w:r>
      <w:proofErr w:type="gramStart"/>
      <w:r w:rsidRPr="004C3845">
        <w:t>patients</w:t>
      </w:r>
      <w:proofErr w:type="gramEnd"/>
      <w:r w:rsidRPr="004C3845">
        <w:t xml:space="preserve"> who were alive between July 2016 and June 2017.</w:t>
      </w:r>
    </w:p>
    <w:p w:rsidR="00CC1D29" w:rsidRDefault="00CC1D29" w:rsidP="00C26B51">
      <w:pPr>
        <w:pStyle w:val="BodyTextnospacebefore"/>
      </w:pPr>
      <w:r w:rsidRPr="004C3845">
        <w:lastRenderedPageBreak/>
        <w:t>The</w:t>
      </w:r>
      <w:r w:rsidR="00070C40">
        <w:t xml:space="preserve"> index visit</w:t>
      </w:r>
      <w:r w:rsidRPr="004C3845">
        <w:t xml:space="preserve"> </w:t>
      </w:r>
      <w:proofErr w:type="gramStart"/>
      <w:r w:rsidRPr="004C3845">
        <w:t>was defined</w:t>
      </w:r>
      <w:proofErr w:type="gramEnd"/>
      <w:r w:rsidRPr="004C3845">
        <w:t xml:space="preserve"> as </w:t>
      </w:r>
      <w:r>
        <w:t>the last visit between June 2016</w:t>
      </w:r>
      <w:r w:rsidRPr="004C3845">
        <w:t xml:space="preserve"> and Dec</w:t>
      </w:r>
      <w:r w:rsidR="00FA29EC">
        <w:t>ember</w:t>
      </w:r>
      <w:r w:rsidRPr="004C3845">
        <w:t xml:space="preserve"> 2017. Not all tests </w:t>
      </w:r>
      <w:proofErr w:type="gramStart"/>
      <w:r w:rsidRPr="004C3845">
        <w:t>were done</w:t>
      </w:r>
      <w:proofErr w:type="gramEnd"/>
      <w:r w:rsidRPr="004C3845">
        <w:t xml:space="preserve"> on the same date as the </w:t>
      </w:r>
      <w:r w:rsidR="00FA29EC">
        <w:t>last assessment</w:t>
      </w:r>
      <w:r w:rsidR="00FA29EC" w:rsidRPr="004C3845">
        <w:t xml:space="preserve"> </w:t>
      </w:r>
      <w:r w:rsidR="00FA29EC">
        <w:t>(</w:t>
      </w:r>
      <w:r w:rsidR="00FA29EC" w:rsidRPr="004C3845">
        <w:t>index visit</w:t>
      </w:r>
      <w:r w:rsidR="00FA29EC">
        <w:t>)</w:t>
      </w:r>
      <w:r w:rsidRPr="004C3845">
        <w:t xml:space="preserve">. For patients with multiple tests within the above date range, the last test </w:t>
      </w:r>
      <w:proofErr w:type="gramStart"/>
      <w:r w:rsidRPr="004C3845">
        <w:t>w</w:t>
      </w:r>
      <w:r w:rsidR="00070C40">
        <w:t>as used</w:t>
      </w:r>
      <w:proofErr w:type="gramEnd"/>
      <w:r w:rsidR="00070C40">
        <w:t>.</w:t>
      </w:r>
    </w:p>
    <w:p w:rsidR="00FA29EC" w:rsidRDefault="00FA29EC" w:rsidP="00FA29EC">
      <w:pPr>
        <w:pStyle w:val="BodyTextnospacebefore"/>
      </w:pPr>
      <w:proofErr w:type="gramStart"/>
      <w:r>
        <w:t>Being a cross-sectional analysis,</w:t>
      </w:r>
      <w:proofErr w:type="gramEnd"/>
      <w:r>
        <w:t xml:space="preserve"> </w:t>
      </w:r>
      <w:proofErr w:type="gramStart"/>
      <w:r>
        <w:t>this cohort</w:t>
      </w:r>
      <w:proofErr w:type="gramEnd"/>
      <w:r>
        <w:t xml:space="preserve"> included some </w:t>
      </w:r>
      <w:r w:rsidR="003423F9">
        <w:t xml:space="preserve">patients </w:t>
      </w:r>
      <w:r>
        <w:t xml:space="preserve">with long-standing disease. Due to </w:t>
      </w:r>
      <w:r w:rsidR="003423F9">
        <w:t xml:space="preserve">medicine </w:t>
      </w:r>
      <w:r>
        <w:t xml:space="preserve">use </w:t>
      </w:r>
      <w:proofErr w:type="gramStart"/>
      <w:r>
        <w:t>being recorded</w:t>
      </w:r>
      <w:proofErr w:type="gramEnd"/>
      <w:r>
        <w:t xml:space="preserve"> annually, it is possible to determine when two or more medicines are taken concurrently, but not at which stage they were commenced.</w:t>
      </w:r>
    </w:p>
    <w:p w:rsidR="00CC1D29" w:rsidRPr="00CC1D29" w:rsidRDefault="00CC1D29" w:rsidP="009F0C29">
      <w:pPr>
        <w:pStyle w:val="Heading4"/>
        <w:rPr>
          <w:rFonts w:eastAsiaTheme="minorEastAsia"/>
        </w:rPr>
      </w:pPr>
      <w:r w:rsidRPr="00CC1D29">
        <w:rPr>
          <w:rFonts w:eastAsiaTheme="minorEastAsia"/>
        </w:rPr>
        <w:t>Medicines of interest</w:t>
      </w:r>
    </w:p>
    <w:p w:rsidR="00CC1D29" w:rsidRPr="009822C8" w:rsidRDefault="00CC1D29" w:rsidP="00C26B51">
      <w:pPr>
        <w:pStyle w:val="BodyTextnospacebefore"/>
      </w:pPr>
      <w:r w:rsidRPr="004C3845">
        <w:t xml:space="preserve">PBS-reimbursed PAH </w:t>
      </w:r>
      <w:r w:rsidR="003423F9">
        <w:t>medicines</w:t>
      </w:r>
      <w:r w:rsidR="003423F9" w:rsidRPr="004C3845">
        <w:t xml:space="preserve"> </w:t>
      </w:r>
      <w:proofErr w:type="gramStart"/>
      <w:r w:rsidRPr="004C3845">
        <w:t>included:</w:t>
      </w:r>
      <w:proofErr w:type="gramEnd"/>
      <w:r w:rsidRPr="004C3845">
        <w:t xml:space="preserve"> bosentan, ambrisentan, </w:t>
      </w:r>
      <w:proofErr w:type="spellStart"/>
      <w:r w:rsidRPr="004C3845">
        <w:t>sitaxentan</w:t>
      </w:r>
      <w:proofErr w:type="spellEnd"/>
      <w:r>
        <w:t xml:space="preserve"> (de-listed from the PBS in March 2011)</w:t>
      </w:r>
      <w:r w:rsidRPr="004C3845">
        <w:t xml:space="preserve">, macitentan, sildenafil, tadalafil, </w:t>
      </w:r>
      <w:r w:rsidR="00204EFE" w:rsidRPr="004C3845">
        <w:t>epoprostenol</w:t>
      </w:r>
      <w:r w:rsidRPr="004C3845">
        <w:t xml:space="preserve">, iloprost and riociguat. </w:t>
      </w:r>
      <w:r w:rsidR="00204EFE">
        <w:t xml:space="preserve">Selexipag was the </w:t>
      </w:r>
      <w:r w:rsidRPr="004C3845">
        <w:t xml:space="preserve">only </w:t>
      </w:r>
      <w:r w:rsidR="00204EFE">
        <w:t>medicines used</w:t>
      </w:r>
      <w:r w:rsidR="00164EF1">
        <w:t xml:space="preserve"> in this </w:t>
      </w:r>
      <w:proofErr w:type="gramStart"/>
      <w:r w:rsidR="00164EF1">
        <w:t>cohort</w:t>
      </w:r>
      <w:r w:rsidR="00204EFE">
        <w:t xml:space="preserve"> which</w:t>
      </w:r>
      <w:proofErr w:type="gramEnd"/>
      <w:r w:rsidR="00204EFE">
        <w:t xml:space="preserve"> was not listed on the PBS</w:t>
      </w:r>
      <w:r w:rsidRPr="004C3845">
        <w:t xml:space="preserve">. </w:t>
      </w:r>
      <w:r w:rsidR="003423F9">
        <w:t>Medicine</w:t>
      </w:r>
      <w:r w:rsidR="003423F9" w:rsidRPr="00570B83">
        <w:t xml:space="preserve"> </w:t>
      </w:r>
      <w:r w:rsidRPr="00570B83">
        <w:t xml:space="preserve">use </w:t>
      </w:r>
      <w:proofErr w:type="gramStart"/>
      <w:r w:rsidRPr="00570B83">
        <w:t>is recorded</w:t>
      </w:r>
      <w:proofErr w:type="gramEnd"/>
      <w:r w:rsidRPr="00570B83">
        <w:t xml:space="preserve"> annually, </w:t>
      </w:r>
      <w:r w:rsidRPr="007D7F11">
        <w:t xml:space="preserve">at which time it is possible to determine when two or more </w:t>
      </w:r>
      <w:r w:rsidR="003423F9">
        <w:t>medicines</w:t>
      </w:r>
      <w:r w:rsidR="003423F9" w:rsidRPr="007D7F11">
        <w:t xml:space="preserve"> </w:t>
      </w:r>
      <w:r w:rsidRPr="007D7F11">
        <w:t xml:space="preserve">are </w:t>
      </w:r>
      <w:r w:rsidR="00164EF1">
        <w:t>prescribed</w:t>
      </w:r>
      <w:r w:rsidRPr="007D7F11">
        <w:t xml:space="preserve"> concurrently, but not at which stage they were commenced</w:t>
      </w:r>
      <w:r w:rsidRPr="00253799">
        <w:t>.</w:t>
      </w:r>
    </w:p>
    <w:p w:rsidR="00CC1D29" w:rsidRPr="00CC1D29" w:rsidRDefault="00CC1D29" w:rsidP="009F0C29">
      <w:pPr>
        <w:pStyle w:val="Heading4"/>
        <w:rPr>
          <w:rFonts w:eastAsiaTheme="minorEastAsia"/>
        </w:rPr>
      </w:pPr>
      <w:r w:rsidRPr="00CC1D29">
        <w:rPr>
          <w:rFonts w:eastAsiaTheme="minorEastAsia" w:cstheme="minorHAnsi"/>
        </w:rPr>
        <w:t>Measures</w:t>
      </w:r>
      <w:r w:rsidRPr="00CC1D29">
        <w:rPr>
          <w:rFonts w:eastAsiaTheme="minorEastAsia"/>
        </w:rPr>
        <w:t xml:space="preserve"> and data analysis</w:t>
      </w:r>
    </w:p>
    <w:p w:rsidR="00FD5BC3" w:rsidRPr="006D5829" w:rsidRDefault="00CC1D29" w:rsidP="006D5829">
      <w:pPr>
        <w:pStyle w:val="BodyTextnospacebefore"/>
      </w:pPr>
      <w:r w:rsidRPr="00C26B51">
        <w:t>The WHO group of PH</w:t>
      </w:r>
      <w:r w:rsidR="009D7865">
        <w:t xml:space="preserve"> </w:t>
      </w:r>
      <w:r w:rsidRPr="00C26B51">
        <w:t xml:space="preserve">was determined according to the physician’s judgement following RHC. Group 1 (PAH) included patients with </w:t>
      </w:r>
      <w:r w:rsidR="0034400E">
        <w:t>pulmonary artery wedge pressure (</w:t>
      </w:r>
      <w:r w:rsidRPr="00375F33">
        <w:rPr>
          <w:rFonts w:ascii="Calibri" w:hAnsi="Calibri"/>
        </w:rPr>
        <w:t>PAWP</w:t>
      </w:r>
      <w:r w:rsidR="0034400E">
        <w:rPr>
          <w:rFonts w:ascii="Calibri" w:hAnsi="Calibri"/>
        </w:rPr>
        <w:t>)</w:t>
      </w:r>
      <w:r w:rsidRPr="00C26B51">
        <w:t xml:space="preserve"> &lt; 18mmHg as eligibility for PBS-funded PAH initially included these patients.</w:t>
      </w:r>
      <w:r w:rsidR="00036762">
        <w:t xml:space="preserve"> Only Group 1 w</w:t>
      </w:r>
      <w:r w:rsidR="00070C40">
        <w:t>as</w:t>
      </w:r>
      <w:r w:rsidR="00036762">
        <w:t xml:space="preserve"> included in this analysis. Patients in the other WHO groups of PH </w:t>
      </w:r>
      <w:proofErr w:type="gramStart"/>
      <w:r w:rsidR="00036762">
        <w:t>were excluded</w:t>
      </w:r>
      <w:proofErr w:type="gramEnd"/>
      <w:r w:rsidR="00036762">
        <w:t xml:space="preserve"> as PAH therapy is not indicated or reimbursed</w:t>
      </w:r>
      <w:r w:rsidR="00204B9C">
        <w:t>.</w:t>
      </w:r>
    </w:p>
    <w:p w:rsidR="00CC1D29" w:rsidRPr="00CC1D29" w:rsidRDefault="00CC1D29" w:rsidP="009F0C29">
      <w:pPr>
        <w:pStyle w:val="Heading4"/>
        <w:rPr>
          <w:rFonts w:eastAsia="MS Mincho"/>
        </w:rPr>
      </w:pPr>
      <w:r w:rsidRPr="00CC1D29">
        <w:rPr>
          <w:rFonts w:eastAsia="MS Mincho"/>
        </w:rPr>
        <w:t>Statistical Analysis</w:t>
      </w:r>
    </w:p>
    <w:p w:rsidR="00CC1D29" w:rsidRDefault="00CC1D29" w:rsidP="006D5829">
      <w:pPr>
        <w:pStyle w:val="BodyTextnospacebefore"/>
      </w:pPr>
      <w:r w:rsidRPr="004C3845">
        <w:t xml:space="preserve">Data for those patients for whom the variable was available </w:t>
      </w:r>
      <w:proofErr w:type="gramStart"/>
      <w:r w:rsidRPr="004C3845">
        <w:t>are presented</w:t>
      </w:r>
      <w:proofErr w:type="gramEnd"/>
      <w:r w:rsidRPr="004C3845">
        <w:t xml:space="preserve"> as numbers (percentages) for categorical variables, and mean ± standard deviation for continuous variables. Differences in frequencies of characteristics between </w:t>
      </w:r>
      <w:r w:rsidR="007B217C">
        <w:t>FC</w:t>
      </w:r>
      <w:r w:rsidRPr="004C3845">
        <w:t xml:space="preserve"> </w:t>
      </w:r>
      <w:proofErr w:type="gramStart"/>
      <w:r w:rsidRPr="004C3845">
        <w:t>I/II and III/IV</w:t>
      </w:r>
      <w:proofErr w:type="gramEnd"/>
      <w:r w:rsidRPr="004C3845">
        <w:t xml:space="preserve"> were compared using Chi-square test for categorical variables and independent samples t-test for continuous variables. A two-tailed p value ≤0.05 </w:t>
      </w:r>
      <w:proofErr w:type="gramStart"/>
      <w:r w:rsidRPr="004C3845">
        <w:t>was used</w:t>
      </w:r>
      <w:proofErr w:type="gramEnd"/>
      <w:r w:rsidRPr="004C3845">
        <w:t xml:space="preserve"> to indicate statistically significant differences. All statistical analyses </w:t>
      </w:r>
      <w:proofErr w:type="gramStart"/>
      <w:r w:rsidRPr="004C3845">
        <w:t>were performed</w:t>
      </w:r>
      <w:proofErr w:type="gramEnd"/>
      <w:r w:rsidRPr="004C3845">
        <w:t xml:space="preserve"> using STATA 14.2 (</w:t>
      </w:r>
      <w:proofErr w:type="spellStart"/>
      <w:r w:rsidRPr="004C3845">
        <w:t>Statacorp</w:t>
      </w:r>
      <w:proofErr w:type="spellEnd"/>
      <w:r w:rsidRPr="004C3845">
        <w:t>, College Station, TX, USA).</w:t>
      </w:r>
    </w:p>
    <w:p w:rsidR="00CC1D29" w:rsidRPr="00925D43" w:rsidRDefault="00784093" w:rsidP="00925D43">
      <w:pPr>
        <w:pStyle w:val="Heading2"/>
      </w:pPr>
      <w:bookmarkStart w:id="38" w:name="_Toc508360128"/>
      <w:bookmarkStart w:id="39" w:name="_Toc36810528"/>
      <w:r>
        <w:t>2.4</w:t>
      </w:r>
      <w:r w:rsidR="00CC1D29" w:rsidRPr="00925D43">
        <w:tab/>
        <w:t>Results of utilisation analysis</w:t>
      </w:r>
      <w:bookmarkEnd w:id="38"/>
      <w:bookmarkEnd w:id="39"/>
    </w:p>
    <w:p w:rsidR="00EC01B1" w:rsidRPr="009A6F8F" w:rsidRDefault="00784093" w:rsidP="00784093">
      <w:pPr>
        <w:pStyle w:val="Heading3"/>
        <w:spacing w:after="240"/>
      </w:pPr>
      <w:bookmarkStart w:id="40" w:name="_Toc508360129"/>
      <w:bookmarkStart w:id="41" w:name="_Toc36810529"/>
      <w:r>
        <w:t>2.4</w:t>
      </w:r>
      <w:r w:rsidR="00EC01B1" w:rsidRPr="009A6F8F">
        <w:t>.1 Trends in PAH dispensing</w:t>
      </w:r>
      <w:bookmarkEnd w:id="40"/>
      <w:bookmarkEnd w:id="41"/>
    </w:p>
    <w:p w:rsidR="00B30AA0" w:rsidRDefault="00EC01B1" w:rsidP="00784093">
      <w:pPr>
        <w:pStyle w:val="BodyTextnospacebefore"/>
      </w:pPr>
      <w:r w:rsidRPr="00D33F5E">
        <w:t xml:space="preserve">The total number of </w:t>
      </w:r>
      <w:r w:rsidR="00164EF1">
        <w:t xml:space="preserve">PBS subsidised </w:t>
      </w:r>
      <w:r w:rsidRPr="00D33F5E">
        <w:t>PAH medicine dispensings increased from 20,454 in 2014 to 23,375 in 2016; the corresponding PBS benefit</w:t>
      </w:r>
      <w:r w:rsidR="00164EF1">
        <w:t>s</w:t>
      </w:r>
      <w:r w:rsidRPr="00D33F5E">
        <w:t xml:space="preserve"> </w:t>
      </w:r>
      <w:r w:rsidR="00164EF1">
        <w:t>paid</w:t>
      </w:r>
      <w:r w:rsidRPr="00D33F5E">
        <w:t xml:space="preserve"> increased from $53.22 to $58.75 million (Table 2</w:t>
      </w:r>
      <w:r w:rsidR="00F41BAD">
        <w:t>.2</w:t>
      </w:r>
      <w:r w:rsidRPr="00D33F5E">
        <w:t xml:space="preserve">). </w:t>
      </w:r>
      <w:r>
        <w:t>ERAs</w:t>
      </w:r>
      <w:r w:rsidRPr="00D33F5E">
        <w:t xml:space="preserve"> were the most commonly dispensed class, accounting for 77% of all PAH dispensings in 2016.</w:t>
      </w:r>
    </w:p>
    <w:p w:rsidR="00B30AA0" w:rsidRDefault="00B30AA0">
      <w:pPr>
        <w:jc w:val="left"/>
        <w:rPr>
          <w:rFonts w:asciiTheme="minorHAnsi" w:eastAsia="Calibri" w:hAnsiTheme="minorHAnsi" w:cs="Times New Roman"/>
          <w:szCs w:val="24"/>
          <w:lang w:eastAsia="en-US"/>
        </w:rPr>
      </w:pPr>
      <w:r>
        <w:br w:type="page"/>
      </w:r>
    </w:p>
    <w:p w:rsidR="00784093" w:rsidRDefault="00EC01B1" w:rsidP="00070C40">
      <w:pPr>
        <w:pStyle w:val="Caption"/>
      </w:pPr>
      <w:bookmarkStart w:id="42" w:name="_Toc511144345"/>
      <w:r w:rsidRPr="00586A81">
        <w:lastRenderedPageBreak/>
        <w:t xml:space="preserve">Table </w:t>
      </w:r>
      <w:r w:rsidR="00BA253F">
        <w:rPr>
          <w:noProof/>
        </w:rPr>
        <w:t>2</w:t>
      </w:r>
      <w:r w:rsidR="00586A81" w:rsidRPr="00586A81">
        <w:t>.2</w:t>
      </w:r>
      <w:r w:rsidR="00070C40">
        <w:tab/>
      </w:r>
      <w:r w:rsidRPr="00FB7717">
        <w:t>Number</w:t>
      </w:r>
      <w:r w:rsidRPr="00586A81">
        <w:t xml:space="preserve"> of </w:t>
      </w:r>
      <w:r w:rsidR="00164EF1">
        <w:t xml:space="preserve">PBS/RPBS </w:t>
      </w:r>
      <w:r w:rsidRPr="00586A81">
        <w:t>PAH dispensings and PBS benefits paid (in millions) by year</w:t>
      </w:r>
      <w:bookmarkEnd w:id="42"/>
    </w:p>
    <w:tbl>
      <w:tblPr>
        <w:tblStyle w:val="TableGrid"/>
        <w:tblW w:w="9214" w:type="dxa"/>
        <w:tblInd w:w="108" w:type="dxa"/>
        <w:tblLook w:val="04A0" w:firstRow="1" w:lastRow="0" w:firstColumn="1" w:lastColumn="0" w:noHBand="0" w:noVBand="1"/>
        <w:tblCaption w:val="Number of PBS/RPBS PAH dispensings and PBS benefits paid (in millions) by year"/>
        <w:tblDescription w:val="Number of PBS/RPBS PAH dispensings and PBS benefits paid (in millions) by year"/>
      </w:tblPr>
      <w:tblGrid>
        <w:gridCol w:w="1985"/>
        <w:gridCol w:w="1204"/>
        <w:gridCol w:w="1205"/>
        <w:gridCol w:w="1205"/>
        <w:gridCol w:w="1205"/>
        <w:gridCol w:w="1205"/>
        <w:gridCol w:w="1205"/>
      </w:tblGrid>
      <w:tr w:rsidR="00E17C81" w:rsidRPr="00D33F5E" w:rsidTr="00E17C81">
        <w:trPr>
          <w:tblHeader/>
        </w:trPr>
        <w:tc>
          <w:tcPr>
            <w:tcW w:w="1985" w:type="dxa"/>
            <w:vMerge w:val="restart"/>
            <w:tcBorders>
              <w:top w:val="single" w:sz="4" w:space="0" w:color="auto"/>
              <w:left w:val="single" w:sz="4" w:space="0" w:color="auto"/>
              <w:bottom w:val="nil"/>
              <w:right w:val="nil"/>
            </w:tcBorders>
            <w:shd w:val="clear" w:color="auto" w:fill="BFBFBF" w:themeFill="background1" w:themeFillShade="BF"/>
          </w:tcPr>
          <w:p w:rsidR="00E17C81" w:rsidRPr="00070C40" w:rsidRDefault="00E17C81" w:rsidP="000341B3">
            <w:pPr>
              <w:rPr>
                <w:rFonts w:ascii="Arial" w:hAnsi="Arial" w:cs="Arial"/>
                <w:b/>
              </w:rPr>
            </w:pPr>
          </w:p>
        </w:tc>
        <w:tc>
          <w:tcPr>
            <w:tcW w:w="2409" w:type="dxa"/>
            <w:gridSpan w:val="2"/>
            <w:tcBorders>
              <w:top w:val="single" w:sz="4" w:space="0" w:color="auto"/>
              <w:left w:val="nil"/>
              <w:bottom w:val="single" w:sz="4" w:space="0" w:color="auto"/>
              <w:right w:val="nil"/>
            </w:tcBorders>
            <w:shd w:val="clear" w:color="auto" w:fill="BFBFBF" w:themeFill="background1" w:themeFillShade="BF"/>
          </w:tcPr>
          <w:p w:rsidR="00E17C81" w:rsidRPr="00070C40" w:rsidRDefault="00E17C81" w:rsidP="000341B3">
            <w:pPr>
              <w:spacing w:before="40" w:after="40"/>
              <w:jc w:val="center"/>
              <w:rPr>
                <w:rFonts w:ascii="Arial" w:hAnsi="Arial" w:cs="Arial"/>
                <w:b/>
              </w:rPr>
            </w:pPr>
          </w:p>
        </w:tc>
        <w:tc>
          <w:tcPr>
            <w:tcW w:w="2410" w:type="dxa"/>
            <w:gridSpan w:val="2"/>
            <w:tcBorders>
              <w:top w:val="single" w:sz="4" w:space="0" w:color="auto"/>
              <w:left w:val="nil"/>
              <w:bottom w:val="single" w:sz="4" w:space="0" w:color="auto"/>
              <w:right w:val="nil"/>
            </w:tcBorders>
            <w:shd w:val="clear" w:color="auto" w:fill="BFBFBF" w:themeFill="background1" w:themeFillShade="BF"/>
          </w:tcPr>
          <w:p w:rsidR="00E17C81" w:rsidRPr="00070C40" w:rsidRDefault="00E17C81" w:rsidP="000341B3">
            <w:pPr>
              <w:spacing w:before="40" w:after="40"/>
              <w:jc w:val="center"/>
              <w:rPr>
                <w:rFonts w:ascii="Arial" w:hAnsi="Arial" w:cs="Arial"/>
                <w:b/>
              </w:rPr>
            </w:pPr>
            <w:r w:rsidRPr="00070C40">
              <w:rPr>
                <w:rFonts w:ascii="Arial" w:hAnsi="Arial" w:cs="Arial"/>
                <w:b/>
              </w:rPr>
              <w:t>Year</w:t>
            </w:r>
          </w:p>
        </w:tc>
        <w:tc>
          <w:tcPr>
            <w:tcW w:w="2410" w:type="dxa"/>
            <w:gridSpan w:val="2"/>
            <w:tcBorders>
              <w:top w:val="single" w:sz="4" w:space="0" w:color="auto"/>
              <w:left w:val="nil"/>
              <w:bottom w:val="single" w:sz="4" w:space="0" w:color="auto"/>
              <w:right w:val="nil"/>
            </w:tcBorders>
            <w:shd w:val="clear" w:color="auto" w:fill="BFBFBF" w:themeFill="background1" w:themeFillShade="BF"/>
          </w:tcPr>
          <w:p w:rsidR="00E17C81" w:rsidRPr="00070C40" w:rsidRDefault="00E17C81" w:rsidP="000341B3">
            <w:pPr>
              <w:spacing w:before="40" w:after="40"/>
              <w:jc w:val="center"/>
              <w:rPr>
                <w:rFonts w:ascii="Arial" w:hAnsi="Arial" w:cs="Arial"/>
                <w:b/>
              </w:rPr>
            </w:pPr>
          </w:p>
        </w:tc>
      </w:tr>
      <w:tr w:rsidR="00EC01B1" w:rsidRPr="00D33F5E" w:rsidTr="00E17C81">
        <w:tc>
          <w:tcPr>
            <w:tcW w:w="1985" w:type="dxa"/>
            <w:vMerge/>
            <w:tcBorders>
              <w:top w:val="nil"/>
              <w:left w:val="single" w:sz="4" w:space="0" w:color="auto"/>
              <w:bottom w:val="single" w:sz="4" w:space="0" w:color="auto"/>
              <w:right w:val="nil"/>
            </w:tcBorders>
            <w:shd w:val="clear" w:color="auto" w:fill="BFBFBF" w:themeFill="background1" w:themeFillShade="BF"/>
          </w:tcPr>
          <w:p w:rsidR="00EC01B1" w:rsidRPr="00070C40" w:rsidRDefault="00EC01B1" w:rsidP="000341B3">
            <w:pPr>
              <w:rPr>
                <w:rFonts w:ascii="Arial" w:hAnsi="Arial" w:cs="Arial"/>
                <w:b/>
              </w:rPr>
            </w:pPr>
          </w:p>
        </w:tc>
        <w:tc>
          <w:tcPr>
            <w:tcW w:w="2409" w:type="dxa"/>
            <w:gridSpan w:val="2"/>
            <w:tcBorders>
              <w:top w:val="single" w:sz="4" w:space="0" w:color="auto"/>
              <w:left w:val="nil"/>
              <w:bottom w:val="single" w:sz="4" w:space="0" w:color="auto"/>
              <w:right w:val="nil"/>
            </w:tcBorders>
            <w:shd w:val="clear" w:color="auto" w:fill="BFBFBF" w:themeFill="background1" w:themeFillShade="BF"/>
            <w:vAlign w:val="center"/>
          </w:tcPr>
          <w:p w:rsidR="00EC01B1" w:rsidRPr="00070C40" w:rsidRDefault="00EC01B1" w:rsidP="000341B3">
            <w:pPr>
              <w:spacing w:before="40" w:after="40"/>
              <w:jc w:val="center"/>
              <w:rPr>
                <w:rFonts w:ascii="Arial" w:hAnsi="Arial" w:cs="Arial"/>
                <w:b/>
              </w:rPr>
            </w:pPr>
            <w:r w:rsidRPr="00070C40">
              <w:rPr>
                <w:rFonts w:ascii="Arial" w:hAnsi="Arial" w:cs="Arial"/>
                <w:b/>
              </w:rPr>
              <w:t>2014</w:t>
            </w:r>
          </w:p>
        </w:tc>
        <w:tc>
          <w:tcPr>
            <w:tcW w:w="2410" w:type="dxa"/>
            <w:gridSpan w:val="2"/>
            <w:tcBorders>
              <w:top w:val="single" w:sz="4" w:space="0" w:color="auto"/>
              <w:left w:val="nil"/>
              <w:bottom w:val="single" w:sz="4" w:space="0" w:color="auto"/>
              <w:right w:val="nil"/>
            </w:tcBorders>
            <w:shd w:val="clear" w:color="auto" w:fill="BFBFBF" w:themeFill="background1" w:themeFillShade="BF"/>
            <w:vAlign w:val="center"/>
          </w:tcPr>
          <w:p w:rsidR="00EC01B1" w:rsidRPr="00070C40" w:rsidRDefault="00EC01B1" w:rsidP="000341B3">
            <w:pPr>
              <w:spacing w:before="40" w:after="40"/>
              <w:jc w:val="center"/>
              <w:rPr>
                <w:rFonts w:ascii="Arial" w:hAnsi="Arial" w:cs="Arial"/>
                <w:b/>
              </w:rPr>
            </w:pPr>
            <w:r w:rsidRPr="00070C40">
              <w:rPr>
                <w:rFonts w:ascii="Arial" w:hAnsi="Arial" w:cs="Arial"/>
                <w:b/>
              </w:rPr>
              <w:t>2015</w:t>
            </w:r>
          </w:p>
        </w:tc>
        <w:tc>
          <w:tcPr>
            <w:tcW w:w="241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EC01B1" w:rsidRPr="00070C40" w:rsidRDefault="00EC01B1" w:rsidP="000341B3">
            <w:pPr>
              <w:spacing w:before="40" w:after="40"/>
              <w:jc w:val="center"/>
              <w:rPr>
                <w:rFonts w:ascii="Arial" w:hAnsi="Arial" w:cs="Arial"/>
                <w:b/>
              </w:rPr>
            </w:pPr>
            <w:r w:rsidRPr="00070C40">
              <w:rPr>
                <w:rFonts w:ascii="Arial" w:hAnsi="Arial" w:cs="Arial"/>
                <w:b/>
              </w:rPr>
              <w:t>2016</w:t>
            </w:r>
          </w:p>
        </w:tc>
      </w:tr>
      <w:tr w:rsidR="00EC01B1" w:rsidRPr="00D33F5E" w:rsidTr="00B30AA0">
        <w:tc>
          <w:tcPr>
            <w:tcW w:w="1985" w:type="dxa"/>
            <w:tcBorders>
              <w:top w:val="single" w:sz="4" w:space="0" w:color="auto"/>
              <w:left w:val="single" w:sz="4" w:space="0" w:color="auto"/>
              <w:bottom w:val="single" w:sz="4" w:space="0" w:color="auto"/>
              <w:right w:val="nil"/>
            </w:tcBorders>
            <w:shd w:val="clear" w:color="auto" w:fill="BFBFBF" w:themeFill="background1" w:themeFillShade="BF"/>
          </w:tcPr>
          <w:p w:rsidR="00EC01B1" w:rsidRPr="00070C40" w:rsidRDefault="00EC01B1" w:rsidP="000341B3">
            <w:pPr>
              <w:rPr>
                <w:rFonts w:ascii="Arial" w:hAnsi="Arial" w:cs="Arial"/>
                <w:b/>
              </w:rPr>
            </w:pPr>
          </w:p>
        </w:tc>
        <w:tc>
          <w:tcPr>
            <w:tcW w:w="1204" w:type="dxa"/>
            <w:tcBorders>
              <w:top w:val="single" w:sz="4" w:space="0" w:color="auto"/>
              <w:left w:val="nil"/>
              <w:bottom w:val="single" w:sz="4" w:space="0" w:color="auto"/>
              <w:right w:val="nil"/>
            </w:tcBorders>
            <w:shd w:val="clear" w:color="auto" w:fill="BFBFBF" w:themeFill="background1" w:themeFillShade="BF"/>
            <w:vAlign w:val="center"/>
          </w:tcPr>
          <w:p w:rsidR="00EC01B1" w:rsidRPr="00070C40" w:rsidRDefault="00EC01B1" w:rsidP="000341B3">
            <w:pPr>
              <w:spacing w:before="40" w:after="40"/>
              <w:jc w:val="center"/>
              <w:rPr>
                <w:rFonts w:ascii="Arial" w:hAnsi="Arial" w:cs="Arial"/>
                <w:b/>
              </w:rPr>
            </w:pPr>
            <w:r w:rsidRPr="00070C40">
              <w:rPr>
                <w:rFonts w:ascii="Arial" w:hAnsi="Arial" w:cs="Arial"/>
                <w:b/>
              </w:rPr>
              <w:t>Disp.</w:t>
            </w:r>
          </w:p>
        </w:tc>
        <w:tc>
          <w:tcPr>
            <w:tcW w:w="1205" w:type="dxa"/>
            <w:tcBorders>
              <w:top w:val="single" w:sz="4" w:space="0" w:color="auto"/>
              <w:left w:val="nil"/>
              <w:bottom w:val="single" w:sz="4" w:space="0" w:color="auto"/>
              <w:right w:val="nil"/>
            </w:tcBorders>
            <w:shd w:val="clear" w:color="auto" w:fill="BFBFBF" w:themeFill="background1" w:themeFillShade="BF"/>
            <w:vAlign w:val="center"/>
          </w:tcPr>
          <w:p w:rsidR="00EC01B1" w:rsidRPr="00070C40" w:rsidRDefault="00EC01B1" w:rsidP="00070C40">
            <w:pPr>
              <w:spacing w:before="40" w:after="40"/>
              <w:jc w:val="center"/>
              <w:rPr>
                <w:rFonts w:ascii="Arial" w:hAnsi="Arial" w:cs="Arial"/>
                <w:b/>
              </w:rPr>
            </w:pPr>
            <w:r w:rsidRPr="00070C40">
              <w:rPr>
                <w:rFonts w:ascii="Arial" w:hAnsi="Arial" w:cs="Arial"/>
                <w:b/>
              </w:rPr>
              <w:t xml:space="preserve">AUD </w:t>
            </w:r>
            <w:r w:rsidRPr="00070C40">
              <w:rPr>
                <w:rFonts w:ascii="Arial" w:hAnsi="Arial" w:cs="Arial"/>
                <w:b/>
              </w:rPr>
              <w:br/>
              <w:t>(million)</w:t>
            </w:r>
          </w:p>
        </w:tc>
        <w:tc>
          <w:tcPr>
            <w:tcW w:w="1205" w:type="dxa"/>
            <w:tcBorders>
              <w:top w:val="single" w:sz="4" w:space="0" w:color="auto"/>
              <w:left w:val="nil"/>
              <w:bottom w:val="single" w:sz="4" w:space="0" w:color="auto"/>
              <w:right w:val="nil"/>
            </w:tcBorders>
            <w:shd w:val="clear" w:color="auto" w:fill="BFBFBF" w:themeFill="background1" w:themeFillShade="BF"/>
            <w:vAlign w:val="center"/>
          </w:tcPr>
          <w:p w:rsidR="00EC01B1" w:rsidRPr="00070C40" w:rsidRDefault="00EC01B1" w:rsidP="000341B3">
            <w:pPr>
              <w:spacing w:before="40" w:after="40"/>
              <w:jc w:val="center"/>
              <w:rPr>
                <w:rFonts w:ascii="Arial" w:hAnsi="Arial" w:cs="Arial"/>
                <w:b/>
              </w:rPr>
            </w:pPr>
            <w:r w:rsidRPr="00070C40">
              <w:rPr>
                <w:rFonts w:ascii="Arial" w:hAnsi="Arial" w:cs="Arial"/>
                <w:b/>
              </w:rPr>
              <w:t>Disp.</w:t>
            </w:r>
          </w:p>
        </w:tc>
        <w:tc>
          <w:tcPr>
            <w:tcW w:w="1205" w:type="dxa"/>
            <w:tcBorders>
              <w:top w:val="single" w:sz="4" w:space="0" w:color="auto"/>
              <w:left w:val="nil"/>
              <w:bottom w:val="single" w:sz="4" w:space="0" w:color="auto"/>
              <w:right w:val="nil"/>
            </w:tcBorders>
            <w:shd w:val="clear" w:color="auto" w:fill="BFBFBF" w:themeFill="background1" w:themeFillShade="BF"/>
            <w:vAlign w:val="center"/>
          </w:tcPr>
          <w:p w:rsidR="00EC01B1" w:rsidRPr="00070C40" w:rsidRDefault="00EC01B1" w:rsidP="00070C40">
            <w:pPr>
              <w:spacing w:before="40" w:after="40"/>
              <w:jc w:val="center"/>
              <w:rPr>
                <w:rFonts w:ascii="Arial" w:hAnsi="Arial" w:cs="Arial"/>
                <w:b/>
              </w:rPr>
            </w:pPr>
            <w:r w:rsidRPr="00070C40">
              <w:rPr>
                <w:rFonts w:ascii="Arial" w:hAnsi="Arial" w:cs="Arial"/>
                <w:b/>
              </w:rPr>
              <w:t xml:space="preserve">AUD </w:t>
            </w:r>
            <w:r w:rsidRPr="00070C40">
              <w:rPr>
                <w:rFonts w:ascii="Arial" w:hAnsi="Arial" w:cs="Arial"/>
                <w:b/>
              </w:rPr>
              <w:br/>
              <w:t>(million)</w:t>
            </w:r>
          </w:p>
        </w:tc>
        <w:tc>
          <w:tcPr>
            <w:tcW w:w="1205" w:type="dxa"/>
            <w:tcBorders>
              <w:top w:val="single" w:sz="4" w:space="0" w:color="auto"/>
              <w:left w:val="nil"/>
              <w:bottom w:val="single" w:sz="4" w:space="0" w:color="auto"/>
              <w:right w:val="nil"/>
            </w:tcBorders>
            <w:shd w:val="clear" w:color="auto" w:fill="BFBFBF" w:themeFill="background1" w:themeFillShade="BF"/>
            <w:vAlign w:val="center"/>
          </w:tcPr>
          <w:p w:rsidR="00EC01B1" w:rsidRPr="00070C40" w:rsidRDefault="00EC01B1" w:rsidP="000341B3">
            <w:pPr>
              <w:spacing w:before="40" w:after="40"/>
              <w:jc w:val="center"/>
              <w:rPr>
                <w:rFonts w:ascii="Arial" w:hAnsi="Arial" w:cs="Arial"/>
                <w:b/>
              </w:rPr>
            </w:pPr>
            <w:r w:rsidRPr="00070C40">
              <w:rPr>
                <w:rFonts w:ascii="Arial" w:hAnsi="Arial" w:cs="Arial"/>
                <w:b/>
              </w:rPr>
              <w:t>Disp.</w:t>
            </w:r>
          </w:p>
        </w:tc>
        <w:tc>
          <w:tcPr>
            <w:tcW w:w="12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C01B1" w:rsidRPr="00070C40" w:rsidRDefault="00EC01B1" w:rsidP="00070C40">
            <w:pPr>
              <w:spacing w:before="40" w:after="40"/>
              <w:jc w:val="center"/>
              <w:rPr>
                <w:rFonts w:ascii="Arial" w:hAnsi="Arial" w:cs="Arial"/>
                <w:b/>
              </w:rPr>
            </w:pPr>
            <w:r w:rsidRPr="00070C40">
              <w:rPr>
                <w:rFonts w:ascii="Arial" w:hAnsi="Arial" w:cs="Arial"/>
                <w:b/>
              </w:rPr>
              <w:t xml:space="preserve">AUD </w:t>
            </w:r>
            <w:r w:rsidRPr="00070C40">
              <w:rPr>
                <w:rFonts w:ascii="Arial" w:hAnsi="Arial" w:cs="Arial"/>
                <w:b/>
              </w:rPr>
              <w:br/>
              <w:t>(million)</w:t>
            </w:r>
          </w:p>
        </w:tc>
      </w:tr>
      <w:tr w:rsidR="00EC01B1" w:rsidRPr="00D33F5E" w:rsidTr="00B30AA0">
        <w:tc>
          <w:tcPr>
            <w:tcW w:w="1985" w:type="dxa"/>
            <w:tcBorders>
              <w:top w:val="single" w:sz="4" w:space="0" w:color="auto"/>
              <w:left w:val="single" w:sz="4" w:space="0" w:color="auto"/>
              <w:bottom w:val="nil"/>
              <w:right w:val="nil"/>
            </w:tcBorders>
            <w:shd w:val="clear" w:color="auto" w:fill="BFBFBF" w:themeFill="background1" w:themeFillShade="BF"/>
          </w:tcPr>
          <w:p w:rsidR="00EC01B1" w:rsidRPr="00070C40" w:rsidRDefault="00EC01B1" w:rsidP="000341B3">
            <w:pPr>
              <w:spacing w:before="40" w:after="40"/>
              <w:jc w:val="left"/>
              <w:rPr>
                <w:rFonts w:ascii="Arial" w:hAnsi="Arial" w:cs="Arial"/>
                <w:b/>
              </w:rPr>
            </w:pPr>
            <w:r w:rsidRPr="00070C40">
              <w:rPr>
                <w:rFonts w:ascii="Arial" w:hAnsi="Arial" w:cs="Arial"/>
                <w:b/>
              </w:rPr>
              <w:t>All medicine classes</w:t>
            </w:r>
          </w:p>
        </w:tc>
        <w:tc>
          <w:tcPr>
            <w:tcW w:w="1204" w:type="dxa"/>
            <w:tcBorders>
              <w:top w:val="single" w:sz="4" w:space="0" w:color="auto"/>
              <w:left w:val="nil"/>
              <w:bottom w:val="nil"/>
              <w:right w:val="nil"/>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20,454</w:t>
            </w:r>
          </w:p>
        </w:tc>
        <w:tc>
          <w:tcPr>
            <w:tcW w:w="1205" w:type="dxa"/>
            <w:tcBorders>
              <w:top w:val="single" w:sz="4" w:space="0" w:color="auto"/>
              <w:left w:val="nil"/>
              <w:bottom w:val="nil"/>
              <w:right w:val="single" w:sz="4" w:space="0" w:color="auto"/>
            </w:tcBorders>
            <w:vAlign w:val="center"/>
          </w:tcPr>
          <w:p w:rsidR="00EC01B1" w:rsidRPr="00070C40" w:rsidRDefault="00EC01B1" w:rsidP="000341B3">
            <w:pPr>
              <w:spacing w:before="40" w:after="40"/>
              <w:ind w:right="169"/>
              <w:jc w:val="right"/>
              <w:rPr>
                <w:rFonts w:ascii="Arial" w:hAnsi="Arial" w:cs="Arial"/>
              </w:rPr>
            </w:pPr>
            <w:r w:rsidRPr="00070C40">
              <w:rPr>
                <w:rFonts w:ascii="Arial" w:hAnsi="Arial" w:cs="Arial"/>
              </w:rPr>
              <w:t>$53.22</w:t>
            </w:r>
          </w:p>
        </w:tc>
        <w:tc>
          <w:tcPr>
            <w:tcW w:w="1205" w:type="dxa"/>
            <w:tcBorders>
              <w:top w:val="single" w:sz="4" w:space="0" w:color="auto"/>
              <w:left w:val="single" w:sz="4" w:space="0" w:color="auto"/>
              <w:bottom w:val="nil"/>
              <w:right w:val="nil"/>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21,963</w:t>
            </w:r>
          </w:p>
        </w:tc>
        <w:tc>
          <w:tcPr>
            <w:tcW w:w="1205" w:type="dxa"/>
            <w:tcBorders>
              <w:top w:val="single" w:sz="4" w:space="0" w:color="auto"/>
              <w:left w:val="nil"/>
              <w:bottom w:val="nil"/>
              <w:right w:val="single" w:sz="4" w:space="0" w:color="auto"/>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$57.33</w:t>
            </w:r>
          </w:p>
        </w:tc>
        <w:tc>
          <w:tcPr>
            <w:tcW w:w="1205" w:type="dxa"/>
            <w:tcBorders>
              <w:top w:val="single" w:sz="4" w:space="0" w:color="auto"/>
              <w:left w:val="single" w:sz="4" w:space="0" w:color="auto"/>
              <w:bottom w:val="nil"/>
              <w:right w:val="nil"/>
            </w:tcBorders>
            <w:vAlign w:val="center"/>
          </w:tcPr>
          <w:p w:rsidR="00EC01B1" w:rsidRPr="00070C40" w:rsidRDefault="00EC01B1" w:rsidP="000341B3">
            <w:pPr>
              <w:spacing w:before="40" w:after="40"/>
              <w:ind w:right="158"/>
              <w:jc w:val="right"/>
              <w:rPr>
                <w:rFonts w:ascii="Arial" w:hAnsi="Arial" w:cs="Arial"/>
              </w:rPr>
            </w:pPr>
            <w:r w:rsidRPr="00070C40">
              <w:rPr>
                <w:rFonts w:ascii="Arial" w:hAnsi="Arial" w:cs="Arial"/>
              </w:rPr>
              <w:t>23,375</w:t>
            </w:r>
          </w:p>
        </w:tc>
        <w:tc>
          <w:tcPr>
            <w:tcW w:w="1205" w:type="dxa"/>
            <w:tcBorders>
              <w:top w:val="single" w:sz="4" w:space="0" w:color="auto"/>
              <w:left w:val="nil"/>
              <w:bottom w:val="nil"/>
              <w:right w:val="single" w:sz="4" w:space="0" w:color="auto"/>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$58.75</w:t>
            </w:r>
          </w:p>
        </w:tc>
      </w:tr>
      <w:tr w:rsidR="00EC01B1" w:rsidRPr="00D33F5E" w:rsidTr="00B30AA0">
        <w:tc>
          <w:tcPr>
            <w:tcW w:w="1985" w:type="dxa"/>
            <w:tcBorders>
              <w:top w:val="nil"/>
              <w:left w:val="single" w:sz="4" w:space="0" w:color="auto"/>
              <w:bottom w:val="nil"/>
              <w:right w:val="nil"/>
            </w:tcBorders>
            <w:shd w:val="clear" w:color="auto" w:fill="BFBFBF" w:themeFill="background1" w:themeFillShade="BF"/>
          </w:tcPr>
          <w:p w:rsidR="00EC01B1" w:rsidRPr="00070C40" w:rsidRDefault="00EC01B1" w:rsidP="000341B3">
            <w:pPr>
              <w:spacing w:before="40" w:after="40"/>
              <w:jc w:val="left"/>
              <w:rPr>
                <w:rFonts w:ascii="Arial" w:hAnsi="Arial" w:cs="Arial"/>
                <w:b/>
              </w:rPr>
            </w:pPr>
            <w:r w:rsidRPr="00070C40">
              <w:rPr>
                <w:rFonts w:ascii="Arial" w:hAnsi="Arial" w:cs="Arial"/>
                <w:b/>
              </w:rPr>
              <w:t>ERAs</w:t>
            </w:r>
          </w:p>
        </w:tc>
        <w:tc>
          <w:tcPr>
            <w:tcW w:w="1204" w:type="dxa"/>
            <w:tcBorders>
              <w:top w:val="nil"/>
              <w:left w:val="nil"/>
              <w:bottom w:val="nil"/>
              <w:right w:val="nil"/>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14,992</w:t>
            </w:r>
          </w:p>
        </w:tc>
        <w:tc>
          <w:tcPr>
            <w:tcW w:w="1205" w:type="dxa"/>
            <w:tcBorders>
              <w:top w:val="nil"/>
              <w:left w:val="nil"/>
              <w:bottom w:val="nil"/>
              <w:right w:val="single" w:sz="4" w:space="0" w:color="auto"/>
            </w:tcBorders>
            <w:vAlign w:val="center"/>
          </w:tcPr>
          <w:p w:rsidR="00EC01B1" w:rsidRPr="00070C40" w:rsidRDefault="00EC01B1" w:rsidP="000341B3">
            <w:pPr>
              <w:spacing w:before="40" w:after="40"/>
              <w:ind w:right="169"/>
              <w:jc w:val="right"/>
              <w:rPr>
                <w:rFonts w:ascii="Arial" w:hAnsi="Arial" w:cs="Arial"/>
              </w:rPr>
            </w:pPr>
            <w:r w:rsidRPr="00070C40">
              <w:rPr>
                <w:rFonts w:ascii="Arial" w:hAnsi="Arial" w:cs="Arial"/>
              </w:rPr>
              <w:t>$43.57</w:t>
            </w:r>
          </w:p>
        </w:tc>
        <w:tc>
          <w:tcPr>
            <w:tcW w:w="1205" w:type="dxa"/>
            <w:tcBorders>
              <w:top w:val="nil"/>
              <w:left w:val="single" w:sz="4" w:space="0" w:color="auto"/>
              <w:bottom w:val="nil"/>
              <w:right w:val="nil"/>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16,469</w:t>
            </w:r>
          </w:p>
        </w:tc>
        <w:tc>
          <w:tcPr>
            <w:tcW w:w="1205" w:type="dxa"/>
            <w:tcBorders>
              <w:top w:val="nil"/>
              <w:left w:val="nil"/>
              <w:bottom w:val="nil"/>
              <w:right w:val="single" w:sz="4" w:space="0" w:color="auto"/>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$47.90</w:t>
            </w:r>
          </w:p>
        </w:tc>
        <w:tc>
          <w:tcPr>
            <w:tcW w:w="1205" w:type="dxa"/>
            <w:tcBorders>
              <w:top w:val="nil"/>
              <w:left w:val="single" w:sz="4" w:space="0" w:color="auto"/>
              <w:bottom w:val="nil"/>
              <w:right w:val="nil"/>
            </w:tcBorders>
            <w:vAlign w:val="center"/>
          </w:tcPr>
          <w:p w:rsidR="00EC01B1" w:rsidRPr="00070C40" w:rsidRDefault="00EC01B1" w:rsidP="000341B3">
            <w:pPr>
              <w:spacing w:before="40" w:after="40"/>
              <w:ind w:right="158"/>
              <w:jc w:val="right"/>
              <w:rPr>
                <w:rFonts w:ascii="Arial" w:hAnsi="Arial" w:cs="Arial"/>
              </w:rPr>
            </w:pPr>
            <w:r w:rsidRPr="00070C40">
              <w:rPr>
                <w:rFonts w:ascii="Arial" w:hAnsi="Arial" w:cs="Arial"/>
              </w:rPr>
              <w:t>17,926</w:t>
            </w:r>
          </w:p>
        </w:tc>
        <w:tc>
          <w:tcPr>
            <w:tcW w:w="1205" w:type="dxa"/>
            <w:tcBorders>
              <w:top w:val="nil"/>
              <w:left w:val="nil"/>
              <w:bottom w:val="nil"/>
              <w:right w:val="single" w:sz="4" w:space="0" w:color="auto"/>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$51.11</w:t>
            </w:r>
          </w:p>
        </w:tc>
      </w:tr>
      <w:tr w:rsidR="00EC01B1" w:rsidRPr="00D33F5E" w:rsidTr="00B30AA0">
        <w:tc>
          <w:tcPr>
            <w:tcW w:w="1985" w:type="dxa"/>
            <w:tcBorders>
              <w:top w:val="nil"/>
              <w:left w:val="single" w:sz="4" w:space="0" w:color="auto"/>
              <w:bottom w:val="nil"/>
              <w:right w:val="nil"/>
            </w:tcBorders>
            <w:shd w:val="clear" w:color="auto" w:fill="BFBFBF" w:themeFill="background1" w:themeFillShade="BF"/>
            <w:vAlign w:val="bottom"/>
          </w:tcPr>
          <w:p w:rsidR="00EC01B1" w:rsidRPr="00070C40" w:rsidRDefault="00EC01B1" w:rsidP="000341B3">
            <w:pPr>
              <w:spacing w:before="40" w:after="40"/>
              <w:jc w:val="left"/>
              <w:rPr>
                <w:rFonts w:ascii="Arial" w:hAnsi="Arial" w:cs="Arial"/>
                <w:b/>
              </w:rPr>
            </w:pPr>
            <w:r w:rsidRPr="00070C40">
              <w:rPr>
                <w:rFonts w:ascii="Arial" w:hAnsi="Arial" w:cs="Arial"/>
                <w:b/>
              </w:rPr>
              <w:t>Prostacyclin analogues</w:t>
            </w:r>
          </w:p>
        </w:tc>
        <w:tc>
          <w:tcPr>
            <w:tcW w:w="1204" w:type="dxa"/>
            <w:tcBorders>
              <w:top w:val="nil"/>
              <w:left w:val="nil"/>
              <w:bottom w:val="nil"/>
              <w:right w:val="nil"/>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1,066</w:t>
            </w:r>
          </w:p>
        </w:tc>
        <w:tc>
          <w:tcPr>
            <w:tcW w:w="1205" w:type="dxa"/>
            <w:tcBorders>
              <w:top w:val="nil"/>
              <w:left w:val="nil"/>
              <w:bottom w:val="nil"/>
              <w:right w:val="single" w:sz="4" w:space="0" w:color="auto"/>
            </w:tcBorders>
            <w:vAlign w:val="center"/>
          </w:tcPr>
          <w:p w:rsidR="00EC01B1" w:rsidRPr="00070C40" w:rsidRDefault="00EC01B1" w:rsidP="000341B3">
            <w:pPr>
              <w:spacing w:before="40" w:after="40"/>
              <w:ind w:right="169"/>
              <w:jc w:val="right"/>
              <w:rPr>
                <w:rFonts w:ascii="Arial" w:hAnsi="Arial" w:cs="Arial"/>
              </w:rPr>
            </w:pPr>
            <w:r w:rsidRPr="00070C40">
              <w:rPr>
                <w:rFonts w:ascii="Arial" w:hAnsi="Arial" w:cs="Arial"/>
              </w:rPr>
              <w:t>$5.80</w:t>
            </w:r>
          </w:p>
        </w:tc>
        <w:tc>
          <w:tcPr>
            <w:tcW w:w="1205" w:type="dxa"/>
            <w:tcBorders>
              <w:top w:val="nil"/>
              <w:left w:val="single" w:sz="4" w:space="0" w:color="auto"/>
              <w:bottom w:val="nil"/>
              <w:right w:val="nil"/>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1,137</w:t>
            </w:r>
          </w:p>
        </w:tc>
        <w:tc>
          <w:tcPr>
            <w:tcW w:w="1205" w:type="dxa"/>
            <w:tcBorders>
              <w:top w:val="nil"/>
              <w:left w:val="nil"/>
              <w:bottom w:val="nil"/>
              <w:right w:val="single" w:sz="4" w:space="0" w:color="auto"/>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$6.04</w:t>
            </w:r>
          </w:p>
        </w:tc>
        <w:tc>
          <w:tcPr>
            <w:tcW w:w="1205" w:type="dxa"/>
            <w:tcBorders>
              <w:top w:val="nil"/>
              <w:left w:val="single" w:sz="4" w:space="0" w:color="auto"/>
              <w:bottom w:val="nil"/>
              <w:right w:val="nil"/>
            </w:tcBorders>
            <w:vAlign w:val="center"/>
          </w:tcPr>
          <w:p w:rsidR="00EC01B1" w:rsidRPr="00070C40" w:rsidRDefault="00EC01B1" w:rsidP="000341B3">
            <w:pPr>
              <w:spacing w:before="40" w:after="40"/>
              <w:ind w:right="158"/>
              <w:jc w:val="right"/>
              <w:rPr>
                <w:rFonts w:ascii="Arial" w:hAnsi="Arial" w:cs="Arial"/>
              </w:rPr>
            </w:pPr>
            <w:r w:rsidRPr="00070C40">
              <w:rPr>
                <w:rFonts w:ascii="Arial" w:hAnsi="Arial" w:cs="Arial"/>
              </w:rPr>
              <w:t>1,103</w:t>
            </w:r>
          </w:p>
        </w:tc>
        <w:tc>
          <w:tcPr>
            <w:tcW w:w="1205" w:type="dxa"/>
            <w:tcBorders>
              <w:top w:val="nil"/>
              <w:left w:val="nil"/>
              <w:bottom w:val="nil"/>
              <w:right w:val="single" w:sz="4" w:space="0" w:color="auto"/>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$4.89</w:t>
            </w:r>
          </w:p>
        </w:tc>
      </w:tr>
      <w:tr w:rsidR="00EC01B1" w:rsidRPr="00D33F5E" w:rsidTr="00B30AA0">
        <w:tc>
          <w:tcPr>
            <w:tcW w:w="1985" w:type="dxa"/>
            <w:tcBorders>
              <w:top w:val="nil"/>
              <w:left w:val="single" w:sz="4" w:space="0" w:color="auto"/>
              <w:bottom w:val="single" w:sz="4" w:space="0" w:color="auto"/>
              <w:right w:val="nil"/>
            </w:tcBorders>
            <w:shd w:val="clear" w:color="auto" w:fill="BFBFBF" w:themeFill="background1" w:themeFillShade="BF"/>
          </w:tcPr>
          <w:p w:rsidR="00EC01B1" w:rsidRPr="00070C40" w:rsidRDefault="0084301E" w:rsidP="000341B3">
            <w:pPr>
              <w:spacing w:before="40" w:after="40"/>
              <w:jc w:val="left"/>
              <w:rPr>
                <w:rFonts w:ascii="Arial" w:hAnsi="Arial" w:cs="Arial"/>
                <w:b/>
              </w:rPr>
            </w:pPr>
            <w:r>
              <w:rPr>
                <w:rFonts w:ascii="Arial" w:hAnsi="Arial" w:cs="Arial"/>
                <w:b/>
              </w:rPr>
              <w:t>PDE-5</w:t>
            </w:r>
            <w:r w:rsidR="00EC01B1" w:rsidRPr="00070C40">
              <w:rPr>
                <w:rFonts w:ascii="Arial" w:hAnsi="Arial" w:cs="Arial"/>
                <w:b/>
              </w:rPr>
              <w:t xml:space="preserve"> inhibitors</w:t>
            </w:r>
          </w:p>
        </w:tc>
        <w:tc>
          <w:tcPr>
            <w:tcW w:w="1204" w:type="dxa"/>
            <w:tcBorders>
              <w:top w:val="nil"/>
              <w:left w:val="nil"/>
              <w:bottom w:val="single" w:sz="4" w:space="0" w:color="auto"/>
              <w:right w:val="nil"/>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4,396</w:t>
            </w:r>
          </w:p>
        </w:tc>
        <w:tc>
          <w:tcPr>
            <w:tcW w:w="1205" w:type="dxa"/>
            <w:tcBorders>
              <w:top w:val="nil"/>
              <w:left w:val="nil"/>
              <w:bottom w:val="single" w:sz="4" w:space="0" w:color="auto"/>
              <w:right w:val="single" w:sz="4" w:space="0" w:color="auto"/>
            </w:tcBorders>
            <w:vAlign w:val="center"/>
          </w:tcPr>
          <w:p w:rsidR="00EC01B1" w:rsidRPr="00070C40" w:rsidRDefault="00EC01B1" w:rsidP="000341B3">
            <w:pPr>
              <w:spacing w:before="40" w:after="40"/>
              <w:ind w:right="169"/>
              <w:jc w:val="right"/>
              <w:rPr>
                <w:rFonts w:ascii="Arial" w:hAnsi="Arial" w:cs="Arial"/>
              </w:rPr>
            </w:pPr>
            <w:r w:rsidRPr="00070C40">
              <w:rPr>
                <w:rFonts w:ascii="Arial" w:hAnsi="Arial" w:cs="Arial"/>
              </w:rPr>
              <w:t>$3.85</w:t>
            </w:r>
          </w:p>
        </w:tc>
        <w:tc>
          <w:tcPr>
            <w:tcW w:w="1205" w:type="dxa"/>
            <w:tcBorders>
              <w:top w:val="nil"/>
              <w:left w:val="single" w:sz="4" w:space="0" w:color="auto"/>
              <w:bottom w:val="single" w:sz="4" w:space="0" w:color="auto"/>
              <w:right w:val="nil"/>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4,367</w:t>
            </w:r>
          </w:p>
        </w:tc>
        <w:tc>
          <w:tcPr>
            <w:tcW w:w="1205" w:type="dxa"/>
            <w:tcBorders>
              <w:top w:val="nil"/>
              <w:left w:val="nil"/>
              <w:bottom w:val="single" w:sz="4" w:space="0" w:color="auto"/>
              <w:right w:val="single" w:sz="4" w:space="0" w:color="auto"/>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$3.39</w:t>
            </w:r>
          </w:p>
        </w:tc>
        <w:tc>
          <w:tcPr>
            <w:tcW w:w="1205" w:type="dxa"/>
            <w:tcBorders>
              <w:top w:val="nil"/>
              <w:left w:val="single" w:sz="4" w:space="0" w:color="auto"/>
              <w:bottom w:val="single" w:sz="4" w:space="0" w:color="auto"/>
              <w:right w:val="nil"/>
            </w:tcBorders>
            <w:vAlign w:val="center"/>
          </w:tcPr>
          <w:p w:rsidR="00EC01B1" w:rsidRPr="00070C40" w:rsidRDefault="00EC01B1" w:rsidP="000341B3">
            <w:pPr>
              <w:spacing w:before="40" w:after="40"/>
              <w:ind w:right="158"/>
              <w:jc w:val="right"/>
              <w:rPr>
                <w:rFonts w:ascii="Arial" w:hAnsi="Arial" w:cs="Arial"/>
              </w:rPr>
            </w:pPr>
            <w:r w:rsidRPr="00070C40">
              <w:rPr>
                <w:rFonts w:ascii="Arial" w:hAnsi="Arial" w:cs="Arial"/>
              </w:rPr>
              <w:t>4,346</w:t>
            </w:r>
          </w:p>
        </w:tc>
        <w:tc>
          <w:tcPr>
            <w:tcW w:w="1205" w:type="dxa"/>
            <w:tcBorders>
              <w:top w:val="nil"/>
              <w:left w:val="nil"/>
              <w:bottom w:val="single" w:sz="4" w:space="0" w:color="auto"/>
              <w:right w:val="single" w:sz="4" w:space="0" w:color="auto"/>
            </w:tcBorders>
            <w:vAlign w:val="center"/>
          </w:tcPr>
          <w:p w:rsidR="00EC01B1" w:rsidRPr="00070C40" w:rsidRDefault="00EC01B1" w:rsidP="000341B3">
            <w:pPr>
              <w:spacing w:before="40" w:after="40"/>
              <w:ind w:right="189"/>
              <w:jc w:val="right"/>
              <w:rPr>
                <w:rFonts w:ascii="Arial" w:hAnsi="Arial" w:cs="Arial"/>
              </w:rPr>
            </w:pPr>
            <w:r w:rsidRPr="00070C40">
              <w:rPr>
                <w:rFonts w:ascii="Arial" w:hAnsi="Arial" w:cs="Arial"/>
              </w:rPr>
              <w:t>$2.75</w:t>
            </w:r>
          </w:p>
        </w:tc>
      </w:tr>
    </w:tbl>
    <w:p w:rsidR="00EC01B1" w:rsidRPr="00300C22" w:rsidRDefault="0034400E" w:rsidP="00300C22">
      <w:pPr>
        <w:spacing w:line="240" w:lineRule="auto"/>
        <w:jc w:val="left"/>
        <w:rPr>
          <w:rFonts w:ascii="Arial" w:hAnsi="Arial" w:cs="Arial"/>
          <w:sz w:val="18"/>
          <w:szCs w:val="18"/>
        </w:rPr>
      </w:pPr>
      <w:r>
        <w:rPr>
          <w:rFonts w:ascii="Arial" w:hAnsi="Arial" w:cs="Arial"/>
          <w:sz w:val="18"/>
          <w:szCs w:val="18"/>
        </w:rPr>
        <w:t xml:space="preserve">AUD = Australian dollars, </w:t>
      </w:r>
      <w:proofErr w:type="spellStart"/>
      <w:r w:rsidR="00EC01B1" w:rsidRPr="00300C22">
        <w:rPr>
          <w:rFonts w:ascii="Arial" w:hAnsi="Arial" w:cs="Arial"/>
          <w:sz w:val="18"/>
          <w:szCs w:val="18"/>
        </w:rPr>
        <w:t>Disp</w:t>
      </w:r>
      <w:proofErr w:type="spellEnd"/>
      <w:r w:rsidR="00EC01B1" w:rsidRPr="00300C22">
        <w:rPr>
          <w:rFonts w:ascii="Arial" w:hAnsi="Arial" w:cs="Arial"/>
          <w:sz w:val="18"/>
          <w:szCs w:val="18"/>
        </w:rPr>
        <w:t xml:space="preserve"> = dispensings; ERAs = ambrisentan, bosentan, macitentan; Prostacyclin analogues = epoprostenol, iloprost; </w:t>
      </w:r>
      <w:r w:rsidR="0084301E">
        <w:rPr>
          <w:rFonts w:ascii="Arial" w:hAnsi="Arial" w:cs="Arial"/>
          <w:sz w:val="18"/>
          <w:szCs w:val="18"/>
        </w:rPr>
        <w:t>PDE-5</w:t>
      </w:r>
      <w:r w:rsidR="00EC01B1" w:rsidRPr="00300C22">
        <w:rPr>
          <w:rFonts w:ascii="Arial" w:hAnsi="Arial" w:cs="Arial"/>
          <w:sz w:val="18"/>
          <w:szCs w:val="18"/>
        </w:rPr>
        <w:t xml:space="preserve"> inhibitors = sildenafil, tadalafil</w:t>
      </w:r>
    </w:p>
    <w:p w:rsidR="00EC01B1" w:rsidRDefault="006C4EC2" w:rsidP="00C26B51">
      <w:pPr>
        <w:pStyle w:val="BodyTextnospacebefore"/>
      </w:pPr>
      <w:r>
        <w:t>Figure 2.1</w:t>
      </w:r>
      <w:r w:rsidR="00EC01B1" w:rsidRPr="00D729EC">
        <w:t xml:space="preserve"> shows the quarterly number of</w:t>
      </w:r>
      <w:r w:rsidR="00171D4C">
        <w:t xml:space="preserve"> PBS</w:t>
      </w:r>
      <w:r w:rsidR="00EC01B1" w:rsidRPr="00D729EC">
        <w:t xml:space="preserve"> PAH dispensings from July 2013 through December 2016 by specific medicine. Bosentan was the most commonly dispensed PAH medicine through the year 2015. In 2016 macitentan, which was PBS-listed in September 2014, became the most commonly dispensed PAH medicine.</w:t>
      </w:r>
    </w:p>
    <w:p w:rsidR="00171BDA" w:rsidRPr="00D729EC" w:rsidRDefault="00171BDA" w:rsidP="006D5829">
      <w:pPr>
        <w:pStyle w:val="BodyTextnospacebefore"/>
      </w:pPr>
      <w:r w:rsidRPr="00171BDA">
        <w:t xml:space="preserve">The quarterly number of PBS PAH medicine dispensings and corresponding PBS benefit </w:t>
      </w:r>
      <w:r>
        <w:t xml:space="preserve">paid </w:t>
      </w:r>
      <w:r w:rsidRPr="00171BDA">
        <w:t xml:space="preserve">remained relatively stable across </w:t>
      </w:r>
      <w:r w:rsidR="00510713">
        <w:t xml:space="preserve">the </w:t>
      </w:r>
      <w:r w:rsidRPr="00171BDA">
        <w:t>2013-2016</w:t>
      </w:r>
      <w:r w:rsidR="00510713">
        <w:t xml:space="preserve"> period</w:t>
      </w:r>
      <w:r w:rsidRPr="00171BDA">
        <w:t xml:space="preserve"> for each separate medicine and medicine strength, except for bosentan (120 mg)</w:t>
      </w:r>
      <w:r>
        <w:t xml:space="preserve"> and macitentan (10 mg) (Figure</w:t>
      </w:r>
      <w:r w:rsidR="006C4EC2">
        <w:t xml:space="preserve"> 2.2</w:t>
      </w:r>
      <w:r w:rsidRPr="00171BDA">
        <w:t>). A simultaneous trend of decreasing bosentan and increasing macitentan dispensings occurred during the period of observation, which overlapped during the last quarter of 2015.</w:t>
      </w:r>
    </w:p>
    <w:p w:rsidR="00431842" w:rsidRDefault="00BC3D66" w:rsidP="00431842">
      <w:pPr>
        <w:keepNext/>
      </w:pPr>
      <w:r>
        <w:rPr>
          <w:noProof/>
        </w:rPr>
        <w:lastRenderedPageBreak/>
        <w:drawing>
          <wp:inline distT="0" distB="0" distL="0" distR="0" wp14:anchorId="4F272566" wp14:editId="112DC13C">
            <wp:extent cx="4968875" cy="3548380"/>
            <wp:effectExtent l="0" t="0" r="3175" b="0"/>
            <wp:docPr id="11" name="Picture 11" descr="Quarterly PBS dispensing by PAH medicine, 2013-2016" title="Quarterly PBS dispensing by PAH medicine, 2013-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8875" cy="3548380"/>
                    </a:xfrm>
                    <a:prstGeom prst="rect">
                      <a:avLst/>
                    </a:prstGeom>
                    <a:noFill/>
                  </pic:spPr>
                </pic:pic>
              </a:graphicData>
            </a:graphic>
          </wp:inline>
        </w:drawing>
      </w:r>
    </w:p>
    <w:p w:rsidR="006D5829" w:rsidRPr="006D5829" w:rsidRDefault="00431842" w:rsidP="006D5829">
      <w:pPr>
        <w:pStyle w:val="Caption"/>
      </w:pPr>
      <w:bookmarkStart w:id="43" w:name="_Toc511144352"/>
      <w:r>
        <w:t>Figure 2.</w:t>
      </w:r>
      <w:r>
        <w:rPr>
          <w:noProof/>
        </w:rPr>
        <w:t>1</w:t>
      </w:r>
      <w:r w:rsidR="00B30AA0">
        <w:tab/>
      </w:r>
      <w:r w:rsidRPr="00E92158">
        <w:t>Quarterly PBS dispensing by PAH medicine, 2013-2016</w:t>
      </w:r>
      <w:bookmarkEnd w:id="43"/>
    </w:p>
    <w:p w:rsidR="00B728EB" w:rsidRDefault="00171BDA" w:rsidP="006D5829">
      <w:pPr>
        <w:pStyle w:val="Caption"/>
      </w:pPr>
      <w:r w:rsidRPr="00171BDA">
        <w:rPr>
          <w:noProof/>
          <w:lang w:eastAsia="en-AU"/>
        </w:rPr>
        <w:drawing>
          <wp:inline distT="0" distB="0" distL="0" distR="0" wp14:anchorId="49AE5C49" wp14:editId="13539FAD">
            <wp:extent cx="5048250" cy="3605893"/>
            <wp:effectExtent l="0" t="0" r="0" b="0"/>
            <wp:docPr id="13" name="Picture 13" descr="Quarterly PBS benefit paid by medicine (in millions AUD)" title="Quarterly PBS benefit paid by medicine (in millions 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PWFS1403.ad.unsw.edu.au\Staff112$\z3278747\rplot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988" cy="3606420"/>
                    </a:xfrm>
                    <a:prstGeom prst="rect">
                      <a:avLst/>
                    </a:prstGeom>
                    <a:noFill/>
                    <a:ln>
                      <a:noFill/>
                    </a:ln>
                  </pic:spPr>
                </pic:pic>
              </a:graphicData>
            </a:graphic>
          </wp:inline>
        </w:drawing>
      </w:r>
    </w:p>
    <w:p w:rsidR="00171BDA" w:rsidRPr="00171BDA" w:rsidRDefault="00431842" w:rsidP="006D5829">
      <w:pPr>
        <w:pStyle w:val="Caption"/>
      </w:pPr>
      <w:bookmarkStart w:id="44" w:name="_Toc511144353"/>
      <w:r>
        <w:t>Figure 2.</w:t>
      </w:r>
      <w:r>
        <w:rPr>
          <w:noProof/>
        </w:rPr>
        <w:t>2</w:t>
      </w:r>
      <w:r w:rsidR="00B30AA0">
        <w:tab/>
      </w:r>
      <w:r w:rsidR="00510713">
        <w:t xml:space="preserve">Quarterly </w:t>
      </w:r>
      <w:r w:rsidRPr="007F20EA">
        <w:t>PBS benefit paid by medicine (in millions AUD)</w:t>
      </w:r>
      <w:bookmarkEnd w:id="44"/>
    </w:p>
    <w:p w:rsidR="00EC01B1" w:rsidRPr="00D729EC" w:rsidRDefault="00EC01B1" w:rsidP="006D5829">
      <w:pPr>
        <w:pStyle w:val="BodyTextnospacebefore"/>
        <w:spacing w:before="240"/>
      </w:pPr>
      <w:r w:rsidRPr="00D729EC">
        <w:t>The</w:t>
      </w:r>
      <w:r w:rsidR="00E43B12">
        <w:t xml:space="preserve"> PHSANZ monotherapy data reported</w:t>
      </w:r>
      <w:r w:rsidRPr="00D729EC">
        <w:t xml:space="preserve"> similar results.</w:t>
      </w:r>
      <w:r w:rsidR="003D172D">
        <w:t xml:space="preserve"> </w:t>
      </w:r>
      <w:r w:rsidRPr="00D729EC">
        <w:t xml:space="preserve">ERAs were the most commonly used medicine class, with 76.5% of the monotherapy cohort on either ambrisentan, bosentan or macitentan compared to 76.7% of the total PBS dispensings of PAH medicines </w:t>
      </w:r>
      <w:r w:rsidRPr="00D729EC">
        <w:lastRenderedPageBreak/>
        <w:t>in 2016</w:t>
      </w:r>
      <w:r>
        <w:t xml:space="preserve"> (</w:t>
      </w:r>
      <w:r w:rsidRPr="003351F5">
        <w:t xml:space="preserve">Appendix </w:t>
      </w:r>
      <w:r w:rsidR="00B30AA0" w:rsidRPr="003351F5">
        <w:t>2</w:t>
      </w:r>
      <w:r w:rsidRPr="003351F5">
        <w:t xml:space="preserve">B, </w:t>
      </w:r>
      <w:r w:rsidRPr="003351F5">
        <w:rPr>
          <w:i/>
        </w:rPr>
        <w:t>Appendix</w:t>
      </w:r>
      <w:r w:rsidRPr="004C3845">
        <w:rPr>
          <w:i/>
        </w:rPr>
        <w:t xml:space="preserve"> I</w:t>
      </w:r>
      <w:r>
        <w:t>, p. 16)</w:t>
      </w:r>
      <w:r w:rsidRPr="00D729EC">
        <w:t>.</w:t>
      </w:r>
      <w:r w:rsidR="003D172D">
        <w:t xml:space="preserve"> </w:t>
      </w:r>
      <w:r w:rsidRPr="00D729EC">
        <w:t xml:space="preserve">The use of </w:t>
      </w:r>
      <w:r w:rsidR="0084301E">
        <w:t>PDE-5</w:t>
      </w:r>
      <w:r w:rsidRPr="00D729EC">
        <w:t xml:space="preserve"> inhibitors in the PHSANZ monotherapy cohort also mirrored PBS </w:t>
      </w:r>
      <w:r w:rsidRPr="002F6D64">
        <w:t xml:space="preserve">numbers closely, with 23.3% of patients on either sildenafil or </w:t>
      </w:r>
      <w:r w:rsidR="00B30AA0" w:rsidRPr="002F6D64">
        <w:t>tadalafil</w:t>
      </w:r>
      <w:r w:rsidRPr="002F6D64">
        <w:t>, compared to 18.6% of</w:t>
      </w:r>
      <w:r w:rsidR="00171D4C" w:rsidRPr="002F6D64">
        <w:t xml:space="preserve"> all PBS </w:t>
      </w:r>
      <w:r w:rsidR="00070C40" w:rsidRPr="002F6D64">
        <w:t xml:space="preserve">PAH dispensings in 2016. </w:t>
      </w:r>
      <w:r w:rsidRPr="002F6D64">
        <w:t xml:space="preserve">No </w:t>
      </w:r>
      <w:r w:rsidR="00EB72BF" w:rsidRPr="002F6D64">
        <w:t>PGI</w:t>
      </w:r>
      <w:r w:rsidR="00EB72BF" w:rsidRPr="002F6D64">
        <w:rPr>
          <w:vertAlign w:val="subscript"/>
        </w:rPr>
        <w:t>2</w:t>
      </w:r>
      <w:r w:rsidR="00EB72BF" w:rsidRPr="002F6D64">
        <w:t xml:space="preserve">’s </w:t>
      </w:r>
      <w:proofErr w:type="gramStart"/>
      <w:r w:rsidRPr="002F6D64">
        <w:t>were used</w:t>
      </w:r>
      <w:proofErr w:type="gramEnd"/>
      <w:r w:rsidRPr="002F6D64">
        <w:t xml:space="preserve"> amongst the PHSANZ monotherapy cohort.</w:t>
      </w:r>
      <w:r w:rsidR="003D172D" w:rsidRPr="002F6D64">
        <w:t xml:space="preserve"> </w:t>
      </w:r>
      <w:r w:rsidR="00EB72BF" w:rsidRPr="002F6D64">
        <w:t>PGI</w:t>
      </w:r>
      <w:r w:rsidR="00EB72BF" w:rsidRPr="002F6D64">
        <w:rPr>
          <w:vertAlign w:val="subscript"/>
        </w:rPr>
        <w:t>2</w:t>
      </w:r>
      <w:r w:rsidR="00EB72BF" w:rsidRPr="002F6D64">
        <w:t xml:space="preserve">’s </w:t>
      </w:r>
      <w:r w:rsidRPr="002F6D64">
        <w:t xml:space="preserve">were reserved for use in combination therapy, </w:t>
      </w:r>
      <w:r w:rsidR="00F44A99" w:rsidRPr="002F6D64">
        <w:t>primarily</w:t>
      </w:r>
      <w:r w:rsidRPr="002F6D64">
        <w:t xml:space="preserve"> used as part of triple therapy amongst PHSANZ patients (Appendix </w:t>
      </w:r>
      <w:r w:rsidR="00B30AA0" w:rsidRPr="002F6D64">
        <w:t>2</w:t>
      </w:r>
      <w:r w:rsidRPr="002F6D64">
        <w:t xml:space="preserve">B, </w:t>
      </w:r>
      <w:r w:rsidRPr="002F6D64">
        <w:rPr>
          <w:i/>
        </w:rPr>
        <w:t>Appendix III</w:t>
      </w:r>
      <w:r w:rsidRPr="002F6D64">
        <w:t>, p. 18)</w:t>
      </w:r>
      <w:r w:rsidR="00070C40" w:rsidRPr="002F6D64">
        <w:t xml:space="preserve">. </w:t>
      </w:r>
      <w:r w:rsidRPr="002F6D64">
        <w:t xml:space="preserve">With </w:t>
      </w:r>
      <w:r w:rsidR="00EB72BF" w:rsidRPr="002F6D64">
        <w:t>PGI</w:t>
      </w:r>
      <w:r w:rsidR="00EB72BF" w:rsidRPr="002F6D64">
        <w:rPr>
          <w:vertAlign w:val="subscript"/>
        </w:rPr>
        <w:t>2</w:t>
      </w:r>
      <w:r w:rsidR="00EB72BF" w:rsidRPr="002F6D64">
        <w:t xml:space="preserve">’s </w:t>
      </w:r>
      <w:r w:rsidRPr="002F6D64">
        <w:t xml:space="preserve">accounting for almost 5% (1,103 dispensings) of </w:t>
      </w:r>
      <w:r w:rsidR="00171D4C" w:rsidRPr="002F6D64">
        <w:t xml:space="preserve">PBS </w:t>
      </w:r>
      <w:r w:rsidRPr="002F6D64">
        <w:t xml:space="preserve">PAH dispensings in 2016, and their lack of use in monotherapy amongst the PHSANZ cohort, it </w:t>
      </w:r>
      <w:proofErr w:type="gramStart"/>
      <w:r w:rsidRPr="002F6D64">
        <w:t>could be suggested</w:t>
      </w:r>
      <w:proofErr w:type="gramEnd"/>
      <w:r w:rsidR="000B1D48" w:rsidRPr="002F6D64">
        <w:t xml:space="preserve"> </w:t>
      </w:r>
      <w:r w:rsidRPr="002F6D64">
        <w:t>that when used in combination</w:t>
      </w:r>
      <w:r w:rsidRPr="00D729EC">
        <w:t xml:space="preserve"> therapy, they are the medicine class likely to be PBS subsidised, with less expensive ERAs or </w:t>
      </w:r>
      <w:r w:rsidR="0084301E">
        <w:t>PDE-5</w:t>
      </w:r>
      <w:r w:rsidRPr="00D729EC">
        <w:t xml:space="preserve"> inhibitors accessed through other m</w:t>
      </w:r>
      <w:r w:rsidR="00204B9C">
        <w:t>eans.</w:t>
      </w:r>
    </w:p>
    <w:p w:rsidR="00B30AA0" w:rsidRDefault="00E43B12" w:rsidP="00C26B51">
      <w:pPr>
        <w:pStyle w:val="BodyTextnospacebefore"/>
      </w:pPr>
      <w:r>
        <w:t>ERAs were</w:t>
      </w:r>
      <w:r w:rsidR="00171D4C">
        <w:t xml:space="preserve"> also </w:t>
      </w:r>
      <w:r>
        <w:t xml:space="preserve">the most </w:t>
      </w:r>
      <w:r w:rsidR="00171D4C">
        <w:t>prescribed</w:t>
      </w:r>
      <w:r>
        <w:t xml:space="preserve"> medicine class</w:t>
      </w:r>
      <w:r w:rsidR="00EC01B1" w:rsidRPr="00EC01B1">
        <w:t xml:space="preserve"> in the ASCS cohort, with 92% of patients (96 patients) on an ERA at the</w:t>
      </w:r>
      <w:r w:rsidR="00785DD9">
        <w:t xml:space="preserve"> last assessment</w:t>
      </w:r>
      <w:r w:rsidR="00EC01B1" w:rsidRPr="00EC01B1">
        <w:t xml:space="preserve"> </w:t>
      </w:r>
      <w:r w:rsidR="00785DD9">
        <w:t>(</w:t>
      </w:r>
      <w:r w:rsidR="00EC01B1" w:rsidRPr="00EC01B1">
        <w:t>index visit</w:t>
      </w:r>
      <w:r w:rsidR="00785DD9">
        <w:t>)</w:t>
      </w:r>
      <w:r w:rsidR="00070C40">
        <w:t xml:space="preserve">. </w:t>
      </w:r>
      <w:r w:rsidR="00435B8A">
        <w:t xml:space="preserve">Amongst the ASCS cohort, 50% of </w:t>
      </w:r>
      <w:r w:rsidR="003C0527">
        <w:t xml:space="preserve">ERA use at the </w:t>
      </w:r>
      <w:r w:rsidR="00785DD9">
        <w:t>last assessment</w:t>
      </w:r>
      <w:r w:rsidR="00785DD9" w:rsidRPr="00EC01B1">
        <w:t xml:space="preserve"> </w:t>
      </w:r>
      <w:r w:rsidR="00785DD9">
        <w:t>(</w:t>
      </w:r>
      <w:r w:rsidR="00785DD9" w:rsidRPr="00EC01B1">
        <w:t>index visit</w:t>
      </w:r>
      <w:r w:rsidR="00785DD9">
        <w:t>)</w:t>
      </w:r>
      <w:r w:rsidR="00785DD9" w:rsidRPr="00EC01B1">
        <w:t xml:space="preserve"> </w:t>
      </w:r>
      <w:r w:rsidR="003C0527">
        <w:t xml:space="preserve">was attributable to monotherapy </w:t>
      </w:r>
      <w:r w:rsidR="003351F5">
        <w:t>(</w:t>
      </w:r>
      <w:r w:rsidR="003351F5" w:rsidRPr="003351F5">
        <w:t>Appendix 2</w:t>
      </w:r>
      <w:r w:rsidR="00435B8A" w:rsidRPr="003351F5">
        <w:t>C,</w:t>
      </w:r>
      <w:r w:rsidR="00435B8A">
        <w:t xml:space="preserve"> </w:t>
      </w:r>
      <w:r w:rsidR="00435B8A" w:rsidRPr="00435B8A">
        <w:rPr>
          <w:i/>
        </w:rPr>
        <w:t>Appendix II</w:t>
      </w:r>
      <w:r w:rsidR="00435B8A">
        <w:t>).</w:t>
      </w:r>
      <w:r w:rsidR="003D172D">
        <w:t xml:space="preserve"> </w:t>
      </w:r>
      <w:r w:rsidR="003C0527">
        <w:t xml:space="preserve">Amongst the monotherapy cohort, 87% were being </w:t>
      </w:r>
      <w:r w:rsidR="00510713">
        <w:t>prescribed</w:t>
      </w:r>
      <w:r w:rsidR="003C0527">
        <w:t xml:space="preserve"> an ERA an</w:t>
      </w:r>
      <w:r w:rsidR="00785DD9">
        <w:t xml:space="preserve">d the remaining 13% were </w:t>
      </w:r>
      <w:r w:rsidR="00510713">
        <w:t>prescribed</w:t>
      </w:r>
      <w:r>
        <w:t xml:space="preserve"> a </w:t>
      </w:r>
      <w:r w:rsidR="0084301E">
        <w:t>PDE-5</w:t>
      </w:r>
      <w:r w:rsidR="003C0527">
        <w:t xml:space="preserve"> inhibitor. Overall</w:t>
      </w:r>
      <w:r w:rsidR="00171D4C">
        <w:t xml:space="preserve"> in the ASCS cohort</w:t>
      </w:r>
      <w:r w:rsidR="003C0527">
        <w:t xml:space="preserve">, </w:t>
      </w:r>
      <w:r w:rsidR="0084301E">
        <w:t>PDE-5</w:t>
      </w:r>
      <w:r w:rsidR="00EC01B1" w:rsidRPr="00EC01B1">
        <w:t xml:space="preserve"> inhibitors were the second most u</w:t>
      </w:r>
      <w:r>
        <w:t>tilised</w:t>
      </w:r>
      <w:r w:rsidR="00EC01B1" w:rsidRPr="00EC01B1">
        <w:t xml:space="preserve"> </w:t>
      </w:r>
      <w:r w:rsidR="00884942">
        <w:t>class of medicine,</w:t>
      </w:r>
      <w:r w:rsidR="00EC01B1" w:rsidRPr="00EC01B1">
        <w:t xml:space="preserve"> with 55 patients (53%) taking a </w:t>
      </w:r>
      <w:r w:rsidR="0084301E">
        <w:t>PDE-5</w:t>
      </w:r>
      <w:r w:rsidR="00EC01B1" w:rsidRPr="00EC01B1">
        <w:t xml:space="preserve"> inhibitor as part of monotherapy, dual therapy or triple therapy (</w:t>
      </w:r>
      <w:r w:rsidR="00EC01B1" w:rsidRPr="003351F5">
        <w:t xml:space="preserve">Appendix </w:t>
      </w:r>
      <w:r w:rsidR="00070C40" w:rsidRPr="003351F5">
        <w:t>2</w:t>
      </w:r>
      <w:r w:rsidR="00EC01B1" w:rsidRPr="003351F5">
        <w:t>C</w:t>
      </w:r>
      <w:r w:rsidR="006D5829" w:rsidRPr="003351F5">
        <w:t>,</w:t>
      </w:r>
      <w:r w:rsidR="006D5829">
        <w:t xml:space="preserve"> Table 4).</w:t>
      </w:r>
      <w:bookmarkStart w:id="45" w:name="_Appendix_A_-"/>
      <w:bookmarkStart w:id="46" w:name="_Appendix_A_–"/>
      <w:bookmarkEnd w:id="45"/>
      <w:bookmarkEnd w:id="46"/>
    </w:p>
    <w:p w:rsidR="000341B3" w:rsidRPr="00C26B51" w:rsidRDefault="00171BDA" w:rsidP="00C26B51">
      <w:pPr>
        <w:pStyle w:val="BodyTextnospacebefore"/>
      </w:pPr>
      <w:r>
        <w:t>According to the PHSANZ and AS</w:t>
      </w:r>
      <w:r w:rsidR="00443325">
        <w:t>IG</w:t>
      </w:r>
      <w:r>
        <w:t xml:space="preserve"> </w:t>
      </w:r>
      <w:proofErr w:type="gramStart"/>
      <w:r>
        <w:t>registries</w:t>
      </w:r>
      <w:proofErr w:type="gramEnd"/>
      <w:r>
        <w:t xml:space="preserve"> c</w:t>
      </w:r>
      <w:r w:rsidR="000341B3">
        <w:t xml:space="preserve">ombination therapy </w:t>
      </w:r>
      <w:r>
        <w:t>was</w:t>
      </w:r>
      <w:r w:rsidR="000341B3">
        <w:t xml:space="preserve"> most common in patients </w:t>
      </w:r>
      <w:r w:rsidR="00694201">
        <w:t xml:space="preserve">with </w:t>
      </w:r>
      <w:r>
        <w:t xml:space="preserve">WHO FC </w:t>
      </w:r>
      <w:r w:rsidR="00F159DC">
        <w:t>III and I</w:t>
      </w:r>
      <w:r>
        <w:t>V</w:t>
      </w:r>
      <w:r w:rsidR="00070C40">
        <w:t xml:space="preserve">. </w:t>
      </w:r>
      <w:r w:rsidR="002B33E2">
        <w:t xml:space="preserve">Macitentan </w:t>
      </w:r>
      <w:r w:rsidR="00041FD4">
        <w:t xml:space="preserve">+ </w:t>
      </w:r>
      <w:r w:rsidR="002B33E2">
        <w:t xml:space="preserve">sildenafil was the most commonly prescribed dual therapy, used in 46.5% of dual therapy patients (Appendix </w:t>
      </w:r>
      <w:r w:rsidR="003351F5">
        <w:t>2</w:t>
      </w:r>
      <w:r w:rsidR="002B33E2">
        <w:t xml:space="preserve">C, </w:t>
      </w:r>
      <w:r w:rsidR="002B33E2" w:rsidRPr="002B33E2">
        <w:rPr>
          <w:i/>
        </w:rPr>
        <w:t>Appendix III</w:t>
      </w:r>
      <w:r w:rsidR="002B33E2">
        <w:t>)</w:t>
      </w:r>
      <w:r w:rsidR="000341B3">
        <w:t>.</w:t>
      </w:r>
      <w:r w:rsidR="003D172D">
        <w:t xml:space="preserve"> </w:t>
      </w:r>
      <w:r w:rsidR="009B4CCA">
        <w:t xml:space="preserve">Macitentan </w:t>
      </w:r>
      <w:r w:rsidR="00041FD4">
        <w:t xml:space="preserve">+ </w:t>
      </w:r>
      <w:r w:rsidR="009B4CCA">
        <w:t xml:space="preserve">sildenafil </w:t>
      </w:r>
      <w:r w:rsidR="00236A04">
        <w:t>likewise was</w:t>
      </w:r>
      <w:r w:rsidR="009B4CCA">
        <w:t xml:space="preserve"> the dual therapy of choice amongst the PHSANZ cohort</w:t>
      </w:r>
      <w:r w:rsidR="00236A04">
        <w:t xml:space="preserve">, accounting </w:t>
      </w:r>
      <w:r w:rsidR="000341B3">
        <w:t>for 36.1% of all dual therapy</w:t>
      </w:r>
      <w:r w:rsidR="00236A04">
        <w:t xml:space="preserve"> combinations</w:t>
      </w:r>
      <w:r w:rsidR="000341B3">
        <w:t xml:space="preserve"> and epoprostenol + macitentan + sildenafil accounted for 35.7% </w:t>
      </w:r>
      <w:r w:rsidR="000341B3" w:rsidRPr="00C26B51">
        <w:t>of all triple therapy combinations, recording the hig</w:t>
      </w:r>
      <w:r w:rsidR="006D5829">
        <w:t>hest numbers in each category.</w:t>
      </w:r>
    </w:p>
    <w:p w:rsidR="000341B3" w:rsidRPr="009A6F8F" w:rsidRDefault="00784093" w:rsidP="009A6F8F">
      <w:pPr>
        <w:pStyle w:val="Heading3"/>
      </w:pPr>
      <w:bookmarkStart w:id="47" w:name="_Toc508360131"/>
      <w:bookmarkStart w:id="48" w:name="_Toc36810530"/>
      <w:r>
        <w:t>2.4</w:t>
      </w:r>
      <w:r w:rsidR="000341B3" w:rsidRPr="009A6F8F">
        <w:t>.2 Prevalence of PAH medicine use</w:t>
      </w:r>
      <w:bookmarkEnd w:id="47"/>
      <w:bookmarkEnd w:id="48"/>
    </w:p>
    <w:p w:rsidR="00967702" w:rsidRDefault="00F41BAD" w:rsidP="00C26B51">
      <w:pPr>
        <w:pStyle w:val="BodyTextnospacebefore"/>
      </w:pPr>
      <w:r>
        <w:t>Figures 2.4-2.5</w:t>
      </w:r>
      <w:r w:rsidR="000341B3" w:rsidRPr="00D33F5E">
        <w:t xml:space="preserve"> </w:t>
      </w:r>
      <w:r>
        <w:t>show</w:t>
      </w:r>
      <w:r w:rsidR="000341B3" w:rsidRPr="00D33F5E">
        <w:t xml:space="preserve"> the distribution of demographic characteristics among prevalent PAH patients</w:t>
      </w:r>
      <w:r w:rsidR="00E71F5C">
        <w:t xml:space="preserve"> </w:t>
      </w:r>
      <w:r w:rsidR="00967702">
        <w:t>dispensed</w:t>
      </w:r>
      <w:r w:rsidR="00E71F5C">
        <w:t xml:space="preserve"> a PBS subsidised PAH medicines</w:t>
      </w:r>
      <w:r w:rsidR="000341B3" w:rsidRPr="00D33F5E">
        <w:t xml:space="preserve"> in 2014-2016. During this period, the number of patients increased slightly (from 2</w:t>
      </w:r>
      <w:r w:rsidR="00EB2DDA">
        <w:t>,</w:t>
      </w:r>
      <w:r w:rsidR="000341B3" w:rsidRPr="00D33F5E">
        <w:t>189 to 2</w:t>
      </w:r>
      <w:r w:rsidR="00EB2DDA">
        <w:t>,</w:t>
      </w:r>
      <w:r w:rsidR="000341B3" w:rsidRPr="00D33F5E">
        <w:t xml:space="preserve">394), but the </w:t>
      </w:r>
      <w:r w:rsidR="004A159D">
        <w:t xml:space="preserve">distribution of </w:t>
      </w:r>
      <w:r w:rsidR="000341B3" w:rsidRPr="00D33F5E">
        <w:t xml:space="preserve">patient demographics remained similar. The majority of prevalent patients on PAH treatment </w:t>
      </w:r>
      <w:r w:rsidR="000341B3">
        <w:t>were</w:t>
      </w:r>
      <w:r w:rsidR="00204B9C">
        <w:t xml:space="preserve"> female (73% in 2016).</w:t>
      </w:r>
    </w:p>
    <w:p w:rsidR="007D7BE6" w:rsidRPr="00967702" w:rsidRDefault="007D7BE6" w:rsidP="007D7BE6">
      <w:pPr>
        <w:pStyle w:val="BodyTextnospacebefore"/>
        <w:spacing w:before="240"/>
      </w:pPr>
      <w:r w:rsidRPr="00D33F5E">
        <w:t xml:space="preserve">Figure </w:t>
      </w:r>
      <w:r>
        <w:t>2.5</w:t>
      </w:r>
      <w:r w:rsidRPr="00D33F5E">
        <w:t xml:space="preserve"> </w:t>
      </w:r>
      <w:r>
        <w:t xml:space="preserve">shows </w:t>
      </w:r>
      <w:r w:rsidRPr="00D33F5E">
        <w:t xml:space="preserve">the quarterly prevalence of PAH medicine use per 1,000,000 population </w:t>
      </w:r>
      <w:r w:rsidRPr="00160643">
        <w:t xml:space="preserve">from Quarter 3 2013 to Quarter 4 2016 by patient sex and age group. </w:t>
      </w:r>
      <w:r w:rsidR="002258F1" w:rsidRPr="00160643">
        <w:t xml:space="preserve">The prevalence of PAH treatment increased over the </w:t>
      </w:r>
      <w:proofErr w:type="gramStart"/>
      <w:r w:rsidR="002258F1" w:rsidRPr="00160643">
        <w:t>time period</w:t>
      </w:r>
      <w:proofErr w:type="gramEnd"/>
      <w:r w:rsidR="002258F1" w:rsidRPr="00160643">
        <w:t xml:space="preserve"> among females aged </w:t>
      </w:r>
      <w:r w:rsidR="00495CBA" w:rsidRPr="00160643">
        <w:t>75-84</w:t>
      </w:r>
      <w:r w:rsidR="002258F1" w:rsidRPr="00160643">
        <w:t xml:space="preserve"> year old and</w:t>
      </w:r>
      <w:r w:rsidRPr="00160643">
        <w:t xml:space="preserve"> </w:t>
      </w:r>
      <w:r w:rsidRPr="00160643">
        <w:rPr>
          <w:u w:val="single"/>
        </w:rPr>
        <w:t>&gt;</w:t>
      </w:r>
      <w:r w:rsidRPr="00160643">
        <w:t>85 years</w:t>
      </w:r>
      <w:r w:rsidR="00EF5363" w:rsidRPr="00160643">
        <w:t>, but remained it fairly stable in younger female</w:t>
      </w:r>
      <w:r w:rsidR="00160643">
        <w:t>s</w:t>
      </w:r>
      <w:r w:rsidRPr="00160643">
        <w:t xml:space="preserve"> (Figure 2.5).</w:t>
      </w:r>
      <w:r w:rsidR="003D172D" w:rsidRPr="00160643">
        <w:t xml:space="preserve"> </w:t>
      </w:r>
      <w:r w:rsidRPr="00160643">
        <w:t>Prevalence of PAH</w:t>
      </w:r>
      <w:r>
        <w:t xml:space="preserve"> treatment in males remained </w:t>
      </w:r>
      <w:proofErr w:type="gramStart"/>
      <w:r>
        <w:t>fairl</w:t>
      </w:r>
      <w:r w:rsidR="00204B9C">
        <w:t>y stable</w:t>
      </w:r>
      <w:proofErr w:type="gramEnd"/>
      <w:r w:rsidR="00204B9C">
        <w:t xml:space="preserve"> across all age groups</w:t>
      </w:r>
      <w:r w:rsidR="00EF5363">
        <w:t xml:space="preserve">. For both females and </w:t>
      </w:r>
      <w:proofErr w:type="gramStart"/>
      <w:r w:rsidR="00EF5363">
        <w:t>males</w:t>
      </w:r>
      <w:proofErr w:type="gramEnd"/>
      <w:r w:rsidR="00EF5363">
        <w:t xml:space="preserve"> prevalence</w:t>
      </w:r>
      <w:r w:rsidR="003B5706">
        <w:t xml:space="preserve"> rates</w:t>
      </w:r>
      <w:r w:rsidR="00EF5363">
        <w:t xml:space="preserve"> </w:t>
      </w:r>
      <w:r w:rsidR="004A159D">
        <w:t>w</w:t>
      </w:r>
      <w:r w:rsidR="003B5706">
        <w:t>ere</w:t>
      </w:r>
      <w:r w:rsidR="004A159D">
        <w:t xml:space="preserve"> highest among those aged 75-84 years.</w:t>
      </w:r>
    </w:p>
    <w:p w:rsidR="00431842" w:rsidRDefault="007D6DB6" w:rsidP="00431842">
      <w:pPr>
        <w:keepNext/>
      </w:pPr>
      <w:r>
        <w:rPr>
          <w:b/>
          <w:noProof/>
        </w:rPr>
        <w:lastRenderedPageBreak/>
        <w:drawing>
          <wp:inline distT="0" distB="0" distL="0" distR="0" wp14:anchorId="30E0EC5D" wp14:editId="5CD4D1B5">
            <wp:extent cx="4968000" cy="3548571"/>
            <wp:effectExtent l="0" t="0" r="4445" b="0"/>
            <wp:docPr id="12" name="Picture 12" descr="Figure 2.3 Quarterly prevalence per 1,000,000 population by medicine class" title="Figure 2.3 Quarterly prevalence per 1,000,000 population by medicine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plot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8000" cy="3548571"/>
                    </a:xfrm>
                    <a:prstGeom prst="rect">
                      <a:avLst/>
                    </a:prstGeom>
                    <a:noFill/>
                    <a:ln>
                      <a:noFill/>
                    </a:ln>
                  </pic:spPr>
                </pic:pic>
              </a:graphicData>
            </a:graphic>
          </wp:inline>
        </w:drawing>
      </w:r>
    </w:p>
    <w:p w:rsidR="007D6DB6" w:rsidRDefault="00431842" w:rsidP="00431842">
      <w:pPr>
        <w:pStyle w:val="Caption"/>
      </w:pPr>
      <w:bookmarkStart w:id="49" w:name="_Toc511144354"/>
      <w:r>
        <w:t>Figure 2.</w:t>
      </w:r>
      <w:r>
        <w:rPr>
          <w:noProof/>
        </w:rPr>
        <w:t>3</w:t>
      </w:r>
      <w:r w:rsidR="00B30AA0">
        <w:tab/>
      </w:r>
      <w:r w:rsidRPr="008954B4">
        <w:t>Quarterly prevalence per 1,000,000 population by medicine class</w:t>
      </w:r>
      <w:bookmarkEnd w:id="49"/>
    </w:p>
    <w:p w:rsidR="007D6DB6" w:rsidRPr="00D33F5E" w:rsidRDefault="007D6DB6" w:rsidP="006D5829">
      <w:pPr>
        <w:pStyle w:val="Caption"/>
        <w:ind w:left="0" w:firstLine="0"/>
        <w:rPr>
          <w:rFonts w:eastAsiaTheme="minorEastAsia"/>
        </w:rPr>
      </w:pPr>
    </w:p>
    <w:p w:rsidR="00431842" w:rsidRDefault="007D6DB6" w:rsidP="00431842">
      <w:pPr>
        <w:keepNext/>
      </w:pPr>
      <w:r>
        <w:rPr>
          <w:b/>
          <w:noProof/>
        </w:rPr>
        <w:drawing>
          <wp:inline distT="0" distB="0" distL="0" distR="0" wp14:anchorId="70827D2F" wp14:editId="40C132CD">
            <wp:extent cx="4968000" cy="3548493"/>
            <wp:effectExtent l="0" t="0" r="4445" b="0"/>
            <wp:docPr id="14" name="Picture 14" descr="Figure 2.4 Quarterly prevalence per 1,000,000 population by sex" title="Figure 2.4 Quarterly prevalence per 1,000,000 population by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plot4.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8000" cy="3548493"/>
                    </a:xfrm>
                    <a:prstGeom prst="rect">
                      <a:avLst/>
                    </a:prstGeom>
                    <a:noFill/>
                    <a:ln>
                      <a:noFill/>
                    </a:ln>
                  </pic:spPr>
                </pic:pic>
              </a:graphicData>
            </a:graphic>
          </wp:inline>
        </w:drawing>
      </w:r>
    </w:p>
    <w:p w:rsidR="000341B3" w:rsidRDefault="00431842" w:rsidP="00AF32C4">
      <w:pPr>
        <w:pStyle w:val="Caption"/>
      </w:pPr>
      <w:bookmarkStart w:id="50" w:name="_Toc511144355"/>
      <w:r>
        <w:t>Figure 2.</w:t>
      </w:r>
      <w:r>
        <w:rPr>
          <w:noProof/>
        </w:rPr>
        <w:t>4</w:t>
      </w:r>
      <w:r w:rsidR="00B30AA0">
        <w:rPr>
          <w:rFonts w:ascii="Cambria" w:eastAsiaTheme="minorHAnsi" w:hAnsi="Cambria" w:cstheme="minorBidi"/>
          <w:b w:val="0"/>
          <w:iCs w:val="0"/>
          <w:noProof/>
          <w:szCs w:val="22"/>
          <w:lang w:eastAsia="en-AU"/>
        </w:rPr>
        <w:tab/>
      </w:r>
      <w:r w:rsidRPr="001E2D3A">
        <w:t>Quarterly prevalence per 1,000,000 population by sex</w:t>
      </w:r>
      <w:bookmarkEnd w:id="50"/>
    </w:p>
    <w:p w:rsidR="00431842" w:rsidRDefault="000341B3" w:rsidP="00431842">
      <w:pPr>
        <w:keepNext/>
      </w:pPr>
      <w:r>
        <w:rPr>
          <w:b/>
          <w:noProof/>
        </w:rPr>
        <w:lastRenderedPageBreak/>
        <w:drawing>
          <wp:inline distT="0" distB="0" distL="0" distR="0" wp14:anchorId="56C7E744" wp14:editId="388DEEC9">
            <wp:extent cx="5369145" cy="6264000"/>
            <wp:effectExtent l="0" t="0" r="3175" b="3810"/>
            <wp:docPr id="21" name="Picture 21" descr="Figure 2.5 Quarterly prevalence per 1,000,000 population by sex and age group" title="Figure 2.5 Quarterly prevalence per 1,000,000 population by sex and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rplot4.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9145" cy="6264000"/>
                    </a:xfrm>
                    <a:prstGeom prst="rect">
                      <a:avLst/>
                    </a:prstGeom>
                    <a:noFill/>
                    <a:ln>
                      <a:noFill/>
                    </a:ln>
                  </pic:spPr>
                </pic:pic>
              </a:graphicData>
            </a:graphic>
          </wp:inline>
        </w:drawing>
      </w:r>
    </w:p>
    <w:p w:rsidR="000341B3" w:rsidRDefault="00431842" w:rsidP="00431842">
      <w:pPr>
        <w:pStyle w:val="Caption"/>
      </w:pPr>
      <w:bookmarkStart w:id="51" w:name="_Toc511144356"/>
      <w:r>
        <w:t>Figure 2.</w:t>
      </w:r>
      <w:r>
        <w:rPr>
          <w:noProof/>
        </w:rPr>
        <w:t>5</w:t>
      </w:r>
      <w:r w:rsidR="00B30AA0">
        <w:tab/>
      </w:r>
      <w:r w:rsidRPr="00A4551C">
        <w:t>Quarterly prevalence per 1,000,000 population by sex and age group</w:t>
      </w:r>
      <w:bookmarkEnd w:id="51"/>
    </w:p>
    <w:p w:rsidR="000341B3" w:rsidRDefault="000341B3" w:rsidP="006D5829">
      <w:pPr>
        <w:pStyle w:val="BodyTextnospacebefore"/>
        <w:spacing w:before="240"/>
      </w:pPr>
      <w:r>
        <w:t xml:space="preserve">PHSANZ data </w:t>
      </w:r>
      <w:r w:rsidR="00DB7160">
        <w:t>reports</w:t>
      </w:r>
      <w:r>
        <w:t xml:space="preserve"> a slight breakdown of age groups, reporting 84 patients (7.8%)</w:t>
      </w:r>
      <w:r w:rsidR="00DB7160">
        <w:t xml:space="preserve"> were &lt;</w:t>
      </w:r>
      <w:r>
        <w:t xml:space="preserve">18 years </w:t>
      </w:r>
      <w:r w:rsidR="00DB7160">
        <w:t>of age at the time of diagnosis.</w:t>
      </w:r>
      <w:r w:rsidR="003D172D">
        <w:t xml:space="preserve"> </w:t>
      </w:r>
      <w:r w:rsidR="00DB7160">
        <w:t>This however,</w:t>
      </w:r>
      <w:r>
        <w:t xml:space="preserve"> </w:t>
      </w:r>
      <w:proofErr w:type="gramStart"/>
      <w:r>
        <w:t>cannot be used</w:t>
      </w:r>
      <w:proofErr w:type="gramEnd"/>
      <w:r>
        <w:t xml:space="preserve"> as a surrogate of the paediatric population treated for PAH (</w:t>
      </w:r>
      <w:r w:rsidRPr="003351F5">
        <w:t xml:space="preserve">Appendix </w:t>
      </w:r>
      <w:r w:rsidR="002E23B7" w:rsidRPr="003351F5">
        <w:t>2</w:t>
      </w:r>
      <w:r w:rsidRPr="003351F5">
        <w:t>B,</w:t>
      </w:r>
      <w:r>
        <w:t xml:space="preserve"> Table 1, p. 7).</w:t>
      </w:r>
      <w:r w:rsidR="003D172D">
        <w:t xml:space="preserve"> </w:t>
      </w:r>
      <w:r>
        <w:t>PBS data reports 8.9%</w:t>
      </w:r>
      <w:r w:rsidR="00AF32C4">
        <w:t xml:space="preserve"> (n=213)</w:t>
      </w:r>
      <w:r>
        <w:t xml:space="preserve"> of prevalent users </w:t>
      </w:r>
      <w:r w:rsidR="007D7BE6">
        <w:t xml:space="preserve">of PAH targeted medicines </w:t>
      </w:r>
      <w:r>
        <w:t xml:space="preserve">were &lt;35 years of age in 2016, </w:t>
      </w:r>
      <w:r w:rsidR="00DB7160">
        <w:t>suggesting</w:t>
      </w:r>
      <w:r>
        <w:t xml:space="preserve"> an overestimation of paediatric cases within the PHSANZ cohort.</w:t>
      </w:r>
      <w:r w:rsidR="003D172D">
        <w:t xml:space="preserve"> </w:t>
      </w:r>
      <w:r>
        <w:t xml:space="preserve">This </w:t>
      </w:r>
      <w:proofErr w:type="gramStart"/>
      <w:r>
        <w:t>may be attributed</w:t>
      </w:r>
      <w:proofErr w:type="gramEnd"/>
      <w:r>
        <w:t xml:space="preserve"> to the </w:t>
      </w:r>
      <w:r w:rsidR="007D7BE6">
        <w:t xml:space="preserve">PHSANZ </w:t>
      </w:r>
      <w:r>
        <w:t xml:space="preserve">age-related data </w:t>
      </w:r>
      <w:r w:rsidR="007D7BE6">
        <w:t xml:space="preserve">being </w:t>
      </w:r>
      <w:r w:rsidRPr="000341B3">
        <w:t>presented from the time of diagnosis and the data set spanning across several years.</w:t>
      </w:r>
      <w:r w:rsidR="003D172D">
        <w:t xml:space="preserve"> </w:t>
      </w:r>
      <w:r w:rsidRPr="000341B3">
        <w:t xml:space="preserve">By the time of </w:t>
      </w:r>
      <w:r w:rsidR="007D7BE6">
        <w:t xml:space="preserve">the censoring date for the cross sectional analysis </w:t>
      </w:r>
      <w:r w:rsidRPr="000341B3">
        <w:t>, some patients may no longer be under 18 years of age, therefore skewing the data and overestimat</w:t>
      </w:r>
      <w:r w:rsidR="00556B6B">
        <w:t>ing the paediatric population.</w:t>
      </w:r>
    </w:p>
    <w:p w:rsidR="00633540" w:rsidRPr="000E117F" w:rsidRDefault="000E117F" w:rsidP="00633540">
      <w:pPr>
        <w:keepNext/>
        <w:rPr>
          <w:highlight w:val="cyan"/>
        </w:rPr>
      </w:pPr>
      <w:r>
        <w:rPr>
          <w:noProof/>
        </w:rPr>
        <w:lastRenderedPageBreak/>
        <w:drawing>
          <wp:inline distT="0" distB="0" distL="0" distR="0">
            <wp:extent cx="4967605" cy="3548380"/>
            <wp:effectExtent l="0" t="0" r="4445" b="0"/>
            <wp:docPr id="1" name="Picture 1" descr="image redacted" title="image redacted"/>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67605" cy="3548380"/>
                    </a:xfrm>
                    <a:prstGeom prst="rect">
                      <a:avLst/>
                    </a:prstGeom>
                  </pic:spPr>
                </pic:pic>
              </a:graphicData>
            </a:graphic>
          </wp:inline>
        </w:drawing>
      </w:r>
    </w:p>
    <w:p w:rsidR="00633540" w:rsidRPr="000E117F" w:rsidRDefault="000E117F" w:rsidP="004F7631">
      <w:pPr>
        <w:pStyle w:val="Caption"/>
        <w:spacing w:before="0"/>
        <w:ind w:left="0" w:firstLine="0"/>
        <w:rPr>
          <w:highlight w:val="black"/>
        </w:rPr>
      </w:pPr>
      <w:r>
        <w:rPr>
          <w:noProof/>
          <w:color w:val="000000"/>
          <w:highlight w:val="black"/>
        </w:rPr>
        <w:t>'''''''''' ''''''''''''''''''''''' '''''''''''''''''''' '''''' '''''''''''''''''' '''''''''''''''''' ''''' '''''''''''' ''''''''''</w:t>
      </w:r>
    </w:p>
    <w:p w:rsidR="00431842" w:rsidRDefault="00D26C56" w:rsidP="006D5829">
      <w:pPr>
        <w:keepNext/>
        <w:spacing w:before="240"/>
      </w:pPr>
      <w:r>
        <w:rPr>
          <w:noProof/>
        </w:rPr>
        <w:drawing>
          <wp:inline distT="0" distB="0" distL="0" distR="0" wp14:anchorId="04022B81" wp14:editId="37722B5F">
            <wp:extent cx="5486400" cy="3200400"/>
            <wp:effectExtent l="0" t="0" r="0" b="0"/>
            <wp:docPr id="8" name="Chart 8" descr="Figure 2.7 PHSANZ cohort WHO FC categorisation at time of diagnosis and time of last assessment" title="Figure 2.7 PHSANZ cohort WHO FC categorisation at time of diagnosis and time of last assess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929D7" w:rsidRPr="002C1DBF" w:rsidRDefault="00431842" w:rsidP="002C1DBF">
      <w:pPr>
        <w:pStyle w:val="Caption"/>
      </w:pPr>
      <w:bookmarkStart w:id="52" w:name="_Toc511144358"/>
      <w:r>
        <w:t>Figure 2.</w:t>
      </w:r>
      <w:r>
        <w:rPr>
          <w:noProof/>
        </w:rPr>
        <w:t>7</w:t>
      </w:r>
      <w:r w:rsidR="00B30AA0">
        <w:tab/>
      </w:r>
      <w:r w:rsidRPr="004B3705">
        <w:t xml:space="preserve">PHSANZ cohort WHO </w:t>
      </w:r>
      <w:r w:rsidR="00EB72BF">
        <w:t>FC</w:t>
      </w:r>
      <w:r w:rsidRPr="004B3705">
        <w:t xml:space="preserve"> categorisation at time of diagnosis and time of last assessment</w:t>
      </w:r>
      <w:bookmarkEnd w:id="52"/>
    </w:p>
    <w:p w:rsidR="00431842" w:rsidRDefault="00C90E4C" w:rsidP="00431842">
      <w:pPr>
        <w:keepNext/>
      </w:pPr>
      <w:r>
        <w:rPr>
          <w:noProof/>
        </w:rPr>
        <w:lastRenderedPageBreak/>
        <w:drawing>
          <wp:inline distT="0" distB="0" distL="0" distR="0" wp14:anchorId="0AA4AEB0" wp14:editId="4D9F2461">
            <wp:extent cx="5486400" cy="3200400"/>
            <wp:effectExtent l="0" t="0" r="0" b="0"/>
            <wp:docPr id="10" name="Chart 10" descr="Figure 2.8 ASCS cohort WHO FC categorisation at time of diagnosis/first visit where PAH medicines were given and at time of last assessment (index visit)" title="Figure 2.8 ASCS cohort WHO FC categorisation at time of diagnosis/first visit where PAH medicines were given and at time of last assessment (index visi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1842" w:rsidRDefault="00431842" w:rsidP="00C5616C">
      <w:pPr>
        <w:pStyle w:val="Caption"/>
      </w:pPr>
      <w:bookmarkStart w:id="53" w:name="_Toc511144359"/>
      <w:r>
        <w:t>Figure 2.</w:t>
      </w:r>
      <w:r>
        <w:rPr>
          <w:noProof/>
        </w:rPr>
        <w:t>8</w:t>
      </w:r>
      <w:r w:rsidR="00B30AA0">
        <w:tab/>
      </w:r>
      <w:r w:rsidRPr="001B395F">
        <w:t xml:space="preserve">ASCS cohort WHO </w:t>
      </w:r>
      <w:r w:rsidR="00EB72BF">
        <w:t>FC</w:t>
      </w:r>
      <w:r w:rsidRPr="001B395F">
        <w:t xml:space="preserve"> categorisation at time of diagnosis</w:t>
      </w:r>
      <w:r w:rsidR="00BF462C">
        <w:t xml:space="preserve">/first visit where PAH medicines </w:t>
      </w:r>
      <w:proofErr w:type="gramStart"/>
      <w:r w:rsidR="00BF462C">
        <w:t>were given</w:t>
      </w:r>
      <w:proofErr w:type="gramEnd"/>
      <w:r w:rsidRPr="001B395F">
        <w:t xml:space="preserve"> and </w:t>
      </w:r>
      <w:r w:rsidR="00160643">
        <w:t xml:space="preserve">at </w:t>
      </w:r>
      <w:r w:rsidRPr="001B395F">
        <w:t xml:space="preserve">time of </w:t>
      </w:r>
      <w:r w:rsidR="00784093">
        <w:t>last assessment (index visit)</w:t>
      </w:r>
      <w:bookmarkEnd w:id="53"/>
    </w:p>
    <w:p w:rsidR="006929D7" w:rsidRPr="002C1DBF" w:rsidRDefault="006668D1" w:rsidP="00C5616C">
      <w:pPr>
        <w:pStyle w:val="BodyTextnospacebefore"/>
        <w:spacing w:before="240"/>
      </w:pPr>
      <w:r w:rsidRPr="00870818">
        <w:t xml:space="preserve">WHO FC </w:t>
      </w:r>
      <w:r w:rsidR="00DB7160" w:rsidRPr="00870818">
        <w:t>information</w:t>
      </w:r>
      <w:r w:rsidRPr="00870818">
        <w:t xml:space="preserve"> </w:t>
      </w:r>
      <w:proofErr w:type="gramStart"/>
      <w:r w:rsidRPr="00870818">
        <w:t>is not captured</w:t>
      </w:r>
      <w:proofErr w:type="gramEnd"/>
      <w:r w:rsidRPr="00870818">
        <w:t xml:space="preserve"> by PBS </w:t>
      </w:r>
      <w:r w:rsidR="00DB7160" w:rsidRPr="00870818">
        <w:t>claims data, particularly for WHO FC I/II patients, as PAH medicines are not PBS-subsidised in this cohort.</w:t>
      </w:r>
      <w:r w:rsidR="003D172D" w:rsidRPr="00870818">
        <w:t xml:space="preserve"> </w:t>
      </w:r>
      <w:r w:rsidR="00870818">
        <w:t xml:space="preserve">Both PHSANZ and ASCS reported on WHO FC at time of the last patient assessment. </w:t>
      </w:r>
      <w:r w:rsidRPr="00870818">
        <w:t xml:space="preserve">PHSANZ </w:t>
      </w:r>
      <w:r w:rsidR="00870818">
        <w:t>compared this to WHO FC at time of diagnosis</w:t>
      </w:r>
      <w:r w:rsidR="009637B7">
        <w:t>,</w:t>
      </w:r>
      <w:r w:rsidR="008D45BD">
        <w:t xml:space="preserve"> while</w:t>
      </w:r>
      <w:r w:rsidRPr="00870818">
        <w:t xml:space="preserve"> ASCS</w:t>
      </w:r>
      <w:r w:rsidR="008D45BD">
        <w:t xml:space="preserve"> </w:t>
      </w:r>
      <w:r w:rsidRPr="00870818">
        <w:t xml:space="preserve">recorded the </w:t>
      </w:r>
      <w:r w:rsidR="002F4360" w:rsidRPr="002C1DBF">
        <w:t xml:space="preserve">WHO </w:t>
      </w:r>
      <w:r w:rsidR="00EB72BF" w:rsidRPr="00870818">
        <w:t>FC</w:t>
      </w:r>
      <w:r w:rsidRPr="00870818">
        <w:t xml:space="preserve"> </w:t>
      </w:r>
      <w:r w:rsidR="00870818">
        <w:t>of</w:t>
      </w:r>
      <w:r w:rsidRPr="00870818">
        <w:t xml:space="preserve"> patients at the time of diagnosis</w:t>
      </w:r>
      <w:r w:rsidR="008D45BD">
        <w:t xml:space="preserve"> </w:t>
      </w:r>
      <w:r w:rsidR="008D45BD" w:rsidRPr="005E77FB">
        <w:t xml:space="preserve">or </w:t>
      </w:r>
      <w:r w:rsidR="002F4360" w:rsidRPr="005E77FB">
        <w:t xml:space="preserve">first visit where PAH medicines </w:t>
      </w:r>
      <w:proofErr w:type="gramStart"/>
      <w:r w:rsidR="002F4360" w:rsidRPr="005E77FB">
        <w:t>were given</w:t>
      </w:r>
      <w:proofErr w:type="gramEnd"/>
      <w:r w:rsidR="00160643" w:rsidRPr="005E77FB">
        <w:t xml:space="preserve">. Information </w:t>
      </w:r>
      <w:r w:rsidR="00B77254" w:rsidRPr="005E77FB">
        <w:t xml:space="preserve">on WHO FC </w:t>
      </w:r>
      <w:r w:rsidR="00160643" w:rsidRPr="005E77FB">
        <w:t xml:space="preserve">was not available for 11.5% of patients </w:t>
      </w:r>
      <w:r w:rsidR="009637B7">
        <w:t xml:space="preserve">in the ASCS </w:t>
      </w:r>
      <w:r w:rsidR="00160643" w:rsidRPr="005E77FB">
        <w:t>(Appendix 2C</w:t>
      </w:r>
      <w:r w:rsidR="00604723" w:rsidRPr="005E77FB">
        <w:t>, p.26</w:t>
      </w:r>
      <w:r w:rsidR="00160643" w:rsidRPr="005E77FB">
        <w:t>)</w:t>
      </w:r>
      <w:r w:rsidR="005E77FB">
        <w:t>.</w:t>
      </w:r>
    </w:p>
    <w:p w:rsidR="008D45BD" w:rsidRPr="002C1DBF" w:rsidRDefault="008619CE" w:rsidP="00160643">
      <w:pPr>
        <w:pStyle w:val="BodyTextnospacebefore"/>
        <w:spacing w:before="240"/>
      </w:pPr>
      <w:r>
        <w:t>PHSANZ r</w:t>
      </w:r>
      <w:r w:rsidRPr="002F0315">
        <w:t>egistry</w:t>
      </w:r>
      <w:r>
        <w:t xml:space="preserve"> data</w:t>
      </w:r>
      <w:r w:rsidRPr="002F0315">
        <w:t xml:space="preserve"> indicates that approximately 20% of patients in the PAH cohort (those alive and receiving medication in 2017) were diagnosed or presented to PAH centres with symptoms classified in WHO FC II. The majority (67%) of patients entered the cohort with WHO FC III symptoms and 6% with WHO FC IV symptoms. Information on WHO FC at time of cohort entry was not available in 6.8% of patients.</w:t>
      </w:r>
      <w:r w:rsidRPr="002C1DBF" w:rsidDel="008619CE">
        <w:t xml:space="preserve"> </w:t>
      </w:r>
      <w:r w:rsidR="002F6D64">
        <w:t>(Appendix 2B, p.8, Table 1).</w:t>
      </w:r>
    </w:p>
    <w:p w:rsidR="00633540" w:rsidRDefault="00A03EA3" w:rsidP="00C5616C">
      <w:pPr>
        <w:pStyle w:val="BodyTextnospacebefore"/>
        <w:spacing w:before="240"/>
      </w:pPr>
      <w:r w:rsidRPr="002C1DBF">
        <w:t xml:space="preserve">The number patients presenting at time of enrolment according to WHO FC may be useful in understanding </w:t>
      </w:r>
      <w:r w:rsidR="00F35F30" w:rsidRPr="002C1DBF">
        <w:t xml:space="preserve">the </w:t>
      </w:r>
      <w:r w:rsidRPr="002C1DBF">
        <w:t xml:space="preserve">when patients commence treatment in Australia, however no conclusion should be drawn from the reduction in the proportion of patients with WHO FC </w:t>
      </w:r>
      <w:r w:rsidR="006929D7" w:rsidRPr="002C1DBF">
        <w:t xml:space="preserve">III </w:t>
      </w:r>
      <w:r w:rsidRPr="002C1DBF">
        <w:t xml:space="preserve">and </w:t>
      </w:r>
      <w:r w:rsidR="006929D7" w:rsidRPr="002C1DBF">
        <w:t>I</w:t>
      </w:r>
      <w:r w:rsidRPr="002C1DBF">
        <w:t>V at last assessment.</w:t>
      </w:r>
    </w:p>
    <w:p w:rsidR="00633540" w:rsidRDefault="00784093" w:rsidP="00C5616C">
      <w:pPr>
        <w:pStyle w:val="Heading3"/>
      </w:pPr>
      <w:bookmarkStart w:id="54" w:name="_Toc508360134"/>
      <w:bookmarkStart w:id="55" w:name="_Toc36810531"/>
      <w:r>
        <w:lastRenderedPageBreak/>
        <w:t>2.4</w:t>
      </w:r>
      <w:r w:rsidR="00633540" w:rsidRPr="009A6F8F">
        <w:t>.3 Incidence of PAH medicine use</w:t>
      </w:r>
      <w:bookmarkEnd w:id="54"/>
      <w:r w:rsidR="00093386">
        <w:t xml:space="preserve"> in PBS data</w:t>
      </w:r>
      <w:bookmarkEnd w:id="55"/>
    </w:p>
    <w:p w:rsidR="00431842" w:rsidRDefault="00633540" w:rsidP="00431842">
      <w:pPr>
        <w:keepNext/>
      </w:pPr>
      <w:bookmarkStart w:id="56" w:name="_Toc508360135"/>
      <w:r>
        <w:rPr>
          <w:noProof/>
        </w:rPr>
        <w:drawing>
          <wp:inline distT="0" distB="0" distL="0" distR="0" wp14:anchorId="06B81B20" wp14:editId="01BA648B">
            <wp:extent cx="4968000" cy="3548572"/>
            <wp:effectExtent l="0" t="0" r="4445" b="0"/>
            <wp:docPr id="15" name="Picture 15" descr="Figure 2.9 Quarterly incidence and prevalence of use per 1,000,000 population" title="Figure 2.9 Quarterly incidence and prevalence of use per 1,000,000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plot4.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68000" cy="3548572"/>
                    </a:xfrm>
                    <a:prstGeom prst="rect">
                      <a:avLst/>
                    </a:prstGeom>
                    <a:noFill/>
                    <a:ln>
                      <a:noFill/>
                    </a:ln>
                  </pic:spPr>
                </pic:pic>
              </a:graphicData>
            </a:graphic>
          </wp:inline>
        </w:drawing>
      </w:r>
      <w:bookmarkEnd w:id="56"/>
    </w:p>
    <w:p w:rsidR="00633540" w:rsidRDefault="00B30AA0" w:rsidP="00431842">
      <w:pPr>
        <w:pStyle w:val="Caption"/>
      </w:pPr>
      <w:bookmarkStart w:id="57" w:name="_Toc511144360"/>
      <w:r>
        <w:t>Figure 2.</w:t>
      </w:r>
      <w:r w:rsidR="00431842">
        <w:rPr>
          <w:noProof/>
        </w:rPr>
        <w:t>9</w:t>
      </w:r>
      <w:r>
        <w:tab/>
      </w:r>
      <w:r w:rsidR="00431842" w:rsidRPr="006733DA">
        <w:t>Quarterly incidence and prevalence of use per 1,000,000 population</w:t>
      </w:r>
      <w:bookmarkEnd w:id="57"/>
    </w:p>
    <w:p w:rsidR="00431842" w:rsidRPr="00431842" w:rsidRDefault="00431842" w:rsidP="00431842">
      <w:pPr>
        <w:pStyle w:val="05Tabletext"/>
      </w:pPr>
    </w:p>
    <w:p w:rsidR="00633540" w:rsidRPr="00586A81" w:rsidRDefault="00633540" w:rsidP="00C5616C">
      <w:pPr>
        <w:pStyle w:val="BodyTextnospacebefore"/>
      </w:pPr>
      <w:bookmarkStart w:id="58" w:name="_Toc508360137"/>
      <w:r w:rsidRPr="00D33F5E">
        <w:t xml:space="preserve">Figure </w:t>
      </w:r>
      <w:r w:rsidR="004367AC">
        <w:t>2.9</w:t>
      </w:r>
      <w:r>
        <w:t xml:space="preserve"> </w:t>
      </w:r>
      <w:r w:rsidRPr="00D33F5E">
        <w:t>indicates that while incident use of</w:t>
      </w:r>
      <w:r w:rsidR="00093386">
        <w:t xml:space="preserve"> PBS listed</w:t>
      </w:r>
      <w:r w:rsidRPr="00D33F5E">
        <w:t xml:space="preserve"> PAH medicines by quarter remained relatively stable across</w:t>
      </w:r>
      <w:r w:rsidR="003D172D">
        <w:t xml:space="preserve"> </w:t>
      </w:r>
      <w:r w:rsidRPr="00D33F5E">
        <w:t>2013-2016, prevalent use by quarter increased slightly (from 72.3 per 1,000,000 in Quarter 3 2013 to 86.3 per 1,000,000 population in Quarter 4 2016)</w:t>
      </w:r>
      <w:bookmarkEnd w:id="58"/>
      <w:r w:rsidR="00204B9C">
        <w:t>.</w:t>
      </w:r>
    </w:p>
    <w:p w:rsidR="00FB7717" w:rsidRPr="00FB7717" w:rsidRDefault="00FB7717" w:rsidP="00FB7717">
      <w:pPr>
        <w:pStyle w:val="Caption"/>
      </w:pPr>
      <w:bookmarkStart w:id="59" w:name="_Toc511144346"/>
      <w:r w:rsidRPr="00FB7717">
        <w:t>Table 2.</w:t>
      </w:r>
      <w:r w:rsidR="00BA253F">
        <w:rPr>
          <w:noProof/>
        </w:rPr>
        <w:t>3</w:t>
      </w:r>
      <w:r w:rsidR="00B30AA0">
        <w:tab/>
      </w:r>
      <w:r w:rsidRPr="00FB7717">
        <w:t>Annual number of incident (new) users by first medicine dispensed</w:t>
      </w:r>
      <w:bookmarkEnd w:id="59"/>
    </w:p>
    <w:tbl>
      <w:tblPr>
        <w:tblStyle w:val="TableGrid"/>
        <w:tblW w:w="9322" w:type="dxa"/>
        <w:tblLook w:val="04A0" w:firstRow="1" w:lastRow="0" w:firstColumn="1" w:lastColumn="0" w:noHBand="0" w:noVBand="1"/>
        <w:tblCaption w:val="Table 2.3 Annual number of incident (new) users by first medicine dispensed"/>
        <w:tblDescription w:val="Table 2.3 Annual number of incident (new) users by first medicine dispensed"/>
      </w:tblPr>
      <w:tblGrid>
        <w:gridCol w:w="3794"/>
        <w:gridCol w:w="1842"/>
        <w:gridCol w:w="1843"/>
        <w:gridCol w:w="1843"/>
      </w:tblGrid>
      <w:tr w:rsidR="00E17C81" w:rsidRPr="00D33F5E" w:rsidTr="00E17C81">
        <w:trPr>
          <w:tblHeader/>
        </w:trPr>
        <w:tc>
          <w:tcPr>
            <w:tcW w:w="3794" w:type="dxa"/>
            <w:vMerge w:val="restart"/>
            <w:tcBorders>
              <w:left w:val="single" w:sz="4" w:space="0" w:color="auto"/>
              <w:right w:val="nil"/>
            </w:tcBorders>
            <w:shd w:val="clear" w:color="auto" w:fill="BFBFBF" w:themeFill="background1" w:themeFillShade="BF"/>
          </w:tcPr>
          <w:p w:rsidR="00E17C81" w:rsidRPr="002E23B7" w:rsidRDefault="00E17C81" w:rsidP="0054207F">
            <w:pPr>
              <w:spacing w:before="20" w:after="20"/>
              <w:rPr>
                <w:rFonts w:ascii="Arial" w:hAnsi="Arial" w:cs="Arial"/>
                <w:b/>
              </w:rPr>
            </w:pPr>
          </w:p>
        </w:tc>
        <w:tc>
          <w:tcPr>
            <w:tcW w:w="1842" w:type="dxa"/>
            <w:tcBorders>
              <w:top w:val="single" w:sz="4" w:space="0" w:color="auto"/>
              <w:left w:val="nil"/>
              <w:bottom w:val="single" w:sz="4" w:space="0" w:color="auto"/>
              <w:right w:val="nil"/>
            </w:tcBorders>
            <w:shd w:val="clear" w:color="auto" w:fill="BFBFBF" w:themeFill="background1" w:themeFillShade="BF"/>
          </w:tcPr>
          <w:p w:rsidR="00E17C81" w:rsidRPr="002E23B7" w:rsidRDefault="00E17C81" w:rsidP="0054207F">
            <w:pPr>
              <w:spacing w:before="20" w:after="20"/>
              <w:jc w:val="center"/>
              <w:rPr>
                <w:rFonts w:ascii="Arial" w:hAnsi="Arial" w:cs="Arial"/>
                <w:b/>
              </w:rPr>
            </w:pPr>
          </w:p>
        </w:tc>
        <w:tc>
          <w:tcPr>
            <w:tcW w:w="1843" w:type="dxa"/>
            <w:tcBorders>
              <w:top w:val="single" w:sz="4" w:space="0" w:color="auto"/>
              <w:left w:val="nil"/>
              <w:bottom w:val="single" w:sz="4" w:space="0" w:color="auto"/>
              <w:right w:val="nil"/>
            </w:tcBorders>
            <w:shd w:val="clear" w:color="auto" w:fill="BFBFBF" w:themeFill="background1" w:themeFillShade="BF"/>
          </w:tcPr>
          <w:p w:rsidR="00E17C81" w:rsidRPr="002E23B7" w:rsidRDefault="00E17C81" w:rsidP="0054207F">
            <w:pPr>
              <w:spacing w:before="20" w:after="20"/>
              <w:jc w:val="center"/>
              <w:rPr>
                <w:rFonts w:ascii="Arial" w:hAnsi="Arial" w:cs="Arial"/>
                <w:b/>
              </w:rPr>
            </w:pPr>
            <w:r w:rsidRPr="002E23B7">
              <w:rPr>
                <w:rFonts w:ascii="Arial" w:hAnsi="Arial" w:cs="Arial"/>
                <w:b/>
              </w:rPr>
              <w:t>Year</w:t>
            </w:r>
          </w:p>
        </w:tc>
        <w:tc>
          <w:tcPr>
            <w:tcW w:w="1843" w:type="dxa"/>
            <w:tcBorders>
              <w:top w:val="single" w:sz="4" w:space="0" w:color="auto"/>
              <w:left w:val="nil"/>
              <w:bottom w:val="single" w:sz="4" w:space="0" w:color="auto"/>
              <w:right w:val="nil"/>
            </w:tcBorders>
            <w:shd w:val="clear" w:color="auto" w:fill="BFBFBF" w:themeFill="background1" w:themeFillShade="BF"/>
          </w:tcPr>
          <w:p w:rsidR="00E17C81" w:rsidRPr="002E23B7" w:rsidRDefault="00E17C81" w:rsidP="0054207F">
            <w:pPr>
              <w:spacing w:before="20" w:after="20"/>
              <w:jc w:val="center"/>
              <w:rPr>
                <w:rFonts w:ascii="Arial" w:hAnsi="Arial" w:cs="Arial"/>
                <w:b/>
              </w:rPr>
            </w:pPr>
          </w:p>
        </w:tc>
      </w:tr>
      <w:tr w:rsidR="00633540" w:rsidRPr="00D33F5E" w:rsidTr="00E17C81">
        <w:tc>
          <w:tcPr>
            <w:tcW w:w="3794" w:type="dxa"/>
            <w:vMerge/>
            <w:tcBorders>
              <w:left w:val="single" w:sz="4" w:space="0" w:color="auto"/>
              <w:bottom w:val="single" w:sz="4" w:space="0" w:color="auto"/>
              <w:right w:val="nil"/>
            </w:tcBorders>
            <w:shd w:val="clear" w:color="auto" w:fill="BFBFBF" w:themeFill="background1" w:themeFillShade="BF"/>
          </w:tcPr>
          <w:p w:rsidR="00633540" w:rsidRPr="002E23B7" w:rsidRDefault="00633540" w:rsidP="0054207F">
            <w:pPr>
              <w:spacing w:before="20" w:after="20"/>
              <w:rPr>
                <w:rFonts w:ascii="Arial" w:hAnsi="Arial" w:cs="Arial"/>
                <w:b/>
              </w:rPr>
            </w:pPr>
          </w:p>
        </w:tc>
        <w:tc>
          <w:tcPr>
            <w:tcW w:w="1842" w:type="dxa"/>
            <w:tcBorders>
              <w:top w:val="single" w:sz="4" w:space="0" w:color="auto"/>
              <w:left w:val="nil"/>
              <w:bottom w:val="single" w:sz="4" w:space="0" w:color="auto"/>
              <w:right w:val="nil"/>
            </w:tcBorders>
            <w:shd w:val="clear" w:color="auto" w:fill="BFBFBF" w:themeFill="background1" w:themeFillShade="BF"/>
          </w:tcPr>
          <w:p w:rsidR="00633540" w:rsidRPr="002E23B7" w:rsidRDefault="00633540" w:rsidP="0054207F">
            <w:pPr>
              <w:spacing w:before="20" w:after="20"/>
              <w:jc w:val="left"/>
              <w:rPr>
                <w:rFonts w:ascii="Arial" w:hAnsi="Arial" w:cs="Arial"/>
                <w:b/>
              </w:rPr>
            </w:pPr>
            <w:r w:rsidRPr="002E23B7">
              <w:rPr>
                <w:rFonts w:ascii="Arial" w:hAnsi="Arial" w:cs="Arial"/>
                <w:b/>
              </w:rPr>
              <w:t xml:space="preserve">2014 </w:t>
            </w:r>
          </w:p>
        </w:tc>
        <w:tc>
          <w:tcPr>
            <w:tcW w:w="1843" w:type="dxa"/>
            <w:tcBorders>
              <w:top w:val="single" w:sz="4" w:space="0" w:color="auto"/>
              <w:left w:val="nil"/>
              <w:bottom w:val="single" w:sz="4" w:space="0" w:color="auto"/>
              <w:right w:val="nil"/>
            </w:tcBorders>
            <w:shd w:val="clear" w:color="auto" w:fill="BFBFBF" w:themeFill="background1" w:themeFillShade="BF"/>
          </w:tcPr>
          <w:p w:rsidR="00633540" w:rsidRPr="002E23B7" w:rsidRDefault="00633540" w:rsidP="0054207F">
            <w:pPr>
              <w:spacing w:before="20" w:after="20"/>
              <w:jc w:val="left"/>
              <w:rPr>
                <w:rFonts w:ascii="Arial" w:hAnsi="Arial" w:cs="Arial"/>
                <w:b/>
              </w:rPr>
            </w:pPr>
            <w:r w:rsidRPr="002E23B7">
              <w:rPr>
                <w:rFonts w:ascii="Arial" w:hAnsi="Arial" w:cs="Arial"/>
                <w:b/>
              </w:rPr>
              <w:t>2015</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tcPr>
          <w:p w:rsidR="00633540" w:rsidRPr="002E23B7" w:rsidRDefault="00633540" w:rsidP="0054207F">
            <w:pPr>
              <w:spacing w:before="20" w:after="20"/>
              <w:jc w:val="left"/>
              <w:rPr>
                <w:rFonts w:ascii="Arial" w:hAnsi="Arial" w:cs="Arial"/>
                <w:b/>
              </w:rPr>
            </w:pPr>
            <w:r w:rsidRPr="002E23B7">
              <w:rPr>
                <w:rFonts w:ascii="Arial" w:hAnsi="Arial" w:cs="Arial"/>
                <w:b/>
              </w:rPr>
              <w:t xml:space="preserve">2016 </w:t>
            </w:r>
          </w:p>
        </w:tc>
      </w:tr>
      <w:tr w:rsidR="00633540" w:rsidRPr="00D33F5E" w:rsidTr="0054207F">
        <w:tc>
          <w:tcPr>
            <w:tcW w:w="3794" w:type="dxa"/>
            <w:tcBorders>
              <w:top w:val="single" w:sz="4" w:space="0" w:color="auto"/>
              <w:left w:val="single" w:sz="4" w:space="0" w:color="auto"/>
              <w:bottom w:val="single" w:sz="4" w:space="0" w:color="auto"/>
              <w:right w:val="nil"/>
            </w:tcBorders>
            <w:shd w:val="clear" w:color="auto" w:fill="BFBFBF" w:themeFill="background1" w:themeFillShade="BF"/>
          </w:tcPr>
          <w:p w:rsidR="00633540" w:rsidRPr="002E23B7" w:rsidRDefault="00633540" w:rsidP="0054207F">
            <w:pPr>
              <w:spacing w:before="20" w:after="20"/>
              <w:rPr>
                <w:rFonts w:ascii="Arial" w:hAnsi="Arial" w:cs="Arial"/>
                <w:b/>
              </w:rPr>
            </w:pPr>
            <w:r w:rsidRPr="002E23B7">
              <w:rPr>
                <w:rFonts w:ascii="Arial" w:hAnsi="Arial" w:cs="Arial"/>
                <w:b/>
              </w:rPr>
              <w:t>Number of people</w:t>
            </w:r>
          </w:p>
        </w:tc>
        <w:tc>
          <w:tcPr>
            <w:tcW w:w="1842" w:type="dxa"/>
            <w:tcBorders>
              <w:top w:val="single" w:sz="4" w:space="0" w:color="auto"/>
              <w:left w:val="nil"/>
              <w:bottom w:val="single" w:sz="4" w:space="0" w:color="auto"/>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N</w:t>
            </w:r>
            <w:r w:rsidR="006855EB">
              <w:rPr>
                <w:rFonts w:ascii="Arial" w:hAnsi="Arial" w:cs="Arial"/>
              </w:rPr>
              <w:t xml:space="preserve"> </w:t>
            </w:r>
            <w:r w:rsidRPr="002E23B7">
              <w:rPr>
                <w:rFonts w:ascii="Arial" w:hAnsi="Arial" w:cs="Arial"/>
              </w:rPr>
              <w:t>= 454 (100%)</w:t>
            </w:r>
          </w:p>
        </w:tc>
        <w:tc>
          <w:tcPr>
            <w:tcW w:w="1843" w:type="dxa"/>
            <w:tcBorders>
              <w:top w:val="single" w:sz="4" w:space="0" w:color="auto"/>
              <w:left w:val="single" w:sz="4" w:space="0" w:color="auto"/>
              <w:bottom w:val="single" w:sz="4" w:space="0" w:color="auto"/>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N</w:t>
            </w:r>
            <w:r w:rsidR="006855EB">
              <w:rPr>
                <w:rFonts w:ascii="Arial" w:hAnsi="Arial" w:cs="Arial"/>
              </w:rPr>
              <w:t xml:space="preserve"> </w:t>
            </w:r>
            <w:r w:rsidRPr="002E23B7">
              <w:rPr>
                <w:rFonts w:ascii="Arial" w:hAnsi="Arial" w:cs="Arial"/>
              </w:rPr>
              <w:t>= 457 (100%)</w:t>
            </w:r>
          </w:p>
        </w:tc>
        <w:tc>
          <w:tcPr>
            <w:tcW w:w="1843" w:type="dxa"/>
            <w:tcBorders>
              <w:top w:val="single" w:sz="4" w:space="0" w:color="auto"/>
              <w:left w:val="single" w:sz="4" w:space="0" w:color="auto"/>
              <w:bottom w:val="single" w:sz="4" w:space="0" w:color="auto"/>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N</w:t>
            </w:r>
            <w:r w:rsidR="006855EB">
              <w:rPr>
                <w:rFonts w:ascii="Arial" w:hAnsi="Arial" w:cs="Arial"/>
              </w:rPr>
              <w:t xml:space="preserve"> </w:t>
            </w:r>
            <w:r w:rsidRPr="002E23B7">
              <w:rPr>
                <w:rFonts w:ascii="Arial" w:hAnsi="Arial" w:cs="Arial"/>
              </w:rPr>
              <w:t>= 461 (100%)</w:t>
            </w:r>
          </w:p>
        </w:tc>
      </w:tr>
      <w:tr w:rsidR="00633540" w:rsidRPr="00D33F5E" w:rsidTr="0054207F">
        <w:trPr>
          <w:trHeight w:val="87"/>
        </w:trPr>
        <w:tc>
          <w:tcPr>
            <w:tcW w:w="3794" w:type="dxa"/>
            <w:tcBorders>
              <w:top w:val="nil"/>
              <w:left w:val="single" w:sz="4" w:space="0" w:color="auto"/>
              <w:bottom w:val="nil"/>
              <w:right w:val="nil"/>
            </w:tcBorders>
            <w:shd w:val="clear" w:color="auto" w:fill="BFBFBF" w:themeFill="background1" w:themeFillShade="BF"/>
          </w:tcPr>
          <w:p w:rsidR="00633540" w:rsidRPr="002E23B7" w:rsidRDefault="00633540" w:rsidP="0054207F">
            <w:pPr>
              <w:spacing w:before="20" w:after="20"/>
              <w:rPr>
                <w:rFonts w:ascii="Arial" w:hAnsi="Arial" w:cs="Arial"/>
              </w:rPr>
            </w:pPr>
            <w:r w:rsidRPr="002E23B7">
              <w:rPr>
                <w:rFonts w:ascii="Arial" w:hAnsi="Arial" w:cs="Arial"/>
                <w:b/>
              </w:rPr>
              <w:t>Medicine class initiated on:</w:t>
            </w:r>
          </w:p>
        </w:tc>
        <w:tc>
          <w:tcPr>
            <w:tcW w:w="1842" w:type="dxa"/>
            <w:tcBorders>
              <w:top w:val="nil"/>
              <w:left w:val="nil"/>
              <w:bottom w:val="nil"/>
              <w:right w:val="single" w:sz="4" w:space="0" w:color="auto"/>
            </w:tcBorders>
            <w:vAlign w:val="center"/>
          </w:tcPr>
          <w:p w:rsidR="00633540" w:rsidRPr="002E23B7" w:rsidRDefault="00633540" w:rsidP="0054207F">
            <w:pPr>
              <w:spacing w:before="20" w:after="20"/>
              <w:jc w:val="left"/>
              <w:rPr>
                <w:rFonts w:ascii="Arial" w:hAnsi="Arial" w:cs="Arial"/>
              </w:rPr>
            </w:pPr>
          </w:p>
        </w:tc>
        <w:tc>
          <w:tcPr>
            <w:tcW w:w="1843" w:type="dxa"/>
            <w:tcBorders>
              <w:top w:val="nil"/>
              <w:left w:val="single" w:sz="4" w:space="0" w:color="auto"/>
              <w:bottom w:val="nil"/>
              <w:right w:val="single" w:sz="4" w:space="0" w:color="auto"/>
            </w:tcBorders>
            <w:vAlign w:val="center"/>
          </w:tcPr>
          <w:p w:rsidR="00633540" w:rsidRPr="002E23B7" w:rsidRDefault="00633540" w:rsidP="0054207F">
            <w:pPr>
              <w:spacing w:before="20" w:after="20"/>
              <w:jc w:val="left"/>
              <w:rPr>
                <w:rFonts w:ascii="Arial" w:hAnsi="Arial" w:cs="Arial"/>
              </w:rPr>
            </w:pPr>
          </w:p>
        </w:tc>
        <w:tc>
          <w:tcPr>
            <w:tcW w:w="1843" w:type="dxa"/>
            <w:tcBorders>
              <w:top w:val="nil"/>
              <w:left w:val="single" w:sz="4" w:space="0" w:color="auto"/>
              <w:bottom w:val="nil"/>
              <w:right w:val="single" w:sz="4" w:space="0" w:color="auto"/>
            </w:tcBorders>
            <w:vAlign w:val="center"/>
          </w:tcPr>
          <w:p w:rsidR="00633540" w:rsidRPr="002E23B7" w:rsidRDefault="00633540" w:rsidP="0054207F">
            <w:pPr>
              <w:spacing w:before="20" w:after="20"/>
              <w:jc w:val="left"/>
              <w:rPr>
                <w:rFonts w:ascii="Arial" w:hAnsi="Arial" w:cs="Arial"/>
              </w:rPr>
            </w:pPr>
          </w:p>
        </w:tc>
      </w:tr>
      <w:tr w:rsidR="00633540" w:rsidRPr="00D33F5E" w:rsidTr="0054207F">
        <w:trPr>
          <w:trHeight w:val="87"/>
        </w:trPr>
        <w:tc>
          <w:tcPr>
            <w:tcW w:w="3794" w:type="dxa"/>
            <w:tcBorders>
              <w:top w:val="nil"/>
              <w:left w:val="single" w:sz="4" w:space="0" w:color="auto"/>
              <w:bottom w:val="nil"/>
              <w:right w:val="nil"/>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ERA</w:t>
            </w:r>
          </w:p>
        </w:tc>
        <w:tc>
          <w:tcPr>
            <w:tcW w:w="1842" w:type="dxa"/>
            <w:tcBorders>
              <w:top w:val="nil"/>
              <w:left w:val="nil"/>
              <w:bottom w:val="nil"/>
              <w:right w:val="single" w:sz="4" w:space="0" w:color="auto"/>
            </w:tcBorders>
            <w:vAlign w:val="center"/>
          </w:tcPr>
          <w:p w:rsidR="00633540" w:rsidRPr="002E23B7" w:rsidRDefault="00633540" w:rsidP="0054207F">
            <w:pPr>
              <w:spacing w:before="20" w:after="20"/>
              <w:jc w:val="left"/>
              <w:rPr>
                <w:rFonts w:ascii="Arial" w:hAnsi="Arial" w:cs="Arial"/>
              </w:rPr>
            </w:pPr>
            <w:r w:rsidRPr="002E23B7">
              <w:rPr>
                <w:rFonts w:ascii="Arial" w:hAnsi="Arial" w:cs="Arial"/>
              </w:rPr>
              <w:t>312 (68.7)</w:t>
            </w:r>
          </w:p>
        </w:tc>
        <w:tc>
          <w:tcPr>
            <w:tcW w:w="1843" w:type="dxa"/>
            <w:tcBorders>
              <w:top w:val="nil"/>
              <w:left w:val="single" w:sz="4" w:space="0" w:color="auto"/>
              <w:bottom w:val="nil"/>
              <w:right w:val="single" w:sz="4" w:space="0" w:color="auto"/>
            </w:tcBorders>
            <w:vAlign w:val="center"/>
          </w:tcPr>
          <w:p w:rsidR="00633540" w:rsidRPr="002E23B7" w:rsidRDefault="00633540" w:rsidP="0054207F">
            <w:pPr>
              <w:spacing w:before="20" w:after="20"/>
              <w:jc w:val="left"/>
              <w:rPr>
                <w:rFonts w:ascii="Arial" w:hAnsi="Arial" w:cs="Arial"/>
              </w:rPr>
            </w:pPr>
            <w:r w:rsidRPr="002E23B7">
              <w:rPr>
                <w:rFonts w:ascii="Arial" w:hAnsi="Arial" w:cs="Arial"/>
              </w:rPr>
              <w:t>312 (68.3)</w:t>
            </w:r>
          </w:p>
        </w:tc>
        <w:tc>
          <w:tcPr>
            <w:tcW w:w="1843" w:type="dxa"/>
            <w:tcBorders>
              <w:top w:val="nil"/>
              <w:left w:val="single" w:sz="4" w:space="0" w:color="auto"/>
              <w:bottom w:val="nil"/>
              <w:right w:val="single" w:sz="4" w:space="0" w:color="auto"/>
            </w:tcBorders>
            <w:vAlign w:val="center"/>
          </w:tcPr>
          <w:p w:rsidR="00633540" w:rsidRPr="002E23B7" w:rsidRDefault="00633540" w:rsidP="0054207F">
            <w:pPr>
              <w:spacing w:before="20" w:after="20"/>
              <w:jc w:val="left"/>
              <w:rPr>
                <w:rFonts w:ascii="Arial" w:hAnsi="Arial" w:cs="Arial"/>
              </w:rPr>
            </w:pPr>
            <w:r w:rsidRPr="002E23B7">
              <w:rPr>
                <w:rFonts w:ascii="Arial" w:hAnsi="Arial" w:cs="Arial"/>
              </w:rPr>
              <w:t>346 (75.1)</w:t>
            </w:r>
          </w:p>
        </w:tc>
      </w:tr>
      <w:tr w:rsidR="00633540" w:rsidRPr="00D33F5E" w:rsidTr="0054207F">
        <w:trPr>
          <w:trHeight w:val="87"/>
        </w:trPr>
        <w:tc>
          <w:tcPr>
            <w:tcW w:w="3794" w:type="dxa"/>
            <w:tcBorders>
              <w:top w:val="nil"/>
              <w:left w:val="single" w:sz="4" w:space="0" w:color="auto"/>
              <w:bottom w:val="nil"/>
              <w:right w:val="nil"/>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Prostacyclin analogue</w:t>
            </w:r>
          </w:p>
        </w:tc>
        <w:tc>
          <w:tcPr>
            <w:tcW w:w="1842" w:type="dxa"/>
            <w:tcBorders>
              <w:top w:val="nil"/>
              <w:left w:val="nil"/>
              <w:bottom w:val="nil"/>
              <w:right w:val="single" w:sz="4" w:space="0" w:color="auto"/>
            </w:tcBorders>
            <w:vAlign w:val="center"/>
          </w:tcPr>
          <w:p w:rsidR="00633540" w:rsidRPr="002E23B7" w:rsidRDefault="00633540" w:rsidP="0054207F">
            <w:pPr>
              <w:spacing w:before="20" w:after="20"/>
              <w:jc w:val="left"/>
              <w:rPr>
                <w:rFonts w:ascii="Arial" w:hAnsi="Arial" w:cs="Arial"/>
              </w:rPr>
            </w:pPr>
            <w:r w:rsidRPr="002E23B7">
              <w:rPr>
                <w:rFonts w:ascii="Arial" w:hAnsi="Arial" w:cs="Arial"/>
              </w:rPr>
              <w:t>11 (2.4)</w:t>
            </w:r>
          </w:p>
        </w:tc>
        <w:tc>
          <w:tcPr>
            <w:tcW w:w="1843" w:type="dxa"/>
            <w:tcBorders>
              <w:top w:val="nil"/>
              <w:left w:val="single" w:sz="4" w:space="0" w:color="auto"/>
              <w:bottom w:val="nil"/>
              <w:right w:val="single" w:sz="4" w:space="0" w:color="auto"/>
            </w:tcBorders>
            <w:vAlign w:val="center"/>
          </w:tcPr>
          <w:p w:rsidR="00633540" w:rsidRPr="002E23B7" w:rsidRDefault="00633540" w:rsidP="0054207F">
            <w:pPr>
              <w:spacing w:before="20" w:after="20"/>
              <w:jc w:val="left"/>
              <w:rPr>
                <w:rFonts w:ascii="Arial" w:hAnsi="Arial" w:cs="Arial"/>
              </w:rPr>
            </w:pPr>
            <w:r w:rsidRPr="002E23B7">
              <w:rPr>
                <w:rFonts w:ascii="Arial" w:hAnsi="Arial" w:cs="Arial"/>
              </w:rPr>
              <w:t>9 (2.0)</w:t>
            </w:r>
          </w:p>
        </w:tc>
        <w:tc>
          <w:tcPr>
            <w:tcW w:w="1843" w:type="dxa"/>
            <w:tcBorders>
              <w:top w:val="nil"/>
              <w:left w:val="single" w:sz="4" w:space="0" w:color="auto"/>
              <w:bottom w:val="nil"/>
              <w:right w:val="single" w:sz="4" w:space="0" w:color="auto"/>
            </w:tcBorders>
            <w:vAlign w:val="center"/>
          </w:tcPr>
          <w:p w:rsidR="00633540" w:rsidRPr="002E23B7" w:rsidRDefault="00633540" w:rsidP="0054207F">
            <w:pPr>
              <w:spacing w:before="20" w:after="20"/>
              <w:jc w:val="left"/>
              <w:rPr>
                <w:rFonts w:ascii="Arial" w:hAnsi="Arial" w:cs="Arial"/>
              </w:rPr>
            </w:pPr>
            <w:r w:rsidRPr="002E23B7">
              <w:rPr>
                <w:rFonts w:ascii="Arial" w:hAnsi="Arial" w:cs="Arial"/>
              </w:rPr>
              <w:t xml:space="preserve">&lt;6 </w:t>
            </w:r>
          </w:p>
        </w:tc>
      </w:tr>
      <w:tr w:rsidR="00633540" w:rsidRPr="00D33F5E" w:rsidTr="0054207F">
        <w:trPr>
          <w:trHeight w:val="87"/>
        </w:trPr>
        <w:tc>
          <w:tcPr>
            <w:tcW w:w="3794" w:type="dxa"/>
            <w:tcBorders>
              <w:top w:val="nil"/>
              <w:left w:val="single" w:sz="4" w:space="0" w:color="auto"/>
              <w:bottom w:val="single" w:sz="4" w:space="0" w:color="auto"/>
              <w:right w:val="nil"/>
            </w:tcBorders>
            <w:shd w:val="clear" w:color="auto" w:fill="BFBFBF" w:themeFill="background1" w:themeFillShade="BF"/>
          </w:tcPr>
          <w:p w:rsidR="00633540" w:rsidRPr="002E23B7" w:rsidRDefault="0084301E" w:rsidP="0054207F">
            <w:pPr>
              <w:spacing w:before="20" w:after="20"/>
              <w:jc w:val="right"/>
              <w:rPr>
                <w:rFonts w:ascii="Arial" w:hAnsi="Arial" w:cs="Arial"/>
              </w:rPr>
            </w:pPr>
            <w:r>
              <w:rPr>
                <w:rFonts w:ascii="Arial" w:hAnsi="Arial" w:cs="Arial"/>
              </w:rPr>
              <w:t>PDE-5</w:t>
            </w:r>
            <w:r w:rsidR="00633540" w:rsidRPr="002E23B7">
              <w:rPr>
                <w:rFonts w:ascii="Arial" w:hAnsi="Arial" w:cs="Arial"/>
              </w:rPr>
              <w:t xml:space="preserve"> inhibitor</w:t>
            </w:r>
          </w:p>
        </w:tc>
        <w:tc>
          <w:tcPr>
            <w:tcW w:w="1842" w:type="dxa"/>
            <w:tcBorders>
              <w:top w:val="nil"/>
              <w:left w:val="nil"/>
              <w:bottom w:val="single" w:sz="4" w:space="0" w:color="auto"/>
              <w:right w:val="single" w:sz="4" w:space="0" w:color="auto"/>
            </w:tcBorders>
            <w:vAlign w:val="center"/>
          </w:tcPr>
          <w:p w:rsidR="00633540" w:rsidRPr="002E23B7" w:rsidRDefault="00633540" w:rsidP="0054207F">
            <w:pPr>
              <w:spacing w:before="20" w:after="20"/>
              <w:jc w:val="left"/>
              <w:rPr>
                <w:rFonts w:ascii="Arial" w:hAnsi="Arial" w:cs="Arial"/>
              </w:rPr>
            </w:pPr>
            <w:r w:rsidRPr="002E23B7">
              <w:rPr>
                <w:rFonts w:ascii="Arial" w:hAnsi="Arial" w:cs="Arial"/>
              </w:rPr>
              <w:t>131 (28.9)</w:t>
            </w:r>
          </w:p>
        </w:tc>
        <w:tc>
          <w:tcPr>
            <w:tcW w:w="1843" w:type="dxa"/>
            <w:tcBorders>
              <w:top w:val="nil"/>
              <w:left w:val="single" w:sz="4" w:space="0" w:color="auto"/>
              <w:bottom w:val="single" w:sz="4" w:space="0" w:color="auto"/>
              <w:right w:val="single" w:sz="4" w:space="0" w:color="auto"/>
            </w:tcBorders>
            <w:vAlign w:val="center"/>
          </w:tcPr>
          <w:p w:rsidR="00633540" w:rsidRPr="002E23B7" w:rsidRDefault="00633540" w:rsidP="0054207F">
            <w:pPr>
              <w:spacing w:before="20" w:after="20"/>
              <w:jc w:val="left"/>
              <w:rPr>
                <w:rFonts w:ascii="Arial" w:hAnsi="Arial" w:cs="Arial"/>
              </w:rPr>
            </w:pPr>
            <w:r w:rsidRPr="002E23B7">
              <w:rPr>
                <w:rFonts w:ascii="Arial" w:hAnsi="Arial" w:cs="Arial"/>
              </w:rPr>
              <w:t>136 (29.8)</w:t>
            </w:r>
          </w:p>
        </w:tc>
        <w:tc>
          <w:tcPr>
            <w:tcW w:w="1843" w:type="dxa"/>
            <w:tcBorders>
              <w:top w:val="nil"/>
              <w:left w:val="single" w:sz="4" w:space="0" w:color="auto"/>
              <w:bottom w:val="single" w:sz="4" w:space="0" w:color="auto"/>
              <w:right w:val="single" w:sz="4" w:space="0" w:color="auto"/>
            </w:tcBorders>
            <w:vAlign w:val="center"/>
          </w:tcPr>
          <w:p w:rsidR="00633540" w:rsidRPr="002E23B7" w:rsidRDefault="00633540" w:rsidP="0054207F">
            <w:pPr>
              <w:spacing w:before="20" w:after="20"/>
              <w:jc w:val="left"/>
              <w:rPr>
                <w:rFonts w:ascii="Arial" w:hAnsi="Arial" w:cs="Arial"/>
              </w:rPr>
            </w:pPr>
            <w:r w:rsidRPr="002E23B7">
              <w:rPr>
                <w:rFonts w:ascii="Arial" w:hAnsi="Arial" w:cs="Arial"/>
              </w:rPr>
              <w:t>110 (23.9)</w:t>
            </w:r>
          </w:p>
        </w:tc>
      </w:tr>
      <w:tr w:rsidR="00633540" w:rsidRPr="00D33F5E" w:rsidTr="0054207F">
        <w:trPr>
          <w:trHeight w:val="87"/>
        </w:trPr>
        <w:tc>
          <w:tcPr>
            <w:tcW w:w="3794" w:type="dxa"/>
            <w:tcBorders>
              <w:bottom w:val="nil"/>
              <w:right w:val="single" w:sz="4" w:space="0" w:color="auto"/>
            </w:tcBorders>
            <w:shd w:val="clear" w:color="auto" w:fill="BFBFBF" w:themeFill="background1" w:themeFillShade="BF"/>
          </w:tcPr>
          <w:p w:rsidR="00633540" w:rsidRPr="002E23B7" w:rsidRDefault="00633540" w:rsidP="0054207F">
            <w:pPr>
              <w:spacing w:before="20" w:after="20"/>
              <w:rPr>
                <w:rFonts w:ascii="Arial" w:hAnsi="Arial" w:cs="Arial"/>
                <w:b/>
                <w:highlight w:val="yellow"/>
              </w:rPr>
            </w:pPr>
            <w:r w:rsidRPr="002E23B7">
              <w:rPr>
                <w:rFonts w:ascii="Arial" w:hAnsi="Arial" w:cs="Arial"/>
                <w:b/>
              </w:rPr>
              <w:t>Medicine and strength initiated on:</w:t>
            </w:r>
          </w:p>
        </w:tc>
        <w:tc>
          <w:tcPr>
            <w:tcW w:w="1842" w:type="dxa"/>
            <w:tcBorders>
              <w:top w:val="single" w:sz="4" w:space="0" w:color="auto"/>
              <w:left w:val="single" w:sz="4" w:space="0" w:color="auto"/>
              <w:bottom w:val="nil"/>
              <w:right w:val="single" w:sz="4" w:space="0" w:color="auto"/>
            </w:tcBorders>
          </w:tcPr>
          <w:p w:rsidR="00633540" w:rsidRPr="002E23B7" w:rsidRDefault="00633540" w:rsidP="0054207F">
            <w:pPr>
              <w:spacing w:before="20" w:after="20"/>
              <w:jc w:val="center"/>
              <w:rPr>
                <w:rFonts w:ascii="Arial" w:hAnsi="Arial" w:cs="Arial"/>
                <w:highlight w:val="yellow"/>
              </w:rPr>
            </w:pPr>
          </w:p>
        </w:tc>
        <w:tc>
          <w:tcPr>
            <w:tcW w:w="1843" w:type="dxa"/>
            <w:tcBorders>
              <w:top w:val="single" w:sz="4" w:space="0" w:color="auto"/>
              <w:left w:val="single" w:sz="4" w:space="0" w:color="auto"/>
              <w:bottom w:val="nil"/>
              <w:right w:val="single" w:sz="4" w:space="0" w:color="auto"/>
            </w:tcBorders>
          </w:tcPr>
          <w:p w:rsidR="00633540" w:rsidRPr="002E23B7" w:rsidRDefault="00633540" w:rsidP="0054207F">
            <w:pPr>
              <w:spacing w:before="20" w:after="20"/>
              <w:jc w:val="center"/>
              <w:rPr>
                <w:rFonts w:ascii="Arial" w:hAnsi="Arial" w:cs="Arial"/>
                <w:highlight w:val="yellow"/>
              </w:rPr>
            </w:pPr>
          </w:p>
        </w:tc>
        <w:tc>
          <w:tcPr>
            <w:tcW w:w="1843" w:type="dxa"/>
            <w:tcBorders>
              <w:top w:val="single" w:sz="4" w:space="0" w:color="auto"/>
              <w:left w:val="single" w:sz="4" w:space="0" w:color="auto"/>
              <w:bottom w:val="nil"/>
              <w:right w:val="single" w:sz="4" w:space="0" w:color="auto"/>
            </w:tcBorders>
          </w:tcPr>
          <w:p w:rsidR="00633540" w:rsidRPr="002E23B7" w:rsidRDefault="00633540" w:rsidP="0054207F">
            <w:pPr>
              <w:spacing w:before="20" w:after="20"/>
              <w:jc w:val="center"/>
              <w:rPr>
                <w:rFonts w:ascii="Arial" w:hAnsi="Arial" w:cs="Arial"/>
                <w:highlight w:val="yellow"/>
              </w:rPr>
            </w:pPr>
          </w:p>
        </w:tc>
      </w:tr>
      <w:tr w:rsidR="00633540" w:rsidRPr="00D33F5E" w:rsidTr="0054207F">
        <w:trPr>
          <w:trHeight w:val="87"/>
        </w:trPr>
        <w:tc>
          <w:tcPr>
            <w:tcW w:w="3794"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Ambrisentan – 5 mg</w:t>
            </w:r>
          </w:p>
        </w:tc>
        <w:tc>
          <w:tcPr>
            <w:tcW w:w="1842"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22 (4.8)</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21 (4.6)</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32 (6.9)</w:t>
            </w:r>
          </w:p>
        </w:tc>
      </w:tr>
      <w:tr w:rsidR="00633540" w:rsidRPr="00D33F5E" w:rsidTr="0054207F">
        <w:trPr>
          <w:trHeight w:val="87"/>
        </w:trPr>
        <w:tc>
          <w:tcPr>
            <w:tcW w:w="3794"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Ambrisentan – 10 mg</w:t>
            </w:r>
          </w:p>
        </w:tc>
        <w:tc>
          <w:tcPr>
            <w:tcW w:w="1842"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26 (5.7)</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18 (3.9)</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42 (9.1)</w:t>
            </w:r>
          </w:p>
        </w:tc>
      </w:tr>
      <w:tr w:rsidR="00633540" w:rsidRPr="00D33F5E" w:rsidTr="0054207F">
        <w:trPr>
          <w:trHeight w:val="87"/>
        </w:trPr>
        <w:tc>
          <w:tcPr>
            <w:tcW w:w="3794"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Bosentan – 62.5 mg</w:t>
            </w:r>
          </w:p>
        </w:tc>
        <w:tc>
          <w:tcPr>
            <w:tcW w:w="1842"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114 (25.1)</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18 (3.9)</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10 (2.2)</w:t>
            </w:r>
          </w:p>
        </w:tc>
      </w:tr>
      <w:tr w:rsidR="00633540" w:rsidRPr="00D33F5E" w:rsidTr="0054207F">
        <w:trPr>
          <w:trHeight w:val="87"/>
        </w:trPr>
        <w:tc>
          <w:tcPr>
            <w:tcW w:w="3794"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Bosentan – 125 mg</w:t>
            </w:r>
          </w:p>
        </w:tc>
        <w:tc>
          <w:tcPr>
            <w:tcW w:w="1842"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7 (1.5)</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 xml:space="preserve">&lt;6 </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 xml:space="preserve"> &lt;6 </w:t>
            </w:r>
          </w:p>
        </w:tc>
      </w:tr>
      <w:tr w:rsidR="00633540" w:rsidRPr="00D33F5E" w:rsidTr="0054207F">
        <w:trPr>
          <w:trHeight w:val="87"/>
        </w:trPr>
        <w:tc>
          <w:tcPr>
            <w:tcW w:w="3794"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Macitentan – 10 mg</w:t>
            </w:r>
          </w:p>
        </w:tc>
        <w:tc>
          <w:tcPr>
            <w:tcW w:w="1842"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143 (31.5)</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253 (55.4)</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261 (56.6)</w:t>
            </w:r>
          </w:p>
        </w:tc>
      </w:tr>
      <w:tr w:rsidR="00633540" w:rsidRPr="00D33F5E" w:rsidTr="0054207F">
        <w:trPr>
          <w:trHeight w:val="87"/>
        </w:trPr>
        <w:tc>
          <w:tcPr>
            <w:tcW w:w="3794"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Epoprostenol - 500 µg</w:t>
            </w:r>
          </w:p>
        </w:tc>
        <w:tc>
          <w:tcPr>
            <w:tcW w:w="1842"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 xml:space="preserve">&lt;6 </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 xml:space="preserve">&lt;6 </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 xml:space="preserve">&lt;6 </w:t>
            </w:r>
          </w:p>
        </w:tc>
      </w:tr>
      <w:tr w:rsidR="00633540" w:rsidRPr="00D33F5E" w:rsidTr="0054207F">
        <w:trPr>
          <w:trHeight w:val="87"/>
        </w:trPr>
        <w:tc>
          <w:tcPr>
            <w:tcW w:w="3794"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Epoprostenol – 1.5 mg</w:t>
            </w:r>
          </w:p>
        </w:tc>
        <w:tc>
          <w:tcPr>
            <w:tcW w:w="1842"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&lt;6</w:t>
            </w:r>
            <w:r w:rsidR="003D172D">
              <w:rPr>
                <w:rFonts w:ascii="Arial" w:hAnsi="Arial" w:cs="Arial"/>
              </w:rPr>
              <w:t xml:space="preserve"> </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 xml:space="preserve">&lt;6 </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 xml:space="preserve">&lt;6 </w:t>
            </w:r>
          </w:p>
        </w:tc>
      </w:tr>
      <w:tr w:rsidR="00633540" w:rsidRPr="00D33F5E" w:rsidTr="0054207F">
        <w:trPr>
          <w:trHeight w:val="87"/>
        </w:trPr>
        <w:tc>
          <w:tcPr>
            <w:tcW w:w="3794"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Iloprost – 20 µg</w:t>
            </w:r>
          </w:p>
        </w:tc>
        <w:tc>
          <w:tcPr>
            <w:tcW w:w="1842"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6 (1.3)</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 xml:space="preserve">&lt;6 </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 xml:space="preserve">&lt;6 </w:t>
            </w:r>
          </w:p>
        </w:tc>
      </w:tr>
      <w:tr w:rsidR="00633540" w:rsidRPr="00D33F5E" w:rsidTr="0054207F">
        <w:trPr>
          <w:trHeight w:val="87"/>
        </w:trPr>
        <w:tc>
          <w:tcPr>
            <w:tcW w:w="3794"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Sildenafil – 20 mg</w:t>
            </w:r>
          </w:p>
        </w:tc>
        <w:tc>
          <w:tcPr>
            <w:tcW w:w="1842"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106 (23.3)</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103 (22.5)</w:t>
            </w:r>
          </w:p>
        </w:tc>
        <w:tc>
          <w:tcPr>
            <w:tcW w:w="1843" w:type="dxa"/>
            <w:tcBorders>
              <w:top w:val="nil"/>
              <w:left w:val="single" w:sz="4" w:space="0" w:color="auto"/>
              <w:bottom w:val="nil"/>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86 (18.7)</w:t>
            </w:r>
          </w:p>
        </w:tc>
      </w:tr>
      <w:tr w:rsidR="00633540" w:rsidRPr="00D33F5E" w:rsidTr="0054207F">
        <w:trPr>
          <w:trHeight w:val="87"/>
        </w:trPr>
        <w:tc>
          <w:tcPr>
            <w:tcW w:w="3794" w:type="dxa"/>
            <w:tcBorders>
              <w:top w:val="nil"/>
              <w:left w:val="single" w:sz="4" w:space="0" w:color="auto"/>
              <w:bottom w:val="single" w:sz="4" w:space="0" w:color="auto"/>
              <w:right w:val="single" w:sz="4" w:space="0" w:color="auto"/>
            </w:tcBorders>
            <w:shd w:val="clear" w:color="auto" w:fill="BFBFBF" w:themeFill="background1" w:themeFillShade="BF"/>
          </w:tcPr>
          <w:p w:rsidR="00633540" w:rsidRPr="002E23B7" w:rsidRDefault="00633540" w:rsidP="0054207F">
            <w:pPr>
              <w:spacing w:before="20" w:after="20"/>
              <w:jc w:val="right"/>
              <w:rPr>
                <w:rFonts w:ascii="Arial" w:hAnsi="Arial" w:cs="Arial"/>
              </w:rPr>
            </w:pPr>
            <w:r w:rsidRPr="002E23B7">
              <w:rPr>
                <w:rFonts w:ascii="Arial" w:hAnsi="Arial" w:cs="Arial"/>
              </w:rPr>
              <w:t>Tadalafil – 20 mg</w:t>
            </w:r>
          </w:p>
        </w:tc>
        <w:tc>
          <w:tcPr>
            <w:tcW w:w="1842" w:type="dxa"/>
            <w:tcBorders>
              <w:top w:val="nil"/>
              <w:left w:val="single" w:sz="4" w:space="0" w:color="auto"/>
              <w:bottom w:val="single" w:sz="4" w:space="0" w:color="auto"/>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25 (5.5)</w:t>
            </w:r>
          </w:p>
        </w:tc>
        <w:tc>
          <w:tcPr>
            <w:tcW w:w="1843" w:type="dxa"/>
            <w:tcBorders>
              <w:top w:val="nil"/>
              <w:left w:val="single" w:sz="4" w:space="0" w:color="auto"/>
              <w:bottom w:val="single" w:sz="4" w:space="0" w:color="auto"/>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33 (7.2)</w:t>
            </w:r>
          </w:p>
        </w:tc>
        <w:tc>
          <w:tcPr>
            <w:tcW w:w="1843" w:type="dxa"/>
            <w:tcBorders>
              <w:top w:val="nil"/>
              <w:left w:val="single" w:sz="4" w:space="0" w:color="auto"/>
              <w:bottom w:val="single" w:sz="4" w:space="0" w:color="auto"/>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24 (5.2)</w:t>
            </w:r>
          </w:p>
        </w:tc>
      </w:tr>
    </w:tbl>
    <w:p w:rsidR="00633540" w:rsidRPr="00D33F5E" w:rsidRDefault="00633540" w:rsidP="00C26B51">
      <w:pPr>
        <w:pStyle w:val="BodyTextnospacebefore"/>
      </w:pPr>
      <w:bookmarkStart w:id="60" w:name="_Toc508360139"/>
      <w:r w:rsidRPr="00D33F5E">
        <w:lastRenderedPageBreak/>
        <w:t>The majority of incident patients started treatment with 10 mg macitentan (57% of new patients in 2016), followed by 20 mg sildenafil (18.7% of new patients in 2016).</w:t>
      </w:r>
      <w:bookmarkEnd w:id="60"/>
    </w:p>
    <w:p w:rsidR="00FB7717" w:rsidRPr="00FB7717" w:rsidRDefault="00633540" w:rsidP="00C5616C">
      <w:pPr>
        <w:pStyle w:val="BodyTextnospacebefore"/>
      </w:pPr>
      <w:bookmarkStart w:id="61" w:name="_Toc508360140"/>
      <w:r w:rsidRPr="00D33F5E">
        <w:t xml:space="preserve">Table </w:t>
      </w:r>
      <w:r w:rsidR="00BA253F">
        <w:t>2.4</w:t>
      </w:r>
      <w:r w:rsidRPr="00D33F5E">
        <w:t xml:space="preserve"> shows the annual incident PAH medicine use per 1,000,000 population by patient demographics. Incidence was higher among females (24.4 per 1,000,000 in 2016) than males (13.6 per 1,000,000 in 2016)</w:t>
      </w:r>
      <w:r w:rsidR="00FE623F">
        <w:t xml:space="preserve"> with the highest incidence reported in 75-84 years olds </w:t>
      </w:r>
      <w:r w:rsidR="00FE623F" w:rsidRPr="00D534C4">
        <w:t>(97.62 per 1,000,000 in 2016)</w:t>
      </w:r>
      <w:r w:rsidRPr="00D534C4">
        <w:t>.</w:t>
      </w:r>
      <w:bookmarkEnd w:id="61"/>
      <w:r w:rsidRPr="00D534C4">
        <w:t xml:space="preserve"> </w:t>
      </w:r>
      <w:r w:rsidR="000E117F">
        <w:rPr>
          <w:noProof/>
          <w:color w:val="000000"/>
          <w:highlight w:val="black"/>
        </w:rPr>
        <w:t>''''''' '''''''''''''' '''''''''''''''''''' ''''' ''''''''''''''''' '''''''''''''''' '''''''' '''''''''''''''''''' '''''''''''''''''' ''' ''''''''''''''''' ''''''''''''' ''''' '''''''''' '''''''''' '''''''' ''''''''''''''''''''</w:t>
      </w:r>
    </w:p>
    <w:p w:rsidR="00FB7717" w:rsidRPr="00FB7717" w:rsidRDefault="00FB7717" w:rsidP="00FB7717">
      <w:pPr>
        <w:pStyle w:val="Caption"/>
      </w:pPr>
      <w:bookmarkStart w:id="62" w:name="_Toc511144347"/>
      <w:r w:rsidRPr="00FB7717">
        <w:t>Table 2.</w:t>
      </w:r>
      <w:r w:rsidR="00BA253F">
        <w:rPr>
          <w:noProof/>
        </w:rPr>
        <w:t>4</w:t>
      </w:r>
      <w:r w:rsidR="00B30AA0">
        <w:tab/>
      </w:r>
      <w:r w:rsidRPr="00FB7717">
        <w:t>Annual incidence of PAH use per 1,000,000 population by patient demographics</w:t>
      </w:r>
      <w:bookmarkEnd w:id="62"/>
    </w:p>
    <w:tbl>
      <w:tblPr>
        <w:tblStyle w:val="TableGrid"/>
        <w:tblW w:w="9322" w:type="dxa"/>
        <w:tblLook w:val="04A0" w:firstRow="1" w:lastRow="0" w:firstColumn="1" w:lastColumn="0" w:noHBand="0" w:noVBand="1"/>
        <w:tblCaption w:val="Table 2.4 Annual incidence of PAH use per 1,000,000 population by patient demographics"/>
        <w:tblDescription w:val="Table 2.4 Annual incidence of PAH use per 1,000,000 population by patient demographics"/>
      </w:tblPr>
      <w:tblGrid>
        <w:gridCol w:w="3510"/>
        <w:gridCol w:w="1937"/>
        <w:gridCol w:w="1937"/>
        <w:gridCol w:w="1938"/>
      </w:tblGrid>
      <w:tr w:rsidR="00E17C81" w:rsidRPr="00D33F5E" w:rsidTr="00E17C81">
        <w:trPr>
          <w:tblHeader/>
        </w:trPr>
        <w:tc>
          <w:tcPr>
            <w:tcW w:w="3510" w:type="dxa"/>
            <w:vMerge w:val="restart"/>
            <w:tcBorders>
              <w:top w:val="single" w:sz="4" w:space="0" w:color="auto"/>
              <w:left w:val="single" w:sz="4" w:space="0" w:color="auto"/>
              <w:bottom w:val="single" w:sz="4" w:space="0" w:color="auto"/>
              <w:right w:val="nil"/>
            </w:tcBorders>
            <w:shd w:val="clear" w:color="auto" w:fill="BFBFBF" w:themeFill="background1" w:themeFillShade="BF"/>
          </w:tcPr>
          <w:p w:rsidR="00E17C81" w:rsidRPr="002E23B7" w:rsidRDefault="00E17C81" w:rsidP="0054207F">
            <w:pPr>
              <w:spacing w:before="20" w:after="20"/>
              <w:rPr>
                <w:rFonts w:ascii="Arial" w:hAnsi="Arial" w:cs="Arial"/>
                <w:b/>
              </w:rPr>
            </w:pPr>
          </w:p>
        </w:tc>
        <w:tc>
          <w:tcPr>
            <w:tcW w:w="1937" w:type="dxa"/>
            <w:tcBorders>
              <w:top w:val="single" w:sz="4" w:space="0" w:color="auto"/>
              <w:left w:val="nil"/>
              <w:bottom w:val="single" w:sz="4" w:space="0" w:color="auto"/>
              <w:right w:val="nil"/>
            </w:tcBorders>
            <w:shd w:val="clear" w:color="auto" w:fill="BFBFBF" w:themeFill="background1" w:themeFillShade="BF"/>
            <w:hideMark/>
          </w:tcPr>
          <w:p w:rsidR="00E17C81" w:rsidRPr="002E23B7" w:rsidRDefault="00E17C81" w:rsidP="0054207F">
            <w:pPr>
              <w:spacing w:before="20" w:after="20"/>
              <w:jc w:val="center"/>
              <w:rPr>
                <w:rFonts w:ascii="Arial" w:hAnsi="Arial" w:cs="Arial"/>
                <w:b/>
              </w:rPr>
            </w:pPr>
          </w:p>
        </w:tc>
        <w:tc>
          <w:tcPr>
            <w:tcW w:w="1937" w:type="dxa"/>
            <w:tcBorders>
              <w:top w:val="single" w:sz="4" w:space="0" w:color="auto"/>
              <w:left w:val="nil"/>
              <w:bottom w:val="single" w:sz="4" w:space="0" w:color="auto"/>
              <w:right w:val="nil"/>
            </w:tcBorders>
            <w:shd w:val="clear" w:color="auto" w:fill="BFBFBF" w:themeFill="background1" w:themeFillShade="BF"/>
          </w:tcPr>
          <w:p w:rsidR="00E17C81" w:rsidRPr="002E23B7" w:rsidRDefault="00E17C81" w:rsidP="0054207F">
            <w:pPr>
              <w:spacing w:before="20" w:after="20"/>
              <w:jc w:val="center"/>
              <w:rPr>
                <w:rFonts w:ascii="Arial" w:hAnsi="Arial" w:cs="Arial"/>
                <w:b/>
              </w:rPr>
            </w:pPr>
            <w:r w:rsidRPr="002E23B7">
              <w:rPr>
                <w:rFonts w:ascii="Arial" w:hAnsi="Arial" w:cs="Arial"/>
                <w:b/>
              </w:rPr>
              <w:t>Year</w:t>
            </w:r>
          </w:p>
        </w:tc>
        <w:tc>
          <w:tcPr>
            <w:tcW w:w="1938" w:type="dxa"/>
            <w:tcBorders>
              <w:top w:val="single" w:sz="4" w:space="0" w:color="auto"/>
              <w:left w:val="nil"/>
              <w:bottom w:val="single" w:sz="4" w:space="0" w:color="auto"/>
              <w:right w:val="nil"/>
            </w:tcBorders>
            <w:shd w:val="clear" w:color="auto" w:fill="BFBFBF" w:themeFill="background1" w:themeFillShade="BF"/>
          </w:tcPr>
          <w:p w:rsidR="00E17C81" w:rsidRPr="002E23B7" w:rsidRDefault="00E17C81" w:rsidP="0054207F">
            <w:pPr>
              <w:spacing w:before="20" w:after="20"/>
              <w:jc w:val="center"/>
              <w:rPr>
                <w:rFonts w:ascii="Arial" w:hAnsi="Arial" w:cs="Arial"/>
                <w:b/>
              </w:rPr>
            </w:pPr>
          </w:p>
        </w:tc>
      </w:tr>
      <w:tr w:rsidR="00633540" w:rsidRPr="00D33F5E" w:rsidTr="00E17C81">
        <w:tc>
          <w:tcPr>
            <w:tcW w:w="3510" w:type="dxa"/>
            <w:vMerge/>
            <w:tcBorders>
              <w:top w:val="single" w:sz="4" w:space="0" w:color="auto"/>
              <w:left w:val="single" w:sz="4" w:space="0" w:color="auto"/>
              <w:bottom w:val="single" w:sz="4" w:space="0" w:color="auto"/>
              <w:right w:val="nil"/>
            </w:tcBorders>
            <w:vAlign w:val="center"/>
            <w:hideMark/>
          </w:tcPr>
          <w:p w:rsidR="00633540" w:rsidRPr="002E23B7" w:rsidRDefault="00633540" w:rsidP="0054207F">
            <w:pPr>
              <w:rPr>
                <w:rFonts w:ascii="Arial" w:hAnsi="Arial" w:cs="Arial"/>
                <w:b/>
              </w:rPr>
            </w:pPr>
          </w:p>
        </w:tc>
        <w:tc>
          <w:tcPr>
            <w:tcW w:w="1937" w:type="dxa"/>
            <w:tcBorders>
              <w:top w:val="single" w:sz="4" w:space="0" w:color="auto"/>
              <w:left w:val="nil"/>
              <w:bottom w:val="single" w:sz="4" w:space="0" w:color="auto"/>
              <w:right w:val="nil"/>
            </w:tcBorders>
            <w:shd w:val="clear" w:color="auto" w:fill="BFBFBF" w:themeFill="background1" w:themeFillShade="BF"/>
            <w:hideMark/>
          </w:tcPr>
          <w:p w:rsidR="00633540" w:rsidRPr="002E23B7" w:rsidRDefault="00633540" w:rsidP="0054207F">
            <w:pPr>
              <w:spacing w:before="20" w:after="20"/>
              <w:rPr>
                <w:rFonts w:ascii="Arial" w:hAnsi="Arial" w:cs="Arial"/>
                <w:b/>
              </w:rPr>
            </w:pPr>
            <w:r w:rsidRPr="002E23B7">
              <w:rPr>
                <w:rFonts w:ascii="Arial" w:hAnsi="Arial" w:cs="Arial"/>
                <w:b/>
              </w:rPr>
              <w:t xml:space="preserve">2014 </w:t>
            </w:r>
          </w:p>
        </w:tc>
        <w:tc>
          <w:tcPr>
            <w:tcW w:w="1937" w:type="dxa"/>
            <w:tcBorders>
              <w:top w:val="single" w:sz="4" w:space="0" w:color="auto"/>
              <w:left w:val="nil"/>
              <w:bottom w:val="single" w:sz="4" w:space="0" w:color="auto"/>
              <w:right w:val="nil"/>
            </w:tcBorders>
            <w:shd w:val="clear" w:color="auto" w:fill="BFBFBF" w:themeFill="background1" w:themeFillShade="BF"/>
            <w:hideMark/>
          </w:tcPr>
          <w:p w:rsidR="00633540" w:rsidRPr="002E23B7" w:rsidRDefault="00633540" w:rsidP="0054207F">
            <w:pPr>
              <w:spacing w:before="20" w:after="20"/>
              <w:rPr>
                <w:rFonts w:ascii="Arial" w:hAnsi="Arial" w:cs="Arial"/>
                <w:b/>
              </w:rPr>
            </w:pPr>
            <w:r w:rsidRPr="002E23B7">
              <w:rPr>
                <w:rFonts w:ascii="Arial" w:hAnsi="Arial" w:cs="Arial"/>
                <w:b/>
              </w:rPr>
              <w:t>2015</w:t>
            </w:r>
          </w:p>
        </w:tc>
        <w:tc>
          <w:tcPr>
            <w:tcW w:w="1938" w:type="dxa"/>
            <w:tcBorders>
              <w:top w:val="single" w:sz="4" w:space="0" w:color="auto"/>
              <w:left w:val="nil"/>
              <w:bottom w:val="single" w:sz="4" w:space="0" w:color="auto"/>
              <w:right w:val="single" w:sz="4" w:space="0" w:color="auto"/>
            </w:tcBorders>
            <w:shd w:val="clear" w:color="auto" w:fill="BFBFBF" w:themeFill="background1" w:themeFillShade="BF"/>
            <w:hideMark/>
          </w:tcPr>
          <w:p w:rsidR="00633540" w:rsidRPr="002E23B7" w:rsidRDefault="00633540" w:rsidP="0054207F">
            <w:pPr>
              <w:spacing w:before="20" w:after="20"/>
              <w:rPr>
                <w:rFonts w:ascii="Arial" w:hAnsi="Arial" w:cs="Arial"/>
                <w:b/>
              </w:rPr>
            </w:pPr>
            <w:r w:rsidRPr="002E23B7">
              <w:rPr>
                <w:rFonts w:ascii="Arial" w:hAnsi="Arial" w:cs="Arial"/>
                <w:b/>
              </w:rPr>
              <w:t xml:space="preserve">2016 </w:t>
            </w:r>
          </w:p>
        </w:tc>
      </w:tr>
      <w:tr w:rsidR="00633540" w:rsidRPr="00D33F5E" w:rsidTr="0054207F">
        <w:tc>
          <w:tcPr>
            <w:tcW w:w="3510" w:type="dxa"/>
            <w:tcBorders>
              <w:top w:val="single" w:sz="4" w:space="0" w:color="auto"/>
              <w:left w:val="single" w:sz="4" w:space="0" w:color="auto"/>
              <w:bottom w:val="single" w:sz="4" w:space="0" w:color="auto"/>
              <w:right w:val="nil"/>
            </w:tcBorders>
            <w:shd w:val="clear" w:color="auto" w:fill="BFBFBF" w:themeFill="background1" w:themeFillShade="BF"/>
            <w:hideMark/>
          </w:tcPr>
          <w:p w:rsidR="00633540" w:rsidRPr="002E23B7" w:rsidRDefault="00633540" w:rsidP="0054207F">
            <w:pPr>
              <w:spacing w:before="20" w:after="20"/>
              <w:rPr>
                <w:rFonts w:ascii="Arial" w:hAnsi="Arial" w:cs="Arial"/>
                <w:b/>
              </w:rPr>
            </w:pPr>
            <w:r w:rsidRPr="002E23B7">
              <w:rPr>
                <w:rFonts w:ascii="Arial" w:hAnsi="Arial" w:cs="Arial"/>
                <w:b/>
              </w:rPr>
              <w:t>Number of patients</w:t>
            </w:r>
          </w:p>
        </w:tc>
        <w:tc>
          <w:tcPr>
            <w:tcW w:w="1937" w:type="dxa"/>
            <w:tcBorders>
              <w:top w:val="single" w:sz="4" w:space="0" w:color="auto"/>
              <w:left w:val="nil"/>
              <w:bottom w:val="single" w:sz="4" w:space="0" w:color="auto"/>
              <w:right w:val="single" w:sz="4" w:space="0" w:color="auto"/>
            </w:tcBorders>
            <w:hideMark/>
          </w:tcPr>
          <w:p w:rsidR="00633540" w:rsidRPr="002E23B7" w:rsidRDefault="00633540" w:rsidP="0054207F">
            <w:pPr>
              <w:spacing w:before="20" w:after="20"/>
              <w:rPr>
                <w:rFonts w:ascii="Arial" w:hAnsi="Arial" w:cs="Arial"/>
              </w:rPr>
            </w:pPr>
            <w:r w:rsidRPr="002E23B7">
              <w:rPr>
                <w:rFonts w:ascii="Arial" w:hAnsi="Arial" w:cs="Arial"/>
              </w:rPr>
              <w:t>N</w:t>
            </w:r>
            <w:r w:rsidR="006855EB">
              <w:rPr>
                <w:rFonts w:ascii="Arial" w:hAnsi="Arial" w:cs="Arial"/>
              </w:rPr>
              <w:t xml:space="preserve"> </w:t>
            </w:r>
            <w:r w:rsidRPr="002E23B7">
              <w:rPr>
                <w:rFonts w:ascii="Arial" w:hAnsi="Arial" w:cs="Arial"/>
              </w:rPr>
              <w:t xml:space="preserve">= 454 </w:t>
            </w:r>
          </w:p>
        </w:tc>
        <w:tc>
          <w:tcPr>
            <w:tcW w:w="1937" w:type="dxa"/>
            <w:tcBorders>
              <w:top w:val="single" w:sz="4" w:space="0" w:color="auto"/>
              <w:left w:val="single" w:sz="4" w:space="0" w:color="auto"/>
              <w:bottom w:val="single" w:sz="4" w:space="0" w:color="auto"/>
              <w:right w:val="single" w:sz="4" w:space="0" w:color="auto"/>
            </w:tcBorders>
            <w:hideMark/>
          </w:tcPr>
          <w:p w:rsidR="00633540" w:rsidRPr="002E23B7" w:rsidRDefault="00633540" w:rsidP="0054207F">
            <w:pPr>
              <w:spacing w:before="20" w:after="20"/>
              <w:rPr>
                <w:rFonts w:ascii="Arial" w:hAnsi="Arial" w:cs="Arial"/>
              </w:rPr>
            </w:pPr>
            <w:r w:rsidRPr="002E23B7">
              <w:rPr>
                <w:rFonts w:ascii="Arial" w:hAnsi="Arial" w:cs="Arial"/>
              </w:rPr>
              <w:t>N</w:t>
            </w:r>
            <w:r w:rsidR="006855EB">
              <w:rPr>
                <w:rFonts w:ascii="Arial" w:hAnsi="Arial" w:cs="Arial"/>
              </w:rPr>
              <w:t xml:space="preserve"> </w:t>
            </w:r>
            <w:r w:rsidRPr="002E23B7">
              <w:rPr>
                <w:rFonts w:ascii="Arial" w:hAnsi="Arial" w:cs="Arial"/>
              </w:rPr>
              <w:t xml:space="preserve">= 457 </w:t>
            </w:r>
          </w:p>
        </w:tc>
        <w:tc>
          <w:tcPr>
            <w:tcW w:w="1938" w:type="dxa"/>
            <w:tcBorders>
              <w:top w:val="single" w:sz="4" w:space="0" w:color="auto"/>
              <w:left w:val="single" w:sz="4" w:space="0" w:color="auto"/>
              <w:bottom w:val="single" w:sz="4" w:space="0" w:color="auto"/>
              <w:right w:val="single" w:sz="4" w:space="0" w:color="auto"/>
            </w:tcBorders>
            <w:hideMark/>
          </w:tcPr>
          <w:p w:rsidR="00633540" w:rsidRPr="002E23B7" w:rsidRDefault="00633540" w:rsidP="0054207F">
            <w:pPr>
              <w:spacing w:before="20" w:after="20"/>
              <w:rPr>
                <w:rFonts w:ascii="Arial" w:hAnsi="Arial" w:cs="Arial"/>
              </w:rPr>
            </w:pPr>
            <w:r w:rsidRPr="002E23B7">
              <w:rPr>
                <w:rFonts w:ascii="Arial" w:hAnsi="Arial" w:cs="Arial"/>
              </w:rPr>
              <w:t>N</w:t>
            </w:r>
            <w:r w:rsidR="006855EB">
              <w:rPr>
                <w:rFonts w:ascii="Arial" w:hAnsi="Arial" w:cs="Arial"/>
              </w:rPr>
              <w:t xml:space="preserve"> </w:t>
            </w:r>
            <w:r w:rsidRPr="002E23B7">
              <w:rPr>
                <w:rFonts w:ascii="Arial" w:hAnsi="Arial" w:cs="Arial"/>
              </w:rPr>
              <w:t>= 461</w:t>
            </w:r>
          </w:p>
        </w:tc>
      </w:tr>
      <w:tr w:rsidR="00633540" w:rsidRPr="00D33F5E" w:rsidTr="0054207F">
        <w:tc>
          <w:tcPr>
            <w:tcW w:w="3510" w:type="dxa"/>
            <w:tcBorders>
              <w:top w:val="single" w:sz="4" w:space="0" w:color="auto"/>
              <w:left w:val="single" w:sz="4" w:space="0" w:color="auto"/>
              <w:bottom w:val="single" w:sz="4" w:space="0" w:color="auto"/>
              <w:right w:val="nil"/>
            </w:tcBorders>
            <w:shd w:val="clear" w:color="auto" w:fill="BFBFBF" w:themeFill="background1" w:themeFillShade="BF"/>
          </w:tcPr>
          <w:p w:rsidR="00633540" w:rsidRPr="002E23B7" w:rsidRDefault="00633540" w:rsidP="0054207F">
            <w:pPr>
              <w:spacing w:before="20" w:after="20"/>
              <w:jc w:val="left"/>
              <w:rPr>
                <w:rFonts w:ascii="Arial" w:hAnsi="Arial" w:cs="Arial"/>
                <w:b/>
              </w:rPr>
            </w:pPr>
            <w:r w:rsidRPr="002E23B7">
              <w:rPr>
                <w:rFonts w:ascii="Arial" w:hAnsi="Arial" w:cs="Arial"/>
                <w:b/>
              </w:rPr>
              <w:t>Incidence per 1,000,000 population</w:t>
            </w:r>
          </w:p>
        </w:tc>
        <w:tc>
          <w:tcPr>
            <w:tcW w:w="1937" w:type="dxa"/>
            <w:tcBorders>
              <w:top w:val="single" w:sz="4" w:space="0" w:color="auto"/>
              <w:left w:val="nil"/>
              <w:bottom w:val="single" w:sz="4" w:space="0" w:color="auto"/>
              <w:right w:val="single" w:sz="4" w:space="0" w:color="auto"/>
            </w:tcBorders>
            <w:shd w:val="clear" w:color="auto" w:fill="BFBFBF" w:themeFill="background1" w:themeFillShade="BF"/>
          </w:tcPr>
          <w:p w:rsidR="00633540" w:rsidRPr="002E23B7" w:rsidRDefault="00633540" w:rsidP="0054207F">
            <w:pPr>
              <w:spacing w:before="20" w:after="20"/>
              <w:jc w:val="left"/>
              <w:rPr>
                <w:rFonts w:ascii="Arial" w:hAnsi="Arial" w:cs="Arial"/>
              </w:rPr>
            </w:pPr>
          </w:p>
        </w:tc>
        <w:tc>
          <w:tcPr>
            <w:tcW w:w="19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3540" w:rsidRPr="002E23B7" w:rsidRDefault="00633540" w:rsidP="0054207F">
            <w:pPr>
              <w:spacing w:before="20" w:after="20"/>
              <w:jc w:val="left"/>
              <w:rPr>
                <w:rFonts w:ascii="Arial" w:hAnsi="Arial" w:cs="Arial"/>
              </w:rPr>
            </w:pPr>
          </w:p>
        </w:tc>
        <w:tc>
          <w:tcPr>
            <w:tcW w:w="1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3540" w:rsidRPr="002E23B7" w:rsidRDefault="00633540" w:rsidP="0054207F">
            <w:pPr>
              <w:spacing w:before="20" w:after="20"/>
              <w:jc w:val="left"/>
              <w:rPr>
                <w:rFonts w:ascii="Arial" w:hAnsi="Arial" w:cs="Arial"/>
              </w:rPr>
            </w:pPr>
          </w:p>
        </w:tc>
      </w:tr>
      <w:tr w:rsidR="00633540" w:rsidRPr="00D33F5E" w:rsidTr="0054207F">
        <w:tc>
          <w:tcPr>
            <w:tcW w:w="3510" w:type="dxa"/>
            <w:tcBorders>
              <w:top w:val="single" w:sz="4" w:space="0" w:color="auto"/>
              <w:left w:val="single" w:sz="4" w:space="0" w:color="auto"/>
              <w:bottom w:val="single" w:sz="4" w:space="0" w:color="auto"/>
              <w:right w:val="nil"/>
            </w:tcBorders>
            <w:shd w:val="clear" w:color="auto" w:fill="BFBFBF" w:themeFill="background1" w:themeFillShade="BF"/>
          </w:tcPr>
          <w:p w:rsidR="00633540" w:rsidRPr="002E23B7" w:rsidRDefault="00633540" w:rsidP="002E23B7">
            <w:pPr>
              <w:spacing w:before="20" w:after="20"/>
              <w:ind w:right="317"/>
              <w:jc w:val="right"/>
              <w:rPr>
                <w:rFonts w:ascii="Arial" w:hAnsi="Arial" w:cs="Arial"/>
                <w:b/>
              </w:rPr>
            </w:pPr>
            <w:r w:rsidRPr="002E23B7">
              <w:rPr>
                <w:rFonts w:ascii="Arial" w:hAnsi="Arial" w:cs="Arial"/>
                <w:b/>
              </w:rPr>
              <w:t>Total</w:t>
            </w:r>
          </w:p>
        </w:tc>
        <w:tc>
          <w:tcPr>
            <w:tcW w:w="1937" w:type="dxa"/>
            <w:tcBorders>
              <w:top w:val="single" w:sz="4" w:space="0" w:color="auto"/>
              <w:left w:val="nil"/>
              <w:bottom w:val="single" w:sz="4" w:space="0" w:color="auto"/>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19.32</w:t>
            </w:r>
          </w:p>
        </w:tc>
        <w:tc>
          <w:tcPr>
            <w:tcW w:w="1937" w:type="dxa"/>
            <w:tcBorders>
              <w:top w:val="single" w:sz="4" w:space="0" w:color="auto"/>
              <w:left w:val="single" w:sz="4" w:space="0" w:color="auto"/>
              <w:bottom w:val="single" w:sz="4" w:space="0" w:color="auto"/>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19.16</w:t>
            </w:r>
          </w:p>
        </w:tc>
        <w:tc>
          <w:tcPr>
            <w:tcW w:w="1938" w:type="dxa"/>
            <w:tcBorders>
              <w:top w:val="single" w:sz="4" w:space="0" w:color="auto"/>
              <w:left w:val="single" w:sz="4" w:space="0" w:color="auto"/>
              <w:bottom w:val="single" w:sz="4" w:space="0" w:color="auto"/>
              <w:right w:val="single" w:sz="4" w:space="0" w:color="auto"/>
            </w:tcBorders>
          </w:tcPr>
          <w:p w:rsidR="00633540" w:rsidRPr="002E23B7" w:rsidRDefault="00633540" w:rsidP="0054207F">
            <w:pPr>
              <w:spacing w:before="20" w:after="20"/>
              <w:jc w:val="left"/>
              <w:rPr>
                <w:rFonts w:ascii="Arial" w:hAnsi="Arial" w:cs="Arial"/>
              </w:rPr>
            </w:pPr>
            <w:r w:rsidRPr="002E23B7">
              <w:rPr>
                <w:rFonts w:ascii="Arial" w:hAnsi="Arial" w:cs="Arial"/>
              </w:rPr>
              <w:t>19.04</w:t>
            </w:r>
          </w:p>
        </w:tc>
      </w:tr>
      <w:tr w:rsidR="00633540" w:rsidRPr="00D33F5E" w:rsidTr="0054207F">
        <w:tc>
          <w:tcPr>
            <w:tcW w:w="3510" w:type="dxa"/>
            <w:tcBorders>
              <w:top w:val="nil"/>
              <w:left w:val="single" w:sz="4" w:space="0" w:color="auto"/>
              <w:bottom w:val="nil"/>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b/>
              </w:rPr>
            </w:pPr>
            <w:r w:rsidRPr="002E23B7">
              <w:rPr>
                <w:rFonts w:ascii="Arial" w:hAnsi="Arial" w:cs="Arial"/>
                <w:b/>
              </w:rPr>
              <w:t>Sex</w:t>
            </w:r>
          </w:p>
        </w:tc>
        <w:tc>
          <w:tcPr>
            <w:tcW w:w="1937" w:type="dxa"/>
            <w:tcBorders>
              <w:top w:val="nil"/>
              <w:left w:val="nil"/>
              <w:bottom w:val="nil"/>
              <w:right w:val="single" w:sz="4" w:space="0" w:color="auto"/>
            </w:tcBorders>
          </w:tcPr>
          <w:p w:rsidR="00633540" w:rsidRPr="002E23B7" w:rsidRDefault="00633540" w:rsidP="0054207F">
            <w:pPr>
              <w:spacing w:before="20" w:after="20"/>
              <w:rPr>
                <w:rFonts w:ascii="Arial" w:hAnsi="Arial" w:cs="Arial"/>
                <w:b/>
              </w:rPr>
            </w:pPr>
          </w:p>
        </w:tc>
        <w:tc>
          <w:tcPr>
            <w:tcW w:w="1937"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b/>
              </w:rPr>
            </w:pPr>
          </w:p>
        </w:tc>
        <w:tc>
          <w:tcPr>
            <w:tcW w:w="1938"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b/>
              </w:rPr>
            </w:pPr>
          </w:p>
        </w:tc>
      </w:tr>
      <w:tr w:rsidR="00633540" w:rsidRPr="00D33F5E" w:rsidTr="0054207F">
        <w:tc>
          <w:tcPr>
            <w:tcW w:w="3510" w:type="dxa"/>
            <w:tcBorders>
              <w:top w:val="nil"/>
              <w:left w:val="single" w:sz="4" w:space="0" w:color="auto"/>
              <w:bottom w:val="nil"/>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rPr>
            </w:pPr>
            <w:r w:rsidRPr="002E23B7">
              <w:rPr>
                <w:rFonts w:ascii="Arial" w:hAnsi="Arial" w:cs="Arial"/>
              </w:rPr>
              <w:t>Males</w:t>
            </w:r>
          </w:p>
        </w:tc>
        <w:tc>
          <w:tcPr>
            <w:tcW w:w="1937" w:type="dxa"/>
            <w:tcBorders>
              <w:top w:val="nil"/>
              <w:left w:val="nil"/>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11.47</w:t>
            </w:r>
          </w:p>
        </w:tc>
        <w:tc>
          <w:tcPr>
            <w:tcW w:w="1937"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14.61</w:t>
            </w:r>
          </w:p>
        </w:tc>
        <w:tc>
          <w:tcPr>
            <w:tcW w:w="1938"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13.57</w:t>
            </w:r>
          </w:p>
        </w:tc>
      </w:tr>
      <w:tr w:rsidR="00633540" w:rsidRPr="00D33F5E" w:rsidTr="0054207F">
        <w:tc>
          <w:tcPr>
            <w:tcW w:w="3510" w:type="dxa"/>
            <w:tcBorders>
              <w:top w:val="nil"/>
              <w:left w:val="single" w:sz="4" w:space="0" w:color="auto"/>
              <w:bottom w:val="single" w:sz="4" w:space="0" w:color="auto"/>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rPr>
            </w:pPr>
            <w:r w:rsidRPr="002E23B7">
              <w:rPr>
                <w:rFonts w:ascii="Arial" w:hAnsi="Arial" w:cs="Arial"/>
              </w:rPr>
              <w:t>Females</w:t>
            </w:r>
          </w:p>
        </w:tc>
        <w:tc>
          <w:tcPr>
            <w:tcW w:w="1937" w:type="dxa"/>
            <w:tcBorders>
              <w:top w:val="nil"/>
              <w:left w:val="nil"/>
              <w:bottom w:val="single" w:sz="4" w:space="0" w:color="auto"/>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27.06</w:t>
            </w:r>
          </w:p>
        </w:tc>
        <w:tc>
          <w:tcPr>
            <w:tcW w:w="1937" w:type="dxa"/>
            <w:tcBorders>
              <w:top w:val="nil"/>
              <w:left w:val="single" w:sz="4" w:space="0" w:color="auto"/>
              <w:bottom w:val="single" w:sz="4" w:space="0" w:color="auto"/>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23.65</w:t>
            </w:r>
          </w:p>
        </w:tc>
        <w:tc>
          <w:tcPr>
            <w:tcW w:w="1938" w:type="dxa"/>
            <w:tcBorders>
              <w:top w:val="nil"/>
              <w:left w:val="single" w:sz="4" w:space="0" w:color="auto"/>
              <w:bottom w:val="single" w:sz="4" w:space="0" w:color="auto"/>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24.43</w:t>
            </w:r>
          </w:p>
        </w:tc>
      </w:tr>
      <w:tr w:rsidR="00633540" w:rsidRPr="00D33F5E" w:rsidTr="0054207F">
        <w:tc>
          <w:tcPr>
            <w:tcW w:w="3510" w:type="dxa"/>
            <w:tcBorders>
              <w:top w:val="nil"/>
              <w:left w:val="single" w:sz="4" w:space="0" w:color="auto"/>
              <w:bottom w:val="nil"/>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b/>
              </w:rPr>
            </w:pPr>
            <w:r w:rsidRPr="002E23B7">
              <w:rPr>
                <w:rFonts w:ascii="Arial" w:hAnsi="Arial" w:cs="Arial"/>
                <w:b/>
              </w:rPr>
              <w:t>Age (years)</w:t>
            </w:r>
          </w:p>
        </w:tc>
        <w:tc>
          <w:tcPr>
            <w:tcW w:w="1937" w:type="dxa"/>
            <w:tcBorders>
              <w:top w:val="nil"/>
              <w:left w:val="nil"/>
              <w:bottom w:val="nil"/>
              <w:right w:val="single" w:sz="4" w:space="0" w:color="auto"/>
            </w:tcBorders>
          </w:tcPr>
          <w:p w:rsidR="00633540" w:rsidRPr="002E23B7" w:rsidRDefault="00633540" w:rsidP="0054207F">
            <w:pPr>
              <w:spacing w:before="20" w:after="20"/>
              <w:rPr>
                <w:rFonts w:ascii="Arial" w:hAnsi="Arial" w:cs="Arial"/>
                <w:b/>
              </w:rPr>
            </w:pPr>
          </w:p>
        </w:tc>
        <w:tc>
          <w:tcPr>
            <w:tcW w:w="1937"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b/>
              </w:rPr>
            </w:pPr>
          </w:p>
        </w:tc>
        <w:tc>
          <w:tcPr>
            <w:tcW w:w="1938"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b/>
              </w:rPr>
            </w:pPr>
          </w:p>
        </w:tc>
      </w:tr>
      <w:tr w:rsidR="00633540" w:rsidRPr="00D33F5E" w:rsidTr="0054207F">
        <w:tc>
          <w:tcPr>
            <w:tcW w:w="3510" w:type="dxa"/>
            <w:tcBorders>
              <w:top w:val="nil"/>
              <w:left w:val="single" w:sz="4" w:space="0" w:color="auto"/>
              <w:bottom w:val="nil"/>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rPr>
            </w:pPr>
            <w:r w:rsidRPr="002E23B7">
              <w:rPr>
                <w:rFonts w:ascii="Arial" w:hAnsi="Arial" w:cs="Arial"/>
              </w:rPr>
              <w:t>&lt;35</w:t>
            </w:r>
          </w:p>
        </w:tc>
        <w:tc>
          <w:tcPr>
            <w:tcW w:w="1937" w:type="dxa"/>
            <w:tcBorders>
              <w:top w:val="nil"/>
              <w:left w:val="nil"/>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3.53</w:t>
            </w:r>
          </w:p>
        </w:tc>
        <w:tc>
          <w:tcPr>
            <w:tcW w:w="1937"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3.57</w:t>
            </w:r>
          </w:p>
        </w:tc>
        <w:tc>
          <w:tcPr>
            <w:tcW w:w="1938"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2.90</w:t>
            </w:r>
          </w:p>
        </w:tc>
      </w:tr>
      <w:tr w:rsidR="00633540" w:rsidRPr="00D33F5E" w:rsidTr="0054207F">
        <w:tc>
          <w:tcPr>
            <w:tcW w:w="3510" w:type="dxa"/>
            <w:tcBorders>
              <w:top w:val="nil"/>
              <w:left w:val="single" w:sz="4" w:space="0" w:color="auto"/>
              <w:bottom w:val="nil"/>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rPr>
            </w:pPr>
            <w:r w:rsidRPr="002E23B7">
              <w:rPr>
                <w:rFonts w:ascii="Arial" w:hAnsi="Arial" w:cs="Arial"/>
              </w:rPr>
              <w:t>34-44</w:t>
            </w:r>
          </w:p>
        </w:tc>
        <w:tc>
          <w:tcPr>
            <w:tcW w:w="1937" w:type="dxa"/>
            <w:tcBorders>
              <w:top w:val="nil"/>
              <w:left w:val="nil"/>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10.24</w:t>
            </w:r>
          </w:p>
        </w:tc>
        <w:tc>
          <w:tcPr>
            <w:tcW w:w="1937"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6.19</w:t>
            </w:r>
          </w:p>
        </w:tc>
        <w:tc>
          <w:tcPr>
            <w:tcW w:w="1938"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7.11</w:t>
            </w:r>
          </w:p>
        </w:tc>
      </w:tr>
      <w:tr w:rsidR="00633540" w:rsidRPr="00D33F5E" w:rsidTr="0054207F">
        <w:tc>
          <w:tcPr>
            <w:tcW w:w="3510" w:type="dxa"/>
            <w:tcBorders>
              <w:top w:val="nil"/>
              <w:left w:val="single" w:sz="4" w:space="0" w:color="auto"/>
              <w:bottom w:val="nil"/>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rPr>
            </w:pPr>
            <w:r w:rsidRPr="002E23B7">
              <w:rPr>
                <w:rFonts w:ascii="Arial" w:hAnsi="Arial" w:cs="Arial"/>
              </w:rPr>
              <w:t>45-54</w:t>
            </w:r>
          </w:p>
        </w:tc>
        <w:tc>
          <w:tcPr>
            <w:tcW w:w="1937" w:type="dxa"/>
            <w:tcBorders>
              <w:top w:val="nil"/>
              <w:left w:val="nil"/>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13.21</w:t>
            </w:r>
          </w:p>
        </w:tc>
        <w:tc>
          <w:tcPr>
            <w:tcW w:w="1937"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14.40</w:t>
            </w:r>
          </w:p>
        </w:tc>
        <w:tc>
          <w:tcPr>
            <w:tcW w:w="1938"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14.25</w:t>
            </w:r>
          </w:p>
        </w:tc>
      </w:tr>
      <w:tr w:rsidR="00633540" w:rsidRPr="00D33F5E" w:rsidTr="0054207F">
        <w:tc>
          <w:tcPr>
            <w:tcW w:w="3510" w:type="dxa"/>
            <w:tcBorders>
              <w:top w:val="nil"/>
              <w:left w:val="single" w:sz="4" w:space="0" w:color="auto"/>
              <w:bottom w:val="nil"/>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rPr>
            </w:pPr>
            <w:r w:rsidRPr="002E23B7">
              <w:rPr>
                <w:rFonts w:ascii="Arial" w:hAnsi="Arial" w:cs="Arial"/>
              </w:rPr>
              <w:t>55-64</w:t>
            </w:r>
          </w:p>
        </w:tc>
        <w:tc>
          <w:tcPr>
            <w:tcW w:w="1937" w:type="dxa"/>
            <w:tcBorders>
              <w:top w:val="nil"/>
              <w:left w:val="nil"/>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31.30</w:t>
            </w:r>
          </w:p>
        </w:tc>
        <w:tc>
          <w:tcPr>
            <w:tcW w:w="1937"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24.16</w:t>
            </w:r>
          </w:p>
        </w:tc>
        <w:tc>
          <w:tcPr>
            <w:tcW w:w="1938"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28.38</w:t>
            </w:r>
          </w:p>
        </w:tc>
      </w:tr>
      <w:tr w:rsidR="00633540" w:rsidRPr="00D33F5E" w:rsidTr="0054207F">
        <w:tc>
          <w:tcPr>
            <w:tcW w:w="3510" w:type="dxa"/>
            <w:tcBorders>
              <w:top w:val="nil"/>
              <w:left w:val="single" w:sz="4" w:space="0" w:color="auto"/>
              <w:bottom w:val="nil"/>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rPr>
            </w:pPr>
            <w:r w:rsidRPr="002E23B7">
              <w:rPr>
                <w:rFonts w:ascii="Arial" w:hAnsi="Arial" w:cs="Arial"/>
              </w:rPr>
              <w:t>65-74</w:t>
            </w:r>
          </w:p>
        </w:tc>
        <w:tc>
          <w:tcPr>
            <w:tcW w:w="1937" w:type="dxa"/>
            <w:tcBorders>
              <w:top w:val="nil"/>
              <w:left w:val="nil"/>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65.69</w:t>
            </w:r>
          </w:p>
        </w:tc>
        <w:tc>
          <w:tcPr>
            <w:tcW w:w="1937"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65.24</w:t>
            </w:r>
          </w:p>
        </w:tc>
        <w:tc>
          <w:tcPr>
            <w:tcW w:w="1938"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69.08</w:t>
            </w:r>
          </w:p>
        </w:tc>
      </w:tr>
      <w:tr w:rsidR="00633540" w:rsidRPr="00D33F5E" w:rsidTr="0054207F">
        <w:tc>
          <w:tcPr>
            <w:tcW w:w="3510" w:type="dxa"/>
            <w:tcBorders>
              <w:top w:val="nil"/>
              <w:left w:val="single" w:sz="4" w:space="0" w:color="auto"/>
              <w:bottom w:val="nil"/>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rPr>
            </w:pPr>
            <w:r w:rsidRPr="002E23B7">
              <w:rPr>
                <w:rFonts w:ascii="Arial" w:hAnsi="Arial" w:cs="Arial"/>
              </w:rPr>
              <w:t>75-84</w:t>
            </w:r>
          </w:p>
        </w:tc>
        <w:tc>
          <w:tcPr>
            <w:tcW w:w="1937" w:type="dxa"/>
            <w:tcBorders>
              <w:top w:val="nil"/>
              <w:left w:val="nil"/>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96.51</w:t>
            </w:r>
          </w:p>
        </w:tc>
        <w:tc>
          <w:tcPr>
            <w:tcW w:w="1937"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120.34</w:t>
            </w:r>
          </w:p>
        </w:tc>
        <w:tc>
          <w:tcPr>
            <w:tcW w:w="1938" w:type="dxa"/>
            <w:tcBorders>
              <w:top w:val="nil"/>
              <w:left w:val="single" w:sz="4" w:space="0" w:color="auto"/>
              <w:bottom w:val="nil"/>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97.62</w:t>
            </w:r>
          </w:p>
        </w:tc>
      </w:tr>
      <w:tr w:rsidR="00633540" w:rsidRPr="00D33F5E" w:rsidTr="0054207F">
        <w:trPr>
          <w:trHeight w:val="87"/>
        </w:trPr>
        <w:tc>
          <w:tcPr>
            <w:tcW w:w="3510" w:type="dxa"/>
            <w:tcBorders>
              <w:top w:val="nil"/>
              <w:left w:val="single" w:sz="4" w:space="0" w:color="auto"/>
              <w:bottom w:val="single" w:sz="4" w:space="0" w:color="auto"/>
              <w:right w:val="nil"/>
            </w:tcBorders>
            <w:shd w:val="clear" w:color="auto" w:fill="BFBFBF" w:themeFill="background1" w:themeFillShade="BF"/>
            <w:hideMark/>
          </w:tcPr>
          <w:p w:rsidR="00633540" w:rsidRPr="002E23B7" w:rsidRDefault="00633540" w:rsidP="002E23B7">
            <w:pPr>
              <w:spacing w:before="20" w:after="20"/>
              <w:ind w:right="317"/>
              <w:jc w:val="right"/>
              <w:rPr>
                <w:rFonts w:ascii="Arial" w:hAnsi="Arial" w:cs="Arial"/>
              </w:rPr>
            </w:pPr>
            <w:r w:rsidRPr="002E23B7">
              <w:rPr>
                <w:rFonts w:ascii="Arial" w:hAnsi="Arial" w:cs="Arial"/>
              </w:rPr>
              <w:t>85+</w:t>
            </w:r>
          </w:p>
        </w:tc>
        <w:tc>
          <w:tcPr>
            <w:tcW w:w="1937" w:type="dxa"/>
            <w:tcBorders>
              <w:top w:val="nil"/>
              <w:left w:val="nil"/>
              <w:bottom w:val="single" w:sz="4" w:space="0" w:color="auto"/>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61.73</w:t>
            </w:r>
          </w:p>
        </w:tc>
        <w:tc>
          <w:tcPr>
            <w:tcW w:w="1937" w:type="dxa"/>
            <w:tcBorders>
              <w:top w:val="nil"/>
              <w:left w:val="single" w:sz="4" w:space="0" w:color="auto"/>
              <w:bottom w:val="single" w:sz="4" w:space="0" w:color="auto"/>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53.36</w:t>
            </w:r>
          </w:p>
        </w:tc>
        <w:tc>
          <w:tcPr>
            <w:tcW w:w="1938" w:type="dxa"/>
            <w:tcBorders>
              <w:top w:val="nil"/>
              <w:left w:val="single" w:sz="4" w:space="0" w:color="auto"/>
              <w:bottom w:val="single" w:sz="4" w:space="0" w:color="auto"/>
              <w:right w:val="single" w:sz="4" w:space="0" w:color="auto"/>
            </w:tcBorders>
          </w:tcPr>
          <w:p w:rsidR="00633540" w:rsidRPr="002E23B7" w:rsidRDefault="00633540" w:rsidP="0054207F">
            <w:pPr>
              <w:spacing w:before="20" w:after="20"/>
              <w:rPr>
                <w:rFonts w:ascii="Arial" w:hAnsi="Arial" w:cs="Arial"/>
              </w:rPr>
            </w:pPr>
            <w:r w:rsidRPr="002E23B7">
              <w:rPr>
                <w:rFonts w:ascii="Arial" w:hAnsi="Arial" w:cs="Arial"/>
              </w:rPr>
              <w:t>60.07</w:t>
            </w:r>
          </w:p>
        </w:tc>
      </w:tr>
      <w:tr w:rsidR="00633540" w:rsidRPr="00D534C4" w:rsidTr="0054207F">
        <w:trPr>
          <w:trHeight w:val="87"/>
        </w:trPr>
        <w:tc>
          <w:tcPr>
            <w:tcW w:w="3510" w:type="dxa"/>
            <w:tcBorders>
              <w:top w:val="nil"/>
              <w:left w:val="single" w:sz="4" w:space="0" w:color="auto"/>
              <w:bottom w:val="nil"/>
              <w:right w:val="nil"/>
            </w:tcBorders>
            <w:shd w:val="clear" w:color="auto" w:fill="BFBFBF" w:themeFill="background1" w:themeFillShade="BF"/>
            <w:hideMark/>
          </w:tcPr>
          <w:p w:rsidR="00633540" w:rsidRPr="000E117F" w:rsidRDefault="000E117F" w:rsidP="002E23B7">
            <w:pPr>
              <w:spacing w:before="20" w:after="20"/>
              <w:ind w:right="317"/>
              <w:jc w:val="right"/>
              <w:rPr>
                <w:rFonts w:ascii="Arial" w:hAnsi="Arial" w:cs="Arial"/>
                <w:highlight w:val="black"/>
              </w:rPr>
            </w:pPr>
            <w:r>
              <w:rPr>
                <w:rFonts w:ascii="Arial" w:hAnsi="Arial" w:cs="Arial"/>
                <w:b/>
                <w:noProof/>
                <w:color w:val="000000"/>
                <w:highlight w:val="black"/>
              </w:rPr>
              <w:t>'''''''''''</w:t>
            </w:r>
          </w:p>
        </w:tc>
        <w:tc>
          <w:tcPr>
            <w:tcW w:w="1937" w:type="dxa"/>
            <w:tcBorders>
              <w:top w:val="nil"/>
              <w:left w:val="nil"/>
              <w:bottom w:val="nil"/>
              <w:right w:val="single" w:sz="4" w:space="0" w:color="auto"/>
            </w:tcBorders>
            <w:vAlign w:val="center"/>
          </w:tcPr>
          <w:p w:rsidR="00633540" w:rsidRPr="00D534C4" w:rsidRDefault="00633540" w:rsidP="0054207F">
            <w:pPr>
              <w:spacing w:before="20" w:after="20"/>
              <w:rPr>
                <w:rFonts w:ascii="Arial" w:hAnsi="Arial" w:cs="Arial"/>
              </w:rPr>
            </w:pPr>
          </w:p>
        </w:tc>
        <w:tc>
          <w:tcPr>
            <w:tcW w:w="1937" w:type="dxa"/>
            <w:tcBorders>
              <w:top w:val="nil"/>
              <w:left w:val="single" w:sz="4" w:space="0" w:color="auto"/>
              <w:bottom w:val="nil"/>
              <w:right w:val="single" w:sz="4" w:space="0" w:color="auto"/>
            </w:tcBorders>
            <w:vAlign w:val="center"/>
          </w:tcPr>
          <w:p w:rsidR="00633540" w:rsidRPr="00D534C4" w:rsidRDefault="00633540" w:rsidP="0054207F">
            <w:pPr>
              <w:spacing w:before="20" w:after="20"/>
              <w:rPr>
                <w:rFonts w:ascii="Arial" w:hAnsi="Arial" w:cs="Arial"/>
              </w:rPr>
            </w:pPr>
          </w:p>
        </w:tc>
        <w:tc>
          <w:tcPr>
            <w:tcW w:w="1938" w:type="dxa"/>
            <w:tcBorders>
              <w:top w:val="nil"/>
              <w:left w:val="single" w:sz="4" w:space="0" w:color="auto"/>
              <w:bottom w:val="nil"/>
              <w:right w:val="single" w:sz="4" w:space="0" w:color="auto"/>
            </w:tcBorders>
            <w:vAlign w:val="center"/>
          </w:tcPr>
          <w:p w:rsidR="00633540" w:rsidRPr="00D534C4" w:rsidRDefault="00633540" w:rsidP="0054207F">
            <w:pPr>
              <w:spacing w:before="20" w:after="20"/>
              <w:rPr>
                <w:rFonts w:ascii="Arial" w:hAnsi="Arial" w:cs="Arial"/>
              </w:rPr>
            </w:pPr>
          </w:p>
        </w:tc>
      </w:tr>
      <w:tr w:rsidR="00633540" w:rsidRPr="00D534C4" w:rsidTr="0054207F">
        <w:trPr>
          <w:trHeight w:val="87"/>
        </w:trPr>
        <w:tc>
          <w:tcPr>
            <w:tcW w:w="3510" w:type="dxa"/>
            <w:tcBorders>
              <w:top w:val="nil"/>
              <w:left w:val="single" w:sz="4" w:space="0" w:color="auto"/>
              <w:bottom w:val="nil"/>
              <w:right w:val="nil"/>
            </w:tcBorders>
            <w:shd w:val="clear" w:color="auto" w:fill="BFBFBF" w:themeFill="background1" w:themeFillShade="BF"/>
            <w:hideMark/>
          </w:tcPr>
          <w:p w:rsidR="00633540" w:rsidRPr="000E117F" w:rsidRDefault="000E117F" w:rsidP="002E23B7">
            <w:pPr>
              <w:spacing w:before="20" w:after="20"/>
              <w:ind w:right="317"/>
              <w:jc w:val="right"/>
              <w:rPr>
                <w:rFonts w:ascii="Arial" w:hAnsi="Arial" w:cs="Arial"/>
                <w:highlight w:val="black"/>
              </w:rPr>
            </w:pPr>
            <w:r>
              <w:rPr>
                <w:rFonts w:ascii="Arial" w:hAnsi="Arial" w:cs="Arial"/>
                <w:noProof/>
                <w:color w:val="000000"/>
                <w:highlight w:val="black"/>
              </w:rPr>
              <w:t>''''''''''''''''''''''''''</w:t>
            </w:r>
          </w:p>
        </w:tc>
        <w:tc>
          <w:tcPr>
            <w:tcW w:w="1937" w:type="dxa"/>
            <w:tcBorders>
              <w:top w:val="nil"/>
              <w:left w:val="nil"/>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7"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8"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r>
      <w:tr w:rsidR="00633540" w:rsidRPr="00D534C4" w:rsidTr="0054207F">
        <w:trPr>
          <w:trHeight w:val="87"/>
        </w:trPr>
        <w:tc>
          <w:tcPr>
            <w:tcW w:w="3510" w:type="dxa"/>
            <w:tcBorders>
              <w:top w:val="nil"/>
              <w:left w:val="single" w:sz="4" w:space="0" w:color="auto"/>
              <w:bottom w:val="nil"/>
              <w:right w:val="nil"/>
            </w:tcBorders>
            <w:shd w:val="clear" w:color="auto" w:fill="BFBFBF" w:themeFill="background1" w:themeFillShade="BF"/>
            <w:hideMark/>
          </w:tcPr>
          <w:p w:rsidR="00633540" w:rsidRPr="000E117F" w:rsidRDefault="000E117F" w:rsidP="002E23B7">
            <w:pPr>
              <w:spacing w:before="20" w:after="20"/>
              <w:ind w:right="317"/>
              <w:jc w:val="right"/>
              <w:rPr>
                <w:rFonts w:ascii="Arial" w:hAnsi="Arial" w:cs="Arial"/>
                <w:highlight w:val="black"/>
              </w:rPr>
            </w:pPr>
            <w:r>
              <w:rPr>
                <w:rFonts w:ascii="Arial" w:hAnsi="Arial" w:cs="Arial"/>
                <w:noProof/>
                <w:color w:val="000000"/>
                <w:highlight w:val="black"/>
              </w:rPr>
              <w:t>'''''''''''</w:t>
            </w:r>
          </w:p>
        </w:tc>
        <w:tc>
          <w:tcPr>
            <w:tcW w:w="1937" w:type="dxa"/>
            <w:tcBorders>
              <w:top w:val="nil"/>
              <w:left w:val="nil"/>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7"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8"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r>
      <w:tr w:rsidR="00633540" w:rsidRPr="00D534C4" w:rsidTr="0054207F">
        <w:trPr>
          <w:trHeight w:val="87"/>
        </w:trPr>
        <w:tc>
          <w:tcPr>
            <w:tcW w:w="3510" w:type="dxa"/>
            <w:tcBorders>
              <w:top w:val="nil"/>
              <w:left w:val="single" w:sz="4" w:space="0" w:color="auto"/>
              <w:bottom w:val="nil"/>
              <w:right w:val="nil"/>
            </w:tcBorders>
            <w:shd w:val="clear" w:color="auto" w:fill="BFBFBF" w:themeFill="background1" w:themeFillShade="BF"/>
            <w:hideMark/>
          </w:tcPr>
          <w:p w:rsidR="00633540" w:rsidRPr="000E117F" w:rsidRDefault="000E117F" w:rsidP="002E23B7">
            <w:pPr>
              <w:spacing w:before="20" w:after="20"/>
              <w:ind w:right="317"/>
              <w:jc w:val="right"/>
              <w:rPr>
                <w:rFonts w:ascii="Arial" w:hAnsi="Arial" w:cs="Arial"/>
                <w:highlight w:val="black"/>
              </w:rPr>
            </w:pPr>
            <w:r>
              <w:rPr>
                <w:rFonts w:ascii="Arial" w:hAnsi="Arial" w:cs="Arial"/>
                <w:noProof/>
                <w:color w:val="000000"/>
                <w:highlight w:val="black"/>
              </w:rPr>
              <w:t>'''''''''</w:t>
            </w:r>
          </w:p>
        </w:tc>
        <w:tc>
          <w:tcPr>
            <w:tcW w:w="1937" w:type="dxa"/>
            <w:tcBorders>
              <w:top w:val="nil"/>
              <w:left w:val="nil"/>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7"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8"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r>
      <w:tr w:rsidR="00633540" w:rsidRPr="00D534C4" w:rsidTr="0054207F">
        <w:trPr>
          <w:trHeight w:val="87"/>
        </w:trPr>
        <w:tc>
          <w:tcPr>
            <w:tcW w:w="3510" w:type="dxa"/>
            <w:tcBorders>
              <w:top w:val="nil"/>
              <w:left w:val="single" w:sz="4" w:space="0" w:color="auto"/>
              <w:bottom w:val="nil"/>
              <w:right w:val="nil"/>
            </w:tcBorders>
            <w:shd w:val="clear" w:color="auto" w:fill="BFBFBF" w:themeFill="background1" w:themeFillShade="BF"/>
            <w:hideMark/>
          </w:tcPr>
          <w:p w:rsidR="00633540" w:rsidRPr="000E117F" w:rsidRDefault="000E117F" w:rsidP="002E23B7">
            <w:pPr>
              <w:spacing w:before="20" w:after="20"/>
              <w:ind w:right="317"/>
              <w:jc w:val="right"/>
              <w:rPr>
                <w:rFonts w:ascii="Arial" w:hAnsi="Arial" w:cs="Arial"/>
                <w:highlight w:val="black"/>
              </w:rPr>
            </w:pPr>
            <w:r>
              <w:rPr>
                <w:rFonts w:ascii="Arial" w:hAnsi="Arial" w:cs="Arial"/>
                <w:noProof/>
                <w:color w:val="000000"/>
                <w:highlight w:val="black"/>
              </w:rPr>
              <w:t>'''''''</w:t>
            </w:r>
          </w:p>
        </w:tc>
        <w:tc>
          <w:tcPr>
            <w:tcW w:w="1937" w:type="dxa"/>
            <w:tcBorders>
              <w:top w:val="nil"/>
              <w:left w:val="nil"/>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7"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8"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r>
      <w:tr w:rsidR="00633540" w:rsidRPr="00D534C4" w:rsidTr="0054207F">
        <w:trPr>
          <w:trHeight w:val="87"/>
        </w:trPr>
        <w:tc>
          <w:tcPr>
            <w:tcW w:w="3510" w:type="dxa"/>
            <w:tcBorders>
              <w:top w:val="nil"/>
              <w:left w:val="single" w:sz="4" w:space="0" w:color="auto"/>
              <w:bottom w:val="nil"/>
              <w:right w:val="nil"/>
            </w:tcBorders>
            <w:shd w:val="clear" w:color="auto" w:fill="BFBFBF" w:themeFill="background1" w:themeFillShade="BF"/>
            <w:hideMark/>
          </w:tcPr>
          <w:p w:rsidR="00633540" w:rsidRPr="000E117F" w:rsidRDefault="000E117F" w:rsidP="002E23B7">
            <w:pPr>
              <w:spacing w:before="20" w:after="20"/>
              <w:ind w:right="317"/>
              <w:jc w:val="right"/>
              <w:rPr>
                <w:rFonts w:ascii="Arial" w:hAnsi="Arial" w:cs="Arial"/>
                <w:highlight w:val="black"/>
              </w:rPr>
            </w:pPr>
            <w:r>
              <w:rPr>
                <w:rFonts w:ascii="Arial" w:hAnsi="Arial" w:cs="Arial"/>
                <w:noProof/>
                <w:color w:val="000000"/>
                <w:highlight w:val="black"/>
              </w:rPr>
              <w:t>''''''''</w:t>
            </w:r>
          </w:p>
        </w:tc>
        <w:tc>
          <w:tcPr>
            <w:tcW w:w="1937" w:type="dxa"/>
            <w:tcBorders>
              <w:top w:val="nil"/>
              <w:left w:val="nil"/>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7"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8"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r>
      <w:tr w:rsidR="00633540" w:rsidRPr="00D534C4" w:rsidTr="0054207F">
        <w:trPr>
          <w:trHeight w:val="87"/>
        </w:trPr>
        <w:tc>
          <w:tcPr>
            <w:tcW w:w="3510" w:type="dxa"/>
            <w:tcBorders>
              <w:top w:val="nil"/>
              <w:left w:val="single" w:sz="4" w:space="0" w:color="auto"/>
              <w:bottom w:val="nil"/>
              <w:right w:val="nil"/>
            </w:tcBorders>
            <w:shd w:val="clear" w:color="auto" w:fill="BFBFBF" w:themeFill="background1" w:themeFillShade="BF"/>
            <w:hideMark/>
          </w:tcPr>
          <w:p w:rsidR="00633540" w:rsidRPr="000E117F" w:rsidRDefault="000E117F" w:rsidP="002E23B7">
            <w:pPr>
              <w:spacing w:before="20" w:after="20"/>
              <w:ind w:right="317"/>
              <w:jc w:val="right"/>
              <w:rPr>
                <w:rFonts w:ascii="Arial" w:hAnsi="Arial" w:cs="Arial"/>
                <w:highlight w:val="black"/>
              </w:rPr>
            </w:pPr>
            <w:r>
              <w:rPr>
                <w:rFonts w:ascii="Arial" w:hAnsi="Arial" w:cs="Arial"/>
                <w:noProof/>
                <w:color w:val="000000"/>
                <w:highlight w:val="black"/>
              </w:rPr>
              <w:t>''''''''''''</w:t>
            </w:r>
          </w:p>
        </w:tc>
        <w:tc>
          <w:tcPr>
            <w:tcW w:w="1937" w:type="dxa"/>
            <w:tcBorders>
              <w:top w:val="nil"/>
              <w:left w:val="nil"/>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7"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8" w:type="dxa"/>
            <w:tcBorders>
              <w:top w:val="nil"/>
              <w:left w:val="single" w:sz="4" w:space="0" w:color="auto"/>
              <w:bottom w:val="nil"/>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r>
      <w:tr w:rsidR="00633540" w:rsidRPr="00D33F5E" w:rsidTr="0054207F">
        <w:trPr>
          <w:trHeight w:val="87"/>
        </w:trPr>
        <w:tc>
          <w:tcPr>
            <w:tcW w:w="3510" w:type="dxa"/>
            <w:tcBorders>
              <w:top w:val="nil"/>
              <w:left w:val="single" w:sz="4" w:space="0" w:color="auto"/>
              <w:bottom w:val="single" w:sz="4" w:space="0" w:color="auto"/>
              <w:right w:val="nil"/>
            </w:tcBorders>
            <w:shd w:val="clear" w:color="auto" w:fill="BFBFBF" w:themeFill="background1" w:themeFillShade="BF"/>
            <w:hideMark/>
          </w:tcPr>
          <w:p w:rsidR="00633540" w:rsidRPr="000E117F" w:rsidRDefault="000E117F" w:rsidP="002E23B7">
            <w:pPr>
              <w:spacing w:before="20" w:after="20"/>
              <w:ind w:right="317"/>
              <w:jc w:val="right"/>
              <w:rPr>
                <w:rFonts w:ascii="Arial" w:hAnsi="Arial" w:cs="Arial"/>
                <w:highlight w:val="black"/>
              </w:rPr>
            </w:pPr>
            <w:r>
              <w:rPr>
                <w:rFonts w:ascii="Arial" w:hAnsi="Arial" w:cs="Arial"/>
                <w:noProof/>
                <w:color w:val="000000"/>
                <w:highlight w:val="black"/>
              </w:rPr>
              <w:t>'''''''</w:t>
            </w:r>
          </w:p>
        </w:tc>
        <w:tc>
          <w:tcPr>
            <w:tcW w:w="1937" w:type="dxa"/>
            <w:tcBorders>
              <w:top w:val="nil"/>
              <w:left w:val="nil"/>
              <w:bottom w:val="single" w:sz="4" w:space="0" w:color="auto"/>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7" w:type="dxa"/>
            <w:tcBorders>
              <w:top w:val="nil"/>
              <w:left w:val="single" w:sz="4" w:space="0" w:color="auto"/>
              <w:bottom w:val="single" w:sz="4" w:space="0" w:color="auto"/>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c>
          <w:tcPr>
            <w:tcW w:w="1938" w:type="dxa"/>
            <w:tcBorders>
              <w:top w:val="nil"/>
              <w:left w:val="single" w:sz="4" w:space="0" w:color="auto"/>
              <w:bottom w:val="single" w:sz="4" w:space="0" w:color="auto"/>
              <w:right w:val="single" w:sz="4" w:space="0" w:color="auto"/>
            </w:tcBorders>
            <w:vAlign w:val="center"/>
          </w:tcPr>
          <w:p w:rsidR="00633540" w:rsidRPr="000E117F" w:rsidRDefault="000E117F" w:rsidP="0054207F">
            <w:pPr>
              <w:spacing w:before="20" w:after="20"/>
              <w:rPr>
                <w:rFonts w:ascii="Arial" w:hAnsi="Arial" w:cs="Arial"/>
                <w:highlight w:val="black"/>
              </w:rPr>
            </w:pPr>
            <w:r>
              <w:rPr>
                <w:rFonts w:ascii="Arial" w:hAnsi="Arial" w:cs="Arial"/>
                <w:noProof/>
                <w:color w:val="000000"/>
                <w:highlight w:val="black"/>
              </w:rPr>
              <w:t>'''''''''''''</w:t>
            </w:r>
          </w:p>
        </w:tc>
      </w:tr>
    </w:tbl>
    <w:p w:rsidR="00633540" w:rsidRPr="00633540" w:rsidRDefault="00633540" w:rsidP="00633540"/>
    <w:p w:rsidR="00633540" w:rsidRPr="009A6F8F" w:rsidRDefault="00784093" w:rsidP="009A6F8F">
      <w:pPr>
        <w:pStyle w:val="Heading3"/>
      </w:pPr>
      <w:bookmarkStart w:id="63" w:name="_Toc508360142"/>
      <w:bookmarkStart w:id="64" w:name="_Toc36810532"/>
      <w:r>
        <w:t>2.4</w:t>
      </w:r>
      <w:r w:rsidR="00633540" w:rsidRPr="009A6F8F">
        <w:t>.4</w:t>
      </w:r>
      <w:bookmarkEnd w:id="63"/>
      <w:r w:rsidR="00633540" w:rsidRPr="009A6F8F">
        <w:t xml:space="preserve"> </w:t>
      </w:r>
      <w:bookmarkStart w:id="65" w:name="_Toc508360143"/>
      <w:r w:rsidR="00633540" w:rsidRPr="009A6F8F">
        <w:t>Time on treatment</w:t>
      </w:r>
      <w:bookmarkEnd w:id="65"/>
      <w:r w:rsidR="003D0459">
        <w:t xml:space="preserve"> from PBS data</w:t>
      </w:r>
      <w:bookmarkEnd w:id="64"/>
    </w:p>
    <w:p w:rsidR="00C5616C" w:rsidRDefault="00633540" w:rsidP="00C5616C">
      <w:pPr>
        <w:pStyle w:val="BodyTextnospacebefore"/>
      </w:pPr>
      <w:r w:rsidRPr="00D33F5E">
        <w:t>Among people who initiated on</w:t>
      </w:r>
      <w:r w:rsidR="00093386">
        <w:t xml:space="preserve"> PBS medicines</w:t>
      </w:r>
      <w:r w:rsidRPr="00D33F5E">
        <w:t xml:space="preserve"> in 2014, in the first 360 days 14.5% had died, but 70.9% of those still alive were still </w:t>
      </w:r>
      <w:r>
        <w:t>persistent</w:t>
      </w:r>
      <w:r w:rsidR="00BA253F">
        <w:t xml:space="preserve"> (had not discontinued) (Table 2.5</w:t>
      </w:r>
      <w:r>
        <w:t>)</w:t>
      </w:r>
      <w:r w:rsidRPr="00D33F5E">
        <w:t xml:space="preserve">. By 720 days post-initiation, 24.9% had died and </w:t>
      </w:r>
      <w:r>
        <w:t>61.9</w:t>
      </w:r>
      <w:r w:rsidRPr="00D33F5E">
        <w:t xml:space="preserve">% of those still alive </w:t>
      </w:r>
      <w:r>
        <w:t>were still persistent.</w:t>
      </w:r>
    </w:p>
    <w:p w:rsidR="00C5616C" w:rsidRPr="00C5616C" w:rsidRDefault="00C5616C" w:rsidP="00C5616C">
      <w:pPr>
        <w:jc w:val="left"/>
        <w:rPr>
          <w:rFonts w:asciiTheme="minorHAnsi" w:eastAsia="Calibri" w:hAnsiTheme="minorHAnsi" w:cs="Times New Roman"/>
          <w:szCs w:val="24"/>
          <w:lang w:eastAsia="en-US"/>
        </w:rPr>
      </w:pPr>
      <w:r>
        <w:br w:type="page"/>
      </w:r>
    </w:p>
    <w:p w:rsidR="00BA253F" w:rsidRDefault="00BA253F" w:rsidP="00BA253F">
      <w:pPr>
        <w:pStyle w:val="Caption"/>
      </w:pPr>
      <w:bookmarkStart w:id="66" w:name="_Toc511144348"/>
      <w:r>
        <w:lastRenderedPageBreak/>
        <w:t>Table 2.</w:t>
      </w:r>
      <w:r>
        <w:rPr>
          <w:noProof/>
        </w:rPr>
        <w:t>5</w:t>
      </w:r>
      <w:r w:rsidR="00B30AA0">
        <w:tab/>
      </w:r>
      <w:r w:rsidRPr="001B041F">
        <w:t>Persistence with treatment in first 720 days among incident PAH medicine users in 2014</w:t>
      </w:r>
      <w:bookmarkEnd w:id="66"/>
    </w:p>
    <w:tbl>
      <w:tblPr>
        <w:tblStyle w:val="TableGrid"/>
        <w:tblW w:w="83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2.5 Persistence with treatment in first 720 days among incident PAH medicine users in 2014"/>
        <w:tblDescription w:val="Table 2.5 Persistence with treatment in first 720 days among incident PAH medicine users in 2014"/>
      </w:tblPr>
      <w:tblGrid>
        <w:gridCol w:w="4108"/>
        <w:gridCol w:w="1954"/>
        <w:gridCol w:w="2268"/>
      </w:tblGrid>
      <w:tr w:rsidR="00633540" w:rsidRPr="00D33F5E" w:rsidTr="006F47C5">
        <w:trPr>
          <w:tblHeader/>
        </w:trPr>
        <w:tc>
          <w:tcPr>
            <w:tcW w:w="4108" w:type="dxa"/>
            <w:tcBorders>
              <w:top w:val="single" w:sz="4" w:space="0" w:color="auto"/>
              <w:left w:val="single" w:sz="4" w:space="0" w:color="auto"/>
              <w:bottom w:val="single" w:sz="4" w:space="0" w:color="auto"/>
              <w:right w:val="nil"/>
            </w:tcBorders>
            <w:shd w:val="clear" w:color="auto" w:fill="BFBFBF" w:themeFill="background1" w:themeFillShade="BF"/>
          </w:tcPr>
          <w:p w:rsidR="00633540" w:rsidRPr="002E23B7" w:rsidRDefault="00633540" w:rsidP="0054207F">
            <w:pPr>
              <w:spacing w:before="60" w:after="60"/>
              <w:rPr>
                <w:rFonts w:ascii="Arial" w:hAnsi="Arial" w:cs="Arial"/>
                <w:b/>
                <w:szCs w:val="24"/>
              </w:rPr>
            </w:pPr>
          </w:p>
        </w:tc>
        <w:tc>
          <w:tcPr>
            <w:tcW w:w="1954" w:type="dxa"/>
            <w:tcBorders>
              <w:top w:val="single" w:sz="4" w:space="0" w:color="auto"/>
              <w:left w:val="nil"/>
              <w:bottom w:val="single" w:sz="4" w:space="0" w:color="auto"/>
              <w:right w:val="nil"/>
            </w:tcBorders>
            <w:shd w:val="clear" w:color="auto" w:fill="BFBFBF" w:themeFill="background1" w:themeFillShade="BF"/>
            <w:vAlign w:val="center"/>
            <w:hideMark/>
          </w:tcPr>
          <w:p w:rsidR="00633540" w:rsidRPr="002E23B7" w:rsidRDefault="00633540" w:rsidP="0054207F">
            <w:pPr>
              <w:spacing w:before="60" w:after="60"/>
              <w:rPr>
                <w:rFonts w:ascii="Arial" w:hAnsi="Arial" w:cs="Arial"/>
                <w:b/>
                <w:szCs w:val="24"/>
              </w:rPr>
            </w:pPr>
            <w:r w:rsidRPr="002E23B7">
              <w:rPr>
                <w:rFonts w:ascii="Arial" w:hAnsi="Arial" w:cs="Arial"/>
                <w:b/>
                <w:szCs w:val="24"/>
              </w:rPr>
              <w:t>Primary analysis</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33540" w:rsidRPr="002E23B7" w:rsidRDefault="00633540" w:rsidP="0054207F">
            <w:pPr>
              <w:spacing w:before="60" w:after="60"/>
              <w:rPr>
                <w:rFonts w:ascii="Arial" w:hAnsi="Arial" w:cs="Arial"/>
                <w:b/>
                <w:szCs w:val="24"/>
              </w:rPr>
            </w:pPr>
            <w:r w:rsidRPr="002E23B7">
              <w:rPr>
                <w:rFonts w:ascii="Arial" w:hAnsi="Arial" w:cs="Arial"/>
                <w:b/>
                <w:szCs w:val="24"/>
              </w:rPr>
              <w:t>Sensitivity analysis</w:t>
            </w:r>
          </w:p>
        </w:tc>
      </w:tr>
      <w:tr w:rsidR="00633540" w:rsidRPr="00D33F5E" w:rsidTr="0054207F">
        <w:tc>
          <w:tcPr>
            <w:tcW w:w="4108" w:type="dxa"/>
            <w:tcBorders>
              <w:top w:val="single" w:sz="4" w:space="0" w:color="auto"/>
              <w:left w:val="single" w:sz="4" w:space="0" w:color="auto"/>
              <w:bottom w:val="nil"/>
              <w:right w:val="single" w:sz="4" w:space="0" w:color="auto"/>
            </w:tcBorders>
            <w:shd w:val="clear" w:color="auto" w:fill="BFBFBF" w:themeFill="background1" w:themeFillShade="BF"/>
          </w:tcPr>
          <w:p w:rsidR="00633540" w:rsidRPr="002E23B7" w:rsidRDefault="00633540" w:rsidP="006F47C5">
            <w:pPr>
              <w:spacing w:before="60" w:after="240"/>
              <w:rPr>
                <w:rFonts w:ascii="Arial" w:hAnsi="Arial" w:cs="Arial"/>
                <w:b/>
                <w:szCs w:val="24"/>
              </w:rPr>
            </w:pPr>
            <w:r w:rsidRPr="002E23B7">
              <w:rPr>
                <w:rFonts w:ascii="Arial" w:hAnsi="Arial" w:cs="Arial"/>
                <w:b/>
                <w:szCs w:val="24"/>
              </w:rPr>
              <w:t>Number of patients</w:t>
            </w:r>
          </w:p>
        </w:tc>
        <w:tc>
          <w:tcPr>
            <w:tcW w:w="1954" w:type="dxa"/>
            <w:tcBorders>
              <w:top w:val="single" w:sz="4" w:space="0" w:color="auto"/>
              <w:left w:val="single" w:sz="4" w:space="0" w:color="auto"/>
              <w:bottom w:val="nil"/>
              <w:right w:val="single" w:sz="4" w:space="0" w:color="auto"/>
            </w:tcBorders>
            <w:vAlign w:val="center"/>
          </w:tcPr>
          <w:p w:rsidR="00633540" w:rsidRPr="002E23B7" w:rsidRDefault="00633540" w:rsidP="006F47C5">
            <w:pPr>
              <w:spacing w:before="60" w:after="240"/>
              <w:rPr>
                <w:rFonts w:ascii="Arial" w:hAnsi="Arial" w:cs="Arial"/>
                <w:szCs w:val="24"/>
              </w:rPr>
            </w:pPr>
            <w:r w:rsidRPr="002E23B7">
              <w:rPr>
                <w:rFonts w:ascii="Arial" w:hAnsi="Arial" w:cs="Arial"/>
                <w:szCs w:val="24"/>
              </w:rPr>
              <w:t>454</w:t>
            </w:r>
          </w:p>
        </w:tc>
        <w:tc>
          <w:tcPr>
            <w:tcW w:w="2268" w:type="dxa"/>
            <w:tcBorders>
              <w:top w:val="single" w:sz="4" w:space="0" w:color="auto"/>
              <w:left w:val="single" w:sz="4" w:space="0" w:color="auto"/>
              <w:bottom w:val="nil"/>
              <w:right w:val="single" w:sz="4" w:space="0" w:color="auto"/>
            </w:tcBorders>
            <w:vAlign w:val="center"/>
          </w:tcPr>
          <w:p w:rsidR="00633540" w:rsidRPr="002E23B7" w:rsidRDefault="00633540" w:rsidP="006F47C5">
            <w:pPr>
              <w:spacing w:before="60" w:after="240"/>
              <w:rPr>
                <w:rFonts w:ascii="Arial" w:hAnsi="Arial" w:cs="Arial"/>
                <w:szCs w:val="24"/>
              </w:rPr>
            </w:pPr>
            <w:r w:rsidRPr="002E23B7">
              <w:rPr>
                <w:rFonts w:ascii="Arial" w:hAnsi="Arial" w:cs="Arial"/>
                <w:szCs w:val="24"/>
              </w:rPr>
              <w:t>454</w:t>
            </w:r>
          </w:p>
        </w:tc>
      </w:tr>
      <w:tr w:rsidR="00633540" w:rsidRPr="00D33F5E" w:rsidTr="0054207F">
        <w:tc>
          <w:tcPr>
            <w:tcW w:w="4108"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60" w:after="60"/>
              <w:rPr>
                <w:rFonts w:ascii="Arial" w:hAnsi="Arial" w:cs="Arial"/>
                <w:b/>
                <w:szCs w:val="24"/>
                <w:u w:val="single"/>
              </w:rPr>
            </w:pPr>
            <w:r w:rsidRPr="002E23B7">
              <w:rPr>
                <w:rFonts w:ascii="Arial" w:hAnsi="Arial" w:cs="Arial"/>
                <w:b/>
                <w:szCs w:val="24"/>
                <w:u w:val="single"/>
              </w:rPr>
              <w:t>360 days post-initiation</w:t>
            </w:r>
          </w:p>
        </w:tc>
        <w:tc>
          <w:tcPr>
            <w:tcW w:w="1954" w:type="dxa"/>
            <w:tcBorders>
              <w:top w:val="nil"/>
              <w:left w:val="single" w:sz="4" w:space="0" w:color="auto"/>
              <w:bottom w:val="nil"/>
              <w:right w:val="single" w:sz="4" w:space="0" w:color="auto"/>
            </w:tcBorders>
            <w:vAlign w:val="center"/>
          </w:tcPr>
          <w:p w:rsidR="00633540" w:rsidRPr="002E23B7" w:rsidRDefault="00633540" w:rsidP="0054207F">
            <w:pPr>
              <w:spacing w:before="60" w:after="60"/>
              <w:jc w:val="left"/>
              <w:rPr>
                <w:rFonts w:ascii="Arial" w:hAnsi="Arial" w:cs="Arial"/>
                <w:szCs w:val="24"/>
              </w:rPr>
            </w:pPr>
          </w:p>
        </w:tc>
        <w:tc>
          <w:tcPr>
            <w:tcW w:w="2268" w:type="dxa"/>
            <w:tcBorders>
              <w:top w:val="nil"/>
              <w:left w:val="single" w:sz="4" w:space="0" w:color="auto"/>
              <w:bottom w:val="nil"/>
              <w:right w:val="single" w:sz="4" w:space="0" w:color="auto"/>
            </w:tcBorders>
            <w:vAlign w:val="center"/>
          </w:tcPr>
          <w:p w:rsidR="00633540" w:rsidRPr="002E23B7" w:rsidRDefault="00633540" w:rsidP="0054207F">
            <w:pPr>
              <w:spacing w:before="60" w:after="60"/>
              <w:jc w:val="left"/>
              <w:rPr>
                <w:rFonts w:ascii="Arial" w:hAnsi="Arial" w:cs="Arial"/>
                <w:szCs w:val="24"/>
              </w:rPr>
            </w:pPr>
          </w:p>
        </w:tc>
      </w:tr>
      <w:tr w:rsidR="00633540" w:rsidRPr="00D33F5E" w:rsidTr="0054207F">
        <w:tc>
          <w:tcPr>
            <w:tcW w:w="4108"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60" w:after="60"/>
              <w:rPr>
                <w:rFonts w:ascii="Arial" w:hAnsi="Arial" w:cs="Arial"/>
                <w:b/>
                <w:szCs w:val="24"/>
              </w:rPr>
            </w:pPr>
            <w:r w:rsidRPr="002E23B7">
              <w:rPr>
                <w:rFonts w:ascii="Arial" w:hAnsi="Arial" w:cs="Arial"/>
                <w:b/>
                <w:szCs w:val="24"/>
              </w:rPr>
              <w:t>Patients surviving at 360 days post initiation, n (%)</w:t>
            </w:r>
          </w:p>
        </w:tc>
        <w:tc>
          <w:tcPr>
            <w:tcW w:w="1954" w:type="dxa"/>
            <w:tcBorders>
              <w:top w:val="nil"/>
              <w:left w:val="single" w:sz="4" w:space="0" w:color="auto"/>
              <w:bottom w:val="nil"/>
              <w:right w:val="single" w:sz="4" w:space="0" w:color="auto"/>
            </w:tcBorders>
            <w:vAlign w:val="center"/>
          </w:tcPr>
          <w:p w:rsidR="00633540" w:rsidRPr="002E23B7" w:rsidRDefault="00633540" w:rsidP="0054207F">
            <w:pPr>
              <w:spacing w:before="60" w:after="60"/>
              <w:jc w:val="left"/>
              <w:rPr>
                <w:rFonts w:ascii="Arial" w:hAnsi="Arial" w:cs="Arial"/>
                <w:szCs w:val="24"/>
              </w:rPr>
            </w:pPr>
            <w:r w:rsidRPr="002E23B7">
              <w:rPr>
                <w:rFonts w:ascii="Arial" w:hAnsi="Arial" w:cs="Arial"/>
                <w:szCs w:val="24"/>
              </w:rPr>
              <w:t xml:space="preserve">388 (85.5) </w:t>
            </w:r>
          </w:p>
        </w:tc>
        <w:tc>
          <w:tcPr>
            <w:tcW w:w="2268" w:type="dxa"/>
            <w:tcBorders>
              <w:top w:val="nil"/>
              <w:left w:val="single" w:sz="4" w:space="0" w:color="auto"/>
              <w:bottom w:val="nil"/>
              <w:right w:val="single" w:sz="4" w:space="0" w:color="auto"/>
            </w:tcBorders>
            <w:vAlign w:val="center"/>
          </w:tcPr>
          <w:p w:rsidR="00633540" w:rsidRPr="002E23B7" w:rsidRDefault="00633540" w:rsidP="0054207F">
            <w:pPr>
              <w:spacing w:before="60" w:after="60"/>
              <w:jc w:val="left"/>
              <w:rPr>
                <w:rFonts w:ascii="Arial" w:hAnsi="Arial" w:cs="Arial"/>
                <w:szCs w:val="24"/>
              </w:rPr>
            </w:pPr>
            <w:r w:rsidRPr="002E23B7">
              <w:rPr>
                <w:rFonts w:ascii="Arial" w:hAnsi="Arial" w:cs="Arial"/>
                <w:szCs w:val="24"/>
              </w:rPr>
              <w:t>388 (85.5)</w:t>
            </w:r>
          </w:p>
        </w:tc>
      </w:tr>
      <w:tr w:rsidR="00633540" w:rsidRPr="00D33F5E" w:rsidTr="0054207F">
        <w:tc>
          <w:tcPr>
            <w:tcW w:w="4108"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6F47C5">
            <w:pPr>
              <w:spacing w:before="60" w:after="240"/>
              <w:jc w:val="left"/>
              <w:rPr>
                <w:rFonts w:ascii="Arial" w:hAnsi="Arial" w:cs="Arial"/>
                <w:b/>
                <w:szCs w:val="24"/>
              </w:rPr>
            </w:pPr>
            <w:r w:rsidRPr="002E23B7">
              <w:rPr>
                <w:rFonts w:ascii="Arial" w:hAnsi="Arial" w:cs="Arial"/>
                <w:b/>
                <w:szCs w:val="24"/>
              </w:rPr>
              <w:t>Proportion of those still alive persistent on treatment, n (%</w:t>
            </w:r>
            <w:proofErr w:type="gramStart"/>
            <w:r w:rsidRPr="002E23B7">
              <w:rPr>
                <w:rFonts w:ascii="Arial" w:hAnsi="Arial" w:cs="Arial"/>
                <w:b/>
                <w:szCs w:val="24"/>
              </w:rPr>
              <w:t>)^</w:t>
            </w:r>
            <w:proofErr w:type="gramEnd"/>
          </w:p>
        </w:tc>
        <w:tc>
          <w:tcPr>
            <w:tcW w:w="1954" w:type="dxa"/>
            <w:tcBorders>
              <w:top w:val="nil"/>
              <w:left w:val="single" w:sz="4" w:space="0" w:color="auto"/>
              <w:bottom w:val="nil"/>
              <w:right w:val="single" w:sz="4" w:space="0" w:color="auto"/>
            </w:tcBorders>
            <w:vAlign w:val="center"/>
          </w:tcPr>
          <w:p w:rsidR="00633540" w:rsidRPr="002E23B7" w:rsidRDefault="00633540" w:rsidP="006F47C5">
            <w:pPr>
              <w:spacing w:before="60" w:after="240"/>
              <w:jc w:val="left"/>
              <w:rPr>
                <w:rFonts w:ascii="Arial" w:hAnsi="Arial" w:cs="Arial"/>
                <w:szCs w:val="24"/>
              </w:rPr>
            </w:pPr>
            <w:r w:rsidRPr="002E23B7">
              <w:rPr>
                <w:rFonts w:ascii="Arial" w:hAnsi="Arial" w:cs="Arial"/>
                <w:szCs w:val="24"/>
              </w:rPr>
              <w:t>275/388 (70.9)</w:t>
            </w:r>
          </w:p>
        </w:tc>
        <w:tc>
          <w:tcPr>
            <w:tcW w:w="2268" w:type="dxa"/>
            <w:tcBorders>
              <w:top w:val="nil"/>
              <w:left w:val="single" w:sz="4" w:space="0" w:color="auto"/>
              <w:bottom w:val="nil"/>
              <w:right w:val="single" w:sz="4" w:space="0" w:color="auto"/>
            </w:tcBorders>
            <w:vAlign w:val="center"/>
          </w:tcPr>
          <w:p w:rsidR="00633540" w:rsidRPr="002E23B7" w:rsidRDefault="00633540" w:rsidP="006F47C5">
            <w:pPr>
              <w:spacing w:before="60" w:after="240"/>
              <w:jc w:val="left"/>
              <w:rPr>
                <w:rFonts w:ascii="Arial" w:hAnsi="Arial" w:cs="Arial"/>
                <w:szCs w:val="24"/>
              </w:rPr>
            </w:pPr>
            <w:r w:rsidRPr="002E23B7">
              <w:rPr>
                <w:rFonts w:ascii="Arial" w:hAnsi="Arial" w:cs="Arial"/>
                <w:szCs w:val="24"/>
              </w:rPr>
              <w:t>299/388 (77.1)</w:t>
            </w:r>
          </w:p>
        </w:tc>
      </w:tr>
      <w:tr w:rsidR="00633540" w:rsidRPr="00D33F5E" w:rsidTr="0054207F">
        <w:tc>
          <w:tcPr>
            <w:tcW w:w="4108"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60" w:after="60"/>
              <w:jc w:val="left"/>
              <w:rPr>
                <w:rFonts w:ascii="Arial" w:hAnsi="Arial" w:cs="Arial"/>
                <w:b/>
                <w:szCs w:val="24"/>
                <w:u w:val="single"/>
              </w:rPr>
            </w:pPr>
            <w:r w:rsidRPr="002E23B7">
              <w:rPr>
                <w:rFonts w:ascii="Arial" w:hAnsi="Arial" w:cs="Arial"/>
                <w:b/>
                <w:szCs w:val="24"/>
                <w:u w:val="single"/>
              </w:rPr>
              <w:t>720 days post-initiation</w:t>
            </w:r>
          </w:p>
        </w:tc>
        <w:tc>
          <w:tcPr>
            <w:tcW w:w="1954" w:type="dxa"/>
            <w:tcBorders>
              <w:top w:val="nil"/>
              <w:left w:val="single" w:sz="4" w:space="0" w:color="auto"/>
              <w:bottom w:val="nil"/>
              <w:right w:val="single" w:sz="4" w:space="0" w:color="auto"/>
            </w:tcBorders>
            <w:vAlign w:val="center"/>
          </w:tcPr>
          <w:p w:rsidR="00633540" w:rsidRPr="002E23B7" w:rsidRDefault="00633540" w:rsidP="0054207F">
            <w:pPr>
              <w:spacing w:before="60" w:after="60"/>
              <w:jc w:val="left"/>
              <w:rPr>
                <w:rFonts w:ascii="Arial" w:hAnsi="Arial" w:cs="Arial"/>
                <w:szCs w:val="24"/>
              </w:rPr>
            </w:pPr>
          </w:p>
        </w:tc>
        <w:tc>
          <w:tcPr>
            <w:tcW w:w="2268" w:type="dxa"/>
            <w:tcBorders>
              <w:top w:val="nil"/>
              <w:left w:val="single" w:sz="4" w:space="0" w:color="auto"/>
              <w:bottom w:val="nil"/>
              <w:right w:val="single" w:sz="4" w:space="0" w:color="auto"/>
            </w:tcBorders>
            <w:vAlign w:val="center"/>
          </w:tcPr>
          <w:p w:rsidR="00633540" w:rsidRPr="002E23B7" w:rsidRDefault="00633540" w:rsidP="0054207F">
            <w:pPr>
              <w:spacing w:before="60" w:after="60"/>
              <w:jc w:val="left"/>
              <w:rPr>
                <w:rFonts w:ascii="Arial" w:hAnsi="Arial" w:cs="Arial"/>
                <w:szCs w:val="24"/>
              </w:rPr>
            </w:pPr>
          </w:p>
        </w:tc>
      </w:tr>
      <w:tr w:rsidR="00633540" w:rsidRPr="00D33F5E" w:rsidTr="0054207F">
        <w:tc>
          <w:tcPr>
            <w:tcW w:w="4108" w:type="dxa"/>
            <w:tcBorders>
              <w:top w:val="nil"/>
              <w:left w:val="single" w:sz="4" w:space="0" w:color="auto"/>
              <w:bottom w:val="nil"/>
              <w:right w:val="single" w:sz="4" w:space="0" w:color="auto"/>
            </w:tcBorders>
            <w:shd w:val="clear" w:color="auto" w:fill="BFBFBF" w:themeFill="background1" w:themeFillShade="BF"/>
          </w:tcPr>
          <w:p w:rsidR="00633540" w:rsidRPr="002E23B7" w:rsidRDefault="00633540" w:rsidP="0054207F">
            <w:pPr>
              <w:spacing w:before="60" w:after="60"/>
              <w:jc w:val="left"/>
              <w:rPr>
                <w:rFonts w:ascii="Arial" w:hAnsi="Arial" w:cs="Arial"/>
                <w:b/>
                <w:szCs w:val="24"/>
              </w:rPr>
            </w:pPr>
            <w:r w:rsidRPr="002E23B7">
              <w:rPr>
                <w:rFonts w:ascii="Arial" w:hAnsi="Arial" w:cs="Arial"/>
                <w:b/>
                <w:szCs w:val="24"/>
              </w:rPr>
              <w:t>Patients surviving at</w:t>
            </w:r>
            <w:r w:rsidR="003D172D">
              <w:rPr>
                <w:rFonts w:ascii="Arial" w:hAnsi="Arial" w:cs="Arial"/>
                <w:b/>
                <w:szCs w:val="24"/>
              </w:rPr>
              <w:t xml:space="preserve"> </w:t>
            </w:r>
            <w:r w:rsidRPr="002E23B7">
              <w:rPr>
                <w:rFonts w:ascii="Arial" w:hAnsi="Arial" w:cs="Arial"/>
                <w:b/>
                <w:szCs w:val="24"/>
              </w:rPr>
              <w:t>720 days post initiation, n (%)</w:t>
            </w:r>
          </w:p>
        </w:tc>
        <w:tc>
          <w:tcPr>
            <w:tcW w:w="1954" w:type="dxa"/>
            <w:tcBorders>
              <w:top w:val="nil"/>
              <w:left w:val="single" w:sz="4" w:space="0" w:color="auto"/>
              <w:bottom w:val="nil"/>
              <w:right w:val="single" w:sz="4" w:space="0" w:color="auto"/>
            </w:tcBorders>
            <w:vAlign w:val="center"/>
          </w:tcPr>
          <w:p w:rsidR="00633540" w:rsidRPr="002E23B7" w:rsidRDefault="00633540" w:rsidP="0054207F">
            <w:pPr>
              <w:spacing w:before="60" w:after="60"/>
              <w:jc w:val="left"/>
              <w:rPr>
                <w:rFonts w:ascii="Arial" w:hAnsi="Arial" w:cs="Arial"/>
                <w:szCs w:val="24"/>
              </w:rPr>
            </w:pPr>
            <w:r w:rsidRPr="002E23B7">
              <w:rPr>
                <w:rFonts w:ascii="Arial" w:hAnsi="Arial" w:cs="Arial"/>
                <w:szCs w:val="24"/>
              </w:rPr>
              <w:t>341(75.1)</w:t>
            </w:r>
          </w:p>
        </w:tc>
        <w:tc>
          <w:tcPr>
            <w:tcW w:w="2268" w:type="dxa"/>
            <w:tcBorders>
              <w:top w:val="nil"/>
              <w:left w:val="single" w:sz="4" w:space="0" w:color="auto"/>
              <w:bottom w:val="nil"/>
              <w:right w:val="single" w:sz="4" w:space="0" w:color="auto"/>
            </w:tcBorders>
            <w:vAlign w:val="center"/>
          </w:tcPr>
          <w:p w:rsidR="00633540" w:rsidRPr="002E23B7" w:rsidRDefault="00633540" w:rsidP="0054207F">
            <w:pPr>
              <w:spacing w:before="60" w:after="60"/>
              <w:jc w:val="left"/>
              <w:rPr>
                <w:rFonts w:ascii="Arial" w:hAnsi="Arial" w:cs="Arial"/>
                <w:szCs w:val="24"/>
              </w:rPr>
            </w:pPr>
            <w:r w:rsidRPr="002E23B7">
              <w:rPr>
                <w:rFonts w:ascii="Arial" w:hAnsi="Arial" w:cs="Arial"/>
                <w:szCs w:val="24"/>
              </w:rPr>
              <w:t>341 (75.1)</w:t>
            </w:r>
          </w:p>
        </w:tc>
      </w:tr>
      <w:tr w:rsidR="00633540" w:rsidRPr="00D33F5E" w:rsidTr="0054207F">
        <w:tc>
          <w:tcPr>
            <w:tcW w:w="4108" w:type="dxa"/>
            <w:tcBorders>
              <w:top w:val="nil"/>
              <w:left w:val="single" w:sz="4" w:space="0" w:color="auto"/>
              <w:bottom w:val="single" w:sz="4" w:space="0" w:color="auto"/>
              <w:right w:val="single" w:sz="4" w:space="0" w:color="auto"/>
            </w:tcBorders>
            <w:shd w:val="clear" w:color="auto" w:fill="BFBFBF" w:themeFill="background1" w:themeFillShade="BF"/>
          </w:tcPr>
          <w:p w:rsidR="00633540" w:rsidRPr="002E23B7" w:rsidRDefault="00633540" w:rsidP="0054207F">
            <w:pPr>
              <w:spacing w:before="60" w:after="60"/>
              <w:jc w:val="left"/>
              <w:rPr>
                <w:rFonts w:ascii="Arial" w:hAnsi="Arial" w:cs="Arial"/>
                <w:b/>
                <w:szCs w:val="24"/>
              </w:rPr>
            </w:pPr>
            <w:r w:rsidRPr="002E23B7">
              <w:rPr>
                <w:rFonts w:ascii="Arial" w:hAnsi="Arial" w:cs="Arial"/>
                <w:b/>
                <w:szCs w:val="24"/>
              </w:rPr>
              <w:t>Proportion of those still alive persistent on treatment, n (%</w:t>
            </w:r>
            <w:proofErr w:type="gramStart"/>
            <w:r w:rsidRPr="002E23B7">
              <w:rPr>
                <w:rFonts w:ascii="Arial" w:hAnsi="Arial" w:cs="Arial"/>
                <w:b/>
                <w:szCs w:val="24"/>
              </w:rPr>
              <w:t>)^</w:t>
            </w:r>
            <w:proofErr w:type="gramEnd"/>
          </w:p>
        </w:tc>
        <w:tc>
          <w:tcPr>
            <w:tcW w:w="1954" w:type="dxa"/>
            <w:tcBorders>
              <w:top w:val="nil"/>
              <w:left w:val="single" w:sz="4" w:space="0" w:color="auto"/>
              <w:bottom w:val="single" w:sz="4" w:space="0" w:color="auto"/>
              <w:right w:val="single" w:sz="4" w:space="0" w:color="auto"/>
            </w:tcBorders>
            <w:vAlign w:val="center"/>
          </w:tcPr>
          <w:p w:rsidR="00633540" w:rsidRPr="002E23B7" w:rsidRDefault="00633540" w:rsidP="0054207F">
            <w:pPr>
              <w:spacing w:before="60" w:after="60"/>
              <w:jc w:val="left"/>
              <w:rPr>
                <w:rFonts w:ascii="Arial" w:hAnsi="Arial" w:cs="Arial"/>
                <w:szCs w:val="24"/>
              </w:rPr>
            </w:pPr>
            <w:r w:rsidRPr="002E23B7">
              <w:rPr>
                <w:rFonts w:ascii="Arial" w:hAnsi="Arial" w:cs="Arial"/>
                <w:szCs w:val="24"/>
              </w:rPr>
              <w:t>211/341 (61.9)</w:t>
            </w:r>
          </w:p>
        </w:tc>
        <w:tc>
          <w:tcPr>
            <w:tcW w:w="2268" w:type="dxa"/>
            <w:tcBorders>
              <w:top w:val="nil"/>
              <w:left w:val="single" w:sz="4" w:space="0" w:color="auto"/>
              <w:bottom w:val="single" w:sz="4" w:space="0" w:color="auto"/>
              <w:right w:val="single" w:sz="4" w:space="0" w:color="auto"/>
            </w:tcBorders>
            <w:vAlign w:val="center"/>
          </w:tcPr>
          <w:p w:rsidR="00633540" w:rsidRPr="002E23B7" w:rsidRDefault="00633540" w:rsidP="0054207F">
            <w:pPr>
              <w:spacing w:before="60" w:after="60"/>
              <w:jc w:val="left"/>
              <w:rPr>
                <w:rFonts w:ascii="Arial" w:hAnsi="Arial" w:cs="Arial"/>
                <w:szCs w:val="24"/>
              </w:rPr>
            </w:pPr>
            <w:r w:rsidRPr="002E23B7">
              <w:rPr>
                <w:rFonts w:ascii="Arial" w:hAnsi="Arial" w:cs="Arial"/>
                <w:szCs w:val="24"/>
              </w:rPr>
              <w:t>240/341 (70.4)</w:t>
            </w:r>
          </w:p>
        </w:tc>
      </w:tr>
    </w:tbl>
    <w:p w:rsidR="006855EB" w:rsidRDefault="006855EB" w:rsidP="002F6D64">
      <w:pPr>
        <w:spacing w:after="0" w:line="240" w:lineRule="auto"/>
        <w:rPr>
          <w:rFonts w:ascii="Arial" w:eastAsiaTheme="minorEastAsia" w:hAnsi="Arial" w:cs="Arial"/>
          <w:sz w:val="18"/>
          <w:szCs w:val="18"/>
          <w:lang w:eastAsia="en-US"/>
        </w:rPr>
      </w:pPr>
      <w:r>
        <w:rPr>
          <w:rFonts w:ascii="Arial" w:eastAsiaTheme="minorEastAsia" w:hAnsi="Arial" w:cs="Arial"/>
          <w:sz w:val="18"/>
          <w:szCs w:val="18"/>
          <w:lang w:eastAsia="en-US"/>
        </w:rPr>
        <w:t xml:space="preserve">N=number </w:t>
      </w:r>
    </w:p>
    <w:p w:rsidR="00633540" w:rsidRPr="00300C22" w:rsidRDefault="00633540" w:rsidP="00300C22">
      <w:pPr>
        <w:spacing w:after="120" w:line="240" w:lineRule="auto"/>
        <w:rPr>
          <w:rFonts w:ascii="Arial" w:eastAsiaTheme="minorEastAsia" w:hAnsi="Arial" w:cs="Arial"/>
          <w:sz w:val="18"/>
          <w:szCs w:val="18"/>
          <w:lang w:eastAsia="en-US"/>
        </w:rPr>
      </w:pPr>
      <w:r w:rsidRPr="00300C22">
        <w:rPr>
          <w:rFonts w:ascii="Arial" w:eastAsiaTheme="minorEastAsia" w:hAnsi="Arial" w:cs="Arial"/>
          <w:sz w:val="18"/>
          <w:szCs w:val="18"/>
          <w:lang w:eastAsia="en-US"/>
        </w:rPr>
        <w:t xml:space="preserve">^Persistence </w:t>
      </w:r>
      <w:proofErr w:type="gramStart"/>
      <w:r w:rsidRPr="00300C22">
        <w:rPr>
          <w:rFonts w:ascii="Arial" w:eastAsiaTheme="minorEastAsia" w:hAnsi="Arial" w:cs="Arial"/>
          <w:sz w:val="18"/>
          <w:szCs w:val="18"/>
          <w:lang w:eastAsia="en-US"/>
        </w:rPr>
        <w:t>was defined</w:t>
      </w:r>
      <w:proofErr w:type="gramEnd"/>
      <w:r w:rsidRPr="00300C22">
        <w:rPr>
          <w:rFonts w:ascii="Arial" w:eastAsiaTheme="minorEastAsia" w:hAnsi="Arial" w:cs="Arial"/>
          <w:sz w:val="18"/>
          <w:szCs w:val="18"/>
          <w:lang w:eastAsia="en-US"/>
        </w:rPr>
        <w:t xml:space="preserve"> as still on treatment without discontinuation. Discontinuation was defined as a period of 87 days or more (</w:t>
      </w:r>
      <w:proofErr w:type="gramStart"/>
      <w:r w:rsidRPr="00300C22">
        <w:rPr>
          <w:rFonts w:ascii="Arial" w:eastAsiaTheme="minorEastAsia" w:hAnsi="Arial" w:cs="Arial"/>
          <w:sz w:val="18"/>
          <w:szCs w:val="18"/>
          <w:lang w:eastAsia="en-US"/>
        </w:rPr>
        <w:t>3</w:t>
      </w:r>
      <w:proofErr w:type="gramEnd"/>
      <w:r w:rsidRPr="00300C22">
        <w:rPr>
          <w:rFonts w:ascii="Arial" w:eastAsiaTheme="minorEastAsia" w:hAnsi="Arial" w:cs="Arial"/>
          <w:sz w:val="18"/>
          <w:szCs w:val="18"/>
          <w:lang w:eastAsia="en-US"/>
        </w:rPr>
        <w:t xml:space="preserve"> × median number of days between dispensings) without any dispensing. In the sensitivity analysis, a period of 116 days is used (</w:t>
      </w:r>
      <w:proofErr w:type="gramStart"/>
      <w:r w:rsidRPr="00300C22">
        <w:rPr>
          <w:rFonts w:ascii="Arial" w:eastAsiaTheme="minorEastAsia" w:hAnsi="Arial" w:cs="Arial"/>
          <w:sz w:val="18"/>
          <w:szCs w:val="18"/>
          <w:lang w:eastAsia="en-US"/>
        </w:rPr>
        <w:t>4</w:t>
      </w:r>
      <w:proofErr w:type="gramEnd"/>
      <w:r w:rsidRPr="00300C22">
        <w:rPr>
          <w:rFonts w:ascii="Arial" w:eastAsiaTheme="minorEastAsia" w:hAnsi="Arial" w:cs="Arial"/>
          <w:sz w:val="18"/>
          <w:szCs w:val="18"/>
          <w:lang w:eastAsia="en-US"/>
        </w:rPr>
        <w:t xml:space="preserve"> × median number of days between dispensings).</w:t>
      </w:r>
    </w:p>
    <w:p w:rsidR="00633540" w:rsidRPr="009A6F8F" w:rsidRDefault="00784093" w:rsidP="009A6F8F">
      <w:pPr>
        <w:pStyle w:val="Heading3"/>
      </w:pPr>
      <w:bookmarkStart w:id="67" w:name="_Toc508360145"/>
      <w:bookmarkStart w:id="68" w:name="_Toc36810533"/>
      <w:r>
        <w:t>2.4</w:t>
      </w:r>
      <w:r w:rsidR="00633540" w:rsidRPr="009A6F8F">
        <w:t>.5 Switching</w:t>
      </w:r>
      <w:bookmarkEnd w:id="67"/>
      <w:bookmarkEnd w:id="68"/>
    </w:p>
    <w:p w:rsidR="00633540" w:rsidRPr="00D33F5E" w:rsidRDefault="00633540" w:rsidP="00C26B51">
      <w:pPr>
        <w:pStyle w:val="BodyTextnospacebefore"/>
      </w:pPr>
      <w:bookmarkStart w:id="69" w:name="_Toc508360146"/>
      <w:r w:rsidRPr="00D33F5E">
        <w:t>Switching between PAH medicines was not common.</w:t>
      </w:r>
      <w:bookmarkEnd w:id="69"/>
    </w:p>
    <w:p w:rsidR="00633540" w:rsidRDefault="00633540" w:rsidP="00C26B51">
      <w:pPr>
        <w:pStyle w:val="BodyTextnospacebefore"/>
      </w:pPr>
      <w:bookmarkStart w:id="70" w:name="_Toc508360147"/>
      <w:r w:rsidRPr="00D33F5E">
        <w:t xml:space="preserve">Among </w:t>
      </w:r>
      <w:proofErr w:type="gramStart"/>
      <w:r w:rsidRPr="00D33F5E">
        <w:t>a total of 3</w:t>
      </w:r>
      <w:r w:rsidR="009637B7">
        <w:t>,</w:t>
      </w:r>
      <w:r w:rsidRPr="00D33F5E">
        <w:t>187</w:t>
      </w:r>
      <w:proofErr w:type="gramEnd"/>
      <w:r w:rsidRPr="00D33F5E">
        <w:t xml:space="preserve"> patients treated with PAH medicines, 418 (13%) switched medicines. Of these, the majority (82%) of patients only switched once (Table </w:t>
      </w:r>
      <w:r w:rsidR="00BA253F">
        <w:t>2.6</w:t>
      </w:r>
      <w:r w:rsidRPr="00D33F5E">
        <w:t xml:space="preserve">). Patients most commonly switched from </w:t>
      </w:r>
      <w:r w:rsidR="0084301E">
        <w:t>PDE-5</w:t>
      </w:r>
      <w:r w:rsidRPr="00D33F5E">
        <w:t xml:space="preserve"> inhibitors to </w:t>
      </w:r>
      <w:r>
        <w:t>ERAs</w:t>
      </w:r>
      <w:r w:rsidRPr="00D33F5E">
        <w:t xml:space="preserve"> (37% of all switches, allowing for breaks).</w:t>
      </w:r>
      <w:bookmarkEnd w:id="70"/>
    </w:p>
    <w:p w:rsidR="00633540" w:rsidRPr="004C3845" w:rsidRDefault="00633540" w:rsidP="00C26B51">
      <w:pPr>
        <w:pStyle w:val="BodyTextnospacebefore"/>
        <w:rPr>
          <w:rFonts w:cs="Arial"/>
          <w:b/>
          <w:caps/>
        </w:rPr>
      </w:pPr>
      <w:r w:rsidRPr="004C3845">
        <w:t xml:space="preserve">Switching between medicines seemed common amongst ASCS </w:t>
      </w:r>
      <w:r w:rsidR="00DB7160">
        <w:t>patients</w:t>
      </w:r>
      <w:r w:rsidRPr="004C3845">
        <w:t xml:space="preserve">, but the changing numbers between therapy at first visit and therapy at </w:t>
      </w:r>
      <w:r w:rsidR="00785DD9">
        <w:t>last assessment</w:t>
      </w:r>
      <w:r w:rsidR="00785DD9" w:rsidRPr="00EC01B1">
        <w:t xml:space="preserve"> </w:t>
      </w:r>
      <w:r w:rsidR="00785DD9">
        <w:t>(</w:t>
      </w:r>
      <w:r w:rsidR="00785DD9" w:rsidRPr="00EC01B1">
        <w:t>index visit</w:t>
      </w:r>
      <w:r w:rsidR="00785DD9">
        <w:t>)</w:t>
      </w:r>
      <w:r w:rsidRPr="004C3845">
        <w:t>could be accounted for by the increased use of combination therapy observed during this time</w:t>
      </w:r>
      <w:r>
        <w:t xml:space="preserve"> </w:t>
      </w:r>
      <w:r w:rsidRPr="006F11DD">
        <w:t>(</w:t>
      </w:r>
      <w:r w:rsidRPr="003351F5">
        <w:t xml:space="preserve">Appendix </w:t>
      </w:r>
      <w:r w:rsidR="003351F5" w:rsidRPr="003351F5">
        <w:t>2</w:t>
      </w:r>
      <w:r w:rsidRPr="003351F5">
        <w:t>C</w:t>
      </w:r>
      <w:r w:rsidRPr="006F11DD">
        <w:t>, Table 4)</w:t>
      </w:r>
      <w:r w:rsidR="003D172D">
        <w:t>.</w:t>
      </w:r>
    </w:p>
    <w:p w:rsidR="00785DD9" w:rsidRDefault="00633540" w:rsidP="00785DD9">
      <w:pPr>
        <w:pStyle w:val="BodyTextnospacebefore"/>
      </w:pPr>
      <w:bookmarkStart w:id="71" w:name="_Toc508360148"/>
      <w:r>
        <w:t xml:space="preserve">The most commonly observed switch on the PBS from </w:t>
      </w:r>
      <w:r w:rsidR="0084301E">
        <w:t>PDE-5</w:t>
      </w:r>
      <w:r>
        <w:t xml:space="preserve"> inhibitors to ERAs </w:t>
      </w:r>
      <w:proofErr w:type="gramStart"/>
      <w:r>
        <w:t>may</w:t>
      </w:r>
      <w:proofErr w:type="gramEnd"/>
      <w:r>
        <w:t xml:space="preserve"> reflect initiation of combination therapy, with </w:t>
      </w:r>
      <w:r w:rsidR="0084301E">
        <w:t>PDE-5</w:t>
      </w:r>
      <w:r>
        <w:t xml:space="preserve"> inhibitors being more affordable than ERAs when purchased privately </w:t>
      </w:r>
      <w:r w:rsidR="003D172D">
        <w:t>or subsidised by another means.</w:t>
      </w:r>
      <w:r>
        <w:t xml:space="preserve"> This would reflect the results of </w:t>
      </w:r>
      <w:r w:rsidR="00F55747">
        <w:t>the</w:t>
      </w:r>
      <w:r>
        <w:t xml:space="preserve"> PHSANZ and AS</w:t>
      </w:r>
      <w:r w:rsidR="00871BD6">
        <w:t xml:space="preserve">IG </w:t>
      </w:r>
      <w:r w:rsidR="00F55747">
        <w:t>registries</w:t>
      </w:r>
      <w:r>
        <w:t xml:space="preserve">, reporting ERAs + </w:t>
      </w:r>
      <w:r w:rsidR="0084301E">
        <w:t>PDE-5</w:t>
      </w:r>
      <w:r>
        <w:t xml:space="preserve"> inhibitors </w:t>
      </w:r>
      <w:r w:rsidR="00F55747">
        <w:t>to be the most commonly used dual therapy combination</w:t>
      </w:r>
      <w:bookmarkEnd w:id="71"/>
      <w:r w:rsidR="00204B9C">
        <w:t>.</w:t>
      </w:r>
    </w:p>
    <w:p w:rsidR="00785DD9" w:rsidRDefault="00785DD9">
      <w:pPr>
        <w:jc w:val="left"/>
        <w:rPr>
          <w:rFonts w:asciiTheme="minorHAnsi" w:eastAsia="Calibri" w:hAnsiTheme="minorHAnsi" w:cs="Times New Roman"/>
          <w:szCs w:val="24"/>
          <w:lang w:eastAsia="en-US"/>
        </w:rPr>
      </w:pPr>
      <w:r>
        <w:br w:type="page"/>
      </w:r>
    </w:p>
    <w:p w:rsidR="001E3F4E" w:rsidRPr="001E3F4E" w:rsidRDefault="001E3F4E" w:rsidP="001E3F4E">
      <w:pPr>
        <w:pStyle w:val="Caption"/>
      </w:pPr>
      <w:bookmarkStart w:id="72" w:name="_Toc511144349"/>
      <w:r w:rsidRPr="001E3F4E">
        <w:lastRenderedPageBreak/>
        <w:t>Table 2.</w:t>
      </w:r>
      <w:r w:rsidR="00BA253F">
        <w:rPr>
          <w:noProof/>
        </w:rPr>
        <w:t>6</w:t>
      </w:r>
      <w:r w:rsidR="00B30AA0">
        <w:tab/>
      </w:r>
      <w:r w:rsidRPr="001E3F4E">
        <w:t>Switching between PAH medicines among prevalent users 2013-2016</w:t>
      </w:r>
      <w:bookmarkEnd w:id="72"/>
    </w:p>
    <w:tbl>
      <w:tblPr>
        <w:tblStyle w:val="TableGrid"/>
        <w:tblW w:w="0" w:type="auto"/>
        <w:tblInd w:w="108" w:type="dxa"/>
        <w:tblLook w:val="04A0" w:firstRow="1" w:lastRow="0" w:firstColumn="1" w:lastColumn="0" w:noHBand="0" w:noVBand="1"/>
        <w:tblCaption w:val="Table 2.6 Switching between PAH medicines among prevalent users 2013-2016"/>
        <w:tblDescription w:val="Table 2.6 Switching between PAH medicines among prevalent users 2013-2016"/>
      </w:tblPr>
      <w:tblGrid>
        <w:gridCol w:w="4555"/>
        <w:gridCol w:w="2176"/>
        <w:gridCol w:w="2177"/>
      </w:tblGrid>
      <w:tr w:rsidR="00633540" w:rsidRPr="00CF5AA6" w:rsidTr="006F47C5">
        <w:trPr>
          <w:tblHeader/>
        </w:trPr>
        <w:tc>
          <w:tcPr>
            <w:tcW w:w="4644" w:type="dxa"/>
            <w:tcBorders>
              <w:left w:val="single" w:sz="4" w:space="0" w:color="auto"/>
              <w:bottom w:val="single" w:sz="4" w:space="0" w:color="auto"/>
              <w:right w:val="nil"/>
            </w:tcBorders>
            <w:shd w:val="clear" w:color="auto" w:fill="BFBFBF" w:themeFill="background1" w:themeFillShade="BF"/>
          </w:tcPr>
          <w:p w:rsidR="00633540" w:rsidRPr="00CF5AA6" w:rsidRDefault="00633540" w:rsidP="0054207F">
            <w:pPr>
              <w:pStyle w:val="ListParagraph"/>
              <w:spacing w:before="20" w:after="20"/>
              <w:ind w:left="0"/>
              <w:jc w:val="left"/>
              <w:rPr>
                <w:rFonts w:ascii="Calibri" w:hAnsi="Calibri" w:cs="Arial"/>
                <w:b/>
              </w:rPr>
            </w:pPr>
          </w:p>
        </w:tc>
        <w:tc>
          <w:tcPr>
            <w:tcW w:w="4428" w:type="dxa"/>
            <w:gridSpan w:val="2"/>
            <w:tcBorders>
              <w:left w:val="nil"/>
              <w:bottom w:val="single" w:sz="4" w:space="0" w:color="auto"/>
              <w:right w:val="single" w:sz="4" w:space="0" w:color="auto"/>
            </w:tcBorders>
            <w:shd w:val="clear" w:color="auto" w:fill="BFBFBF" w:themeFill="background1" w:themeFillShade="BF"/>
            <w:vAlign w:val="bottom"/>
          </w:tcPr>
          <w:p w:rsidR="00633540" w:rsidRPr="00CF5AA6" w:rsidRDefault="00633540" w:rsidP="0054207F">
            <w:pPr>
              <w:pStyle w:val="ListParagraph"/>
              <w:spacing w:before="20" w:after="20"/>
              <w:ind w:left="0"/>
              <w:jc w:val="center"/>
              <w:rPr>
                <w:rFonts w:ascii="Arial" w:hAnsi="Arial" w:cs="Arial"/>
                <w:b/>
              </w:rPr>
            </w:pPr>
            <w:r w:rsidRPr="00CF5AA6">
              <w:rPr>
                <w:rFonts w:ascii="Arial" w:hAnsi="Arial" w:cs="Arial"/>
                <w:b/>
              </w:rPr>
              <w:t>Switching type</w:t>
            </w:r>
          </w:p>
        </w:tc>
      </w:tr>
      <w:tr w:rsidR="00633540" w:rsidRPr="00D33F5E" w:rsidTr="0054207F">
        <w:tc>
          <w:tcPr>
            <w:tcW w:w="4644" w:type="dxa"/>
            <w:tcBorders>
              <w:left w:val="single" w:sz="4" w:space="0" w:color="auto"/>
              <w:bottom w:val="single" w:sz="4" w:space="0" w:color="auto"/>
              <w:right w:val="nil"/>
            </w:tcBorders>
            <w:shd w:val="clear" w:color="auto" w:fill="BFBFBF" w:themeFill="background1" w:themeFillShade="BF"/>
          </w:tcPr>
          <w:p w:rsidR="00633540" w:rsidRPr="003351F5" w:rsidRDefault="00633540" w:rsidP="0054207F">
            <w:pPr>
              <w:pStyle w:val="ListParagraph"/>
              <w:spacing w:before="20" w:after="20"/>
              <w:ind w:left="0"/>
              <w:jc w:val="left"/>
              <w:rPr>
                <w:rFonts w:ascii="Arial" w:hAnsi="Arial" w:cs="Arial"/>
                <w:b/>
              </w:rPr>
            </w:pPr>
          </w:p>
        </w:tc>
        <w:tc>
          <w:tcPr>
            <w:tcW w:w="2214" w:type="dxa"/>
            <w:tcBorders>
              <w:left w:val="nil"/>
              <w:bottom w:val="single" w:sz="4" w:space="0" w:color="auto"/>
              <w:right w:val="nil"/>
            </w:tcBorders>
            <w:shd w:val="clear" w:color="auto" w:fill="BFBFBF" w:themeFill="background1" w:themeFillShade="BF"/>
            <w:vAlign w:val="bottom"/>
          </w:tcPr>
          <w:p w:rsidR="00633540" w:rsidRPr="003351F5" w:rsidRDefault="00633540" w:rsidP="0054207F">
            <w:pPr>
              <w:pStyle w:val="ListParagraph"/>
              <w:spacing w:before="20" w:after="20"/>
              <w:ind w:left="0"/>
              <w:jc w:val="left"/>
              <w:rPr>
                <w:rFonts w:ascii="Arial" w:hAnsi="Arial" w:cs="Arial"/>
                <w:b/>
              </w:rPr>
            </w:pPr>
            <w:r w:rsidRPr="003351F5">
              <w:rPr>
                <w:rFonts w:ascii="Arial" w:hAnsi="Arial" w:cs="Arial"/>
                <w:b/>
              </w:rPr>
              <w:t>Not allowing for breaks*</w:t>
            </w:r>
          </w:p>
        </w:tc>
        <w:tc>
          <w:tcPr>
            <w:tcW w:w="2214" w:type="dxa"/>
            <w:tcBorders>
              <w:left w:val="nil"/>
              <w:bottom w:val="single" w:sz="4" w:space="0" w:color="auto"/>
              <w:right w:val="single" w:sz="4" w:space="0" w:color="auto"/>
            </w:tcBorders>
            <w:shd w:val="clear" w:color="auto" w:fill="BFBFBF" w:themeFill="background1" w:themeFillShade="BF"/>
            <w:vAlign w:val="bottom"/>
          </w:tcPr>
          <w:p w:rsidR="00633540" w:rsidRPr="003351F5" w:rsidRDefault="00633540" w:rsidP="0054207F">
            <w:pPr>
              <w:pStyle w:val="ListParagraph"/>
              <w:spacing w:before="20" w:after="20"/>
              <w:ind w:left="0"/>
              <w:jc w:val="left"/>
              <w:rPr>
                <w:rFonts w:ascii="Arial" w:hAnsi="Arial" w:cs="Arial"/>
                <w:b/>
              </w:rPr>
            </w:pPr>
            <w:r w:rsidRPr="003351F5">
              <w:rPr>
                <w:rFonts w:ascii="Arial" w:hAnsi="Arial" w:cs="Arial"/>
                <w:b/>
              </w:rPr>
              <w:t>Allowing for breaks^</w:t>
            </w:r>
          </w:p>
        </w:tc>
      </w:tr>
      <w:tr w:rsidR="00633540" w:rsidRPr="00D33F5E" w:rsidTr="0054207F">
        <w:tc>
          <w:tcPr>
            <w:tcW w:w="4644" w:type="dxa"/>
            <w:tcBorders>
              <w:left w:val="single" w:sz="4" w:space="0" w:color="auto"/>
              <w:bottom w:val="nil"/>
              <w:right w:val="single" w:sz="4" w:space="0" w:color="auto"/>
            </w:tcBorders>
            <w:shd w:val="clear" w:color="auto" w:fill="BFBFBF" w:themeFill="background1" w:themeFillShade="BF"/>
          </w:tcPr>
          <w:p w:rsidR="00633540" w:rsidRDefault="00633540" w:rsidP="006F47C5">
            <w:pPr>
              <w:pStyle w:val="ListParagraph"/>
              <w:spacing w:before="40" w:after="240"/>
              <w:ind w:left="0"/>
              <w:jc w:val="left"/>
              <w:rPr>
                <w:rFonts w:ascii="Arial" w:hAnsi="Arial" w:cs="Arial"/>
                <w:b/>
              </w:rPr>
            </w:pPr>
            <w:r w:rsidRPr="003351F5">
              <w:rPr>
                <w:rFonts w:ascii="Arial" w:hAnsi="Arial" w:cs="Arial"/>
                <w:b/>
              </w:rPr>
              <w:t>Number of switches</w:t>
            </w:r>
          </w:p>
          <w:p w:rsidR="006F47C5" w:rsidRPr="003351F5" w:rsidRDefault="006F47C5" w:rsidP="006F47C5">
            <w:pPr>
              <w:pStyle w:val="ListParagraph"/>
              <w:spacing w:before="40" w:after="240"/>
              <w:ind w:left="0"/>
              <w:jc w:val="left"/>
              <w:rPr>
                <w:rFonts w:ascii="Arial" w:hAnsi="Arial" w:cs="Arial"/>
                <w:b/>
              </w:rPr>
            </w:pPr>
          </w:p>
        </w:tc>
        <w:tc>
          <w:tcPr>
            <w:tcW w:w="2214" w:type="dxa"/>
            <w:tcBorders>
              <w:left w:val="single" w:sz="4" w:space="0" w:color="auto"/>
              <w:bottom w:val="nil"/>
              <w:right w:val="single" w:sz="4" w:space="0" w:color="auto"/>
            </w:tcBorders>
            <w:vAlign w:val="center"/>
          </w:tcPr>
          <w:p w:rsidR="00633540" w:rsidRDefault="00633540" w:rsidP="0054207F">
            <w:pPr>
              <w:pStyle w:val="ListParagraph"/>
              <w:spacing w:before="40" w:after="40"/>
              <w:ind w:left="0"/>
              <w:jc w:val="left"/>
              <w:rPr>
                <w:rFonts w:ascii="Arial" w:hAnsi="Arial" w:cs="Arial"/>
              </w:rPr>
            </w:pPr>
            <w:r w:rsidRPr="003351F5">
              <w:rPr>
                <w:rFonts w:ascii="Arial" w:hAnsi="Arial" w:cs="Arial"/>
              </w:rPr>
              <w:t>364</w:t>
            </w:r>
          </w:p>
          <w:p w:rsidR="006F47C5" w:rsidRPr="003351F5" w:rsidRDefault="006F47C5" w:rsidP="0054207F">
            <w:pPr>
              <w:pStyle w:val="ListParagraph"/>
              <w:spacing w:before="40" w:after="40"/>
              <w:ind w:left="0"/>
              <w:jc w:val="left"/>
              <w:rPr>
                <w:rFonts w:ascii="Arial" w:hAnsi="Arial" w:cs="Arial"/>
              </w:rPr>
            </w:pPr>
          </w:p>
        </w:tc>
        <w:tc>
          <w:tcPr>
            <w:tcW w:w="2214" w:type="dxa"/>
            <w:tcBorders>
              <w:left w:val="single" w:sz="4" w:space="0" w:color="auto"/>
              <w:bottom w:val="nil"/>
              <w:right w:val="single" w:sz="4" w:space="0" w:color="auto"/>
            </w:tcBorders>
            <w:vAlign w:val="center"/>
          </w:tcPr>
          <w:p w:rsidR="00633540" w:rsidRDefault="00633540" w:rsidP="0054207F">
            <w:pPr>
              <w:pStyle w:val="ListParagraph"/>
              <w:spacing w:before="40" w:after="40"/>
              <w:ind w:left="0"/>
              <w:jc w:val="left"/>
              <w:rPr>
                <w:rFonts w:ascii="Arial" w:hAnsi="Arial" w:cs="Arial"/>
              </w:rPr>
            </w:pPr>
            <w:r w:rsidRPr="003351F5">
              <w:rPr>
                <w:rFonts w:ascii="Arial" w:hAnsi="Arial" w:cs="Arial"/>
              </w:rPr>
              <w:t>418</w:t>
            </w:r>
          </w:p>
          <w:p w:rsidR="006F47C5" w:rsidRPr="003351F5" w:rsidRDefault="006F47C5" w:rsidP="0054207F">
            <w:pPr>
              <w:pStyle w:val="ListParagraph"/>
              <w:spacing w:before="40" w:after="40"/>
              <w:ind w:left="0"/>
              <w:jc w:val="left"/>
              <w:rPr>
                <w:rFonts w:ascii="Arial" w:hAnsi="Arial" w:cs="Arial"/>
              </w:rPr>
            </w:pP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left"/>
              <w:rPr>
                <w:rFonts w:ascii="Arial" w:hAnsi="Arial" w:cs="Arial"/>
                <w:b/>
              </w:rPr>
            </w:pPr>
            <w:r w:rsidRPr="003351F5">
              <w:rPr>
                <w:rFonts w:ascii="Arial" w:hAnsi="Arial" w:cs="Arial"/>
                <w:b/>
              </w:rPr>
              <w:t>Number of people switching</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247 (7.8)</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293 (9.2)</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1 switch only</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203 (82.2)</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240 (81.9)</w:t>
            </w:r>
          </w:p>
        </w:tc>
      </w:tr>
      <w:tr w:rsidR="00633540" w:rsidRPr="00D33F5E" w:rsidTr="0054207F">
        <w:tc>
          <w:tcPr>
            <w:tcW w:w="464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&gt;1 switch</w:t>
            </w:r>
          </w:p>
        </w:tc>
        <w:tc>
          <w:tcPr>
            <w:tcW w:w="2214" w:type="dxa"/>
            <w:tcBorders>
              <w:top w:val="nil"/>
              <w:left w:val="single" w:sz="4" w:space="0" w:color="auto"/>
              <w:bottom w:val="single" w:sz="4" w:space="0" w:color="auto"/>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44 (17.8)</w:t>
            </w:r>
          </w:p>
        </w:tc>
        <w:tc>
          <w:tcPr>
            <w:tcW w:w="2214" w:type="dxa"/>
            <w:tcBorders>
              <w:top w:val="nil"/>
              <w:left w:val="single" w:sz="4" w:space="0" w:color="auto"/>
              <w:bottom w:val="single" w:sz="4" w:space="0" w:color="auto"/>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53 (18.1)</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E17C81">
            <w:pPr>
              <w:pStyle w:val="ListParagraph"/>
              <w:spacing w:before="240" w:after="120"/>
              <w:ind w:left="0"/>
              <w:jc w:val="left"/>
              <w:rPr>
                <w:rFonts w:ascii="Arial" w:hAnsi="Arial" w:cs="Arial"/>
                <w:b/>
                <w:i/>
                <w:u w:val="single"/>
              </w:rPr>
            </w:pPr>
            <w:r w:rsidRPr="003351F5">
              <w:rPr>
                <w:rFonts w:ascii="Arial" w:hAnsi="Arial" w:cs="Arial"/>
                <w:b/>
                <w:i/>
                <w:u w:val="single"/>
              </w:rPr>
              <w:t>Most common switches</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120"/>
              <w:ind w:left="0"/>
              <w:jc w:val="left"/>
              <w:rPr>
                <w:rFonts w:ascii="Arial" w:hAnsi="Arial" w:cs="Arial"/>
              </w:rPr>
            </w:pP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120"/>
              <w:ind w:left="0"/>
              <w:jc w:val="left"/>
              <w:rPr>
                <w:rFonts w:ascii="Arial" w:hAnsi="Arial" w:cs="Arial"/>
              </w:rPr>
            </w:pP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left"/>
              <w:rPr>
                <w:rFonts w:ascii="Arial" w:hAnsi="Arial" w:cs="Arial"/>
                <w:b/>
              </w:rPr>
            </w:pPr>
            <w:r w:rsidRPr="003351F5">
              <w:rPr>
                <w:rFonts w:ascii="Arial" w:hAnsi="Arial" w:cs="Arial"/>
                <w:b/>
              </w:rPr>
              <w:t>ERA to:</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right"/>
              <w:rPr>
                <w:rFonts w:ascii="Arial" w:hAnsi="Arial" w:cs="Arial"/>
              </w:rPr>
            </w:pPr>
            <w:r w:rsidRPr="003351F5">
              <w:rPr>
                <w:rFonts w:ascii="Arial" w:hAnsi="Arial" w:cs="Arial"/>
              </w:rPr>
              <w:t>Prostacyclin analogue</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69 (19.0)</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77 (18.4)</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84301E" w:rsidP="0054207F">
            <w:pPr>
              <w:pStyle w:val="ListParagraph"/>
              <w:spacing w:before="40" w:after="40"/>
              <w:ind w:left="0"/>
              <w:jc w:val="right"/>
              <w:rPr>
                <w:rFonts w:ascii="Arial" w:hAnsi="Arial" w:cs="Arial"/>
              </w:rPr>
            </w:pPr>
            <w:r>
              <w:rPr>
                <w:rFonts w:ascii="Arial" w:hAnsi="Arial" w:cs="Arial"/>
              </w:rPr>
              <w:t>PDE-5</w:t>
            </w:r>
            <w:r w:rsidR="00633540" w:rsidRPr="003351F5">
              <w:rPr>
                <w:rFonts w:ascii="Arial" w:hAnsi="Arial" w:cs="Arial"/>
              </w:rPr>
              <w:t xml:space="preserve"> inhibitor</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91 (25.0)</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109 (26.1)</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right"/>
              <w:rPr>
                <w:rFonts w:ascii="Arial" w:hAnsi="Arial" w:cs="Arial"/>
              </w:rPr>
            </w:pPr>
            <w:r w:rsidRPr="003351F5">
              <w:rPr>
                <w:rFonts w:ascii="Arial" w:hAnsi="Arial" w:cs="Arial"/>
              </w:rPr>
              <w:t>ERA/</w:t>
            </w:r>
            <w:r w:rsidR="0084301E">
              <w:rPr>
                <w:rFonts w:ascii="Arial" w:hAnsi="Arial" w:cs="Arial"/>
              </w:rPr>
              <w:t>PDE-5</w:t>
            </w:r>
            <w:r w:rsidRPr="003351F5">
              <w:rPr>
                <w:rFonts w:ascii="Arial" w:hAnsi="Arial" w:cs="Arial"/>
              </w:rPr>
              <w:t xml:space="preserve"> inhibitor in combination </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 xml:space="preserve">&lt;6 </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&lt;6</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E17C81">
            <w:pPr>
              <w:pStyle w:val="ListParagraph"/>
              <w:spacing w:before="240" w:after="40"/>
              <w:ind w:left="0"/>
              <w:rPr>
                <w:rFonts w:ascii="Arial" w:hAnsi="Arial" w:cs="Arial"/>
                <w:b/>
              </w:rPr>
            </w:pPr>
            <w:r w:rsidRPr="003351F5">
              <w:rPr>
                <w:rFonts w:ascii="Arial" w:hAnsi="Arial" w:cs="Arial"/>
                <w:b/>
              </w:rPr>
              <w:t>Prostacyclin analogue to:</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right"/>
              <w:rPr>
                <w:rFonts w:ascii="Arial" w:hAnsi="Arial" w:cs="Arial"/>
              </w:rPr>
            </w:pPr>
            <w:r w:rsidRPr="003351F5">
              <w:rPr>
                <w:rFonts w:ascii="Arial" w:hAnsi="Arial" w:cs="Arial"/>
              </w:rPr>
              <w:t>ERA</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7 (1.9)</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10 (2.4)</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84301E" w:rsidP="0054207F">
            <w:pPr>
              <w:pStyle w:val="ListParagraph"/>
              <w:spacing w:before="40" w:after="40"/>
              <w:ind w:left="0"/>
              <w:jc w:val="right"/>
              <w:rPr>
                <w:rFonts w:ascii="Arial" w:hAnsi="Arial" w:cs="Arial"/>
              </w:rPr>
            </w:pPr>
            <w:r>
              <w:rPr>
                <w:rFonts w:ascii="Arial" w:hAnsi="Arial" w:cs="Arial"/>
              </w:rPr>
              <w:t>PDE-5</w:t>
            </w:r>
            <w:r w:rsidR="00633540" w:rsidRPr="003351F5">
              <w:rPr>
                <w:rFonts w:ascii="Arial" w:hAnsi="Arial" w:cs="Arial"/>
              </w:rPr>
              <w:t xml:space="preserve"> inhibitor</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 xml:space="preserve">19 </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 xml:space="preserve">&lt;6 </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84301E" w:rsidP="00E17C81">
            <w:pPr>
              <w:pStyle w:val="ListParagraph"/>
              <w:spacing w:before="240" w:after="40"/>
              <w:ind w:left="0"/>
              <w:jc w:val="left"/>
              <w:rPr>
                <w:rFonts w:ascii="Arial" w:hAnsi="Arial" w:cs="Arial"/>
                <w:b/>
              </w:rPr>
            </w:pPr>
            <w:r>
              <w:rPr>
                <w:rFonts w:ascii="Arial" w:hAnsi="Arial" w:cs="Arial"/>
                <w:b/>
              </w:rPr>
              <w:t>PDE-5</w:t>
            </w:r>
            <w:r w:rsidR="00633540" w:rsidRPr="003351F5">
              <w:rPr>
                <w:rFonts w:ascii="Arial" w:hAnsi="Arial" w:cs="Arial"/>
                <w:b/>
              </w:rPr>
              <w:t xml:space="preserve"> inhibitor to:</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right"/>
              <w:rPr>
                <w:rFonts w:ascii="Arial" w:hAnsi="Arial" w:cs="Arial"/>
              </w:rPr>
            </w:pPr>
            <w:r w:rsidRPr="003351F5">
              <w:rPr>
                <w:rFonts w:ascii="Arial" w:hAnsi="Arial" w:cs="Arial"/>
              </w:rPr>
              <w:t>ERA</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128 (35.2)</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154 (36.8)</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right"/>
              <w:rPr>
                <w:rFonts w:ascii="Arial" w:hAnsi="Arial" w:cs="Arial"/>
              </w:rPr>
            </w:pPr>
            <w:r w:rsidRPr="003351F5">
              <w:rPr>
                <w:rFonts w:ascii="Arial" w:hAnsi="Arial" w:cs="Arial"/>
              </w:rPr>
              <w:t>Prostacyclin analogue</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25 (6.9)</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27 (6.5)</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84301E" w:rsidP="0054207F">
            <w:pPr>
              <w:pStyle w:val="ListParagraph"/>
              <w:spacing w:before="40" w:after="40"/>
              <w:ind w:left="0"/>
              <w:jc w:val="right"/>
              <w:rPr>
                <w:rFonts w:ascii="Arial" w:hAnsi="Arial" w:cs="Arial"/>
              </w:rPr>
            </w:pPr>
            <w:r>
              <w:rPr>
                <w:rFonts w:ascii="Arial" w:hAnsi="Arial" w:cs="Arial"/>
              </w:rPr>
              <w:t>PDE-5</w:t>
            </w:r>
            <w:r w:rsidR="00633540" w:rsidRPr="003351F5">
              <w:rPr>
                <w:rFonts w:ascii="Arial" w:hAnsi="Arial" w:cs="Arial"/>
              </w:rPr>
              <w:t xml:space="preserve"> inhibitor/ERA in combination</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6 (1.7)</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 xml:space="preserve">&lt;6 </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right"/>
              <w:rPr>
                <w:rFonts w:ascii="Arial" w:hAnsi="Arial" w:cs="Arial"/>
              </w:rPr>
            </w:pPr>
            <w:r w:rsidRPr="003351F5">
              <w:rPr>
                <w:rFonts w:ascii="Arial" w:hAnsi="Arial" w:cs="Arial"/>
              </w:rPr>
              <w:t>Prostacyclin analogue/</w:t>
            </w:r>
            <w:r w:rsidR="0084301E">
              <w:rPr>
                <w:rFonts w:ascii="Arial" w:hAnsi="Arial" w:cs="Arial"/>
              </w:rPr>
              <w:t>PDE-5</w:t>
            </w:r>
            <w:r w:rsidRPr="003351F5">
              <w:rPr>
                <w:rFonts w:ascii="Arial" w:hAnsi="Arial" w:cs="Arial"/>
              </w:rPr>
              <w:t xml:space="preserve"> inhibitor in combination</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&lt;6</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 xml:space="preserve">&lt;6 </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E17C81">
            <w:pPr>
              <w:pStyle w:val="ListParagraph"/>
              <w:spacing w:before="240" w:after="40"/>
              <w:ind w:left="0"/>
              <w:jc w:val="left"/>
              <w:rPr>
                <w:rFonts w:ascii="Arial" w:hAnsi="Arial" w:cs="Arial"/>
                <w:b/>
              </w:rPr>
            </w:pPr>
            <w:r w:rsidRPr="003351F5">
              <w:rPr>
                <w:rFonts w:ascii="Arial" w:hAnsi="Arial" w:cs="Arial"/>
                <w:b/>
              </w:rPr>
              <w:t>Combination treatment to monotherapy:</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right"/>
              <w:rPr>
                <w:rFonts w:ascii="Arial" w:hAnsi="Arial" w:cs="Arial"/>
              </w:rPr>
            </w:pPr>
            <w:r w:rsidRPr="003351F5">
              <w:rPr>
                <w:rFonts w:ascii="Arial" w:hAnsi="Arial" w:cs="Arial"/>
              </w:rPr>
              <w:t>ERA/</w:t>
            </w:r>
            <w:r w:rsidR="0084301E">
              <w:rPr>
                <w:rFonts w:ascii="Arial" w:hAnsi="Arial" w:cs="Arial"/>
              </w:rPr>
              <w:t>PDE-5</w:t>
            </w:r>
            <w:r w:rsidRPr="003351F5">
              <w:rPr>
                <w:rFonts w:ascii="Arial" w:hAnsi="Arial" w:cs="Arial"/>
              </w:rPr>
              <w:t xml:space="preserve"> inhibitor in combination to ERA</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7 (1.9)</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6 (1.4)</w:t>
            </w:r>
          </w:p>
        </w:tc>
      </w:tr>
      <w:tr w:rsidR="00633540" w:rsidRPr="00D33F5E" w:rsidTr="0054207F">
        <w:tc>
          <w:tcPr>
            <w:tcW w:w="4644" w:type="dxa"/>
            <w:tcBorders>
              <w:top w:val="nil"/>
              <w:left w:val="single" w:sz="4" w:space="0" w:color="auto"/>
              <w:bottom w:val="nil"/>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right"/>
              <w:rPr>
                <w:rFonts w:ascii="Arial" w:hAnsi="Arial" w:cs="Arial"/>
              </w:rPr>
            </w:pPr>
            <w:r w:rsidRPr="003351F5">
              <w:rPr>
                <w:rFonts w:ascii="Arial" w:hAnsi="Arial" w:cs="Arial"/>
              </w:rPr>
              <w:t>ERA/</w:t>
            </w:r>
            <w:r w:rsidR="0084301E">
              <w:rPr>
                <w:rFonts w:ascii="Arial" w:hAnsi="Arial" w:cs="Arial"/>
              </w:rPr>
              <w:t>PDE-5</w:t>
            </w:r>
            <w:r w:rsidRPr="003351F5">
              <w:rPr>
                <w:rFonts w:ascii="Arial" w:hAnsi="Arial" w:cs="Arial"/>
              </w:rPr>
              <w:t xml:space="preserve"> in combination to </w:t>
            </w:r>
            <w:r w:rsidR="0084301E">
              <w:rPr>
                <w:rFonts w:ascii="Arial" w:hAnsi="Arial" w:cs="Arial"/>
              </w:rPr>
              <w:t>PDE-5</w:t>
            </w:r>
            <w:r w:rsidRPr="003351F5">
              <w:rPr>
                <w:rFonts w:ascii="Arial" w:hAnsi="Arial" w:cs="Arial"/>
              </w:rPr>
              <w:t xml:space="preserve"> inhibitor</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 xml:space="preserve">&lt;6 </w:t>
            </w:r>
          </w:p>
        </w:tc>
        <w:tc>
          <w:tcPr>
            <w:tcW w:w="2214" w:type="dxa"/>
            <w:tcBorders>
              <w:top w:val="nil"/>
              <w:left w:val="single" w:sz="4" w:space="0" w:color="auto"/>
              <w:bottom w:val="nil"/>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 xml:space="preserve">&lt;6 </w:t>
            </w:r>
          </w:p>
        </w:tc>
      </w:tr>
      <w:tr w:rsidR="00633540" w:rsidRPr="00D33F5E" w:rsidTr="0054207F">
        <w:tc>
          <w:tcPr>
            <w:tcW w:w="4644" w:type="dxa"/>
            <w:tcBorders>
              <w:top w:val="nil"/>
              <w:left w:val="single" w:sz="4" w:space="0" w:color="auto"/>
              <w:bottom w:val="single" w:sz="4" w:space="0" w:color="auto"/>
              <w:right w:val="single" w:sz="4" w:space="0" w:color="auto"/>
            </w:tcBorders>
            <w:shd w:val="clear" w:color="auto" w:fill="BFBFBF" w:themeFill="background1" w:themeFillShade="BF"/>
          </w:tcPr>
          <w:p w:rsidR="00633540" w:rsidRPr="003351F5" w:rsidRDefault="00633540" w:rsidP="0054207F">
            <w:pPr>
              <w:pStyle w:val="ListParagraph"/>
              <w:spacing w:before="40" w:after="40"/>
              <w:ind w:left="0"/>
              <w:jc w:val="right"/>
              <w:rPr>
                <w:rFonts w:ascii="Arial" w:hAnsi="Arial" w:cs="Arial"/>
              </w:rPr>
            </w:pPr>
            <w:r w:rsidRPr="003351F5">
              <w:rPr>
                <w:rFonts w:ascii="Arial" w:hAnsi="Arial" w:cs="Arial"/>
              </w:rPr>
              <w:t>Prostacyclin/</w:t>
            </w:r>
            <w:r w:rsidR="0084301E">
              <w:rPr>
                <w:rFonts w:ascii="Arial" w:hAnsi="Arial" w:cs="Arial"/>
              </w:rPr>
              <w:t>PDE-5</w:t>
            </w:r>
            <w:r w:rsidRPr="003351F5">
              <w:rPr>
                <w:rFonts w:ascii="Arial" w:hAnsi="Arial" w:cs="Arial"/>
              </w:rPr>
              <w:t xml:space="preserve"> inhibitor in combination to </w:t>
            </w:r>
            <w:r w:rsidR="0084301E">
              <w:rPr>
                <w:rFonts w:ascii="Arial" w:hAnsi="Arial" w:cs="Arial"/>
              </w:rPr>
              <w:t>PDE-5</w:t>
            </w:r>
            <w:r w:rsidRPr="003351F5">
              <w:rPr>
                <w:rFonts w:ascii="Arial" w:hAnsi="Arial" w:cs="Arial"/>
              </w:rPr>
              <w:t xml:space="preserve"> inhibitor</w:t>
            </w:r>
          </w:p>
        </w:tc>
        <w:tc>
          <w:tcPr>
            <w:tcW w:w="2214" w:type="dxa"/>
            <w:tcBorders>
              <w:top w:val="nil"/>
              <w:left w:val="single" w:sz="4" w:space="0" w:color="auto"/>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 xml:space="preserve">&lt;6 </w:t>
            </w:r>
          </w:p>
        </w:tc>
        <w:tc>
          <w:tcPr>
            <w:tcW w:w="2214" w:type="dxa"/>
            <w:tcBorders>
              <w:top w:val="nil"/>
              <w:left w:val="single" w:sz="4" w:space="0" w:color="auto"/>
              <w:right w:val="single" w:sz="4" w:space="0" w:color="auto"/>
            </w:tcBorders>
            <w:vAlign w:val="center"/>
          </w:tcPr>
          <w:p w:rsidR="00633540" w:rsidRPr="003351F5" w:rsidRDefault="00633540" w:rsidP="0054207F">
            <w:pPr>
              <w:pStyle w:val="ListParagraph"/>
              <w:spacing w:before="40" w:after="40"/>
              <w:ind w:left="0"/>
              <w:jc w:val="left"/>
              <w:rPr>
                <w:rFonts w:ascii="Arial" w:hAnsi="Arial" w:cs="Arial"/>
              </w:rPr>
            </w:pPr>
            <w:r w:rsidRPr="003351F5">
              <w:rPr>
                <w:rFonts w:ascii="Arial" w:hAnsi="Arial" w:cs="Arial"/>
              </w:rPr>
              <w:t xml:space="preserve">&lt;6 </w:t>
            </w:r>
          </w:p>
        </w:tc>
      </w:tr>
    </w:tbl>
    <w:p w:rsidR="00633540" w:rsidRPr="00300C22" w:rsidRDefault="00633540" w:rsidP="00300C22">
      <w:pPr>
        <w:pStyle w:val="ListParagraph"/>
        <w:spacing w:after="60" w:line="240" w:lineRule="auto"/>
        <w:ind w:left="0"/>
        <w:rPr>
          <w:rFonts w:ascii="Arial" w:hAnsi="Arial" w:cs="Arial"/>
          <w:sz w:val="18"/>
          <w:szCs w:val="18"/>
        </w:rPr>
      </w:pPr>
      <w:r w:rsidRPr="00300C22">
        <w:rPr>
          <w:rFonts w:ascii="Arial" w:hAnsi="Arial" w:cs="Arial"/>
          <w:sz w:val="18"/>
          <w:szCs w:val="18"/>
        </w:rPr>
        <w:t xml:space="preserve">*Switching (not allowing for breaks) was defined as dispensing of a new medicine </w:t>
      </w:r>
      <w:proofErr w:type="gramStart"/>
      <w:r w:rsidRPr="00300C22">
        <w:rPr>
          <w:rFonts w:ascii="Arial" w:hAnsi="Arial" w:cs="Arial"/>
          <w:sz w:val="18"/>
          <w:szCs w:val="18"/>
        </w:rPr>
        <w:t>class(</w:t>
      </w:r>
      <w:proofErr w:type="spellStart"/>
      <w:proofErr w:type="gramEnd"/>
      <w:r w:rsidRPr="00300C22">
        <w:rPr>
          <w:rFonts w:ascii="Arial" w:hAnsi="Arial" w:cs="Arial"/>
          <w:sz w:val="18"/>
          <w:szCs w:val="18"/>
        </w:rPr>
        <w:t>es</w:t>
      </w:r>
      <w:proofErr w:type="spellEnd"/>
      <w:r w:rsidRPr="00300C22">
        <w:rPr>
          <w:rFonts w:ascii="Arial" w:hAnsi="Arial" w:cs="Arial"/>
          <w:sz w:val="18"/>
          <w:szCs w:val="18"/>
        </w:rPr>
        <w:t>) within 87 days (i.e. 3 × median time between dispensings) of a dispensing for a different medicine class.</w:t>
      </w:r>
    </w:p>
    <w:p w:rsidR="00633540" w:rsidRPr="00300C22" w:rsidRDefault="00633540" w:rsidP="00300C22">
      <w:pPr>
        <w:pStyle w:val="ListParagraph"/>
        <w:spacing w:after="60" w:line="240" w:lineRule="auto"/>
        <w:ind w:left="0"/>
        <w:rPr>
          <w:rFonts w:ascii="Arial" w:hAnsi="Arial" w:cs="Arial"/>
          <w:sz w:val="18"/>
          <w:szCs w:val="18"/>
        </w:rPr>
      </w:pPr>
      <w:r w:rsidRPr="00300C22">
        <w:rPr>
          <w:rFonts w:ascii="Arial" w:hAnsi="Arial" w:cs="Arial"/>
          <w:sz w:val="18"/>
          <w:szCs w:val="18"/>
        </w:rPr>
        <w:t xml:space="preserve">^Switching (allowing for breaks) was defined as dispensing of a new medicine </w:t>
      </w:r>
      <w:proofErr w:type="gramStart"/>
      <w:r w:rsidRPr="00300C22">
        <w:rPr>
          <w:rFonts w:ascii="Arial" w:hAnsi="Arial" w:cs="Arial"/>
          <w:sz w:val="18"/>
          <w:szCs w:val="18"/>
        </w:rPr>
        <w:t>class(</w:t>
      </w:r>
      <w:proofErr w:type="spellStart"/>
      <w:proofErr w:type="gramEnd"/>
      <w:r w:rsidRPr="00300C22">
        <w:rPr>
          <w:rFonts w:ascii="Arial" w:hAnsi="Arial" w:cs="Arial"/>
          <w:sz w:val="18"/>
          <w:szCs w:val="18"/>
        </w:rPr>
        <w:t>es</w:t>
      </w:r>
      <w:proofErr w:type="spellEnd"/>
      <w:r w:rsidRPr="00300C22">
        <w:rPr>
          <w:rFonts w:ascii="Arial" w:hAnsi="Arial" w:cs="Arial"/>
          <w:sz w:val="18"/>
          <w:szCs w:val="18"/>
        </w:rPr>
        <w:t>) after dispensing for a different medicine class allowing for a break between them.</w:t>
      </w:r>
    </w:p>
    <w:p w:rsidR="00633540" w:rsidRPr="009A6F8F" w:rsidRDefault="00784093" w:rsidP="009A6F8F">
      <w:pPr>
        <w:pStyle w:val="Heading3"/>
      </w:pPr>
      <w:bookmarkStart w:id="73" w:name="_Toc508360150"/>
      <w:bookmarkStart w:id="74" w:name="_Toc36810534"/>
      <w:r>
        <w:t>2.4</w:t>
      </w:r>
      <w:r w:rsidR="00633540" w:rsidRPr="009A6F8F">
        <w:t>.6 Combination treatment</w:t>
      </w:r>
      <w:bookmarkEnd w:id="73"/>
      <w:bookmarkEnd w:id="74"/>
    </w:p>
    <w:p w:rsidR="006A49A5" w:rsidRDefault="00633540" w:rsidP="00C5616C">
      <w:pPr>
        <w:pStyle w:val="BodyTextnospacebefore"/>
      </w:pPr>
      <w:r w:rsidRPr="00D33F5E">
        <w:t xml:space="preserve">Based on the PBS data only, combination treatment was very rare; only 13 episodes of combination treatment were observed among </w:t>
      </w:r>
      <w:proofErr w:type="gramStart"/>
      <w:r w:rsidRPr="00D33F5E">
        <w:t>a total of seven</w:t>
      </w:r>
      <w:proofErr w:type="gramEnd"/>
      <w:r w:rsidRPr="00D33F5E">
        <w:t xml:space="preserve"> individuals.</w:t>
      </w:r>
      <w:r w:rsidR="003D172D">
        <w:t xml:space="preserve"> </w:t>
      </w:r>
      <w:r w:rsidRPr="004C3845">
        <w:t>PBS data is not an accurate gauge of the prevalence of combination therapy amongst the Australian PAH population, due to PBS restrictions limiting PAH medicine sub</w:t>
      </w:r>
      <w:r w:rsidR="00204B9C">
        <w:t>sidy to one medicine at a time.</w:t>
      </w:r>
    </w:p>
    <w:p w:rsidR="006A49A5" w:rsidRDefault="006A49A5">
      <w:pPr>
        <w:jc w:val="left"/>
        <w:rPr>
          <w:rFonts w:asciiTheme="minorHAnsi" w:eastAsia="Calibri" w:hAnsiTheme="minorHAnsi" w:cs="Times New Roman"/>
          <w:szCs w:val="24"/>
          <w:lang w:eastAsia="en-US"/>
        </w:rPr>
      </w:pPr>
      <w:r>
        <w:br w:type="page"/>
      </w:r>
    </w:p>
    <w:p w:rsidR="001E3F4E" w:rsidRPr="001E3F4E" w:rsidRDefault="001E3F4E" w:rsidP="001E3F4E">
      <w:pPr>
        <w:pStyle w:val="Caption"/>
      </w:pPr>
      <w:bookmarkStart w:id="75" w:name="_Toc511144350"/>
      <w:r w:rsidRPr="001E3F4E">
        <w:lastRenderedPageBreak/>
        <w:t>Table 2.</w:t>
      </w:r>
      <w:r w:rsidR="00BA253F">
        <w:rPr>
          <w:noProof/>
        </w:rPr>
        <w:t>7</w:t>
      </w:r>
      <w:r w:rsidR="00B30AA0">
        <w:tab/>
      </w:r>
      <w:r w:rsidRPr="001E3F4E">
        <w:t>Characteristics of combination treatment</w:t>
      </w:r>
      <w:bookmarkEnd w:id="75"/>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able 2.7 Characteristics of combination treatment"/>
        <w:tblDescription w:val="Characteristics of combination treatment"/>
      </w:tblPr>
      <w:tblGrid>
        <w:gridCol w:w="2943"/>
        <w:gridCol w:w="1560"/>
        <w:gridCol w:w="1984"/>
        <w:gridCol w:w="2270"/>
      </w:tblGrid>
      <w:tr w:rsidR="00633540" w:rsidRPr="00D33F5E" w:rsidTr="006F47C5">
        <w:trPr>
          <w:tblHeader/>
        </w:trPr>
        <w:tc>
          <w:tcPr>
            <w:tcW w:w="2943" w:type="dxa"/>
            <w:tcBorders>
              <w:left w:val="single" w:sz="4" w:space="0" w:color="auto"/>
              <w:bottom w:val="single" w:sz="4" w:space="0" w:color="auto"/>
            </w:tcBorders>
            <w:shd w:val="clear" w:color="auto" w:fill="BFBFBF" w:themeFill="background1" w:themeFillShade="BF"/>
            <w:vAlign w:val="bottom"/>
          </w:tcPr>
          <w:p w:rsidR="00633540" w:rsidRPr="003351F5" w:rsidRDefault="00633540" w:rsidP="0054207F">
            <w:pPr>
              <w:spacing w:before="40" w:after="40"/>
              <w:jc w:val="left"/>
              <w:rPr>
                <w:rFonts w:ascii="Arial" w:hAnsi="Arial" w:cs="Arial"/>
                <w:b/>
                <w:szCs w:val="24"/>
              </w:rPr>
            </w:pPr>
            <w:r w:rsidRPr="003351F5">
              <w:rPr>
                <w:rFonts w:ascii="Arial" w:hAnsi="Arial" w:cs="Arial"/>
                <w:b/>
                <w:szCs w:val="24"/>
              </w:rPr>
              <w:t>Combination type</w:t>
            </w:r>
          </w:p>
        </w:tc>
        <w:tc>
          <w:tcPr>
            <w:tcW w:w="1560" w:type="dxa"/>
            <w:tcBorders>
              <w:bottom w:val="single" w:sz="4" w:space="0" w:color="auto"/>
            </w:tcBorders>
            <w:shd w:val="clear" w:color="auto" w:fill="BFBFBF" w:themeFill="background1" w:themeFillShade="BF"/>
            <w:vAlign w:val="bottom"/>
          </w:tcPr>
          <w:p w:rsidR="00633540" w:rsidRPr="003351F5" w:rsidRDefault="00633540" w:rsidP="0054207F">
            <w:pPr>
              <w:spacing w:before="40" w:after="40"/>
              <w:jc w:val="left"/>
              <w:rPr>
                <w:rFonts w:ascii="Arial" w:hAnsi="Arial" w:cs="Arial"/>
                <w:b/>
                <w:szCs w:val="24"/>
              </w:rPr>
            </w:pPr>
            <w:r w:rsidRPr="003351F5">
              <w:rPr>
                <w:rFonts w:ascii="Arial" w:hAnsi="Arial" w:cs="Arial"/>
                <w:b/>
                <w:szCs w:val="24"/>
              </w:rPr>
              <w:t>Number (%)</w:t>
            </w:r>
          </w:p>
        </w:tc>
        <w:tc>
          <w:tcPr>
            <w:tcW w:w="1984" w:type="dxa"/>
            <w:tcBorders>
              <w:bottom w:val="single" w:sz="4" w:space="0" w:color="auto"/>
            </w:tcBorders>
            <w:shd w:val="clear" w:color="auto" w:fill="BFBFBF" w:themeFill="background1" w:themeFillShade="BF"/>
            <w:vAlign w:val="bottom"/>
          </w:tcPr>
          <w:p w:rsidR="00633540" w:rsidRPr="003351F5" w:rsidRDefault="00633540" w:rsidP="0054207F">
            <w:pPr>
              <w:spacing w:before="40" w:after="40"/>
              <w:jc w:val="left"/>
              <w:rPr>
                <w:rFonts w:ascii="Arial" w:hAnsi="Arial" w:cs="Arial"/>
                <w:b/>
                <w:szCs w:val="24"/>
              </w:rPr>
            </w:pPr>
            <w:r w:rsidRPr="003351F5">
              <w:rPr>
                <w:rFonts w:ascii="Arial" w:hAnsi="Arial" w:cs="Arial"/>
                <w:b/>
                <w:szCs w:val="24"/>
              </w:rPr>
              <w:t>Days on combination treatment, range</w:t>
            </w:r>
          </w:p>
        </w:tc>
        <w:tc>
          <w:tcPr>
            <w:tcW w:w="2270" w:type="dxa"/>
            <w:tcBorders>
              <w:bottom w:val="single" w:sz="4" w:space="0" w:color="auto"/>
              <w:right w:val="single" w:sz="4" w:space="0" w:color="auto"/>
            </w:tcBorders>
            <w:shd w:val="clear" w:color="auto" w:fill="BFBFBF" w:themeFill="background1" w:themeFillShade="BF"/>
            <w:vAlign w:val="bottom"/>
          </w:tcPr>
          <w:p w:rsidR="00633540" w:rsidRPr="003351F5" w:rsidRDefault="00633540" w:rsidP="0054207F">
            <w:pPr>
              <w:spacing w:before="40" w:after="40"/>
              <w:jc w:val="left"/>
              <w:rPr>
                <w:rFonts w:ascii="Arial" w:hAnsi="Arial" w:cs="Arial"/>
                <w:b/>
                <w:szCs w:val="24"/>
              </w:rPr>
            </w:pPr>
            <w:r w:rsidRPr="003351F5">
              <w:rPr>
                <w:rFonts w:ascii="Arial" w:hAnsi="Arial" w:cs="Arial"/>
                <w:b/>
                <w:szCs w:val="24"/>
              </w:rPr>
              <w:t>No. of overlapping dispensings, range</w:t>
            </w:r>
          </w:p>
        </w:tc>
      </w:tr>
      <w:tr w:rsidR="00633540" w:rsidRPr="00D33F5E" w:rsidTr="0054207F">
        <w:tc>
          <w:tcPr>
            <w:tcW w:w="2943" w:type="dxa"/>
            <w:tcBorders>
              <w:top w:val="nil"/>
              <w:left w:val="single" w:sz="4" w:space="0" w:color="auto"/>
              <w:bottom w:val="nil"/>
              <w:right w:val="single" w:sz="4" w:space="0" w:color="auto"/>
            </w:tcBorders>
            <w:shd w:val="clear" w:color="auto" w:fill="BFBFBF" w:themeFill="background1" w:themeFillShade="BF"/>
            <w:vAlign w:val="center"/>
          </w:tcPr>
          <w:p w:rsidR="00633540" w:rsidRPr="003351F5" w:rsidRDefault="00633540" w:rsidP="0054207F">
            <w:pPr>
              <w:spacing w:before="60" w:after="60"/>
              <w:jc w:val="left"/>
              <w:rPr>
                <w:rFonts w:ascii="Arial" w:hAnsi="Arial" w:cs="Arial"/>
                <w:szCs w:val="24"/>
              </w:rPr>
            </w:pPr>
            <w:r w:rsidRPr="003351F5">
              <w:rPr>
                <w:rFonts w:ascii="Arial" w:hAnsi="Arial" w:cs="Arial"/>
                <w:szCs w:val="24"/>
              </w:rPr>
              <w:t xml:space="preserve">ERA and </w:t>
            </w:r>
            <w:r w:rsidR="0084301E">
              <w:rPr>
                <w:rFonts w:ascii="Arial" w:hAnsi="Arial" w:cs="Arial"/>
                <w:szCs w:val="24"/>
              </w:rPr>
              <w:t>PDE-5</w:t>
            </w:r>
            <w:r w:rsidRPr="003351F5">
              <w:rPr>
                <w:rFonts w:ascii="Arial" w:hAnsi="Arial" w:cs="Arial"/>
                <w:szCs w:val="24"/>
              </w:rPr>
              <w:t xml:space="preserve"> inhibitor</w:t>
            </w:r>
          </w:p>
        </w:tc>
        <w:tc>
          <w:tcPr>
            <w:tcW w:w="1560" w:type="dxa"/>
            <w:tcBorders>
              <w:top w:val="single" w:sz="4" w:space="0" w:color="auto"/>
              <w:left w:val="single" w:sz="4" w:space="0" w:color="auto"/>
              <w:bottom w:val="nil"/>
              <w:right w:val="single" w:sz="4" w:space="0" w:color="auto"/>
            </w:tcBorders>
            <w:vAlign w:val="center"/>
          </w:tcPr>
          <w:p w:rsidR="00633540" w:rsidRPr="003351F5" w:rsidRDefault="00633540" w:rsidP="0054207F">
            <w:pPr>
              <w:spacing w:before="60" w:after="60"/>
              <w:jc w:val="left"/>
              <w:rPr>
                <w:rFonts w:ascii="Arial" w:hAnsi="Arial" w:cs="Arial"/>
                <w:szCs w:val="24"/>
              </w:rPr>
            </w:pPr>
            <w:r w:rsidRPr="003351F5">
              <w:rPr>
                <w:rFonts w:ascii="Arial" w:hAnsi="Arial" w:cs="Arial"/>
                <w:szCs w:val="24"/>
              </w:rPr>
              <w:t xml:space="preserve">&lt;13 </w:t>
            </w:r>
          </w:p>
        </w:tc>
        <w:tc>
          <w:tcPr>
            <w:tcW w:w="1984" w:type="dxa"/>
            <w:tcBorders>
              <w:top w:val="single" w:sz="4" w:space="0" w:color="auto"/>
              <w:left w:val="single" w:sz="4" w:space="0" w:color="auto"/>
              <w:bottom w:val="nil"/>
              <w:right w:val="single" w:sz="4" w:space="0" w:color="auto"/>
            </w:tcBorders>
            <w:vAlign w:val="center"/>
          </w:tcPr>
          <w:p w:rsidR="00633540" w:rsidRPr="003351F5" w:rsidRDefault="00633540" w:rsidP="0054207F">
            <w:pPr>
              <w:spacing w:before="60" w:after="60"/>
              <w:jc w:val="left"/>
              <w:rPr>
                <w:rFonts w:ascii="Arial" w:hAnsi="Arial" w:cs="Arial"/>
                <w:szCs w:val="24"/>
              </w:rPr>
            </w:pPr>
            <w:r w:rsidRPr="003351F5">
              <w:rPr>
                <w:rFonts w:ascii="Arial" w:hAnsi="Arial" w:cs="Arial"/>
                <w:szCs w:val="24"/>
              </w:rPr>
              <w:t>63-294</w:t>
            </w:r>
          </w:p>
        </w:tc>
        <w:tc>
          <w:tcPr>
            <w:tcW w:w="2270" w:type="dxa"/>
            <w:tcBorders>
              <w:top w:val="nil"/>
              <w:left w:val="single" w:sz="4" w:space="0" w:color="auto"/>
              <w:bottom w:val="nil"/>
              <w:right w:val="single" w:sz="4" w:space="0" w:color="auto"/>
            </w:tcBorders>
            <w:vAlign w:val="center"/>
          </w:tcPr>
          <w:p w:rsidR="00633540" w:rsidRPr="003351F5" w:rsidRDefault="00633540" w:rsidP="0054207F">
            <w:pPr>
              <w:spacing w:before="60" w:after="60"/>
              <w:jc w:val="left"/>
              <w:rPr>
                <w:rFonts w:ascii="Arial" w:hAnsi="Arial" w:cs="Arial"/>
                <w:szCs w:val="24"/>
              </w:rPr>
            </w:pPr>
            <w:r w:rsidRPr="003351F5">
              <w:rPr>
                <w:rFonts w:ascii="Arial" w:hAnsi="Arial" w:cs="Arial"/>
                <w:szCs w:val="24"/>
              </w:rPr>
              <w:t>4-15</w:t>
            </w:r>
          </w:p>
        </w:tc>
      </w:tr>
      <w:tr w:rsidR="00633540" w:rsidRPr="00D33F5E" w:rsidTr="0054207F">
        <w:tc>
          <w:tcPr>
            <w:tcW w:w="2943" w:type="dxa"/>
            <w:tcBorders>
              <w:top w:val="nil"/>
              <w:left w:val="single" w:sz="4" w:space="0" w:color="auto"/>
              <w:right w:val="single" w:sz="4" w:space="0" w:color="auto"/>
            </w:tcBorders>
            <w:shd w:val="clear" w:color="auto" w:fill="BFBFBF" w:themeFill="background1" w:themeFillShade="BF"/>
            <w:vAlign w:val="center"/>
          </w:tcPr>
          <w:p w:rsidR="00633540" w:rsidRPr="003351F5" w:rsidRDefault="00633540" w:rsidP="0054207F">
            <w:pPr>
              <w:spacing w:before="60" w:after="60"/>
              <w:jc w:val="left"/>
              <w:rPr>
                <w:rFonts w:ascii="Arial" w:hAnsi="Arial" w:cs="Arial"/>
                <w:szCs w:val="24"/>
              </w:rPr>
            </w:pPr>
            <w:r w:rsidRPr="003351F5">
              <w:rPr>
                <w:rFonts w:ascii="Arial" w:hAnsi="Arial" w:cs="Arial"/>
                <w:szCs w:val="24"/>
              </w:rPr>
              <w:t xml:space="preserve">Prostacyclin analogue and </w:t>
            </w:r>
            <w:r w:rsidR="0084301E">
              <w:rPr>
                <w:rFonts w:ascii="Arial" w:hAnsi="Arial" w:cs="Arial"/>
                <w:szCs w:val="24"/>
              </w:rPr>
              <w:t>PDE-5</w:t>
            </w:r>
            <w:r w:rsidRPr="003351F5">
              <w:rPr>
                <w:rFonts w:ascii="Arial" w:hAnsi="Arial" w:cs="Arial"/>
                <w:szCs w:val="24"/>
              </w:rPr>
              <w:t xml:space="preserve"> inhibitor</w:t>
            </w:r>
          </w:p>
        </w:tc>
        <w:tc>
          <w:tcPr>
            <w:tcW w:w="1560" w:type="dxa"/>
            <w:tcBorders>
              <w:top w:val="nil"/>
              <w:left w:val="single" w:sz="4" w:space="0" w:color="auto"/>
              <w:right w:val="single" w:sz="4" w:space="0" w:color="auto"/>
            </w:tcBorders>
            <w:vAlign w:val="center"/>
          </w:tcPr>
          <w:p w:rsidR="00633540" w:rsidRPr="003351F5" w:rsidRDefault="00633540" w:rsidP="0054207F">
            <w:pPr>
              <w:spacing w:before="60" w:after="60"/>
              <w:jc w:val="left"/>
              <w:rPr>
                <w:rFonts w:ascii="Arial" w:hAnsi="Arial" w:cs="Arial"/>
                <w:szCs w:val="24"/>
              </w:rPr>
            </w:pPr>
            <w:r w:rsidRPr="003351F5">
              <w:rPr>
                <w:rFonts w:ascii="Arial" w:hAnsi="Arial" w:cs="Arial"/>
                <w:szCs w:val="24"/>
              </w:rPr>
              <w:t>&lt;6</w:t>
            </w:r>
          </w:p>
        </w:tc>
        <w:tc>
          <w:tcPr>
            <w:tcW w:w="1984" w:type="dxa"/>
            <w:tcBorders>
              <w:top w:val="nil"/>
              <w:left w:val="single" w:sz="4" w:space="0" w:color="auto"/>
              <w:right w:val="single" w:sz="4" w:space="0" w:color="auto"/>
            </w:tcBorders>
            <w:vAlign w:val="center"/>
          </w:tcPr>
          <w:p w:rsidR="00633540" w:rsidRPr="003351F5" w:rsidRDefault="00633540" w:rsidP="0054207F">
            <w:pPr>
              <w:spacing w:before="60" w:after="60"/>
              <w:jc w:val="left"/>
              <w:rPr>
                <w:rFonts w:ascii="Arial" w:hAnsi="Arial" w:cs="Arial"/>
                <w:szCs w:val="24"/>
              </w:rPr>
            </w:pPr>
            <w:r w:rsidRPr="003351F5">
              <w:rPr>
                <w:rFonts w:ascii="Arial" w:hAnsi="Arial" w:cs="Arial"/>
                <w:szCs w:val="24"/>
              </w:rPr>
              <w:t>91-136</w:t>
            </w:r>
          </w:p>
        </w:tc>
        <w:tc>
          <w:tcPr>
            <w:tcW w:w="2270" w:type="dxa"/>
            <w:tcBorders>
              <w:top w:val="nil"/>
              <w:left w:val="single" w:sz="4" w:space="0" w:color="auto"/>
              <w:right w:val="single" w:sz="4" w:space="0" w:color="auto"/>
            </w:tcBorders>
            <w:vAlign w:val="center"/>
          </w:tcPr>
          <w:p w:rsidR="00633540" w:rsidRPr="003351F5" w:rsidRDefault="00633540" w:rsidP="0054207F">
            <w:pPr>
              <w:spacing w:before="60" w:after="60"/>
              <w:jc w:val="left"/>
              <w:rPr>
                <w:rFonts w:ascii="Arial" w:hAnsi="Arial" w:cs="Arial"/>
                <w:szCs w:val="24"/>
              </w:rPr>
            </w:pPr>
            <w:r w:rsidRPr="003351F5">
              <w:rPr>
                <w:rFonts w:ascii="Arial" w:hAnsi="Arial" w:cs="Arial"/>
                <w:szCs w:val="24"/>
              </w:rPr>
              <w:t>4-8</w:t>
            </w:r>
          </w:p>
        </w:tc>
      </w:tr>
    </w:tbl>
    <w:p w:rsidR="00633540" w:rsidRPr="00300C22" w:rsidRDefault="00633540" w:rsidP="00300C22">
      <w:pPr>
        <w:spacing w:line="240" w:lineRule="auto"/>
        <w:rPr>
          <w:rFonts w:ascii="Arial" w:hAnsi="Arial" w:cs="Arial"/>
          <w:sz w:val="18"/>
          <w:szCs w:val="18"/>
        </w:rPr>
      </w:pPr>
      <w:r w:rsidRPr="00300C22">
        <w:rPr>
          <w:rFonts w:ascii="Arial" w:eastAsia="Times New Roman" w:hAnsi="Arial" w:cs="Arial"/>
          <w:color w:val="000000"/>
          <w:sz w:val="18"/>
          <w:szCs w:val="18"/>
        </w:rPr>
        <w:t xml:space="preserve">Combination treatment was defined as overlapping treatment for a period of ≥58 days (i.e. </w:t>
      </w:r>
      <w:proofErr w:type="gramStart"/>
      <w:r w:rsidRPr="00300C22">
        <w:rPr>
          <w:rFonts w:ascii="Arial" w:eastAsia="Times New Roman" w:hAnsi="Arial" w:cs="Arial"/>
          <w:color w:val="000000"/>
          <w:sz w:val="18"/>
          <w:szCs w:val="18"/>
        </w:rPr>
        <w:t>2 ×</w:t>
      </w:r>
      <w:proofErr w:type="gramEnd"/>
      <w:r w:rsidRPr="00300C22">
        <w:rPr>
          <w:rFonts w:ascii="Arial" w:eastAsia="Times New Roman" w:hAnsi="Arial" w:cs="Arial"/>
          <w:color w:val="000000"/>
          <w:sz w:val="18"/>
          <w:szCs w:val="18"/>
        </w:rPr>
        <w:t xml:space="preserve"> median time between dispensings).</w:t>
      </w:r>
    </w:p>
    <w:p w:rsidR="00701AAB" w:rsidRPr="00701AAB" w:rsidRDefault="00701AAB" w:rsidP="00C5616C">
      <w:pPr>
        <w:pStyle w:val="Heading4"/>
      </w:pPr>
      <w:r w:rsidRPr="00701AAB">
        <w:t>Sensitivity analysis</w:t>
      </w:r>
    </w:p>
    <w:p w:rsidR="00701AAB" w:rsidRPr="00FB7717" w:rsidRDefault="00701AAB" w:rsidP="00C5616C">
      <w:pPr>
        <w:pStyle w:val="BodyTextnospacebefore"/>
      </w:pPr>
      <w:r w:rsidRPr="00D33F5E">
        <w:t xml:space="preserve">Using a less strict definition of combination treatment, 33 episodes of combination treatment were observed among </w:t>
      </w:r>
      <w:proofErr w:type="gramStart"/>
      <w:r w:rsidRPr="00D33F5E">
        <w:t>a total of 13</w:t>
      </w:r>
      <w:proofErr w:type="gramEnd"/>
      <w:r w:rsidRPr="00D33F5E">
        <w:t xml:space="preserve"> individuals.</w:t>
      </w:r>
    </w:p>
    <w:p w:rsidR="003A055D" w:rsidRPr="003A055D" w:rsidRDefault="003A055D" w:rsidP="003A055D">
      <w:pPr>
        <w:pStyle w:val="Caption"/>
      </w:pPr>
      <w:bookmarkStart w:id="76" w:name="_Toc511144351"/>
      <w:r w:rsidRPr="003A055D">
        <w:t>Table 2.</w:t>
      </w:r>
      <w:r w:rsidR="00BA253F">
        <w:rPr>
          <w:noProof/>
        </w:rPr>
        <w:t>8</w:t>
      </w:r>
      <w:r w:rsidR="00B30AA0">
        <w:tab/>
      </w:r>
      <w:r w:rsidRPr="003A055D">
        <w:t>Characteristics of combination treatment – sensitivity analysis</w:t>
      </w:r>
      <w:bookmarkEnd w:id="76"/>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able 2.8 Characteristics of combination treatment – sensitivity analysis"/>
        <w:tblDescription w:val="Characteristics of combination treatment – sensitivity analysis"/>
      </w:tblPr>
      <w:tblGrid>
        <w:gridCol w:w="2943"/>
        <w:gridCol w:w="1560"/>
        <w:gridCol w:w="1984"/>
        <w:gridCol w:w="2270"/>
      </w:tblGrid>
      <w:tr w:rsidR="00701AAB" w:rsidRPr="00D33F5E" w:rsidTr="006F47C5">
        <w:trPr>
          <w:tblHeader/>
        </w:trPr>
        <w:tc>
          <w:tcPr>
            <w:tcW w:w="2943" w:type="dxa"/>
            <w:tcBorders>
              <w:left w:val="single" w:sz="4" w:space="0" w:color="auto"/>
              <w:bottom w:val="single" w:sz="4" w:space="0" w:color="auto"/>
            </w:tcBorders>
            <w:shd w:val="clear" w:color="auto" w:fill="BFBFBF" w:themeFill="background1" w:themeFillShade="BF"/>
            <w:vAlign w:val="bottom"/>
          </w:tcPr>
          <w:p w:rsidR="00701AAB" w:rsidRPr="003351F5" w:rsidRDefault="00701AAB" w:rsidP="0054207F">
            <w:pPr>
              <w:spacing w:before="40" w:after="40"/>
              <w:jc w:val="left"/>
              <w:rPr>
                <w:rFonts w:ascii="Arial" w:hAnsi="Arial" w:cs="Arial"/>
                <w:b/>
                <w:szCs w:val="24"/>
              </w:rPr>
            </w:pPr>
            <w:r w:rsidRPr="003351F5">
              <w:rPr>
                <w:rFonts w:ascii="Arial" w:hAnsi="Arial" w:cs="Arial"/>
                <w:b/>
                <w:szCs w:val="24"/>
              </w:rPr>
              <w:t>Combination type</w:t>
            </w:r>
          </w:p>
        </w:tc>
        <w:tc>
          <w:tcPr>
            <w:tcW w:w="1560" w:type="dxa"/>
            <w:tcBorders>
              <w:bottom w:val="single" w:sz="4" w:space="0" w:color="auto"/>
            </w:tcBorders>
            <w:shd w:val="clear" w:color="auto" w:fill="BFBFBF" w:themeFill="background1" w:themeFillShade="BF"/>
            <w:vAlign w:val="bottom"/>
          </w:tcPr>
          <w:p w:rsidR="00701AAB" w:rsidRPr="003351F5" w:rsidRDefault="00701AAB" w:rsidP="0054207F">
            <w:pPr>
              <w:spacing w:before="40" w:after="40"/>
              <w:jc w:val="left"/>
              <w:rPr>
                <w:rFonts w:ascii="Arial" w:hAnsi="Arial" w:cs="Arial"/>
                <w:b/>
                <w:szCs w:val="24"/>
              </w:rPr>
            </w:pPr>
            <w:r w:rsidRPr="003351F5">
              <w:rPr>
                <w:rFonts w:ascii="Arial" w:hAnsi="Arial" w:cs="Arial"/>
                <w:b/>
                <w:szCs w:val="24"/>
              </w:rPr>
              <w:t>Number (%)</w:t>
            </w:r>
          </w:p>
        </w:tc>
        <w:tc>
          <w:tcPr>
            <w:tcW w:w="1984" w:type="dxa"/>
            <w:tcBorders>
              <w:bottom w:val="single" w:sz="4" w:space="0" w:color="auto"/>
            </w:tcBorders>
            <w:shd w:val="clear" w:color="auto" w:fill="BFBFBF" w:themeFill="background1" w:themeFillShade="BF"/>
            <w:vAlign w:val="bottom"/>
          </w:tcPr>
          <w:p w:rsidR="00701AAB" w:rsidRPr="003351F5" w:rsidRDefault="00701AAB" w:rsidP="0054207F">
            <w:pPr>
              <w:spacing w:before="40" w:after="40"/>
              <w:jc w:val="left"/>
              <w:rPr>
                <w:rFonts w:ascii="Arial" w:hAnsi="Arial" w:cs="Arial"/>
                <w:b/>
                <w:szCs w:val="24"/>
              </w:rPr>
            </w:pPr>
            <w:r w:rsidRPr="003351F5">
              <w:rPr>
                <w:rFonts w:ascii="Arial" w:hAnsi="Arial" w:cs="Arial"/>
                <w:b/>
                <w:szCs w:val="24"/>
              </w:rPr>
              <w:t>Days on combination treatment, range</w:t>
            </w:r>
          </w:p>
        </w:tc>
        <w:tc>
          <w:tcPr>
            <w:tcW w:w="2270" w:type="dxa"/>
            <w:tcBorders>
              <w:bottom w:val="single" w:sz="4" w:space="0" w:color="auto"/>
              <w:right w:val="single" w:sz="4" w:space="0" w:color="auto"/>
            </w:tcBorders>
            <w:shd w:val="clear" w:color="auto" w:fill="BFBFBF" w:themeFill="background1" w:themeFillShade="BF"/>
            <w:vAlign w:val="bottom"/>
          </w:tcPr>
          <w:p w:rsidR="00701AAB" w:rsidRPr="003351F5" w:rsidRDefault="00701AAB" w:rsidP="0054207F">
            <w:pPr>
              <w:spacing w:before="40" w:after="40"/>
              <w:jc w:val="left"/>
              <w:rPr>
                <w:rFonts w:ascii="Arial" w:hAnsi="Arial" w:cs="Arial"/>
                <w:b/>
                <w:szCs w:val="24"/>
              </w:rPr>
            </w:pPr>
            <w:r w:rsidRPr="003351F5">
              <w:rPr>
                <w:rFonts w:ascii="Arial" w:hAnsi="Arial" w:cs="Arial"/>
                <w:b/>
                <w:szCs w:val="24"/>
              </w:rPr>
              <w:t>No. of overlapping dispensings, range</w:t>
            </w:r>
          </w:p>
        </w:tc>
      </w:tr>
      <w:tr w:rsidR="00701AAB" w:rsidRPr="00D33F5E" w:rsidTr="0054207F">
        <w:tc>
          <w:tcPr>
            <w:tcW w:w="2943" w:type="dxa"/>
            <w:tcBorders>
              <w:top w:val="nil"/>
              <w:left w:val="single" w:sz="4" w:space="0" w:color="auto"/>
              <w:bottom w:val="nil"/>
              <w:right w:val="single" w:sz="4" w:space="0" w:color="auto"/>
            </w:tcBorders>
            <w:shd w:val="clear" w:color="auto" w:fill="BFBFBF" w:themeFill="background1" w:themeFillShade="BF"/>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 xml:space="preserve">ERA and </w:t>
            </w:r>
            <w:r w:rsidR="0084301E">
              <w:rPr>
                <w:rFonts w:ascii="Arial" w:hAnsi="Arial" w:cs="Arial"/>
                <w:szCs w:val="24"/>
              </w:rPr>
              <w:t>PDE-5</w:t>
            </w:r>
            <w:r w:rsidRPr="003351F5">
              <w:rPr>
                <w:rFonts w:ascii="Arial" w:hAnsi="Arial" w:cs="Arial"/>
                <w:szCs w:val="24"/>
              </w:rPr>
              <w:t xml:space="preserve"> inhibitor</w:t>
            </w:r>
          </w:p>
        </w:tc>
        <w:tc>
          <w:tcPr>
            <w:tcW w:w="1560" w:type="dxa"/>
            <w:tcBorders>
              <w:top w:val="single" w:sz="4" w:space="0" w:color="auto"/>
              <w:left w:val="single" w:sz="4" w:space="0" w:color="auto"/>
              <w:bottom w:val="nil"/>
              <w:right w:val="single" w:sz="4" w:space="0" w:color="auto"/>
            </w:tcBorders>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&lt;33</w:t>
            </w:r>
          </w:p>
        </w:tc>
        <w:tc>
          <w:tcPr>
            <w:tcW w:w="1984" w:type="dxa"/>
            <w:tcBorders>
              <w:top w:val="single" w:sz="4" w:space="0" w:color="auto"/>
              <w:left w:val="single" w:sz="4" w:space="0" w:color="auto"/>
              <w:bottom w:val="nil"/>
              <w:right w:val="single" w:sz="4" w:space="0" w:color="auto"/>
            </w:tcBorders>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30-294</w:t>
            </w:r>
          </w:p>
        </w:tc>
        <w:tc>
          <w:tcPr>
            <w:tcW w:w="2270" w:type="dxa"/>
            <w:tcBorders>
              <w:top w:val="nil"/>
              <w:left w:val="single" w:sz="4" w:space="0" w:color="auto"/>
              <w:bottom w:val="nil"/>
              <w:right w:val="single" w:sz="4" w:space="0" w:color="auto"/>
            </w:tcBorders>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2-8</w:t>
            </w:r>
          </w:p>
        </w:tc>
      </w:tr>
      <w:tr w:rsidR="00701AAB" w:rsidRPr="00D33F5E" w:rsidTr="0054207F">
        <w:tc>
          <w:tcPr>
            <w:tcW w:w="2943" w:type="dxa"/>
            <w:tcBorders>
              <w:top w:val="nil"/>
              <w:left w:val="single" w:sz="4" w:space="0" w:color="auto"/>
              <w:bottom w:val="nil"/>
              <w:right w:val="single" w:sz="4" w:space="0" w:color="auto"/>
            </w:tcBorders>
            <w:shd w:val="clear" w:color="auto" w:fill="BFBFBF" w:themeFill="background1" w:themeFillShade="BF"/>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 xml:space="preserve">Prostacyclin analogue and </w:t>
            </w:r>
            <w:r w:rsidR="0084301E">
              <w:rPr>
                <w:rFonts w:ascii="Arial" w:hAnsi="Arial" w:cs="Arial"/>
                <w:szCs w:val="24"/>
              </w:rPr>
              <w:t>PDE-5</w:t>
            </w:r>
            <w:r w:rsidRPr="003351F5">
              <w:rPr>
                <w:rFonts w:ascii="Arial" w:hAnsi="Arial" w:cs="Arial"/>
                <w:szCs w:val="24"/>
              </w:rPr>
              <w:t xml:space="preserve"> inhibitor</w:t>
            </w:r>
          </w:p>
        </w:tc>
        <w:tc>
          <w:tcPr>
            <w:tcW w:w="1560" w:type="dxa"/>
            <w:tcBorders>
              <w:top w:val="nil"/>
              <w:left w:val="single" w:sz="4" w:space="0" w:color="auto"/>
              <w:bottom w:val="nil"/>
              <w:right w:val="single" w:sz="4" w:space="0" w:color="auto"/>
            </w:tcBorders>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11/33 (33)</w:t>
            </w:r>
          </w:p>
        </w:tc>
        <w:tc>
          <w:tcPr>
            <w:tcW w:w="1984" w:type="dxa"/>
            <w:tcBorders>
              <w:top w:val="nil"/>
              <w:left w:val="single" w:sz="4" w:space="0" w:color="auto"/>
              <w:bottom w:val="nil"/>
              <w:right w:val="single" w:sz="4" w:space="0" w:color="auto"/>
            </w:tcBorders>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32-136</w:t>
            </w:r>
          </w:p>
        </w:tc>
        <w:tc>
          <w:tcPr>
            <w:tcW w:w="2270" w:type="dxa"/>
            <w:tcBorders>
              <w:top w:val="nil"/>
              <w:left w:val="single" w:sz="4" w:space="0" w:color="auto"/>
              <w:bottom w:val="nil"/>
              <w:right w:val="single" w:sz="4" w:space="0" w:color="auto"/>
            </w:tcBorders>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2-8</w:t>
            </w:r>
          </w:p>
        </w:tc>
      </w:tr>
      <w:tr w:rsidR="00701AAB" w:rsidRPr="00D33F5E" w:rsidTr="0054207F">
        <w:tc>
          <w:tcPr>
            <w:tcW w:w="2943" w:type="dxa"/>
            <w:tcBorders>
              <w:top w:val="nil"/>
              <w:left w:val="single" w:sz="4" w:space="0" w:color="auto"/>
              <w:right w:val="single" w:sz="4" w:space="0" w:color="auto"/>
            </w:tcBorders>
            <w:shd w:val="clear" w:color="auto" w:fill="BFBFBF" w:themeFill="background1" w:themeFillShade="BF"/>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ERA and prostacyclin analogue</w:t>
            </w:r>
          </w:p>
        </w:tc>
        <w:tc>
          <w:tcPr>
            <w:tcW w:w="1560" w:type="dxa"/>
            <w:tcBorders>
              <w:top w:val="nil"/>
              <w:left w:val="single" w:sz="4" w:space="0" w:color="auto"/>
              <w:right w:val="single" w:sz="4" w:space="0" w:color="auto"/>
            </w:tcBorders>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&lt;6</w:t>
            </w:r>
          </w:p>
        </w:tc>
        <w:tc>
          <w:tcPr>
            <w:tcW w:w="1984" w:type="dxa"/>
            <w:tcBorders>
              <w:top w:val="nil"/>
              <w:left w:val="single" w:sz="4" w:space="0" w:color="auto"/>
              <w:right w:val="single" w:sz="4" w:space="0" w:color="auto"/>
            </w:tcBorders>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31-35</w:t>
            </w:r>
          </w:p>
        </w:tc>
        <w:tc>
          <w:tcPr>
            <w:tcW w:w="2270" w:type="dxa"/>
            <w:tcBorders>
              <w:top w:val="nil"/>
              <w:left w:val="single" w:sz="4" w:space="0" w:color="auto"/>
              <w:right w:val="single" w:sz="4" w:space="0" w:color="auto"/>
            </w:tcBorders>
            <w:vAlign w:val="center"/>
          </w:tcPr>
          <w:p w:rsidR="00701AAB" w:rsidRPr="003351F5" w:rsidRDefault="00701AAB" w:rsidP="0054207F">
            <w:pPr>
              <w:spacing w:before="60" w:after="60"/>
              <w:jc w:val="left"/>
              <w:rPr>
                <w:rFonts w:ascii="Arial" w:hAnsi="Arial" w:cs="Arial"/>
                <w:szCs w:val="24"/>
              </w:rPr>
            </w:pPr>
            <w:r w:rsidRPr="003351F5">
              <w:rPr>
                <w:rFonts w:ascii="Arial" w:hAnsi="Arial" w:cs="Arial"/>
                <w:szCs w:val="24"/>
              </w:rPr>
              <w:t>2-2</w:t>
            </w:r>
          </w:p>
        </w:tc>
      </w:tr>
    </w:tbl>
    <w:p w:rsidR="00701AAB" w:rsidRPr="00300C22" w:rsidRDefault="00701AAB" w:rsidP="00300C22">
      <w:pPr>
        <w:spacing w:line="240" w:lineRule="auto"/>
        <w:rPr>
          <w:rFonts w:ascii="Arial" w:hAnsi="Arial" w:cs="Arial"/>
          <w:b/>
          <w:sz w:val="18"/>
          <w:szCs w:val="18"/>
        </w:rPr>
      </w:pPr>
      <w:r w:rsidRPr="00300C22">
        <w:rPr>
          <w:rFonts w:ascii="Arial" w:eastAsia="Times New Roman" w:hAnsi="Arial" w:cs="Arial"/>
          <w:color w:val="000000"/>
          <w:sz w:val="18"/>
          <w:szCs w:val="18"/>
        </w:rPr>
        <w:t xml:space="preserve">Combination treatment was defined as overlapping treatment for a period of ≥29 days (i.e. </w:t>
      </w:r>
      <w:proofErr w:type="gramStart"/>
      <w:r w:rsidRPr="00300C22">
        <w:rPr>
          <w:rFonts w:ascii="Arial" w:eastAsia="Times New Roman" w:hAnsi="Arial" w:cs="Arial"/>
          <w:color w:val="000000"/>
          <w:sz w:val="18"/>
          <w:szCs w:val="18"/>
        </w:rPr>
        <w:t>1</w:t>
      </w:r>
      <w:proofErr w:type="gramEnd"/>
      <w:r w:rsidRPr="00300C22">
        <w:rPr>
          <w:rFonts w:ascii="Arial" w:eastAsia="Times New Roman" w:hAnsi="Arial" w:cs="Arial"/>
          <w:color w:val="000000"/>
          <w:sz w:val="18"/>
          <w:szCs w:val="18"/>
        </w:rPr>
        <w:t xml:space="preserve"> × median time between dispensings).</w:t>
      </w:r>
    </w:p>
    <w:p w:rsidR="00701AAB" w:rsidRPr="004C3845" w:rsidRDefault="00701AAB" w:rsidP="00C26B51">
      <w:pPr>
        <w:pStyle w:val="BodyTextnospacebefore"/>
      </w:pPr>
      <w:r w:rsidRPr="004C3845">
        <w:t xml:space="preserve">PHSANZ and </w:t>
      </w:r>
      <w:r w:rsidR="00F60007">
        <w:t>AS</w:t>
      </w:r>
      <w:r w:rsidR="00871BD6">
        <w:t xml:space="preserve">IG </w:t>
      </w:r>
      <w:r w:rsidRPr="004C3845">
        <w:t>data report all medication use by patients on their registries.</w:t>
      </w:r>
      <w:r w:rsidR="003D172D">
        <w:t xml:space="preserve"> </w:t>
      </w:r>
      <w:r w:rsidRPr="004C3845">
        <w:t xml:space="preserve">It appears that use of combination therapy increases with severity of disease and ERA + </w:t>
      </w:r>
      <w:r w:rsidR="0084301E">
        <w:t>PDE-5</w:t>
      </w:r>
      <w:r w:rsidRPr="004C3845">
        <w:t xml:space="preserve"> inhibitors are the most co</w:t>
      </w:r>
      <w:r w:rsidR="003D172D">
        <w:t>mmonly prescribed dual therapy.</w:t>
      </w:r>
      <w:r w:rsidRPr="004C3845">
        <w:t xml:space="preserve"> Triple therapy largely consists of </w:t>
      </w:r>
      <w:r w:rsidR="00F60007">
        <w:t>the addition of</w:t>
      </w:r>
      <w:r w:rsidRPr="004C3845">
        <w:t xml:space="preserve"> a </w:t>
      </w:r>
      <w:r w:rsidR="00EB72BF" w:rsidRPr="00EB72BF">
        <w:t>PGI</w:t>
      </w:r>
      <w:r w:rsidR="00EB72BF" w:rsidRPr="00EB72BF">
        <w:rPr>
          <w:vertAlign w:val="subscript"/>
        </w:rPr>
        <w:t>2</w:t>
      </w:r>
      <w:r w:rsidRPr="004C3845">
        <w:t>.</w:t>
      </w:r>
      <w:r w:rsidR="003D172D">
        <w:t xml:space="preserve"> </w:t>
      </w:r>
      <w:r w:rsidRPr="004C3845">
        <w:t>The PHSANZ and ASCS cohorts report similar numbers of monotherapy, dual therapy and triple</w:t>
      </w:r>
      <w:r>
        <w:t xml:space="preserve"> </w:t>
      </w:r>
      <w:r w:rsidRPr="004C3845">
        <w:t>therapy</w:t>
      </w:r>
      <w:r w:rsidR="00D465C5">
        <w:t xml:space="preserve"> used</w:t>
      </w:r>
      <w:r w:rsidR="003D172D">
        <w:t xml:space="preserve">. </w:t>
      </w:r>
      <w:r w:rsidRPr="004C3845">
        <w:t>Approximately 50% of PHSANZ patients were on monotherapy, 40% were on dual therapy and 10% were on triple therapy</w:t>
      </w:r>
      <w:r>
        <w:t xml:space="preserve"> (</w:t>
      </w:r>
      <w:r w:rsidRPr="003351F5">
        <w:t xml:space="preserve">Appendix </w:t>
      </w:r>
      <w:r w:rsidR="003351F5" w:rsidRPr="003351F5">
        <w:t>2</w:t>
      </w:r>
      <w:r w:rsidRPr="003351F5">
        <w:t>B</w:t>
      </w:r>
      <w:r>
        <w:t>, Figures 3-5, p.9)</w:t>
      </w:r>
      <w:r w:rsidR="003D172D">
        <w:t xml:space="preserve">. </w:t>
      </w:r>
      <w:r w:rsidRPr="004C3845">
        <w:t xml:space="preserve">These numbers </w:t>
      </w:r>
      <w:proofErr w:type="gramStart"/>
      <w:r w:rsidRPr="004C3845">
        <w:t>were closely replicated</w:t>
      </w:r>
      <w:proofErr w:type="gramEnd"/>
      <w:r w:rsidRPr="004C3845">
        <w:t xml:space="preserve"> amongst the ASCS cohort, with 53% of patients on monotherapy, 44.3% on dual therapy and 6.3% on triple therapy</w:t>
      </w:r>
      <w:r>
        <w:t xml:space="preserve"> (</w:t>
      </w:r>
      <w:r w:rsidRPr="003351F5">
        <w:t xml:space="preserve">Appendix </w:t>
      </w:r>
      <w:r w:rsidR="003351F5" w:rsidRPr="003351F5">
        <w:t>2</w:t>
      </w:r>
      <w:r w:rsidRPr="003351F5">
        <w:t>C,</w:t>
      </w:r>
      <w:r>
        <w:t xml:space="preserve"> Table 4)</w:t>
      </w:r>
      <w:r w:rsidRPr="004C3845">
        <w:t>.</w:t>
      </w:r>
      <w:r w:rsidR="003D172D">
        <w:t xml:space="preserve"> </w:t>
      </w:r>
      <w:r w:rsidRPr="004C3845">
        <w:t>Combining PHSANZ and ASCS cohorts (n=1,175 patients), the utilisation of monotherapy, dual therapy and triple therapy follows the same break down with approximately 50%, 40% and 10% of patients in each</w:t>
      </w:r>
      <w:r w:rsidR="00366836">
        <w:t xml:space="preserve"> treatment group respectively.</w:t>
      </w:r>
    </w:p>
    <w:p w:rsidR="00320862" w:rsidRDefault="00701AAB" w:rsidP="00C5616C">
      <w:pPr>
        <w:pStyle w:val="BodyTextnospacebefore"/>
      </w:pPr>
      <w:r w:rsidRPr="004C3845">
        <w:t>The PHSANZ and ASCS patient numbers also include medicine</w:t>
      </w:r>
      <w:r w:rsidR="00DB2B65">
        <w:t xml:space="preserve"> use</w:t>
      </w:r>
      <w:r w:rsidRPr="004C3845">
        <w:t xml:space="preserve"> </w:t>
      </w:r>
      <w:r w:rsidR="00DB2B65">
        <w:t>amongst patients with WHO</w:t>
      </w:r>
      <w:r w:rsidRPr="004C3845">
        <w:t xml:space="preserve"> FC I/II</w:t>
      </w:r>
      <w:r w:rsidR="00DB2B65">
        <w:t xml:space="preserve"> PAH</w:t>
      </w:r>
      <w:r w:rsidR="00D17BB8">
        <w:t xml:space="preserve"> for whom therapy is not PBS-subsidised</w:t>
      </w:r>
      <w:r w:rsidRPr="004C3845">
        <w:t>.</w:t>
      </w:r>
      <w:r w:rsidR="003D172D">
        <w:t xml:space="preserve"> </w:t>
      </w:r>
      <w:r w:rsidR="00DB2B65">
        <w:t xml:space="preserve">Amongst the ASCS WHO FC I/II patients at time of </w:t>
      </w:r>
      <w:r w:rsidR="00785DD9">
        <w:t>last assessment</w:t>
      </w:r>
      <w:r w:rsidR="00785DD9" w:rsidRPr="00EC01B1">
        <w:t xml:space="preserve"> </w:t>
      </w:r>
      <w:r w:rsidR="00785DD9">
        <w:t>(</w:t>
      </w:r>
      <w:r w:rsidR="00785DD9" w:rsidRPr="00EC01B1">
        <w:t>index visit</w:t>
      </w:r>
      <w:r w:rsidR="00785DD9">
        <w:t xml:space="preserve">) </w:t>
      </w:r>
      <w:r w:rsidR="00A64B11">
        <w:t>(n=25)</w:t>
      </w:r>
      <w:r w:rsidR="00DB2B65">
        <w:t>, 64% were using monotherapy</w:t>
      </w:r>
      <w:r w:rsidR="00A60C8A">
        <w:t>, 32% were on dual therapy and 4% were on triple therapy</w:t>
      </w:r>
      <w:r w:rsidR="00DB2B65">
        <w:t xml:space="preserve"> (</w:t>
      </w:r>
      <w:r w:rsidR="00DB2B65" w:rsidRPr="003351F5">
        <w:t xml:space="preserve">Appendix </w:t>
      </w:r>
      <w:r w:rsidR="003351F5" w:rsidRPr="003351F5">
        <w:t>2</w:t>
      </w:r>
      <w:r w:rsidR="00DB2B65" w:rsidRPr="003351F5">
        <w:t>C</w:t>
      </w:r>
      <w:r w:rsidR="00DB2B65">
        <w:t xml:space="preserve">, </w:t>
      </w:r>
      <w:r w:rsidR="00DB2B65" w:rsidRPr="00B9756B">
        <w:rPr>
          <w:i/>
        </w:rPr>
        <w:t>Appendi</w:t>
      </w:r>
      <w:r w:rsidR="00DB2B65" w:rsidRPr="00C26B51">
        <w:t>x II</w:t>
      </w:r>
      <w:r w:rsidR="00B9756B" w:rsidRPr="00C26B51">
        <w:t>-IV</w:t>
      </w:r>
      <w:r w:rsidR="00DB2B65" w:rsidRPr="00C26B51">
        <w:t>)</w:t>
      </w:r>
      <w:r w:rsidR="00143E8C" w:rsidRPr="00C26B51">
        <w:t>.</w:t>
      </w:r>
      <w:r w:rsidR="00193F39">
        <w:t xml:space="preserve"> It is important to note </w:t>
      </w:r>
      <w:r w:rsidR="00041FD4">
        <w:t>however,</w:t>
      </w:r>
      <w:r w:rsidR="00193F39">
        <w:t xml:space="preserve"> that only one patient </w:t>
      </w:r>
      <w:r w:rsidR="00A64B11">
        <w:t xml:space="preserve">was </w:t>
      </w:r>
      <w:r w:rsidR="00320862">
        <w:t xml:space="preserve">confirmed to be </w:t>
      </w:r>
      <w:r w:rsidR="00A64B11">
        <w:t>in</w:t>
      </w:r>
      <w:r w:rsidR="00193F39">
        <w:t xml:space="preserve"> FC </w:t>
      </w:r>
      <w:proofErr w:type="gramStart"/>
      <w:r w:rsidR="00193F39">
        <w:t>I/II</w:t>
      </w:r>
      <w:proofErr w:type="gramEnd"/>
      <w:r w:rsidR="00193F39">
        <w:t xml:space="preserve"> at the time of first visit where PAH </w:t>
      </w:r>
      <w:r w:rsidR="003423F9">
        <w:t xml:space="preserve">medicines </w:t>
      </w:r>
      <w:r w:rsidR="00193F39">
        <w:t>were given</w:t>
      </w:r>
      <w:r w:rsidR="00320862">
        <w:t>. T</w:t>
      </w:r>
      <w:r w:rsidR="00A64B11">
        <w:t>his information was missing for 12 patients included in the final analysis</w:t>
      </w:r>
      <w:r w:rsidR="00193F39">
        <w:t xml:space="preserve"> Patients initially diagnosed as FC III represented the majority of </w:t>
      </w:r>
      <w:r w:rsidR="00193F39">
        <w:lastRenderedPageBreak/>
        <w:t>the cohort (77%)</w:t>
      </w:r>
      <w:r w:rsidR="00320862">
        <w:t xml:space="preserve"> (</w:t>
      </w:r>
      <w:r w:rsidR="00320862" w:rsidRPr="003351F5">
        <w:t xml:space="preserve">Appendix </w:t>
      </w:r>
      <w:r w:rsidR="003351F5" w:rsidRPr="003351F5">
        <w:t>2</w:t>
      </w:r>
      <w:r w:rsidR="00320862" w:rsidRPr="003351F5">
        <w:t>C,</w:t>
      </w:r>
      <w:r w:rsidR="00320862">
        <w:t xml:space="preserve"> </w:t>
      </w:r>
      <w:r w:rsidR="00320862" w:rsidRPr="00EB6676">
        <w:rPr>
          <w:i/>
        </w:rPr>
        <w:t>Appendix I</w:t>
      </w:r>
      <w:r w:rsidR="00320862">
        <w:t>)</w:t>
      </w:r>
      <w:r w:rsidR="00193F39">
        <w:t xml:space="preserve">. Data reporting on therapy initiated on first visit </w:t>
      </w:r>
      <w:r w:rsidR="00A64B11">
        <w:t>based on initial FC categorisation in not available.</w:t>
      </w:r>
      <w:r w:rsidR="00320862">
        <w:t xml:space="preserve"> PHSANZ reported </w:t>
      </w:r>
      <w:proofErr w:type="gramStart"/>
      <w:r w:rsidR="00320862">
        <w:t>a total of 222</w:t>
      </w:r>
      <w:proofErr w:type="gramEnd"/>
      <w:r w:rsidR="00320862">
        <w:t xml:space="preserve"> patients (21%) initially diagnosed in FC I/II, but medicine utilisation was again reported at time of </w:t>
      </w:r>
      <w:r w:rsidR="00A03EA3">
        <w:t>last assessment</w:t>
      </w:r>
      <w:r w:rsidR="00785DD9">
        <w:t xml:space="preserve"> </w:t>
      </w:r>
      <w:r w:rsidR="00320862">
        <w:t>based on form of PAH (iPAH/hPAH/dPAH</w:t>
      </w:r>
      <w:r w:rsidR="00AC0238">
        <w:t>, PAH</w:t>
      </w:r>
      <w:r w:rsidR="00E6675E">
        <w:t>-CTD</w:t>
      </w:r>
      <w:r w:rsidR="00AC0238">
        <w:t xml:space="preserve"> a</w:t>
      </w:r>
      <w:r w:rsidR="00E6675E">
        <w:t>nd</w:t>
      </w:r>
      <w:r w:rsidR="00AC0238">
        <w:t xml:space="preserve"> PAH</w:t>
      </w:r>
      <w:r w:rsidR="00E6675E">
        <w:t>-CHD</w:t>
      </w:r>
      <w:r w:rsidR="00AC0238">
        <w:t>)</w:t>
      </w:r>
      <w:r w:rsidR="00785DD9">
        <w:t xml:space="preserve">. </w:t>
      </w:r>
      <w:r w:rsidR="00AC0238">
        <w:t>Unlike ASCS data</w:t>
      </w:r>
      <w:r w:rsidR="00785DD9">
        <w:t>,</w:t>
      </w:r>
      <w:r w:rsidR="00AC0238">
        <w:t xml:space="preserve"> the </w:t>
      </w:r>
      <w:r w:rsidR="00785DD9">
        <w:t>number of patients on monotherapy and combination therapy per WHO FC class is</w:t>
      </w:r>
      <w:r w:rsidR="00366836">
        <w:t xml:space="preserve"> not available.</w:t>
      </w:r>
    </w:p>
    <w:sectPr w:rsidR="00320862" w:rsidSect="0084301E">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91FFF9" w16cid:durableId="1E84A34A"/>
  <w16cid:commentId w16cid:paraId="52AFEDFC" w16cid:durableId="1E888872"/>
  <w16cid:commentId w16cid:paraId="52ABCF3A" w16cid:durableId="1E848143"/>
  <w16cid:commentId w16cid:paraId="0813A5F3" w16cid:durableId="1E84A3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17F" w:rsidRDefault="000E117F" w:rsidP="00131A64">
      <w:pPr>
        <w:spacing w:after="0" w:line="240" w:lineRule="auto"/>
      </w:pPr>
      <w:r>
        <w:separator/>
      </w:r>
    </w:p>
  </w:endnote>
  <w:endnote w:type="continuationSeparator" w:id="0">
    <w:p w:rsidR="000E117F" w:rsidRDefault="000E117F" w:rsidP="0013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F" w:rsidRDefault="000E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51476"/>
      <w:docPartObj>
        <w:docPartGallery w:val="Page Numbers (Bottom of Page)"/>
        <w:docPartUnique/>
      </w:docPartObj>
    </w:sdtPr>
    <w:sdtEndPr>
      <w:rPr>
        <w:noProof/>
      </w:rPr>
    </w:sdtEndPr>
    <w:sdtContent>
      <w:p w:rsidR="006F47C5" w:rsidRPr="00A013C4" w:rsidRDefault="006F47C5" w:rsidP="00D534C4">
        <w:pPr>
          <w:pStyle w:val="Footer"/>
          <w:jc w:val="center"/>
          <w:rPr>
            <w:b/>
            <w:sz w:val="20"/>
          </w:rPr>
        </w:pPr>
      </w:p>
      <w:p w:rsidR="006F47C5" w:rsidRDefault="006F47C5">
        <w:pPr>
          <w:pStyle w:val="Footer"/>
          <w:jc w:val="right"/>
        </w:pPr>
        <w:r>
          <w:fldChar w:fldCharType="begin"/>
        </w:r>
        <w:r>
          <w:instrText xml:space="preserve"> PAGE   \* MERGEFORMAT </w:instrText>
        </w:r>
        <w:r>
          <w:fldChar w:fldCharType="separate"/>
        </w:r>
        <w:r w:rsidR="00F53DF5">
          <w:rPr>
            <w:noProof/>
          </w:rPr>
          <w:t>25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F" w:rsidRDefault="000E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17F" w:rsidRDefault="000E117F" w:rsidP="00131A64">
      <w:pPr>
        <w:spacing w:after="0" w:line="240" w:lineRule="auto"/>
      </w:pPr>
      <w:r>
        <w:separator/>
      </w:r>
    </w:p>
  </w:footnote>
  <w:footnote w:type="continuationSeparator" w:id="0">
    <w:p w:rsidR="000E117F" w:rsidRDefault="000E117F" w:rsidP="0013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F" w:rsidRDefault="000E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C5" w:rsidRPr="00E6675E" w:rsidRDefault="006F47C5" w:rsidP="0084301E">
    <w:pPr>
      <w:pStyle w:val="Header"/>
      <w:pBdr>
        <w:bottom w:val="single" w:sz="4" w:space="1" w:color="auto"/>
      </w:pBdr>
      <w:rPr>
        <w:rFonts w:ascii="Calibri" w:hAnsi="Calibri" w:cs="Calibri"/>
        <w:sz w:val="20"/>
        <w:szCs w:val="20"/>
      </w:rPr>
    </w:pPr>
    <w:r w:rsidRPr="00E6675E">
      <w:rPr>
        <w:rFonts w:ascii="Calibri" w:hAnsi="Calibri" w:cs="Calibri"/>
        <w:sz w:val="20"/>
        <w:szCs w:val="20"/>
      </w:rPr>
      <w:t>Post-market review of PAH medicines</w:t>
    </w:r>
  </w:p>
  <w:p w:rsidR="006F47C5" w:rsidRPr="0084301E" w:rsidRDefault="006F47C5" w:rsidP="00843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F" w:rsidRDefault="000E11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C5" w:rsidRPr="00F26F91" w:rsidRDefault="006F47C5" w:rsidP="00BD39A7">
    <w:pPr>
      <w:pStyle w:val="Header"/>
      <w:pBdr>
        <w:bottom w:val="single" w:sz="4" w:space="1" w:color="auto"/>
      </w:pBdr>
      <w:rPr>
        <w:rFonts w:ascii="Calibri" w:hAnsi="Calibri" w:cs="Calibri"/>
        <w:sz w:val="20"/>
        <w:szCs w:val="20"/>
      </w:rPr>
    </w:pPr>
    <w:r w:rsidRPr="00F26F91">
      <w:rPr>
        <w:rFonts w:ascii="Calibri" w:hAnsi="Calibri" w:cs="Calibri"/>
        <w:sz w:val="20"/>
        <w:szCs w:val="20"/>
      </w:rPr>
      <w:t>Post-market review of PAH medicines</w:t>
    </w:r>
  </w:p>
  <w:p w:rsidR="006F47C5" w:rsidRDefault="006F4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482"/>
    <w:multiLevelType w:val="hybridMultilevel"/>
    <w:tmpl w:val="A20A0790"/>
    <w:lvl w:ilvl="0" w:tplc="678AB030">
      <w:start w:val="1"/>
      <w:numFmt w:val="bullet"/>
      <w:pStyle w:val="08Bulletsseriesofsentence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681805"/>
    <w:multiLevelType w:val="hybridMultilevel"/>
    <w:tmpl w:val="3C70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465FC"/>
    <w:multiLevelType w:val="hybridMultilevel"/>
    <w:tmpl w:val="8A7A0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01615"/>
    <w:multiLevelType w:val="hybridMultilevel"/>
    <w:tmpl w:val="C3A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E16C0F"/>
    <w:multiLevelType w:val="hybridMultilevel"/>
    <w:tmpl w:val="B3C03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178B59EA"/>
    <w:multiLevelType w:val="hybridMultilevel"/>
    <w:tmpl w:val="7BA6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E72DC"/>
    <w:multiLevelType w:val="hybridMultilevel"/>
    <w:tmpl w:val="8422B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A6036"/>
    <w:multiLevelType w:val="hybridMultilevel"/>
    <w:tmpl w:val="29AE6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6D6158"/>
    <w:multiLevelType w:val="hybridMultilevel"/>
    <w:tmpl w:val="21925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96674"/>
    <w:multiLevelType w:val="hybridMultilevel"/>
    <w:tmpl w:val="092C5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9440AD"/>
    <w:multiLevelType w:val="multilevel"/>
    <w:tmpl w:val="EC4E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03D11"/>
    <w:multiLevelType w:val="hybridMultilevel"/>
    <w:tmpl w:val="D1F8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D61014"/>
    <w:multiLevelType w:val="hybridMultilevel"/>
    <w:tmpl w:val="CE9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30C57"/>
    <w:multiLevelType w:val="hybridMultilevel"/>
    <w:tmpl w:val="4CACF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901E00"/>
    <w:multiLevelType w:val="hybridMultilevel"/>
    <w:tmpl w:val="5C26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8"/>
  </w:num>
  <w:num w:numId="4">
    <w:abstractNumId w:val="1"/>
  </w:num>
  <w:num w:numId="5">
    <w:abstractNumId w:val="13"/>
  </w:num>
  <w:num w:numId="6">
    <w:abstractNumId w:val="4"/>
  </w:num>
  <w:num w:numId="7">
    <w:abstractNumId w:val="2"/>
  </w:num>
  <w:num w:numId="8">
    <w:abstractNumId w:val="7"/>
  </w:num>
  <w:num w:numId="9">
    <w:abstractNumId w:val="10"/>
  </w:num>
  <w:num w:numId="10">
    <w:abstractNumId w:val="5"/>
  </w:num>
  <w:num w:numId="11">
    <w:abstractNumId w:val="11"/>
  </w:num>
  <w:num w:numId="12">
    <w:abstractNumId w:val="16"/>
  </w:num>
  <w:num w:numId="13">
    <w:abstractNumId w:val="9"/>
  </w:num>
  <w:num w:numId="14">
    <w:abstractNumId w:val="14"/>
  </w:num>
  <w:num w:numId="15">
    <w:abstractNumId w:val="8"/>
  </w:num>
  <w:num w:numId="16">
    <w:abstractNumId w:val="17"/>
  </w:num>
  <w:num w:numId="17">
    <w:abstractNumId w:val="12"/>
  </w:num>
  <w:num w:numId="18">
    <w:abstractNumId w:val="3"/>
  </w:num>
  <w:num w:numId="19">
    <w:abstractNumId w:val="0"/>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d559px9awvxvyeprsvpw50k9p0x002z2wf0&quot;&gt;Asthma EndNote Library&lt;record-ids&gt;&lt;item&gt;764&lt;/item&gt;&lt;item&gt;766&lt;/item&gt;&lt;item&gt;768&lt;/item&gt;&lt;item&gt;769&lt;/item&gt;&lt;item&gt;770&lt;/item&gt;&lt;item&gt;771&lt;/item&gt;&lt;item&gt;772&lt;/item&gt;&lt;item&gt;777&lt;/item&gt;&lt;item&gt;782&lt;/item&gt;&lt;item&gt;783&lt;/item&gt;&lt;item&gt;784&lt;/item&gt;&lt;item&gt;786&lt;/item&gt;&lt;item&gt;789&lt;/item&gt;&lt;item&gt;796&lt;/item&gt;&lt;item&gt;800&lt;/item&gt;&lt;item&gt;801&lt;/item&gt;&lt;item&gt;802&lt;/item&gt;&lt;item&gt;805&lt;/item&gt;&lt;item&gt;806&lt;/item&gt;&lt;item&gt;807&lt;/item&gt;&lt;item&gt;810&lt;/item&gt;&lt;item&gt;814&lt;/item&gt;&lt;item&gt;815&lt;/item&gt;&lt;item&gt;816&lt;/item&gt;&lt;item&gt;817&lt;/item&gt;&lt;item&gt;822&lt;/item&gt;&lt;item&gt;824&lt;/item&gt;&lt;item&gt;825&lt;/item&gt;&lt;item&gt;826&lt;/item&gt;&lt;item&gt;827&lt;/item&gt;&lt;item&gt;829&lt;/item&gt;&lt;item&gt;832&lt;/item&gt;&lt;item&gt;835&lt;/item&gt;&lt;item&gt;836&lt;/item&gt;&lt;item&gt;838&lt;/item&gt;&lt;item&gt;845&lt;/item&gt;&lt;item&gt;848&lt;/item&gt;&lt;item&gt;850&lt;/item&gt;&lt;item&gt;852&lt;/item&gt;&lt;item&gt;855&lt;/item&gt;&lt;item&gt;857&lt;/item&gt;&lt;item&gt;860&lt;/item&gt;&lt;item&gt;861&lt;/item&gt;&lt;item&gt;869&lt;/item&gt;&lt;item&gt;870&lt;/item&gt;&lt;item&gt;878&lt;/item&gt;&lt;item&gt;879&lt;/item&gt;&lt;item&gt;880&lt;/item&gt;&lt;item&gt;886&lt;/item&gt;&lt;item&gt;904&lt;/item&gt;&lt;item&gt;905&lt;/item&gt;&lt;item&gt;918&lt;/item&gt;&lt;item&gt;921&lt;/item&gt;&lt;item&gt;926&lt;/item&gt;&lt;item&gt;929&lt;/item&gt;&lt;item&gt;934&lt;/item&gt;&lt;item&gt;936&lt;/item&gt;&lt;item&gt;941&lt;/item&gt;&lt;item&gt;947&lt;/item&gt;&lt;item&gt;955&lt;/item&gt;&lt;item&gt;961&lt;/item&gt;&lt;item&gt;962&lt;/item&gt;&lt;item&gt;964&lt;/item&gt;&lt;item&gt;969&lt;/item&gt;&lt;item&gt;977&lt;/item&gt;&lt;item&gt;988&lt;/item&gt;&lt;item&gt;989&lt;/item&gt;&lt;item&gt;990&lt;/item&gt;&lt;item&gt;996&lt;/item&gt;&lt;item&gt;997&lt;/item&gt;&lt;item&gt;998&lt;/item&gt;&lt;item&gt;999&lt;/item&gt;&lt;item&gt;1001&lt;/item&gt;&lt;item&gt;1003&lt;/item&gt;&lt;item&gt;1004&lt;/item&gt;&lt;item&gt;1007&lt;/item&gt;&lt;item&gt;1008&lt;/item&gt;&lt;item&gt;1009&lt;/item&gt;&lt;item&gt;1010&lt;/item&gt;&lt;item&gt;1012&lt;/item&gt;&lt;item&gt;1013&lt;/item&gt;&lt;item&gt;1015&lt;/item&gt;&lt;item&gt;1016&lt;/item&gt;&lt;item&gt;1017&lt;/item&gt;&lt;item&gt;1019&lt;/item&gt;&lt;item&gt;1020&lt;/item&gt;&lt;item&gt;1021&lt;/item&gt;&lt;item&gt;1024&lt;/item&gt;&lt;item&gt;1025&lt;/item&gt;&lt;item&gt;1026&lt;/item&gt;&lt;item&gt;1027&lt;/item&gt;&lt;item&gt;1028&lt;/item&gt;&lt;item&gt;1029&lt;/item&gt;&lt;item&gt;1030&lt;/item&gt;&lt;item&gt;1031&lt;/item&gt;&lt;item&gt;1032&lt;/item&gt;&lt;item&gt;1036&lt;/item&gt;&lt;item&gt;1037&lt;/item&gt;&lt;item&gt;1039&lt;/item&gt;&lt;item&gt;1040&lt;/item&gt;&lt;item&gt;1042&lt;/item&gt;&lt;item&gt;1046&lt;/item&gt;&lt;item&gt;1047&lt;/item&gt;&lt;item&gt;1048&lt;/item&gt;&lt;item&gt;1049&lt;/item&gt;&lt;item&gt;1051&lt;/item&gt;&lt;item&gt;1052&lt;/item&gt;&lt;item&gt;1053&lt;/item&gt;&lt;item&gt;1055&lt;/item&gt;&lt;item&gt;1060&lt;/item&gt;&lt;item&gt;1068&lt;/item&gt;&lt;item&gt;1069&lt;/item&gt;&lt;item&gt;1070&lt;/item&gt;&lt;item&gt;1071&lt;/item&gt;&lt;item&gt;1072&lt;/item&gt;&lt;item&gt;1073&lt;/item&gt;&lt;item&gt;1074&lt;/item&gt;&lt;item&gt;1075&lt;/item&gt;&lt;item&gt;1076&lt;/item&gt;&lt;item&gt;1077&lt;/item&gt;&lt;item&gt;1078&lt;/item&gt;&lt;item&gt;1079&lt;/item&gt;&lt;item&gt;1080&lt;/item&gt;&lt;item&gt;1084&lt;/item&gt;&lt;item&gt;1085&lt;/item&gt;&lt;item&gt;1086&lt;/item&gt;&lt;item&gt;1087&lt;/item&gt;&lt;item&gt;1088&lt;/item&gt;&lt;item&gt;1091&lt;/item&gt;&lt;item&gt;1095&lt;/item&gt;&lt;item&gt;1106&lt;/item&gt;&lt;item&gt;1110&lt;/item&gt;&lt;item&gt;1121&lt;/item&gt;&lt;item&gt;1124&lt;/item&gt;&lt;item&gt;1125&lt;/item&gt;&lt;item&gt;1126&lt;/item&gt;&lt;item&gt;1127&lt;/item&gt;&lt;item&gt;1128&lt;/item&gt;&lt;item&gt;1129&lt;/item&gt;&lt;item&gt;1130&lt;/item&gt;&lt;item&gt;1132&lt;/item&gt;&lt;item&gt;1133&lt;/item&gt;&lt;item&gt;1134&lt;/item&gt;&lt;item&gt;1135&lt;/item&gt;&lt;item&gt;1136&lt;/item&gt;&lt;item&gt;1159&lt;/item&gt;&lt;item&gt;1166&lt;/item&gt;&lt;/record-ids&gt;&lt;/item&gt;&lt;/Libraries&gt;"/>
  </w:docVars>
  <w:rsids>
    <w:rsidRoot w:val="008D0D0C"/>
    <w:rsid w:val="00000E81"/>
    <w:rsid w:val="0000568D"/>
    <w:rsid w:val="000064E0"/>
    <w:rsid w:val="00010FA1"/>
    <w:rsid w:val="000121B6"/>
    <w:rsid w:val="000122DB"/>
    <w:rsid w:val="000134CA"/>
    <w:rsid w:val="00015414"/>
    <w:rsid w:val="0002154C"/>
    <w:rsid w:val="0002201F"/>
    <w:rsid w:val="000223C1"/>
    <w:rsid w:val="000223D2"/>
    <w:rsid w:val="00022ED8"/>
    <w:rsid w:val="000230A6"/>
    <w:rsid w:val="000235A6"/>
    <w:rsid w:val="000265EC"/>
    <w:rsid w:val="000273CD"/>
    <w:rsid w:val="000276EC"/>
    <w:rsid w:val="00027CA6"/>
    <w:rsid w:val="00027E8D"/>
    <w:rsid w:val="00030D5A"/>
    <w:rsid w:val="00031935"/>
    <w:rsid w:val="00031F5D"/>
    <w:rsid w:val="000328B5"/>
    <w:rsid w:val="00033B67"/>
    <w:rsid w:val="000341B3"/>
    <w:rsid w:val="00034B71"/>
    <w:rsid w:val="000358F7"/>
    <w:rsid w:val="00035DEC"/>
    <w:rsid w:val="00036762"/>
    <w:rsid w:val="00036AD0"/>
    <w:rsid w:val="00041577"/>
    <w:rsid w:val="00041D86"/>
    <w:rsid w:val="00041E94"/>
    <w:rsid w:val="00041FD4"/>
    <w:rsid w:val="00042826"/>
    <w:rsid w:val="0004288C"/>
    <w:rsid w:val="00045E05"/>
    <w:rsid w:val="00046E01"/>
    <w:rsid w:val="000506CB"/>
    <w:rsid w:val="0005072C"/>
    <w:rsid w:val="000523FD"/>
    <w:rsid w:val="00054219"/>
    <w:rsid w:val="00055439"/>
    <w:rsid w:val="00057CC1"/>
    <w:rsid w:val="000603FB"/>
    <w:rsid w:val="0006497A"/>
    <w:rsid w:val="0006501B"/>
    <w:rsid w:val="00065764"/>
    <w:rsid w:val="00065C00"/>
    <w:rsid w:val="000671CC"/>
    <w:rsid w:val="00067C30"/>
    <w:rsid w:val="00070C40"/>
    <w:rsid w:val="0007148C"/>
    <w:rsid w:val="00071984"/>
    <w:rsid w:val="00072409"/>
    <w:rsid w:val="00073BF6"/>
    <w:rsid w:val="000755B3"/>
    <w:rsid w:val="0007635D"/>
    <w:rsid w:val="00080BEA"/>
    <w:rsid w:val="00081DCB"/>
    <w:rsid w:val="00082A22"/>
    <w:rsid w:val="00083616"/>
    <w:rsid w:val="00087D22"/>
    <w:rsid w:val="0009060B"/>
    <w:rsid w:val="00091FDD"/>
    <w:rsid w:val="00093386"/>
    <w:rsid w:val="000935DE"/>
    <w:rsid w:val="000944DB"/>
    <w:rsid w:val="00094B05"/>
    <w:rsid w:val="00094B19"/>
    <w:rsid w:val="00095EFB"/>
    <w:rsid w:val="0009621D"/>
    <w:rsid w:val="000963F0"/>
    <w:rsid w:val="000A1734"/>
    <w:rsid w:val="000A2C1E"/>
    <w:rsid w:val="000A2E84"/>
    <w:rsid w:val="000A4B4F"/>
    <w:rsid w:val="000A4BF1"/>
    <w:rsid w:val="000A4FA9"/>
    <w:rsid w:val="000A5656"/>
    <w:rsid w:val="000A5AD0"/>
    <w:rsid w:val="000A7005"/>
    <w:rsid w:val="000A74CF"/>
    <w:rsid w:val="000B08B7"/>
    <w:rsid w:val="000B1445"/>
    <w:rsid w:val="000B1785"/>
    <w:rsid w:val="000B1D48"/>
    <w:rsid w:val="000B2B6F"/>
    <w:rsid w:val="000B320D"/>
    <w:rsid w:val="000B3355"/>
    <w:rsid w:val="000B397E"/>
    <w:rsid w:val="000B4D83"/>
    <w:rsid w:val="000B59A9"/>
    <w:rsid w:val="000B612B"/>
    <w:rsid w:val="000C0B54"/>
    <w:rsid w:val="000C2807"/>
    <w:rsid w:val="000C3409"/>
    <w:rsid w:val="000C5294"/>
    <w:rsid w:val="000C7B1E"/>
    <w:rsid w:val="000D0FF3"/>
    <w:rsid w:val="000D21FC"/>
    <w:rsid w:val="000D568E"/>
    <w:rsid w:val="000D6085"/>
    <w:rsid w:val="000E117F"/>
    <w:rsid w:val="000E2AB4"/>
    <w:rsid w:val="000E524B"/>
    <w:rsid w:val="000E5495"/>
    <w:rsid w:val="000F1D60"/>
    <w:rsid w:val="000F2556"/>
    <w:rsid w:val="000F3BC0"/>
    <w:rsid w:val="000F72BC"/>
    <w:rsid w:val="001021C8"/>
    <w:rsid w:val="00105D06"/>
    <w:rsid w:val="001065B7"/>
    <w:rsid w:val="001070F5"/>
    <w:rsid w:val="001101C2"/>
    <w:rsid w:val="00110BAF"/>
    <w:rsid w:val="00110C23"/>
    <w:rsid w:val="00113BBC"/>
    <w:rsid w:val="00115A41"/>
    <w:rsid w:val="00117B58"/>
    <w:rsid w:val="00121BD5"/>
    <w:rsid w:val="00121F95"/>
    <w:rsid w:val="0012304D"/>
    <w:rsid w:val="001234CB"/>
    <w:rsid w:val="001259DE"/>
    <w:rsid w:val="001268FF"/>
    <w:rsid w:val="001278F8"/>
    <w:rsid w:val="00131A64"/>
    <w:rsid w:val="00131C7E"/>
    <w:rsid w:val="00133745"/>
    <w:rsid w:val="00134E08"/>
    <w:rsid w:val="001351AC"/>
    <w:rsid w:val="001379D4"/>
    <w:rsid w:val="00137D8F"/>
    <w:rsid w:val="0014080B"/>
    <w:rsid w:val="00140A2B"/>
    <w:rsid w:val="0014316A"/>
    <w:rsid w:val="00143204"/>
    <w:rsid w:val="00143E8C"/>
    <w:rsid w:val="001443F2"/>
    <w:rsid w:val="00144A0B"/>
    <w:rsid w:val="00145F88"/>
    <w:rsid w:val="00146D94"/>
    <w:rsid w:val="00152166"/>
    <w:rsid w:val="00152289"/>
    <w:rsid w:val="00152D47"/>
    <w:rsid w:val="00153744"/>
    <w:rsid w:val="00153E2A"/>
    <w:rsid w:val="001554FF"/>
    <w:rsid w:val="00157DCB"/>
    <w:rsid w:val="00160643"/>
    <w:rsid w:val="00163F63"/>
    <w:rsid w:val="00164EF1"/>
    <w:rsid w:val="00165056"/>
    <w:rsid w:val="00165D31"/>
    <w:rsid w:val="00165EF0"/>
    <w:rsid w:val="0016740F"/>
    <w:rsid w:val="00170585"/>
    <w:rsid w:val="00171BDA"/>
    <w:rsid w:val="00171D4C"/>
    <w:rsid w:val="00172E4C"/>
    <w:rsid w:val="001735E0"/>
    <w:rsid w:val="00177619"/>
    <w:rsid w:val="001809AC"/>
    <w:rsid w:val="00182090"/>
    <w:rsid w:val="00183A07"/>
    <w:rsid w:val="00184491"/>
    <w:rsid w:val="0018489E"/>
    <w:rsid w:val="001869BF"/>
    <w:rsid w:val="0018725A"/>
    <w:rsid w:val="001875B5"/>
    <w:rsid w:val="00187AB4"/>
    <w:rsid w:val="001939EA"/>
    <w:rsid w:val="00193CE6"/>
    <w:rsid w:val="00193F39"/>
    <w:rsid w:val="00195C83"/>
    <w:rsid w:val="00196629"/>
    <w:rsid w:val="00197098"/>
    <w:rsid w:val="001A05CB"/>
    <w:rsid w:val="001A1AD7"/>
    <w:rsid w:val="001A1E58"/>
    <w:rsid w:val="001A2F37"/>
    <w:rsid w:val="001A35B9"/>
    <w:rsid w:val="001A384F"/>
    <w:rsid w:val="001A491F"/>
    <w:rsid w:val="001A4F17"/>
    <w:rsid w:val="001A63CD"/>
    <w:rsid w:val="001A7729"/>
    <w:rsid w:val="001B1577"/>
    <w:rsid w:val="001B2868"/>
    <w:rsid w:val="001B48DC"/>
    <w:rsid w:val="001C0980"/>
    <w:rsid w:val="001C1C3E"/>
    <w:rsid w:val="001C35C9"/>
    <w:rsid w:val="001C4051"/>
    <w:rsid w:val="001C4EE1"/>
    <w:rsid w:val="001C5070"/>
    <w:rsid w:val="001D0E78"/>
    <w:rsid w:val="001D255D"/>
    <w:rsid w:val="001D2DF0"/>
    <w:rsid w:val="001D320C"/>
    <w:rsid w:val="001D3573"/>
    <w:rsid w:val="001D687C"/>
    <w:rsid w:val="001E0162"/>
    <w:rsid w:val="001E04F1"/>
    <w:rsid w:val="001E19BF"/>
    <w:rsid w:val="001E3F4E"/>
    <w:rsid w:val="001E4A4C"/>
    <w:rsid w:val="001E5510"/>
    <w:rsid w:val="001E63E5"/>
    <w:rsid w:val="001F1CD5"/>
    <w:rsid w:val="001F27B0"/>
    <w:rsid w:val="001F326A"/>
    <w:rsid w:val="001F39F6"/>
    <w:rsid w:val="001F4BBA"/>
    <w:rsid w:val="001F750F"/>
    <w:rsid w:val="002001E6"/>
    <w:rsid w:val="00200248"/>
    <w:rsid w:val="002012C2"/>
    <w:rsid w:val="00203BFB"/>
    <w:rsid w:val="00204B9C"/>
    <w:rsid w:val="00204D93"/>
    <w:rsid w:val="00204EFE"/>
    <w:rsid w:val="00205C1C"/>
    <w:rsid w:val="00206EF1"/>
    <w:rsid w:val="0021091E"/>
    <w:rsid w:val="00211130"/>
    <w:rsid w:val="002128D6"/>
    <w:rsid w:val="00212FCE"/>
    <w:rsid w:val="00213139"/>
    <w:rsid w:val="00213F09"/>
    <w:rsid w:val="00216527"/>
    <w:rsid w:val="00220104"/>
    <w:rsid w:val="00223060"/>
    <w:rsid w:val="00224A73"/>
    <w:rsid w:val="002256C3"/>
    <w:rsid w:val="002258F1"/>
    <w:rsid w:val="00227620"/>
    <w:rsid w:val="00230B8A"/>
    <w:rsid w:val="002317FC"/>
    <w:rsid w:val="00231C65"/>
    <w:rsid w:val="00232251"/>
    <w:rsid w:val="00232282"/>
    <w:rsid w:val="002327D9"/>
    <w:rsid w:val="0023483F"/>
    <w:rsid w:val="00235E0A"/>
    <w:rsid w:val="00236763"/>
    <w:rsid w:val="00236A04"/>
    <w:rsid w:val="002415C6"/>
    <w:rsid w:val="00241B75"/>
    <w:rsid w:val="00242062"/>
    <w:rsid w:val="002428A6"/>
    <w:rsid w:val="00243AD5"/>
    <w:rsid w:val="00243F48"/>
    <w:rsid w:val="00243FA1"/>
    <w:rsid w:val="00243FB5"/>
    <w:rsid w:val="00243FBF"/>
    <w:rsid w:val="00246CDF"/>
    <w:rsid w:val="00247F11"/>
    <w:rsid w:val="002500A6"/>
    <w:rsid w:val="00251678"/>
    <w:rsid w:val="00253ABB"/>
    <w:rsid w:val="0025421E"/>
    <w:rsid w:val="00257D4E"/>
    <w:rsid w:val="00261A56"/>
    <w:rsid w:val="00261A7D"/>
    <w:rsid w:val="002629CB"/>
    <w:rsid w:val="00263FE1"/>
    <w:rsid w:val="0026530E"/>
    <w:rsid w:val="00266E02"/>
    <w:rsid w:val="00267C57"/>
    <w:rsid w:val="00270470"/>
    <w:rsid w:val="00270D86"/>
    <w:rsid w:val="002717D1"/>
    <w:rsid w:val="00271DE2"/>
    <w:rsid w:val="00272185"/>
    <w:rsid w:val="00275FBC"/>
    <w:rsid w:val="00277BAE"/>
    <w:rsid w:val="00283857"/>
    <w:rsid w:val="00284512"/>
    <w:rsid w:val="00285854"/>
    <w:rsid w:val="00285C95"/>
    <w:rsid w:val="002868EB"/>
    <w:rsid w:val="00287013"/>
    <w:rsid w:val="002873B8"/>
    <w:rsid w:val="00287BED"/>
    <w:rsid w:val="00291605"/>
    <w:rsid w:val="00291DFF"/>
    <w:rsid w:val="00293E81"/>
    <w:rsid w:val="00294174"/>
    <w:rsid w:val="002941E4"/>
    <w:rsid w:val="002971B9"/>
    <w:rsid w:val="00297B37"/>
    <w:rsid w:val="002A0772"/>
    <w:rsid w:val="002A07AF"/>
    <w:rsid w:val="002A0833"/>
    <w:rsid w:val="002A21E9"/>
    <w:rsid w:val="002A25CD"/>
    <w:rsid w:val="002A470A"/>
    <w:rsid w:val="002A49C0"/>
    <w:rsid w:val="002A6CCA"/>
    <w:rsid w:val="002A71CD"/>
    <w:rsid w:val="002B1CA8"/>
    <w:rsid w:val="002B299E"/>
    <w:rsid w:val="002B2C1A"/>
    <w:rsid w:val="002B33E2"/>
    <w:rsid w:val="002B453F"/>
    <w:rsid w:val="002B4E50"/>
    <w:rsid w:val="002B621A"/>
    <w:rsid w:val="002B649F"/>
    <w:rsid w:val="002B6569"/>
    <w:rsid w:val="002C082C"/>
    <w:rsid w:val="002C1299"/>
    <w:rsid w:val="002C1DBF"/>
    <w:rsid w:val="002C27E0"/>
    <w:rsid w:val="002C3109"/>
    <w:rsid w:val="002C4D7E"/>
    <w:rsid w:val="002C612F"/>
    <w:rsid w:val="002C7876"/>
    <w:rsid w:val="002C7ABB"/>
    <w:rsid w:val="002D2CBD"/>
    <w:rsid w:val="002D3EA5"/>
    <w:rsid w:val="002D48E6"/>
    <w:rsid w:val="002D4C49"/>
    <w:rsid w:val="002D5645"/>
    <w:rsid w:val="002D5CFE"/>
    <w:rsid w:val="002D7187"/>
    <w:rsid w:val="002E1D76"/>
    <w:rsid w:val="002E23B7"/>
    <w:rsid w:val="002E28EC"/>
    <w:rsid w:val="002E36DE"/>
    <w:rsid w:val="002E41E6"/>
    <w:rsid w:val="002E47C6"/>
    <w:rsid w:val="002E57C2"/>
    <w:rsid w:val="002F13BF"/>
    <w:rsid w:val="002F19C2"/>
    <w:rsid w:val="002F1CBE"/>
    <w:rsid w:val="002F3DA1"/>
    <w:rsid w:val="002F40FE"/>
    <w:rsid w:val="002F4360"/>
    <w:rsid w:val="002F6C17"/>
    <w:rsid w:val="002F6D64"/>
    <w:rsid w:val="00300C22"/>
    <w:rsid w:val="003013BC"/>
    <w:rsid w:val="00301A17"/>
    <w:rsid w:val="00302DF8"/>
    <w:rsid w:val="0030305C"/>
    <w:rsid w:val="00304DFF"/>
    <w:rsid w:val="00304F8D"/>
    <w:rsid w:val="003060AD"/>
    <w:rsid w:val="0030695F"/>
    <w:rsid w:val="003072C9"/>
    <w:rsid w:val="0030771F"/>
    <w:rsid w:val="00310196"/>
    <w:rsid w:val="00311566"/>
    <w:rsid w:val="003117F8"/>
    <w:rsid w:val="00314958"/>
    <w:rsid w:val="00316A02"/>
    <w:rsid w:val="00317D31"/>
    <w:rsid w:val="00320862"/>
    <w:rsid w:val="003218AB"/>
    <w:rsid w:val="003222B3"/>
    <w:rsid w:val="00323A47"/>
    <w:rsid w:val="0032418B"/>
    <w:rsid w:val="00324EEC"/>
    <w:rsid w:val="00325490"/>
    <w:rsid w:val="00325CA6"/>
    <w:rsid w:val="00327DB0"/>
    <w:rsid w:val="00330D1C"/>
    <w:rsid w:val="0033250D"/>
    <w:rsid w:val="003326B2"/>
    <w:rsid w:val="003340FB"/>
    <w:rsid w:val="003351F5"/>
    <w:rsid w:val="003423F9"/>
    <w:rsid w:val="00343382"/>
    <w:rsid w:val="00343A91"/>
    <w:rsid w:val="00343E8B"/>
    <w:rsid w:val="0034400E"/>
    <w:rsid w:val="003445DF"/>
    <w:rsid w:val="00344C9B"/>
    <w:rsid w:val="00345A74"/>
    <w:rsid w:val="00346BA3"/>
    <w:rsid w:val="00346DC8"/>
    <w:rsid w:val="00351C05"/>
    <w:rsid w:val="00352D4A"/>
    <w:rsid w:val="00353B9F"/>
    <w:rsid w:val="00354AEA"/>
    <w:rsid w:val="00355E49"/>
    <w:rsid w:val="00356405"/>
    <w:rsid w:val="003600D5"/>
    <w:rsid w:val="00360774"/>
    <w:rsid w:val="00361602"/>
    <w:rsid w:val="00361C0B"/>
    <w:rsid w:val="00364192"/>
    <w:rsid w:val="00365072"/>
    <w:rsid w:val="003656BB"/>
    <w:rsid w:val="00366226"/>
    <w:rsid w:val="00366836"/>
    <w:rsid w:val="0036779C"/>
    <w:rsid w:val="003711D4"/>
    <w:rsid w:val="003714D0"/>
    <w:rsid w:val="003727CA"/>
    <w:rsid w:val="00373FE0"/>
    <w:rsid w:val="00375F33"/>
    <w:rsid w:val="0037685D"/>
    <w:rsid w:val="00376FDE"/>
    <w:rsid w:val="0037787F"/>
    <w:rsid w:val="00382266"/>
    <w:rsid w:val="00383388"/>
    <w:rsid w:val="00386E0E"/>
    <w:rsid w:val="0039127E"/>
    <w:rsid w:val="003921FE"/>
    <w:rsid w:val="00394233"/>
    <w:rsid w:val="003A055D"/>
    <w:rsid w:val="003A1768"/>
    <w:rsid w:val="003B2C19"/>
    <w:rsid w:val="003B4BFD"/>
    <w:rsid w:val="003B4C11"/>
    <w:rsid w:val="003B5706"/>
    <w:rsid w:val="003B69D9"/>
    <w:rsid w:val="003B773A"/>
    <w:rsid w:val="003C0527"/>
    <w:rsid w:val="003C2D08"/>
    <w:rsid w:val="003C329C"/>
    <w:rsid w:val="003C4AFD"/>
    <w:rsid w:val="003C4B35"/>
    <w:rsid w:val="003C54DB"/>
    <w:rsid w:val="003D0459"/>
    <w:rsid w:val="003D0BBD"/>
    <w:rsid w:val="003D172D"/>
    <w:rsid w:val="003D1F1C"/>
    <w:rsid w:val="003D2261"/>
    <w:rsid w:val="003D4B4D"/>
    <w:rsid w:val="003E2602"/>
    <w:rsid w:val="003E338B"/>
    <w:rsid w:val="003E3641"/>
    <w:rsid w:val="003E46B3"/>
    <w:rsid w:val="003E6E50"/>
    <w:rsid w:val="003E716F"/>
    <w:rsid w:val="003F0123"/>
    <w:rsid w:val="003F2EB2"/>
    <w:rsid w:val="003F49EF"/>
    <w:rsid w:val="004018AF"/>
    <w:rsid w:val="004027B4"/>
    <w:rsid w:val="00402B39"/>
    <w:rsid w:val="00402EDF"/>
    <w:rsid w:val="004057A5"/>
    <w:rsid w:val="00406963"/>
    <w:rsid w:val="00406B68"/>
    <w:rsid w:val="004079FE"/>
    <w:rsid w:val="004112F3"/>
    <w:rsid w:val="0041360B"/>
    <w:rsid w:val="0041405D"/>
    <w:rsid w:val="00414537"/>
    <w:rsid w:val="00414DBB"/>
    <w:rsid w:val="00417E4C"/>
    <w:rsid w:val="00421BA6"/>
    <w:rsid w:val="00422086"/>
    <w:rsid w:val="004235D2"/>
    <w:rsid w:val="00423A6F"/>
    <w:rsid w:val="004249B8"/>
    <w:rsid w:val="004278F8"/>
    <w:rsid w:val="00427FF4"/>
    <w:rsid w:val="0043006E"/>
    <w:rsid w:val="00430270"/>
    <w:rsid w:val="00430AA7"/>
    <w:rsid w:val="0043146C"/>
    <w:rsid w:val="00431842"/>
    <w:rsid w:val="0043400B"/>
    <w:rsid w:val="00435B8A"/>
    <w:rsid w:val="00435C7C"/>
    <w:rsid w:val="004367AC"/>
    <w:rsid w:val="00436FE7"/>
    <w:rsid w:val="00441F01"/>
    <w:rsid w:val="00442CB3"/>
    <w:rsid w:val="00443325"/>
    <w:rsid w:val="00444DF2"/>
    <w:rsid w:val="00451306"/>
    <w:rsid w:val="00451F0E"/>
    <w:rsid w:val="004526CB"/>
    <w:rsid w:val="00454E5A"/>
    <w:rsid w:val="00455F4A"/>
    <w:rsid w:val="00457E7E"/>
    <w:rsid w:val="00461BC4"/>
    <w:rsid w:val="00463760"/>
    <w:rsid w:val="00463E93"/>
    <w:rsid w:val="0046458B"/>
    <w:rsid w:val="00464857"/>
    <w:rsid w:val="004652A1"/>
    <w:rsid w:val="00466C51"/>
    <w:rsid w:val="004703C0"/>
    <w:rsid w:val="00470DD3"/>
    <w:rsid w:val="00471B14"/>
    <w:rsid w:val="004733E1"/>
    <w:rsid w:val="0047342A"/>
    <w:rsid w:val="0047458A"/>
    <w:rsid w:val="00475058"/>
    <w:rsid w:val="004755F1"/>
    <w:rsid w:val="00475FAF"/>
    <w:rsid w:val="00476E22"/>
    <w:rsid w:val="00477C4F"/>
    <w:rsid w:val="00480124"/>
    <w:rsid w:val="00480450"/>
    <w:rsid w:val="00485A1B"/>
    <w:rsid w:val="0048707C"/>
    <w:rsid w:val="0048720C"/>
    <w:rsid w:val="004878EA"/>
    <w:rsid w:val="00490FBE"/>
    <w:rsid w:val="0049125A"/>
    <w:rsid w:val="0049591C"/>
    <w:rsid w:val="00495CBA"/>
    <w:rsid w:val="00496BE4"/>
    <w:rsid w:val="004A0228"/>
    <w:rsid w:val="004A141D"/>
    <w:rsid w:val="004A159D"/>
    <w:rsid w:val="004A2164"/>
    <w:rsid w:val="004A2446"/>
    <w:rsid w:val="004A27D0"/>
    <w:rsid w:val="004A3239"/>
    <w:rsid w:val="004A36FF"/>
    <w:rsid w:val="004A42B5"/>
    <w:rsid w:val="004A4A37"/>
    <w:rsid w:val="004A4D62"/>
    <w:rsid w:val="004B11B2"/>
    <w:rsid w:val="004B3529"/>
    <w:rsid w:val="004B35EB"/>
    <w:rsid w:val="004B43EC"/>
    <w:rsid w:val="004B4E2E"/>
    <w:rsid w:val="004B5553"/>
    <w:rsid w:val="004B6997"/>
    <w:rsid w:val="004B6F8E"/>
    <w:rsid w:val="004C0069"/>
    <w:rsid w:val="004C08F8"/>
    <w:rsid w:val="004C215E"/>
    <w:rsid w:val="004C28F7"/>
    <w:rsid w:val="004C298F"/>
    <w:rsid w:val="004C2C8F"/>
    <w:rsid w:val="004C3737"/>
    <w:rsid w:val="004C3F6A"/>
    <w:rsid w:val="004C5556"/>
    <w:rsid w:val="004C7BCD"/>
    <w:rsid w:val="004D11B7"/>
    <w:rsid w:val="004D1978"/>
    <w:rsid w:val="004D4765"/>
    <w:rsid w:val="004D548D"/>
    <w:rsid w:val="004D5E71"/>
    <w:rsid w:val="004D61D9"/>
    <w:rsid w:val="004D6B71"/>
    <w:rsid w:val="004E064D"/>
    <w:rsid w:val="004E1B15"/>
    <w:rsid w:val="004E2E82"/>
    <w:rsid w:val="004E33B9"/>
    <w:rsid w:val="004E6FB0"/>
    <w:rsid w:val="004F2DFA"/>
    <w:rsid w:val="004F48FB"/>
    <w:rsid w:val="004F4DAC"/>
    <w:rsid w:val="004F5D1D"/>
    <w:rsid w:val="004F5DAB"/>
    <w:rsid w:val="004F6747"/>
    <w:rsid w:val="004F7631"/>
    <w:rsid w:val="00501D43"/>
    <w:rsid w:val="00502DD7"/>
    <w:rsid w:val="00510713"/>
    <w:rsid w:val="005113A5"/>
    <w:rsid w:val="00512841"/>
    <w:rsid w:val="00512FB7"/>
    <w:rsid w:val="00513518"/>
    <w:rsid w:val="00513966"/>
    <w:rsid w:val="00514529"/>
    <w:rsid w:val="00516017"/>
    <w:rsid w:val="00516142"/>
    <w:rsid w:val="00516647"/>
    <w:rsid w:val="00516893"/>
    <w:rsid w:val="00521A74"/>
    <w:rsid w:val="00522795"/>
    <w:rsid w:val="00524821"/>
    <w:rsid w:val="00530EE8"/>
    <w:rsid w:val="00534537"/>
    <w:rsid w:val="00534A78"/>
    <w:rsid w:val="00536057"/>
    <w:rsid w:val="00536BAA"/>
    <w:rsid w:val="005370E4"/>
    <w:rsid w:val="00540A51"/>
    <w:rsid w:val="00540D49"/>
    <w:rsid w:val="005413D8"/>
    <w:rsid w:val="00542003"/>
    <w:rsid w:val="0054207F"/>
    <w:rsid w:val="00543DA7"/>
    <w:rsid w:val="00544FEB"/>
    <w:rsid w:val="0054650B"/>
    <w:rsid w:val="00550D93"/>
    <w:rsid w:val="005513B7"/>
    <w:rsid w:val="00552D07"/>
    <w:rsid w:val="005538AB"/>
    <w:rsid w:val="00553ED8"/>
    <w:rsid w:val="00554736"/>
    <w:rsid w:val="005552B7"/>
    <w:rsid w:val="00556B6B"/>
    <w:rsid w:val="00556E9A"/>
    <w:rsid w:val="005616D3"/>
    <w:rsid w:val="005626A2"/>
    <w:rsid w:val="005629ED"/>
    <w:rsid w:val="00566544"/>
    <w:rsid w:val="005670D9"/>
    <w:rsid w:val="00567E71"/>
    <w:rsid w:val="00567FF4"/>
    <w:rsid w:val="00570836"/>
    <w:rsid w:val="00570E82"/>
    <w:rsid w:val="005718EB"/>
    <w:rsid w:val="0057325D"/>
    <w:rsid w:val="005735CE"/>
    <w:rsid w:val="005743AF"/>
    <w:rsid w:val="005743E3"/>
    <w:rsid w:val="0057733B"/>
    <w:rsid w:val="00582341"/>
    <w:rsid w:val="00583CEA"/>
    <w:rsid w:val="0058420A"/>
    <w:rsid w:val="0058687C"/>
    <w:rsid w:val="00586A81"/>
    <w:rsid w:val="0059122B"/>
    <w:rsid w:val="00591FCB"/>
    <w:rsid w:val="00592BA4"/>
    <w:rsid w:val="0059639B"/>
    <w:rsid w:val="00596630"/>
    <w:rsid w:val="005A1799"/>
    <w:rsid w:val="005A179F"/>
    <w:rsid w:val="005A3035"/>
    <w:rsid w:val="005A4EE4"/>
    <w:rsid w:val="005A708C"/>
    <w:rsid w:val="005A76ED"/>
    <w:rsid w:val="005A7BB7"/>
    <w:rsid w:val="005B122A"/>
    <w:rsid w:val="005B1FB7"/>
    <w:rsid w:val="005B2EA3"/>
    <w:rsid w:val="005B3C03"/>
    <w:rsid w:val="005B7347"/>
    <w:rsid w:val="005C0A8C"/>
    <w:rsid w:val="005C1465"/>
    <w:rsid w:val="005C55C2"/>
    <w:rsid w:val="005C5DD0"/>
    <w:rsid w:val="005D008B"/>
    <w:rsid w:val="005D22B6"/>
    <w:rsid w:val="005D3592"/>
    <w:rsid w:val="005D6165"/>
    <w:rsid w:val="005E0341"/>
    <w:rsid w:val="005E0C7B"/>
    <w:rsid w:val="005E2478"/>
    <w:rsid w:val="005E27BC"/>
    <w:rsid w:val="005E4BE5"/>
    <w:rsid w:val="005E5658"/>
    <w:rsid w:val="005E661E"/>
    <w:rsid w:val="005E7771"/>
    <w:rsid w:val="005E77FB"/>
    <w:rsid w:val="005F0672"/>
    <w:rsid w:val="005F1960"/>
    <w:rsid w:val="005F7E69"/>
    <w:rsid w:val="00601F48"/>
    <w:rsid w:val="006025F0"/>
    <w:rsid w:val="00602D43"/>
    <w:rsid w:val="00602FE0"/>
    <w:rsid w:val="00604723"/>
    <w:rsid w:val="006049D3"/>
    <w:rsid w:val="00610233"/>
    <w:rsid w:val="00610555"/>
    <w:rsid w:val="006127CC"/>
    <w:rsid w:val="00613AE4"/>
    <w:rsid w:val="00613C16"/>
    <w:rsid w:val="00614D7D"/>
    <w:rsid w:val="00614DF8"/>
    <w:rsid w:val="00615320"/>
    <w:rsid w:val="006218F0"/>
    <w:rsid w:val="006228E6"/>
    <w:rsid w:val="00624C49"/>
    <w:rsid w:val="006250FB"/>
    <w:rsid w:val="006253FA"/>
    <w:rsid w:val="006263CD"/>
    <w:rsid w:val="00626A5E"/>
    <w:rsid w:val="00631602"/>
    <w:rsid w:val="00633473"/>
    <w:rsid w:val="006334D5"/>
    <w:rsid w:val="00633540"/>
    <w:rsid w:val="00633BEC"/>
    <w:rsid w:val="00633C6D"/>
    <w:rsid w:val="00634F2D"/>
    <w:rsid w:val="006356D2"/>
    <w:rsid w:val="0063760E"/>
    <w:rsid w:val="00637ED7"/>
    <w:rsid w:val="00643B2A"/>
    <w:rsid w:val="00644FE8"/>
    <w:rsid w:val="0064535D"/>
    <w:rsid w:val="00646E12"/>
    <w:rsid w:val="006505A7"/>
    <w:rsid w:val="006521F6"/>
    <w:rsid w:val="006531FE"/>
    <w:rsid w:val="00653AF4"/>
    <w:rsid w:val="00654D25"/>
    <w:rsid w:val="006570C4"/>
    <w:rsid w:val="006571DB"/>
    <w:rsid w:val="00657AD1"/>
    <w:rsid w:val="0066141C"/>
    <w:rsid w:val="006614B8"/>
    <w:rsid w:val="006632BE"/>
    <w:rsid w:val="00664B01"/>
    <w:rsid w:val="006651FC"/>
    <w:rsid w:val="006668D1"/>
    <w:rsid w:val="00667C30"/>
    <w:rsid w:val="006749D7"/>
    <w:rsid w:val="006750D0"/>
    <w:rsid w:val="00675614"/>
    <w:rsid w:val="00676C98"/>
    <w:rsid w:val="006778C1"/>
    <w:rsid w:val="00677E52"/>
    <w:rsid w:val="0068307C"/>
    <w:rsid w:val="006836E2"/>
    <w:rsid w:val="006848DA"/>
    <w:rsid w:val="006855EB"/>
    <w:rsid w:val="006856E8"/>
    <w:rsid w:val="006929D7"/>
    <w:rsid w:val="00694201"/>
    <w:rsid w:val="00695CA8"/>
    <w:rsid w:val="00695CFF"/>
    <w:rsid w:val="00697213"/>
    <w:rsid w:val="00697D76"/>
    <w:rsid w:val="006A1E3E"/>
    <w:rsid w:val="006A351B"/>
    <w:rsid w:val="006A44B7"/>
    <w:rsid w:val="006A4973"/>
    <w:rsid w:val="006A49A5"/>
    <w:rsid w:val="006A7BA6"/>
    <w:rsid w:val="006A7FF3"/>
    <w:rsid w:val="006B04FE"/>
    <w:rsid w:val="006B3169"/>
    <w:rsid w:val="006B32B9"/>
    <w:rsid w:val="006B3B35"/>
    <w:rsid w:val="006B404C"/>
    <w:rsid w:val="006B4531"/>
    <w:rsid w:val="006B59AF"/>
    <w:rsid w:val="006B67E2"/>
    <w:rsid w:val="006B6C2B"/>
    <w:rsid w:val="006C14D5"/>
    <w:rsid w:val="006C480E"/>
    <w:rsid w:val="006C4EC2"/>
    <w:rsid w:val="006C5BB9"/>
    <w:rsid w:val="006C66D1"/>
    <w:rsid w:val="006C7472"/>
    <w:rsid w:val="006D0740"/>
    <w:rsid w:val="006D0DD7"/>
    <w:rsid w:val="006D1E73"/>
    <w:rsid w:val="006D200B"/>
    <w:rsid w:val="006D4837"/>
    <w:rsid w:val="006D5829"/>
    <w:rsid w:val="006D6E84"/>
    <w:rsid w:val="006E0C88"/>
    <w:rsid w:val="006E16D9"/>
    <w:rsid w:val="006E25F4"/>
    <w:rsid w:val="006E4B79"/>
    <w:rsid w:val="006E5079"/>
    <w:rsid w:val="006E5E5B"/>
    <w:rsid w:val="006E6626"/>
    <w:rsid w:val="006E6F1B"/>
    <w:rsid w:val="006F01BA"/>
    <w:rsid w:val="006F115F"/>
    <w:rsid w:val="006F2F6A"/>
    <w:rsid w:val="006F47C5"/>
    <w:rsid w:val="006F74BB"/>
    <w:rsid w:val="00701AAB"/>
    <w:rsid w:val="007026C5"/>
    <w:rsid w:val="00702B14"/>
    <w:rsid w:val="007042EC"/>
    <w:rsid w:val="007048F9"/>
    <w:rsid w:val="0070495F"/>
    <w:rsid w:val="00705FAF"/>
    <w:rsid w:val="00710DD3"/>
    <w:rsid w:val="0071128F"/>
    <w:rsid w:val="0071163E"/>
    <w:rsid w:val="00712D24"/>
    <w:rsid w:val="00713895"/>
    <w:rsid w:val="007141EB"/>
    <w:rsid w:val="00714DEB"/>
    <w:rsid w:val="00720F68"/>
    <w:rsid w:val="007210D1"/>
    <w:rsid w:val="00721C7A"/>
    <w:rsid w:val="007238B8"/>
    <w:rsid w:val="0072460E"/>
    <w:rsid w:val="0072506F"/>
    <w:rsid w:val="00727D0D"/>
    <w:rsid w:val="00727F87"/>
    <w:rsid w:val="007304DD"/>
    <w:rsid w:val="0073538D"/>
    <w:rsid w:val="00737C4B"/>
    <w:rsid w:val="00741407"/>
    <w:rsid w:val="0074192E"/>
    <w:rsid w:val="0074603A"/>
    <w:rsid w:val="0075069C"/>
    <w:rsid w:val="00750CFE"/>
    <w:rsid w:val="00751E0E"/>
    <w:rsid w:val="00756CF0"/>
    <w:rsid w:val="00756DAD"/>
    <w:rsid w:val="00761639"/>
    <w:rsid w:val="007624B1"/>
    <w:rsid w:val="00763CE3"/>
    <w:rsid w:val="00763D40"/>
    <w:rsid w:val="00764F7F"/>
    <w:rsid w:val="0076575C"/>
    <w:rsid w:val="00766AC8"/>
    <w:rsid w:val="00766BD8"/>
    <w:rsid w:val="00766E47"/>
    <w:rsid w:val="00771831"/>
    <w:rsid w:val="007731BE"/>
    <w:rsid w:val="00774D4F"/>
    <w:rsid w:val="00776CFE"/>
    <w:rsid w:val="00777386"/>
    <w:rsid w:val="00780583"/>
    <w:rsid w:val="007820A0"/>
    <w:rsid w:val="00782661"/>
    <w:rsid w:val="00782D15"/>
    <w:rsid w:val="00783172"/>
    <w:rsid w:val="00783BF7"/>
    <w:rsid w:val="00784093"/>
    <w:rsid w:val="00784291"/>
    <w:rsid w:val="00785DD9"/>
    <w:rsid w:val="00786A01"/>
    <w:rsid w:val="00787960"/>
    <w:rsid w:val="00790FD4"/>
    <w:rsid w:val="00791CED"/>
    <w:rsid w:val="0079231F"/>
    <w:rsid w:val="00793D4E"/>
    <w:rsid w:val="00794D79"/>
    <w:rsid w:val="00796197"/>
    <w:rsid w:val="007A38D4"/>
    <w:rsid w:val="007B217C"/>
    <w:rsid w:val="007B2AA4"/>
    <w:rsid w:val="007B4F23"/>
    <w:rsid w:val="007B54FD"/>
    <w:rsid w:val="007B7EE5"/>
    <w:rsid w:val="007C209D"/>
    <w:rsid w:val="007C3257"/>
    <w:rsid w:val="007C3363"/>
    <w:rsid w:val="007C5F8B"/>
    <w:rsid w:val="007C6245"/>
    <w:rsid w:val="007C6664"/>
    <w:rsid w:val="007C6C91"/>
    <w:rsid w:val="007D170B"/>
    <w:rsid w:val="007D1934"/>
    <w:rsid w:val="007D30C5"/>
    <w:rsid w:val="007D4961"/>
    <w:rsid w:val="007D4AC4"/>
    <w:rsid w:val="007D4C79"/>
    <w:rsid w:val="007D6DB6"/>
    <w:rsid w:val="007D6E70"/>
    <w:rsid w:val="007D7B36"/>
    <w:rsid w:val="007D7BE6"/>
    <w:rsid w:val="007D7CA9"/>
    <w:rsid w:val="007E04EC"/>
    <w:rsid w:val="007E0732"/>
    <w:rsid w:val="007E1C8A"/>
    <w:rsid w:val="007E5938"/>
    <w:rsid w:val="007E63DF"/>
    <w:rsid w:val="007E7937"/>
    <w:rsid w:val="007F2C49"/>
    <w:rsid w:val="007F2CE4"/>
    <w:rsid w:val="007F4E20"/>
    <w:rsid w:val="007F5423"/>
    <w:rsid w:val="007F73C7"/>
    <w:rsid w:val="00800984"/>
    <w:rsid w:val="008025E5"/>
    <w:rsid w:val="00804405"/>
    <w:rsid w:val="00806DA1"/>
    <w:rsid w:val="00807AB5"/>
    <w:rsid w:val="008101C8"/>
    <w:rsid w:val="00811484"/>
    <w:rsid w:val="0081166E"/>
    <w:rsid w:val="00812441"/>
    <w:rsid w:val="00812A99"/>
    <w:rsid w:val="008133A6"/>
    <w:rsid w:val="00813452"/>
    <w:rsid w:val="008145A9"/>
    <w:rsid w:val="00815B96"/>
    <w:rsid w:val="008166C2"/>
    <w:rsid w:val="00817892"/>
    <w:rsid w:val="00817899"/>
    <w:rsid w:val="00820063"/>
    <w:rsid w:val="008204BC"/>
    <w:rsid w:val="00822099"/>
    <w:rsid w:val="00825845"/>
    <w:rsid w:val="00825D96"/>
    <w:rsid w:val="0083256E"/>
    <w:rsid w:val="00836F4E"/>
    <w:rsid w:val="008370B4"/>
    <w:rsid w:val="0083794D"/>
    <w:rsid w:val="008421D5"/>
    <w:rsid w:val="0084301E"/>
    <w:rsid w:val="00843965"/>
    <w:rsid w:val="00843A81"/>
    <w:rsid w:val="00850A5B"/>
    <w:rsid w:val="00851105"/>
    <w:rsid w:val="00852208"/>
    <w:rsid w:val="00852488"/>
    <w:rsid w:val="008567AC"/>
    <w:rsid w:val="008619CE"/>
    <w:rsid w:val="0086324F"/>
    <w:rsid w:val="00864DBF"/>
    <w:rsid w:val="00865713"/>
    <w:rsid w:val="008663C1"/>
    <w:rsid w:val="00870818"/>
    <w:rsid w:val="008715B5"/>
    <w:rsid w:val="00871BD6"/>
    <w:rsid w:val="0087339D"/>
    <w:rsid w:val="0087438E"/>
    <w:rsid w:val="008753A5"/>
    <w:rsid w:val="00876859"/>
    <w:rsid w:val="00876B6E"/>
    <w:rsid w:val="008804D4"/>
    <w:rsid w:val="00884942"/>
    <w:rsid w:val="00886DD5"/>
    <w:rsid w:val="00892191"/>
    <w:rsid w:val="00892EB8"/>
    <w:rsid w:val="00894F2A"/>
    <w:rsid w:val="00897295"/>
    <w:rsid w:val="008A0533"/>
    <w:rsid w:val="008A51B4"/>
    <w:rsid w:val="008A6F9C"/>
    <w:rsid w:val="008B0C33"/>
    <w:rsid w:val="008B4058"/>
    <w:rsid w:val="008B687F"/>
    <w:rsid w:val="008B7DBF"/>
    <w:rsid w:val="008C0597"/>
    <w:rsid w:val="008C20D1"/>
    <w:rsid w:val="008C23E3"/>
    <w:rsid w:val="008C5503"/>
    <w:rsid w:val="008D0D0C"/>
    <w:rsid w:val="008D3A74"/>
    <w:rsid w:val="008D45BD"/>
    <w:rsid w:val="008D5BD1"/>
    <w:rsid w:val="008D64DD"/>
    <w:rsid w:val="008E0677"/>
    <w:rsid w:val="008E2196"/>
    <w:rsid w:val="008E5939"/>
    <w:rsid w:val="008E5952"/>
    <w:rsid w:val="008E7ED3"/>
    <w:rsid w:val="008F5D2C"/>
    <w:rsid w:val="0090072F"/>
    <w:rsid w:val="00900BA5"/>
    <w:rsid w:val="009020A4"/>
    <w:rsid w:val="00902CB7"/>
    <w:rsid w:val="00902FF4"/>
    <w:rsid w:val="00903B03"/>
    <w:rsid w:val="00904208"/>
    <w:rsid w:val="00904D22"/>
    <w:rsid w:val="00904FDA"/>
    <w:rsid w:val="00905CE9"/>
    <w:rsid w:val="00906A22"/>
    <w:rsid w:val="00911EC6"/>
    <w:rsid w:val="00914776"/>
    <w:rsid w:val="009152D4"/>
    <w:rsid w:val="00917C06"/>
    <w:rsid w:val="0092287C"/>
    <w:rsid w:val="00922FA9"/>
    <w:rsid w:val="00923556"/>
    <w:rsid w:val="0092417E"/>
    <w:rsid w:val="00925D43"/>
    <w:rsid w:val="00925FEC"/>
    <w:rsid w:val="00927C5B"/>
    <w:rsid w:val="00930C4A"/>
    <w:rsid w:val="00931B5A"/>
    <w:rsid w:val="00931F14"/>
    <w:rsid w:val="00932CB4"/>
    <w:rsid w:val="00933218"/>
    <w:rsid w:val="0093379B"/>
    <w:rsid w:val="00933BCB"/>
    <w:rsid w:val="00940373"/>
    <w:rsid w:val="00940AA8"/>
    <w:rsid w:val="00943F49"/>
    <w:rsid w:val="00944DAB"/>
    <w:rsid w:val="00950B3E"/>
    <w:rsid w:val="00950F99"/>
    <w:rsid w:val="00951466"/>
    <w:rsid w:val="009522D7"/>
    <w:rsid w:val="009549E5"/>
    <w:rsid w:val="0095566B"/>
    <w:rsid w:val="009621F1"/>
    <w:rsid w:val="00963706"/>
    <w:rsid w:val="009637B7"/>
    <w:rsid w:val="00963B62"/>
    <w:rsid w:val="009650E0"/>
    <w:rsid w:val="00965260"/>
    <w:rsid w:val="00966CD3"/>
    <w:rsid w:val="00967644"/>
    <w:rsid w:val="00967702"/>
    <w:rsid w:val="00970E95"/>
    <w:rsid w:val="0097161D"/>
    <w:rsid w:val="00971BFC"/>
    <w:rsid w:val="0098022D"/>
    <w:rsid w:val="0098064D"/>
    <w:rsid w:val="00980710"/>
    <w:rsid w:val="00980775"/>
    <w:rsid w:val="00981C16"/>
    <w:rsid w:val="00983F56"/>
    <w:rsid w:val="00984028"/>
    <w:rsid w:val="009840CB"/>
    <w:rsid w:val="00984AB6"/>
    <w:rsid w:val="00985439"/>
    <w:rsid w:val="00986399"/>
    <w:rsid w:val="00986BE2"/>
    <w:rsid w:val="00987D6D"/>
    <w:rsid w:val="009915C5"/>
    <w:rsid w:val="00991918"/>
    <w:rsid w:val="009920DF"/>
    <w:rsid w:val="009977A6"/>
    <w:rsid w:val="00997F3E"/>
    <w:rsid w:val="009A055F"/>
    <w:rsid w:val="009A0599"/>
    <w:rsid w:val="009A1E28"/>
    <w:rsid w:val="009A1FDE"/>
    <w:rsid w:val="009A2210"/>
    <w:rsid w:val="009A2D56"/>
    <w:rsid w:val="009A439E"/>
    <w:rsid w:val="009A52BE"/>
    <w:rsid w:val="009A595F"/>
    <w:rsid w:val="009A5E20"/>
    <w:rsid w:val="009A6F8F"/>
    <w:rsid w:val="009A7307"/>
    <w:rsid w:val="009B206D"/>
    <w:rsid w:val="009B27AC"/>
    <w:rsid w:val="009B2F8C"/>
    <w:rsid w:val="009B346E"/>
    <w:rsid w:val="009B404A"/>
    <w:rsid w:val="009B4CCA"/>
    <w:rsid w:val="009B56EE"/>
    <w:rsid w:val="009B58B2"/>
    <w:rsid w:val="009C002E"/>
    <w:rsid w:val="009C392A"/>
    <w:rsid w:val="009C5443"/>
    <w:rsid w:val="009C59B1"/>
    <w:rsid w:val="009C7563"/>
    <w:rsid w:val="009C7712"/>
    <w:rsid w:val="009C77C1"/>
    <w:rsid w:val="009C7E9D"/>
    <w:rsid w:val="009D0B97"/>
    <w:rsid w:val="009D69FF"/>
    <w:rsid w:val="009D6BFE"/>
    <w:rsid w:val="009D7865"/>
    <w:rsid w:val="009E0923"/>
    <w:rsid w:val="009E202F"/>
    <w:rsid w:val="009E2F0F"/>
    <w:rsid w:val="009E3EBD"/>
    <w:rsid w:val="009E413A"/>
    <w:rsid w:val="009E44E8"/>
    <w:rsid w:val="009E4AD9"/>
    <w:rsid w:val="009E543A"/>
    <w:rsid w:val="009E5BC9"/>
    <w:rsid w:val="009E61C2"/>
    <w:rsid w:val="009E6459"/>
    <w:rsid w:val="009E7818"/>
    <w:rsid w:val="009E7829"/>
    <w:rsid w:val="009F0C29"/>
    <w:rsid w:val="009F1740"/>
    <w:rsid w:val="009F459F"/>
    <w:rsid w:val="009F4DA4"/>
    <w:rsid w:val="00A01918"/>
    <w:rsid w:val="00A03A49"/>
    <w:rsid w:val="00A03EA3"/>
    <w:rsid w:val="00A04A60"/>
    <w:rsid w:val="00A05AEE"/>
    <w:rsid w:val="00A1231E"/>
    <w:rsid w:val="00A1339D"/>
    <w:rsid w:val="00A15C57"/>
    <w:rsid w:val="00A20F3A"/>
    <w:rsid w:val="00A225A9"/>
    <w:rsid w:val="00A22B8D"/>
    <w:rsid w:val="00A24754"/>
    <w:rsid w:val="00A24CD3"/>
    <w:rsid w:val="00A25A93"/>
    <w:rsid w:val="00A3085A"/>
    <w:rsid w:val="00A31B33"/>
    <w:rsid w:val="00A3237A"/>
    <w:rsid w:val="00A32555"/>
    <w:rsid w:val="00A3327B"/>
    <w:rsid w:val="00A35925"/>
    <w:rsid w:val="00A371CB"/>
    <w:rsid w:val="00A40021"/>
    <w:rsid w:val="00A41970"/>
    <w:rsid w:val="00A43797"/>
    <w:rsid w:val="00A43C34"/>
    <w:rsid w:val="00A507AE"/>
    <w:rsid w:val="00A50EFF"/>
    <w:rsid w:val="00A520CD"/>
    <w:rsid w:val="00A523E3"/>
    <w:rsid w:val="00A53D2E"/>
    <w:rsid w:val="00A56281"/>
    <w:rsid w:val="00A601FC"/>
    <w:rsid w:val="00A60C8A"/>
    <w:rsid w:val="00A6202F"/>
    <w:rsid w:val="00A63A95"/>
    <w:rsid w:val="00A64B11"/>
    <w:rsid w:val="00A65365"/>
    <w:rsid w:val="00A66C9D"/>
    <w:rsid w:val="00A7144F"/>
    <w:rsid w:val="00A72F8D"/>
    <w:rsid w:val="00A73033"/>
    <w:rsid w:val="00A7323A"/>
    <w:rsid w:val="00A73804"/>
    <w:rsid w:val="00A73C6F"/>
    <w:rsid w:val="00A8016D"/>
    <w:rsid w:val="00A80560"/>
    <w:rsid w:val="00A80ACF"/>
    <w:rsid w:val="00A827E3"/>
    <w:rsid w:val="00A83EC5"/>
    <w:rsid w:val="00A861FE"/>
    <w:rsid w:val="00A90D85"/>
    <w:rsid w:val="00A91AF5"/>
    <w:rsid w:val="00A928C9"/>
    <w:rsid w:val="00A930EC"/>
    <w:rsid w:val="00A959D5"/>
    <w:rsid w:val="00A95E28"/>
    <w:rsid w:val="00A961BF"/>
    <w:rsid w:val="00A97D8D"/>
    <w:rsid w:val="00AA4EDC"/>
    <w:rsid w:val="00AA5086"/>
    <w:rsid w:val="00AA61D7"/>
    <w:rsid w:val="00AA7A1C"/>
    <w:rsid w:val="00AB0E5F"/>
    <w:rsid w:val="00AB2499"/>
    <w:rsid w:val="00AB25E0"/>
    <w:rsid w:val="00AB620D"/>
    <w:rsid w:val="00AB766A"/>
    <w:rsid w:val="00AC0238"/>
    <w:rsid w:val="00AC15E3"/>
    <w:rsid w:val="00AC3BE3"/>
    <w:rsid w:val="00AC44AE"/>
    <w:rsid w:val="00AC4A52"/>
    <w:rsid w:val="00AC7D49"/>
    <w:rsid w:val="00AD0BF8"/>
    <w:rsid w:val="00AD0CC4"/>
    <w:rsid w:val="00AD0F78"/>
    <w:rsid w:val="00AD187B"/>
    <w:rsid w:val="00AD1E80"/>
    <w:rsid w:val="00AD3C30"/>
    <w:rsid w:val="00AD4FBC"/>
    <w:rsid w:val="00AD6E28"/>
    <w:rsid w:val="00AD7A42"/>
    <w:rsid w:val="00AD7B43"/>
    <w:rsid w:val="00AE0045"/>
    <w:rsid w:val="00AE0EF3"/>
    <w:rsid w:val="00AE1036"/>
    <w:rsid w:val="00AE4E0C"/>
    <w:rsid w:val="00AE5728"/>
    <w:rsid w:val="00AE5E84"/>
    <w:rsid w:val="00AE6E77"/>
    <w:rsid w:val="00AE72B7"/>
    <w:rsid w:val="00AE7563"/>
    <w:rsid w:val="00AE7D00"/>
    <w:rsid w:val="00AF0471"/>
    <w:rsid w:val="00AF13DB"/>
    <w:rsid w:val="00AF2DF6"/>
    <w:rsid w:val="00AF32C4"/>
    <w:rsid w:val="00AF5FFC"/>
    <w:rsid w:val="00AF6714"/>
    <w:rsid w:val="00B01080"/>
    <w:rsid w:val="00B01A20"/>
    <w:rsid w:val="00B031BD"/>
    <w:rsid w:val="00B03487"/>
    <w:rsid w:val="00B050AB"/>
    <w:rsid w:val="00B05E84"/>
    <w:rsid w:val="00B06F17"/>
    <w:rsid w:val="00B115A2"/>
    <w:rsid w:val="00B12CCC"/>
    <w:rsid w:val="00B13F28"/>
    <w:rsid w:val="00B14CBF"/>
    <w:rsid w:val="00B1528E"/>
    <w:rsid w:val="00B15758"/>
    <w:rsid w:val="00B1590A"/>
    <w:rsid w:val="00B15E45"/>
    <w:rsid w:val="00B2035E"/>
    <w:rsid w:val="00B20628"/>
    <w:rsid w:val="00B20722"/>
    <w:rsid w:val="00B20752"/>
    <w:rsid w:val="00B224F3"/>
    <w:rsid w:val="00B22FB6"/>
    <w:rsid w:val="00B236CB"/>
    <w:rsid w:val="00B23B2F"/>
    <w:rsid w:val="00B306D6"/>
    <w:rsid w:val="00B30AA0"/>
    <w:rsid w:val="00B33812"/>
    <w:rsid w:val="00B359C5"/>
    <w:rsid w:val="00B36D30"/>
    <w:rsid w:val="00B409CF"/>
    <w:rsid w:val="00B40EFC"/>
    <w:rsid w:val="00B42F00"/>
    <w:rsid w:val="00B432D8"/>
    <w:rsid w:val="00B454DD"/>
    <w:rsid w:val="00B46D8F"/>
    <w:rsid w:val="00B474EA"/>
    <w:rsid w:val="00B47A53"/>
    <w:rsid w:val="00B51625"/>
    <w:rsid w:val="00B517A6"/>
    <w:rsid w:val="00B52BE6"/>
    <w:rsid w:val="00B55BBD"/>
    <w:rsid w:val="00B600BA"/>
    <w:rsid w:val="00B6014A"/>
    <w:rsid w:val="00B6064E"/>
    <w:rsid w:val="00B61A69"/>
    <w:rsid w:val="00B63B31"/>
    <w:rsid w:val="00B645D9"/>
    <w:rsid w:val="00B65026"/>
    <w:rsid w:val="00B70458"/>
    <w:rsid w:val="00B7096A"/>
    <w:rsid w:val="00B71AE0"/>
    <w:rsid w:val="00B728EB"/>
    <w:rsid w:val="00B72A70"/>
    <w:rsid w:val="00B72C14"/>
    <w:rsid w:val="00B72C7B"/>
    <w:rsid w:val="00B7378C"/>
    <w:rsid w:val="00B7653F"/>
    <w:rsid w:val="00B7655C"/>
    <w:rsid w:val="00B7672C"/>
    <w:rsid w:val="00B77254"/>
    <w:rsid w:val="00B82831"/>
    <w:rsid w:val="00B82B2A"/>
    <w:rsid w:val="00B8308F"/>
    <w:rsid w:val="00B8309D"/>
    <w:rsid w:val="00B84E5B"/>
    <w:rsid w:val="00B85A1C"/>
    <w:rsid w:val="00B86E2A"/>
    <w:rsid w:val="00B90361"/>
    <w:rsid w:val="00B9209C"/>
    <w:rsid w:val="00B930C9"/>
    <w:rsid w:val="00B9437D"/>
    <w:rsid w:val="00B95164"/>
    <w:rsid w:val="00B96E4E"/>
    <w:rsid w:val="00B9756B"/>
    <w:rsid w:val="00B979B6"/>
    <w:rsid w:val="00BA253F"/>
    <w:rsid w:val="00BA2A85"/>
    <w:rsid w:val="00BA54EE"/>
    <w:rsid w:val="00BB08E4"/>
    <w:rsid w:val="00BB1BFF"/>
    <w:rsid w:val="00BB2461"/>
    <w:rsid w:val="00BB7B7F"/>
    <w:rsid w:val="00BC2CE9"/>
    <w:rsid w:val="00BC36B3"/>
    <w:rsid w:val="00BC3D66"/>
    <w:rsid w:val="00BC6607"/>
    <w:rsid w:val="00BD035F"/>
    <w:rsid w:val="00BD2C45"/>
    <w:rsid w:val="00BD39A7"/>
    <w:rsid w:val="00BD67FA"/>
    <w:rsid w:val="00BD7DE4"/>
    <w:rsid w:val="00BE0AFE"/>
    <w:rsid w:val="00BE1A98"/>
    <w:rsid w:val="00BE346F"/>
    <w:rsid w:val="00BE6BBA"/>
    <w:rsid w:val="00BE6E19"/>
    <w:rsid w:val="00BF0520"/>
    <w:rsid w:val="00BF26C1"/>
    <w:rsid w:val="00BF2E3D"/>
    <w:rsid w:val="00BF423F"/>
    <w:rsid w:val="00BF462C"/>
    <w:rsid w:val="00BF521D"/>
    <w:rsid w:val="00C0136B"/>
    <w:rsid w:val="00C02806"/>
    <w:rsid w:val="00C02A2A"/>
    <w:rsid w:val="00C06C0B"/>
    <w:rsid w:val="00C075E2"/>
    <w:rsid w:val="00C1009F"/>
    <w:rsid w:val="00C101BF"/>
    <w:rsid w:val="00C11F3B"/>
    <w:rsid w:val="00C149B6"/>
    <w:rsid w:val="00C154C0"/>
    <w:rsid w:val="00C20810"/>
    <w:rsid w:val="00C212D4"/>
    <w:rsid w:val="00C21E8F"/>
    <w:rsid w:val="00C21EEB"/>
    <w:rsid w:val="00C22237"/>
    <w:rsid w:val="00C2346E"/>
    <w:rsid w:val="00C243D2"/>
    <w:rsid w:val="00C24C6B"/>
    <w:rsid w:val="00C25AD7"/>
    <w:rsid w:val="00C25EA7"/>
    <w:rsid w:val="00C26B51"/>
    <w:rsid w:val="00C30CB1"/>
    <w:rsid w:val="00C316EB"/>
    <w:rsid w:val="00C323FE"/>
    <w:rsid w:val="00C32759"/>
    <w:rsid w:val="00C34BB5"/>
    <w:rsid w:val="00C34CDD"/>
    <w:rsid w:val="00C35089"/>
    <w:rsid w:val="00C355D1"/>
    <w:rsid w:val="00C35D41"/>
    <w:rsid w:val="00C36C49"/>
    <w:rsid w:val="00C376CC"/>
    <w:rsid w:val="00C413ED"/>
    <w:rsid w:val="00C43F41"/>
    <w:rsid w:val="00C4672E"/>
    <w:rsid w:val="00C51DC9"/>
    <w:rsid w:val="00C5246F"/>
    <w:rsid w:val="00C52843"/>
    <w:rsid w:val="00C52A1B"/>
    <w:rsid w:val="00C52D5D"/>
    <w:rsid w:val="00C5616C"/>
    <w:rsid w:val="00C605C9"/>
    <w:rsid w:val="00C63CAA"/>
    <w:rsid w:val="00C71EB3"/>
    <w:rsid w:val="00C73E61"/>
    <w:rsid w:val="00C7642B"/>
    <w:rsid w:val="00C812F7"/>
    <w:rsid w:val="00C8182C"/>
    <w:rsid w:val="00C82CD7"/>
    <w:rsid w:val="00C8345F"/>
    <w:rsid w:val="00C85263"/>
    <w:rsid w:val="00C8633D"/>
    <w:rsid w:val="00C86376"/>
    <w:rsid w:val="00C87130"/>
    <w:rsid w:val="00C8767B"/>
    <w:rsid w:val="00C90E4C"/>
    <w:rsid w:val="00C90EEA"/>
    <w:rsid w:val="00C917E8"/>
    <w:rsid w:val="00C928C1"/>
    <w:rsid w:val="00C94347"/>
    <w:rsid w:val="00C95EC9"/>
    <w:rsid w:val="00CA142D"/>
    <w:rsid w:val="00CA165A"/>
    <w:rsid w:val="00CA2E2A"/>
    <w:rsid w:val="00CA46D8"/>
    <w:rsid w:val="00CA6275"/>
    <w:rsid w:val="00CB13F3"/>
    <w:rsid w:val="00CB21D2"/>
    <w:rsid w:val="00CB3E2B"/>
    <w:rsid w:val="00CB4607"/>
    <w:rsid w:val="00CB523C"/>
    <w:rsid w:val="00CB6352"/>
    <w:rsid w:val="00CB66A1"/>
    <w:rsid w:val="00CB6861"/>
    <w:rsid w:val="00CB6DDD"/>
    <w:rsid w:val="00CC1191"/>
    <w:rsid w:val="00CC1D29"/>
    <w:rsid w:val="00CC1DEE"/>
    <w:rsid w:val="00CC2777"/>
    <w:rsid w:val="00CC2978"/>
    <w:rsid w:val="00CC4194"/>
    <w:rsid w:val="00CC4D4B"/>
    <w:rsid w:val="00CC4ED4"/>
    <w:rsid w:val="00CC569D"/>
    <w:rsid w:val="00CC56C8"/>
    <w:rsid w:val="00CC58FA"/>
    <w:rsid w:val="00CC6167"/>
    <w:rsid w:val="00CC7D2E"/>
    <w:rsid w:val="00CD0DAF"/>
    <w:rsid w:val="00CD1C39"/>
    <w:rsid w:val="00CD35CE"/>
    <w:rsid w:val="00CD42C3"/>
    <w:rsid w:val="00CD4763"/>
    <w:rsid w:val="00CD5AE4"/>
    <w:rsid w:val="00CD6B55"/>
    <w:rsid w:val="00CD6DEA"/>
    <w:rsid w:val="00CD7278"/>
    <w:rsid w:val="00CE1578"/>
    <w:rsid w:val="00CE1AF8"/>
    <w:rsid w:val="00CE2C4B"/>
    <w:rsid w:val="00CE36D9"/>
    <w:rsid w:val="00CE4BFC"/>
    <w:rsid w:val="00CE4D20"/>
    <w:rsid w:val="00CE4EDA"/>
    <w:rsid w:val="00CE5391"/>
    <w:rsid w:val="00CF12B3"/>
    <w:rsid w:val="00CF1593"/>
    <w:rsid w:val="00CF259C"/>
    <w:rsid w:val="00CF37E8"/>
    <w:rsid w:val="00CF495D"/>
    <w:rsid w:val="00CF4A32"/>
    <w:rsid w:val="00CF4D5C"/>
    <w:rsid w:val="00CF5AA6"/>
    <w:rsid w:val="00D00AAD"/>
    <w:rsid w:val="00D00DFF"/>
    <w:rsid w:val="00D01832"/>
    <w:rsid w:val="00D02026"/>
    <w:rsid w:val="00D0274E"/>
    <w:rsid w:val="00D03F65"/>
    <w:rsid w:val="00D05066"/>
    <w:rsid w:val="00D051C5"/>
    <w:rsid w:val="00D05469"/>
    <w:rsid w:val="00D05817"/>
    <w:rsid w:val="00D06B99"/>
    <w:rsid w:val="00D10412"/>
    <w:rsid w:val="00D10573"/>
    <w:rsid w:val="00D13DE4"/>
    <w:rsid w:val="00D146BD"/>
    <w:rsid w:val="00D14BC8"/>
    <w:rsid w:val="00D14FDD"/>
    <w:rsid w:val="00D151BC"/>
    <w:rsid w:val="00D15EB5"/>
    <w:rsid w:val="00D17BB8"/>
    <w:rsid w:val="00D20C22"/>
    <w:rsid w:val="00D2344A"/>
    <w:rsid w:val="00D2461A"/>
    <w:rsid w:val="00D24C21"/>
    <w:rsid w:val="00D25425"/>
    <w:rsid w:val="00D26C56"/>
    <w:rsid w:val="00D27F3A"/>
    <w:rsid w:val="00D31792"/>
    <w:rsid w:val="00D3254D"/>
    <w:rsid w:val="00D32A7C"/>
    <w:rsid w:val="00D330E3"/>
    <w:rsid w:val="00D34163"/>
    <w:rsid w:val="00D35D87"/>
    <w:rsid w:val="00D35E40"/>
    <w:rsid w:val="00D35E60"/>
    <w:rsid w:val="00D35EC1"/>
    <w:rsid w:val="00D361A3"/>
    <w:rsid w:val="00D41B75"/>
    <w:rsid w:val="00D41BC9"/>
    <w:rsid w:val="00D42777"/>
    <w:rsid w:val="00D42ADA"/>
    <w:rsid w:val="00D4407C"/>
    <w:rsid w:val="00D465C5"/>
    <w:rsid w:val="00D46A1F"/>
    <w:rsid w:val="00D502E8"/>
    <w:rsid w:val="00D50564"/>
    <w:rsid w:val="00D507D6"/>
    <w:rsid w:val="00D509E7"/>
    <w:rsid w:val="00D50D4F"/>
    <w:rsid w:val="00D53003"/>
    <w:rsid w:val="00D534C4"/>
    <w:rsid w:val="00D5482D"/>
    <w:rsid w:val="00D54E31"/>
    <w:rsid w:val="00D560DC"/>
    <w:rsid w:val="00D56831"/>
    <w:rsid w:val="00D60513"/>
    <w:rsid w:val="00D61117"/>
    <w:rsid w:val="00D61DF2"/>
    <w:rsid w:val="00D623C2"/>
    <w:rsid w:val="00D62887"/>
    <w:rsid w:val="00D6348C"/>
    <w:rsid w:val="00D63758"/>
    <w:rsid w:val="00D63A5E"/>
    <w:rsid w:val="00D64639"/>
    <w:rsid w:val="00D64E57"/>
    <w:rsid w:val="00D65931"/>
    <w:rsid w:val="00D661C8"/>
    <w:rsid w:val="00D67843"/>
    <w:rsid w:val="00D73E11"/>
    <w:rsid w:val="00D76663"/>
    <w:rsid w:val="00D8109B"/>
    <w:rsid w:val="00D810E0"/>
    <w:rsid w:val="00D81199"/>
    <w:rsid w:val="00D816C0"/>
    <w:rsid w:val="00D8361B"/>
    <w:rsid w:val="00D854A2"/>
    <w:rsid w:val="00D85949"/>
    <w:rsid w:val="00D86D1A"/>
    <w:rsid w:val="00D90396"/>
    <w:rsid w:val="00D94DE8"/>
    <w:rsid w:val="00D96B97"/>
    <w:rsid w:val="00D96D26"/>
    <w:rsid w:val="00D973DB"/>
    <w:rsid w:val="00DA151A"/>
    <w:rsid w:val="00DA5D18"/>
    <w:rsid w:val="00DA695A"/>
    <w:rsid w:val="00DA6DDC"/>
    <w:rsid w:val="00DA71E4"/>
    <w:rsid w:val="00DA764C"/>
    <w:rsid w:val="00DB2B65"/>
    <w:rsid w:val="00DB2BB6"/>
    <w:rsid w:val="00DB3E79"/>
    <w:rsid w:val="00DB4B2B"/>
    <w:rsid w:val="00DB7160"/>
    <w:rsid w:val="00DB7261"/>
    <w:rsid w:val="00DC1289"/>
    <w:rsid w:val="00DC1A25"/>
    <w:rsid w:val="00DC34C1"/>
    <w:rsid w:val="00DC42CD"/>
    <w:rsid w:val="00DC49E6"/>
    <w:rsid w:val="00DC75BD"/>
    <w:rsid w:val="00DD2C33"/>
    <w:rsid w:val="00DD35EC"/>
    <w:rsid w:val="00DD714F"/>
    <w:rsid w:val="00DD762D"/>
    <w:rsid w:val="00DE0BC8"/>
    <w:rsid w:val="00DE3777"/>
    <w:rsid w:val="00DE539F"/>
    <w:rsid w:val="00DE5A7D"/>
    <w:rsid w:val="00DE5D23"/>
    <w:rsid w:val="00DE7A92"/>
    <w:rsid w:val="00DE7CDF"/>
    <w:rsid w:val="00DF01DE"/>
    <w:rsid w:val="00DF108A"/>
    <w:rsid w:val="00DF41E8"/>
    <w:rsid w:val="00DF4F1C"/>
    <w:rsid w:val="00DF525A"/>
    <w:rsid w:val="00DF594B"/>
    <w:rsid w:val="00DF6812"/>
    <w:rsid w:val="00E00FAA"/>
    <w:rsid w:val="00E01DDB"/>
    <w:rsid w:val="00E042B5"/>
    <w:rsid w:val="00E05033"/>
    <w:rsid w:val="00E0592A"/>
    <w:rsid w:val="00E065C3"/>
    <w:rsid w:val="00E0729C"/>
    <w:rsid w:val="00E10828"/>
    <w:rsid w:val="00E10B04"/>
    <w:rsid w:val="00E10B3E"/>
    <w:rsid w:val="00E13F56"/>
    <w:rsid w:val="00E14ABF"/>
    <w:rsid w:val="00E14DD7"/>
    <w:rsid w:val="00E153B7"/>
    <w:rsid w:val="00E1556A"/>
    <w:rsid w:val="00E163DD"/>
    <w:rsid w:val="00E17C81"/>
    <w:rsid w:val="00E239E9"/>
    <w:rsid w:val="00E23CB0"/>
    <w:rsid w:val="00E277BE"/>
    <w:rsid w:val="00E27EEE"/>
    <w:rsid w:val="00E30D2A"/>
    <w:rsid w:val="00E30DDB"/>
    <w:rsid w:val="00E32265"/>
    <w:rsid w:val="00E3406E"/>
    <w:rsid w:val="00E3430C"/>
    <w:rsid w:val="00E34345"/>
    <w:rsid w:val="00E3503A"/>
    <w:rsid w:val="00E356E8"/>
    <w:rsid w:val="00E35976"/>
    <w:rsid w:val="00E35CF1"/>
    <w:rsid w:val="00E41269"/>
    <w:rsid w:val="00E4187D"/>
    <w:rsid w:val="00E43870"/>
    <w:rsid w:val="00E43B12"/>
    <w:rsid w:val="00E442AB"/>
    <w:rsid w:val="00E46BAB"/>
    <w:rsid w:val="00E46C7A"/>
    <w:rsid w:val="00E47B35"/>
    <w:rsid w:val="00E5176A"/>
    <w:rsid w:val="00E51A3B"/>
    <w:rsid w:val="00E5254C"/>
    <w:rsid w:val="00E525A8"/>
    <w:rsid w:val="00E537C1"/>
    <w:rsid w:val="00E55678"/>
    <w:rsid w:val="00E567F9"/>
    <w:rsid w:val="00E572BC"/>
    <w:rsid w:val="00E60221"/>
    <w:rsid w:val="00E605F1"/>
    <w:rsid w:val="00E6193B"/>
    <w:rsid w:val="00E61A31"/>
    <w:rsid w:val="00E629E6"/>
    <w:rsid w:val="00E6495C"/>
    <w:rsid w:val="00E65DB5"/>
    <w:rsid w:val="00E6675E"/>
    <w:rsid w:val="00E702F8"/>
    <w:rsid w:val="00E70B9F"/>
    <w:rsid w:val="00E71F5C"/>
    <w:rsid w:val="00E73B57"/>
    <w:rsid w:val="00E73D0F"/>
    <w:rsid w:val="00E74843"/>
    <w:rsid w:val="00E750BB"/>
    <w:rsid w:val="00E8168D"/>
    <w:rsid w:val="00E816BC"/>
    <w:rsid w:val="00E85C53"/>
    <w:rsid w:val="00E86A20"/>
    <w:rsid w:val="00E958D4"/>
    <w:rsid w:val="00E95CE8"/>
    <w:rsid w:val="00E96AE2"/>
    <w:rsid w:val="00E96EE0"/>
    <w:rsid w:val="00EA1649"/>
    <w:rsid w:val="00EA23E9"/>
    <w:rsid w:val="00EA37D5"/>
    <w:rsid w:val="00EA73E0"/>
    <w:rsid w:val="00EB0B0F"/>
    <w:rsid w:val="00EB1037"/>
    <w:rsid w:val="00EB15F0"/>
    <w:rsid w:val="00EB2DDA"/>
    <w:rsid w:val="00EB3551"/>
    <w:rsid w:val="00EB687E"/>
    <w:rsid w:val="00EB6F55"/>
    <w:rsid w:val="00EB71D4"/>
    <w:rsid w:val="00EB72BF"/>
    <w:rsid w:val="00EB7429"/>
    <w:rsid w:val="00EB7F81"/>
    <w:rsid w:val="00EC01B1"/>
    <w:rsid w:val="00EC0F1A"/>
    <w:rsid w:val="00EC1701"/>
    <w:rsid w:val="00EC4DC0"/>
    <w:rsid w:val="00EC64E0"/>
    <w:rsid w:val="00ED0974"/>
    <w:rsid w:val="00ED2320"/>
    <w:rsid w:val="00ED25C7"/>
    <w:rsid w:val="00ED3729"/>
    <w:rsid w:val="00ED5300"/>
    <w:rsid w:val="00ED5A71"/>
    <w:rsid w:val="00ED6978"/>
    <w:rsid w:val="00ED7569"/>
    <w:rsid w:val="00ED7DD3"/>
    <w:rsid w:val="00EE04DC"/>
    <w:rsid w:val="00EE0BFA"/>
    <w:rsid w:val="00EE3910"/>
    <w:rsid w:val="00EE3F8A"/>
    <w:rsid w:val="00EE43FE"/>
    <w:rsid w:val="00EE4CBC"/>
    <w:rsid w:val="00EE5784"/>
    <w:rsid w:val="00EE59D4"/>
    <w:rsid w:val="00EE6317"/>
    <w:rsid w:val="00EF0202"/>
    <w:rsid w:val="00EF0F8D"/>
    <w:rsid w:val="00EF1BC4"/>
    <w:rsid w:val="00EF3871"/>
    <w:rsid w:val="00EF3F72"/>
    <w:rsid w:val="00EF4B5D"/>
    <w:rsid w:val="00EF5363"/>
    <w:rsid w:val="00EF639B"/>
    <w:rsid w:val="00EF7177"/>
    <w:rsid w:val="00F0435A"/>
    <w:rsid w:val="00F0497E"/>
    <w:rsid w:val="00F0541B"/>
    <w:rsid w:val="00F10BC1"/>
    <w:rsid w:val="00F11B5C"/>
    <w:rsid w:val="00F12C84"/>
    <w:rsid w:val="00F1443E"/>
    <w:rsid w:val="00F1518F"/>
    <w:rsid w:val="00F159DC"/>
    <w:rsid w:val="00F161EF"/>
    <w:rsid w:val="00F163D2"/>
    <w:rsid w:val="00F16959"/>
    <w:rsid w:val="00F16C67"/>
    <w:rsid w:val="00F210FB"/>
    <w:rsid w:val="00F2180B"/>
    <w:rsid w:val="00F2219C"/>
    <w:rsid w:val="00F26F91"/>
    <w:rsid w:val="00F30045"/>
    <w:rsid w:val="00F30A1A"/>
    <w:rsid w:val="00F30C0A"/>
    <w:rsid w:val="00F33341"/>
    <w:rsid w:val="00F339C0"/>
    <w:rsid w:val="00F33D31"/>
    <w:rsid w:val="00F359C7"/>
    <w:rsid w:val="00F35F30"/>
    <w:rsid w:val="00F3687A"/>
    <w:rsid w:val="00F40C4A"/>
    <w:rsid w:val="00F40F41"/>
    <w:rsid w:val="00F41BAD"/>
    <w:rsid w:val="00F42008"/>
    <w:rsid w:val="00F42484"/>
    <w:rsid w:val="00F44A99"/>
    <w:rsid w:val="00F44C6F"/>
    <w:rsid w:val="00F45FF1"/>
    <w:rsid w:val="00F47137"/>
    <w:rsid w:val="00F537A3"/>
    <w:rsid w:val="00F53CC2"/>
    <w:rsid w:val="00F53DF5"/>
    <w:rsid w:val="00F551E5"/>
    <w:rsid w:val="00F55747"/>
    <w:rsid w:val="00F559DB"/>
    <w:rsid w:val="00F57406"/>
    <w:rsid w:val="00F60007"/>
    <w:rsid w:val="00F60239"/>
    <w:rsid w:val="00F6164D"/>
    <w:rsid w:val="00F61B46"/>
    <w:rsid w:val="00F648BC"/>
    <w:rsid w:val="00F64FD1"/>
    <w:rsid w:val="00F65834"/>
    <w:rsid w:val="00F66D12"/>
    <w:rsid w:val="00F6780F"/>
    <w:rsid w:val="00F67DB0"/>
    <w:rsid w:val="00F70139"/>
    <w:rsid w:val="00F70509"/>
    <w:rsid w:val="00F707AF"/>
    <w:rsid w:val="00F72E86"/>
    <w:rsid w:val="00F72F9A"/>
    <w:rsid w:val="00F73F7C"/>
    <w:rsid w:val="00F74769"/>
    <w:rsid w:val="00F76347"/>
    <w:rsid w:val="00F80E94"/>
    <w:rsid w:val="00F82A75"/>
    <w:rsid w:val="00F8384D"/>
    <w:rsid w:val="00F848A7"/>
    <w:rsid w:val="00F86F94"/>
    <w:rsid w:val="00F87329"/>
    <w:rsid w:val="00F87510"/>
    <w:rsid w:val="00F91E26"/>
    <w:rsid w:val="00F92516"/>
    <w:rsid w:val="00F939EA"/>
    <w:rsid w:val="00F950CA"/>
    <w:rsid w:val="00F960CC"/>
    <w:rsid w:val="00FA29EC"/>
    <w:rsid w:val="00FA4535"/>
    <w:rsid w:val="00FA542F"/>
    <w:rsid w:val="00FA6F70"/>
    <w:rsid w:val="00FB02F0"/>
    <w:rsid w:val="00FB0BCB"/>
    <w:rsid w:val="00FB1EFA"/>
    <w:rsid w:val="00FB4B72"/>
    <w:rsid w:val="00FB58FB"/>
    <w:rsid w:val="00FB7717"/>
    <w:rsid w:val="00FB780D"/>
    <w:rsid w:val="00FB7D62"/>
    <w:rsid w:val="00FB7EB2"/>
    <w:rsid w:val="00FC37EA"/>
    <w:rsid w:val="00FC614B"/>
    <w:rsid w:val="00FC6EEC"/>
    <w:rsid w:val="00FC77E4"/>
    <w:rsid w:val="00FC7A3C"/>
    <w:rsid w:val="00FD24E7"/>
    <w:rsid w:val="00FD2988"/>
    <w:rsid w:val="00FD3078"/>
    <w:rsid w:val="00FD5BC3"/>
    <w:rsid w:val="00FD5D5C"/>
    <w:rsid w:val="00FD6033"/>
    <w:rsid w:val="00FE03DC"/>
    <w:rsid w:val="00FE056C"/>
    <w:rsid w:val="00FE3BDE"/>
    <w:rsid w:val="00FE53C4"/>
    <w:rsid w:val="00FE5CB7"/>
    <w:rsid w:val="00FE623F"/>
    <w:rsid w:val="00FF1B56"/>
    <w:rsid w:val="00FF1BA1"/>
    <w:rsid w:val="00FF32A4"/>
    <w:rsid w:val="00FF519C"/>
    <w:rsid w:val="00FF593A"/>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5E"/>
    <w:pPr>
      <w:jc w:val="both"/>
    </w:pPr>
    <w:rPr>
      <w:rFonts w:ascii="Cambria" w:hAnsi="Cambria"/>
    </w:rPr>
  </w:style>
  <w:style w:type="paragraph" w:styleId="Heading1">
    <w:name w:val="heading 1"/>
    <w:next w:val="BodyText"/>
    <w:link w:val="Heading1Char"/>
    <w:uiPriority w:val="9"/>
    <w:qFormat/>
    <w:rsid w:val="00D560DC"/>
    <w:pPr>
      <w:spacing w:after="120"/>
      <w:outlineLvl w:val="0"/>
    </w:pPr>
    <w:rPr>
      <w:rFonts w:asciiTheme="minorHAnsi" w:eastAsiaTheme="majorEastAsia" w:hAnsiTheme="minorHAnsi" w:cstheme="majorBidi"/>
      <w:b/>
      <w:bCs/>
      <w:color w:val="4F81BD" w:themeColor="accent1"/>
      <w:sz w:val="40"/>
      <w:szCs w:val="26"/>
    </w:rPr>
  </w:style>
  <w:style w:type="paragraph" w:styleId="Heading2">
    <w:name w:val="heading 2"/>
    <w:next w:val="Normal"/>
    <w:link w:val="Heading2Char"/>
    <w:uiPriority w:val="9"/>
    <w:unhideWhenUsed/>
    <w:qFormat/>
    <w:rsid w:val="00925D43"/>
    <w:pPr>
      <w:keepNext/>
      <w:keepLines/>
      <w:spacing w:before="200" w:after="0" w:line="240" w:lineRule="auto"/>
      <w:jc w:val="both"/>
      <w:outlineLvl w:val="1"/>
    </w:pPr>
    <w:rPr>
      <w:rFonts w:asciiTheme="minorHAnsi" w:eastAsiaTheme="majorEastAsia" w:hAnsiTheme="minorHAnsi" w:cstheme="majorBidi"/>
      <w:b/>
      <w:bCs/>
      <w:color w:val="4F81BD" w:themeColor="accent1"/>
      <w:sz w:val="32"/>
      <w:szCs w:val="26"/>
    </w:rPr>
  </w:style>
  <w:style w:type="paragraph" w:styleId="Heading3">
    <w:name w:val="heading 3"/>
    <w:next w:val="BodyText"/>
    <w:link w:val="Heading3Char"/>
    <w:uiPriority w:val="9"/>
    <w:unhideWhenUsed/>
    <w:qFormat/>
    <w:rsid w:val="009A6F8F"/>
    <w:pPr>
      <w:keepNext/>
      <w:keepLines/>
      <w:spacing w:before="200" w:after="0"/>
      <w:outlineLvl w:val="2"/>
    </w:pPr>
    <w:rPr>
      <w:rFonts w:asciiTheme="minorHAnsi" w:eastAsiaTheme="majorEastAsia" w:hAnsiTheme="minorHAnsi" w:cstheme="majorBidi"/>
      <w:b/>
      <w:bCs/>
      <w:i/>
      <w:sz w:val="30"/>
    </w:rPr>
  </w:style>
  <w:style w:type="paragraph" w:styleId="Heading4">
    <w:name w:val="heading 4"/>
    <w:next w:val="BlockText"/>
    <w:link w:val="Heading4Char"/>
    <w:uiPriority w:val="9"/>
    <w:unhideWhenUsed/>
    <w:qFormat/>
    <w:rsid w:val="009F0C29"/>
    <w:pPr>
      <w:keepNext/>
      <w:keepLines/>
      <w:spacing w:before="200" w:after="0"/>
      <w:jc w:val="both"/>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9"/>
    <w:semiHidden/>
    <w:unhideWhenUsed/>
    <w:qFormat/>
    <w:rsid w:val="004C215E"/>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215E"/>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215E"/>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215E"/>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0DC"/>
    <w:rPr>
      <w:rFonts w:asciiTheme="minorHAnsi" w:eastAsiaTheme="majorEastAsia" w:hAnsiTheme="minorHAnsi" w:cstheme="majorBidi"/>
      <w:b/>
      <w:bCs/>
      <w:color w:val="4F81BD" w:themeColor="accent1"/>
      <w:sz w:val="40"/>
      <w:szCs w:val="26"/>
    </w:rPr>
  </w:style>
  <w:style w:type="character" w:customStyle="1" w:styleId="Heading2Char">
    <w:name w:val="Heading 2 Char"/>
    <w:basedOn w:val="DefaultParagraphFont"/>
    <w:link w:val="Heading2"/>
    <w:uiPriority w:val="9"/>
    <w:rsid w:val="00925D43"/>
    <w:rPr>
      <w:rFonts w:asciiTheme="minorHAnsi" w:eastAsiaTheme="majorEastAsia" w:hAnsiTheme="minorHAnsi" w:cstheme="majorBidi"/>
      <w:b/>
      <w:bCs/>
      <w:color w:val="4F81BD" w:themeColor="accent1"/>
      <w:sz w:val="32"/>
      <w:szCs w:val="26"/>
    </w:rPr>
  </w:style>
  <w:style w:type="character" w:customStyle="1" w:styleId="Heading3Char">
    <w:name w:val="Heading 3 Char"/>
    <w:basedOn w:val="DefaultParagraphFont"/>
    <w:link w:val="Heading3"/>
    <w:uiPriority w:val="9"/>
    <w:rsid w:val="009A6F8F"/>
    <w:rPr>
      <w:rFonts w:asciiTheme="minorHAnsi" w:eastAsiaTheme="majorEastAsia" w:hAnsiTheme="minorHAnsi" w:cstheme="majorBidi"/>
      <w:b/>
      <w:bCs/>
      <w:i/>
      <w:sz w:val="30"/>
    </w:rPr>
  </w:style>
  <w:style w:type="paragraph" w:styleId="ListParagraph">
    <w:name w:val="List Paragraph"/>
    <w:aliases w:val="Footnote,BulletPoints,List Paragraph1,Recommendation,Paragraph"/>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basedOn w:val="DefaultParagraphFont"/>
    <w:unhideWhenUsed/>
    <w:rsid w:val="00FF593A"/>
    <w:rPr>
      <w:sz w:val="16"/>
      <w:szCs w:val="16"/>
    </w:rPr>
  </w:style>
  <w:style w:type="paragraph" w:styleId="CommentText">
    <w:name w:val="annotation text"/>
    <w:basedOn w:val="Normal"/>
    <w:link w:val="CommentTextChar"/>
    <w:uiPriority w:val="99"/>
    <w:unhideWhenUsed/>
    <w:rsid w:val="00FF593A"/>
    <w:pPr>
      <w:spacing w:line="240" w:lineRule="auto"/>
    </w:pPr>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basedOn w:val="DefaultParagraphFont"/>
    <w:link w:val="Heading4"/>
    <w:uiPriority w:val="9"/>
    <w:rsid w:val="009F0C29"/>
    <w:rPr>
      <w:rFonts w:asciiTheme="minorHAnsi" w:eastAsiaTheme="majorEastAsia" w:hAnsiTheme="minorHAnsi" w:cstheme="majorBidi"/>
      <w:b/>
      <w:bCs/>
      <w:iCs/>
    </w:rPr>
  </w:style>
  <w:style w:type="character" w:customStyle="1" w:styleId="Heading5Char">
    <w:name w:val="Heading 5 Char"/>
    <w:basedOn w:val="DefaultParagraphFont"/>
    <w:link w:val="Heading5"/>
    <w:uiPriority w:val="9"/>
    <w:semiHidden/>
    <w:rsid w:val="004C21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21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21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qFormat/>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line="240" w:lineRule="auto"/>
    </w:pPr>
    <w:rPr>
      <w:rFonts w:ascii="MuseeBold" w:eastAsia="Times New Roman" w:hAnsi="MuseeBold" w:cs="Times New Roman"/>
      <w:szCs w:val="24"/>
    </w:rPr>
  </w:style>
  <w:style w:type="paragraph" w:customStyle="1" w:styleId="Heading5new">
    <w:name w:val="Heading 5 new"/>
    <w:basedOn w:val="NormalWeb"/>
    <w:link w:val="Heading5newChar"/>
    <w:qFormat/>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qFormat/>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semiHidden/>
    <w:unhideWhenUsed/>
    <w:rsid w:val="00082A2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line="240" w:lineRule="auto"/>
    </w:pPr>
    <w:rPr>
      <w:rFonts w:eastAsia="Times New Roman" w:cs="Times New Roman"/>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next w:val="05Tabletext"/>
    <w:link w:val="CaptionChar"/>
    <w:uiPriority w:val="35"/>
    <w:unhideWhenUsed/>
    <w:qFormat/>
    <w:rsid w:val="00E30D2A"/>
    <w:pPr>
      <w:keepNext/>
      <w:tabs>
        <w:tab w:val="left" w:pos="1134"/>
      </w:tabs>
      <w:spacing w:before="240" w:after="40" w:line="240" w:lineRule="auto"/>
      <w:ind w:left="1134" w:hanging="1134"/>
      <w:jc w:val="both"/>
    </w:pPr>
    <w:rPr>
      <w:rFonts w:asciiTheme="minorHAnsi" w:eastAsia="Calibri" w:hAnsiTheme="minorHAnsi" w:cs="Times New Roman"/>
      <w:b/>
      <w:iCs/>
      <w:szCs w:val="18"/>
      <w:lang w:eastAsia="en-US"/>
    </w:rPr>
  </w:style>
  <w:style w:type="paragraph" w:customStyle="1" w:styleId="ListBullet1">
    <w:name w:val="List Bullet1"/>
    <w:basedOn w:val="Normal"/>
    <w:uiPriority w:val="5"/>
    <w:qFormat/>
    <w:rsid w:val="004C215E"/>
    <w:pPr>
      <w:numPr>
        <w:numId w:val="11"/>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qFormat/>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qFormat/>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qFormat/>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D35EC1"/>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D35EC1"/>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D35EC1"/>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D35EC1"/>
    <w:pPr>
      <w:spacing w:after="100"/>
      <w:ind w:left="1760"/>
      <w:jc w:val="left"/>
    </w:pPr>
    <w:rPr>
      <w:rFonts w:asciiTheme="minorHAnsi" w:eastAsiaTheme="minorEastAsia" w:hAnsiTheme="minorHAnsi"/>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4C215E"/>
    <w:rPr>
      <w:i/>
      <w:iCs/>
    </w:rPr>
  </w:style>
  <w:style w:type="paragraph" w:customStyle="1" w:styleId="Heading51">
    <w:name w:val="Heading 51"/>
    <w:basedOn w:val="Normal"/>
    <w:link w:val="heading5Char0"/>
    <w:qFormat/>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BodyText1">
    <w:name w:val="Body Text1"/>
    <w:basedOn w:val="Normal"/>
    <w:link w:val="BodytextChar"/>
    <w:uiPriority w:val="1"/>
    <w:qFormat/>
    <w:rsid w:val="004C215E"/>
    <w:pPr>
      <w:shd w:val="clear" w:color="auto" w:fill="FFFFFF" w:themeFill="background1"/>
      <w:spacing w:before="120" w:after="120" w:line="260" w:lineRule="exact"/>
      <w:jc w:val="lef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4C215E"/>
    <w:rPr>
      <w:rFonts w:ascii="Arial" w:eastAsia="Times New Roman" w:hAnsi="Arial" w:cs="Arial"/>
      <w:sz w:val="20"/>
      <w:szCs w:val="20"/>
      <w:shd w:val="clear" w:color="auto" w:fill="FFFFFF" w:themeFill="background1"/>
    </w:rPr>
  </w:style>
  <w:style w:type="paragraph" w:customStyle="1" w:styleId="Tablefootnote">
    <w:name w:val="Table footnote"/>
    <w:basedOn w:val="Normal"/>
    <w:next w:val="BodyText1"/>
    <w:link w:val="TablefootnoteCharChar"/>
    <w:uiPriority w:val="57"/>
    <w:rsid w:val="00ED25C7"/>
    <w:pPr>
      <w:spacing w:before="60" w:after="60" w:line="240" w:lineRule="auto"/>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BodyText1"/>
    <w:uiPriority w:val="99"/>
    <w:rsid w:val="00ED25C7"/>
    <w:pPr>
      <w:keepNext/>
      <w:numPr>
        <w:numId w:val="4"/>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5"/>
      </w:numPr>
      <w:spacing w:after="0" w:line="240" w:lineRule="auto"/>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line="240" w:lineRule="auto"/>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Paragraph Char"/>
    <w:basedOn w:val="DefaultParagraphFont"/>
    <w:link w:val="ListParagraph"/>
    <w:uiPriority w:val="34"/>
    <w:locked/>
    <w:rsid w:val="004C215E"/>
    <w:rPr>
      <w:rFonts w:ascii="Cambria" w:hAnsi="Cambria"/>
    </w:rPr>
  </w:style>
  <w:style w:type="paragraph" w:customStyle="1" w:styleId="ToRinbox">
    <w:name w:val="ToR in box"/>
    <w:basedOn w:val="Normal"/>
    <w:qFormat/>
    <w:rsid w:val="00CC1D29"/>
    <w:pPr>
      <w:keepNext/>
      <w:pBdr>
        <w:top w:val="single" w:sz="4" w:space="6" w:color="auto"/>
        <w:left w:val="single" w:sz="4" w:space="4" w:color="auto"/>
        <w:bottom w:val="single" w:sz="4" w:space="6" w:color="auto"/>
        <w:right w:val="single" w:sz="4" w:space="4" w:color="auto"/>
      </w:pBdr>
      <w:shd w:val="clear" w:color="auto" w:fill="F2F2F2"/>
      <w:spacing w:before="120" w:after="0"/>
    </w:pPr>
    <w:rPr>
      <w:rFonts w:eastAsia="Calibri" w:cs="Times New Roman"/>
      <w:szCs w:val="24"/>
      <w:lang w:eastAsia="en-US"/>
    </w:rPr>
  </w:style>
  <w:style w:type="paragraph" w:customStyle="1" w:styleId="Figuretitle">
    <w:name w:val="Figure title"/>
    <w:basedOn w:val="Tabletitle"/>
    <w:link w:val="FiguretitleChar"/>
    <w:qFormat/>
    <w:rsid w:val="000341B3"/>
    <w:pPr>
      <w:keepNext w:val="0"/>
      <w:numPr>
        <w:numId w:val="0"/>
      </w:numPr>
      <w:shd w:val="clear" w:color="auto" w:fill="auto"/>
      <w:spacing w:before="60" w:after="60" w:line="240" w:lineRule="auto"/>
      <w:outlineLvl w:val="3"/>
    </w:pPr>
    <w:rPr>
      <w:rFonts w:eastAsiaTheme="minorEastAsia"/>
      <w:caps w:val="0"/>
      <w:szCs w:val="24"/>
      <w:lang w:val="en-US"/>
    </w:rPr>
  </w:style>
  <w:style w:type="character" w:customStyle="1" w:styleId="FiguretitleChar">
    <w:name w:val="Figure title Char"/>
    <w:basedOn w:val="DefaultParagraphFont"/>
    <w:link w:val="Figuretitle"/>
    <w:rsid w:val="000341B3"/>
    <w:rPr>
      <w:rFonts w:ascii="Arial Narrow" w:eastAsiaTheme="minorEastAsia" w:hAnsi="Arial Narrow" w:cs="Arial"/>
      <w:b/>
      <w:color w:val="4B306A"/>
      <w:sz w:val="16"/>
      <w:szCs w:val="24"/>
      <w:lang w:val="en-US"/>
    </w:rPr>
  </w:style>
  <w:style w:type="paragraph" w:styleId="TableofFigures">
    <w:name w:val="table of figures"/>
    <w:basedOn w:val="Normal"/>
    <w:next w:val="Normal"/>
    <w:uiPriority w:val="99"/>
    <w:unhideWhenUsed/>
    <w:rsid w:val="00702B14"/>
    <w:pPr>
      <w:spacing w:after="0"/>
      <w:ind w:left="480" w:hanging="480"/>
      <w:jc w:val="left"/>
    </w:pPr>
    <w:rPr>
      <w:rFonts w:asciiTheme="minorHAnsi" w:hAnsiTheme="minorHAnsi"/>
      <w:b/>
      <w:bCs/>
      <w:sz w:val="20"/>
      <w:szCs w:val="20"/>
    </w:rPr>
  </w:style>
  <w:style w:type="paragraph" w:customStyle="1" w:styleId="Titlepage">
    <w:name w:val="Title page"/>
    <w:qFormat/>
    <w:rsid w:val="00D560DC"/>
    <w:pPr>
      <w:spacing w:before="120" w:after="0"/>
      <w:jc w:val="center"/>
    </w:pPr>
    <w:rPr>
      <w:rFonts w:ascii="Cambria" w:eastAsia="Calibri" w:hAnsi="Cambria" w:cs="Times New Roman"/>
      <w:sz w:val="40"/>
      <w:szCs w:val="40"/>
      <w:lang w:eastAsia="en-US"/>
    </w:rPr>
  </w:style>
  <w:style w:type="paragraph" w:customStyle="1" w:styleId="FooterwithPortrait">
    <w:name w:val="Footer with # Portrait"/>
    <w:basedOn w:val="Normal"/>
    <w:qFormat/>
    <w:rsid w:val="00D560DC"/>
    <w:pPr>
      <w:pBdr>
        <w:top w:val="single" w:sz="4" w:space="1" w:color="auto"/>
      </w:pBdr>
      <w:tabs>
        <w:tab w:val="right" w:pos="9639"/>
      </w:tabs>
      <w:spacing w:before="240" w:after="0" w:line="240" w:lineRule="auto"/>
      <w:jc w:val="left"/>
    </w:pPr>
    <w:rPr>
      <w:rFonts w:eastAsia="Calibri" w:cs="Times New Roman"/>
      <w:sz w:val="20"/>
      <w:szCs w:val="24"/>
      <w:lang w:eastAsia="en-US"/>
    </w:rPr>
  </w:style>
  <w:style w:type="paragraph" w:customStyle="1" w:styleId="BodyTextnospacebefore">
    <w:name w:val="Body Text – no space before"/>
    <w:next w:val="BodyText"/>
    <w:qFormat/>
    <w:rsid w:val="00D560DC"/>
    <w:rPr>
      <w:rFonts w:asciiTheme="minorHAnsi" w:eastAsia="Calibri" w:hAnsiTheme="minorHAnsi" w:cs="Times New Roman"/>
      <w:szCs w:val="24"/>
      <w:lang w:eastAsia="en-US"/>
    </w:rPr>
  </w:style>
  <w:style w:type="paragraph" w:styleId="BodyText">
    <w:name w:val="Body Text"/>
    <w:basedOn w:val="Normal"/>
    <w:link w:val="BodyTextChar0"/>
    <w:uiPriority w:val="99"/>
    <w:unhideWhenUsed/>
    <w:rsid w:val="00D560DC"/>
    <w:pPr>
      <w:spacing w:after="120"/>
    </w:pPr>
  </w:style>
  <w:style w:type="character" w:customStyle="1" w:styleId="BodyTextChar0">
    <w:name w:val="Body Text Char"/>
    <w:basedOn w:val="DefaultParagraphFont"/>
    <w:link w:val="BodyText"/>
    <w:uiPriority w:val="99"/>
    <w:rsid w:val="00D560DC"/>
    <w:rPr>
      <w:rFonts w:ascii="Cambria" w:hAnsi="Cambria"/>
    </w:rPr>
  </w:style>
  <w:style w:type="paragraph" w:customStyle="1" w:styleId="08Bulletsseriesofsentences">
    <w:name w:val="08. Bullets – series of sentences"/>
    <w:link w:val="08BulletsseriesofsentencesChar"/>
    <w:autoRedefine/>
    <w:qFormat/>
    <w:rsid w:val="009F4DA4"/>
    <w:pPr>
      <w:numPr>
        <w:numId w:val="19"/>
      </w:numPr>
      <w:spacing w:before="60" w:after="120" w:line="240" w:lineRule="auto"/>
    </w:pPr>
    <w:rPr>
      <w:rFonts w:asciiTheme="minorHAnsi" w:eastAsia="Calibri" w:hAnsiTheme="minorHAnsi" w:cs="Times New Roman"/>
      <w:lang w:eastAsia="en-US"/>
    </w:rPr>
  </w:style>
  <w:style w:type="character" w:customStyle="1" w:styleId="08BulletsseriesofsentencesChar">
    <w:name w:val="08. Bullets – series of sentences Char"/>
    <w:link w:val="08Bulletsseriesofsentences"/>
    <w:rsid w:val="009F4DA4"/>
    <w:rPr>
      <w:rFonts w:asciiTheme="minorHAnsi" w:eastAsia="Calibri" w:hAnsiTheme="minorHAnsi" w:cs="Times New Roman"/>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E30D2A"/>
    <w:rPr>
      <w:rFonts w:asciiTheme="minorHAnsi" w:eastAsia="Calibri" w:hAnsiTheme="minorHAnsi" w:cs="Times New Roman"/>
      <w:b/>
      <w:iCs/>
      <w:szCs w:val="18"/>
      <w:lang w:eastAsia="en-US"/>
    </w:rPr>
  </w:style>
  <w:style w:type="paragraph" w:styleId="BlockText">
    <w:name w:val="Block Text"/>
    <w:basedOn w:val="Normal"/>
    <w:uiPriority w:val="99"/>
    <w:semiHidden/>
    <w:unhideWhenUsed/>
    <w:rsid w:val="009F0C2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05Tabletext">
    <w:name w:val="05 Table text"/>
    <w:next w:val="Normal"/>
    <w:qFormat/>
    <w:rsid w:val="00586A81"/>
    <w:pPr>
      <w:spacing w:before="20" w:after="0" w:line="240" w:lineRule="auto"/>
      <w:ind w:left="57" w:right="57"/>
    </w:pPr>
    <w:rPr>
      <w:rFonts w:ascii="Arial Narrow" w:eastAsia="Calibri" w:hAnsi="Arial Narrow" w:cs="Times New Roman"/>
      <w:sz w:val="18"/>
      <w:szCs w:val="24"/>
      <w:lang w:eastAsia="en-US"/>
    </w:rPr>
  </w:style>
  <w:style w:type="character" w:customStyle="1" w:styleId="y0nh2b">
    <w:name w:val="y0nh2b"/>
    <w:basedOn w:val="DefaultParagraphFont"/>
    <w:rsid w:val="007B217C"/>
  </w:style>
  <w:style w:type="character" w:customStyle="1" w:styleId="st1">
    <w:name w:val="st1"/>
    <w:basedOn w:val="DefaultParagraphFont"/>
    <w:rsid w:val="007B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2882">
      <w:bodyDiv w:val="1"/>
      <w:marLeft w:val="0"/>
      <w:marRight w:val="0"/>
      <w:marTop w:val="0"/>
      <w:marBottom w:val="0"/>
      <w:divBdr>
        <w:top w:val="none" w:sz="0" w:space="0" w:color="auto"/>
        <w:left w:val="none" w:sz="0" w:space="0" w:color="auto"/>
        <w:bottom w:val="none" w:sz="0" w:space="0" w:color="auto"/>
        <w:right w:val="none" w:sz="0" w:space="0" w:color="auto"/>
      </w:divBdr>
    </w:div>
    <w:div w:id="80489018">
      <w:bodyDiv w:val="1"/>
      <w:marLeft w:val="0"/>
      <w:marRight w:val="0"/>
      <w:marTop w:val="0"/>
      <w:marBottom w:val="0"/>
      <w:divBdr>
        <w:top w:val="none" w:sz="0" w:space="0" w:color="auto"/>
        <w:left w:val="none" w:sz="0" w:space="0" w:color="auto"/>
        <w:bottom w:val="none" w:sz="0" w:space="0" w:color="auto"/>
        <w:right w:val="none" w:sz="0" w:space="0" w:color="auto"/>
      </w:divBdr>
    </w:div>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60750">
      <w:bodyDiv w:val="1"/>
      <w:marLeft w:val="0"/>
      <w:marRight w:val="0"/>
      <w:marTop w:val="0"/>
      <w:marBottom w:val="0"/>
      <w:divBdr>
        <w:top w:val="none" w:sz="0" w:space="0" w:color="auto"/>
        <w:left w:val="none" w:sz="0" w:space="0" w:color="auto"/>
        <w:bottom w:val="none" w:sz="0" w:space="0" w:color="auto"/>
        <w:right w:val="none" w:sz="0" w:space="0" w:color="auto"/>
      </w:divBdr>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471868023">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07886703">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21385">
          <w:marLeft w:val="0"/>
          <w:marRight w:val="0"/>
          <w:marTop w:val="0"/>
          <w:marBottom w:val="0"/>
          <w:divBdr>
            <w:top w:val="none" w:sz="0" w:space="0" w:color="auto"/>
            <w:left w:val="none" w:sz="0" w:space="0" w:color="auto"/>
            <w:bottom w:val="none" w:sz="0" w:space="0" w:color="auto"/>
            <w:right w:val="none" w:sz="0" w:space="0" w:color="auto"/>
          </w:divBdr>
        </w:div>
        <w:div w:id="146423161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1657687807">
          <w:marLeft w:val="0"/>
          <w:marRight w:val="75"/>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461852159">
          <w:marLeft w:val="0"/>
          <w:marRight w:val="0"/>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250301">
      <w:bodyDiv w:val="1"/>
      <w:marLeft w:val="0"/>
      <w:marRight w:val="0"/>
      <w:marTop w:val="0"/>
      <w:marBottom w:val="0"/>
      <w:divBdr>
        <w:top w:val="none" w:sz="0" w:space="0" w:color="auto"/>
        <w:left w:val="none" w:sz="0" w:space="0" w:color="auto"/>
        <w:bottom w:val="none" w:sz="0" w:space="0" w:color="auto"/>
        <w:right w:val="none" w:sz="0" w:space="0" w:color="auto"/>
      </w:divBdr>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01220504">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er" Target="footer2.xml"/><Relationship Id="rId19"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Initial visit</c:v>
                </c:pt>
              </c:strCache>
            </c:strRef>
          </c:tx>
          <c:spPr>
            <a:solidFill>
              <a:schemeClr val="accent6">
                <a:lumMod val="75000"/>
              </a:schemeClr>
            </a:solidFill>
          </c:spPr>
          <c:invertIfNegative val="0"/>
          <c:cat>
            <c:strRef>
              <c:f>Sheet1!$A$2:$A$5</c:f>
              <c:strCache>
                <c:ptCount val="4"/>
                <c:pt idx="0">
                  <c:v>I</c:v>
                </c:pt>
                <c:pt idx="1">
                  <c:v>II</c:v>
                </c:pt>
                <c:pt idx="2">
                  <c:v>III</c:v>
                </c:pt>
                <c:pt idx="3">
                  <c:v>IV</c:v>
                </c:pt>
              </c:strCache>
            </c:strRef>
          </c:cat>
          <c:val>
            <c:numRef>
              <c:f>Sheet1!$B$2:$B$5</c:f>
              <c:numCache>
                <c:formatCode>General</c:formatCode>
                <c:ptCount val="4"/>
                <c:pt idx="0">
                  <c:v>12</c:v>
                </c:pt>
                <c:pt idx="1">
                  <c:v>210</c:v>
                </c:pt>
                <c:pt idx="2">
                  <c:v>713</c:v>
                </c:pt>
                <c:pt idx="3">
                  <c:v>63</c:v>
                </c:pt>
              </c:numCache>
            </c:numRef>
          </c:val>
          <c:extLst>
            <c:ext xmlns:c16="http://schemas.microsoft.com/office/drawing/2014/chart" uri="{C3380CC4-5D6E-409C-BE32-E72D297353CC}">
              <c16:uniqueId val="{00000000-A968-4D20-BE8A-4DBE9851D2C2}"/>
            </c:ext>
          </c:extLst>
        </c:ser>
        <c:ser>
          <c:idx val="1"/>
          <c:order val="1"/>
          <c:tx>
            <c:strRef>
              <c:f>Sheet1!$C$1</c:f>
              <c:strCache>
                <c:ptCount val="1"/>
                <c:pt idx="0">
                  <c:v>Last assessement</c:v>
                </c:pt>
              </c:strCache>
            </c:strRef>
          </c:tx>
          <c:spPr>
            <a:solidFill>
              <a:srgbClr val="00B0F0"/>
            </a:solidFill>
          </c:spPr>
          <c:invertIfNegative val="0"/>
          <c:cat>
            <c:strRef>
              <c:f>Sheet1!$A$2:$A$5</c:f>
              <c:strCache>
                <c:ptCount val="4"/>
                <c:pt idx="0">
                  <c:v>I</c:v>
                </c:pt>
                <c:pt idx="1">
                  <c:v>II</c:v>
                </c:pt>
                <c:pt idx="2">
                  <c:v>III</c:v>
                </c:pt>
                <c:pt idx="3">
                  <c:v>IV</c:v>
                </c:pt>
              </c:strCache>
            </c:strRef>
          </c:cat>
          <c:val>
            <c:numRef>
              <c:f>Sheet1!$C$2:$C$5</c:f>
              <c:numCache>
                <c:formatCode>General</c:formatCode>
                <c:ptCount val="4"/>
                <c:pt idx="0">
                  <c:v>83</c:v>
                </c:pt>
                <c:pt idx="1">
                  <c:v>452</c:v>
                </c:pt>
                <c:pt idx="2">
                  <c:v>507</c:v>
                </c:pt>
                <c:pt idx="3">
                  <c:v>32</c:v>
                </c:pt>
              </c:numCache>
            </c:numRef>
          </c:val>
          <c:extLst>
            <c:ext xmlns:c16="http://schemas.microsoft.com/office/drawing/2014/chart" uri="{C3380CC4-5D6E-409C-BE32-E72D297353CC}">
              <c16:uniqueId val="{00000001-A968-4D20-BE8A-4DBE9851D2C2}"/>
            </c:ext>
          </c:extLst>
        </c:ser>
        <c:dLbls>
          <c:showLegendKey val="0"/>
          <c:showVal val="0"/>
          <c:showCatName val="0"/>
          <c:showSerName val="0"/>
          <c:showPercent val="0"/>
          <c:showBubbleSize val="0"/>
        </c:dLbls>
        <c:gapWidth val="150"/>
        <c:axId val="231918976"/>
        <c:axId val="231929344"/>
      </c:barChart>
      <c:catAx>
        <c:axId val="231918976"/>
        <c:scaling>
          <c:orientation val="minMax"/>
        </c:scaling>
        <c:delete val="0"/>
        <c:axPos val="b"/>
        <c:title>
          <c:tx>
            <c:rich>
              <a:bodyPr/>
              <a:lstStyle/>
              <a:p>
                <a:pPr>
                  <a:defRPr/>
                </a:pPr>
                <a:r>
                  <a:rPr lang="en-AU"/>
                  <a:t>Function Class</a:t>
                </a:r>
              </a:p>
            </c:rich>
          </c:tx>
          <c:overlay val="0"/>
        </c:title>
        <c:numFmt formatCode="General" sourceLinked="0"/>
        <c:majorTickMark val="out"/>
        <c:minorTickMark val="none"/>
        <c:tickLblPos val="nextTo"/>
        <c:crossAx val="231929344"/>
        <c:crosses val="autoZero"/>
        <c:auto val="1"/>
        <c:lblAlgn val="ctr"/>
        <c:lblOffset val="100"/>
        <c:noMultiLvlLbl val="0"/>
      </c:catAx>
      <c:valAx>
        <c:axId val="231929344"/>
        <c:scaling>
          <c:orientation val="minMax"/>
        </c:scaling>
        <c:delete val="0"/>
        <c:axPos val="l"/>
        <c:majorGridlines>
          <c:spPr>
            <a:ln>
              <a:gradFill>
                <a:gsLst>
                  <a:gs pos="100000">
                    <a:schemeClr val="bg2"/>
                  </a:gs>
                  <a:gs pos="100000">
                    <a:schemeClr val="accent1">
                      <a:tint val="44500"/>
                      <a:satMod val="160000"/>
                    </a:schemeClr>
                  </a:gs>
                  <a:gs pos="100000">
                    <a:schemeClr val="accent1">
                      <a:tint val="23500"/>
                      <a:satMod val="160000"/>
                    </a:schemeClr>
                  </a:gs>
                </a:gsLst>
                <a:lin ang="5400000" scaled="0"/>
              </a:gradFill>
            </a:ln>
          </c:spPr>
        </c:majorGridlines>
        <c:title>
          <c:tx>
            <c:rich>
              <a:bodyPr rot="-5400000" vert="horz"/>
              <a:lstStyle/>
              <a:p>
                <a:pPr>
                  <a:defRPr/>
                </a:pPr>
                <a:r>
                  <a:rPr lang="en-AU"/>
                  <a:t>Number of patients</a:t>
                </a:r>
              </a:p>
            </c:rich>
          </c:tx>
          <c:overlay val="0"/>
        </c:title>
        <c:numFmt formatCode="General" sourceLinked="0"/>
        <c:majorTickMark val="out"/>
        <c:minorTickMark val="none"/>
        <c:tickLblPos val="nextTo"/>
        <c:crossAx val="231918976"/>
        <c:crosses val="autoZero"/>
        <c:crossBetween val="between"/>
        <c:majorUnit val="100"/>
      </c:valAx>
      <c:spPr>
        <a:noFill/>
      </c:spPr>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Diagnosis</c:v>
                </c:pt>
              </c:strCache>
            </c:strRef>
          </c:tx>
          <c:spPr>
            <a:solidFill>
              <a:schemeClr val="accent6">
                <a:lumMod val="75000"/>
              </a:schemeClr>
            </a:solidFill>
          </c:spPr>
          <c:invertIfNegative val="0"/>
          <c:cat>
            <c:strRef>
              <c:f>Sheet1!$A$2:$A$3</c:f>
              <c:strCache>
                <c:ptCount val="2"/>
                <c:pt idx="0">
                  <c:v>I/II</c:v>
                </c:pt>
                <c:pt idx="1">
                  <c:v>III/IV</c:v>
                </c:pt>
              </c:strCache>
            </c:strRef>
          </c:cat>
          <c:val>
            <c:numRef>
              <c:f>Sheet1!$B$2:$B$3</c:f>
              <c:numCache>
                <c:formatCode>General</c:formatCode>
                <c:ptCount val="2"/>
                <c:pt idx="0">
                  <c:v>1</c:v>
                </c:pt>
                <c:pt idx="1">
                  <c:v>91</c:v>
                </c:pt>
              </c:numCache>
            </c:numRef>
          </c:val>
          <c:extLst>
            <c:ext xmlns:c16="http://schemas.microsoft.com/office/drawing/2014/chart" uri="{C3380CC4-5D6E-409C-BE32-E72D297353CC}">
              <c16:uniqueId val="{00000000-5641-4862-ACBD-B089213254C2}"/>
            </c:ext>
          </c:extLst>
        </c:ser>
        <c:ser>
          <c:idx val="1"/>
          <c:order val="1"/>
          <c:tx>
            <c:strRef>
              <c:f>Sheet1!$C$1</c:f>
              <c:strCache>
                <c:ptCount val="1"/>
                <c:pt idx="0">
                  <c:v>Last assessment</c:v>
                </c:pt>
              </c:strCache>
            </c:strRef>
          </c:tx>
          <c:spPr>
            <a:solidFill>
              <a:srgbClr val="00B0F0"/>
            </a:solidFill>
          </c:spPr>
          <c:invertIfNegative val="0"/>
          <c:cat>
            <c:strRef>
              <c:f>Sheet1!$A$2:$A$3</c:f>
              <c:strCache>
                <c:ptCount val="2"/>
                <c:pt idx="0">
                  <c:v>I/II</c:v>
                </c:pt>
                <c:pt idx="1">
                  <c:v>III/IV</c:v>
                </c:pt>
              </c:strCache>
            </c:strRef>
          </c:cat>
          <c:val>
            <c:numRef>
              <c:f>Sheet1!$C$2:$C$3</c:f>
              <c:numCache>
                <c:formatCode>General</c:formatCode>
                <c:ptCount val="2"/>
                <c:pt idx="0">
                  <c:v>25</c:v>
                </c:pt>
                <c:pt idx="1">
                  <c:v>79</c:v>
                </c:pt>
              </c:numCache>
            </c:numRef>
          </c:val>
          <c:extLst>
            <c:ext xmlns:c16="http://schemas.microsoft.com/office/drawing/2014/chart" uri="{C3380CC4-5D6E-409C-BE32-E72D297353CC}">
              <c16:uniqueId val="{00000001-5641-4862-ACBD-B089213254C2}"/>
            </c:ext>
          </c:extLst>
        </c:ser>
        <c:dLbls>
          <c:showLegendKey val="0"/>
          <c:showVal val="0"/>
          <c:showCatName val="0"/>
          <c:showSerName val="0"/>
          <c:showPercent val="0"/>
          <c:showBubbleSize val="0"/>
        </c:dLbls>
        <c:gapWidth val="150"/>
        <c:axId val="234114048"/>
        <c:axId val="234132608"/>
      </c:barChart>
      <c:catAx>
        <c:axId val="234114048"/>
        <c:scaling>
          <c:orientation val="minMax"/>
        </c:scaling>
        <c:delete val="0"/>
        <c:axPos val="b"/>
        <c:title>
          <c:tx>
            <c:rich>
              <a:bodyPr/>
              <a:lstStyle/>
              <a:p>
                <a:pPr>
                  <a:defRPr/>
                </a:pPr>
                <a:r>
                  <a:rPr lang="en-AU"/>
                  <a:t>Function Class</a:t>
                </a:r>
              </a:p>
            </c:rich>
          </c:tx>
          <c:overlay val="0"/>
        </c:title>
        <c:numFmt formatCode="General" sourceLinked="0"/>
        <c:majorTickMark val="out"/>
        <c:minorTickMark val="none"/>
        <c:tickLblPos val="nextTo"/>
        <c:crossAx val="234132608"/>
        <c:crosses val="autoZero"/>
        <c:auto val="1"/>
        <c:lblAlgn val="ctr"/>
        <c:lblOffset val="100"/>
        <c:noMultiLvlLbl val="0"/>
      </c:catAx>
      <c:valAx>
        <c:axId val="234132608"/>
        <c:scaling>
          <c:orientation val="minMax"/>
        </c:scaling>
        <c:delete val="0"/>
        <c:axPos val="l"/>
        <c:majorGridlines>
          <c:spPr>
            <a:ln>
              <a:solidFill>
                <a:schemeClr val="bg2"/>
              </a:solidFill>
            </a:ln>
          </c:spPr>
        </c:majorGridlines>
        <c:title>
          <c:tx>
            <c:rich>
              <a:bodyPr rot="-5400000" vert="horz"/>
              <a:lstStyle/>
              <a:p>
                <a:pPr>
                  <a:defRPr/>
                </a:pPr>
                <a:r>
                  <a:rPr lang="en-AU"/>
                  <a:t>Number of patients</a:t>
                </a:r>
              </a:p>
            </c:rich>
          </c:tx>
          <c:overlay val="0"/>
        </c:title>
        <c:numFmt formatCode="General" sourceLinked="1"/>
        <c:majorTickMark val="out"/>
        <c:minorTickMark val="none"/>
        <c:tickLblPos val="nextTo"/>
        <c:crossAx val="23411404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5639</Words>
  <Characters>32147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2020-05-04T03:47:00Z</dcterms:created>
  <dcterms:modified xsi:type="dcterms:W3CDTF">2020-05-11T01:44:00Z</dcterms:modified>
</cp:coreProperties>
</file>