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F507" w14:textId="77777777" w:rsidR="00DE388A" w:rsidRDefault="00DE388A" w:rsidP="00814BDB">
      <w:pPr>
        <w:contextualSpacing/>
        <w:rPr>
          <w:b/>
        </w:rPr>
      </w:pPr>
    </w:p>
    <w:p w14:paraId="6CF5C963" w14:textId="5326C5FE" w:rsidR="00DE388A" w:rsidRDefault="00C71EA1" w:rsidP="007D4AAD">
      <w:pPr>
        <w:ind w:left="1440" w:hanging="1440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10.04 </w:t>
      </w:r>
      <w:r w:rsidR="007D4AAD">
        <w:rPr>
          <w:b/>
          <w:sz w:val="36"/>
          <w:szCs w:val="36"/>
        </w:rPr>
        <w:tab/>
      </w:r>
      <w:r w:rsidR="00DE388A" w:rsidRPr="00C71EA1">
        <w:rPr>
          <w:b/>
          <w:sz w:val="36"/>
          <w:szCs w:val="36"/>
        </w:rPr>
        <w:t xml:space="preserve">DUSC </w:t>
      </w:r>
      <w:r w:rsidR="007D4AAD">
        <w:rPr>
          <w:b/>
          <w:sz w:val="36"/>
          <w:szCs w:val="36"/>
        </w:rPr>
        <w:t>analysis of medicines for the treatment of type 2 diabetes</w:t>
      </w:r>
    </w:p>
    <w:p w14:paraId="58F995E0" w14:textId="77777777" w:rsidR="00C71EA1" w:rsidRPr="00C71EA1" w:rsidRDefault="00C71EA1" w:rsidP="00814BDB">
      <w:pPr>
        <w:contextualSpacing/>
        <w:rPr>
          <w:b/>
          <w:sz w:val="36"/>
          <w:szCs w:val="36"/>
        </w:rPr>
      </w:pPr>
    </w:p>
    <w:p w14:paraId="3162477D" w14:textId="77777777" w:rsidR="00DE388A" w:rsidRPr="00C71EA1" w:rsidRDefault="00DE388A" w:rsidP="00AC631B">
      <w:pPr>
        <w:pStyle w:val="2Sections"/>
      </w:pPr>
      <w:r w:rsidRPr="00AC631B">
        <w:t>Purpose</w:t>
      </w:r>
      <w:r w:rsidRPr="00C71EA1">
        <w:t xml:space="preserve"> of item</w:t>
      </w:r>
    </w:p>
    <w:p w14:paraId="2A8BE033" w14:textId="7DAAEA6F" w:rsidR="006D0C85" w:rsidRDefault="00DE388A" w:rsidP="00C71EA1">
      <w:pPr>
        <w:numPr>
          <w:ilvl w:val="1"/>
          <w:numId w:val="5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6F0DED">
        <w:rPr>
          <w:rFonts w:asciiTheme="minorHAnsi" w:hAnsiTheme="minorHAnsi" w:cstheme="minorHAnsi"/>
        </w:rPr>
        <w:t xml:space="preserve">To consider advice from </w:t>
      </w:r>
      <w:r w:rsidR="00AC631B">
        <w:rPr>
          <w:rFonts w:asciiTheme="minorHAnsi" w:hAnsiTheme="minorHAnsi" w:cstheme="minorHAnsi"/>
        </w:rPr>
        <w:t>the Drug Utilisation Sub Committee (</w:t>
      </w:r>
      <w:r w:rsidRPr="006F0DED">
        <w:rPr>
          <w:rFonts w:asciiTheme="minorHAnsi" w:hAnsiTheme="minorHAnsi" w:cstheme="minorHAnsi"/>
        </w:rPr>
        <w:t>DUSC</w:t>
      </w:r>
      <w:r w:rsidR="00AC631B">
        <w:rPr>
          <w:rFonts w:asciiTheme="minorHAnsi" w:hAnsiTheme="minorHAnsi" w:cstheme="minorHAnsi"/>
        </w:rPr>
        <w:t>)</w:t>
      </w:r>
      <w:r w:rsidRPr="006F0DED">
        <w:rPr>
          <w:rFonts w:asciiTheme="minorHAnsi" w:hAnsiTheme="minorHAnsi" w:cstheme="minorHAnsi"/>
        </w:rPr>
        <w:t xml:space="preserve"> on the u</w:t>
      </w:r>
      <w:r w:rsidR="00257662">
        <w:rPr>
          <w:rFonts w:asciiTheme="minorHAnsi" w:hAnsiTheme="minorHAnsi" w:cstheme="minorHAnsi"/>
        </w:rPr>
        <w:t>tilisation</w:t>
      </w:r>
      <w:r w:rsidRPr="006F0DED">
        <w:rPr>
          <w:rFonts w:asciiTheme="minorHAnsi" w:hAnsiTheme="minorHAnsi" w:cstheme="minorHAnsi"/>
        </w:rPr>
        <w:t xml:space="preserve"> </w:t>
      </w:r>
      <w:r w:rsidR="00E13BC9">
        <w:rPr>
          <w:rFonts w:asciiTheme="minorHAnsi" w:hAnsiTheme="minorHAnsi" w:cstheme="minorHAnsi"/>
        </w:rPr>
        <w:t>of</w:t>
      </w:r>
      <w:r w:rsidR="006D0C85">
        <w:rPr>
          <w:rFonts w:asciiTheme="minorHAnsi" w:hAnsiTheme="minorHAnsi" w:cstheme="minorHAnsi"/>
        </w:rPr>
        <w:t xml:space="preserve"> medicines for the treatment of type 2 diabetes mellitus (T2DM)</w:t>
      </w:r>
      <w:r w:rsidR="006D0C85" w:rsidRPr="006D0C85">
        <w:t xml:space="preserve"> </w:t>
      </w:r>
      <w:r w:rsidR="006D0C85">
        <w:t xml:space="preserve">with a focus on the use of </w:t>
      </w:r>
      <w:r w:rsidR="006D0C85">
        <w:rPr>
          <w:rFonts w:cs="Arial"/>
        </w:rPr>
        <w:t>glucagon-like peptide</w:t>
      </w:r>
      <w:r w:rsidR="006D0C85">
        <w:rPr>
          <w:rFonts w:cs="Arial"/>
        </w:rPr>
        <w:noBreakHyphen/>
        <w:t>1 receptor agonists</w:t>
      </w:r>
      <w:r w:rsidR="006D0C85">
        <w:t xml:space="preserve"> (GLP</w:t>
      </w:r>
      <w:r w:rsidR="006D0C85">
        <w:noBreakHyphen/>
        <w:t xml:space="preserve">1 RAs), </w:t>
      </w:r>
      <w:r w:rsidR="006D0C85">
        <w:rPr>
          <w:rFonts w:cs="Arial"/>
        </w:rPr>
        <w:t>sodium-glucose cotransporter 2 (</w:t>
      </w:r>
      <w:r w:rsidR="006D0C85">
        <w:t xml:space="preserve">SGLT2) inhibitors and </w:t>
      </w:r>
      <w:r w:rsidR="006D0C85">
        <w:rPr>
          <w:rFonts w:cs="Arial"/>
        </w:rPr>
        <w:t>dipeptidyl peptidase-4 (</w:t>
      </w:r>
      <w:r w:rsidR="006D0C85">
        <w:t>DPP4) inhibitors outside the Pharmaceutical Benefits Scheme (PBS) restrictions</w:t>
      </w:r>
      <w:r w:rsidR="00B22EBA">
        <w:rPr>
          <w:rFonts w:asciiTheme="minorHAnsi" w:hAnsiTheme="minorHAnsi" w:cstheme="minorHAnsi"/>
        </w:rPr>
        <w:t>.</w:t>
      </w:r>
    </w:p>
    <w:p w14:paraId="5E5150B9" w14:textId="2BDB263D" w:rsidR="00AC631B" w:rsidRDefault="00AC631B" w:rsidP="00AC631B">
      <w:pPr>
        <w:pStyle w:val="2Sections"/>
      </w:pPr>
      <w:r w:rsidRPr="00AC631B">
        <w:t>Background</w:t>
      </w:r>
    </w:p>
    <w:p w14:paraId="7C7588D4" w14:textId="4DFB1F6D" w:rsidR="00AC631B" w:rsidRPr="00C15449" w:rsidRDefault="00AC631B" w:rsidP="00AC631B">
      <w:pPr>
        <w:pStyle w:val="4Bodytextnumbered"/>
        <w:ind w:left="0"/>
      </w:pPr>
      <w:r>
        <w:t>The DUSC analysis of</w:t>
      </w:r>
      <w:r>
        <w:rPr>
          <w:rFonts w:cstheme="minorHAnsi"/>
        </w:rPr>
        <w:t xml:space="preserve"> medicines for the treatment of T2DM (September 2022) found the following:</w:t>
      </w:r>
    </w:p>
    <w:p w14:paraId="22CE9E95" w14:textId="022BA632" w:rsidR="006D0C85" w:rsidRPr="006D0C85" w:rsidRDefault="006D0C85" w:rsidP="007404EA">
      <w:pPr>
        <w:numPr>
          <w:ilvl w:val="1"/>
          <w:numId w:val="5"/>
        </w:numPr>
        <w:spacing w:after="200"/>
        <w:ind w:left="709" w:hanging="709"/>
        <w:jc w:val="both"/>
        <w:rPr>
          <w:b/>
          <w:bCs/>
        </w:rPr>
      </w:pPr>
      <w:r w:rsidRPr="006D0C85">
        <w:t>In 2021, the total number of people supplied a medicine for the treatment of T2DM through the PBS was around 1.42 million.</w:t>
      </w:r>
    </w:p>
    <w:p w14:paraId="6BA66EA7" w14:textId="2FF53CAD" w:rsidR="006D0C85" w:rsidRPr="006D0C85" w:rsidRDefault="006D0C85" w:rsidP="007404EA">
      <w:pPr>
        <w:numPr>
          <w:ilvl w:val="1"/>
          <w:numId w:val="5"/>
        </w:numPr>
        <w:spacing w:after="200"/>
        <w:ind w:left="709" w:hanging="709"/>
        <w:jc w:val="both"/>
      </w:pPr>
      <w:r w:rsidRPr="006D0C85">
        <w:t xml:space="preserve">In mid-2022, biguanides (metformin) were the most commonly supplied class of medicines for the treatment of T2DM, followed by (in order), DPP4 inhibitor + metformin FDCs, </w:t>
      </w:r>
      <w:r w:rsidR="006E0FA1">
        <w:t xml:space="preserve">SGLT2 inhibitors, </w:t>
      </w:r>
      <w:r w:rsidRPr="006D0C85">
        <w:t>GLP-1 RAs,</w:t>
      </w:r>
      <w:r w:rsidR="006E0FA1">
        <w:t xml:space="preserve"> and</w:t>
      </w:r>
      <w:r w:rsidRPr="006D0C85">
        <w:t xml:space="preserve"> SU</w:t>
      </w:r>
      <w:r w:rsidR="00806531">
        <w:t>s</w:t>
      </w:r>
      <w:r w:rsidRPr="006D0C85">
        <w:t>.</w:t>
      </w:r>
    </w:p>
    <w:p w14:paraId="6AEFE32B" w14:textId="24F8AB20" w:rsidR="006D0C85" w:rsidRPr="006D0C85" w:rsidRDefault="006D0C85" w:rsidP="007404EA">
      <w:pPr>
        <w:numPr>
          <w:ilvl w:val="1"/>
          <w:numId w:val="5"/>
        </w:numPr>
        <w:spacing w:after="200"/>
        <w:ind w:left="709" w:hanging="709"/>
        <w:jc w:val="both"/>
      </w:pPr>
      <w:r w:rsidRPr="006D0C85">
        <w:t xml:space="preserve">Total </w:t>
      </w:r>
      <w:r w:rsidR="009729E8">
        <w:t xml:space="preserve">annual </w:t>
      </w:r>
      <w:r w:rsidRPr="006D0C85">
        <w:t xml:space="preserve">expenditure based on the published list prices on T2DM medicines has increased from around $516 million in 2017-2018 to around $756 million in 2021-22. </w:t>
      </w:r>
    </w:p>
    <w:p w14:paraId="0FEAD50C" w14:textId="77777777" w:rsidR="006D0C85" w:rsidRPr="006D0C85" w:rsidRDefault="006D0C85" w:rsidP="007404EA">
      <w:pPr>
        <w:numPr>
          <w:ilvl w:val="1"/>
          <w:numId w:val="5"/>
        </w:numPr>
        <w:spacing w:after="200"/>
        <w:ind w:left="709" w:hanging="709"/>
        <w:jc w:val="both"/>
      </w:pPr>
      <w:r w:rsidRPr="006D0C85">
        <w:t>GLP</w:t>
      </w:r>
      <w:r w:rsidRPr="006D0C85">
        <w:noBreakHyphen/>
        <w:t>1 RAs are now the highest expenditure class of medicines on the PBS for the treatment of T2DM accounting for 26% of expenditure in 2021-22 ($194 million).</w:t>
      </w:r>
    </w:p>
    <w:p w14:paraId="3EFBDA8B" w14:textId="77777777" w:rsidR="006D0C85" w:rsidRPr="006D0C85" w:rsidRDefault="006D0C85" w:rsidP="007404EA">
      <w:pPr>
        <w:numPr>
          <w:ilvl w:val="1"/>
          <w:numId w:val="5"/>
        </w:numPr>
        <w:spacing w:after="200"/>
        <w:ind w:left="709" w:hanging="709"/>
        <w:jc w:val="both"/>
      </w:pPr>
      <w:r w:rsidRPr="006D0C85">
        <w:t>There are several examples of apparent use outside the PBS restrictions:</w:t>
      </w:r>
    </w:p>
    <w:p w14:paraId="1C69843D" w14:textId="77777777" w:rsidR="006D0C85" w:rsidRDefault="006D0C85" w:rsidP="007404EA">
      <w:pPr>
        <w:numPr>
          <w:ilvl w:val="2"/>
          <w:numId w:val="5"/>
        </w:numPr>
        <w:spacing w:after="200"/>
        <w:jc w:val="both"/>
      </w:pPr>
      <w:r w:rsidRPr="006D0C85">
        <w:t>From 2017 to mid-2022, 18% of people initiating GLP-1 RA therapy were not supplied metformin, a SU or insulin prior to or at initiation, indicating clear use outside of the PBS restrictions. A further 57% were supplied only insulin, a SU, or metformin prior to or at initiation of a GLP-1 RA, indicating possible use outside of the PBS restrictions.</w:t>
      </w:r>
    </w:p>
    <w:p w14:paraId="7D255414" w14:textId="52B59D89" w:rsidR="006D0C85" w:rsidRPr="006D0C85" w:rsidRDefault="006D0C85" w:rsidP="007404EA">
      <w:pPr>
        <w:numPr>
          <w:ilvl w:val="2"/>
          <w:numId w:val="5"/>
        </w:numPr>
        <w:spacing w:after="200"/>
        <w:jc w:val="both"/>
      </w:pPr>
      <w:r w:rsidRPr="006D0C85">
        <w:t>According to analysis of the prevalent population in 2021, almost 60% of people supplied a GLP-1 RA received this medicine in a regimen that is inconsistent with the PBS restrictions:</w:t>
      </w:r>
    </w:p>
    <w:p w14:paraId="232524B0" w14:textId="77777777" w:rsidR="005A5402" w:rsidRDefault="006D0C85" w:rsidP="007404EA">
      <w:pPr>
        <w:numPr>
          <w:ilvl w:val="3"/>
          <w:numId w:val="5"/>
        </w:numPr>
        <w:spacing w:after="200"/>
        <w:jc w:val="both"/>
      </w:pPr>
      <w:r w:rsidRPr="006D0C85">
        <w:t>42% were supplied a GLP-1 RA in combination with another GLP</w:t>
      </w:r>
      <w:r w:rsidRPr="006D0C85">
        <w:noBreakHyphen/>
        <w:t>1 RA, a DPP4 inhibitor, an SGLT2 inhibitor or a combination of these medicines.</w:t>
      </w:r>
    </w:p>
    <w:p w14:paraId="21200847" w14:textId="77777777" w:rsidR="005A5402" w:rsidRDefault="006D0C85" w:rsidP="007404EA">
      <w:pPr>
        <w:numPr>
          <w:ilvl w:val="3"/>
          <w:numId w:val="5"/>
        </w:numPr>
        <w:spacing w:after="200"/>
        <w:jc w:val="both"/>
      </w:pPr>
      <w:r w:rsidRPr="006D0C85">
        <w:t>27% were supplied a GLP-1 RA without concomitant use of metformin, SU or insulin.</w:t>
      </w:r>
    </w:p>
    <w:p w14:paraId="0B8E4EFC" w14:textId="1977B9CF" w:rsidR="006D0C85" w:rsidRPr="006D0C85" w:rsidRDefault="006D0C85" w:rsidP="007404EA">
      <w:pPr>
        <w:numPr>
          <w:ilvl w:val="3"/>
          <w:numId w:val="5"/>
        </w:numPr>
        <w:spacing w:after="200"/>
        <w:jc w:val="both"/>
      </w:pPr>
      <w:r w:rsidRPr="006D0C85">
        <w:lastRenderedPageBreak/>
        <w:t xml:space="preserve">9.5% crossed both above categories and were supplied a GLP-1 RA without concomitant use of metformin, SU or insulin </w:t>
      </w:r>
      <w:r w:rsidRPr="005A5402">
        <w:rPr>
          <w:u w:val="single"/>
        </w:rPr>
        <w:t>and</w:t>
      </w:r>
      <w:r w:rsidRPr="006D0C85">
        <w:t xml:space="preserve"> in combination with another GLP</w:t>
      </w:r>
      <w:r w:rsidRPr="006D0C85">
        <w:noBreakHyphen/>
        <w:t>1 RA, a DPP4 inhibitor, an SGLT2 inhibitor, or a combination of these medicines.</w:t>
      </w:r>
    </w:p>
    <w:p w14:paraId="6D78D02B" w14:textId="0330AA12" w:rsidR="006D0C85" w:rsidRPr="006D0C85" w:rsidRDefault="006D0C85" w:rsidP="007404EA">
      <w:pPr>
        <w:numPr>
          <w:ilvl w:val="1"/>
          <w:numId w:val="5"/>
        </w:numPr>
        <w:spacing w:after="200"/>
        <w:ind w:left="709" w:hanging="709"/>
        <w:jc w:val="both"/>
      </w:pPr>
      <w:r w:rsidRPr="006D0C85">
        <w:t xml:space="preserve">In 2021, around 15% of people supplied an SGLT2 inhibitor and 16% of people supplied a DPP4 inhibitor received these medicines without concomitant use of metformin, SU or insulin, as required by the PBS restrictions. </w:t>
      </w:r>
    </w:p>
    <w:p w14:paraId="0FAD0CD2" w14:textId="0110C923" w:rsidR="00875DF5" w:rsidRDefault="006D0C85" w:rsidP="00C71EA1">
      <w:pPr>
        <w:numPr>
          <w:ilvl w:val="1"/>
          <w:numId w:val="5"/>
        </w:numPr>
        <w:spacing w:after="200"/>
        <w:ind w:left="709" w:hanging="709"/>
        <w:jc w:val="both"/>
      </w:pPr>
      <w:r w:rsidRPr="006D0C85">
        <w:t>In 2021, around 14% of people supplied an SGLT2 inhibitor and 7% of people supplied a DPP4 inhibitor received these medicines in combination with a GLP</w:t>
      </w:r>
      <w:r w:rsidRPr="006D0C85">
        <w:noBreakHyphen/>
        <w:t>1 RA, use which is inconsistent with the PBS restrictions.</w:t>
      </w:r>
    </w:p>
    <w:p w14:paraId="3F718491" w14:textId="3D0BAF98" w:rsidR="00AC631B" w:rsidRPr="00AC631B" w:rsidRDefault="00AC631B" w:rsidP="00AC631B">
      <w:pPr>
        <w:pStyle w:val="2Sections"/>
      </w:pPr>
      <w:r w:rsidRPr="00C15449">
        <w:t>PBAC Outcome</w:t>
      </w:r>
    </w:p>
    <w:p w14:paraId="0D013B03" w14:textId="01AC0776" w:rsidR="002D2B39" w:rsidRPr="00983C5D" w:rsidRDefault="00AF2D4D" w:rsidP="007404EA">
      <w:pPr>
        <w:numPr>
          <w:ilvl w:val="1"/>
          <w:numId w:val="5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HAnsi"/>
          <w:iCs/>
          <w:lang w:eastAsia="en-US"/>
        </w:rPr>
      </w:pPr>
      <w:r>
        <w:rPr>
          <w:iCs/>
        </w:rPr>
        <w:t xml:space="preserve">The </w:t>
      </w:r>
      <w:r w:rsidR="005A5402">
        <w:rPr>
          <w:iCs/>
        </w:rPr>
        <w:t xml:space="preserve">PBAC noted the increasing use and expenditure on </w:t>
      </w:r>
      <w:r w:rsidR="00983C5D">
        <w:rPr>
          <w:iCs/>
        </w:rPr>
        <w:t xml:space="preserve">T2DM </w:t>
      </w:r>
      <w:r w:rsidR="00F6043D">
        <w:rPr>
          <w:iCs/>
        </w:rPr>
        <w:t xml:space="preserve">medicines through the PBS during 2017-2022, particularly for </w:t>
      </w:r>
      <w:r w:rsidR="005A5402">
        <w:rPr>
          <w:iCs/>
        </w:rPr>
        <w:t>GLP-1 RAs and SGLT2 inhibitors</w:t>
      </w:r>
      <w:r w:rsidR="00F6043D">
        <w:rPr>
          <w:iCs/>
        </w:rPr>
        <w:t xml:space="preserve">. </w:t>
      </w:r>
      <w:r>
        <w:rPr>
          <w:iCs/>
        </w:rPr>
        <w:t xml:space="preserve">The </w:t>
      </w:r>
      <w:r w:rsidR="00F6043D" w:rsidRPr="00EA447D">
        <w:rPr>
          <w:iCs/>
        </w:rPr>
        <w:t xml:space="preserve">PBAC noted </w:t>
      </w:r>
      <w:r w:rsidR="00983C5D">
        <w:rPr>
          <w:iCs/>
        </w:rPr>
        <w:t>the</w:t>
      </w:r>
      <w:r w:rsidR="00F6043D" w:rsidRPr="00EA447D">
        <w:rPr>
          <w:iCs/>
        </w:rPr>
        <w:t xml:space="preserve"> decline in expenditure on insulin for the treatment of </w:t>
      </w:r>
      <w:r w:rsidR="00983C5D">
        <w:rPr>
          <w:iCs/>
        </w:rPr>
        <w:t xml:space="preserve">T2DM </w:t>
      </w:r>
      <w:r w:rsidR="00EA447D">
        <w:rPr>
          <w:iCs/>
        </w:rPr>
        <w:t>over this period</w:t>
      </w:r>
      <w:r w:rsidR="002D2B39" w:rsidRPr="00EA447D">
        <w:rPr>
          <w:iCs/>
        </w:rPr>
        <w:t xml:space="preserve">. </w:t>
      </w:r>
    </w:p>
    <w:p w14:paraId="2880DCF4" w14:textId="25353F45" w:rsidR="0075103C" w:rsidRPr="002D2B39" w:rsidRDefault="00AF2D4D" w:rsidP="007404EA">
      <w:pPr>
        <w:numPr>
          <w:ilvl w:val="1"/>
          <w:numId w:val="5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HAnsi"/>
          <w:iCs/>
          <w:lang w:eastAsia="en-US"/>
        </w:rPr>
      </w:pPr>
      <w:r>
        <w:rPr>
          <w:iCs/>
        </w:rPr>
        <w:t xml:space="preserve">The </w:t>
      </w:r>
      <w:r w:rsidR="002D2B39">
        <w:rPr>
          <w:iCs/>
        </w:rPr>
        <w:t>PBAC noted the substantial use of GLP-1 RAs outside of the PBS restrictions,</w:t>
      </w:r>
      <w:r w:rsidR="007404EA">
        <w:rPr>
          <w:iCs/>
        </w:rPr>
        <w:t xml:space="preserve"> including use as a first-line therapy, use without required concomitant therapies</w:t>
      </w:r>
      <w:r w:rsidR="00AC631B">
        <w:rPr>
          <w:iCs/>
        </w:rPr>
        <w:t>,</w:t>
      </w:r>
      <w:r w:rsidR="007404EA">
        <w:rPr>
          <w:iCs/>
        </w:rPr>
        <w:t xml:space="preserve"> and use in combination with DPP4 and SGLT2 </w:t>
      </w:r>
      <w:r w:rsidR="00BC0F4A">
        <w:rPr>
          <w:iCs/>
        </w:rPr>
        <w:t>inhibitors</w:t>
      </w:r>
      <w:r w:rsidR="007404EA">
        <w:rPr>
          <w:iCs/>
        </w:rPr>
        <w:t>. The PBAC also noted</w:t>
      </w:r>
      <w:r w:rsidR="00BC0F4A">
        <w:rPr>
          <w:iCs/>
        </w:rPr>
        <w:t xml:space="preserve"> </w:t>
      </w:r>
      <w:r w:rsidR="002D2B39">
        <w:rPr>
          <w:iCs/>
        </w:rPr>
        <w:t>that there</w:t>
      </w:r>
      <w:r w:rsidR="008B30A5">
        <w:rPr>
          <w:iCs/>
        </w:rPr>
        <w:t xml:space="preserve"> was </w:t>
      </w:r>
      <w:r w:rsidR="002D2B39">
        <w:rPr>
          <w:iCs/>
        </w:rPr>
        <w:t>some use of SGLT2 and DPP4 inhibitors outside of the PBS restrictions</w:t>
      </w:r>
      <w:r w:rsidR="00BC0F4A">
        <w:rPr>
          <w:iCs/>
        </w:rPr>
        <w:t>, including likely use in monotherapy, as a first-line therapy, and use in combination with a GLP</w:t>
      </w:r>
      <w:r w:rsidR="00AC631B">
        <w:rPr>
          <w:iCs/>
        </w:rPr>
        <w:noBreakHyphen/>
      </w:r>
      <w:r w:rsidR="00BC0F4A">
        <w:rPr>
          <w:iCs/>
        </w:rPr>
        <w:t>1</w:t>
      </w:r>
      <w:r w:rsidR="00AC631B">
        <w:rPr>
          <w:iCs/>
        </w:rPr>
        <w:t> </w:t>
      </w:r>
      <w:r w:rsidR="00BC0F4A">
        <w:rPr>
          <w:iCs/>
        </w:rPr>
        <w:t>RA</w:t>
      </w:r>
      <w:r w:rsidR="002D2B39">
        <w:rPr>
          <w:iCs/>
        </w:rPr>
        <w:t xml:space="preserve">. However, </w:t>
      </w:r>
      <w:r>
        <w:rPr>
          <w:iCs/>
        </w:rPr>
        <w:t xml:space="preserve">the </w:t>
      </w:r>
      <w:r w:rsidR="002D2B39">
        <w:rPr>
          <w:iCs/>
        </w:rPr>
        <w:t xml:space="preserve">PBAC considered that </w:t>
      </w:r>
      <w:r w:rsidR="00F6043D">
        <w:rPr>
          <w:iCs/>
        </w:rPr>
        <w:t xml:space="preserve">some </w:t>
      </w:r>
      <w:r w:rsidR="002D2B39">
        <w:rPr>
          <w:iCs/>
        </w:rPr>
        <w:t>of this use was</w:t>
      </w:r>
      <w:r w:rsidR="00F6043D">
        <w:rPr>
          <w:iCs/>
        </w:rPr>
        <w:t xml:space="preserve"> likely to be</w:t>
      </w:r>
      <w:r w:rsidR="002D2B39">
        <w:rPr>
          <w:iCs/>
        </w:rPr>
        <w:t xml:space="preserve"> in </w:t>
      </w:r>
      <w:r w:rsidR="00F6043D">
        <w:rPr>
          <w:iCs/>
        </w:rPr>
        <w:t xml:space="preserve">accordance </w:t>
      </w:r>
      <w:r w:rsidR="002D2B39">
        <w:rPr>
          <w:iCs/>
        </w:rPr>
        <w:t>with Australian and international clinical treatment guidelines</w:t>
      </w:r>
      <w:r w:rsidR="008310B2">
        <w:rPr>
          <w:iCs/>
        </w:rPr>
        <w:t xml:space="preserve"> and considered that there was growing misalignment between clinical guidelines and the PBS restrictions</w:t>
      </w:r>
      <w:r w:rsidR="002D2B39">
        <w:rPr>
          <w:iCs/>
        </w:rPr>
        <w:t>.</w:t>
      </w:r>
      <w:r w:rsidR="00F6043D">
        <w:rPr>
          <w:iCs/>
        </w:rPr>
        <w:t xml:space="preserve"> </w:t>
      </w:r>
    </w:p>
    <w:p w14:paraId="4C181E5B" w14:textId="70864ED0" w:rsidR="00F6043D" w:rsidRPr="00A41D9A" w:rsidRDefault="00AF2D4D" w:rsidP="007404EA">
      <w:pPr>
        <w:numPr>
          <w:ilvl w:val="1"/>
          <w:numId w:val="5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HAnsi"/>
          <w:iCs/>
          <w:lang w:eastAsia="en-US"/>
        </w:rPr>
      </w:pPr>
      <w:r>
        <w:rPr>
          <w:iCs/>
        </w:rPr>
        <w:t xml:space="preserve">The </w:t>
      </w:r>
      <w:r w:rsidR="00F6043D">
        <w:rPr>
          <w:iCs/>
        </w:rPr>
        <w:t>PBAC considered that many clinicians may</w:t>
      </w:r>
      <w:r w:rsidR="001F2C59">
        <w:rPr>
          <w:iCs/>
        </w:rPr>
        <w:t xml:space="preserve"> have a broader</w:t>
      </w:r>
      <w:r w:rsidR="00F6043D">
        <w:rPr>
          <w:iCs/>
        </w:rPr>
        <w:t xml:space="preserve"> view </w:t>
      </w:r>
      <w:r w:rsidR="001F2C59">
        <w:rPr>
          <w:iCs/>
        </w:rPr>
        <w:t xml:space="preserve">of contraindication to </w:t>
      </w:r>
      <w:r w:rsidR="00F6043D">
        <w:rPr>
          <w:iCs/>
        </w:rPr>
        <w:t>sulfonylurea due to the association</w:t>
      </w:r>
      <w:r w:rsidR="001F2C59">
        <w:rPr>
          <w:iCs/>
        </w:rPr>
        <w:t xml:space="preserve"> of this class</w:t>
      </w:r>
      <w:r w:rsidR="00F6043D">
        <w:rPr>
          <w:iCs/>
        </w:rPr>
        <w:t xml:space="preserve"> with increased risk of hypoglycaemia and weight gain. </w:t>
      </w:r>
    </w:p>
    <w:p w14:paraId="1C87B038" w14:textId="1263DDC4" w:rsidR="002D2B39" w:rsidRPr="00AC631B" w:rsidRDefault="00AF2D4D" w:rsidP="007404EA">
      <w:pPr>
        <w:numPr>
          <w:ilvl w:val="1"/>
          <w:numId w:val="5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HAnsi"/>
          <w:iCs/>
          <w:lang w:eastAsia="en-US"/>
        </w:rPr>
      </w:pPr>
      <w:r>
        <w:rPr>
          <w:iCs/>
        </w:rPr>
        <w:t xml:space="preserve">The </w:t>
      </w:r>
      <w:r w:rsidR="00EA447D">
        <w:rPr>
          <w:iCs/>
        </w:rPr>
        <w:t xml:space="preserve">PBAC noted that while metformin remains the most common medicine to initiate T2DM therapy, there was a rapid increase in the number of patients initiating </w:t>
      </w:r>
      <w:r w:rsidR="00983C5D">
        <w:rPr>
          <w:iCs/>
        </w:rPr>
        <w:t xml:space="preserve">T2DM </w:t>
      </w:r>
      <w:r w:rsidR="00EA447D">
        <w:rPr>
          <w:iCs/>
        </w:rPr>
        <w:t xml:space="preserve">therapy with a GLP-1 RA or SGLT2 inhibitor since 2021. </w:t>
      </w:r>
      <w:r>
        <w:rPr>
          <w:iCs/>
        </w:rPr>
        <w:t xml:space="preserve">The </w:t>
      </w:r>
      <w:r w:rsidR="002D2B39" w:rsidRPr="00EA447D">
        <w:rPr>
          <w:iCs/>
        </w:rPr>
        <w:t xml:space="preserve">PBAC considered that it was still appropriate for patients without a contraindication to </w:t>
      </w:r>
      <w:r w:rsidR="0091169B">
        <w:rPr>
          <w:iCs/>
        </w:rPr>
        <w:t>initiate first</w:t>
      </w:r>
      <w:r w:rsidR="00AC631B">
        <w:rPr>
          <w:iCs/>
        </w:rPr>
        <w:t>-</w:t>
      </w:r>
      <w:r w:rsidR="0091169B">
        <w:rPr>
          <w:iCs/>
        </w:rPr>
        <w:t xml:space="preserve">line T2DM drug therapy with </w:t>
      </w:r>
      <w:r w:rsidR="002D2B39" w:rsidRPr="00EA447D">
        <w:rPr>
          <w:iCs/>
        </w:rPr>
        <w:t xml:space="preserve">metformin </w:t>
      </w:r>
      <w:r w:rsidR="00A41D9A" w:rsidRPr="00EA447D">
        <w:rPr>
          <w:iCs/>
        </w:rPr>
        <w:t xml:space="preserve">prior to initiation of a GLP-1 RA, SGLT2 inhibitor or DPP4 inhibitor, and that </w:t>
      </w:r>
      <w:r w:rsidR="008B30A5">
        <w:rPr>
          <w:iCs/>
        </w:rPr>
        <w:t xml:space="preserve">most </w:t>
      </w:r>
      <w:r w:rsidR="00A41D9A" w:rsidRPr="00EA447D">
        <w:rPr>
          <w:iCs/>
        </w:rPr>
        <w:t>clinical guidelines supported this treatment pathway.</w:t>
      </w:r>
    </w:p>
    <w:p w14:paraId="25315364" w14:textId="77777777" w:rsidR="00F91C43" w:rsidRPr="00F91C43" w:rsidRDefault="00AC631B" w:rsidP="00AC631B">
      <w:pPr>
        <w:numPr>
          <w:ilvl w:val="1"/>
          <w:numId w:val="5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HAnsi"/>
          <w:iCs/>
          <w:lang w:eastAsia="en-US"/>
        </w:rPr>
      </w:pPr>
      <w:r>
        <w:rPr>
          <w:iCs/>
        </w:rPr>
        <w:t xml:space="preserve">The PBAC considered that there may be some prescriber confusion regarding the restrictions (and clinical indications) for T2DM medicines, given evidence of sub-optimal prescribing, such as co-prescribing of DPP4 inhibitors and GLP-1 RAs. </w:t>
      </w:r>
    </w:p>
    <w:p w14:paraId="1EBCADB8" w14:textId="4F702082" w:rsidR="00A41D9A" w:rsidRPr="00F91C43" w:rsidRDefault="00AF2D4D" w:rsidP="00F91C43">
      <w:pPr>
        <w:numPr>
          <w:ilvl w:val="1"/>
          <w:numId w:val="5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HAnsi"/>
          <w:iCs/>
          <w:lang w:eastAsia="en-US"/>
        </w:rPr>
      </w:pPr>
      <w:r w:rsidRPr="00AC631B">
        <w:rPr>
          <w:iCs/>
        </w:rPr>
        <w:t xml:space="preserve">The </w:t>
      </w:r>
      <w:r w:rsidR="00A41D9A" w:rsidRPr="00AC631B">
        <w:rPr>
          <w:iCs/>
        </w:rPr>
        <w:t>PBA</w:t>
      </w:r>
      <w:r w:rsidR="00F6043D" w:rsidRPr="00AC631B">
        <w:rPr>
          <w:iCs/>
        </w:rPr>
        <w:t>C</w:t>
      </w:r>
      <w:r w:rsidR="00A41D9A" w:rsidRPr="00AC631B">
        <w:rPr>
          <w:iCs/>
        </w:rPr>
        <w:t xml:space="preserve"> </w:t>
      </w:r>
      <w:r w:rsidR="00F91C43">
        <w:rPr>
          <w:iCs/>
        </w:rPr>
        <w:t xml:space="preserve">considered </w:t>
      </w:r>
      <w:r w:rsidR="00F6043D" w:rsidRPr="00F6043D">
        <w:t>prescribing of GLP</w:t>
      </w:r>
      <w:r w:rsidR="00F6043D" w:rsidRPr="00F6043D">
        <w:noBreakHyphen/>
        <w:t xml:space="preserve">1 RAs concomitantly with DPP4 inhibitors </w:t>
      </w:r>
      <w:r w:rsidR="00F6043D">
        <w:t xml:space="preserve">to be both </w:t>
      </w:r>
      <w:r w:rsidR="00F6043D" w:rsidRPr="00F6043D">
        <w:t>clinically inappropriate</w:t>
      </w:r>
      <w:r w:rsidR="00F6043D">
        <w:t xml:space="preserve"> and non-cost-effective</w:t>
      </w:r>
      <w:r w:rsidR="003C6EDF">
        <w:t xml:space="preserve">, as there </w:t>
      </w:r>
      <w:r w:rsidR="00983C5D">
        <w:t>is currently</w:t>
      </w:r>
      <w:r w:rsidR="003C6EDF">
        <w:t xml:space="preserve"> no evidence to support the use of this combination</w:t>
      </w:r>
      <w:r w:rsidR="00F6043D" w:rsidRPr="00F6043D">
        <w:t xml:space="preserve">. </w:t>
      </w:r>
      <w:r w:rsidR="00136E72">
        <w:t>The PBAC also noted some use of GLP-1 RAs with SGLT2 inhibitors</w:t>
      </w:r>
      <w:r w:rsidR="00AB40F4">
        <w:t>, which has not been considered by the PBAC for cost-effectiveness</w:t>
      </w:r>
      <w:r w:rsidR="00136E72">
        <w:t xml:space="preserve">. </w:t>
      </w:r>
      <w:r>
        <w:t xml:space="preserve">The </w:t>
      </w:r>
      <w:r w:rsidR="00F6043D" w:rsidRPr="00604E37">
        <w:t xml:space="preserve">PBAC noted that the PBS restrictions for </w:t>
      </w:r>
      <w:r w:rsidR="00574605">
        <w:t xml:space="preserve">SGLT2 inhibitors and DPP4 inhibitors </w:t>
      </w:r>
      <w:r w:rsidR="00AE26F4" w:rsidRPr="00604E37">
        <w:t>contain a ‘N</w:t>
      </w:r>
      <w:r w:rsidR="00F6043D" w:rsidRPr="00604E37">
        <w:t>ote</w:t>
      </w:r>
      <w:r w:rsidR="00AE26F4" w:rsidRPr="00604E37">
        <w:t>’</w:t>
      </w:r>
      <w:r w:rsidR="00F6043D" w:rsidRPr="00604E37">
        <w:t xml:space="preserve"> that the</w:t>
      </w:r>
      <w:r w:rsidR="00AE26F4" w:rsidRPr="00604E37">
        <w:t>se medicines</w:t>
      </w:r>
      <w:r w:rsidR="00F6043D" w:rsidRPr="00604E37">
        <w:t xml:space="preserve"> are not subsidised for use in </w:t>
      </w:r>
      <w:r w:rsidR="00F6043D" w:rsidRPr="00604E37">
        <w:lastRenderedPageBreak/>
        <w:t>combination with</w:t>
      </w:r>
      <w:r w:rsidR="00574605">
        <w:t xml:space="preserve"> a GLP-1 RA</w:t>
      </w:r>
      <w:r w:rsidR="00F6043D" w:rsidRPr="00604E37">
        <w:t>.</w:t>
      </w:r>
      <w:r w:rsidR="00EA447D" w:rsidRPr="00604E37">
        <w:t xml:space="preserve"> </w:t>
      </w:r>
      <w:r w:rsidR="001B36A3">
        <w:t xml:space="preserve">The </w:t>
      </w:r>
      <w:r w:rsidR="00AE26F4" w:rsidRPr="00604E37">
        <w:t xml:space="preserve">PBAC considered </w:t>
      </w:r>
      <w:r w:rsidR="00136E72">
        <w:t xml:space="preserve">that it may be useful to </w:t>
      </w:r>
      <w:r w:rsidR="00AE26F4" w:rsidRPr="00604E37">
        <w:t>mov</w:t>
      </w:r>
      <w:r w:rsidR="00136E72">
        <w:t>e</w:t>
      </w:r>
      <w:r w:rsidR="00AE26F4" w:rsidRPr="00604E37">
        <w:t xml:space="preserve"> this </w:t>
      </w:r>
      <w:r w:rsidR="0091169B">
        <w:t>requirement to a</w:t>
      </w:r>
      <w:r w:rsidR="004E57F4">
        <w:t xml:space="preserve">n </w:t>
      </w:r>
      <w:r w:rsidR="00BC0F4A">
        <w:t>exclusionary</w:t>
      </w:r>
      <w:r w:rsidR="00AE26F4" w:rsidRPr="00604E37">
        <w:t xml:space="preserve"> ‘Treatment Criterion’ </w:t>
      </w:r>
      <w:r w:rsidR="00AB4D45" w:rsidRPr="00604E37">
        <w:t xml:space="preserve">to </w:t>
      </w:r>
      <w:r>
        <w:t>aid in drawing th</w:t>
      </w:r>
      <w:r w:rsidR="00574605">
        <w:t>is</w:t>
      </w:r>
      <w:r>
        <w:t xml:space="preserve"> requirement</w:t>
      </w:r>
      <w:r w:rsidR="0091169B">
        <w:t xml:space="preserve"> to the</w:t>
      </w:r>
      <w:r w:rsidR="00574605">
        <w:t xml:space="preserve"> attention of</w:t>
      </w:r>
      <w:r w:rsidR="0091169B">
        <w:t xml:space="preserve"> </w:t>
      </w:r>
      <w:r w:rsidR="004E57F4">
        <w:t>prescriber</w:t>
      </w:r>
      <w:r w:rsidR="00574605">
        <w:t>s</w:t>
      </w:r>
      <w:r w:rsidR="00AB4D45" w:rsidRPr="00604E37">
        <w:t xml:space="preserve">. </w:t>
      </w:r>
      <w:r>
        <w:t xml:space="preserve">The </w:t>
      </w:r>
      <w:r w:rsidR="00EA447D" w:rsidRPr="00604E37">
        <w:t>PBAC</w:t>
      </w:r>
      <w:r w:rsidR="00EA447D">
        <w:t xml:space="preserve"> advised that it may </w:t>
      </w:r>
      <w:r w:rsidR="00AB4D45">
        <w:t xml:space="preserve">also </w:t>
      </w:r>
      <w:r w:rsidR="00EA447D">
        <w:t xml:space="preserve">be appropriate for the Department to consider quality use of medicines educational activities </w:t>
      </w:r>
      <w:r w:rsidR="003C6EDF">
        <w:t>on</w:t>
      </w:r>
      <w:r w:rsidR="00EA447D">
        <w:t xml:space="preserve"> this topic </w:t>
      </w:r>
      <w:r w:rsidR="003C6EDF">
        <w:t>for</w:t>
      </w:r>
      <w:r w:rsidR="00EA447D">
        <w:t xml:space="preserve"> prescribers</w:t>
      </w:r>
      <w:r w:rsidR="007B0D14">
        <w:t xml:space="preserve">, </w:t>
      </w:r>
      <w:r w:rsidR="00EA447D">
        <w:t>pharmacists</w:t>
      </w:r>
      <w:r w:rsidR="00F91C43">
        <w:t>,</w:t>
      </w:r>
      <w:r w:rsidR="007B0D14">
        <w:t xml:space="preserve"> and consumers</w:t>
      </w:r>
      <w:r w:rsidR="00EA447D">
        <w:t>.</w:t>
      </w:r>
    </w:p>
    <w:p w14:paraId="33B44C60" w14:textId="621780F0" w:rsidR="001F2C59" w:rsidRDefault="00AF2D4D" w:rsidP="007404EA">
      <w:pPr>
        <w:numPr>
          <w:ilvl w:val="1"/>
          <w:numId w:val="5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HAnsi"/>
          <w:iCs/>
          <w:lang w:eastAsia="en-US"/>
        </w:rPr>
      </w:pPr>
      <w:r>
        <w:rPr>
          <w:rFonts w:asciiTheme="minorHAnsi" w:eastAsiaTheme="minorHAnsi" w:hAnsiTheme="minorHAnsi" w:cstheme="minorHAnsi"/>
          <w:iCs/>
          <w:lang w:eastAsia="en-US"/>
        </w:rPr>
        <w:t xml:space="preserve">The </w:t>
      </w:r>
      <w:r w:rsidR="004D7189">
        <w:rPr>
          <w:rFonts w:asciiTheme="minorHAnsi" w:eastAsiaTheme="minorHAnsi" w:hAnsiTheme="minorHAnsi" w:cstheme="minorHAnsi"/>
          <w:iCs/>
          <w:lang w:eastAsia="en-US"/>
        </w:rPr>
        <w:t xml:space="preserve">PBAC requested that the Department draft restriction changes to </w:t>
      </w:r>
      <w:r w:rsidR="00AB40F4">
        <w:rPr>
          <w:rFonts w:asciiTheme="minorHAnsi" w:eastAsiaTheme="minorHAnsi" w:hAnsiTheme="minorHAnsi" w:cstheme="minorHAnsi"/>
          <w:iCs/>
          <w:lang w:eastAsia="en-US"/>
        </w:rPr>
        <w:t xml:space="preserve">amend </w:t>
      </w:r>
      <w:r w:rsidR="004D7189">
        <w:rPr>
          <w:rFonts w:asciiTheme="minorHAnsi" w:eastAsiaTheme="minorHAnsi" w:hAnsiTheme="minorHAnsi" w:cstheme="minorHAnsi"/>
          <w:iCs/>
          <w:lang w:eastAsia="en-US"/>
        </w:rPr>
        <w:t>the</w:t>
      </w:r>
      <w:r w:rsidR="004E57F4">
        <w:rPr>
          <w:rFonts w:asciiTheme="minorHAnsi" w:eastAsiaTheme="minorHAnsi" w:hAnsiTheme="minorHAnsi" w:cstheme="minorHAnsi"/>
          <w:iCs/>
          <w:lang w:eastAsia="en-US"/>
        </w:rPr>
        <w:t xml:space="preserve"> restriction type</w:t>
      </w:r>
      <w:r w:rsidR="00AB40F4">
        <w:rPr>
          <w:rFonts w:asciiTheme="minorHAnsi" w:eastAsiaTheme="minorHAnsi" w:hAnsiTheme="minorHAnsi" w:cstheme="minorHAnsi"/>
          <w:iCs/>
          <w:lang w:eastAsia="en-US"/>
        </w:rPr>
        <w:t xml:space="preserve"> </w:t>
      </w:r>
      <w:r w:rsidR="004D7189">
        <w:rPr>
          <w:rFonts w:asciiTheme="minorHAnsi" w:eastAsiaTheme="minorHAnsi" w:hAnsiTheme="minorHAnsi" w:cstheme="minorHAnsi"/>
          <w:iCs/>
          <w:lang w:eastAsia="en-US"/>
        </w:rPr>
        <w:t>for GLP-1 RA</w:t>
      </w:r>
      <w:r w:rsidR="002743FB">
        <w:rPr>
          <w:rFonts w:asciiTheme="minorHAnsi" w:eastAsiaTheme="minorHAnsi" w:hAnsiTheme="minorHAnsi" w:cstheme="minorHAnsi"/>
          <w:iCs/>
          <w:lang w:eastAsia="en-US"/>
        </w:rPr>
        <w:t xml:space="preserve">s </w:t>
      </w:r>
      <w:r w:rsidR="004E57F4">
        <w:rPr>
          <w:rFonts w:asciiTheme="minorHAnsi" w:eastAsiaTheme="minorHAnsi" w:hAnsiTheme="minorHAnsi" w:cstheme="minorHAnsi"/>
          <w:iCs/>
          <w:lang w:eastAsia="en-US"/>
        </w:rPr>
        <w:t xml:space="preserve">from Authority Required (STREAMLINED) </w:t>
      </w:r>
      <w:r w:rsidR="002743FB">
        <w:rPr>
          <w:rFonts w:asciiTheme="minorHAnsi" w:eastAsiaTheme="minorHAnsi" w:hAnsiTheme="minorHAnsi" w:cstheme="minorHAnsi"/>
          <w:iCs/>
          <w:lang w:eastAsia="en-US"/>
        </w:rPr>
        <w:t xml:space="preserve">for all indications </w:t>
      </w:r>
      <w:r w:rsidR="004D7189">
        <w:rPr>
          <w:rFonts w:asciiTheme="minorHAnsi" w:eastAsiaTheme="minorHAnsi" w:hAnsiTheme="minorHAnsi" w:cstheme="minorHAnsi"/>
          <w:iCs/>
          <w:lang w:eastAsia="en-US"/>
        </w:rPr>
        <w:t>to Authority Required (</w:t>
      </w:r>
      <w:r w:rsidR="004E57F4">
        <w:rPr>
          <w:rFonts w:asciiTheme="minorHAnsi" w:eastAsiaTheme="minorHAnsi" w:hAnsiTheme="minorHAnsi" w:cstheme="minorHAnsi"/>
          <w:iCs/>
          <w:lang w:eastAsia="en-US"/>
        </w:rPr>
        <w:t>telephone/</w:t>
      </w:r>
      <w:r w:rsidR="004D7189">
        <w:rPr>
          <w:rFonts w:asciiTheme="minorHAnsi" w:eastAsiaTheme="minorHAnsi" w:hAnsiTheme="minorHAnsi" w:cstheme="minorHAnsi"/>
          <w:iCs/>
          <w:lang w:eastAsia="en-US"/>
        </w:rPr>
        <w:t>online)</w:t>
      </w:r>
      <w:r w:rsidR="001F2C59">
        <w:rPr>
          <w:rFonts w:asciiTheme="minorHAnsi" w:eastAsiaTheme="minorHAnsi" w:hAnsiTheme="minorHAnsi" w:cstheme="minorHAnsi"/>
          <w:iCs/>
          <w:lang w:eastAsia="en-US"/>
        </w:rPr>
        <w:t xml:space="preserve">. </w:t>
      </w:r>
      <w:r w:rsidR="001B36A3">
        <w:rPr>
          <w:rFonts w:asciiTheme="minorHAnsi" w:eastAsiaTheme="minorHAnsi" w:hAnsiTheme="minorHAnsi" w:cstheme="minorHAnsi"/>
          <w:iCs/>
          <w:lang w:eastAsia="en-US"/>
        </w:rPr>
        <w:t xml:space="preserve">The </w:t>
      </w:r>
      <w:r w:rsidR="001F2C59">
        <w:rPr>
          <w:rFonts w:asciiTheme="minorHAnsi" w:eastAsiaTheme="minorHAnsi" w:hAnsiTheme="minorHAnsi" w:cstheme="minorHAnsi"/>
          <w:iCs/>
          <w:lang w:eastAsia="en-US"/>
        </w:rPr>
        <w:t>PBAC further requested that the restriction</w:t>
      </w:r>
      <w:r w:rsidR="001B36A3">
        <w:rPr>
          <w:rFonts w:asciiTheme="minorHAnsi" w:eastAsiaTheme="minorHAnsi" w:hAnsiTheme="minorHAnsi" w:cstheme="minorHAnsi"/>
          <w:iCs/>
          <w:lang w:eastAsia="en-US"/>
        </w:rPr>
        <w:t>s</w:t>
      </w:r>
      <w:r w:rsidR="001F2C59">
        <w:rPr>
          <w:rFonts w:asciiTheme="minorHAnsi" w:eastAsiaTheme="minorHAnsi" w:hAnsiTheme="minorHAnsi" w:cstheme="minorHAnsi"/>
          <w:iCs/>
          <w:lang w:eastAsia="en-US"/>
        </w:rPr>
        <w:t xml:space="preserve"> for </w:t>
      </w:r>
      <w:r w:rsidR="00136E72">
        <w:rPr>
          <w:rFonts w:asciiTheme="minorHAnsi" w:eastAsiaTheme="minorHAnsi" w:hAnsiTheme="minorHAnsi" w:cstheme="minorHAnsi"/>
          <w:iCs/>
          <w:lang w:eastAsia="en-US"/>
        </w:rPr>
        <w:t xml:space="preserve">dual </w:t>
      </w:r>
      <w:r w:rsidR="001F2C59">
        <w:rPr>
          <w:rFonts w:asciiTheme="minorHAnsi" w:eastAsiaTheme="minorHAnsi" w:hAnsiTheme="minorHAnsi" w:cstheme="minorHAnsi"/>
          <w:iCs/>
          <w:lang w:eastAsia="en-US"/>
        </w:rPr>
        <w:t>therapy with metformin</w:t>
      </w:r>
      <w:r w:rsidR="004D7F97">
        <w:rPr>
          <w:rFonts w:asciiTheme="minorHAnsi" w:eastAsiaTheme="minorHAnsi" w:hAnsiTheme="minorHAnsi" w:cstheme="minorHAnsi"/>
          <w:iCs/>
          <w:lang w:eastAsia="en-US"/>
        </w:rPr>
        <w:t>/</w:t>
      </w:r>
      <w:r w:rsidR="001F2C59">
        <w:rPr>
          <w:rFonts w:asciiTheme="minorHAnsi" w:eastAsiaTheme="minorHAnsi" w:hAnsiTheme="minorHAnsi" w:cstheme="minorHAnsi"/>
          <w:iCs/>
          <w:lang w:eastAsia="en-US"/>
        </w:rPr>
        <w:t xml:space="preserve">sulfonylurea </w:t>
      </w:r>
      <w:r w:rsidR="004D7189">
        <w:rPr>
          <w:rFonts w:asciiTheme="minorHAnsi" w:eastAsiaTheme="minorHAnsi" w:hAnsiTheme="minorHAnsi" w:cstheme="minorHAnsi"/>
          <w:iCs/>
          <w:lang w:eastAsia="en-US"/>
        </w:rPr>
        <w:t>include a requirement that patients initiating treatment with a GLP-1 RA be contraindicated/intolerant to an SGLT2 inhibitor</w:t>
      </w:r>
      <w:r w:rsidR="001F2C59">
        <w:rPr>
          <w:rFonts w:asciiTheme="minorHAnsi" w:eastAsiaTheme="minorHAnsi" w:hAnsiTheme="minorHAnsi" w:cstheme="minorHAnsi"/>
          <w:iCs/>
          <w:lang w:eastAsia="en-US"/>
        </w:rPr>
        <w:t xml:space="preserve">, but that the requirement for contraindication/intolerance to a </w:t>
      </w:r>
      <w:r w:rsidR="00136E72">
        <w:rPr>
          <w:rFonts w:asciiTheme="minorHAnsi" w:eastAsiaTheme="minorHAnsi" w:hAnsiTheme="minorHAnsi" w:cstheme="minorHAnsi"/>
          <w:iCs/>
          <w:lang w:eastAsia="en-US"/>
        </w:rPr>
        <w:t xml:space="preserve">combination of metformin and a </w:t>
      </w:r>
      <w:r w:rsidR="001F2C59">
        <w:rPr>
          <w:rFonts w:asciiTheme="minorHAnsi" w:eastAsiaTheme="minorHAnsi" w:hAnsiTheme="minorHAnsi" w:cstheme="minorHAnsi"/>
          <w:iCs/>
          <w:lang w:eastAsia="en-US"/>
        </w:rPr>
        <w:t>sulfonylurea could be removed</w:t>
      </w:r>
      <w:r w:rsidR="004D7189">
        <w:rPr>
          <w:rFonts w:asciiTheme="minorHAnsi" w:eastAsiaTheme="minorHAnsi" w:hAnsiTheme="minorHAnsi" w:cstheme="minorHAnsi"/>
          <w:iCs/>
          <w:lang w:eastAsia="en-US"/>
        </w:rPr>
        <w:t xml:space="preserve">. In making this request, </w:t>
      </w:r>
      <w:r w:rsidR="001B36A3">
        <w:rPr>
          <w:rFonts w:asciiTheme="minorHAnsi" w:eastAsiaTheme="minorHAnsi" w:hAnsiTheme="minorHAnsi" w:cstheme="minorHAnsi"/>
          <w:iCs/>
          <w:lang w:eastAsia="en-US"/>
        </w:rPr>
        <w:t xml:space="preserve">the </w:t>
      </w:r>
      <w:r w:rsidR="004D7189">
        <w:rPr>
          <w:rFonts w:asciiTheme="minorHAnsi" w:eastAsiaTheme="minorHAnsi" w:hAnsiTheme="minorHAnsi" w:cstheme="minorHAnsi"/>
          <w:iCs/>
          <w:lang w:eastAsia="en-US"/>
        </w:rPr>
        <w:t>PBAC noted</w:t>
      </w:r>
      <w:r w:rsidR="00E24997">
        <w:rPr>
          <w:rFonts w:asciiTheme="minorHAnsi" w:eastAsiaTheme="minorHAnsi" w:hAnsiTheme="minorHAnsi" w:cstheme="minorHAnsi"/>
          <w:iCs/>
          <w:lang w:eastAsia="en-US"/>
        </w:rPr>
        <w:t xml:space="preserve"> the increasing use of GLP</w:t>
      </w:r>
      <w:r w:rsidR="004D7189">
        <w:rPr>
          <w:rFonts w:asciiTheme="minorHAnsi" w:eastAsiaTheme="minorHAnsi" w:hAnsiTheme="minorHAnsi" w:cstheme="minorHAnsi"/>
          <w:iCs/>
          <w:lang w:eastAsia="en-US"/>
        </w:rPr>
        <w:noBreakHyphen/>
      </w:r>
      <w:r w:rsidR="00E24997">
        <w:rPr>
          <w:rFonts w:asciiTheme="minorHAnsi" w:eastAsiaTheme="minorHAnsi" w:hAnsiTheme="minorHAnsi" w:cstheme="minorHAnsi"/>
          <w:iCs/>
          <w:lang w:eastAsia="en-US"/>
        </w:rPr>
        <w:t>1</w:t>
      </w:r>
      <w:r w:rsidR="004D7189">
        <w:rPr>
          <w:rFonts w:asciiTheme="minorHAnsi" w:eastAsiaTheme="minorHAnsi" w:hAnsiTheme="minorHAnsi" w:cstheme="minorHAnsi"/>
          <w:iCs/>
          <w:lang w:eastAsia="en-US"/>
        </w:rPr>
        <w:t> </w:t>
      </w:r>
      <w:r w:rsidR="00E24997">
        <w:rPr>
          <w:rFonts w:asciiTheme="minorHAnsi" w:eastAsiaTheme="minorHAnsi" w:hAnsiTheme="minorHAnsi" w:cstheme="minorHAnsi"/>
          <w:iCs/>
          <w:lang w:eastAsia="en-US"/>
        </w:rPr>
        <w:t>RAs outside of the PBS restrictions</w:t>
      </w:r>
      <w:r w:rsidR="004D7189">
        <w:rPr>
          <w:rFonts w:asciiTheme="minorHAnsi" w:eastAsiaTheme="minorHAnsi" w:hAnsiTheme="minorHAnsi" w:cstheme="minorHAnsi"/>
          <w:iCs/>
          <w:lang w:eastAsia="en-US"/>
        </w:rPr>
        <w:t xml:space="preserve"> and</w:t>
      </w:r>
      <w:r w:rsidR="00E24997">
        <w:rPr>
          <w:rFonts w:asciiTheme="minorHAnsi" w:eastAsiaTheme="minorHAnsi" w:hAnsiTheme="minorHAnsi" w:cstheme="minorHAnsi"/>
          <w:iCs/>
          <w:lang w:eastAsia="en-US"/>
        </w:rPr>
        <w:t xml:space="preserve"> the high cost of these medicines compared to alternative treatments</w:t>
      </w:r>
      <w:r w:rsidR="004D7189">
        <w:rPr>
          <w:rFonts w:asciiTheme="minorHAnsi" w:eastAsiaTheme="minorHAnsi" w:hAnsiTheme="minorHAnsi" w:cstheme="minorHAnsi"/>
          <w:iCs/>
          <w:lang w:eastAsia="en-US"/>
        </w:rPr>
        <w:t xml:space="preserve">. </w:t>
      </w:r>
    </w:p>
    <w:p w14:paraId="1896C656" w14:textId="309490B0" w:rsidR="00E24997" w:rsidRDefault="001B36A3" w:rsidP="007404EA">
      <w:pPr>
        <w:numPr>
          <w:ilvl w:val="1"/>
          <w:numId w:val="5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HAnsi"/>
          <w:iCs/>
          <w:lang w:eastAsia="en-US"/>
        </w:rPr>
      </w:pPr>
      <w:r>
        <w:rPr>
          <w:rFonts w:asciiTheme="minorHAnsi" w:eastAsiaTheme="minorHAnsi" w:hAnsiTheme="minorHAnsi" w:cstheme="minorHAnsi"/>
          <w:iCs/>
          <w:lang w:eastAsia="en-US"/>
        </w:rPr>
        <w:t xml:space="preserve">The </w:t>
      </w:r>
      <w:r w:rsidR="00905BA2">
        <w:rPr>
          <w:rFonts w:asciiTheme="minorHAnsi" w:eastAsiaTheme="minorHAnsi" w:hAnsiTheme="minorHAnsi" w:cstheme="minorHAnsi"/>
          <w:iCs/>
          <w:lang w:eastAsia="en-US"/>
        </w:rPr>
        <w:t xml:space="preserve">PBAC recalled that both </w:t>
      </w:r>
      <w:r w:rsidR="004D7A79">
        <w:rPr>
          <w:rFonts w:asciiTheme="minorHAnsi" w:eastAsiaTheme="minorHAnsi" w:hAnsiTheme="minorHAnsi" w:cstheme="minorHAnsi"/>
          <w:iCs/>
          <w:lang w:eastAsia="en-US"/>
        </w:rPr>
        <w:t>SGLT2 inhibitors and GLP</w:t>
      </w:r>
      <w:r w:rsidR="00961703">
        <w:rPr>
          <w:rFonts w:asciiTheme="minorHAnsi" w:eastAsiaTheme="minorHAnsi" w:hAnsiTheme="minorHAnsi" w:cstheme="minorHAnsi"/>
          <w:iCs/>
          <w:lang w:eastAsia="en-US"/>
        </w:rPr>
        <w:t>-</w:t>
      </w:r>
      <w:r w:rsidR="004D7A79">
        <w:rPr>
          <w:rFonts w:asciiTheme="minorHAnsi" w:eastAsiaTheme="minorHAnsi" w:hAnsiTheme="minorHAnsi" w:cstheme="minorHAnsi"/>
          <w:iCs/>
          <w:lang w:eastAsia="en-US"/>
        </w:rPr>
        <w:t xml:space="preserve">1 RAs </w:t>
      </w:r>
      <w:r w:rsidR="00905BA2">
        <w:rPr>
          <w:rFonts w:asciiTheme="minorHAnsi" w:eastAsiaTheme="minorHAnsi" w:hAnsiTheme="minorHAnsi" w:cstheme="minorHAnsi"/>
          <w:iCs/>
          <w:lang w:eastAsia="en-US"/>
        </w:rPr>
        <w:t>were listed for dual therapy with metformin</w:t>
      </w:r>
      <w:r w:rsidR="00AB40F4">
        <w:rPr>
          <w:rFonts w:asciiTheme="minorHAnsi" w:eastAsiaTheme="minorHAnsi" w:hAnsiTheme="minorHAnsi" w:cstheme="minorHAnsi"/>
          <w:iCs/>
          <w:lang w:eastAsia="en-US"/>
        </w:rPr>
        <w:t>/</w:t>
      </w:r>
      <w:r w:rsidR="00905BA2">
        <w:rPr>
          <w:rFonts w:asciiTheme="minorHAnsi" w:eastAsiaTheme="minorHAnsi" w:hAnsiTheme="minorHAnsi" w:cstheme="minorHAnsi"/>
          <w:iCs/>
          <w:lang w:eastAsia="en-US"/>
        </w:rPr>
        <w:t>sulfonylurea based on a series of non-inferiority comparisons originating from insulin, and that the subsequent price reduction for SGLT2 inhibitors in 2015 meant that SGLT2 inhibitors were likely to be more cost-effective than GLP</w:t>
      </w:r>
      <w:r w:rsidR="001F2C59">
        <w:rPr>
          <w:rFonts w:asciiTheme="minorHAnsi" w:eastAsiaTheme="minorHAnsi" w:hAnsiTheme="minorHAnsi" w:cstheme="minorHAnsi"/>
          <w:iCs/>
          <w:lang w:eastAsia="en-US"/>
        </w:rPr>
        <w:noBreakHyphen/>
      </w:r>
      <w:r w:rsidR="00905BA2">
        <w:rPr>
          <w:rFonts w:asciiTheme="minorHAnsi" w:eastAsiaTheme="minorHAnsi" w:hAnsiTheme="minorHAnsi" w:cstheme="minorHAnsi"/>
          <w:iCs/>
          <w:lang w:eastAsia="en-US"/>
        </w:rPr>
        <w:t>1</w:t>
      </w:r>
      <w:r w:rsidR="001F2C59">
        <w:rPr>
          <w:rFonts w:asciiTheme="minorHAnsi" w:eastAsiaTheme="minorHAnsi" w:hAnsiTheme="minorHAnsi" w:cstheme="minorHAnsi"/>
          <w:iCs/>
          <w:lang w:eastAsia="en-US"/>
        </w:rPr>
        <w:t> </w:t>
      </w:r>
      <w:r w:rsidR="00905BA2">
        <w:rPr>
          <w:rFonts w:asciiTheme="minorHAnsi" w:eastAsiaTheme="minorHAnsi" w:hAnsiTheme="minorHAnsi" w:cstheme="minorHAnsi"/>
          <w:iCs/>
          <w:lang w:eastAsia="en-US"/>
        </w:rPr>
        <w:t xml:space="preserve">RAs </w:t>
      </w:r>
      <w:r w:rsidR="002743FB">
        <w:rPr>
          <w:rFonts w:asciiTheme="minorHAnsi" w:eastAsiaTheme="minorHAnsi" w:hAnsiTheme="minorHAnsi" w:cstheme="minorHAnsi"/>
          <w:iCs/>
          <w:lang w:eastAsia="en-US"/>
        </w:rPr>
        <w:t>when used in</w:t>
      </w:r>
      <w:r w:rsidR="00905BA2">
        <w:rPr>
          <w:rFonts w:asciiTheme="minorHAnsi" w:eastAsiaTheme="minorHAnsi" w:hAnsiTheme="minorHAnsi" w:cstheme="minorHAnsi"/>
          <w:iCs/>
          <w:lang w:eastAsia="en-US"/>
        </w:rPr>
        <w:t xml:space="preserve"> dual therapy with metformin</w:t>
      </w:r>
      <w:r w:rsidR="008A65CF">
        <w:rPr>
          <w:rFonts w:asciiTheme="minorHAnsi" w:eastAsiaTheme="minorHAnsi" w:hAnsiTheme="minorHAnsi" w:cstheme="minorHAnsi"/>
          <w:iCs/>
          <w:lang w:eastAsia="en-US"/>
        </w:rPr>
        <w:t xml:space="preserve"> or a sulfonylurea</w:t>
      </w:r>
      <w:r w:rsidR="00E24997" w:rsidRPr="001D3B1A">
        <w:rPr>
          <w:rFonts w:asciiTheme="minorHAnsi" w:eastAsiaTheme="minorHAnsi" w:hAnsiTheme="minorHAnsi" w:cstheme="minorHAnsi"/>
          <w:iCs/>
          <w:lang w:eastAsia="en-US"/>
        </w:rPr>
        <w:t>.</w:t>
      </w:r>
      <w:r w:rsidR="001D3B1A">
        <w:rPr>
          <w:rFonts w:asciiTheme="minorHAnsi" w:eastAsiaTheme="minorHAnsi" w:hAnsiTheme="minorHAnsi" w:cstheme="minorHAnsi"/>
          <w:iCs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iCs/>
          <w:lang w:eastAsia="en-US"/>
        </w:rPr>
        <w:t xml:space="preserve">The </w:t>
      </w:r>
      <w:r w:rsidR="00E24997">
        <w:rPr>
          <w:rFonts w:asciiTheme="minorHAnsi" w:eastAsiaTheme="minorHAnsi" w:hAnsiTheme="minorHAnsi" w:cstheme="minorHAnsi"/>
          <w:iCs/>
          <w:lang w:eastAsia="en-US"/>
        </w:rPr>
        <w:t>PBAC also considered that expanding access to semaglutide and dulaglutide would be impractical in the context of the current supply issues for these medicines.</w:t>
      </w:r>
    </w:p>
    <w:p w14:paraId="3C905A11" w14:textId="1A7557B0" w:rsidR="006B23CA" w:rsidRDefault="001B36A3" w:rsidP="007404EA">
      <w:pPr>
        <w:numPr>
          <w:ilvl w:val="1"/>
          <w:numId w:val="5"/>
        </w:numPr>
        <w:spacing w:before="120" w:after="120"/>
        <w:ind w:left="709" w:hanging="709"/>
        <w:jc w:val="both"/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iCs/>
          <w:lang w:eastAsia="en-US"/>
        </w:rPr>
        <w:t xml:space="preserve">The </w:t>
      </w:r>
      <w:r w:rsidR="00E2637D">
        <w:rPr>
          <w:rFonts w:asciiTheme="minorHAnsi" w:eastAsiaTheme="minorHAnsi" w:hAnsiTheme="minorHAnsi" w:cstheme="minorHAnsi"/>
          <w:iCs/>
          <w:lang w:eastAsia="en-US"/>
        </w:rPr>
        <w:t xml:space="preserve">PBAC considered that it was appropriate that patients who had </w:t>
      </w:r>
      <w:r w:rsidR="002743FB">
        <w:rPr>
          <w:rFonts w:asciiTheme="minorHAnsi" w:eastAsiaTheme="minorHAnsi" w:hAnsiTheme="minorHAnsi" w:cstheme="minorHAnsi"/>
          <w:iCs/>
          <w:lang w:eastAsia="en-US"/>
        </w:rPr>
        <w:t xml:space="preserve">legitimately </w:t>
      </w:r>
      <w:r w:rsidR="00E2637D">
        <w:rPr>
          <w:rFonts w:asciiTheme="minorHAnsi" w:eastAsiaTheme="minorHAnsi" w:hAnsiTheme="minorHAnsi" w:cstheme="minorHAnsi"/>
          <w:iCs/>
          <w:lang w:eastAsia="en-US"/>
        </w:rPr>
        <w:t xml:space="preserve">qualified for PBS-subsidised access under the previous restrictions for </w:t>
      </w:r>
      <w:r w:rsidR="00187B0B">
        <w:rPr>
          <w:rFonts w:asciiTheme="minorHAnsi" w:eastAsiaTheme="minorHAnsi" w:hAnsiTheme="minorHAnsi" w:cstheme="minorHAnsi"/>
          <w:iCs/>
          <w:lang w:eastAsia="en-US"/>
        </w:rPr>
        <w:t xml:space="preserve">dual therapy with a </w:t>
      </w:r>
      <w:r w:rsidR="00E2637D">
        <w:rPr>
          <w:rFonts w:asciiTheme="minorHAnsi" w:eastAsiaTheme="minorHAnsi" w:hAnsiTheme="minorHAnsi" w:cstheme="minorHAnsi"/>
          <w:iCs/>
          <w:lang w:eastAsia="en-US"/>
        </w:rPr>
        <w:t>GLP-1 RA</w:t>
      </w:r>
      <w:r w:rsidR="00187B0B">
        <w:rPr>
          <w:rFonts w:asciiTheme="minorHAnsi" w:eastAsiaTheme="minorHAnsi" w:hAnsiTheme="minorHAnsi" w:cstheme="minorHAnsi"/>
          <w:iCs/>
          <w:lang w:eastAsia="en-US"/>
        </w:rPr>
        <w:t xml:space="preserve"> and metformin/sulfonylurea</w:t>
      </w:r>
      <w:r w:rsidR="00E2637D">
        <w:rPr>
          <w:rFonts w:asciiTheme="minorHAnsi" w:eastAsiaTheme="minorHAnsi" w:hAnsiTheme="minorHAnsi" w:cstheme="minorHAnsi"/>
          <w:iCs/>
          <w:lang w:eastAsia="en-US"/>
        </w:rPr>
        <w:t xml:space="preserve"> should continue to have access to these medicines, without the requirement for contraindication/intolerance to an SGLT2 inhibitor</w:t>
      </w:r>
      <w:r w:rsidR="00187B0B">
        <w:rPr>
          <w:rFonts w:asciiTheme="minorHAnsi" w:eastAsiaTheme="minorHAnsi" w:hAnsiTheme="minorHAnsi" w:cstheme="minorHAnsi"/>
          <w:iCs/>
          <w:lang w:eastAsia="en-US"/>
        </w:rPr>
        <w:t>.</w:t>
      </w:r>
      <w:r w:rsidR="002743FB">
        <w:rPr>
          <w:rStyle w:val="CommentReference"/>
        </w:rPr>
        <w:t xml:space="preserve"> </w:t>
      </w:r>
    </w:p>
    <w:p w14:paraId="443D9045" w14:textId="3EF5868F" w:rsidR="006B23CA" w:rsidRPr="00604E37" w:rsidRDefault="00E23B3E" w:rsidP="007404EA">
      <w:pPr>
        <w:numPr>
          <w:ilvl w:val="1"/>
          <w:numId w:val="5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HAnsi"/>
          <w:iCs/>
          <w:lang w:eastAsia="en-US"/>
        </w:rPr>
      </w:pPr>
      <w:r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The </w:t>
      </w:r>
      <w:r w:rsidR="006B23CA" w:rsidRPr="00604E37"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PBAC noted that dulaglutide is currently subsidised for dual therapy with metformin only, while semaglutide and exenatide are subsidised for use in combination with metformin or a sulfonylurea. </w:t>
      </w:r>
      <w:r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The </w:t>
      </w:r>
      <w:r w:rsidR="006F04FE" w:rsidRPr="00604E37"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PBAC further noted </w:t>
      </w:r>
      <w:r w:rsidR="00196FB0" w:rsidRPr="00604E37"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>that GLP</w:t>
      </w:r>
      <w:r w:rsidR="006F04FE" w:rsidRPr="00604E37"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-1 RAs are PBS-listed for triple therapy with metformin and a sulfonylurea. </w:t>
      </w:r>
      <w:r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The </w:t>
      </w:r>
      <w:r w:rsidR="006B23CA" w:rsidRPr="00604E37"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PBAC considered that it would be appropriate to reduce the complexity of the restrictions for prescribers by aligning the restrictions and </w:t>
      </w:r>
      <w:r w:rsidR="006F04FE" w:rsidRPr="00604E37"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extending the listing of </w:t>
      </w:r>
      <w:r w:rsidR="006B23CA" w:rsidRPr="00604E37"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dulaglutide </w:t>
      </w:r>
      <w:r w:rsidR="006F04FE" w:rsidRPr="00604E37"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to include </w:t>
      </w:r>
      <w:r w:rsidR="006B23CA" w:rsidRPr="00604E37"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dual therapy with a sulfonylurea. </w:t>
      </w:r>
      <w:r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The </w:t>
      </w:r>
      <w:r w:rsidR="006B23CA" w:rsidRPr="00604E37"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PBAC noted that </w:t>
      </w:r>
      <w:r w:rsidR="006F04FE" w:rsidRPr="00604E37"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this was within the listed indications for dulaglutide on the Australian Register of Therapeutic Goods (ARTG), and that the </w:t>
      </w:r>
      <w:r w:rsidR="006B23CA" w:rsidRPr="00604E37"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Product Information for both dulaglutide and semaglutide </w:t>
      </w:r>
      <w:r w:rsidR="006F04FE" w:rsidRPr="00604E37"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included a </w:t>
      </w:r>
      <w:r w:rsidR="00145B5A" w:rsidRPr="00604E37"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similar </w:t>
      </w:r>
      <w:r w:rsidR="006F04FE" w:rsidRPr="00604E37"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>precaution regarding the risk of hypoglycaemia when used in combination with insulin or a sulfonylurea.</w:t>
      </w:r>
      <w:r w:rsidR="006F04FE" w:rsidRPr="00604E37">
        <w:rPr>
          <w:rStyle w:val="FootnoteReference"/>
          <w:rFonts w:asciiTheme="minorHAnsi" w:eastAsiaTheme="minorHAnsi" w:hAnsiTheme="minorHAnsi" w:cstheme="minorHAnsi"/>
          <w:iCs/>
          <w:lang w:eastAsia="en-US"/>
        </w:rPr>
        <w:footnoteReference w:id="1"/>
      </w:r>
      <w:r w:rsidR="006F04FE" w:rsidRPr="00604E37">
        <w:rPr>
          <w:rStyle w:val="FootnoteReference"/>
          <w:rFonts w:asciiTheme="minorHAnsi" w:eastAsiaTheme="minorHAnsi" w:hAnsiTheme="minorHAnsi" w:cstheme="minorHAnsi"/>
          <w:iCs/>
          <w:lang w:eastAsia="en-US"/>
        </w:rPr>
        <w:footnoteReference w:id="2"/>
      </w:r>
      <w:r w:rsidR="00145B5A" w:rsidRPr="00604E37"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 </w:t>
      </w:r>
      <w:r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The </w:t>
      </w:r>
      <w:r w:rsidR="00145B5A" w:rsidRPr="00604E37">
        <w:rPr>
          <w:rStyle w:val="CommentReference"/>
          <w:rFonts w:asciiTheme="minorHAnsi" w:eastAsiaTheme="minorHAnsi" w:hAnsiTheme="minorHAnsi" w:cstheme="minorHAnsi"/>
          <w:iCs/>
          <w:sz w:val="24"/>
          <w:szCs w:val="24"/>
          <w:lang w:eastAsia="en-US"/>
        </w:rPr>
        <w:t>PBAC considered that the cost-effectiveness of the use of dulaglutide in combination with a sulfonylurea, would be similar to that of semaglutide in combination with a sulfonylurea, and that the change would have a negligible impact on cost to the PBS.</w:t>
      </w:r>
    </w:p>
    <w:p w14:paraId="6845F61E" w14:textId="7DB89C43" w:rsidR="00A73493" w:rsidRPr="009F48D4" w:rsidRDefault="00E23B3E" w:rsidP="007404EA">
      <w:pPr>
        <w:numPr>
          <w:ilvl w:val="1"/>
          <w:numId w:val="5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HAnsi"/>
          <w:iCs/>
          <w:lang w:eastAsia="en-US"/>
        </w:rPr>
      </w:pPr>
      <w:r>
        <w:lastRenderedPageBreak/>
        <w:t xml:space="preserve">The </w:t>
      </w:r>
      <w:r w:rsidR="008310B2">
        <w:t xml:space="preserve">PBAC requested that the Department develop </w:t>
      </w:r>
      <w:r w:rsidR="00E24997">
        <w:t xml:space="preserve">the </w:t>
      </w:r>
      <w:r w:rsidR="008310B2">
        <w:t>draft restriction</w:t>
      </w:r>
      <w:r w:rsidR="00E24997">
        <w:t xml:space="preserve"> changes</w:t>
      </w:r>
      <w:r w:rsidR="008310B2">
        <w:t xml:space="preserve"> </w:t>
      </w:r>
      <w:r w:rsidR="00E24997">
        <w:t xml:space="preserve">for </w:t>
      </w:r>
      <w:r w:rsidR="00D07206">
        <w:t>GLP</w:t>
      </w:r>
      <w:r w:rsidR="00D07206">
        <w:noBreakHyphen/>
        <w:t>1 RAs</w:t>
      </w:r>
      <w:r w:rsidR="00E24997">
        <w:t xml:space="preserve"> detailed above </w:t>
      </w:r>
      <w:r w:rsidR="008310B2">
        <w:t xml:space="preserve">and </w:t>
      </w:r>
      <w:r w:rsidR="00E24997">
        <w:t xml:space="preserve">provide </w:t>
      </w:r>
      <w:r w:rsidR="008310B2">
        <w:t>cost</w:t>
      </w:r>
      <w:r w:rsidR="00E24997">
        <w:t xml:space="preserve">ings </w:t>
      </w:r>
      <w:r w:rsidR="00B76FC7">
        <w:t xml:space="preserve">for consideration </w:t>
      </w:r>
      <w:r w:rsidR="005D18EB" w:rsidRPr="00604E37">
        <w:t>at a future meeting</w:t>
      </w:r>
      <w:r w:rsidR="00D07206">
        <w:t>.</w:t>
      </w:r>
    </w:p>
    <w:p w14:paraId="6B452324" w14:textId="7166A8E1" w:rsidR="007F10F9" w:rsidRPr="007F10F9" w:rsidRDefault="00E23B3E" w:rsidP="007404EA">
      <w:pPr>
        <w:numPr>
          <w:ilvl w:val="1"/>
          <w:numId w:val="5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HAnsi"/>
          <w:iCs/>
          <w:lang w:eastAsia="en-US"/>
        </w:rPr>
      </w:pPr>
      <w:r>
        <w:t xml:space="preserve">The </w:t>
      </w:r>
      <w:r w:rsidR="009F48D4">
        <w:t xml:space="preserve">PBAC considered that </w:t>
      </w:r>
      <w:r>
        <w:t xml:space="preserve">changing </w:t>
      </w:r>
      <w:r w:rsidR="009F48D4">
        <w:t xml:space="preserve">the restriction </w:t>
      </w:r>
      <w:r>
        <w:t xml:space="preserve">type </w:t>
      </w:r>
      <w:r w:rsidR="009F48D4">
        <w:t xml:space="preserve">for GLP-1 RAs </w:t>
      </w:r>
      <w:r>
        <w:t xml:space="preserve">from the current Authority Required (STREAMLINED) to Authority Required (telephone/online) </w:t>
      </w:r>
      <w:r w:rsidR="009F48D4">
        <w:t>may have the unintended consequence of increasing SGLT2 inhibitor and DPP4 inhibitor</w:t>
      </w:r>
      <w:r>
        <w:t xml:space="preserve"> use outside of the PBS restrictions</w:t>
      </w:r>
      <w:r w:rsidR="009F48D4">
        <w:t>, particularly use in monotherapy.</w:t>
      </w:r>
      <w:r w:rsidR="004D7F97">
        <w:t xml:space="preserve"> </w:t>
      </w:r>
      <w:r w:rsidR="001B36A3">
        <w:t>The</w:t>
      </w:r>
      <w:r w:rsidR="009F48D4">
        <w:t xml:space="preserve"> </w:t>
      </w:r>
      <w:r w:rsidR="007F10F9">
        <w:t xml:space="preserve">PBAC considered that it would be appropriate to review the utilisation of T2DM medicines in 12-24 months to monitor the effectiveness of the </w:t>
      </w:r>
      <w:r w:rsidR="0031001E">
        <w:t xml:space="preserve">GLP-1 RA </w:t>
      </w:r>
      <w:r w:rsidR="007F10F9">
        <w:t>restriction changes and any unintended consequences.</w:t>
      </w:r>
    </w:p>
    <w:p w14:paraId="66342038" w14:textId="4DDCB078" w:rsidR="007F10F9" w:rsidRPr="00024BD8" w:rsidRDefault="001B36A3" w:rsidP="007404EA">
      <w:pPr>
        <w:numPr>
          <w:ilvl w:val="1"/>
          <w:numId w:val="5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HAnsi"/>
          <w:iCs/>
          <w:lang w:eastAsia="en-US"/>
        </w:rPr>
      </w:pPr>
      <w:r>
        <w:t xml:space="preserve">The </w:t>
      </w:r>
      <w:r w:rsidR="007F10F9">
        <w:t xml:space="preserve">PBAC noted that in 2021 around 15% of patients </w:t>
      </w:r>
      <w:r w:rsidR="008454EB">
        <w:t>supplied</w:t>
      </w:r>
      <w:r w:rsidR="007F10F9">
        <w:t xml:space="preserve"> an SGLT2 inhibitor or DPP4 inhibitor, did not receive this medicine in combination with metformin, a sulfonylurea, or insulin as required by the PBS restrictions</w:t>
      </w:r>
      <w:r w:rsidR="008454EB">
        <w:t xml:space="preserve">, and </w:t>
      </w:r>
      <w:r w:rsidR="008454EB" w:rsidRPr="006D0C85">
        <w:t>around 14% of people supplied an SGLT2 inhibitor and 7% of people supplied a DPP4 inhibitor received these medicines in combination with a GLP</w:t>
      </w:r>
      <w:r w:rsidR="008454EB" w:rsidRPr="006D0C85">
        <w:noBreakHyphen/>
        <w:t>1 RA</w:t>
      </w:r>
      <w:r w:rsidR="007F10F9">
        <w:t xml:space="preserve">. </w:t>
      </w:r>
      <w:r>
        <w:t xml:space="preserve">The </w:t>
      </w:r>
      <w:r w:rsidR="007F10F9">
        <w:t xml:space="preserve">PBAC considered that a price reduction </w:t>
      </w:r>
      <w:r w:rsidR="0031001E">
        <w:t xml:space="preserve">of at least </w:t>
      </w:r>
      <w:r w:rsidR="007F10F9">
        <w:t>15%</w:t>
      </w:r>
      <w:r w:rsidR="00E4375D">
        <w:t xml:space="preserve"> </w:t>
      </w:r>
      <w:r w:rsidR="00775630">
        <w:t>in</w:t>
      </w:r>
      <w:r w:rsidR="007F10F9">
        <w:t xml:space="preserve"> the cost of DPP4 inhibitors and SGLT2 inhibitors would be appropriate to account for the proportion of use outside the restrictions for which cost-effectiveness has not been considered. </w:t>
      </w:r>
    </w:p>
    <w:p w14:paraId="7B170531" w14:textId="33CA908B" w:rsidR="00E2637D" w:rsidRPr="00C71EA1" w:rsidRDefault="00775630" w:rsidP="00E2637D">
      <w:pPr>
        <w:numPr>
          <w:ilvl w:val="1"/>
          <w:numId w:val="5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HAnsi"/>
          <w:iCs/>
          <w:lang w:eastAsia="en-US"/>
        </w:rPr>
      </w:pPr>
      <w:r w:rsidRPr="006E3C73">
        <w:t xml:space="preserve">The </w:t>
      </w:r>
      <w:r w:rsidR="0031001E" w:rsidRPr="006E0FA1">
        <w:t xml:space="preserve">PBAC </w:t>
      </w:r>
      <w:r w:rsidRPr="006E0FA1">
        <w:t xml:space="preserve">foreshadowed </w:t>
      </w:r>
      <w:r w:rsidR="0031001E" w:rsidRPr="006E0FA1">
        <w:t xml:space="preserve">that </w:t>
      </w:r>
      <w:r w:rsidRPr="00CF6E52">
        <w:t xml:space="preserve">in the absence of relevant sponsors accepting </w:t>
      </w:r>
      <w:r w:rsidR="0031001E" w:rsidRPr="006E3C73">
        <w:t>a price reduction</w:t>
      </w:r>
      <w:r w:rsidRPr="006E3C73">
        <w:t>,</w:t>
      </w:r>
      <w:r w:rsidR="0031001E" w:rsidRPr="006E3C73">
        <w:t xml:space="preserve"> it </w:t>
      </w:r>
      <w:r w:rsidRPr="006E3C73">
        <w:t xml:space="preserve">is of a mind to recommend a change to </w:t>
      </w:r>
      <w:r w:rsidR="0031001E" w:rsidRPr="006E3C73">
        <w:t xml:space="preserve">the restriction </w:t>
      </w:r>
      <w:r w:rsidRPr="006E3C73">
        <w:t xml:space="preserve">type </w:t>
      </w:r>
      <w:r w:rsidR="0031001E" w:rsidRPr="006E3C73">
        <w:t xml:space="preserve">for SGLT2 inhibitors and DPP4 inhibitors </w:t>
      </w:r>
      <w:r w:rsidRPr="006E3C73">
        <w:t xml:space="preserve">from the current Authority Required (STREAMLINED) type to Authority Required (telephone/online) </w:t>
      </w:r>
      <w:r w:rsidR="00180282" w:rsidRPr="006E3C73">
        <w:t>to</w:t>
      </w:r>
      <w:r w:rsidRPr="006E3C73">
        <w:t xml:space="preserve"> reduce </w:t>
      </w:r>
      <w:r w:rsidR="0031001E" w:rsidRPr="006E3C73">
        <w:t>use outside the PBS restrictions.</w:t>
      </w:r>
    </w:p>
    <w:sectPr w:rsidR="00E2637D" w:rsidRPr="00C71EA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4908" w14:textId="77777777" w:rsidR="00BA552C" w:rsidRDefault="00BA552C" w:rsidP="00DE388A">
      <w:r>
        <w:separator/>
      </w:r>
    </w:p>
  </w:endnote>
  <w:endnote w:type="continuationSeparator" w:id="0">
    <w:p w14:paraId="5BCDBCC4" w14:textId="77777777" w:rsidR="00BA552C" w:rsidRDefault="00BA552C" w:rsidP="00DE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076204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22F86804" w14:textId="5B55322A" w:rsidR="003C2374" w:rsidRPr="003C2374" w:rsidRDefault="003C2374">
        <w:pPr>
          <w:pStyle w:val="Footer"/>
          <w:jc w:val="center"/>
          <w:rPr>
            <w:b/>
            <w:bCs/>
          </w:rPr>
        </w:pPr>
        <w:r w:rsidRPr="003C2374">
          <w:rPr>
            <w:b/>
            <w:bCs/>
          </w:rPr>
          <w:fldChar w:fldCharType="begin"/>
        </w:r>
        <w:r w:rsidRPr="003C2374">
          <w:rPr>
            <w:b/>
            <w:bCs/>
          </w:rPr>
          <w:instrText xml:space="preserve"> PAGE   \* MERGEFORMAT </w:instrText>
        </w:r>
        <w:r w:rsidRPr="003C2374">
          <w:rPr>
            <w:b/>
            <w:bCs/>
          </w:rPr>
          <w:fldChar w:fldCharType="separate"/>
        </w:r>
        <w:r w:rsidRPr="003C2374">
          <w:rPr>
            <w:b/>
            <w:bCs/>
            <w:noProof/>
          </w:rPr>
          <w:t>2</w:t>
        </w:r>
        <w:r w:rsidRPr="003C2374">
          <w:rPr>
            <w:b/>
            <w:bCs/>
            <w:noProof/>
          </w:rPr>
          <w:fldChar w:fldCharType="end"/>
        </w:r>
      </w:p>
    </w:sdtContent>
  </w:sdt>
  <w:p w14:paraId="158847E8" w14:textId="05C1FCFF" w:rsidR="006A58BB" w:rsidRDefault="006A58BB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A08E" w14:textId="77777777" w:rsidR="00BA552C" w:rsidRDefault="00BA552C" w:rsidP="00DE388A">
      <w:r>
        <w:separator/>
      </w:r>
    </w:p>
  </w:footnote>
  <w:footnote w:type="continuationSeparator" w:id="0">
    <w:p w14:paraId="552A06A7" w14:textId="77777777" w:rsidR="00BA552C" w:rsidRDefault="00BA552C" w:rsidP="00DE388A">
      <w:r>
        <w:continuationSeparator/>
      </w:r>
    </w:p>
  </w:footnote>
  <w:footnote w:id="1">
    <w:p w14:paraId="4858116F" w14:textId="75A1A6D6" w:rsidR="006F04FE" w:rsidRPr="003C2374" w:rsidRDefault="006F04FE">
      <w:pPr>
        <w:pStyle w:val="FootnoteText"/>
        <w:rPr>
          <w:rFonts w:asciiTheme="minorHAnsi" w:hAnsiTheme="minorHAnsi" w:cstheme="minorHAnsi"/>
        </w:rPr>
      </w:pPr>
      <w:r w:rsidRPr="003C2374">
        <w:rPr>
          <w:rStyle w:val="FootnoteReference"/>
          <w:rFonts w:asciiTheme="minorHAnsi" w:hAnsiTheme="minorHAnsi" w:cstheme="minorHAnsi"/>
        </w:rPr>
        <w:footnoteRef/>
      </w:r>
      <w:r w:rsidRPr="003C2374">
        <w:rPr>
          <w:rFonts w:asciiTheme="minorHAnsi" w:hAnsiTheme="minorHAnsi" w:cstheme="minorHAnsi"/>
        </w:rPr>
        <w:t xml:space="preserve"> ARTG, </w:t>
      </w:r>
      <w:hyperlink r:id="rId1" w:history="1">
        <w:r w:rsidRPr="003C2374">
          <w:rPr>
            <w:rStyle w:val="Hyperlink"/>
            <w:rFonts w:asciiTheme="minorHAnsi" w:hAnsiTheme="minorHAnsi" w:cstheme="minorHAnsi"/>
          </w:rPr>
          <w:t>Product Information: Ozempic® (semaglutide) solution for injection</w:t>
        </w:r>
      </w:hyperlink>
      <w:r w:rsidRPr="003C2374">
        <w:rPr>
          <w:rFonts w:asciiTheme="minorHAnsi" w:hAnsiTheme="minorHAnsi" w:cstheme="minorHAnsi"/>
        </w:rPr>
        <w:t>, accessed: 18/11/2022.</w:t>
      </w:r>
    </w:p>
  </w:footnote>
  <w:footnote w:id="2">
    <w:p w14:paraId="39758E51" w14:textId="3F1AC613" w:rsidR="006F04FE" w:rsidRDefault="006F04FE">
      <w:pPr>
        <w:pStyle w:val="FootnoteText"/>
      </w:pPr>
      <w:r w:rsidRPr="003C2374">
        <w:rPr>
          <w:rStyle w:val="FootnoteReference"/>
          <w:rFonts w:asciiTheme="minorHAnsi" w:hAnsiTheme="minorHAnsi" w:cstheme="minorHAnsi"/>
        </w:rPr>
        <w:footnoteRef/>
      </w:r>
      <w:r w:rsidRPr="003C2374">
        <w:rPr>
          <w:rFonts w:asciiTheme="minorHAnsi" w:hAnsiTheme="minorHAnsi" w:cstheme="minorHAnsi"/>
        </w:rPr>
        <w:t xml:space="preserve"> ARTG, </w:t>
      </w:r>
      <w:hyperlink r:id="rId2" w:history="1">
        <w:r w:rsidRPr="003C2374">
          <w:rPr>
            <w:rStyle w:val="Hyperlink"/>
            <w:rFonts w:asciiTheme="minorHAnsi" w:hAnsiTheme="minorHAnsi" w:cstheme="minorHAnsi"/>
          </w:rPr>
          <w:t>Product Information: Trulicity (dulaglutide RCH) autoinjector</w:t>
        </w:r>
      </w:hyperlink>
      <w:r w:rsidRPr="003C2374">
        <w:rPr>
          <w:rFonts w:asciiTheme="minorHAnsi" w:hAnsiTheme="minorHAnsi" w:cstheme="minorHAnsi"/>
        </w:rPr>
        <w:t>, accessed: 18/11/2022.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D9B4" w14:textId="77777777" w:rsidR="006A58BB" w:rsidRDefault="006A58BB" w:rsidP="00DE388A">
    <w:pPr>
      <w:tabs>
        <w:tab w:val="center" w:pos="4153"/>
        <w:tab w:val="right" w:pos="8306"/>
      </w:tabs>
      <w:ind w:left="357"/>
      <w:contextualSpacing/>
      <w:jc w:val="center"/>
      <w:rPr>
        <w:rFonts w:asciiTheme="minorHAnsi" w:hAnsiTheme="minorHAnsi" w:cstheme="minorHAnsi"/>
        <w:i/>
        <w:color w:val="808080"/>
        <w:lang w:eastAsia="en-US"/>
      </w:rPr>
    </w:pPr>
  </w:p>
  <w:p w14:paraId="4A6371A1" w14:textId="2C2E52B1" w:rsidR="00DE388A" w:rsidRPr="00F00063" w:rsidRDefault="00AC631B" w:rsidP="00DE388A">
    <w:pPr>
      <w:tabs>
        <w:tab w:val="center" w:pos="4153"/>
        <w:tab w:val="right" w:pos="8306"/>
      </w:tabs>
      <w:ind w:left="357"/>
      <w:contextualSpacing/>
      <w:jc w:val="center"/>
      <w:rPr>
        <w:rFonts w:asciiTheme="minorHAnsi" w:hAnsiTheme="minorHAnsi" w:cstheme="minorHAnsi"/>
        <w:i/>
        <w:lang w:eastAsia="en-US"/>
      </w:rPr>
    </w:pPr>
    <w:r w:rsidRPr="00F00063">
      <w:rPr>
        <w:rFonts w:asciiTheme="minorHAnsi" w:hAnsiTheme="minorHAnsi" w:cstheme="minorHAnsi"/>
        <w:i/>
        <w:lang w:eastAsia="en-US"/>
      </w:rPr>
      <w:t xml:space="preserve">Public Summary Document - </w:t>
    </w:r>
    <w:r w:rsidR="00C32883" w:rsidRPr="00F00063">
      <w:rPr>
        <w:rFonts w:asciiTheme="minorHAnsi" w:hAnsiTheme="minorHAnsi" w:cstheme="minorHAnsi"/>
        <w:i/>
        <w:lang w:eastAsia="en-US"/>
      </w:rPr>
      <w:t>November</w:t>
    </w:r>
    <w:r w:rsidR="00DD4400" w:rsidRPr="00F00063">
      <w:rPr>
        <w:rFonts w:asciiTheme="minorHAnsi" w:hAnsiTheme="minorHAnsi" w:cstheme="minorHAnsi"/>
        <w:i/>
        <w:lang w:eastAsia="en-US"/>
      </w:rPr>
      <w:t xml:space="preserve"> </w:t>
    </w:r>
    <w:r w:rsidR="00DE388A" w:rsidRPr="00F00063">
      <w:rPr>
        <w:rFonts w:asciiTheme="minorHAnsi" w:hAnsiTheme="minorHAnsi" w:cstheme="minorHAnsi"/>
        <w:i/>
        <w:lang w:eastAsia="en-US"/>
      </w:rPr>
      <w:t>202</w:t>
    </w:r>
    <w:r w:rsidR="006D0C85" w:rsidRPr="00F00063">
      <w:rPr>
        <w:rFonts w:asciiTheme="minorHAnsi" w:hAnsiTheme="minorHAnsi" w:cstheme="minorHAnsi"/>
        <w:i/>
        <w:lang w:eastAsia="en-US"/>
      </w:rPr>
      <w:t>2</w:t>
    </w:r>
    <w:r w:rsidR="00DE388A" w:rsidRPr="00F00063">
      <w:rPr>
        <w:rFonts w:asciiTheme="minorHAnsi" w:hAnsiTheme="minorHAnsi" w:cstheme="minorHAnsi"/>
        <w:i/>
        <w:lang w:eastAsia="en-US"/>
      </w:rPr>
      <w:t xml:space="preserve"> PBAC Meeting</w:t>
    </w:r>
  </w:p>
  <w:p w14:paraId="1EDB7B7E" w14:textId="77777777" w:rsidR="00DE388A" w:rsidRDefault="00DE388A">
    <w:pPr>
      <w:pStyle w:val="Balloon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40F"/>
    <w:multiLevelType w:val="hybridMultilevel"/>
    <w:tmpl w:val="DBCCE4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1F7"/>
    <w:multiLevelType w:val="hybridMultilevel"/>
    <w:tmpl w:val="C7F6BA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F5E6A"/>
    <w:multiLevelType w:val="multilevel"/>
    <w:tmpl w:val="578E475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84A1E1C"/>
    <w:multiLevelType w:val="hybridMultilevel"/>
    <w:tmpl w:val="96BE61DA"/>
    <w:lvl w:ilvl="0" w:tplc="7A405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66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2AF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E9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895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188E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BC7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05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AF5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FB257B"/>
    <w:multiLevelType w:val="multilevel"/>
    <w:tmpl w:val="23B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B36E4"/>
    <w:multiLevelType w:val="hybridMultilevel"/>
    <w:tmpl w:val="E172737C"/>
    <w:lvl w:ilvl="0" w:tplc="C14AE0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90343"/>
    <w:multiLevelType w:val="hybridMultilevel"/>
    <w:tmpl w:val="82BA9F8E"/>
    <w:lvl w:ilvl="0" w:tplc="7A20B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424E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CE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E81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8DD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0EF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AF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CDA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2255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CA50C93"/>
    <w:multiLevelType w:val="hybridMultilevel"/>
    <w:tmpl w:val="1F240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A1FB5"/>
    <w:multiLevelType w:val="hybridMultilevel"/>
    <w:tmpl w:val="14D21B9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E17B9"/>
    <w:multiLevelType w:val="hybridMultilevel"/>
    <w:tmpl w:val="75C23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67B3E"/>
    <w:multiLevelType w:val="hybridMultilevel"/>
    <w:tmpl w:val="BBEE4A62"/>
    <w:lvl w:ilvl="0" w:tplc="481A8B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E476C"/>
    <w:multiLevelType w:val="hybridMultilevel"/>
    <w:tmpl w:val="846A7F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BB16DE"/>
    <w:multiLevelType w:val="multilevel"/>
    <w:tmpl w:val="14507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8D17DD"/>
    <w:multiLevelType w:val="hybridMultilevel"/>
    <w:tmpl w:val="375059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1588E"/>
    <w:multiLevelType w:val="hybridMultilevel"/>
    <w:tmpl w:val="196E15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76C7E"/>
    <w:multiLevelType w:val="hybridMultilevel"/>
    <w:tmpl w:val="D1346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73E09"/>
    <w:multiLevelType w:val="hybridMultilevel"/>
    <w:tmpl w:val="2BA23CEE"/>
    <w:lvl w:ilvl="0" w:tplc="002E3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52EE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700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243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C32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AB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4AE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C6F0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5A63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EAF283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050041"/>
    <w:multiLevelType w:val="multilevel"/>
    <w:tmpl w:val="5574B760"/>
    <w:lvl w:ilvl="0">
      <w:start w:val="1"/>
      <w:numFmt w:val="decimal"/>
      <w:pStyle w:val="Heading2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61F53DA5"/>
    <w:multiLevelType w:val="hybridMultilevel"/>
    <w:tmpl w:val="692C1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9568A"/>
    <w:multiLevelType w:val="multilevel"/>
    <w:tmpl w:val="8EC6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61EE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BE05E0"/>
    <w:multiLevelType w:val="hybridMultilevel"/>
    <w:tmpl w:val="43929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80EB7"/>
    <w:multiLevelType w:val="hybridMultilevel"/>
    <w:tmpl w:val="811C8C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9005B2"/>
    <w:multiLevelType w:val="multilevel"/>
    <w:tmpl w:val="F01023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762F2978"/>
    <w:multiLevelType w:val="hybridMultilevel"/>
    <w:tmpl w:val="355C9A82"/>
    <w:lvl w:ilvl="0" w:tplc="4112DA74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8B7604"/>
    <w:multiLevelType w:val="hybridMultilevel"/>
    <w:tmpl w:val="8FE00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D033C"/>
    <w:multiLevelType w:val="multilevel"/>
    <w:tmpl w:val="13528704"/>
    <w:lvl w:ilvl="0">
      <w:start w:val="1"/>
      <w:numFmt w:val="decimal"/>
      <w:pStyle w:val="2Sections"/>
      <w:lvlText w:val="%1"/>
      <w:lvlJc w:val="left"/>
      <w:pPr>
        <w:ind w:left="2421" w:hanging="720"/>
      </w:pPr>
      <w:rPr>
        <w:b/>
        <w:color w:val="000000" w:themeColor="text1"/>
      </w:rPr>
    </w:lvl>
    <w:lvl w:ilvl="1">
      <w:start w:val="1"/>
      <w:numFmt w:val="decimal"/>
      <w:pStyle w:val="2Sections"/>
      <w:lvlText w:val="%1.%2"/>
      <w:lvlJc w:val="left"/>
      <w:pPr>
        <w:ind w:left="720" w:hanging="720"/>
      </w:pPr>
      <w:rPr>
        <w:b w:val="0"/>
        <w:i w:val="0"/>
        <w:color w:val="000000" w:themeColor="text1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numFmt w:val="bullet"/>
      <w:lvlText w:val="-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78DA132B"/>
    <w:multiLevelType w:val="hybridMultilevel"/>
    <w:tmpl w:val="92CC3A4A"/>
    <w:lvl w:ilvl="0" w:tplc="86ECA218">
      <w:start w:val="1"/>
      <w:numFmt w:val="bullet"/>
      <w:pStyle w:val="4bulletpoin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7ADF0FD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8250132">
    <w:abstractNumId w:val="5"/>
  </w:num>
  <w:num w:numId="2" w16cid:durableId="954139525">
    <w:abstractNumId w:val="18"/>
  </w:num>
  <w:num w:numId="3" w16cid:durableId="854030267">
    <w:abstractNumId w:val="13"/>
  </w:num>
  <w:num w:numId="4" w16cid:durableId="1560441215">
    <w:abstractNumId w:val="24"/>
  </w:num>
  <w:num w:numId="5" w16cid:durableId="1257128871">
    <w:abstractNumId w:val="12"/>
  </w:num>
  <w:num w:numId="6" w16cid:durableId="1695614447">
    <w:abstractNumId w:val="21"/>
  </w:num>
  <w:num w:numId="7" w16cid:durableId="2013414845">
    <w:abstractNumId w:val="8"/>
  </w:num>
  <w:num w:numId="8" w16cid:durableId="120198942">
    <w:abstractNumId w:val="10"/>
  </w:num>
  <w:num w:numId="9" w16cid:durableId="350571795">
    <w:abstractNumId w:val="29"/>
  </w:num>
  <w:num w:numId="10" w16cid:durableId="1108042391">
    <w:abstractNumId w:val="14"/>
  </w:num>
  <w:num w:numId="11" w16cid:durableId="707414369">
    <w:abstractNumId w:val="17"/>
  </w:num>
  <w:num w:numId="12" w16cid:durableId="500315781">
    <w:abstractNumId w:val="2"/>
  </w:num>
  <w:num w:numId="13" w16cid:durableId="2037926623">
    <w:abstractNumId w:val="3"/>
  </w:num>
  <w:num w:numId="14" w16cid:durableId="229775326">
    <w:abstractNumId w:val="6"/>
  </w:num>
  <w:num w:numId="15" w16cid:durableId="448403540">
    <w:abstractNumId w:val="16"/>
  </w:num>
  <w:num w:numId="16" w16cid:durableId="1304966720">
    <w:abstractNumId w:val="9"/>
  </w:num>
  <w:num w:numId="17" w16cid:durableId="1414159949">
    <w:abstractNumId w:val="23"/>
  </w:num>
  <w:num w:numId="18" w16cid:durableId="1742361388">
    <w:abstractNumId w:val="7"/>
  </w:num>
  <w:num w:numId="19" w16cid:durableId="1226641069">
    <w:abstractNumId w:val="15"/>
  </w:num>
  <w:num w:numId="20" w16cid:durableId="1136601942">
    <w:abstractNumId w:val="22"/>
  </w:num>
  <w:num w:numId="21" w16cid:durableId="331029302">
    <w:abstractNumId w:val="27"/>
  </w:num>
  <w:num w:numId="22" w16cid:durableId="1636328590">
    <w:abstractNumId w:val="28"/>
  </w:num>
  <w:num w:numId="23" w16cid:durableId="345443559">
    <w:abstractNumId w:val="11"/>
  </w:num>
  <w:num w:numId="24" w16cid:durableId="3463717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7183335">
    <w:abstractNumId w:val="1"/>
  </w:num>
  <w:num w:numId="26" w16cid:durableId="218976791">
    <w:abstractNumId w:val="26"/>
  </w:num>
  <w:num w:numId="27" w16cid:durableId="8721557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6334043">
    <w:abstractNumId w:val="25"/>
  </w:num>
  <w:num w:numId="29" w16cid:durableId="966200758">
    <w:abstractNumId w:val="0"/>
  </w:num>
  <w:num w:numId="30" w16cid:durableId="1937396791">
    <w:abstractNumId w:val="4"/>
  </w:num>
  <w:num w:numId="31" w16cid:durableId="1048459191">
    <w:abstractNumId w:val="20"/>
  </w:num>
  <w:num w:numId="32" w16cid:durableId="381681869">
    <w:abstractNumId w:val="18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A6"/>
    <w:rsid w:val="00010AC1"/>
    <w:rsid w:val="000163F7"/>
    <w:rsid w:val="00023B2F"/>
    <w:rsid w:val="00024BD8"/>
    <w:rsid w:val="00024D03"/>
    <w:rsid w:val="0003495B"/>
    <w:rsid w:val="000357DB"/>
    <w:rsid w:val="00050880"/>
    <w:rsid w:val="000608EE"/>
    <w:rsid w:val="00085BF1"/>
    <w:rsid w:val="000954DF"/>
    <w:rsid w:val="000A4A79"/>
    <w:rsid w:val="000E1B71"/>
    <w:rsid w:val="000E6BF4"/>
    <w:rsid w:val="000F155D"/>
    <w:rsid w:val="000F187E"/>
    <w:rsid w:val="00105339"/>
    <w:rsid w:val="00106478"/>
    <w:rsid w:val="00120FD7"/>
    <w:rsid w:val="0013336E"/>
    <w:rsid w:val="00136E72"/>
    <w:rsid w:val="00145B5A"/>
    <w:rsid w:val="00161164"/>
    <w:rsid w:val="00171D16"/>
    <w:rsid w:val="00176B37"/>
    <w:rsid w:val="00180282"/>
    <w:rsid w:val="00187B0B"/>
    <w:rsid w:val="00196FB0"/>
    <w:rsid w:val="001A460E"/>
    <w:rsid w:val="001B15FE"/>
    <w:rsid w:val="001B36A3"/>
    <w:rsid w:val="001C0B36"/>
    <w:rsid w:val="001D21DD"/>
    <w:rsid w:val="001D3B1A"/>
    <w:rsid w:val="001D5294"/>
    <w:rsid w:val="001F2C59"/>
    <w:rsid w:val="00230B2F"/>
    <w:rsid w:val="00234C89"/>
    <w:rsid w:val="00242DAD"/>
    <w:rsid w:val="002530C7"/>
    <w:rsid w:val="00255DD0"/>
    <w:rsid w:val="00257662"/>
    <w:rsid w:val="00263280"/>
    <w:rsid w:val="002743FB"/>
    <w:rsid w:val="00280050"/>
    <w:rsid w:val="00286BFE"/>
    <w:rsid w:val="002B35FF"/>
    <w:rsid w:val="002B56DB"/>
    <w:rsid w:val="002D2B39"/>
    <w:rsid w:val="002F2F8E"/>
    <w:rsid w:val="0031001E"/>
    <w:rsid w:val="00321BFE"/>
    <w:rsid w:val="003353E5"/>
    <w:rsid w:val="00341F29"/>
    <w:rsid w:val="00353B39"/>
    <w:rsid w:val="00360AF2"/>
    <w:rsid w:val="00362BDA"/>
    <w:rsid w:val="00376A25"/>
    <w:rsid w:val="00386F27"/>
    <w:rsid w:val="00394720"/>
    <w:rsid w:val="003A2964"/>
    <w:rsid w:val="003B37C2"/>
    <w:rsid w:val="003C186D"/>
    <w:rsid w:val="003C1BC1"/>
    <w:rsid w:val="003C2374"/>
    <w:rsid w:val="003C6EDF"/>
    <w:rsid w:val="003D46EA"/>
    <w:rsid w:val="003F7AD2"/>
    <w:rsid w:val="00405B3A"/>
    <w:rsid w:val="00410FB7"/>
    <w:rsid w:val="00424B29"/>
    <w:rsid w:val="0044290A"/>
    <w:rsid w:val="0044583E"/>
    <w:rsid w:val="00463FE8"/>
    <w:rsid w:val="00477253"/>
    <w:rsid w:val="004772E3"/>
    <w:rsid w:val="004835AF"/>
    <w:rsid w:val="004A0191"/>
    <w:rsid w:val="004C2B28"/>
    <w:rsid w:val="004D37DF"/>
    <w:rsid w:val="004D7189"/>
    <w:rsid w:val="004D7A79"/>
    <w:rsid w:val="004D7F97"/>
    <w:rsid w:val="004E57F4"/>
    <w:rsid w:val="004F74B0"/>
    <w:rsid w:val="0051066D"/>
    <w:rsid w:val="0052180E"/>
    <w:rsid w:val="005274A6"/>
    <w:rsid w:val="005309EB"/>
    <w:rsid w:val="00553ED4"/>
    <w:rsid w:val="00574605"/>
    <w:rsid w:val="00580F68"/>
    <w:rsid w:val="005A5402"/>
    <w:rsid w:val="005D18EB"/>
    <w:rsid w:val="005E3F57"/>
    <w:rsid w:val="005F7BBB"/>
    <w:rsid w:val="00601ACE"/>
    <w:rsid w:val="00604E37"/>
    <w:rsid w:val="00623040"/>
    <w:rsid w:val="00626984"/>
    <w:rsid w:val="006359D8"/>
    <w:rsid w:val="00643238"/>
    <w:rsid w:val="00644067"/>
    <w:rsid w:val="00662723"/>
    <w:rsid w:val="00667BF3"/>
    <w:rsid w:val="00671440"/>
    <w:rsid w:val="00681DAA"/>
    <w:rsid w:val="0069569B"/>
    <w:rsid w:val="006A0D30"/>
    <w:rsid w:val="006A1237"/>
    <w:rsid w:val="006A1C2D"/>
    <w:rsid w:val="006A58BB"/>
    <w:rsid w:val="006B04E6"/>
    <w:rsid w:val="006B1B75"/>
    <w:rsid w:val="006B23CA"/>
    <w:rsid w:val="006B5FBA"/>
    <w:rsid w:val="006D0C85"/>
    <w:rsid w:val="006E0FA1"/>
    <w:rsid w:val="006E1EBB"/>
    <w:rsid w:val="006E3C73"/>
    <w:rsid w:val="006F04FE"/>
    <w:rsid w:val="006F0DED"/>
    <w:rsid w:val="006F7062"/>
    <w:rsid w:val="0071049F"/>
    <w:rsid w:val="00710C5F"/>
    <w:rsid w:val="00710D4E"/>
    <w:rsid w:val="00711656"/>
    <w:rsid w:val="0072061C"/>
    <w:rsid w:val="00721D82"/>
    <w:rsid w:val="007404EA"/>
    <w:rsid w:val="0075103C"/>
    <w:rsid w:val="00775630"/>
    <w:rsid w:val="007A140D"/>
    <w:rsid w:val="007A4A1A"/>
    <w:rsid w:val="007A6137"/>
    <w:rsid w:val="007B0D14"/>
    <w:rsid w:val="007B15DF"/>
    <w:rsid w:val="007D4AAD"/>
    <w:rsid w:val="007F10F9"/>
    <w:rsid w:val="007F76A8"/>
    <w:rsid w:val="00801092"/>
    <w:rsid w:val="00806531"/>
    <w:rsid w:val="00814BDB"/>
    <w:rsid w:val="00815B7C"/>
    <w:rsid w:val="008310B2"/>
    <w:rsid w:val="00837C86"/>
    <w:rsid w:val="008454EB"/>
    <w:rsid w:val="00875DF5"/>
    <w:rsid w:val="00891C44"/>
    <w:rsid w:val="00895736"/>
    <w:rsid w:val="008A65CF"/>
    <w:rsid w:val="008B30A5"/>
    <w:rsid w:val="008C5552"/>
    <w:rsid w:val="008D14EE"/>
    <w:rsid w:val="008D1B08"/>
    <w:rsid w:val="008E1566"/>
    <w:rsid w:val="008E386F"/>
    <w:rsid w:val="008E4756"/>
    <w:rsid w:val="00905BA2"/>
    <w:rsid w:val="0091169B"/>
    <w:rsid w:val="00916860"/>
    <w:rsid w:val="00916AFA"/>
    <w:rsid w:val="009406EF"/>
    <w:rsid w:val="009575E4"/>
    <w:rsid w:val="00961703"/>
    <w:rsid w:val="00970DBB"/>
    <w:rsid w:val="009729E8"/>
    <w:rsid w:val="00983C5D"/>
    <w:rsid w:val="00997D54"/>
    <w:rsid w:val="009A04B4"/>
    <w:rsid w:val="009A2B56"/>
    <w:rsid w:val="009D5A2E"/>
    <w:rsid w:val="009D6721"/>
    <w:rsid w:val="009E1880"/>
    <w:rsid w:val="009E23A6"/>
    <w:rsid w:val="009F48D4"/>
    <w:rsid w:val="00A01D5C"/>
    <w:rsid w:val="00A14005"/>
    <w:rsid w:val="00A370DC"/>
    <w:rsid w:val="00A41D9A"/>
    <w:rsid w:val="00A4721C"/>
    <w:rsid w:val="00A57801"/>
    <w:rsid w:val="00A73493"/>
    <w:rsid w:val="00A85B36"/>
    <w:rsid w:val="00A90BD8"/>
    <w:rsid w:val="00AB40F4"/>
    <w:rsid w:val="00AB4D45"/>
    <w:rsid w:val="00AC5E79"/>
    <w:rsid w:val="00AC631B"/>
    <w:rsid w:val="00AD1206"/>
    <w:rsid w:val="00AD4B23"/>
    <w:rsid w:val="00AD5518"/>
    <w:rsid w:val="00AE26F4"/>
    <w:rsid w:val="00AF2D4D"/>
    <w:rsid w:val="00B1609E"/>
    <w:rsid w:val="00B22EBA"/>
    <w:rsid w:val="00B322AA"/>
    <w:rsid w:val="00B700F7"/>
    <w:rsid w:val="00B76FC7"/>
    <w:rsid w:val="00B812A8"/>
    <w:rsid w:val="00B87235"/>
    <w:rsid w:val="00B96898"/>
    <w:rsid w:val="00BA552C"/>
    <w:rsid w:val="00BA6BD1"/>
    <w:rsid w:val="00BB0D3A"/>
    <w:rsid w:val="00BB555D"/>
    <w:rsid w:val="00BC0F4A"/>
    <w:rsid w:val="00BD5A7E"/>
    <w:rsid w:val="00BD5BF0"/>
    <w:rsid w:val="00BE5ED4"/>
    <w:rsid w:val="00BE709F"/>
    <w:rsid w:val="00C0376A"/>
    <w:rsid w:val="00C304DD"/>
    <w:rsid w:val="00C32883"/>
    <w:rsid w:val="00C407CD"/>
    <w:rsid w:val="00C45B09"/>
    <w:rsid w:val="00C64A51"/>
    <w:rsid w:val="00C71EA1"/>
    <w:rsid w:val="00C92704"/>
    <w:rsid w:val="00CA3822"/>
    <w:rsid w:val="00CA52E3"/>
    <w:rsid w:val="00CB2F5C"/>
    <w:rsid w:val="00CB6BE7"/>
    <w:rsid w:val="00CE0FB4"/>
    <w:rsid w:val="00CE535B"/>
    <w:rsid w:val="00CF2D6C"/>
    <w:rsid w:val="00CF6E52"/>
    <w:rsid w:val="00D07206"/>
    <w:rsid w:val="00D10118"/>
    <w:rsid w:val="00D1100C"/>
    <w:rsid w:val="00D11712"/>
    <w:rsid w:val="00D2177C"/>
    <w:rsid w:val="00D47290"/>
    <w:rsid w:val="00D852A6"/>
    <w:rsid w:val="00D945FE"/>
    <w:rsid w:val="00DC1401"/>
    <w:rsid w:val="00DD28F1"/>
    <w:rsid w:val="00DD4400"/>
    <w:rsid w:val="00DE388A"/>
    <w:rsid w:val="00DF16D8"/>
    <w:rsid w:val="00DF24BD"/>
    <w:rsid w:val="00DF3291"/>
    <w:rsid w:val="00E03C6E"/>
    <w:rsid w:val="00E12235"/>
    <w:rsid w:val="00E13BC9"/>
    <w:rsid w:val="00E20A7A"/>
    <w:rsid w:val="00E23B3E"/>
    <w:rsid w:val="00E24997"/>
    <w:rsid w:val="00E25D65"/>
    <w:rsid w:val="00E2637D"/>
    <w:rsid w:val="00E4375D"/>
    <w:rsid w:val="00E46D59"/>
    <w:rsid w:val="00E53F48"/>
    <w:rsid w:val="00E540AC"/>
    <w:rsid w:val="00E70E57"/>
    <w:rsid w:val="00E72002"/>
    <w:rsid w:val="00E84B10"/>
    <w:rsid w:val="00E911C5"/>
    <w:rsid w:val="00E96F3A"/>
    <w:rsid w:val="00EA1091"/>
    <w:rsid w:val="00EA3103"/>
    <w:rsid w:val="00EA447D"/>
    <w:rsid w:val="00EB0899"/>
    <w:rsid w:val="00EC3829"/>
    <w:rsid w:val="00ED71A0"/>
    <w:rsid w:val="00EE43F8"/>
    <w:rsid w:val="00EF0052"/>
    <w:rsid w:val="00F00063"/>
    <w:rsid w:val="00F02A91"/>
    <w:rsid w:val="00F03967"/>
    <w:rsid w:val="00F14D6C"/>
    <w:rsid w:val="00F16D17"/>
    <w:rsid w:val="00F17AAD"/>
    <w:rsid w:val="00F25397"/>
    <w:rsid w:val="00F273FC"/>
    <w:rsid w:val="00F3492E"/>
    <w:rsid w:val="00F442FD"/>
    <w:rsid w:val="00F45D8D"/>
    <w:rsid w:val="00F46D4D"/>
    <w:rsid w:val="00F52AA6"/>
    <w:rsid w:val="00F6043D"/>
    <w:rsid w:val="00F676DE"/>
    <w:rsid w:val="00F71B4E"/>
    <w:rsid w:val="00F72E1B"/>
    <w:rsid w:val="00F91C43"/>
    <w:rsid w:val="00F9733A"/>
    <w:rsid w:val="00FA1F93"/>
    <w:rsid w:val="00FA65BA"/>
    <w:rsid w:val="00FB0ECE"/>
    <w:rsid w:val="00FB7DC1"/>
    <w:rsid w:val="00FC76BB"/>
    <w:rsid w:val="00FD2727"/>
    <w:rsid w:val="00FD67A2"/>
    <w:rsid w:val="00FD792F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F41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1C5"/>
    <w:pPr>
      <w:spacing w:after="0" w:line="240" w:lineRule="auto"/>
    </w:pPr>
    <w:rPr>
      <w:rFonts w:ascii="Calibri" w:eastAsia="Times New Roman" w:hAnsi="Calibri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C85"/>
    <w:pPr>
      <w:numPr>
        <w:numId w:val="2"/>
      </w:numPr>
      <w:spacing w:before="120" w:after="120"/>
      <w:ind w:left="720"/>
      <w:outlineLvl w:val="1"/>
    </w:pPr>
    <w:rPr>
      <w:rFonts w:asciiTheme="minorHAnsi" w:hAnsiTheme="minorHAnsi"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0C85"/>
    <w:rPr>
      <w:rFonts w:asciiTheme="minorHAnsi" w:eastAsia="Times New Roman" w:hAnsiTheme="minorHAnsi" w:cstheme="minorHAnsi"/>
      <w:b/>
      <w:lang w:eastAsia="en-AU"/>
    </w:rPr>
  </w:style>
  <w:style w:type="paragraph" w:styleId="ListParagraph">
    <w:name w:val="List Paragraph"/>
    <w:aliases w:val="BulletPoints,Bullet point,List Paragraph1,List Paragraph11,Recommendation,Numbered para,#List Paragraph,L,Bullet Level 1,Bullet Point,Bulletr List Paragraph,Content descriptions,FooterText,List Bullet 1,List Paragraph2,List Paragraph21,列"/>
    <w:basedOn w:val="Normal"/>
    <w:link w:val="ListParagraphChar"/>
    <w:uiPriority w:val="34"/>
    <w:qFormat/>
    <w:rsid w:val="009E23A6"/>
    <w:pPr>
      <w:ind w:left="720"/>
      <w:contextualSpacing/>
    </w:pPr>
  </w:style>
  <w:style w:type="character" w:customStyle="1" w:styleId="ListParagraphChar">
    <w:name w:val="List Paragraph Char"/>
    <w:aliases w:val="BulletPoints Char,Bullet point Char,List Paragraph1 Char,List Paragraph11 Char,Recommendation Char,Numbered para Char,#List Paragraph Char,L Char,Bullet Level 1 Char,Bullet Point Char,Bulletr List Paragraph Char,FooterText Char"/>
    <w:basedOn w:val="DefaultParagraphFont"/>
    <w:link w:val="ListParagraph"/>
    <w:uiPriority w:val="34"/>
    <w:qFormat/>
    <w:rsid w:val="00DD4400"/>
    <w:rPr>
      <w:rFonts w:ascii="Calibri" w:eastAsia="Times New Roman" w:hAnsi="Calibri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6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721"/>
    <w:rPr>
      <w:rFonts w:ascii="Calibri" w:eastAsia="Times New Roman" w:hAnsi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721"/>
    <w:rPr>
      <w:rFonts w:ascii="Calibri" w:eastAsia="Times New Roman" w:hAnsi="Calibri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721"/>
    <w:rPr>
      <w:rFonts w:ascii="Segoe UI" w:eastAsia="Times New Roman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E38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8A"/>
    <w:rPr>
      <w:rFonts w:ascii="Calibri" w:eastAsia="Times New Roman" w:hAnsi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E38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8A"/>
    <w:rPr>
      <w:rFonts w:ascii="Calibri" w:eastAsia="Times New Roman" w:hAnsi="Calibri"/>
      <w:lang w:eastAsia="en-AU"/>
    </w:rPr>
  </w:style>
  <w:style w:type="paragraph" w:styleId="NoSpacing">
    <w:name w:val="No Spacing"/>
    <w:link w:val="NoSpacingChar"/>
    <w:uiPriority w:val="1"/>
    <w:qFormat/>
    <w:rsid w:val="00ED71A0"/>
    <w:pPr>
      <w:spacing w:after="0" w:line="240" w:lineRule="auto"/>
    </w:pPr>
    <w:rPr>
      <w:rFonts w:asciiTheme="minorHAnsi" w:eastAsiaTheme="minorEastAsia" w:hAnsiTheme="minorHAnsi" w:cstheme="minorBidi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2637D"/>
    <w:rPr>
      <w:rFonts w:asciiTheme="minorHAnsi" w:eastAsiaTheme="minorEastAsia" w:hAnsiTheme="minorHAnsi" w:cstheme="minorBidi"/>
      <w:lang w:eastAsia="en-AU"/>
    </w:rPr>
  </w:style>
  <w:style w:type="paragraph" w:customStyle="1" w:styleId="2Sections">
    <w:name w:val="2. Sections"/>
    <w:qFormat/>
    <w:rsid w:val="0044290A"/>
    <w:pPr>
      <w:numPr>
        <w:numId w:val="21"/>
      </w:numPr>
      <w:snapToGrid w:val="0"/>
      <w:spacing w:before="240" w:after="120" w:line="240" w:lineRule="auto"/>
      <w:ind w:left="720"/>
      <w:outlineLvl w:val="0"/>
    </w:pPr>
    <w:rPr>
      <w:rFonts w:asciiTheme="minorHAnsi" w:eastAsia="Times New Roman" w:hAnsiTheme="minorHAnsi" w:cs="Arial"/>
      <w:b/>
      <w:sz w:val="32"/>
      <w:szCs w:val="32"/>
    </w:rPr>
  </w:style>
  <w:style w:type="paragraph" w:customStyle="1" w:styleId="4Bodytextnumbered">
    <w:name w:val="4. Body text numbered"/>
    <w:basedOn w:val="ListParagraph"/>
    <w:qFormat/>
    <w:rsid w:val="0044290A"/>
    <w:pPr>
      <w:tabs>
        <w:tab w:val="num" w:pos="360"/>
      </w:tabs>
      <w:spacing w:after="120"/>
      <w:contextualSpacing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637D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637D"/>
    <w:rPr>
      <w:rFonts w:ascii="Times New Roman" w:hAnsi="Times New Roman"/>
      <w:sz w:val="20"/>
      <w:szCs w:val="20"/>
      <w:lang w:eastAsia="en-US"/>
    </w:rPr>
  </w:style>
  <w:style w:type="character" w:customStyle="1" w:styleId="4bulletpointChar">
    <w:name w:val="4. bullet point Char"/>
    <w:basedOn w:val="DefaultParagraphFont"/>
    <w:link w:val="4bulletpoint"/>
    <w:locked/>
    <w:rsid w:val="00E2637D"/>
    <w:rPr>
      <w:rFonts w:asciiTheme="minorHAnsi" w:hAnsiTheme="minorHAnsi" w:cs="Arial"/>
      <w:sz w:val="22"/>
    </w:rPr>
  </w:style>
  <w:style w:type="paragraph" w:customStyle="1" w:styleId="4bulletpoint">
    <w:name w:val="4. bullet point"/>
    <w:basedOn w:val="ListParagraph"/>
    <w:link w:val="4bulletpointChar"/>
    <w:qFormat/>
    <w:rsid w:val="00E2637D"/>
    <w:pPr>
      <w:widowControl w:val="0"/>
      <w:numPr>
        <w:numId w:val="22"/>
      </w:numPr>
      <w:snapToGrid w:val="0"/>
      <w:spacing w:after="120"/>
      <w:ind w:left="1077" w:hanging="357"/>
      <w:contextualSpacing w:val="0"/>
      <w:jc w:val="both"/>
    </w:pPr>
    <w:rPr>
      <w:rFonts w:asciiTheme="minorHAnsi" w:eastAsiaTheme="minorHAnsi" w:hAnsiTheme="minorHAnsi" w:cs="Arial"/>
      <w:sz w:val="22"/>
      <w:lang w:eastAsia="en-US"/>
    </w:rPr>
  </w:style>
  <w:style w:type="character" w:customStyle="1" w:styleId="1MainTitleChar">
    <w:name w:val="1. Main Title Char"/>
    <w:basedOn w:val="DefaultParagraphFont"/>
    <w:link w:val="1MainTitle"/>
    <w:locked/>
    <w:rsid w:val="00E2637D"/>
    <w:rPr>
      <w:rFonts w:asciiTheme="minorHAnsi" w:eastAsiaTheme="majorEastAsia" w:hAnsiTheme="minorHAnsi" w:cstheme="majorBidi"/>
      <w:b/>
      <w:spacing w:val="5"/>
      <w:kern w:val="28"/>
      <w:sz w:val="36"/>
      <w:szCs w:val="36"/>
    </w:rPr>
  </w:style>
  <w:style w:type="paragraph" w:customStyle="1" w:styleId="1MainTitle">
    <w:name w:val="1. Main Title"/>
    <w:basedOn w:val="Title"/>
    <w:link w:val="1MainTitleChar"/>
    <w:qFormat/>
    <w:rsid w:val="00E2637D"/>
    <w:rPr>
      <w:rFonts w:asciiTheme="minorHAnsi" w:hAnsiTheme="minorHAnsi"/>
      <w:b/>
      <w:spacing w:val="5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263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2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Subheading2Char">
    <w:name w:val="3. Subheading 2 Char"/>
    <w:basedOn w:val="DefaultParagraphFont"/>
    <w:link w:val="3Subheading2"/>
    <w:locked/>
    <w:rsid w:val="00E2637D"/>
    <w:rPr>
      <w:rFonts w:asciiTheme="minorHAnsi" w:eastAsiaTheme="majorEastAsia" w:hAnsiTheme="minorHAnsi" w:cs="Calibri"/>
      <w:b/>
      <w:i/>
      <w:szCs w:val="28"/>
    </w:rPr>
  </w:style>
  <w:style w:type="paragraph" w:customStyle="1" w:styleId="3Subheading2">
    <w:name w:val="3. Subheading 2"/>
    <w:basedOn w:val="Heading2"/>
    <w:link w:val="3Subheading2Char"/>
    <w:qFormat/>
    <w:rsid w:val="00E2637D"/>
    <w:pPr>
      <w:keepNext/>
      <w:numPr>
        <w:numId w:val="0"/>
      </w:numPr>
      <w:spacing w:before="0"/>
    </w:pPr>
    <w:rPr>
      <w:rFonts w:eastAsiaTheme="majorEastAsia" w:cs="Calibri"/>
      <w:i/>
      <w:szCs w:val="28"/>
      <w:lang w:eastAsia="en-US"/>
    </w:rPr>
  </w:style>
  <w:style w:type="character" w:customStyle="1" w:styleId="3Subheading1Char">
    <w:name w:val="3. Subheading 1 Char"/>
    <w:basedOn w:val="DefaultParagraphFont"/>
    <w:link w:val="3Subheading1"/>
    <w:locked/>
    <w:rsid w:val="00E2637D"/>
    <w:rPr>
      <w:rFonts w:asciiTheme="minorHAnsi" w:eastAsiaTheme="majorEastAsia" w:hAnsiTheme="minorHAnsi" w:cs="Calibri"/>
      <w:b/>
      <w:i/>
      <w:sz w:val="28"/>
      <w:szCs w:val="28"/>
    </w:rPr>
  </w:style>
  <w:style w:type="paragraph" w:customStyle="1" w:styleId="3Subheading1">
    <w:name w:val="3. Subheading 1"/>
    <w:basedOn w:val="Heading2"/>
    <w:link w:val="3Subheading1Char"/>
    <w:qFormat/>
    <w:rsid w:val="00E2637D"/>
    <w:pPr>
      <w:keepNext/>
      <w:numPr>
        <w:numId w:val="0"/>
      </w:numPr>
      <w:spacing w:before="240"/>
    </w:pPr>
    <w:rPr>
      <w:rFonts w:eastAsiaTheme="majorEastAsia" w:cs="Calibri"/>
      <w:i/>
      <w:sz w:val="28"/>
      <w:szCs w:val="28"/>
      <w:lang w:eastAsia="en-US"/>
    </w:rPr>
  </w:style>
  <w:style w:type="character" w:customStyle="1" w:styleId="3BodytextChar">
    <w:name w:val="3. Body text Char"/>
    <w:basedOn w:val="DefaultParagraphFont"/>
    <w:link w:val="3Bodytext"/>
    <w:locked/>
    <w:rsid w:val="00E2637D"/>
    <w:rPr>
      <w:rFonts w:asciiTheme="minorHAnsi" w:hAnsiTheme="minorHAnsi" w:cstheme="minorBidi"/>
      <w:szCs w:val="22"/>
    </w:rPr>
  </w:style>
  <w:style w:type="paragraph" w:customStyle="1" w:styleId="3Bodytext">
    <w:name w:val="3. Body text"/>
    <w:basedOn w:val="ListParagraph"/>
    <w:link w:val="3BodytextChar"/>
    <w:qFormat/>
    <w:rsid w:val="00E2637D"/>
    <w:pPr>
      <w:spacing w:after="120"/>
      <w:ind w:hanging="720"/>
      <w:contextualSpacing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yle1Char">
    <w:name w:val="Style1 Char"/>
    <w:basedOn w:val="DefaultParagraphFont"/>
    <w:link w:val="Style1"/>
    <w:locked/>
    <w:rsid w:val="00E2637D"/>
    <w:rPr>
      <w:rFonts w:asciiTheme="minorHAnsi" w:hAnsiTheme="minorHAnsi" w:cstheme="minorBidi"/>
      <w:noProof/>
      <w:snapToGrid w:val="0"/>
      <w:sz w:val="22"/>
    </w:rPr>
  </w:style>
  <w:style w:type="paragraph" w:customStyle="1" w:styleId="Style1">
    <w:name w:val="Style1"/>
    <w:basedOn w:val="ListParagraph"/>
    <w:link w:val="Style1Char"/>
    <w:qFormat/>
    <w:rsid w:val="00E2637D"/>
    <w:pPr>
      <w:widowControl w:val="0"/>
      <w:spacing w:before="120" w:after="120"/>
      <w:ind w:left="1434" w:hanging="357"/>
      <w:jc w:val="both"/>
    </w:pPr>
    <w:rPr>
      <w:rFonts w:asciiTheme="minorHAnsi" w:eastAsiaTheme="minorHAnsi" w:hAnsiTheme="minorHAnsi" w:cstheme="minorBidi"/>
      <w:noProof/>
      <w:snapToGrid w:val="0"/>
      <w:sz w:val="22"/>
      <w:lang w:eastAsia="en-US"/>
    </w:rPr>
  </w:style>
  <w:style w:type="paragraph" w:customStyle="1" w:styleId="In-tableHeading">
    <w:name w:val="In-table Heading"/>
    <w:qFormat/>
    <w:rsid w:val="00E2637D"/>
    <w:pPr>
      <w:keepNext/>
      <w:spacing w:after="0" w:line="240" w:lineRule="auto"/>
    </w:pPr>
    <w:rPr>
      <w:rFonts w:ascii="Arial Narrow" w:eastAsiaTheme="majorEastAsia" w:hAnsi="Arial Narrow"/>
      <w:b/>
      <w:sz w:val="20"/>
      <w:lang w:val="en-US"/>
    </w:rPr>
  </w:style>
  <w:style w:type="table" w:styleId="TableGrid">
    <w:name w:val="Table Grid"/>
    <w:aliases w:val="Summary box,Table Gridbeth"/>
    <w:basedOn w:val="TableNormal"/>
    <w:uiPriority w:val="39"/>
    <w:rsid w:val="00E2637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37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en-AU"/>
    </w:rPr>
  </w:style>
  <w:style w:type="paragraph" w:customStyle="1" w:styleId="Tableheading">
    <w:name w:val="Table heading"/>
    <w:basedOn w:val="Normal"/>
    <w:qFormat/>
    <w:rsid w:val="00E2637D"/>
    <w:pPr>
      <w:autoSpaceDE w:val="0"/>
      <w:autoSpaceDN w:val="0"/>
      <w:adjustRightInd w:val="0"/>
      <w:spacing w:before="200" w:after="20"/>
    </w:pPr>
    <w:rPr>
      <w:rFonts w:asciiTheme="minorHAnsi" w:eastAsiaTheme="minorEastAsia" w:hAnsiTheme="minorHAnsi" w:cs="Calibri"/>
      <w:b/>
    </w:rPr>
  </w:style>
  <w:style w:type="paragraph" w:customStyle="1" w:styleId="TableText">
    <w:name w:val="Table Text"/>
    <w:basedOn w:val="Normal"/>
    <w:link w:val="TableTextChar"/>
    <w:qFormat/>
    <w:rsid w:val="00E2637D"/>
    <w:pPr>
      <w:spacing w:before="60" w:after="60"/>
    </w:pPr>
    <w:rPr>
      <w:sz w:val="20"/>
      <w:szCs w:val="20"/>
    </w:rPr>
  </w:style>
  <w:style w:type="character" w:customStyle="1" w:styleId="TableTextChar">
    <w:name w:val="Table Text Char"/>
    <w:link w:val="TableText"/>
    <w:rsid w:val="00E2637D"/>
    <w:rPr>
      <w:rFonts w:ascii="Calibri" w:eastAsia="Times New Roman" w:hAnsi="Calibri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E2637D"/>
    <w:pPr>
      <w:spacing w:before="100" w:beforeAutospacing="1" w:after="100" w:afterAutospacing="1"/>
    </w:pPr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6F04F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F04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4F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96F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7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bs.tga.gov.au/ebs/picmi/picmirepository.nsf/pdf?OpenAgent=&amp;id=CP-2015-PI-01412-1&amp;d=20221118172310101" TargetMode="External"/><Relationship Id="rId1" Type="http://schemas.openxmlformats.org/officeDocument/2006/relationships/hyperlink" Target="https://www.ebs.tga.gov.au/ebs/picmi/picmirepository.nsf/pdf?OpenAgent=&amp;id=CP-2019-PI-01881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5DD2CF81-BA1C-4C6E-830A-D4D6D637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1438</Words>
  <Characters>8456</Characters>
  <Application>Microsoft Office Word</Application>
  <DocSecurity>0</DocSecurity>
  <Lines>604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2024-05-14T08:15:00Z</dcterms:created>
  <dcterms:modified xsi:type="dcterms:W3CDTF">2024-05-14T08:15:00Z</dcterms:modified>
</cp:coreProperties>
</file>