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82F6" w14:textId="4DAA1AD4" w:rsidR="00217ACD" w:rsidRPr="00217ACD" w:rsidRDefault="0007237E" w:rsidP="00BC6A99">
      <w:pPr>
        <w:pStyle w:val="Title"/>
        <w:sectPr w:rsidR="00217ACD" w:rsidRPr="00217ACD">
          <w:headerReference w:type="default" r:id="rId8"/>
          <w:footerReference w:type="default" r:id="rId9"/>
          <w:headerReference w:type="first" r:id="rId10"/>
          <w:pgSz w:w="11906" w:h="16838"/>
          <w:pgMar w:top="1440" w:right="1440" w:bottom="1440" w:left="1440" w:header="708" w:footer="708" w:gutter="0"/>
          <w:cols w:space="708"/>
          <w:docGrid w:linePitch="360"/>
        </w:sectPr>
      </w:pPr>
      <w:bookmarkStart w:id="0" w:name="_Hlk99699214"/>
      <w:r>
        <w:t>Pharmaceutical Reform Agreement</w:t>
      </w:r>
      <w:bookmarkEnd w:id="0"/>
      <w:r>
        <w:t xml:space="preserve"> Review Report</w:t>
      </w:r>
    </w:p>
    <w:sdt>
      <w:sdtPr>
        <w:rPr>
          <w:rFonts w:ascii="Arial" w:eastAsia="Times New Roman" w:hAnsi="Arial" w:cs="Times New Roman"/>
          <w:color w:val="auto"/>
          <w:sz w:val="22"/>
          <w:szCs w:val="24"/>
          <w:lang w:val="en-AU"/>
        </w:rPr>
        <w:id w:val="-1141195490"/>
        <w:docPartObj>
          <w:docPartGallery w:val="Table of Contents"/>
          <w:docPartUnique/>
        </w:docPartObj>
      </w:sdtPr>
      <w:sdtEndPr>
        <w:rPr>
          <w:b/>
          <w:bCs/>
          <w:noProof/>
        </w:rPr>
      </w:sdtEndPr>
      <w:sdtContent>
        <w:p w14:paraId="21F8EB25" w14:textId="403AA5CA" w:rsidR="006F5C52" w:rsidRDefault="006F5C52">
          <w:pPr>
            <w:pStyle w:val="TOCHeading"/>
          </w:pPr>
          <w:r>
            <w:t>Contents</w:t>
          </w:r>
        </w:p>
        <w:p w14:paraId="42CC6F65" w14:textId="112083E7" w:rsidR="00106734" w:rsidRDefault="006F5C52">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26595334" w:history="1">
            <w:r w:rsidR="00106734" w:rsidRPr="00F17A09">
              <w:rPr>
                <w:rStyle w:val="Hyperlink"/>
                <w:noProof/>
              </w:rPr>
              <w:t>Introduction</w:t>
            </w:r>
            <w:r w:rsidR="00106734">
              <w:rPr>
                <w:noProof/>
                <w:webHidden/>
              </w:rPr>
              <w:tab/>
            </w:r>
            <w:r w:rsidR="00106734">
              <w:rPr>
                <w:noProof/>
                <w:webHidden/>
              </w:rPr>
              <w:fldChar w:fldCharType="begin"/>
            </w:r>
            <w:r w:rsidR="00106734">
              <w:rPr>
                <w:noProof/>
                <w:webHidden/>
              </w:rPr>
              <w:instrText xml:space="preserve"> PAGEREF _Toc126595334 \h </w:instrText>
            </w:r>
            <w:r w:rsidR="00106734">
              <w:rPr>
                <w:noProof/>
                <w:webHidden/>
              </w:rPr>
            </w:r>
            <w:r w:rsidR="00106734">
              <w:rPr>
                <w:noProof/>
                <w:webHidden/>
              </w:rPr>
              <w:fldChar w:fldCharType="separate"/>
            </w:r>
            <w:r w:rsidR="00254675">
              <w:rPr>
                <w:noProof/>
                <w:webHidden/>
              </w:rPr>
              <w:t>2</w:t>
            </w:r>
            <w:r w:rsidR="00106734">
              <w:rPr>
                <w:noProof/>
                <w:webHidden/>
              </w:rPr>
              <w:fldChar w:fldCharType="end"/>
            </w:r>
          </w:hyperlink>
        </w:p>
        <w:p w14:paraId="37DA4963" w14:textId="58B58BB2" w:rsidR="00106734" w:rsidRDefault="00000000">
          <w:pPr>
            <w:pStyle w:val="TOC1"/>
            <w:rPr>
              <w:rFonts w:asciiTheme="minorHAnsi" w:eastAsiaTheme="minorEastAsia" w:hAnsiTheme="minorHAnsi" w:cstheme="minorBidi"/>
              <w:noProof/>
              <w:szCs w:val="22"/>
              <w:lang w:eastAsia="en-AU"/>
            </w:rPr>
          </w:pPr>
          <w:hyperlink w:anchor="_Toc126595335" w:history="1">
            <w:r w:rsidR="00106734" w:rsidRPr="00F17A09">
              <w:rPr>
                <w:rStyle w:val="Hyperlink"/>
                <w:noProof/>
              </w:rPr>
              <w:t>Review of PRAs</w:t>
            </w:r>
            <w:r w:rsidR="00106734">
              <w:rPr>
                <w:noProof/>
                <w:webHidden/>
              </w:rPr>
              <w:tab/>
            </w:r>
            <w:r w:rsidR="00106734">
              <w:rPr>
                <w:noProof/>
                <w:webHidden/>
              </w:rPr>
              <w:fldChar w:fldCharType="begin"/>
            </w:r>
            <w:r w:rsidR="00106734">
              <w:rPr>
                <w:noProof/>
                <w:webHidden/>
              </w:rPr>
              <w:instrText xml:space="preserve"> PAGEREF _Toc126595335 \h </w:instrText>
            </w:r>
            <w:r w:rsidR="00106734">
              <w:rPr>
                <w:noProof/>
                <w:webHidden/>
              </w:rPr>
            </w:r>
            <w:r w:rsidR="00106734">
              <w:rPr>
                <w:noProof/>
                <w:webHidden/>
              </w:rPr>
              <w:fldChar w:fldCharType="separate"/>
            </w:r>
            <w:r w:rsidR="00254675">
              <w:rPr>
                <w:noProof/>
                <w:webHidden/>
              </w:rPr>
              <w:t>2</w:t>
            </w:r>
            <w:r w:rsidR="00106734">
              <w:rPr>
                <w:noProof/>
                <w:webHidden/>
              </w:rPr>
              <w:fldChar w:fldCharType="end"/>
            </w:r>
          </w:hyperlink>
        </w:p>
        <w:p w14:paraId="4C3E30AF" w14:textId="3B49635C" w:rsidR="00106734" w:rsidRDefault="00000000">
          <w:pPr>
            <w:pStyle w:val="TOC2"/>
            <w:rPr>
              <w:rFonts w:asciiTheme="minorHAnsi" w:eastAsiaTheme="minorEastAsia" w:hAnsiTheme="minorHAnsi" w:cstheme="minorBidi"/>
              <w:noProof/>
              <w:szCs w:val="22"/>
              <w:lang w:eastAsia="en-AU"/>
            </w:rPr>
          </w:pPr>
          <w:hyperlink w:anchor="_Toc126595336" w:history="1">
            <w:r w:rsidR="00106734" w:rsidRPr="00F17A09">
              <w:rPr>
                <w:rStyle w:val="Hyperlink"/>
                <w:noProof/>
              </w:rPr>
              <w:t>Aim</w:t>
            </w:r>
            <w:r w:rsidR="00106734">
              <w:rPr>
                <w:noProof/>
                <w:webHidden/>
              </w:rPr>
              <w:tab/>
            </w:r>
            <w:r w:rsidR="00106734">
              <w:rPr>
                <w:noProof/>
                <w:webHidden/>
              </w:rPr>
              <w:fldChar w:fldCharType="begin"/>
            </w:r>
            <w:r w:rsidR="00106734">
              <w:rPr>
                <w:noProof/>
                <w:webHidden/>
              </w:rPr>
              <w:instrText xml:space="preserve"> PAGEREF _Toc126595336 \h </w:instrText>
            </w:r>
            <w:r w:rsidR="00106734">
              <w:rPr>
                <w:noProof/>
                <w:webHidden/>
              </w:rPr>
            </w:r>
            <w:r w:rsidR="00106734">
              <w:rPr>
                <w:noProof/>
                <w:webHidden/>
              </w:rPr>
              <w:fldChar w:fldCharType="separate"/>
            </w:r>
            <w:r w:rsidR="00254675">
              <w:rPr>
                <w:noProof/>
                <w:webHidden/>
              </w:rPr>
              <w:t>2</w:t>
            </w:r>
            <w:r w:rsidR="00106734">
              <w:rPr>
                <w:noProof/>
                <w:webHidden/>
              </w:rPr>
              <w:fldChar w:fldCharType="end"/>
            </w:r>
          </w:hyperlink>
        </w:p>
        <w:p w14:paraId="08DE7BA0" w14:textId="00FEFEC1" w:rsidR="00106734" w:rsidRDefault="00000000">
          <w:pPr>
            <w:pStyle w:val="TOC2"/>
            <w:rPr>
              <w:rFonts w:asciiTheme="minorHAnsi" w:eastAsiaTheme="minorEastAsia" w:hAnsiTheme="minorHAnsi" w:cstheme="minorBidi"/>
              <w:noProof/>
              <w:szCs w:val="22"/>
              <w:lang w:eastAsia="en-AU"/>
            </w:rPr>
          </w:pPr>
          <w:hyperlink w:anchor="_Toc126595337" w:history="1">
            <w:r w:rsidR="00106734" w:rsidRPr="00F17A09">
              <w:rPr>
                <w:rStyle w:val="Hyperlink"/>
                <w:noProof/>
              </w:rPr>
              <w:t>In Scope of the Review</w:t>
            </w:r>
            <w:r w:rsidR="00106734">
              <w:rPr>
                <w:noProof/>
                <w:webHidden/>
              </w:rPr>
              <w:tab/>
            </w:r>
            <w:r w:rsidR="00106734">
              <w:rPr>
                <w:noProof/>
                <w:webHidden/>
              </w:rPr>
              <w:fldChar w:fldCharType="begin"/>
            </w:r>
            <w:r w:rsidR="00106734">
              <w:rPr>
                <w:noProof/>
                <w:webHidden/>
              </w:rPr>
              <w:instrText xml:space="preserve"> PAGEREF _Toc126595337 \h </w:instrText>
            </w:r>
            <w:r w:rsidR="00106734">
              <w:rPr>
                <w:noProof/>
                <w:webHidden/>
              </w:rPr>
            </w:r>
            <w:r w:rsidR="00106734">
              <w:rPr>
                <w:noProof/>
                <w:webHidden/>
              </w:rPr>
              <w:fldChar w:fldCharType="separate"/>
            </w:r>
            <w:r w:rsidR="00254675">
              <w:rPr>
                <w:noProof/>
                <w:webHidden/>
              </w:rPr>
              <w:t>2</w:t>
            </w:r>
            <w:r w:rsidR="00106734">
              <w:rPr>
                <w:noProof/>
                <w:webHidden/>
              </w:rPr>
              <w:fldChar w:fldCharType="end"/>
            </w:r>
          </w:hyperlink>
        </w:p>
        <w:p w14:paraId="5A3958A1" w14:textId="34638ED6" w:rsidR="00106734" w:rsidRDefault="00000000">
          <w:pPr>
            <w:pStyle w:val="TOC2"/>
            <w:rPr>
              <w:rFonts w:asciiTheme="minorHAnsi" w:eastAsiaTheme="minorEastAsia" w:hAnsiTheme="minorHAnsi" w:cstheme="minorBidi"/>
              <w:noProof/>
              <w:szCs w:val="22"/>
              <w:lang w:eastAsia="en-AU"/>
            </w:rPr>
          </w:pPr>
          <w:hyperlink w:anchor="_Toc126595338" w:history="1">
            <w:r w:rsidR="00106734" w:rsidRPr="00F17A09">
              <w:rPr>
                <w:rStyle w:val="Hyperlink"/>
                <w:noProof/>
              </w:rPr>
              <w:t>Out of Scope of the Review</w:t>
            </w:r>
            <w:r w:rsidR="00106734">
              <w:rPr>
                <w:noProof/>
                <w:webHidden/>
              </w:rPr>
              <w:tab/>
            </w:r>
            <w:r w:rsidR="00106734">
              <w:rPr>
                <w:noProof/>
                <w:webHidden/>
              </w:rPr>
              <w:fldChar w:fldCharType="begin"/>
            </w:r>
            <w:r w:rsidR="00106734">
              <w:rPr>
                <w:noProof/>
                <w:webHidden/>
              </w:rPr>
              <w:instrText xml:space="preserve"> PAGEREF _Toc126595338 \h </w:instrText>
            </w:r>
            <w:r w:rsidR="00106734">
              <w:rPr>
                <w:noProof/>
                <w:webHidden/>
              </w:rPr>
            </w:r>
            <w:r w:rsidR="00106734">
              <w:rPr>
                <w:noProof/>
                <w:webHidden/>
              </w:rPr>
              <w:fldChar w:fldCharType="separate"/>
            </w:r>
            <w:r w:rsidR="00254675">
              <w:rPr>
                <w:noProof/>
                <w:webHidden/>
              </w:rPr>
              <w:t>2</w:t>
            </w:r>
            <w:r w:rsidR="00106734">
              <w:rPr>
                <w:noProof/>
                <w:webHidden/>
              </w:rPr>
              <w:fldChar w:fldCharType="end"/>
            </w:r>
          </w:hyperlink>
        </w:p>
        <w:p w14:paraId="6509F878" w14:textId="39E99C35" w:rsidR="00106734" w:rsidRDefault="00000000">
          <w:pPr>
            <w:pStyle w:val="TOC2"/>
            <w:rPr>
              <w:rFonts w:asciiTheme="minorHAnsi" w:eastAsiaTheme="minorEastAsia" w:hAnsiTheme="minorHAnsi" w:cstheme="minorBidi"/>
              <w:noProof/>
              <w:szCs w:val="22"/>
              <w:lang w:eastAsia="en-AU"/>
            </w:rPr>
          </w:pPr>
          <w:hyperlink w:anchor="_Toc126595339" w:history="1">
            <w:r w:rsidR="00106734" w:rsidRPr="00F17A09">
              <w:rPr>
                <w:rStyle w:val="Hyperlink"/>
                <w:noProof/>
              </w:rPr>
              <w:t>Key areas this review examined</w:t>
            </w:r>
            <w:r w:rsidR="00106734">
              <w:rPr>
                <w:noProof/>
                <w:webHidden/>
              </w:rPr>
              <w:tab/>
            </w:r>
            <w:r w:rsidR="00106734">
              <w:rPr>
                <w:noProof/>
                <w:webHidden/>
              </w:rPr>
              <w:fldChar w:fldCharType="begin"/>
            </w:r>
            <w:r w:rsidR="00106734">
              <w:rPr>
                <w:noProof/>
                <w:webHidden/>
              </w:rPr>
              <w:instrText xml:space="preserve"> PAGEREF _Toc126595339 \h </w:instrText>
            </w:r>
            <w:r w:rsidR="00106734">
              <w:rPr>
                <w:noProof/>
                <w:webHidden/>
              </w:rPr>
            </w:r>
            <w:r w:rsidR="00106734">
              <w:rPr>
                <w:noProof/>
                <w:webHidden/>
              </w:rPr>
              <w:fldChar w:fldCharType="separate"/>
            </w:r>
            <w:r w:rsidR="00254675">
              <w:rPr>
                <w:noProof/>
                <w:webHidden/>
              </w:rPr>
              <w:t>3</w:t>
            </w:r>
            <w:r w:rsidR="00106734">
              <w:rPr>
                <w:noProof/>
                <w:webHidden/>
              </w:rPr>
              <w:fldChar w:fldCharType="end"/>
            </w:r>
          </w:hyperlink>
        </w:p>
        <w:p w14:paraId="4A8E0795" w14:textId="598625DA" w:rsidR="00106734" w:rsidRDefault="00000000">
          <w:pPr>
            <w:pStyle w:val="TOC2"/>
            <w:rPr>
              <w:rFonts w:asciiTheme="minorHAnsi" w:eastAsiaTheme="minorEastAsia" w:hAnsiTheme="minorHAnsi" w:cstheme="minorBidi"/>
              <w:noProof/>
              <w:szCs w:val="22"/>
              <w:lang w:eastAsia="en-AU"/>
            </w:rPr>
          </w:pPr>
          <w:hyperlink w:anchor="_Toc126595340" w:history="1">
            <w:r w:rsidR="00106734" w:rsidRPr="00F17A09">
              <w:rPr>
                <w:rStyle w:val="Hyperlink"/>
                <w:noProof/>
              </w:rPr>
              <w:t xml:space="preserve">Recommendations out of the </w:t>
            </w:r>
            <w:r w:rsidR="00106734" w:rsidRPr="00F17A09">
              <w:rPr>
                <w:rStyle w:val="Hyperlink"/>
                <w:i/>
                <w:noProof/>
              </w:rPr>
              <w:t>PBS Pharmaceuticals in Hospitals Review</w:t>
            </w:r>
            <w:r w:rsidR="00106734">
              <w:rPr>
                <w:noProof/>
                <w:webHidden/>
              </w:rPr>
              <w:tab/>
            </w:r>
            <w:r w:rsidR="00106734">
              <w:rPr>
                <w:noProof/>
                <w:webHidden/>
              </w:rPr>
              <w:fldChar w:fldCharType="begin"/>
            </w:r>
            <w:r w:rsidR="00106734">
              <w:rPr>
                <w:noProof/>
                <w:webHidden/>
              </w:rPr>
              <w:instrText xml:space="preserve"> PAGEREF _Toc126595340 \h </w:instrText>
            </w:r>
            <w:r w:rsidR="00106734">
              <w:rPr>
                <w:noProof/>
                <w:webHidden/>
              </w:rPr>
            </w:r>
            <w:r w:rsidR="00106734">
              <w:rPr>
                <w:noProof/>
                <w:webHidden/>
              </w:rPr>
              <w:fldChar w:fldCharType="separate"/>
            </w:r>
            <w:r w:rsidR="00254675">
              <w:rPr>
                <w:noProof/>
                <w:webHidden/>
              </w:rPr>
              <w:t>3</w:t>
            </w:r>
            <w:r w:rsidR="00106734">
              <w:rPr>
                <w:noProof/>
                <w:webHidden/>
              </w:rPr>
              <w:fldChar w:fldCharType="end"/>
            </w:r>
          </w:hyperlink>
        </w:p>
        <w:p w14:paraId="45C5BFDC" w14:textId="2AB1AC2D" w:rsidR="00106734" w:rsidRDefault="00000000">
          <w:pPr>
            <w:pStyle w:val="TOC2"/>
            <w:rPr>
              <w:rFonts w:asciiTheme="minorHAnsi" w:eastAsiaTheme="minorEastAsia" w:hAnsiTheme="minorHAnsi" w:cstheme="minorBidi"/>
              <w:noProof/>
              <w:szCs w:val="22"/>
              <w:lang w:eastAsia="en-AU"/>
            </w:rPr>
          </w:pPr>
          <w:hyperlink w:anchor="_Toc126595341" w:history="1">
            <w:r w:rsidR="00106734" w:rsidRPr="00F17A09">
              <w:rPr>
                <w:rStyle w:val="Hyperlink"/>
                <w:noProof/>
              </w:rPr>
              <w:t>Stakeholder consultation</w:t>
            </w:r>
            <w:r w:rsidR="00106734">
              <w:rPr>
                <w:noProof/>
                <w:webHidden/>
              </w:rPr>
              <w:tab/>
            </w:r>
            <w:r w:rsidR="00106734">
              <w:rPr>
                <w:noProof/>
                <w:webHidden/>
              </w:rPr>
              <w:fldChar w:fldCharType="begin"/>
            </w:r>
            <w:r w:rsidR="00106734">
              <w:rPr>
                <w:noProof/>
                <w:webHidden/>
              </w:rPr>
              <w:instrText xml:space="preserve"> PAGEREF _Toc126595341 \h </w:instrText>
            </w:r>
            <w:r w:rsidR="00106734">
              <w:rPr>
                <w:noProof/>
                <w:webHidden/>
              </w:rPr>
            </w:r>
            <w:r w:rsidR="00106734">
              <w:rPr>
                <w:noProof/>
                <w:webHidden/>
              </w:rPr>
              <w:fldChar w:fldCharType="separate"/>
            </w:r>
            <w:r w:rsidR="00254675">
              <w:rPr>
                <w:noProof/>
                <w:webHidden/>
              </w:rPr>
              <w:t>4</w:t>
            </w:r>
            <w:r w:rsidR="00106734">
              <w:rPr>
                <w:noProof/>
                <w:webHidden/>
              </w:rPr>
              <w:fldChar w:fldCharType="end"/>
            </w:r>
          </w:hyperlink>
        </w:p>
        <w:p w14:paraId="4E5E47DE" w14:textId="5D5E3CB5" w:rsidR="00106734" w:rsidRDefault="00000000">
          <w:pPr>
            <w:pStyle w:val="TOC1"/>
            <w:rPr>
              <w:rFonts w:asciiTheme="minorHAnsi" w:eastAsiaTheme="minorEastAsia" w:hAnsiTheme="minorHAnsi" w:cstheme="minorBidi"/>
              <w:noProof/>
              <w:szCs w:val="22"/>
              <w:lang w:eastAsia="en-AU"/>
            </w:rPr>
          </w:pPr>
          <w:hyperlink w:anchor="_Toc126595342" w:history="1">
            <w:r w:rsidR="00106734" w:rsidRPr="00F17A09">
              <w:rPr>
                <w:rStyle w:val="Hyperlink"/>
                <w:noProof/>
              </w:rPr>
              <w:t>Pharmaceutical Reform Agreements</w:t>
            </w:r>
            <w:r w:rsidR="00106734">
              <w:rPr>
                <w:noProof/>
                <w:webHidden/>
              </w:rPr>
              <w:tab/>
            </w:r>
            <w:r w:rsidR="00106734">
              <w:rPr>
                <w:noProof/>
                <w:webHidden/>
              </w:rPr>
              <w:fldChar w:fldCharType="begin"/>
            </w:r>
            <w:r w:rsidR="00106734">
              <w:rPr>
                <w:noProof/>
                <w:webHidden/>
              </w:rPr>
              <w:instrText xml:space="preserve"> PAGEREF _Toc126595342 \h </w:instrText>
            </w:r>
            <w:r w:rsidR="00106734">
              <w:rPr>
                <w:noProof/>
                <w:webHidden/>
              </w:rPr>
            </w:r>
            <w:r w:rsidR="00106734">
              <w:rPr>
                <w:noProof/>
                <w:webHidden/>
              </w:rPr>
              <w:fldChar w:fldCharType="separate"/>
            </w:r>
            <w:r w:rsidR="00254675">
              <w:rPr>
                <w:noProof/>
                <w:webHidden/>
              </w:rPr>
              <w:t>5</w:t>
            </w:r>
            <w:r w:rsidR="00106734">
              <w:rPr>
                <w:noProof/>
                <w:webHidden/>
              </w:rPr>
              <w:fldChar w:fldCharType="end"/>
            </w:r>
          </w:hyperlink>
        </w:p>
        <w:p w14:paraId="11F7ED89" w14:textId="0C80AE8D" w:rsidR="00106734" w:rsidRDefault="00000000">
          <w:pPr>
            <w:pStyle w:val="TOC2"/>
            <w:rPr>
              <w:rFonts w:asciiTheme="minorHAnsi" w:eastAsiaTheme="minorEastAsia" w:hAnsiTheme="minorHAnsi" w:cstheme="minorBidi"/>
              <w:noProof/>
              <w:szCs w:val="22"/>
              <w:lang w:eastAsia="en-AU"/>
            </w:rPr>
          </w:pPr>
          <w:hyperlink w:anchor="_Toc126595343" w:history="1">
            <w:r w:rsidR="00106734" w:rsidRPr="00F17A09">
              <w:rPr>
                <w:rStyle w:val="Hyperlink"/>
                <w:noProof/>
              </w:rPr>
              <w:t>Background and History</w:t>
            </w:r>
            <w:r w:rsidR="00106734">
              <w:rPr>
                <w:noProof/>
                <w:webHidden/>
              </w:rPr>
              <w:tab/>
            </w:r>
            <w:r w:rsidR="00106734">
              <w:rPr>
                <w:noProof/>
                <w:webHidden/>
              </w:rPr>
              <w:fldChar w:fldCharType="begin"/>
            </w:r>
            <w:r w:rsidR="00106734">
              <w:rPr>
                <w:noProof/>
                <w:webHidden/>
              </w:rPr>
              <w:instrText xml:space="preserve"> PAGEREF _Toc126595343 \h </w:instrText>
            </w:r>
            <w:r w:rsidR="00106734">
              <w:rPr>
                <w:noProof/>
                <w:webHidden/>
              </w:rPr>
            </w:r>
            <w:r w:rsidR="00106734">
              <w:rPr>
                <w:noProof/>
                <w:webHidden/>
              </w:rPr>
              <w:fldChar w:fldCharType="separate"/>
            </w:r>
            <w:r w:rsidR="00254675">
              <w:rPr>
                <w:noProof/>
                <w:webHidden/>
              </w:rPr>
              <w:t>5</w:t>
            </w:r>
            <w:r w:rsidR="00106734">
              <w:rPr>
                <w:noProof/>
                <w:webHidden/>
              </w:rPr>
              <w:fldChar w:fldCharType="end"/>
            </w:r>
          </w:hyperlink>
        </w:p>
        <w:p w14:paraId="6F606B19" w14:textId="1E93A744" w:rsidR="00106734" w:rsidRDefault="00000000">
          <w:pPr>
            <w:pStyle w:val="TOC3"/>
            <w:tabs>
              <w:tab w:val="right" w:leader="dot" w:pos="9016"/>
            </w:tabs>
            <w:rPr>
              <w:rFonts w:asciiTheme="minorHAnsi" w:eastAsiaTheme="minorEastAsia" w:hAnsiTheme="minorHAnsi" w:cstheme="minorBidi"/>
              <w:noProof/>
              <w:szCs w:val="22"/>
              <w:lang w:eastAsia="en-AU"/>
            </w:rPr>
          </w:pPr>
          <w:hyperlink w:anchor="_Toc126595344" w:history="1">
            <w:r w:rsidR="00106734" w:rsidRPr="00F17A09">
              <w:rPr>
                <w:rStyle w:val="Hyperlink"/>
                <w:noProof/>
              </w:rPr>
              <w:t>Legislative and regulatory framework</w:t>
            </w:r>
            <w:r w:rsidR="00106734">
              <w:rPr>
                <w:noProof/>
                <w:webHidden/>
              </w:rPr>
              <w:tab/>
            </w:r>
            <w:r w:rsidR="00106734">
              <w:rPr>
                <w:noProof/>
                <w:webHidden/>
              </w:rPr>
              <w:fldChar w:fldCharType="begin"/>
            </w:r>
            <w:r w:rsidR="00106734">
              <w:rPr>
                <w:noProof/>
                <w:webHidden/>
              </w:rPr>
              <w:instrText xml:space="preserve"> PAGEREF _Toc126595344 \h </w:instrText>
            </w:r>
            <w:r w:rsidR="00106734">
              <w:rPr>
                <w:noProof/>
                <w:webHidden/>
              </w:rPr>
            </w:r>
            <w:r w:rsidR="00106734">
              <w:rPr>
                <w:noProof/>
                <w:webHidden/>
              </w:rPr>
              <w:fldChar w:fldCharType="separate"/>
            </w:r>
            <w:r w:rsidR="00254675">
              <w:rPr>
                <w:noProof/>
                <w:webHidden/>
              </w:rPr>
              <w:t>6</w:t>
            </w:r>
            <w:r w:rsidR="00106734">
              <w:rPr>
                <w:noProof/>
                <w:webHidden/>
              </w:rPr>
              <w:fldChar w:fldCharType="end"/>
            </w:r>
          </w:hyperlink>
        </w:p>
        <w:p w14:paraId="60F97F1D" w14:textId="77333556" w:rsidR="00106734" w:rsidRDefault="00000000">
          <w:pPr>
            <w:pStyle w:val="TOC3"/>
            <w:tabs>
              <w:tab w:val="right" w:leader="dot" w:pos="9016"/>
            </w:tabs>
            <w:rPr>
              <w:rFonts w:asciiTheme="minorHAnsi" w:eastAsiaTheme="minorEastAsia" w:hAnsiTheme="minorHAnsi" w:cstheme="minorBidi"/>
              <w:noProof/>
              <w:szCs w:val="22"/>
              <w:lang w:eastAsia="en-AU"/>
            </w:rPr>
          </w:pPr>
          <w:hyperlink w:anchor="_Toc126595345" w:history="1">
            <w:r w:rsidR="00106734" w:rsidRPr="00F17A09">
              <w:rPr>
                <w:rStyle w:val="Hyperlink"/>
                <w:noProof/>
              </w:rPr>
              <w:t>PRAs and NHRA</w:t>
            </w:r>
            <w:r w:rsidR="00106734">
              <w:rPr>
                <w:noProof/>
                <w:webHidden/>
              </w:rPr>
              <w:tab/>
            </w:r>
            <w:r w:rsidR="00106734">
              <w:rPr>
                <w:noProof/>
                <w:webHidden/>
              </w:rPr>
              <w:fldChar w:fldCharType="begin"/>
            </w:r>
            <w:r w:rsidR="00106734">
              <w:rPr>
                <w:noProof/>
                <w:webHidden/>
              </w:rPr>
              <w:instrText xml:space="preserve"> PAGEREF _Toc126595345 \h </w:instrText>
            </w:r>
            <w:r w:rsidR="00106734">
              <w:rPr>
                <w:noProof/>
                <w:webHidden/>
              </w:rPr>
            </w:r>
            <w:r w:rsidR="00106734">
              <w:rPr>
                <w:noProof/>
                <w:webHidden/>
              </w:rPr>
              <w:fldChar w:fldCharType="separate"/>
            </w:r>
            <w:r w:rsidR="00254675">
              <w:rPr>
                <w:noProof/>
                <w:webHidden/>
              </w:rPr>
              <w:t>6</w:t>
            </w:r>
            <w:r w:rsidR="00106734">
              <w:rPr>
                <w:noProof/>
                <w:webHidden/>
              </w:rPr>
              <w:fldChar w:fldCharType="end"/>
            </w:r>
          </w:hyperlink>
        </w:p>
        <w:p w14:paraId="5E8E5E10" w14:textId="37BE86EE" w:rsidR="00106734" w:rsidRDefault="00000000">
          <w:pPr>
            <w:pStyle w:val="TOC2"/>
            <w:rPr>
              <w:rFonts w:asciiTheme="minorHAnsi" w:eastAsiaTheme="minorEastAsia" w:hAnsiTheme="minorHAnsi" w:cstheme="minorBidi"/>
              <w:noProof/>
              <w:szCs w:val="22"/>
              <w:lang w:eastAsia="en-AU"/>
            </w:rPr>
          </w:pPr>
          <w:hyperlink w:anchor="_Toc126595346" w:history="1">
            <w:r w:rsidR="00106734" w:rsidRPr="00F17A09">
              <w:rPr>
                <w:rStyle w:val="Hyperlink"/>
                <w:noProof/>
              </w:rPr>
              <w:t>PRA Objectives</w:t>
            </w:r>
            <w:r w:rsidR="00106734">
              <w:rPr>
                <w:noProof/>
                <w:webHidden/>
              </w:rPr>
              <w:tab/>
            </w:r>
            <w:r w:rsidR="00106734">
              <w:rPr>
                <w:noProof/>
                <w:webHidden/>
              </w:rPr>
              <w:fldChar w:fldCharType="begin"/>
            </w:r>
            <w:r w:rsidR="00106734">
              <w:rPr>
                <w:noProof/>
                <w:webHidden/>
              </w:rPr>
              <w:instrText xml:space="preserve"> PAGEREF _Toc126595346 \h </w:instrText>
            </w:r>
            <w:r w:rsidR="00106734">
              <w:rPr>
                <w:noProof/>
                <w:webHidden/>
              </w:rPr>
            </w:r>
            <w:r w:rsidR="00106734">
              <w:rPr>
                <w:noProof/>
                <w:webHidden/>
              </w:rPr>
              <w:fldChar w:fldCharType="separate"/>
            </w:r>
            <w:r w:rsidR="00254675">
              <w:rPr>
                <w:noProof/>
                <w:webHidden/>
              </w:rPr>
              <w:t>7</w:t>
            </w:r>
            <w:r w:rsidR="00106734">
              <w:rPr>
                <w:noProof/>
                <w:webHidden/>
              </w:rPr>
              <w:fldChar w:fldCharType="end"/>
            </w:r>
          </w:hyperlink>
        </w:p>
        <w:p w14:paraId="16BB868C" w14:textId="1368E418" w:rsidR="00106734" w:rsidRDefault="00000000">
          <w:pPr>
            <w:pStyle w:val="TOC2"/>
            <w:rPr>
              <w:rFonts w:asciiTheme="minorHAnsi" w:eastAsiaTheme="minorEastAsia" w:hAnsiTheme="minorHAnsi" w:cstheme="minorBidi"/>
              <w:noProof/>
              <w:szCs w:val="22"/>
              <w:lang w:eastAsia="en-AU"/>
            </w:rPr>
          </w:pPr>
          <w:hyperlink w:anchor="_Toc126595347" w:history="1">
            <w:r w:rsidR="00106734" w:rsidRPr="00F17A09">
              <w:rPr>
                <w:rStyle w:val="Hyperlink"/>
                <w:noProof/>
              </w:rPr>
              <w:t>Governance</w:t>
            </w:r>
            <w:r w:rsidR="00106734">
              <w:rPr>
                <w:noProof/>
                <w:webHidden/>
              </w:rPr>
              <w:tab/>
            </w:r>
            <w:r w:rsidR="00106734">
              <w:rPr>
                <w:noProof/>
                <w:webHidden/>
              </w:rPr>
              <w:fldChar w:fldCharType="begin"/>
            </w:r>
            <w:r w:rsidR="00106734">
              <w:rPr>
                <w:noProof/>
                <w:webHidden/>
              </w:rPr>
              <w:instrText xml:space="preserve"> PAGEREF _Toc126595347 \h </w:instrText>
            </w:r>
            <w:r w:rsidR="00106734">
              <w:rPr>
                <w:noProof/>
                <w:webHidden/>
              </w:rPr>
            </w:r>
            <w:r w:rsidR="00106734">
              <w:rPr>
                <w:noProof/>
                <w:webHidden/>
              </w:rPr>
              <w:fldChar w:fldCharType="separate"/>
            </w:r>
            <w:r w:rsidR="00254675">
              <w:rPr>
                <w:noProof/>
                <w:webHidden/>
              </w:rPr>
              <w:t>7</w:t>
            </w:r>
            <w:r w:rsidR="00106734">
              <w:rPr>
                <w:noProof/>
                <w:webHidden/>
              </w:rPr>
              <w:fldChar w:fldCharType="end"/>
            </w:r>
          </w:hyperlink>
        </w:p>
        <w:p w14:paraId="33257091" w14:textId="27EDCDB2" w:rsidR="00106734" w:rsidRDefault="00000000">
          <w:pPr>
            <w:pStyle w:val="TOC2"/>
            <w:rPr>
              <w:rFonts w:asciiTheme="minorHAnsi" w:eastAsiaTheme="minorEastAsia" w:hAnsiTheme="minorHAnsi" w:cstheme="minorBidi"/>
              <w:noProof/>
              <w:szCs w:val="22"/>
              <w:lang w:eastAsia="en-AU"/>
            </w:rPr>
          </w:pPr>
          <w:hyperlink w:anchor="_Toc126595348" w:history="1">
            <w:r w:rsidR="00106734" w:rsidRPr="00F17A09">
              <w:rPr>
                <w:rStyle w:val="Hyperlink"/>
                <w:noProof/>
              </w:rPr>
              <w:t>PBS expenditure in hospitals</w:t>
            </w:r>
            <w:r w:rsidR="00106734">
              <w:rPr>
                <w:noProof/>
                <w:webHidden/>
              </w:rPr>
              <w:tab/>
            </w:r>
            <w:r w:rsidR="00106734">
              <w:rPr>
                <w:noProof/>
                <w:webHidden/>
              </w:rPr>
              <w:fldChar w:fldCharType="begin"/>
            </w:r>
            <w:r w:rsidR="00106734">
              <w:rPr>
                <w:noProof/>
                <w:webHidden/>
              </w:rPr>
              <w:instrText xml:space="preserve"> PAGEREF _Toc126595348 \h </w:instrText>
            </w:r>
            <w:r w:rsidR="00106734">
              <w:rPr>
                <w:noProof/>
                <w:webHidden/>
              </w:rPr>
            </w:r>
            <w:r w:rsidR="00106734">
              <w:rPr>
                <w:noProof/>
                <w:webHidden/>
              </w:rPr>
              <w:fldChar w:fldCharType="separate"/>
            </w:r>
            <w:r w:rsidR="00254675">
              <w:rPr>
                <w:noProof/>
                <w:webHidden/>
              </w:rPr>
              <w:t>8</w:t>
            </w:r>
            <w:r w:rsidR="00106734">
              <w:rPr>
                <w:noProof/>
                <w:webHidden/>
              </w:rPr>
              <w:fldChar w:fldCharType="end"/>
            </w:r>
          </w:hyperlink>
        </w:p>
        <w:p w14:paraId="3E5C3DFF" w14:textId="314CA21C" w:rsidR="00106734" w:rsidRDefault="00000000">
          <w:pPr>
            <w:pStyle w:val="TOC2"/>
            <w:rPr>
              <w:rFonts w:asciiTheme="minorHAnsi" w:eastAsiaTheme="minorEastAsia" w:hAnsiTheme="minorHAnsi" w:cstheme="minorBidi"/>
              <w:noProof/>
              <w:szCs w:val="22"/>
              <w:lang w:eastAsia="en-AU"/>
            </w:rPr>
          </w:pPr>
          <w:hyperlink w:anchor="_Toc126595349" w:history="1">
            <w:r w:rsidR="00106734" w:rsidRPr="00F17A09">
              <w:rPr>
                <w:rStyle w:val="Hyperlink"/>
                <w:noProof/>
              </w:rPr>
              <w:t>Evaluation and Consultation</w:t>
            </w:r>
            <w:r w:rsidR="00106734">
              <w:rPr>
                <w:noProof/>
                <w:webHidden/>
              </w:rPr>
              <w:tab/>
            </w:r>
            <w:r w:rsidR="00106734">
              <w:rPr>
                <w:noProof/>
                <w:webHidden/>
              </w:rPr>
              <w:fldChar w:fldCharType="begin"/>
            </w:r>
            <w:r w:rsidR="00106734">
              <w:rPr>
                <w:noProof/>
                <w:webHidden/>
              </w:rPr>
              <w:instrText xml:space="preserve"> PAGEREF _Toc126595349 \h </w:instrText>
            </w:r>
            <w:r w:rsidR="00106734">
              <w:rPr>
                <w:noProof/>
                <w:webHidden/>
              </w:rPr>
            </w:r>
            <w:r w:rsidR="00106734">
              <w:rPr>
                <w:noProof/>
                <w:webHidden/>
              </w:rPr>
              <w:fldChar w:fldCharType="separate"/>
            </w:r>
            <w:r w:rsidR="00254675">
              <w:rPr>
                <w:noProof/>
                <w:webHidden/>
              </w:rPr>
              <w:t>10</w:t>
            </w:r>
            <w:r w:rsidR="00106734">
              <w:rPr>
                <w:noProof/>
                <w:webHidden/>
              </w:rPr>
              <w:fldChar w:fldCharType="end"/>
            </w:r>
          </w:hyperlink>
        </w:p>
        <w:p w14:paraId="73C338E0" w14:textId="1B567A99" w:rsidR="00106734" w:rsidRDefault="00000000">
          <w:pPr>
            <w:pStyle w:val="TOC2"/>
            <w:rPr>
              <w:rFonts w:asciiTheme="minorHAnsi" w:eastAsiaTheme="minorEastAsia" w:hAnsiTheme="minorHAnsi" w:cstheme="minorBidi"/>
              <w:noProof/>
              <w:szCs w:val="22"/>
              <w:lang w:eastAsia="en-AU"/>
            </w:rPr>
          </w:pPr>
          <w:hyperlink w:anchor="_Toc126595350" w:history="1">
            <w:r w:rsidR="00106734" w:rsidRPr="00F17A09">
              <w:rPr>
                <w:rStyle w:val="Hyperlink"/>
                <w:noProof/>
              </w:rPr>
              <w:t>PRA Principles</w:t>
            </w:r>
            <w:r w:rsidR="00106734">
              <w:rPr>
                <w:noProof/>
                <w:webHidden/>
              </w:rPr>
              <w:tab/>
            </w:r>
            <w:r w:rsidR="00106734">
              <w:rPr>
                <w:noProof/>
                <w:webHidden/>
              </w:rPr>
              <w:fldChar w:fldCharType="begin"/>
            </w:r>
            <w:r w:rsidR="00106734">
              <w:rPr>
                <w:noProof/>
                <w:webHidden/>
              </w:rPr>
              <w:instrText xml:space="preserve"> PAGEREF _Toc126595350 \h </w:instrText>
            </w:r>
            <w:r w:rsidR="00106734">
              <w:rPr>
                <w:noProof/>
                <w:webHidden/>
              </w:rPr>
            </w:r>
            <w:r w:rsidR="00106734">
              <w:rPr>
                <w:noProof/>
                <w:webHidden/>
              </w:rPr>
              <w:fldChar w:fldCharType="separate"/>
            </w:r>
            <w:r w:rsidR="00254675">
              <w:rPr>
                <w:noProof/>
                <w:webHidden/>
              </w:rPr>
              <w:t>10</w:t>
            </w:r>
            <w:r w:rsidR="00106734">
              <w:rPr>
                <w:noProof/>
                <w:webHidden/>
              </w:rPr>
              <w:fldChar w:fldCharType="end"/>
            </w:r>
          </w:hyperlink>
        </w:p>
        <w:p w14:paraId="2369D007" w14:textId="164B9336" w:rsidR="00106734" w:rsidRDefault="00000000">
          <w:pPr>
            <w:pStyle w:val="TOC1"/>
            <w:rPr>
              <w:rFonts w:asciiTheme="minorHAnsi" w:eastAsiaTheme="minorEastAsia" w:hAnsiTheme="minorHAnsi" w:cstheme="minorBidi"/>
              <w:noProof/>
              <w:szCs w:val="22"/>
              <w:lang w:eastAsia="en-AU"/>
            </w:rPr>
          </w:pPr>
          <w:hyperlink w:anchor="_Toc126595351" w:history="1">
            <w:r w:rsidR="00106734" w:rsidRPr="00F17A09">
              <w:rPr>
                <w:rStyle w:val="Hyperlink"/>
                <w:noProof/>
              </w:rPr>
              <w:t>Consultation Summary</w:t>
            </w:r>
            <w:r w:rsidR="00106734">
              <w:rPr>
                <w:noProof/>
                <w:webHidden/>
              </w:rPr>
              <w:tab/>
            </w:r>
            <w:r w:rsidR="00106734">
              <w:rPr>
                <w:noProof/>
                <w:webHidden/>
              </w:rPr>
              <w:fldChar w:fldCharType="begin"/>
            </w:r>
            <w:r w:rsidR="00106734">
              <w:rPr>
                <w:noProof/>
                <w:webHidden/>
              </w:rPr>
              <w:instrText xml:space="preserve"> PAGEREF _Toc126595351 \h </w:instrText>
            </w:r>
            <w:r w:rsidR="00106734">
              <w:rPr>
                <w:noProof/>
                <w:webHidden/>
              </w:rPr>
            </w:r>
            <w:r w:rsidR="00106734">
              <w:rPr>
                <w:noProof/>
                <w:webHidden/>
              </w:rPr>
              <w:fldChar w:fldCharType="separate"/>
            </w:r>
            <w:r w:rsidR="00254675">
              <w:rPr>
                <w:noProof/>
                <w:webHidden/>
              </w:rPr>
              <w:t>11</w:t>
            </w:r>
            <w:r w:rsidR="00106734">
              <w:rPr>
                <w:noProof/>
                <w:webHidden/>
              </w:rPr>
              <w:fldChar w:fldCharType="end"/>
            </w:r>
          </w:hyperlink>
        </w:p>
        <w:p w14:paraId="2D5E70B0" w14:textId="01139A9A" w:rsidR="00106734" w:rsidRDefault="00000000">
          <w:pPr>
            <w:pStyle w:val="TOC2"/>
            <w:rPr>
              <w:rFonts w:asciiTheme="minorHAnsi" w:eastAsiaTheme="minorEastAsia" w:hAnsiTheme="minorHAnsi" w:cstheme="minorBidi"/>
              <w:noProof/>
              <w:szCs w:val="22"/>
              <w:lang w:eastAsia="en-AU"/>
            </w:rPr>
          </w:pPr>
          <w:hyperlink w:anchor="_Toc126595352" w:history="1">
            <w:r w:rsidR="00106734" w:rsidRPr="00F17A09">
              <w:rPr>
                <w:rStyle w:val="Hyperlink"/>
                <w:noProof/>
              </w:rPr>
              <w:t>Removing Barriers to Access</w:t>
            </w:r>
            <w:r w:rsidR="00106734">
              <w:rPr>
                <w:noProof/>
                <w:webHidden/>
              </w:rPr>
              <w:tab/>
            </w:r>
            <w:r w:rsidR="00106734">
              <w:rPr>
                <w:noProof/>
                <w:webHidden/>
              </w:rPr>
              <w:fldChar w:fldCharType="begin"/>
            </w:r>
            <w:r w:rsidR="00106734">
              <w:rPr>
                <w:noProof/>
                <w:webHidden/>
              </w:rPr>
              <w:instrText xml:space="preserve"> PAGEREF _Toc126595352 \h </w:instrText>
            </w:r>
            <w:r w:rsidR="00106734">
              <w:rPr>
                <w:noProof/>
                <w:webHidden/>
              </w:rPr>
            </w:r>
            <w:r w:rsidR="00106734">
              <w:rPr>
                <w:noProof/>
                <w:webHidden/>
              </w:rPr>
              <w:fldChar w:fldCharType="separate"/>
            </w:r>
            <w:r w:rsidR="00254675">
              <w:rPr>
                <w:noProof/>
                <w:webHidden/>
              </w:rPr>
              <w:t>11</w:t>
            </w:r>
            <w:r w:rsidR="00106734">
              <w:rPr>
                <w:noProof/>
                <w:webHidden/>
              </w:rPr>
              <w:fldChar w:fldCharType="end"/>
            </w:r>
          </w:hyperlink>
        </w:p>
        <w:p w14:paraId="1B15E91B" w14:textId="7E96AC13" w:rsidR="00106734" w:rsidRDefault="00000000">
          <w:pPr>
            <w:pStyle w:val="TOC2"/>
            <w:rPr>
              <w:rFonts w:asciiTheme="minorHAnsi" w:eastAsiaTheme="minorEastAsia" w:hAnsiTheme="minorHAnsi" w:cstheme="minorBidi"/>
              <w:noProof/>
              <w:szCs w:val="22"/>
              <w:lang w:eastAsia="en-AU"/>
            </w:rPr>
          </w:pPr>
          <w:hyperlink w:anchor="_Toc126595353" w:history="1">
            <w:r w:rsidR="00106734" w:rsidRPr="00F17A09">
              <w:rPr>
                <w:rStyle w:val="Hyperlink"/>
                <w:noProof/>
              </w:rPr>
              <w:t>Quality Use of Medicines</w:t>
            </w:r>
            <w:r w:rsidR="00106734">
              <w:rPr>
                <w:noProof/>
                <w:webHidden/>
              </w:rPr>
              <w:tab/>
            </w:r>
            <w:r w:rsidR="00106734">
              <w:rPr>
                <w:noProof/>
                <w:webHidden/>
              </w:rPr>
              <w:fldChar w:fldCharType="begin"/>
            </w:r>
            <w:r w:rsidR="00106734">
              <w:rPr>
                <w:noProof/>
                <w:webHidden/>
              </w:rPr>
              <w:instrText xml:space="preserve"> PAGEREF _Toc126595353 \h </w:instrText>
            </w:r>
            <w:r w:rsidR="00106734">
              <w:rPr>
                <w:noProof/>
                <w:webHidden/>
              </w:rPr>
            </w:r>
            <w:r w:rsidR="00106734">
              <w:rPr>
                <w:noProof/>
                <w:webHidden/>
              </w:rPr>
              <w:fldChar w:fldCharType="separate"/>
            </w:r>
            <w:r w:rsidR="00254675">
              <w:rPr>
                <w:noProof/>
                <w:webHidden/>
              </w:rPr>
              <w:t>13</w:t>
            </w:r>
            <w:r w:rsidR="00106734">
              <w:rPr>
                <w:noProof/>
                <w:webHidden/>
              </w:rPr>
              <w:fldChar w:fldCharType="end"/>
            </w:r>
          </w:hyperlink>
        </w:p>
        <w:p w14:paraId="329C6A21" w14:textId="4006D67C" w:rsidR="00106734" w:rsidRDefault="00000000">
          <w:pPr>
            <w:pStyle w:val="TOC2"/>
            <w:rPr>
              <w:rFonts w:asciiTheme="minorHAnsi" w:eastAsiaTheme="minorEastAsia" w:hAnsiTheme="minorHAnsi" w:cstheme="minorBidi"/>
              <w:noProof/>
              <w:szCs w:val="22"/>
              <w:lang w:eastAsia="en-AU"/>
            </w:rPr>
          </w:pPr>
          <w:hyperlink w:anchor="_Toc126595354" w:history="1">
            <w:r w:rsidR="00106734" w:rsidRPr="00F17A09">
              <w:rPr>
                <w:rStyle w:val="Hyperlink"/>
                <w:noProof/>
              </w:rPr>
              <w:t>Building and maintaining a quality hospital pharmacy program</w:t>
            </w:r>
            <w:r w:rsidR="00106734">
              <w:rPr>
                <w:noProof/>
                <w:webHidden/>
              </w:rPr>
              <w:tab/>
            </w:r>
            <w:r w:rsidR="00106734">
              <w:rPr>
                <w:noProof/>
                <w:webHidden/>
              </w:rPr>
              <w:fldChar w:fldCharType="begin"/>
            </w:r>
            <w:r w:rsidR="00106734">
              <w:rPr>
                <w:noProof/>
                <w:webHidden/>
              </w:rPr>
              <w:instrText xml:space="preserve"> PAGEREF _Toc126595354 \h </w:instrText>
            </w:r>
            <w:r w:rsidR="00106734">
              <w:rPr>
                <w:noProof/>
                <w:webHidden/>
              </w:rPr>
            </w:r>
            <w:r w:rsidR="00106734">
              <w:rPr>
                <w:noProof/>
                <w:webHidden/>
              </w:rPr>
              <w:fldChar w:fldCharType="separate"/>
            </w:r>
            <w:r w:rsidR="00254675">
              <w:rPr>
                <w:noProof/>
                <w:webHidden/>
              </w:rPr>
              <w:t>14</w:t>
            </w:r>
            <w:r w:rsidR="00106734">
              <w:rPr>
                <w:noProof/>
                <w:webHidden/>
              </w:rPr>
              <w:fldChar w:fldCharType="end"/>
            </w:r>
          </w:hyperlink>
        </w:p>
        <w:p w14:paraId="35A04C1B" w14:textId="18E86D8E" w:rsidR="00106734" w:rsidRDefault="00000000">
          <w:pPr>
            <w:pStyle w:val="TOC2"/>
            <w:rPr>
              <w:rFonts w:asciiTheme="minorHAnsi" w:eastAsiaTheme="minorEastAsia" w:hAnsiTheme="minorHAnsi" w:cstheme="minorBidi"/>
              <w:noProof/>
              <w:szCs w:val="22"/>
              <w:lang w:eastAsia="en-AU"/>
            </w:rPr>
          </w:pPr>
          <w:hyperlink w:anchor="_Toc126595355" w:history="1">
            <w:r w:rsidR="00106734" w:rsidRPr="00F17A09">
              <w:rPr>
                <w:rStyle w:val="Hyperlink"/>
                <w:noProof/>
              </w:rPr>
              <w:t>Transparency and accountability</w:t>
            </w:r>
            <w:r w:rsidR="00106734">
              <w:rPr>
                <w:noProof/>
                <w:webHidden/>
              </w:rPr>
              <w:tab/>
            </w:r>
            <w:r w:rsidR="00106734">
              <w:rPr>
                <w:noProof/>
                <w:webHidden/>
              </w:rPr>
              <w:fldChar w:fldCharType="begin"/>
            </w:r>
            <w:r w:rsidR="00106734">
              <w:rPr>
                <w:noProof/>
                <w:webHidden/>
              </w:rPr>
              <w:instrText xml:space="preserve"> PAGEREF _Toc126595355 \h </w:instrText>
            </w:r>
            <w:r w:rsidR="00106734">
              <w:rPr>
                <w:noProof/>
                <w:webHidden/>
              </w:rPr>
            </w:r>
            <w:r w:rsidR="00106734">
              <w:rPr>
                <w:noProof/>
                <w:webHidden/>
              </w:rPr>
              <w:fldChar w:fldCharType="separate"/>
            </w:r>
            <w:r w:rsidR="00254675">
              <w:rPr>
                <w:noProof/>
                <w:webHidden/>
              </w:rPr>
              <w:t>17</w:t>
            </w:r>
            <w:r w:rsidR="00106734">
              <w:rPr>
                <w:noProof/>
                <w:webHidden/>
              </w:rPr>
              <w:fldChar w:fldCharType="end"/>
            </w:r>
          </w:hyperlink>
        </w:p>
        <w:p w14:paraId="619472A9" w14:textId="0001090D" w:rsidR="00106734" w:rsidRDefault="00000000">
          <w:pPr>
            <w:pStyle w:val="TOC1"/>
            <w:rPr>
              <w:rFonts w:asciiTheme="minorHAnsi" w:eastAsiaTheme="minorEastAsia" w:hAnsiTheme="minorHAnsi" w:cstheme="minorBidi"/>
              <w:noProof/>
              <w:szCs w:val="22"/>
              <w:lang w:eastAsia="en-AU"/>
            </w:rPr>
          </w:pPr>
          <w:hyperlink w:anchor="_Toc126595356" w:history="1">
            <w:r w:rsidR="00106734" w:rsidRPr="00F17A09">
              <w:rPr>
                <w:rStyle w:val="Hyperlink"/>
                <w:noProof/>
              </w:rPr>
              <w:t>Department response and Recommendations</w:t>
            </w:r>
            <w:r w:rsidR="00106734">
              <w:rPr>
                <w:noProof/>
                <w:webHidden/>
              </w:rPr>
              <w:tab/>
            </w:r>
            <w:r w:rsidR="00106734">
              <w:rPr>
                <w:noProof/>
                <w:webHidden/>
              </w:rPr>
              <w:fldChar w:fldCharType="begin"/>
            </w:r>
            <w:r w:rsidR="00106734">
              <w:rPr>
                <w:noProof/>
                <w:webHidden/>
              </w:rPr>
              <w:instrText xml:space="preserve"> PAGEREF _Toc126595356 \h </w:instrText>
            </w:r>
            <w:r w:rsidR="00106734">
              <w:rPr>
                <w:noProof/>
                <w:webHidden/>
              </w:rPr>
            </w:r>
            <w:r w:rsidR="00106734">
              <w:rPr>
                <w:noProof/>
                <w:webHidden/>
              </w:rPr>
              <w:fldChar w:fldCharType="separate"/>
            </w:r>
            <w:r w:rsidR="00254675">
              <w:rPr>
                <w:noProof/>
                <w:webHidden/>
              </w:rPr>
              <w:t>18</w:t>
            </w:r>
            <w:r w:rsidR="00106734">
              <w:rPr>
                <w:noProof/>
                <w:webHidden/>
              </w:rPr>
              <w:fldChar w:fldCharType="end"/>
            </w:r>
          </w:hyperlink>
        </w:p>
        <w:p w14:paraId="16FFA8D8" w14:textId="1809CEFF" w:rsidR="00106734" w:rsidRDefault="00000000">
          <w:pPr>
            <w:pStyle w:val="TOC2"/>
            <w:rPr>
              <w:rFonts w:asciiTheme="minorHAnsi" w:eastAsiaTheme="minorEastAsia" w:hAnsiTheme="minorHAnsi" w:cstheme="minorBidi"/>
              <w:noProof/>
              <w:szCs w:val="22"/>
              <w:lang w:eastAsia="en-AU"/>
            </w:rPr>
          </w:pPr>
          <w:hyperlink w:anchor="_Toc126595357" w:history="1">
            <w:r w:rsidR="00106734" w:rsidRPr="00F17A09">
              <w:rPr>
                <w:rStyle w:val="Hyperlink"/>
                <w:noProof/>
              </w:rPr>
              <w:t>Recommendation Summary</w:t>
            </w:r>
            <w:r w:rsidR="00106734">
              <w:rPr>
                <w:noProof/>
                <w:webHidden/>
              </w:rPr>
              <w:tab/>
            </w:r>
            <w:r w:rsidR="00106734">
              <w:rPr>
                <w:noProof/>
                <w:webHidden/>
              </w:rPr>
              <w:fldChar w:fldCharType="begin"/>
            </w:r>
            <w:r w:rsidR="00106734">
              <w:rPr>
                <w:noProof/>
                <w:webHidden/>
              </w:rPr>
              <w:instrText xml:space="preserve"> PAGEREF _Toc126595357 \h </w:instrText>
            </w:r>
            <w:r w:rsidR="00106734">
              <w:rPr>
                <w:noProof/>
                <w:webHidden/>
              </w:rPr>
            </w:r>
            <w:r w:rsidR="00106734">
              <w:rPr>
                <w:noProof/>
                <w:webHidden/>
              </w:rPr>
              <w:fldChar w:fldCharType="separate"/>
            </w:r>
            <w:r w:rsidR="00254675">
              <w:rPr>
                <w:noProof/>
                <w:webHidden/>
              </w:rPr>
              <w:t>18</w:t>
            </w:r>
            <w:r w:rsidR="00106734">
              <w:rPr>
                <w:noProof/>
                <w:webHidden/>
              </w:rPr>
              <w:fldChar w:fldCharType="end"/>
            </w:r>
          </w:hyperlink>
        </w:p>
        <w:p w14:paraId="68FD2C13" w14:textId="5B317D67" w:rsidR="00106734" w:rsidRDefault="00000000">
          <w:pPr>
            <w:pStyle w:val="TOC2"/>
            <w:rPr>
              <w:rFonts w:asciiTheme="minorHAnsi" w:eastAsiaTheme="minorEastAsia" w:hAnsiTheme="minorHAnsi" w:cstheme="minorBidi"/>
              <w:noProof/>
              <w:szCs w:val="22"/>
              <w:lang w:eastAsia="en-AU"/>
            </w:rPr>
          </w:pPr>
          <w:hyperlink w:anchor="_Toc126595358" w:history="1">
            <w:r w:rsidR="00106734" w:rsidRPr="00F17A09">
              <w:rPr>
                <w:rStyle w:val="Hyperlink"/>
                <w:noProof/>
              </w:rPr>
              <w:t>Recommendations</w:t>
            </w:r>
            <w:r w:rsidR="00106734">
              <w:rPr>
                <w:noProof/>
                <w:webHidden/>
              </w:rPr>
              <w:tab/>
            </w:r>
            <w:r w:rsidR="00106734">
              <w:rPr>
                <w:noProof/>
                <w:webHidden/>
              </w:rPr>
              <w:fldChar w:fldCharType="begin"/>
            </w:r>
            <w:r w:rsidR="00106734">
              <w:rPr>
                <w:noProof/>
                <w:webHidden/>
              </w:rPr>
              <w:instrText xml:space="preserve"> PAGEREF _Toc126595358 \h </w:instrText>
            </w:r>
            <w:r w:rsidR="00106734">
              <w:rPr>
                <w:noProof/>
                <w:webHidden/>
              </w:rPr>
            </w:r>
            <w:r w:rsidR="00106734">
              <w:rPr>
                <w:noProof/>
                <w:webHidden/>
              </w:rPr>
              <w:fldChar w:fldCharType="separate"/>
            </w:r>
            <w:r w:rsidR="00254675">
              <w:rPr>
                <w:noProof/>
                <w:webHidden/>
              </w:rPr>
              <w:t>19</w:t>
            </w:r>
            <w:r w:rsidR="00106734">
              <w:rPr>
                <w:noProof/>
                <w:webHidden/>
              </w:rPr>
              <w:fldChar w:fldCharType="end"/>
            </w:r>
          </w:hyperlink>
        </w:p>
        <w:p w14:paraId="5390CB4A" w14:textId="0F5FA83E" w:rsidR="00106734" w:rsidRDefault="00000000">
          <w:pPr>
            <w:pStyle w:val="TOC2"/>
            <w:rPr>
              <w:rFonts w:asciiTheme="minorHAnsi" w:eastAsiaTheme="minorEastAsia" w:hAnsiTheme="minorHAnsi" w:cstheme="minorBidi"/>
              <w:noProof/>
              <w:szCs w:val="22"/>
              <w:lang w:eastAsia="en-AU"/>
            </w:rPr>
          </w:pPr>
          <w:hyperlink w:anchor="_Toc126595359" w:history="1">
            <w:r w:rsidR="00106734" w:rsidRPr="00F17A09">
              <w:rPr>
                <w:rStyle w:val="Hyperlink"/>
                <w:noProof/>
              </w:rPr>
              <w:t>Quality Use of Medicines</w:t>
            </w:r>
            <w:r w:rsidR="00106734">
              <w:rPr>
                <w:noProof/>
                <w:webHidden/>
              </w:rPr>
              <w:tab/>
            </w:r>
            <w:r w:rsidR="00106734">
              <w:rPr>
                <w:noProof/>
                <w:webHidden/>
              </w:rPr>
              <w:fldChar w:fldCharType="begin"/>
            </w:r>
            <w:r w:rsidR="00106734">
              <w:rPr>
                <w:noProof/>
                <w:webHidden/>
              </w:rPr>
              <w:instrText xml:space="preserve"> PAGEREF _Toc126595359 \h </w:instrText>
            </w:r>
            <w:r w:rsidR="00106734">
              <w:rPr>
                <w:noProof/>
                <w:webHidden/>
              </w:rPr>
            </w:r>
            <w:r w:rsidR="00106734">
              <w:rPr>
                <w:noProof/>
                <w:webHidden/>
              </w:rPr>
              <w:fldChar w:fldCharType="separate"/>
            </w:r>
            <w:r w:rsidR="00254675">
              <w:rPr>
                <w:noProof/>
                <w:webHidden/>
              </w:rPr>
              <w:t>21</w:t>
            </w:r>
            <w:r w:rsidR="00106734">
              <w:rPr>
                <w:noProof/>
                <w:webHidden/>
              </w:rPr>
              <w:fldChar w:fldCharType="end"/>
            </w:r>
          </w:hyperlink>
        </w:p>
        <w:p w14:paraId="74D3AF6B" w14:textId="4202FB97" w:rsidR="00106734" w:rsidRDefault="00000000">
          <w:pPr>
            <w:pStyle w:val="TOC2"/>
            <w:rPr>
              <w:rFonts w:asciiTheme="minorHAnsi" w:eastAsiaTheme="minorEastAsia" w:hAnsiTheme="minorHAnsi" w:cstheme="minorBidi"/>
              <w:noProof/>
              <w:szCs w:val="22"/>
              <w:lang w:eastAsia="en-AU"/>
            </w:rPr>
          </w:pPr>
          <w:hyperlink w:anchor="_Toc126595360" w:history="1">
            <w:r w:rsidR="00106734" w:rsidRPr="00F17A09">
              <w:rPr>
                <w:rStyle w:val="Hyperlink"/>
                <w:noProof/>
              </w:rPr>
              <w:t>Building and maintaining a quality hospital pharmacy program</w:t>
            </w:r>
            <w:r w:rsidR="00106734">
              <w:rPr>
                <w:noProof/>
                <w:webHidden/>
              </w:rPr>
              <w:tab/>
            </w:r>
            <w:r w:rsidR="00106734">
              <w:rPr>
                <w:noProof/>
                <w:webHidden/>
              </w:rPr>
              <w:fldChar w:fldCharType="begin"/>
            </w:r>
            <w:r w:rsidR="00106734">
              <w:rPr>
                <w:noProof/>
                <w:webHidden/>
              </w:rPr>
              <w:instrText xml:space="preserve"> PAGEREF _Toc126595360 \h </w:instrText>
            </w:r>
            <w:r w:rsidR="00106734">
              <w:rPr>
                <w:noProof/>
                <w:webHidden/>
              </w:rPr>
            </w:r>
            <w:r w:rsidR="00106734">
              <w:rPr>
                <w:noProof/>
                <w:webHidden/>
              </w:rPr>
              <w:fldChar w:fldCharType="separate"/>
            </w:r>
            <w:r w:rsidR="00254675">
              <w:rPr>
                <w:noProof/>
                <w:webHidden/>
              </w:rPr>
              <w:t>22</w:t>
            </w:r>
            <w:r w:rsidR="00106734">
              <w:rPr>
                <w:noProof/>
                <w:webHidden/>
              </w:rPr>
              <w:fldChar w:fldCharType="end"/>
            </w:r>
          </w:hyperlink>
        </w:p>
        <w:p w14:paraId="77FD9E65" w14:textId="07E6C22D" w:rsidR="00106734" w:rsidRDefault="00000000">
          <w:pPr>
            <w:pStyle w:val="TOC2"/>
            <w:rPr>
              <w:rFonts w:asciiTheme="minorHAnsi" w:eastAsiaTheme="minorEastAsia" w:hAnsiTheme="minorHAnsi" w:cstheme="minorBidi"/>
              <w:noProof/>
              <w:szCs w:val="22"/>
              <w:lang w:eastAsia="en-AU"/>
            </w:rPr>
          </w:pPr>
          <w:hyperlink w:anchor="_Toc126595361" w:history="1">
            <w:r w:rsidR="00106734" w:rsidRPr="00F17A09">
              <w:rPr>
                <w:rStyle w:val="Hyperlink"/>
                <w:noProof/>
              </w:rPr>
              <w:t>Transparency and accountability</w:t>
            </w:r>
            <w:r w:rsidR="00106734">
              <w:rPr>
                <w:noProof/>
                <w:webHidden/>
              </w:rPr>
              <w:tab/>
            </w:r>
            <w:r w:rsidR="00106734">
              <w:rPr>
                <w:noProof/>
                <w:webHidden/>
              </w:rPr>
              <w:fldChar w:fldCharType="begin"/>
            </w:r>
            <w:r w:rsidR="00106734">
              <w:rPr>
                <w:noProof/>
                <w:webHidden/>
              </w:rPr>
              <w:instrText xml:space="preserve"> PAGEREF _Toc126595361 \h </w:instrText>
            </w:r>
            <w:r w:rsidR="00106734">
              <w:rPr>
                <w:noProof/>
                <w:webHidden/>
              </w:rPr>
            </w:r>
            <w:r w:rsidR="00106734">
              <w:rPr>
                <w:noProof/>
                <w:webHidden/>
              </w:rPr>
              <w:fldChar w:fldCharType="separate"/>
            </w:r>
            <w:r w:rsidR="00254675">
              <w:rPr>
                <w:noProof/>
                <w:webHidden/>
              </w:rPr>
              <w:t>25</w:t>
            </w:r>
            <w:r w:rsidR="00106734">
              <w:rPr>
                <w:noProof/>
                <w:webHidden/>
              </w:rPr>
              <w:fldChar w:fldCharType="end"/>
            </w:r>
          </w:hyperlink>
        </w:p>
        <w:p w14:paraId="6561B213" w14:textId="57B272B7" w:rsidR="006F5C52" w:rsidRDefault="006F5C52">
          <w:r>
            <w:rPr>
              <w:b/>
              <w:bCs/>
              <w:noProof/>
            </w:rPr>
            <w:fldChar w:fldCharType="end"/>
          </w:r>
        </w:p>
      </w:sdtContent>
    </w:sdt>
    <w:p w14:paraId="16ED8645" w14:textId="77777777" w:rsidR="0047135E" w:rsidRDefault="006F5C52">
      <w:pPr>
        <w:rPr>
          <w:b/>
          <w:bCs/>
        </w:rPr>
        <w:sectPr w:rsidR="0047135E" w:rsidSect="0047135E">
          <w:headerReference w:type="even" r:id="rId11"/>
          <w:headerReference w:type="default" r:id="rId12"/>
          <w:footerReference w:type="default" r:id="rId13"/>
          <w:headerReference w:type="first" r:id="rId14"/>
          <w:pgSz w:w="11906" w:h="16838"/>
          <w:pgMar w:top="1440" w:right="1440" w:bottom="1440" w:left="1440" w:header="708" w:footer="708" w:gutter="0"/>
          <w:pgNumType w:fmt="lowerRoman" w:start="1"/>
          <w:cols w:space="708"/>
          <w:docGrid w:linePitch="360"/>
        </w:sectPr>
      </w:pPr>
      <w:r>
        <w:rPr>
          <w:b/>
          <w:bCs/>
        </w:rPr>
        <w:br w:type="page"/>
      </w:r>
    </w:p>
    <w:p w14:paraId="1E4D1E35" w14:textId="361C1FC2" w:rsidR="000562C9" w:rsidRPr="008549D5" w:rsidRDefault="000562C9" w:rsidP="69955F4A">
      <w:pPr>
        <w:pStyle w:val="PolicyStatement"/>
        <w:rPr>
          <w:b/>
          <w:bCs/>
          <w:sz w:val="22"/>
          <w:szCs w:val="22"/>
        </w:rPr>
      </w:pPr>
      <w:r w:rsidRPr="008549D5">
        <w:rPr>
          <w:b/>
          <w:bCs/>
          <w:sz w:val="22"/>
          <w:szCs w:val="22"/>
        </w:rPr>
        <w:lastRenderedPageBreak/>
        <w:t>The purpose of this</w:t>
      </w:r>
      <w:r w:rsidR="00217ACD" w:rsidRPr="008549D5">
        <w:rPr>
          <w:b/>
          <w:bCs/>
          <w:sz w:val="22"/>
          <w:szCs w:val="22"/>
        </w:rPr>
        <w:t xml:space="preserve"> document</w:t>
      </w:r>
      <w:r w:rsidRPr="008549D5">
        <w:rPr>
          <w:b/>
          <w:bCs/>
          <w:sz w:val="22"/>
          <w:szCs w:val="22"/>
        </w:rPr>
        <w:t xml:space="preserve"> is to </w:t>
      </w:r>
      <w:r w:rsidR="00EF3C6C">
        <w:rPr>
          <w:b/>
          <w:bCs/>
          <w:sz w:val="22"/>
          <w:szCs w:val="22"/>
        </w:rPr>
        <w:t xml:space="preserve">provide recommendations to Government in relation to the </w:t>
      </w:r>
      <w:r w:rsidR="0081665C" w:rsidRPr="008549D5">
        <w:rPr>
          <w:b/>
          <w:bCs/>
          <w:sz w:val="22"/>
          <w:szCs w:val="22"/>
        </w:rPr>
        <w:t>Pharmaceutical Reform Agreement Review</w:t>
      </w:r>
      <w:r w:rsidRPr="008549D5">
        <w:rPr>
          <w:b/>
          <w:bCs/>
          <w:sz w:val="22"/>
          <w:szCs w:val="22"/>
        </w:rPr>
        <w:t xml:space="preserve"> </w:t>
      </w:r>
    </w:p>
    <w:p w14:paraId="4B415C7A" w14:textId="1BDA3C6F" w:rsidR="00C50C63" w:rsidRPr="00C50C63" w:rsidRDefault="00280A0B" w:rsidP="009A09F7">
      <w:pPr>
        <w:pStyle w:val="Heading1"/>
      </w:pPr>
      <w:bookmarkStart w:id="1" w:name="_Toc126595334"/>
      <w:r>
        <w:t>Introduction</w:t>
      </w:r>
      <w:bookmarkEnd w:id="1"/>
      <w:r w:rsidR="005844DD">
        <w:t xml:space="preserve"> </w:t>
      </w:r>
    </w:p>
    <w:p w14:paraId="76AFE2E7" w14:textId="00AD6E16" w:rsidR="00F14DFB" w:rsidRPr="003545CC" w:rsidRDefault="00F14DFB" w:rsidP="003545CC">
      <w:pPr>
        <w:pStyle w:val="Paragraphtext"/>
      </w:pPr>
      <w:r w:rsidRPr="003545CC">
        <w:t>The Department of Health</w:t>
      </w:r>
      <w:r w:rsidR="007C459E" w:rsidRPr="003545CC">
        <w:t xml:space="preserve"> and Aged Care (the Department)</w:t>
      </w:r>
      <w:r w:rsidRPr="003545CC">
        <w:t xml:space="preserve"> </w:t>
      </w:r>
      <w:r w:rsidR="0020192C" w:rsidRPr="003545CC">
        <w:t>ha</w:t>
      </w:r>
      <w:r w:rsidRPr="003545CC">
        <w:t>s conduct</w:t>
      </w:r>
      <w:r w:rsidR="0020192C" w:rsidRPr="003545CC">
        <w:t>ed</w:t>
      </w:r>
      <w:r w:rsidRPr="003545CC">
        <w:t xml:space="preserve"> a review of Pharmaceutical Reform Agreements (PRAs), to support the development of new arrangement</w:t>
      </w:r>
      <w:r w:rsidR="00C250F2" w:rsidRPr="003545CC">
        <w:t>s</w:t>
      </w:r>
      <w:r w:rsidRPr="003545CC">
        <w:t xml:space="preserve"> or </w:t>
      </w:r>
      <w:r w:rsidR="00C05261" w:rsidRPr="003545CC">
        <w:t>variations to</w:t>
      </w:r>
      <w:r w:rsidR="0020192C" w:rsidRPr="003545CC">
        <w:t xml:space="preserve"> </w:t>
      </w:r>
      <w:r w:rsidR="00C05261" w:rsidRPr="003545CC">
        <w:t xml:space="preserve">existing </w:t>
      </w:r>
      <w:r w:rsidRPr="003545CC">
        <w:t xml:space="preserve">arrangements to meet </w:t>
      </w:r>
      <w:r w:rsidR="007C459E" w:rsidRPr="003545CC">
        <w:t xml:space="preserve">the </w:t>
      </w:r>
      <w:r w:rsidRPr="003545CC">
        <w:t xml:space="preserve">contemporary objectives for </w:t>
      </w:r>
      <w:r w:rsidR="00C250F2" w:rsidRPr="003545CC">
        <w:t xml:space="preserve">access to </w:t>
      </w:r>
      <w:r w:rsidRPr="003545CC">
        <w:t>Pharmaceutical Benefits Scheme (PBS) medicine</w:t>
      </w:r>
      <w:r w:rsidR="00C250F2" w:rsidRPr="003545CC">
        <w:t>s</w:t>
      </w:r>
      <w:r w:rsidRPr="003545CC">
        <w:t xml:space="preserve"> in the public hospital setting.</w:t>
      </w:r>
    </w:p>
    <w:p w14:paraId="54A0AD8E" w14:textId="1864E210" w:rsidR="00F14DFB" w:rsidRPr="008549D5" w:rsidRDefault="00F14DFB" w:rsidP="003545CC">
      <w:pPr>
        <w:pStyle w:val="Paragraphtext"/>
      </w:pPr>
      <w:r w:rsidRPr="008549D5">
        <w:t xml:space="preserve">Much of the healthcare and PBS landscape has changed since the first PRA was signed in 2001. There is increasing use of complex and highly specialised medicines and health technologies, along with significant increases in PBS expenditure. New and updated policies, standards and agreements </w:t>
      </w:r>
      <w:r w:rsidR="00C05261" w:rsidRPr="008549D5">
        <w:t xml:space="preserve">across the healthcare sector </w:t>
      </w:r>
      <w:r w:rsidRPr="008549D5">
        <w:t>are also now in place.</w:t>
      </w:r>
      <w:r w:rsidR="0020192C" w:rsidRPr="008549D5">
        <w:t xml:space="preserve"> The Department has consulted widely with </w:t>
      </w:r>
      <w:r w:rsidR="00A15D99" w:rsidRPr="008549D5">
        <w:t xml:space="preserve">a diverse range of </w:t>
      </w:r>
      <w:r w:rsidR="00D97DD7" w:rsidRPr="008549D5">
        <w:t>s</w:t>
      </w:r>
      <w:r w:rsidR="0020192C" w:rsidRPr="008549D5">
        <w:t xml:space="preserve">takeholders </w:t>
      </w:r>
      <w:r w:rsidR="00A15D99" w:rsidRPr="008549D5">
        <w:t xml:space="preserve">to understand the benefits and drawbacks of </w:t>
      </w:r>
      <w:r w:rsidR="00C250F2">
        <w:t xml:space="preserve">the current </w:t>
      </w:r>
      <w:r w:rsidR="00A15D99" w:rsidRPr="008549D5">
        <w:t>PRAs.</w:t>
      </w:r>
    </w:p>
    <w:p w14:paraId="14BF7A02" w14:textId="16FE63CF" w:rsidR="00FE653F" w:rsidRPr="008549D5" w:rsidRDefault="00C05261" w:rsidP="003545CC">
      <w:pPr>
        <w:pStyle w:val="Paragraphtext"/>
      </w:pPr>
      <w:r w:rsidRPr="008549D5">
        <w:t>T</w:t>
      </w:r>
      <w:r w:rsidR="00F14DFB" w:rsidRPr="008549D5">
        <w:t>h</w:t>
      </w:r>
      <w:r w:rsidRPr="008549D5">
        <w:t>is</w:t>
      </w:r>
      <w:r w:rsidR="00F14DFB" w:rsidRPr="008549D5">
        <w:t xml:space="preserve"> </w:t>
      </w:r>
      <w:r w:rsidR="00D97DD7" w:rsidRPr="008549D5">
        <w:t xml:space="preserve">report </w:t>
      </w:r>
      <w:r w:rsidR="00F14DFB" w:rsidRPr="008549D5">
        <w:t>explore</w:t>
      </w:r>
      <w:r w:rsidR="00C8380B">
        <w:t>s</w:t>
      </w:r>
      <w:r w:rsidR="00F14DFB" w:rsidRPr="008549D5">
        <w:t xml:space="preserve"> and </w:t>
      </w:r>
      <w:r w:rsidR="00C8380B" w:rsidRPr="008549D5">
        <w:t>recommend</w:t>
      </w:r>
      <w:r w:rsidR="00C8380B">
        <w:t>s</w:t>
      </w:r>
      <w:r w:rsidR="00C8380B" w:rsidRPr="008549D5">
        <w:t xml:space="preserve"> </w:t>
      </w:r>
      <w:r w:rsidR="00F14DFB" w:rsidRPr="008549D5">
        <w:t>several elements to align with the contemporary use of the PBS in</w:t>
      </w:r>
      <w:r w:rsidR="00D97DD7" w:rsidRPr="008549D5">
        <w:t xml:space="preserve"> public</w:t>
      </w:r>
      <w:r w:rsidR="00F14DFB" w:rsidRPr="008549D5">
        <w:t xml:space="preserve"> hospitals and to promote </w:t>
      </w:r>
      <w:r w:rsidR="00153E8B" w:rsidRPr="008549D5">
        <w:t>timely</w:t>
      </w:r>
      <w:r w:rsidR="00F14DFB" w:rsidRPr="008549D5">
        <w:t>, safe and cost-effective access to PBS</w:t>
      </w:r>
      <w:r w:rsidR="00D97DD7" w:rsidRPr="008549D5">
        <w:t xml:space="preserve"> medicines</w:t>
      </w:r>
      <w:r w:rsidR="00F14DFB" w:rsidRPr="008549D5">
        <w:t xml:space="preserve"> and improve patient outcomes.</w:t>
      </w:r>
      <w:r w:rsidR="005E5922" w:rsidRPr="008549D5">
        <w:t xml:space="preserve"> The report has been prepared during a time when several other reviews within the medicine space are being conducted. Consideration of the review</w:t>
      </w:r>
      <w:r w:rsidR="00C250F2">
        <w:t>s</w:t>
      </w:r>
      <w:r w:rsidR="005E5922" w:rsidRPr="008549D5">
        <w:t xml:space="preserve"> </w:t>
      </w:r>
      <w:r w:rsidR="00EF3C6C">
        <w:t>ongoing</w:t>
      </w:r>
      <w:r w:rsidR="00EF3C6C" w:rsidRPr="008549D5">
        <w:t xml:space="preserve"> </w:t>
      </w:r>
      <w:r w:rsidR="00EF3C6C">
        <w:t>during the writing of this report</w:t>
      </w:r>
      <w:r w:rsidR="003F741E">
        <w:t>,</w:t>
      </w:r>
      <w:r w:rsidR="005E5922" w:rsidRPr="008549D5">
        <w:t xml:space="preserve"> the National Medicines Policy</w:t>
      </w:r>
      <w:r w:rsidR="007C459E">
        <w:t xml:space="preserve"> (NMP)</w:t>
      </w:r>
      <w:r w:rsidR="005E5922" w:rsidRPr="008549D5">
        <w:t xml:space="preserve"> and the Efficient Funding of Chemotherapy</w:t>
      </w:r>
      <w:r w:rsidR="003F741E">
        <w:t>,</w:t>
      </w:r>
      <w:r w:rsidR="005E5922" w:rsidRPr="008549D5">
        <w:t xml:space="preserve"> has been included in this report to ensure </w:t>
      </w:r>
      <w:r w:rsidR="00573C41" w:rsidRPr="008549D5">
        <w:t xml:space="preserve">any findings in these reviews pertaining to PRAs </w:t>
      </w:r>
      <w:r w:rsidR="00EF3C6C">
        <w:t>we</w:t>
      </w:r>
      <w:r w:rsidR="00C250F2">
        <w:t>re</w:t>
      </w:r>
      <w:r w:rsidR="00573C41" w:rsidRPr="008549D5">
        <w:t xml:space="preserve"> incorporated in future </w:t>
      </w:r>
      <w:r w:rsidR="00C250F2">
        <w:t>agreements</w:t>
      </w:r>
      <w:r w:rsidR="00573C41" w:rsidRPr="008549D5">
        <w:t>.</w:t>
      </w:r>
    </w:p>
    <w:p w14:paraId="08300385" w14:textId="77777777" w:rsidR="00FC2D19" w:rsidRDefault="00FC2D19" w:rsidP="00FC2D19">
      <w:pPr>
        <w:pStyle w:val="Heading1"/>
      </w:pPr>
      <w:bookmarkStart w:id="2" w:name="_Toc126595335"/>
      <w:r>
        <w:t>Review of PRAs</w:t>
      </w:r>
      <w:bookmarkEnd w:id="2"/>
    </w:p>
    <w:p w14:paraId="3503BE6A" w14:textId="77777777" w:rsidR="00FC2D19" w:rsidRDefault="00FC2D19" w:rsidP="00FC2D19">
      <w:pPr>
        <w:pStyle w:val="Heading2"/>
      </w:pPr>
      <w:bookmarkStart w:id="3" w:name="_Toc126595336"/>
      <w:r>
        <w:t>Aim</w:t>
      </w:r>
      <w:bookmarkEnd w:id="3"/>
    </w:p>
    <w:p w14:paraId="6BACABB7" w14:textId="4F265761" w:rsidR="00FC2D19" w:rsidRPr="008549D5" w:rsidRDefault="00FC2D19" w:rsidP="003545CC">
      <w:pPr>
        <w:pStyle w:val="Paragraphtext"/>
      </w:pPr>
      <w:r w:rsidRPr="008549D5">
        <w:t>The aim of t</w:t>
      </w:r>
      <w:r w:rsidR="00E42A25">
        <w:t>his</w:t>
      </w:r>
      <w:r w:rsidRPr="008549D5">
        <w:t xml:space="preserve"> review is to provide an opportunity to examine how existing PRAs are currently being utilised, what changes could be made to </w:t>
      </w:r>
      <w:r w:rsidR="00EF3C6C">
        <w:t>improve</w:t>
      </w:r>
      <w:r w:rsidRPr="008549D5">
        <w:t xml:space="preserve"> PRAs to increase their utility and to better align PRAs with the aims of the </w:t>
      </w:r>
      <w:r w:rsidR="00E2637D">
        <w:t>National Health Reform Agreement (</w:t>
      </w:r>
      <w:r w:rsidRPr="008549D5">
        <w:t>NHRA</w:t>
      </w:r>
      <w:r w:rsidR="00E2637D">
        <w:t>)</w:t>
      </w:r>
      <w:r>
        <w:t xml:space="preserve"> and NMP</w:t>
      </w:r>
      <w:r w:rsidRPr="008549D5">
        <w:t>.</w:t>
      </w:r>
    </w:p>
    <w:p w14:paraId="5A44890F" w14:textId="3BB7A4B3" w:rsidR="00FC2D19" w:rsidRDefault="00EF3C6C" w:rsidP="00FC2D19">
      <w:pPr>
        <w:pStyle w:val="Heading2"/>
      </w:pPr>
      <w:bookmarkStart w:id="4" w:name="_Toc126595337"/>
      <w:r>
        <w:t xml:space="preserve">In </w:t>
      </w:r>
      <w:r w:rsidR="00FC2D19">
        <w:t>Scope of the Review</w:t>
      </w:r>
      <w:bookmarkEnd w:id="4"/>
    </w:p>
    <w:p w14:paraId="3040AC5D" w14:textId="77777777" w:rsidR="00EF3C6C" w:rsidRDefault="00FC2D19" w:rsidP="003545CC">
      <w:pPr>
        <w:pStyle w:val="Paragraphtext"/>
      </w:pPr>
      <w:r w:rsidRPr="008549D5">
        <w:t>All aspects pertaining to how PRAs were initially designed and updated, as well as how the agreements are currently being used</w:t>
      </w:r>
      <w:r>
        <w:t>,</w:t>
      </w:r>
      <w:r w:rsidRPr="008549D5">
        <w:t xml:space="preserve"> were considered within the scope of the review. Consideration of new additions to PRAs were also in scope. </w:t>
      </w:r>
    </w:p>
    <w:p w14:paraId="5D6789D1" w14:textId="3BA8B770" w:rsidR="00EF3C6C" w:rsidRDefault="00EF3C6C" w:rsidP="00EF3C6C">
      <w:pPr>
        <w:pStyle w:val="Heading2"/>
      </w:pPr>
      <w:bookmarkStart w:id="5" w:name="_Toc126595338"/>
      <w:r>
        <w:t>Out of Scope of the Review</w:t>
      </w:r>
      <w:bookmarkEnd w:id="5"/>
    </w:p>
    <w:p w14:paraId="2279365E" w14:textId="529204A7" w:rsidR="003545CC" w:rsidRDefault="00FC2D19" w:rsidP="003545CC">
      <w:pPr>
        <w:pStyle w:val="Paragraphtext"/>
      </w:pPr>
      <w:r w:rsidRPr="008549D5">
        <w:t xml:space="preserve">Items relating to the purpose and functionality of the PBS were considered to be outside the scope of the review. </w:t>
      </w:r>
    </w:p>
    <w:p w14:paraId="0872B6ED" w14:textId="75474303" w:rsidR="00FC2D19" w:rsidRPr="008549D5" w:rsidRDefault="00EF3C6C" w:rsidP="003B6A65">
      <w:pPr>
        <w:pStyle w:val="Heading2"/>
        <w:keepLines/>
        <w:widowControl w:val="0"/>
      </w:pPr>
      <w:bookmarkStart w:id="6" w:name="_Toc126595339"/>
      <w:r>
        <w:lastRenderedPageBreak/>
        <w:t>Key areas this review</w:t>
      </w:r>
      <w:r w:rsidR="00FC2D19" w:rsidRPr="008549D5">
        <w:t xml:space="preserve"> examined</w:t>
      </w:r>
      <w:bookmarkEnd w:id="6"/>
    </w:p>
    <w:p w14:paraId="33E04FA8" w14:textId="77777777" w:rsidR="00FC2D19" w:rsidRPr="00EF3C6C" w:rsidRDefault="00FC2D19" w:rsidP="003B6A65">
      <w:pPr>
        <w:keepNext/>
        <w:keepLines/>
        <w:widowControl w:val="0"/>
        <w:spacing w:before="120" w:after="60" w:line="256" w:lineRule="auto"/>
        <w:ind w:right="-46"/>
        <w:rPr>
          <w:rFonts w:cs="Arial"/>
          <w:szCs w:val="22"/>
        </w:rPr>
      </w:pPr>
      <w:r w:rsidRPr="00EF3C6C">
        <w:rPr>
          <w:rFonts w:cs="Arial"/>
          <w:szCs w:val="22"/>
        </w:rPr>
        <w:t xml:space="preserve">The success of the current PRAs by evaluating their objectives against outcomes to date, including: </w:t>
      </w:r>
    </w:p>
    <w:p w14:paraId="3F5CA44B" w14:textId="44C548AD" w:rsidR="00FC2D19" w:rsidRDefault="00FC2D19" w:rsidP="003B6A65">
      <w:pPr>
        <w:pStyle w:val="ListParagraph"/>
        <w:keepNext/>
        <w:widowControl w:val="0"/>
        <w:numPr>
          <w:ilvl w:val="0"/>
          <w:numId w:val="23"/>
        </w:numPr>
        <w:spacing w:before="120" w:after="60" w:line="256" w:lineRule="auto"/>
        <w:ind w:right="95"/>
        <w:contextualSpacing w:val="0"/>
        <w:rPr>
          <w:rFonts w:cs="Arial"/>
          <w:szCs w:val="22"/>
        </w:rPr>
      </w:pPr>
      <w:r w:rsidRPr="008549D5">
        <w:rPr>
          <w:rFonts w:cs="Arial"/>
          <w:szCs w:val="22"/>
        </w:rPr>
        <w:t>Leadership, responsibility and accountability for medication management;</w:t>
      </w:r>
    </w:p>
    <w:p w14:paraId="5F81F9ED" w14:textId="5DF897FE" w:rsidR="00EF3C6C" w:rsidRDefault="00EF3C6C" w:rsidP="003B6A65">
      <w:pPr>
        <w:pStyle w:val="ListParagraph"/>
        <w:keepNext/>
        <w:widowControl w:val="0"/>
        <w:numPr>
          <w:ilvl w:val="1"/>
          <w:numId w:val="23"/>
        </w:numPr>
        <w:spacing w:before="120" w:after="60" w:line="256" w:lineRule="auto"/>
        <w:ind w:right="95"/>
        <w:contextualSpacing w:val="0"/>
        <w:rPr>
          <w:rFonts w:cs="Arial"/>
          <w:szCs w:val="22"/>
        </w:rPr>
      </w:pPr>
      <w:r>
        <w:rPr>
          <w:rFonts w:cs="Arial"/>
          <w:szCs w:val="22"/>
        </w:rPr>
        <w:t>Governance</w:t>
      </w:r>
    </w:p>
    <w:p w14:paraId="468C9377" w14:textId="74F0F1E2" w:rsidR="00EF3C6C" w:rsidRPr="008549D5" w:rsidRDefault="00EF3C6C" w:rsidP="00EF3C6C">
      <w:pPr>
        <w:pStyle w:val="ListParagraph"/>
        <w:numPr>
          <w:ilvl w:val="1"/>
          <w:numId w:val="23"/>
        </w:numPr>
        <w:spacing w:before="120" w:after="60" w:line="256" w:lineRule="auto"/>
        <w:ind w:right="95"/>
        <w:contextualSpacing w:val="0"/>
        <w:rPr>
          <w:rFonts w:cs="Arial"/>
          <w:szCs w:val="22"/>
        </w:rPr>
      </w:pPr>
      <w:r>
        <w:rPr>
          <w:rFonts w:cs="Arial"/>
          <w:szCs w:val="22"/>
        </w:rPr>
        <w:t>Objectives</w:t>
      </w:r>
    </w:p>
    <w:p w14:paraId="601796EE" w14:textId="5A7C6F33" w:rsidR="00FC2D19" w:rsidRDefault="00FC2D19" w:rsidP="00EF3C6C">
      <w:pPr>
        <w:pStyle w:val="ListParagraph"/>
        <w:numPr>
          <w:ilvl w:val="0"/>
          <w:numId w:val="23"/>
        </w:numPr>
        <w:spacing w:before="120" w:after="60" w:line="256" w:lineRule="auto"/>
        <w:ind w:right="95"/>
        <w:contextualSpacing w:val="0"/>
        <w:jc w:val="both"/>
        <w:rPr>
          <w:rFonts w:cs="Arial"/>
          <w:szCs w:val="22"/>
        </w:rPr>
      </w:pPr>
      <w:r w:rsidRPr="008549D5">
        <w:rPr>
          <w:rFonts w:cs="Arial"/>
          <w:szCs w:val="22"/>
        </w:rPr>
        <w:t>Evidence of streamlined and consistent application of arrangements;</w:t>
      </w:r>
    </w:p>
    <w:p w14:paraId="72C2DA5B" w14:textId="55C65A55" w:rsidR="00EF3C6C" w:rsidRDefault="00EF3C6C" w:rsidP="00EF3C6C">
      <w:pPr>
        <w:pStyle w:val="ListParagraph"/>
        <w:numPr>
          <w:ilvl w:val="1"/>
          <w:numId w:val="23"/>
        </w:numPr>
        <w:spacing w:before="120" w:after="60" w:line="256" w:lineRule="auto"/>
        <w:ind w:right="95"/>
        <w:contextualSpacing w:val="0"/>
        <w:jc w:val="both"/>
        <w:rPr>
          <w:rFonts w:cs="Arial"/>
          <w:szCs w:val="22"/>
        </w:rPr>
      </w:pPr>
      <w:r>
        <w:rPr>
          <w:rFonts w:cs="Arial"/>
          <w:szCs w:val="22"/>
        </w:rPr>
        <w:t>Transparency and Accountability</w:t>
      </w:r>
    </w:p>
    <w:p w14:paraId="35844DE4" w14:textId="718BD918" w:rsidR="00EF3C6C" w:rsidRPr="008549D5" w:rsidRDefault="00EF3C6C" w:rsidP="00EF3C6C">
      <w:pPr>
        <w:pStyle w:val="ListParagraph"/>
        <w:numPr>
          <w:ilvl w:val="1"/>
          <w:numId w:val="23"/>
        </w:numPr>
        <w:spacing w:before="120" w:after="60" w:line="256" w:lineRule="auto"/>
        <w:ind w:right="95"/>
        <w:contextualSpacing w:val="0"/>
        <w:jc w:val="both"/>
        <w:rPr>
          <w:rFonts w:cs="Arial"/>
          <w:szCs w:val="22"/>
        </w:rPr>
      </w:pPr>
      <w:r>
        <w:rPr>
          <w:rFonts w:cs="Arial"/>
          <w:szCs w:val="22"/>
        </w:rPr>
        <w:t>Risk share arrangements</w:t>
      </w:r>
    </w:p>
    <w:p w14:paraId="0405FF75" w14:textId="1D145E1D" w:rsidR="00FC2D19" w:rsidRDefault="00FC2D19" w:rsidP="00EF3C6C">
      <w:pPr>
        <w:pStyle w:val="ListParagraph"/>
        <w:numPr>
          <w:ilvl w:val="0"/>
          <w:numId w:val="23"/>
        </w:numPr>
        <w:spacing w:before="120" w:after="60" w:line="256" w:lineRule="auto"/>
        <w:ind w:right="95"/>
        <w:contextualSpacing w:val="0"/>
        <w:jc w:val="both"/>
        <w:rPr>
          <w:rFonts w:cs="Arial"/>
          <w:szCs w:val="22"/>
        </w:rPr>
      </w:pPr>
      <w:r w:rsidRPr="008549D5">
        <w:rPr>
          <w:rFonts w:cs="Arial"/>
          <w:szCs w:val="22"/>
        </w:rPr>
        <w:t>Outcomes or evidence of improvements in medication access when transitioning between hospital and community settings.</w:t>
      </w:r>
    </w:p>
    <w:p w14:paraId="316B43B2" w14:textId="4362D1E4" w:rsidR="00EF3C6C" w:rsidRDefault="00294020" w:rsidP="00EF3C6C">
      <w:pPr>
        <w:pStyle w:val="ListParagraph"/>
        <w:numPr>
          <w:ilvl w:val="1"/>
          <w:numId w:val="23"/>
        </w:numPr>
        <w:spacing w:before="120" w:after="60" w:line="256" w:lineRule="auto"/>
        <w:ind w:right="95"/>
        <w:contextualSpacing w:val="0"/>
        <w:jc w:val="both"/>
        <w:rPr>
          <w:rFonts w:cs="Arial"/>
          <w:szCs w:val="22"/>
        </w:rPr>
      </w:pPr>
      <w:r>
        <w:rPr>
          <w:rFonts w:cs="Arial"/>
          <w:szCs w:val="22"/>
        </w:rPr>
        <w:t>Flexibility</w:t>
      </w:r>
    </w:p>
    <w:p w14:paraId="411AF33E" w14:textId="282CC2D4" w:rsidR="00294020" w:rsidRPr="008549D5" w:rsidRDefault="00294020" w:rsidP="00EF3C6C">
      <w:pPr>
        <w:pStyle w:val="ListParagraph"/>
        <w:numPr>
          <w:ilvl w:val="1"/>
          <w:numId w:val="23"/>
        </w:numPr>
        <w:spacing w:before="120" w:after="60" w:line="256" w:lineRule="auto"/>
        <w:ind w:right="95"/>
        <w:contextualSpacing w:val="0"/>
        <w:jc w:val="both"/>
        <w:rPr>
          <w:rFonts w:cs="Arial"/>
          <w:szCs w:val="22"/>
        </w:rPr>
      </w:pPr>
      <w:r>
        <w:rPr>
          <w:rFonts w:cs="Arial"/>
          <w:szCs w:val="22"/>
        </w:rPr>
        <w:t>Barriers to incorporate new programs</w:t>
      </w:r>
    </w:p>
    <w:p w14:paraId="7525DA8E" w14:textId="77777777" w:rsidR="00FC2D19" w:rsidRPr="008549D5" w:rsidRDefault="00FC2D19" w:rsidP="003545CC">
      <w:pPr>
        <w:pStyle w:val="ListParagraph"/>
        <w:numPr>
          <w:ilvl w:val="0"/>
          <w:numId w:val="23"/>
        </w:numPr>
        <w:spacing w:before="120" w:after="60" w:line="259" w:lineRule="auto"/>
        <w:ind w:right="95"/>
        <w:contextualSpacing w:val="0"/>
        <w:jc w:val="both"/>
        <w:rPr>
          <w:rFonts w:cs="Arial"/>
          <w:szCs w:val="22"/>
        </w:rPr>
      </w:pPr>
      <w:r w:rsidRPr="008549D5">
        <w:rPr>
          <w:rFonts w:cs="Arial"/>
          <w:szCs w:val="22"/>
        </w:rPr>
        <w:t>The alignment of the PRAs with current policies and legislation, and whether any future arrangements as an outcome of the Review should have a broader focus, providing clearer understanding as to the interaction between Australian Government funding for state and territory governments under the National Health Reform Agreement (NHRA) and under the PBS or other programs.</w:t>
      </w:r>
    </w:p>
    <w:p w14:paraId="483E7C7C" w14:textId="7C3414F6" w:rsidR="00FC2D19" w:rsidRPr="008549D5" w:rsidRDefault="00FC2D19" w:rsidP="005B2B32">
      <w:pPr>
        <w:pStyle w:val="ListParagraph"/>
        <w:numPr>
          <w:ilvl w:val="0"/>
          <w:numId w:val="23"/>
        </w:numPr>
        <w:spacing w:before="120" w:after="60" w:line="256" w:lineRule="auto"/>
        <w:ind w:left="714" w:right="95" w:hanging="357"/>
        <w:contextualSpacing w:val="0"/>
        <w:jc w:val="both"/>
        <w:rPr>
          <w:rFonts w:cs="Arial"/>
          <w:szCs w:val="22"/>
        </w:rPr>
      </w:pPr>
      <w:r w:rsidRPr="008549D5">
        <w:rPr>
          <w:rFonts w:cs="Arial"/>
          <w:szCs w:val="22"/>
        </w:rPr>
        <w:t>Recommendations from the Australian Healthcare Associates</w:t>
      </w:r>
      <w:r w:rsidR="00294020">
        <w:rPr>
          <w:rFonts w:cs="Arial"/>
          <w:szCs w:val="22"/>
        </w:rPr>
        <w:t xml:space="preserve"> (AHA)</w:t>
      </w:r>
      <w:r w:rsidRPr="008549D5">
        <w:rPr>
          <w:rFonts w:cs="Arial"/>
          <w:szCs w:val="22"/>
        </w:rPr>
        <w:t xml:space="preserve"> report </w:t>
      </w:r>
      <w:r w:rsidRPr="008549D5">
        <w:rPr>
          <w:rFonts w:cs="Arial"/>
          <w:i/>
          <w:szCs w:val="22"/>
        </w:rPr>
        <w:t>PBS Pharmaceuticals in Hospitals Review</w:t>
      </w:r>
      <w:r w:rsidR="00E45589" w:rsidRPr="00607E56">
        <w:rPr>
          <w:rStyle w:val="FootnoteReference"/>
          <w:rFonts w:cs="Arial"/>
          <w:iCs/>
          <w:szCs w:val="22"/>
        </w:rPr>
        <w:footnoteReference w:id="2"/>
      </w:r>
      <w:r w:rsidRPr="008549D5">
        <w:rPr>
          <w:rFonts w:cs="Arial"/>
          <w:szCs w:val="22"/>
        </w:rPr>
        <w:t>.</w:t>
      </w:r>
    </w:p>
    <w:p w14:paraId="203A877A" w14:textId="77777777" w:rsidR="00FC2D19" w:rsidRPr="008549D5" w:rsidRDefault="00FC2D19" w:rsidP="003545CC">
      <w:pPr>
        <w:pStyle w:val="ListParagraph"/>
        <w:numPr>
          <w:ilvl w:val="0"/>
          <w:numId w:val="23"/>
        </w:numPr>
        <w:spacing w:before="120" w:after="60" w:line="256" w:lineRule="auto"/>
        <w:ind w:left="714" w:right="95" w:hanging="357"/>
        <w:contextualSpacing w:val="0"/>
        <w:jc w:val="both"/>
        <w:rPr>
          <w:rFonts w:cs="Arial"/>
          <w:szCs w:val="22"/>
        </w:rPr>
      </w:pPr>
      <w:r w:rsidRPr="008549D5">
        <w:rPr>
          <w:rFonts w:cs="Arial"/>
          <w:szCs w:val="22"/>
        </w:rPr>
        <w:t>The patient journey into and out of the public health setting, ensuring consistency with the principles of the quality use of medicines.</w:t>
      </w:r>
    </w:p>
    <w:p w14:paraId="4D0B1DBC" w14:textId="45BFAB2D" w:rsidR="00FC2D19" w:rsidRPr="005B2B32" w:rsidRDefault="00FC2D19" w:rsidP="005B2B32">
      <w:pPr>
        <w:pStyle w:val="ListParagraph"/>
        <w:numPr>
          <w:ilvl w:val="0"/>
          <w:numId w:val="23"/>
        </w:numPr>
        <w:spacing w:before="120" w:after="60" w:line="256" w:lineRule="auto"/>
        <w:ind w:left="714" w:right="95" w:hanging="357"/>
        <w:contextualSpacing w:val="0"/>
        <w:jc w:val="both"/>
        <w:rPr>
          <w:rFonts w:cs="Arial"/>
          <w:szCs w:val="22"/>
        </w:rPr>
      </w:pPr>
      <w:r w:rsidRPr="008549D5">
        <w:rPr>
          <w:rFonts w:cs="Arial"/>
          <w:szCs w:val="22"/>
        </w:rPr>
        <w:t>The interaction and alignment of the PRAs with the NHRA</w:t>
      </w:r>
      <w:r w:rsidR="00E45589" w:rsidRPr="00D63127">
        <w:rPr>
          <w:vertAlign w:val="superscript"/>
        </w:rPr>
        <w:footnoteReference w:id="3"/>
      </w:r>
      <w:r w:rsidR="00FA5870">
        <w:rPr>
          <w:rFonts w:cs="Arial"/>
          <w:szCs w:val="22"/>
        </w:rPr>
        <w:t>.</w:t>
      </w:r>
      <w:r w:rsidRPr="008549D5">
        <w:rPr>
          <w:rFonts w:cs="Arial"/>
          <w:szCs w:val="22"/>
        </w:rPr>
        <w:t xml:space="preserve"> </w:t>
      </w:r>
    </w:p>
    <w:p w14:paraId="1DF44670" w14:textId="4C5BCEF6" w:rsidR="000376D8" w:rsidRPr="00607E56" w:rsidRDefault="000376D8" w:rsidP="000376D8">
      <w:pPr>
        <w:pStyle w:val="Heading2"/>
        <w:rPr>
          <w:i/>
          <w:iCs w:val="0"/>
        </w:rPr>
      </w:pPr>
      <w:bookmarkStart w:id="7" w:name="_Toc126595340"/>
      <w:r>
        <w:t xml:space="preserve">Recommendations out of the </w:t>
      </w:r>
      <w:r w:rsidRPr="00607E56">
        <w:rPr>
          <w:i/>
          <w:iCs w:val="0"/>
        </w:rPr>
        <w:t>PBS Pharmaceuticals in Hospitals Review</w:t>
      </w:r>
      <w:bookmarkEnd w:id="7"/>
    </w:p>
    <w:p w14:paraId="21237B6A" w14:textId="6307F6CC" w:rsidR="002A7470" w:rsidRPr="003545CC" w:rsidRDefault="002A7470" w:rsidP="003545CC">
      <w:pPr>
        <w:pStyle w:val="Paragraphtext"/>
      </w:pPr>
      <w:r w:rsidRPr="003545CC">
        <w:t>The</w:t>
      </w:r>
      <w:r w:rsidR="000D3458" w:rsidRPr="003545CC">
        <w:t xml:space="preserve"> </w:t>
      </w:r>
      <w:r w:rsidR="00294020">
        <w:t xml:space="preserve">AHA </w:t>
      </w:r>
      <w:r w:rsidR="000D3458" w:rsidRPr="00B53C00">
        <w:rPr>
          <w:i/>
          <w:iCs/>
        </w:rPr>
        <w:t>PBS Pharmaceuticals in Hospitals Review</w:t>
      </w:r>
      <w:r w:rsidR="00294020">
        <w:t xml:space="preserve"> of 2017</w:t>
      </w:r>
      <w:r w:rsidR="000D3458" w:rsidRPr="003545CC">
        <w:t xml:space="preserve"> (the Review) found that </w:t>
      </w:r>
      <w:r w:rsidRPr="003545CC">
        <w:t xml:space="preserve">PRA states and territories are strong supporters of the PRA and its continuation in their jurisdictions. However, two jurisdictions (NSW and ACT) have not agreed to sign </w:t>
      </w:r>
      <w:r w:rsidR="008328C9">
        <w:t>a</w:t>
      </w:r>
      <w:r w:rsidRPr="003545CC">
        <w:t xml:space="preserve"> PRA</w:t>
      </w:r>
      <w:r w:rsidR="009D0E1E">
        <w:t>.</w:t>
      </w:r>
      <w:r w:rsidRPr="003545CC">
        <w:t xml:space="preserve"> </w:t>
      </w:r>
      <w:r w:rsidR="009D0E1E">
        <w:t>T</w:t>
      </w:r>
      <w:r w:rsidR="000D3458" w:rsidRPr="003545CC">
        <w:t xml:space="preserve">he Review </w:t>
      </w:r>
      <w:r w:rsidRPr="003545CC">
        <w:t>recommended that NSW and ACT enter into a PRA with the Commonwealth.</w:t>
      </w:r>
      <w:r w:rsidR="00384C77">
        <w:t xml:space="preserve"> </w:t>
      </w:r>
    </w:p>
    <w:p w14:paraId="32682456" w14:textId="44020635" w:rsidR="000376D8" w:rsidRPr="003545CC" w:rsidRDefault="000D3458" w:rsidP="003545CC">
      <w:pPr>
        <w:pStyle w:val="Paragraphtext"/>
      </w:pPr>
      <w:r w:rsidRPr="003545CC">
        <w:t>The Review found strong support from s</w:t>
      </w:r>
      <w:r w:rsidR="000376D8" w:rsidRPr="003545CC">
        <w:t>takeholders to improve access to PBS medicines for Aboriginal and Torres Strait Islander people</w:t>
      </w:r>
      <w:r w:rsidRPr="003545CC">
        <w:t xml:space="preserve">. The Review recommended the Commonwealth </w:t>
      </w:r>
      <w:r w:rsidR="000376D8" w:rsidRPr="003545CC">
        <w:t xml:space="preserve">consider </w:t>
      </w:r>
      <w:r w:rsidR="002A7470" w:rsidRPr="003545CC">
        <w:t>e</w:t>
      </w:r>
      <w:r w:rsidR="000376D8" w:rsidRPr="003545CC">
        <w:t>xtending</w:t>
      </w:r>
      <w:r w:rsidRPr="003545CC">
        <w:t xml:space="preserve"> the</w:t>
      </w:r>
      <w:r w:rsidR="000376D8" w:rsidRPr="003545CC">
        <w:t xml:space="preserve"> </w:t>
      </w:r>
      <w:r w:rsidRPr="003545CC">
        <w:t>C</w:t>
      </w:r>
      <w:r w:rsidR="009D0E1E">
        <w:t>losing the Gap (CTG)</w:t>
      </w:r>
      <w:r w:rsidRPr="003545CC">
        <w:t xml:space="preserve"> PBS Co-Payment Program to allow </w:t>
      </w:r>
      <w:r w:rsidR="000376D8" w:rsidRPr="003545CC">
        <w:t>hospitals to prescribe under the program to discharge</w:t>
      </w:r>
      <w:r w:rsidR="00C84AEA">
        <w:t>d</w:t>
      </w:r>
      <w:r w:rsidR="000376D8" w:rsidRPr="003545CC">
        <w:t xml:space="preserve"> patients and outpatients</w:t>
      </w:r>
      <w:r w:rsidRPr="003545CC">
        <w:t>.</w:t>
      </w:r>
    </w:p>
    <w:p w14:paraId="6FE739C6" w14:textId="2D4A4D76" w:rsidR="000376D8" w:rsidRPr="003545CC" w:rsidRDefault="000D3458" w:rsidP="003545CC">
      <w:pPr>
        <w:pStyle w:val="Paragraphtext"/>
      </w:pPr>
      <w:r w:rsidRPr="003545CC">
        <w:t>The Review noted that s</w:t>
      </w:r>
      <w:r w:rsidR="000376D8" w:rsidRPr="003545CC">
        <w:t xml:space="preserve">tates and territories felt that the </w:t>
      </w:r>
      <w:r w:rsidRPr="003545CC">
        <w:t>PRAs</w:t>
      </w:r>
      <w:r w:rsidR="000376D8" w:rsidRPr="003545CC">
        <w:t xml:space="preserve"> were outdated, and </w:t>
      </w:r>
      <w:r w:rsidR="002A7470" w:rsidRPr="003545CC">
        <w:t xml:space="preserve">that </w:t>
      </w:r>
      <w:r w:rsidR="000376D8" w:rsidRPr="003545CC">
        <w:t>it was timely to review and update the</w:t>
      </w:r>
      <w:r w:rsidRPr="003545CC">
        <w:t>m</w:t>
      </w:r>
      <w:r w:rsidR="000376D8" w:rsidRPr="003545CC">
        <w:t xml:space="preserve">. The value of the risk sharing ceiling included in current PRAs (designed to set a level of expenditure at which risk-sharing arrangements between the </w:t>
      </w:r>
      <w:r w:rsidR="000376D8" w:rsidRPr="003545CC">
        <w:lastRenderedPageBreak/>
        <w:t>state/territory and the Australian Government would be activated) was questioned</w:t>
      </w:r>
      <w:r w:rsidRPr="003545CC">
        <w:t>, particularly in light of</w:t>
      </w:r>
      <w:r w:rsidR="000376D8" w:rsidRPr="003545CC">
        <w:t xml:space="preserve"> the exclusion of Hepatitis C medications from the calculations. </w:t>
      </w:r>
      <w:r w:rsidRPr="003545CC">
        <w:t>Jurisdictions</w:t>
      </w:r>
      <w:r w:rsidR="00294020">
        <w:t xml:space="preserve"> also</w:t>
      </w:r>
      <w:r w:rsidR="000376D8" w:rsidRPr="003545CC">
        <w:t xml:space="preserve"> noted that Department</w:t>
      </w:r>
      <w:r w:rsidR="00294020">
        <w:t>al</w:t>
      </w:r>
      <w:r w:rsidR="000376D8" w:rsidRPr="003545CC">
        <w:t xml:space="preserve"> reporting on risk sharing levels </w:t>
      </w:r>
      <w:r w:rsidR="00294020">
        <w:t>wa</w:t>
      </w:r>
      <w:r w:rsidR="000376D8" w:rsidRPr="003545CC">
        <w:t xml:space="preserve">s delayed and received after hospital budgets </w:t>
      </w:r>
      <w:r w:rsidR="00294020">
        <w:t>we</w:t>
      </w:r>
      <w:r w:rsidR="000376D8" w:rsidRPr="003545CC">
        <w:t xml:space="preserve">re finalised, </w:t>
      </w:r>
      <w:r w:rsidR="00294020">
        <w:t>which made</w:t>
      </w:r>
      <w:r w:rsidR="000376D8" w:rsidRPr="003545CC">
        <w:t xml:space="preserve"> it difficult to adjust budgets if required. </w:t>
      </w:r>
    </w:p>
    <w:p w14:paraId="14A04E54" w14:textId="740BC5D0" w:rsidR="000376D8" w:rsidRPr="003545CC" w:rsidRDefault="00D7482B" w:rsidP="003545CC">
      <w:pPr>
        <w:pStyle w:val="Paragraphtext"/>
      </w:pPr>
      <w:r w:rsidRPr="003545CC">
        <w:t>The Review noted that a</w:t>
      </w:r>
      <w:r w:rsidR="000376D8" w:rsidRPr="003545CC">
        <w:t xml:space="preserve">ll stakeholders considered that a forum which involved </w:t>
      </w:r>
      <w:r w:rsidR="002A7470" w:rsidRPr="003545CC">
        <w:t>D</w:t>
      </w:r>
      <w:r w:rsidR="000376D8" w:rsidRPr="003545CC">
        <w:t>epartment</w:t>
      </w:r>
      <w:r w:rsidR="002A7470" w:rsidRPr="003545CC">
        <w:t>al</w:t>
      </w:r>
      <w:r w:rsidR="000376D8" w:rsidRPr="003545CC">
        <w:t xml:space="preserve"> representatives and </w:t>
      </w:r>
      <w:r w:rsidRPr="003545CC">
        <w:t xml:space="preserve">Chief Pharmacists </w:t>
      </w:r>
      <w:r w:rsidR="000376D8" w:rsidRPr="003545CC">
        <w:t xml:space="preserve">would be beneficial, given the increasing use of the PBS in the hospital setting. States and territories </w:t>
      </w:r>
      <w:r w:rsidR="002A7470" w:rsidRPr="003545CC">
        <w:t>we</w:t>
      </w:r>
      <w:r w:rsidR="000376D8" w:rsidRPr="003545CC">
        <w:t>re keen to engage with the Department prior to the implementation of PBS listings, where these listings have a direct impact on hospitals.</w:t>
      </w:r>
    </w:p>
    <w:p w14:paraId="187C5C8B" w14:textId="1F13D1F6" w:rsidR="000376D8" w:rsidRPr="003545CC" w:rsidRDefault="000376D8" w:rsidP="003545CC">
      <w:pPr>
        <w:pStyle w:val="Paragraphtext"/>
      </w:pPr>
      <w:r w:rsidRPr="003545CC">
        <w:t>Public hospital stakeholders noted that the dual funding of medicines by the Commonwealth and state/territory governments creates duplication in systems and some suggested that a single funde</w:t>
      </w:r>
      <w:r w:rsidR="00294020">
        <w:t>d</w:t>
      </w:r>
      <w:r w:rsidRPr="003545CC">
        <w:t xml:space="preserve"> model could reduce duplication. Stakeholders acknowledged that this </w:t>
      </w:r>
      <w:r w:rsidR="002A7470" w:rsidRPr="003545CC">
        <w:t xml:space="preserve">would be </w:t>
      </w:r>
      <w:r w:rsidRPr="003545CC">
        <w:t>part of a larger reform discussion.</w:t>
      </w:r>
      <w:r w:rsidR="00384C77">
        <w:t xml:space="preserve"> </w:t>
      </w:r>
    </w:p>
    <w:p w14:paraId="105A66F1" w14:textId="77777777" w:rsidR="009B61F3" w:rsidRDefault="009B61F3" w:rsidP="009B61F3">
      <w:pPr>
        <w:pStyle w:val="Heading2"/>
      </w:pPr>
      <w:bookmarkStart w:id="8" w:name="_Toc126595341"/>
      <w:r>
        <w:t>Stakeholder consultation</w:t>
      </w:r>
      <w:bookmarkEnd w:id="8"/>
    </w:p>
    <w:p w14:paraId="282EF938" w14:textId="6299239C" w:rsidR="005B2B32" w:rsidRDefault="009B61F3" w:rsidP="005B2B32">
      <w:pPr>
        <w:pStyle w:val="Paragraphtext"/>
      </w:pPr>
      <w:r w:rsidRPr="008549D5">
        <w:t xml:space="preserve">In January 2022, the </w:t>
      </w:r>
      <w:r w:rsidR="009D0E1E">
        <w:t>PRA</w:t>
      </w:r>
      <w:r w:rsidRPr="008549D5">
        <w:t xml:space="preserve"> Review 2021-22 Consultation </w:t>
      </w:r>
      <w:r w:rsidR="00D7482B">
        <w:t>P</w:t>
      </w:r>
      <w:r w:rsidRPr="008549D5">
        <w:t xml:space="preserve">aper was circulated to selected stakeholders. Stakeholders were also invited to attend one of four virtual workshops conducted in February 2022. </w:t>
      </w:r>
    </w:p>
    <w:p w14:paraId="6848EA86" w14:textId="566A8BA1" w:rsidR="009B61F3" w:rsidRPr="008549D5" w:rsidRDefault="009B61F3" w:rsidP="005B2B32">
      <w:pPr>
        <w:pStyle w:val="Paragraphtext"/>
      </w:pPr>
      <w:r w:rsidRPr="008549D5">
        <w:t xml:space="preserve">The stakeholder groups were: </w:t>
      </w:r>
    </w:p>
    <w:p w14:paraId="505A0C64" w14:textId="77777777" w:rsidR="009B61F3" w:rsidRPr="005B2B32" w:rsidRDefault="009B61F3" w:rsidP="005B2B32">
      <w:pPr>
        <w:pStyle w:val="ListParagraph"/>
        <w:numPr>
          <w:ilvl w:val="0"/>
          <w:numId w:val="23"/>
        </w:numPr>
        <w:spacing w:before="120" w:after="60" w:line="256" w:lineRule="auto"/>
        <w:ind w:left="714" w:right="-46" w:hanging="357"/>
        <w:contextualSpacing w:val="0"/>
        <w:rPr>
          <w:rFonts w:cs="Arial"/>
          <w:szCs w:val="22"/>
        </w:rPr>
      </w:pPr>
      <w:r w:rsidRPr="005B2B32">
        <w:rPr>
          <w:rFonts w:cs="Arial"/>
          <w:szCs w:val="22"/>
        </w:rPr>
        <w:t>Non-Government Organisations (Consumer Health Forum, National Aboriginal Community Controlled Health Organisations (NACCHO), Pain Australia and Rare Voices)</w:t>
      </w:r>
    </w:p>
    <w:p w14:paraId="299A3FE1" w14:textId="77777777" w:rsidR="009B61F3" w:rsidRPr="005B2B32" w:rsidRDefault="009B61F3" w:rsidP="005B2B32">
      <w:pPr>
        <w:pStyle w:val="ListParagraph"/>
        <w:numPr>
          <w:ilvl w:val="0"/>
          <w:numId w:val="23"/>
        </w:numPr>
        <w:spacing w:before="120" w:after="60" w:line="256" w:lineRule="auto"/>
        <w:ind w:left="714" w:right="-46" w:hanging="357"/>
        <w:contextualSpacing w:val="0"/>
        <w:rPr>
          <w:rFonts w:cs="Arial"/>
          <w:szCs w:val="22"/>
        </w:rPr>
      </w:pPr>
      <w:r w:rsidRPr="005B2B32">
        <w:rPr>
          <w:rFonts w:cs="Arial"/>
          <w:szCs w:val="22"/>
        </w:rPr>
        <w:t>The Society of Hospital Pharmacists of Australia</w:t>
      </w:r>
    </w:p>
    <w:p w14:paraId="1D9175A1" w14:textId="77777777" w:rsidR="009B61F3" w:rsidRPr="005B2B32" w:rsidRDefault="009B61F3" w:rsidP="005B2B32">
      <w:pPr>
        <w:pStyle w:val="ListParagraph"/>
        <w:numPr>
          <w:ilvl w:val="0"/>
          <w:numId w:val="23"/>
        </w:numPr>
        <w:spacing w:before="120" w:after="60" w:line="256" w:lineRule="auto"/>
        <w:ind w:left="714" w:right="-46" w:hanging="357"/>
        <w:contextualSpacing w:val="0"/>
        <w:rPr>
          <w:rFonts w:cs="Arial"/>
          <w:szCs w:val="22"/>
        </w:rPr>
      </w:pPr>
      <w:r w:rsidRPr="005B2B32">
        <w:rPr>
          <w:rFonts w:cs="Arial"/>
          <w:szCs w:val="22"/>
        </w:rPr>
        <w:t>Pharmaceutical Society of Australia</w:t>
      </w:r>
    </w:p>
    <w:p w14:paraId="705A61A0" w14:textId="77777777" w:rsidR="009B61F3" w:rsidRPr="008549D5" w:rsidRDefault="009B61F3" w:rsidP="005B2B32">
      <w:pPr>
        <w:pStyle w:val="ListParagraph"/>
        <w:numPr>
          <w:ilvl w:val="0"/>
          <w:numId w:val="23"/>
        </w:numPr>
        <w:spacing w:before="120" w:after="60" w:line="256" w:lineRule="auto"/>
        <w:ind w:left="714" w:right="-46" w:hanging="357"/>
        <w:contextualSpacing w:val="0"/>
        <w:rPr>
          <w:rFonts w:cs="Arial"/>
          <w:szCs w:val="22"/>
        </w:rPr>
      </w:pPr>
      <w:r w:rsidRPr="005B2B32">
        <w:rPr>
          <w:rFonts w:cs="Arial"/>
          <w:szCs w:val="22"/>
        </w:rPr>
        <w:t xml:space="preserve">All state and territory health departments. </w:t>
      </w:r>
    </w:p>
    <w:p w14:paraId="41408568" w14:textId="44BA59C3" w:rsidR="009B61F3" w:rsidRPr="008549D5" w:rsidRDefault="009B61F3" w:rsidP="009E03FB">
      <w:pPr>
        <w:pStyle w:val="Paragraphtext"/>
      </w:pPr>
      <w:r w:rsidRPr="008549D5">
        <w:t xml:space="preserve">All stakeholder groups were also invited to </w:t>
      </w:r>
      <w:r w:rsidR="004E31C3">
        <w:t>provide</w:t>
      </w:r>
      <w:r w:rsidR="004E31C3" w:rsidRPr="008549D5">
        <w:t xml:space="preserve"> </w:t>
      </w:r>
      <w:r w:rsidRPr="008549D5">
        <w:t>written submissions</w:t>
      </w:r>
      <w:r w:rsidR="004E31C3">
        <w:t xml:space="preserve"> to the</w:t>
      </w:r>
      <w:r w:rsidRPr="008549D5">
        <w:t xml:space="preserve"> </w:t>
      </w:r>
      <w:r>
        <w:t>c</w:t>
      </w:r>
      <w:r w:rsidRPr="008549D5">
        <w:t>onsultation paper. Written submissions were received from:</w:t>
      </w:r>
    </w:p>
    <w:p w14:paraId="634AAE90"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Pain Australia</w:t>
      </w:r>
    </w:p>
    <w:p w14:paraId="4317A49A"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Pharmaceutical Society of Australia</w:t>
      </w:r>
    </w:p>
    <w:p w14:paraId="7D127D0F"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NACCHO</w:t>
      </w:r>
    </w:p>
    <w:p w14:paraId="4954B5D7"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Northern Territory Health</w:t>
      </w:r>
    </w:p>
    <w:p w14:paraId="51D0C9A7"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Queensland Health</w:t>
      </w:r>
    </w:p>
    <w:p w14:paraId="51D4EF9F"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Department of Health Victoria</w:t>
      </w:r>
    </w:p>
    <w:p w14:paraId="70F98C70"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NSW Ministry of Health</w:t>
      </w:r>
    </w:p>
    <w:p w14:paraId="308D912F"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Tasmanian Department of Health</w:t>
      </w:r>
    </w:p>
    <w:p w14:paraId="42079283" w14:textId="77777777" w:rsidR="009B61F3" w:rsidRPr="009E03FB" w:rsidRDefault="009B61F3"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The Society of Hospital Pharmacists of Australia (SHPA)</w:t>
      </w:r>
    </w:p>
    <w:p w14:paraId="6C63C0E4" w14:textId="718BE3C8" w:rsidR="00E42A25" w:rsidRPr="0036375F" w:rsidRDefault="009B61F3" w:rsidP="003545CC">
      <w:pPr>
        <w:pStyle w:val="Paragraphtext"/>
      </w:pPr>
      <w:r w:rsidRPr="008549D5">
        <w:t xml:space="preserve">After the first round of consultations and written submissions, a </w:t>
      </w:r>
      <w:r w:rsidR="00294020">
        <w:t xml:space="preserve">draft </w:t>
      </w:r>
      <w:r w:rsidRPr="008549D5">
        <w:t xml:space="preserve">consultation report was </w:t>
      </w:r>
      <w:r w:rsidR="00294020" w:rsidRPr="008549D5">
        <w:t>d</w:t>
      </w:r>
      <w:r w:rsidR="00294020">
        <w:t>eveloped</w:t>
      </w:r>
      <w:r w:rsidRPr="008549D5">
        <w:t xml:space="preserve"> and circulated to all participants.</w:t>
      </w:r>
      <w:r w:rsidR="00384C77">
        <w:t xml:space="preserve"> </w:t>
      </w:r>
      <w:r w:rsidRPr="008549D5">
        <w:t xml:space="preserve">Stakeholders were offered the chance to provide further feedback via </w:t>
      </w:r>
      <w:r w:rsidR="00294020" w:rsidRPr="008549D5">
        <w:t>ind</w:t>
      </w:r>
      <w:r w:rsidR="00294020">
        <w:t>ivid</w:t>
      </w:r>
      <w:r w:rsidR="00294020" w:rsidRPr="008549D5">
        <w:t>ual</w:t>
      </w:r>
      <w:r w:rsidRPr="008549D5">
        <w:t xml:space="preserve"> meetings or criti</w:t>
      </w:r>
      <w:r w:rsidR="00FC5EEA">
        <w:t>que</w:t>
      </w:r>
      <w:r w:rsidRPr="008549D5">
        <w:t xml:space="preserve"> of the consultation report.</w:t>
      </w:r>
      <w:r w:rsidR="00384C77">
        <w:t xml:space="preserve"> </w:t>
      </w:r>
      <w:r w:rsidRPr="008549D5">
        <w:t>Four stakeholders took up the opportunity to provide further input</w:t>
      </w:r>
      <w:r w:rsidR="00FC5EEA">
        <w:t>:</w:t>
      </w:r>
      <w:r w:rsidRPr="008549D5">
        <w:t xml:space="preserve"> Q</w:t>
      </w:r>
      <w:r w:rsidR="00294020">
        <w:t>ueensland</w:t>
      </w:r>
      <w:r w:rsidRPr="008549D5">
        <w:t xml:space="preserve"> Health, Tasmania</w:t>
      </w:r>
      <w:r w:rsidR="00B16D4E">
        <w:t>n</w:t>
      </w:r>
      <w:r w:rsidR="00294020">
        <w:t xml:space="preserve"> </w:t>
      </w:r>
      <w:r w:rsidR="00294020" w:rsidRPr="009E03FB">
        <w:t>Department of Health</w:t>
      </w:r>
      <w:r w:rsidRPr="008549D5">
        <w:t xml:space="preserve">, Northern Territory Health and SHPA. </w:t>
      </w:r>
    </w:p>
    <w:p w14:paraId="03B7B364" w14:textId="6CB09C17" w:rsidR="00351AAC" w:rsidRPr="00351AAC" w:rsidRDefault="0081665C" w:rsidP="00FC2D19">
      <w:pPr>
        <w:pStyle w:val="Heading1"/>
      </w:pPr>
      <w:bookmarkStart w:id="9" w:name="_Toc126595342"/>
      <w:r w:rsidRPr="0081665C">
        <w:lastRenderedPageBreak/>
        <w:t>Pharmaceutical Reform Agreement</w:t>
      </w:r>
      <w:r w:rsidR="004D5352">
        <w:t>s</w:t>
      </w:r>
      <w:bookmarkEnd w:id="9"/>
    </w:p>
    <w:p w14:paraId="0CC67EAA" w14:textId="62C71532" w:rsidR="004D5352" w:rsidRPr="00B068F3" w:rsidRDefault="004D5352" w:rsidP="003545CC">
      <w:pPr>
        <w:pStyle w:val="Paragraphtext"/>
      </w:pPr>
      <w:r w:rsidRPr="00B068F3">
        <w:t>PRAs are bilateral agreements between the Commonwealth and jurisdictions that allow access</w:t>
      </w:r>
      <w:r w:rsidR="00DF7500">
        <w:t xml:space="preserve"> at public hospitals to</w:t>
      </w:r>
      <w:r w:rsidRPr="00B068F3">
        <w:t xml:space="preserve"> PBS medicines for non-admitted patients, admitted patients on discharge and day-admitted patients. </w:t>
      </w:r>
    </w:p>
    <w:p w14:paraId="050004E6" w14:textId="204950FF" w:rsidR="004D5352" w:rsidRPr="00B068F3" w:rsidRDefault="004D5352" w:rsidP="003545CC">
      <w:pPr>
        <w:pStyle w:val="Paragraphtext"/>
      </w:pPr>
      <w:r w:rsidRPr="00B068F3">
        <w:t>The PRAs support the NMP principle of timely and affordable access to medicines, by ensuring that patients can access medicines when they need them. For example, a patient discharging from a participating PRA hospital can be dispensed a full PBS quantity</w:t>
      </w:r>
      <w:r w:rsidR="00756858">
        <w:t xml:space="preserve"> (generally 28 days)</w:t>
      </w:r>
      <w:r w:rsidRPr="00B068F3">
        <w:t xml:space="preserve"> of their medication and be charged the usual PBS co-payment. In contrast, a patient discharging from a non-PRA hospital will usually be dispensed a small quantity (3-5 </w:t>
      </w:r>
      <w:r w:rsidR="0075026A" w:rsidRPr="00B068F3">
        <w:t>days’</w:t>
      </w:r>
      <w:r w:rsidRPr="00B068F3">
        <w:t xml:space="preserve"> supply) of their medication and subsequently need to arrange an appointment with their </w:t>
      </w:r>
      <w:r w:rsidR="00342D3B">
        <w:t>general practitioner (</w:t>
      </w:r>
      <w:r w:rsidRPr="00B068F3">
        <w:t>GP</w:t>
      </w:r>
      <w:r w:rsidR="00342D3B">
        <w:t>)</w:t>
      </w:r>
      <w:r w:rsidRPr="00B068F3">
        <w:t xml:space="preserve"> shortly after discharge to attain a prescription for further supply. PRAs support patients during the critical transition of care from hospital to the community. </w:t>
      </w:r>
    </w:p>
    <w:p w14:paraId="2905670E" w14:textId="7AEB001A" w:rsidR="00FC5E72" w:rsidRPr="00B068F3" w:rsidRDefault="00FC5E72" w:rsidP="003545CC">
      <w:pPr>
        <w:pStyle w:val="Paragraphtext"/>
      </w:pPr>
      <w:r w:rsidRPr="00B068F3">
        <w:t>PRAs are in place with Victoria, South Australia, Northern Territory, Western Australia, Queensland, and Tasmania. There is no PRA in place for the A</w:t>
      </w:r>
      <w:r w:rsidR="00756858">
        <w:t xml:space="preserve">ustralian </w:t>
      </w:r>
      <w:r w:rsidRPr="00B068F3">
        <w:t>C</w:t>
      </w:r>
      <w:r w:rsidR="00756858">
        <w:t xml:space="preserve">apital </w:t>
      </w:r>
      <w:r w:rsidRPr="00B068F3">
        <w:t>T</w:t>
      </w:r>
      <w:r w:rsidR="00756858">
        <w:t>erritory</w:t>
      </w:r>
      <w:r w:rsidRPr="00B068F3">
        <w:t xml:space="preserve"> and N</w:t>
      </w:r>
      <w:r w:rsidR="00756858">
        <w:t xml:space="preserve">ew </w:t>
      </w:r>
      <w:r w:rsidRPr="00B068F3">
        <w:t>S</w:t>
      </w:r>
      <w:r w:rsidR="00756858">
        <w:t xml:space="preserve">outh </w:t>
      </w:r>
      <w:r w:rsidRPr="00B068F3">
        <w:t>W</w:t>
      </w:r>
      <w:r w:rsidR="00756858">
        <w:t>ales</w:t>
      </w:r>
      <w:r w:rsidRPr="00B068F3">
        <w:t>.</w:t>
      </w:r>
    </w:p>
    <w:p w14:paraId="70A8FEFB" w14:textId="48A2132D" w:rsidR="00F14DFB" w:rsidRDefault="00F14DFB" w:rsidP="00FD7016">
      <w:pPr>
        <w:pStyle w:val="Heading2"/>
      </w:pPr>
      <w:bookmarkStart w:id="10" w:name="_Toc126595343"/>
      <w:r>
        <w:t>Background and History</w:t>
      </w:r>
      <w:bookmarkEnd w:id="10"/>
    </w:p>
    <w:p w14:paraId="2E5D2283" w14:textId="2DE1C766" w:rsidR="00F14DFB" w:rsidRPr="008549D5" w:rsidRDefault="00F14DFB" w:rsidP="003545CC">
      <w:pPr>
        <w:pStyle w:val="Paragraphtext"/>
      </w:pPr>
      <w:r w:rsidRPr="008549D5">
        <w:t xml:space="preserve">In Australian public and private hospitals, PBS medicines are supplied either by a hospital pharmacy (authorised under Section 94 of the </w:t>
      </w:r>
      <w:r w:rsidRPr="00607E56">
        <w:rPr>
          <w:i/>
          <w:iCs/>
        </w:rPr>
        <w:t xml:space="preserve">National Health Act 1953 </w:t>
      </w:r>
      <w:r w:rsidRPr="008549D5">
        <w:t xml:space="preserve">(the Act)) or a community pharmacy (authorised under Section 90 of the Act). </w:t>
      </w:r>
      <w:r w:rsidR="000C6237">
        <w:t>Public hospital pharmacies can only be approved to supply PBS medicines if the jurisdiction is signatory to a PRA.</w:t>
      </w:r>
    </w:p>
    <w:p w14:paraId="59917886" w14:textId="19366AE7" w:rsidR="00F14DFB" w:rsidRPr="008549D5" w:rsidRDefault="00F14DFB" w:rsidP="003545CC">
      <w:pPr>
        <w:pStyle w:val="Paragraphtext"/>
      </w:pPr>
      <w:r w:rsidRPr="008549D5">
        <w:t>In 1998, as a component of the negotiation of the Australian Health Care Agreements (AHCAs), the Commonwealth</w:t>
      </w:r>
      <w:r w:rsidR="009D0E1E">
        <w:t>,</w:t>
      </w:r>
      <w:r w:rsidRPr="008549D5">
        <w:t xml:space="preserve"> states and territories discussed issues concerning access and equity in the arrangements governing the supply of pharmaceuticals in public hospitals. The National Health Reform Agreement</w:t>
      </w:r>
      <w:r w:rsidR="00D5262C" w:rsidRPr="008549D5">
        <w:t xml:space="preserve"> (NHRA)</w:t>
      </w:r>
      <w:r w:rsidRPr="008549D5">
        <w:t xml:space="preserve"> (2011</w:t>
      </w:r>
      <w:r w:rsidR="007744C2" w:rsidRPr="007744C2">
        <w:t>), which succeeded the ACHAs and the interim National Healthcare Agreemen</w:t>
      </w:r>
      <w:r w:rsidR="007744C2">
        <w:t>t</w:t>
      </w:r>
      <w:r w:rsidR="007744C2" w:rsidRPr="007744C2">
        <w:t>,</w:t>
      </w:r>
      <w:r w:rsidRPr="008549D5">
        <w:t xml:space="preserve"> which succeeded the ACHAs, specifies that it is the states and territories</w:t>
      </w:r>
      <w:r w:rsidR="00323372">
        <w:t xml:space="preserve"> which</w:t>
      </w:r>
      <w:r w:rsidRPr="008549D5">
        <w:t xml:space="preserve"> </w:t>
      </w:r>
      <w:r w:rsidR="007744C2" w:rsidRPr="007744C2">
        <w:t>must provide and fund pharmaceuticals for public non-admitted patients in public hospitals (except where PRA</w:t>
      </w:r>
      <w:r w:rsidR="004A6BD1">
        <w:t>s</w:t>
      </w:r>
      <w:r w:rsidR="007744C2" w:rsidRPr="007744C2">
        <w:t xml:space="preserve"> are in pla</w:t>
      </w:r>
      <w:r w:rsidR="00323372">
        <w:t>ce)</w:t>
      </w:r>
      <w:r w:rsidRPr="008549D5">
        <w:t>.</w:t>
      </w:r>
    </w:p>
    <w:p w14:paraId="3CC98F23" w14:textId="4EED647C" w:rsidR="00F14DFB" w:rsidRPr="008549D5" w:rsidRDefault="00B068F3" w:rsidP="003545CC">
      <w:pPr>
        <w:pStyle w:val="Paragraphtext"/>
      </w:pPr>
      <w:r>
        <w:t>Before the availability of PRAs t</w:t>
      </w:r>
      <w:r w:rsidR="00F14DFB" w:rsidRPr="008549D5">
        <w:t xml:space="preserve">he differing arrangements under which pharmaceuticals </w:t>
      </w:r>
      <w:r w:rsidR="00910421">
        <w:t>were</w:t>
      </w:r>
      <w:r w:rsidR="00910421" w:rsidRPr="008549D5">
        <w:t xml:space="preserve"> </w:t>
      </w:r>
      <w:r w:rsidR="00F14DFB" w:rsidRPr="008549D5">
        <w:t xml:space="preserve">subsidised </w:t>
      </w:r>
      <w:r w:rsidR="00756858">
        <w:t xml:space="preserve">created inequities. Funding </w:t>
      </w:r>
      <w:r w:rsidR="00F14DFB" w:rsidRPr="008549D5">
        <w:t>by the Commonwealth through the PBS for community based patients and provided by the states and territories for public hospital based patients</w:t>
      </w:r>
      <w:r w:rsidR="00756858">
        <w:t xml:space="preserve"> for </w:t>
      </w:r>
      <w:r w:rsidR="00F14DFB" w:rsidRPr="008549D5">
        <w:t xml:space="preserve">the supply and </w:t>
      </w:r>
      <w:r w:rsidR="00756858">
        <w:t>payment</w:t>
      </w:r>
      <w:r w:rsidR="00F14DFB" w:rsidRPr="008549D5">
        <w:t xml:space="preserve"> for a range of medicines available in each sector</w:t>
      </w:r>
      <w:r w:rsidR="00756858">
        <w:t xml:space="preserve"> led to differing access based on location. These arrangements</w:t>
      </w:r>
      <w:r w:rsidR="00B67349" w:rsidRPr="008549D5">
        <w:t xml:space="preserve"> </w:t>
      </w:r>
      <w:r w:rsidR="008F2C79">
        <w:t>d</w:t>
      </w:r>
      <w:r w:rsidR="00AC42C5">
        <w:t>id</w:t>
      </w:r>
      <w:r w:rsidR="008F2C79">
        <w:t xml:space="preserve"> </w:t>
      </w:r>
      <w:r w:rsidR="00B67349" w:rsidRPr="008549D5">
        <w:t>not deliver consistent patient based outcome</w:t>
      </w:r>
      <w:r w:rsidR="00BE222A">
        <w:t>s</w:t>
      </w:r>
      <w:r w:rsidR="00B67349" w:rsidRPr="008549D5">
        <w:t xml:space="preserve"> as desired by </w:t>
      </w:r>
      <w:r w:rsidR="00B94146" w:rsidRPr="008549D5">
        <w:t xml:space="preserve">both </w:t>
      </w:r>
      <w:r w:rsidR="00B67349" w:rsidRPr="008549D5">
        <w:t>the Commonwealth and stakeholders</w:t>
      </w:r>
      <w:r w:rsidR="00F14DFB" w:rsidRPr="008549D5">
        <w:t>.</w:t>
      </w:r>
    </w:p>
    <w:p w14:paraId="29F6E2C8" w14:textId="63DE2CFA" w:rsidR="004C0C90" w:rsidRPr="008549D5" w:rsidRDefault="00F14DFB" w:rsidP="003545CC">
      <w:pPr>
        <w:pStyle w:val="Paragraphtext"/>
      </w:pPr>
      <w:r w:rsidRPr="008549D5">
        <w:t xml:space="preserve">In August 1999, the Department wrote to state and territory health departments offering to provide access to the PBS for medicines supplied to admitted public hospital patients upon discharge and as out-patients. This resulted in Victoria (2001), South Australia, Northern Territory, Western Australia, Queensland, and Tasmania (2010) </w:t>
      </w:r>
      <w:r w:rsidR="00153E8B" w:rsidRPr="008549D5">
        <w:t xml:space="preserve">each </w:t>
      </w:r>
      <w:r w:rsidRPr="008549D5">
        <w:t xml:space="preserve">signing a </w:t>
      </w:r>
      <w:r w:rsidR="00153E8B" w:rsidRPr="008549D5">
        <w:t xml:space="preserve">bilateral </w:t>
      </w:r>
      <w:r w:rsidRPr="008549D5">
        <w:t xml:space="preserve">PRA with the Commonwealth. </w:t>
      </w:r>
      <w:r w:rsidR="00487140" w:rsidRPr="008549D5">
        <w:t xml:space="preserve">There is no PRA in place for </w:t>
      </w:r>
      <w:r w:rsidR="007C459E">
        <w:t xml:space="preserve">the </w:t>
      </w:r>
      <w:r w:rsidR="00487140" w:rsidRPr="008549D5">
        <w:t xml:space="preserve">ACT and NSW. </w:t>
      </w:r>
    </w:p>
    <w:p w14:paraId="7F66D38A" w14:textId="77777777" w:rsidR="004C0C90" w:rsidRPr="008549D5" w:rsidRDefault="004C0C90" w:rsidP="003545CC">
      <w:pPr>
        <w:pStyle w:val="Paragraphtext"/>
      </w:pPr>
      <w:r w:rsidRPr="008549D5">
        <w:t>In return, participating jurisdictions were required to implement best practice guidelines for the continuum of pharmaceutical care between hospital and the community.</w:t>
      </w:r>
    </w:p>
    <w:p w14:paraId="36CB0A5A" w14:textId="69397091" w:rsidR="004C0C90" w:rsidRPr="008549D5" w:rsidRDefault="004C0C90" w:rsidP="003545CC">
      <w:pPr>
        <w:pStyle w:val="Paragraphtext"/>
      </w:pPr>
      <w:r w:rsidRPr="008549D5">
        <w:t xml:space="preserve">The essential elements for a hospital to be included under a PRA for participating </w:t>
      </w:r>
      <w:r w:rsidR="00573C41" w:rsidRPr="008549D5">
        <w:t>jurisdictions</w:t>
      </w:r>
      <w:r w:rsidRPr="008549D5">
        <w:t xml:space="preserve"> are: </w:t>
      </w:r>
    </w:p>
    <w:p w14:paraId="677AB7E6" w14:textId="77777777" w:rsidR="004C0C90" w:rsidRPr="008549D5" w:rsidRDefault="004C0C90" w:rsidP="009E03FB">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access to the PBS to be provided to all non-admitted patients and admitted patients on discharge from public hospitals;</w:t>
      </w:r>
    </w:p>
    <w:p w14:paraId="69EDDE99" w14:textId="77777777" w:rsidR="004C0C90" w:rsidRPr="008549D5" w:rsidRDefault="004C0C90" w:rsidP="009E03FB">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access to chemotherapy drugs for day-admitted and non-admitted chemotherapy patients;</w:t>
      </w:r>
    </w:p>
    <w:p w14:paraId="658190EF" w14:textId="382E4196" w:rsidR="004C0C90" w:rsidRPr="008549D5" w:rsidRDefault="004C0C90" w:rsidP="009E03FB">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lastRenderedPageBreak/>
        <w:t>hospital to ensure patients receive appropriate quantities of medications when discharged from hospital, up to one month’s supply of medication;</w:t>
      </w:r>
    </w:p>
    <w:p w14:paraId="36A21C9B" w14:textId="77777777" w:rsidR="004C0C90" w:rsidRPr="008549D5" w:rsidRDefault="004C0C90" w:rsidP="009E03FB">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hospital generated PBS prescriptions may be dispensed by the hospital pharmacy or presented at a community pharmacy;</w:t>
      </w:r>
    </w:p>
    <w:p w14:paraId="06C6F88C" w14:textId="6196DB00" w:rsidR="008F779B" w:rsidRPr="008549D5" w:rsidRDefault="004C0C90" w:rsidP="009E03FB">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hospitals are to adopt the Australian Pharmaceutical Advisory Council (APAC) Guidelines on the continuum of pharmaceutical care between hospitals and the community;</w:t>
      </w:r>
    </w:p>
    <w:p w14:paraId="564DAA80" w14:textId="77777777" w:rsidR="002E0FA2" w:rsidRPr="009E03FB" w:rsidRDefault="004C0C90" w:rsidP="009E03FB">
      <w:pPr>
        <w:pStyle w:val="ListParagraph"/>
        <w:numPr>
          <w:ilvl w:val="0"/>
          <w:numId w:val="23"/>
        </w:numPr>
        <w:spacing w:before="120" w:after="60" w:line="256" w:lineRule="auto"/>
        <w:ind w:left="714" w:right="-46" w:hanging="357"/>
        <w:contextualSpacing w:val="0"/>
        <w:rPr>
          <w:rFonts w:cs="Arial"/>
          <w:szCs w:val="22"/>
        </w:rPr>
      </w:pPr>
      <w:r w:rsidRPr="00FC2D19">
        <w:rPr>
          <w:rFonts w:cs="Arial"/>
          <w:szCs w:val="22"/>
        </w:rPr>
        <w:t xml:space="preserve">PBS joint safety net arrangements will remain; and </w:t>
      </w:r>
    </w:p>
    <w:p w14:paraId="2C5CC045" w14:textId="77777777" w:rsidR="009E03FB" w:rsidRDefault="004C0C90" w:rsidP="009E03FB">
      <w:pPr>
        <w:pStyle w:val="ListParagraph"/>
        <w:numPr>
          <w:ilvl w:val="0"/>
          <w:numId w:val="23"/>
        </w:numPr>
        <w:spacing w:before="120" w:after="60" w:line="256" w:lineRule="auto"/>
        <w:ind w:left="714" w:right="-46" w:hanging="357"/>
        <w:contextualSpacing w:val="0"/>
        <w:rPr>
          <w:rFonts w:cs="Arial"/>
          <w:szCs w:val="22"/>
        </w:rPr>
      </w:pPr>
      <w:r w:rsidRPr="00FC2D19">
        <w:rPr>
          <w:rFonts w:cs="Arial"/>
          <w:szCs w:val="22"/>
        </w:rPr>
        <w:t>the usual PBS requirements apply</w:t>
      </w:r>
      <w:r w:rsidR="00EF5E59">
        <w:rPr>
          <w:rFonts w:cs="Arial"/>
          <w:szCs w:val="22"/>
        </w:rPr>
        <w:t>, i.e.</w:t>
      </w:r>
      <w:r w:rsidRPr="00910421">
        <w:rPr>
          <w:rFonts w:cs="Arial"/>
          <w:szCs w:val="22"/>
        </w:rPr>
        <w:t xml:space="preserve"> authorities, patient co-payments, brand price premium and therapeutic group premium policies.</w:t>
      </w:r>
    </w:p>
    <w:p w14:paraId="095F06EF" w14:textId="77777777" w:rsidR="008F2C79" w:rsidRPr="007219B8" w:rsidRDefault="008F2C79" w:rsidP="008F2C79">
      <w:pPr>
        <w:pStyle w:val="Heading3"/>
      </w:pPr>
      <w:bookmarkStart w:id="11" w:name="_Toc126595344"/>
      <w:r w:rsidRPr="007219B8">
        <w:t>Legislative and regulatory framework</w:t>
      </w:r>
      <w:bookmarkEnd w:id="11"/>
    </w:p>
    <w:p w14:paraId="1D99BEF7" w14:textId="77777777" w:rsidR="008F2C79" w:rsidRPr="007219B8" w:rsidRDefault="008F2C79" w:rsidP="008F2C79">
      <w:pPr>
        <w:spacing w:before="120" w:after="60" w:line="256" w:lineRule="auto"/>
        <w:ind w:right="-46"/>
        <w:rPr>
          <w:rFonts w:cs="Arial"/>
          <w:szCs w:val="22"/>
        </w:rPr>
      </w:pPr>
      <w:r w:rsidRPr="007219B8">
        <w:rPr>
          <w:rFonts w:cs="Arial"/>
          <w:szCs w:val="22"/>
        </w:rPr>
        <w:t xml:space="preserve">The Act and any instruments under the Act as well as the </w:t>
      </w:r>
      <w:r w:rsidRPr="00993B1D">
        <w:rPr>
          <w:rFonts w:cs="Arial"/>
          <w:i/>
          <w:iCs/>
          <w:szCs w:val="22"/>
        </w:rPr>
        <w:t>National Health (</w:t>
      </w:r>
      <w:hyperlink r:id="rId15" w:history="1">
        <w:r w:rsidRPr="00993B1D">
          <w:rPr>
            <w:rStyle w:val="Hyperlink"/>
            <w:rFonts w:cs="Arial"/>
            <w:i/>
            <w:iCs/>
            <w:szCs w:val="22"/>
          </w:rPr>
          <w:t>Pharmaceutical Benefits) Regulations 2017</w:t>
        </w:r>
      </w:hyperlink>
      <w:r w:rsidRPr="00993B1D">
        <w:rPr>
          <w:rFonts w:cs="Arial"/>
          <w:i/>
          <w:iCs/>
          <w:szCs w:val="22"/>
        </w:rPr>
        <w:t xml:space="preserve"> </w:t>
      </w:r>
      <w:r w:rsidRPr="007219B8">
        <w:rPr>
          <w:rFonts w:cs="Arial"/>
          <w:szCs w:val="22"/>
        </w:rPr>
        <w:t xml:space="preserve">provide the legislative framework under which the PBS operates. The PRAs specify that any pharmaceutical benefits including any chemotherapy drug must be prescribed and supplied in accordance with this legislation. </w:t>
      </w:r>
    </w:p>
    <w:p w14:paraId="2E3FCFCA" w14:textId="77777777" w:rsidR="008F2C79" w:rsidRPr="007219B8" w:rsidRDefault="008F2C79" w:rsidP="008F2C79">
      <w:pPr>
        <w:spacing w:before="120" w:after="60" w:line="256" w:lineRule="auto"/>
        <w:ind w:right="-46"/>
        <w:rPr>
          <w:rFonts w:cs="Arial"/>
          <w:szCs w:val="22"/>
        </w:rPr>
      </w:pPr>
      <w:r w:rsidRPr="007219B8">
        <w:rPr>
          <w:rFonts w:cs="Arial"/>
          <w:szCs w:val="22"/>
        </w:rPr>
        <w:t xml:space="preserve">In 2011, the PRAs were each varied to include revised arrangements for access to chemotherapy medicines under the </w:t>
      </w:r>
      <w:r w:rsidRPr="009D0E1E">
        <w:rPr>
          <w:rFonts w:cs="Arial"/>
          <w:i/>
          <w:iCs/>
          <w:szCs w:val="22"/>
        </w:rPr>
        <w:t>National Health (Efficient Funding of Chemotherapy) Special Arrangement 2011</w:t>
      </w:r>
      <w:r w:rsidRPr="007219B8">
        <w:rPr>
          <w:rFonts w:cs="Arial"/>
          <w:szCs w:val="22"/>
        </w:rPr>
        <w:t>, enacted under Section 100 of the Act. Further to this, once a jurisdiction has entered a PRA, their approved Hospital Authorities under s94 of the Act are subject to a number of terms and conditions.</w:t>
      </w:r>
    </w:p>
    <w:p w14:paraId="61134BDA" w14:textId="77777777" w:rsidR="008F2C79" w:rsidRDefault="008F2C79" w:rsidP="008F2C79">
      <w:pPr>
        <w:spacing w:before="120" w:after="60" w:line="256" w:lineRule="auto"/>
        <w:ind w:right="-46"/>
        <w:rPr>
          <w:rFonts w:cs="Arial"/>
          <w:szCs w:val="22"/>
        </w:rPr>
      </w:pPr>
      <w:r w:rsidRPr="007219B8">
        <w:rPr>
          <w:rFonts w:cs="Arial"/>
          <w:szCs w:val="22"/>
        </w:rPr>
        <w:t>Hospital Authorities must apply to become a PBS approved supplier (</w:t>
      </w:r>
      <w:hyperlink r:id="rId16" w:history="1">
        <w:r w:rsidRPr="007219B8">
          <w:rPr>
            <w:rStyle w:val="Hyperlink"/>
            <w:rFonts w:cs="Arial"/>
            <w:szCs w:val="22"/>
          </w:rPr>
          <w:t>Department of Health | Hospital Authorities</w:t>
        </w:r>
      </w:hyperlink>
      <w:r w:rsidRPr="007219B8">
        <w:rPr>
          <w:rFonts w:cs="Arial"/>
          <w:szCs w:val="22"/>
        </w:rPr>
        <w:t>). For public hospitals, which PBS medicines or programs the approval covers depends on whether the hospital is in a PRA jurisdiction or not.</w:t>
      </w:r>
    </w:p>
    <w:p w14:paraId="3C51D15F" w14:textId="77777777" w:rsidR="008F2C79" w:rsidRPr="007219B8" w:rsidRDefault="008F2C79" w:rsidP="008F2C79">
      <w:pPr>
        <w:pStyle w:val="Heading3"/>
      </w:pPr>
      <w:bookmarkStart w:id="12" w:name="_Toc126595345"/>
      <w:r>
        <w:t>PRAs and NHRA</w:t>
      </w:r>
      <w:bookmarkEnd w:id="12"/>
    </w:p>
    <w:p w14:paraId="0D694BE9" w14:textId="4D0DD6F6" w:rsidR="00756858" w:rsidRPr="009E03FB" w:rsidRDefault="003F0940" w:rsidP="009E03FB">
      <w:pPr>
        <w:pStyle w:val="Paragraphtext"/>
      </w:pPr>
      <w:r w:rsidRPr="009E03FB">
        <w:t xml:space="preserve">Currently, the PRAs are </w:t>
      </w:r>
      <w:r w:rsidR="00756858" w:rsidRPr="00756858">
        <w:t>identified as exceptions</w:t>
      </w:r>
      <w:r w:rsidRPr="009E03FB">
        <w:t xml:space="preserve"> through the National Health Reform Agreement 202</w:t>
      </w:r>
      <w:r w:rsidR="005B3832" w:rsidRPr="009E03FB">
        <w:t>0-</w:t>
      </w:r>
      <w:r w:rsidRPr="009E03FB">
        <w:t xml:space="preserve">25 (NHRA), </w:t>
      </w:r>
      <w:r w:rsidR="00756858" w:rsidRPr="00756858">
        <w:t xml:space="preserve">Schedule A, A10, A25 to A28 and agreed at </w:t>
      </w:r>
      <w:r w:rsidRPr="009E03FB">
        <w:t>Section G5 (Pharmaceutical Reform Arrangements).</w:t>
      </w:r>
    </w:p>
    <w:p w14:paraId="7FBF432C" w14:textId="60640EBB" w:rsidR="003F0940" w:rsidRPr="008549D5" w:rsidRDefault="00931067" w:rsidP="00756858">
      <w:pPr>
        <w:pStyle w:val="Paragraphtext"/>
      </w:pPr>
      <w:r>
        <w:t>PRAs</w:t>
      </w:r>
      <w:r w:rsidR="003F0940" w:rsidRPr="008549D5">
        <w:t xml:space="preserve"> are defined in the NHRA as:</w:t>
      </w:r>
    </w:p>
    <w:p w14:paraId="6780E299" w14:textId="77777777" w:rsidR="003F0940" w:rsidRPr="00910421" w:rsidRDefault="003F0940" w:rsidP="009E03FB">
      <w:pPr>
        <w:pStyle w:val="Paragraphtext"/>
        <w:ind w:left="720"/>
      </w:pPr>
      <w:r w:rsidRPr="00910421">
        <w:t xml:space="preserve">“… arrangements which provide for public hospitals that are Approved Hospital Authorities under Section 94 of the National Health Act 1953 to supply pharmaceuticals funded by the PBS for specific categories of patients including: </w:t>
      </w:r>
    </w:p>
    <w:p w14:paraId="5681EBE9" w14:textId="5680E22A" w:rsidR="003F0940" w:rsidRPr="009E03FB" w:rsidRDefault="003F0940" w:rsidP="009E03FB">
      <w:pPr>
        <w:pStyle w:val="ListParagraph"/>
        <w:numPr>
          <w:ilvl w:val="1"/>
          <w:numId w:val="49"/>
        </w:numPr>
        <w:spacing w:before="120" w:after="60" w:line="256" w:lineRule="auto"/>
        <w:ind w:right="-46"/>
        <w:contextualSpacing w:val="0"/>
        <w:rPr>
          <w:rFonts w:cs="Arial"/>
          <w:szCs w:val="22"/>
        </w:rPr>
      </w:pPr>
      <w:r w:rsidRPr="009E03FB">
        <w:rPr>
          <w:rFonts w:cs="Arial"/>
          <w:szCs w:val="22"/>
        </w:rPr>
        <w:t xml:space="preserve">admitted patients on separation; </w:t>
      </w:r>
    </w:p>
    <w:p w14:paraId="51442BCD" w14:textId="797FE8E3" w:rsidR="003F0940" w:rsidRPr="009E03FB" w:rsidRDefault="003F0940" w:rsidP="009E03FB">
      <w:pPr>
        <w:pStyle w:val="ListParagraph"/>
        <w:numPr>
          <w:ilvl w:val="1"/>
          <w:numId w:val="49"/>
        </w:numPr>
        <w:spacing w:before="120" w:after="60" w:line="256" w:lineRule="auto"/>
        <w:ind w:right="-46"/>
        <w:contextualSpacing w:val="0"/>
        <w:rPr>
          <w:rFonts w:cs="Arial"/>
          <w:szCs w:val="22"/>
        </w:rPr>
      </w:pPr>
      <w:r w:rsidRPr="009E03FB">
        <w:rPr>
          <w:rFonts w:cs="Arial"/>
          <w:szCs w:val="22"/>
        </w:rPr>
        <w:t xml:space="preserve">non-admitted patients; and </w:t>
      </w:r>
    </w:p>
    <w:p w14:paraId="3F512F5D" w14:textId="19A7F0D0" w:rsidR="003F0940" w:rsidRDefault="003F0940" w:rsidP="009E03FB">
      <w:pPr>
        <w:pStyle w:val="ListParagraph"/>
        <w:numPr>
          <w:ilvl w:val="1"/>
          <w:numId w:val="49"/>
        </w:numPr>
        <w:spacing w:before="120" w:after="60" w:line="256" w:lineRule="auto"/>
        <w:ind w:right="-46"/>
        <w:contextualSpacing w:val="0"/>
        <w:rPr>
          <w:rFonts w:cs="Arial"/>
          <w:szCs w:val="22"/>
        </w:rPr>
      </w:pPr>
      <w:r w:rsidRPr="009E03FB">
        <w:rPr>
          <w:rFonts w:cs="Arial"/>
          <w:szCs w:val="22"/>
        </w:rPr>
        <w:t xml:space="preserve">same day admitted patients for a range of drugs made available by specific delivery arrangements under Section 100 of the National Health Act 1953.” </w:t>
      </w:r>
    </w:p>
    <w:p w14:paraId="5ACE1BA0" w14:textId="2B6AB580" w:rsidR="00756858" w:rsidRPr="00993B1D" w:rsidRDefault="00756858" w:rsidP="00993B1D">
      <w:pPr>
        <w:spacing w:before="120" w:after="60" w:line="256" w:lineRule="auto"/>
        <w:ind w:right="-46"/>
        <w:rPr>
          <w:rFonts w:cs="Arial"/>
          <w:szCs w:val="22"/>
        </w:rPr>
      </w:pPr>
      <w:r w:rsidRPr="00993B1D">
        <w:rPr>
          <w:rFonts w:cs="Arial"/>
          <w:szCs w:val="22"/>
        </w:rPr>
        <w:t xml:space="preserve">It should be noted that access to PBS medicines included in the Section 100 Highly Specialised Drugs (S100 HSD) program sit outside </w:t>
      </w:r>
      <w:r w:rsidR="00284F98" w:rsidRPr="00993B1D">
        <w:rPr>
          <w:rFonts w:cs="Arial"/>
          <w:szCs w:val="22"/>
        </w:rPr>
        <w:t xml:space="preserve">the </w:t>
      </w:r>
      <w:r w:rsidRPr="00993B1D">
        <w:rPr>
          <w:rFonts w:cs="Arial"/>
          <w:szCs w:val="22"/>
        </w:rPr>
        <w:t>current PRA arrangements. The public hospital S100 HSD program was specifically designed to provide access to day</w:t>
      </w:r>
      <w:r w:rsidR="00284F98">
        <w:rPr>
          <w:rFonts w:cs="Arial"/>
          <w:szCs w:val="22"/>
        </w:rPr>
        <w:noBreakHyphen/>
      </w:r>
      <w:r w:rsidRPr="00993B1D">
        <w:rPr>
          <w:rFonts w:cs="Arial"/>
          <w:szCs w:val="22"/>
        </w:rPr>
        <w:t xml:space="preserve">admitted patients, non-admitted patients and patients on discharge and is enacted through separate legislation, the </w:t>
      </w:r>
      <w:r w:rsidRPr="00993B1D">
        <w:rPr>
          <w:rFonts w:cs="Arial"/>
          <w:i/>
          <w:iCs/>
          <w:szCs w:val="22"/>
        </w:rPr>
        <w:t>National Health (Highly specialised drugs program) Special Arrangement 2010</w:t>
      </w:r>
      <w:r w:rsidRPr="00993B1D">
        <w:rPr>
          <w:rFonts w:cs="Arial"/>
          <w:szCs w:val="22"/>
        </w:rPr>
        <w:t>, not through PRAs.</w:t>
      </w:r>
    </w:p>
    <w:p w14:paraId="2892DF19" w14:textId="2617159E" w:rsidR="003F0940" w:rsidRPr="008549D5" w:rsidRDefault="00A81F06" w:rsidP="003B6A65">
      <w:pPr>
        <w:pStyle w:val="Paragraphtext"/>
        <w:keepNext/>
        <w:widowControl w:val="0"/>
      </w:pPr>
      <w:r>
        <w:lastRenderedPageBreak/>
        <w:t>A subset of the long-term reform</w:t>
      </w:r>
      <w:r w:rsidR="003F0940" w:rsidRPr="008549D5">
        <w:t xml:space="preserve"> goals of the NHRA are to:</w:t>
      </w:r>
    </w:p>
    <w:p w14:paraId="25859388" w14:textId="07886373" w:rsidR="003F0940" w:rsidRPr="009E03FB" w:rsidRDefault="003F0940"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deliver safe, high-quality care in the right place at the right time</w:t>
      </w:r>
    </w:p>
    <w:p w14:paraId="10798CE5" w14:textId="5D1BEE9D" w:rsidR="003F0940" w:rsidRPr="009E03FB" w:rsidRDefault="003F0940"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prioritise prevention, and help people manage their health across their lifetime</w:t>
      </w:r>
    </w:p>
    <w:p w14:paraId="221EE16B" w14:textId="2B7C87B3" w:rsidR="003F0940" w:rsidRPr="009E03FB" w:rsidRDefault="003F0940"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drive best-practice and performance using data and research</w:t>
      </w:r>
    </w:p>
    <w:p w14:paraId="15BA9081" w14:textId="636EB551" w:rsidR="003F0940" w:rsidRPr="009E03FB" w:rsidRDefault="003F0940"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ab/>
        <w:t xml:space="preserve">improve efficiency and ensure financial sustainability. </w:t>
      </w:r>
    </w:p>
    <w:p w14:paraId="3146550B" w14:textId="77777777" w:rsidR="003F0940" w:rsidRPr="008549D5" w:rsidRDefault="003F0940" w:rsidP="009E03FB">
      <w:pPr>
        <w:pStyle w:val="Paragraphtext"/>
      </w:pPr>
      <w:r w:rsidRPr="008549D5">
        <w:t xml:space="preserve">There is strong alignment in goals and objectives between the NHRA and PRAs, particularly for goals and objectives which focus on reliable and convenient access to medicines for patients, to facilitate the continuum of care and quality use of medicines. </w:t>
      </w:r>
    </w:p>
    <w:p w14:paraId="1D586AA9" w14:textId="610B79DA" w:rsidR="003F0940" w:rsidRPr="008549D5" w:rsidRDefault="003F0940" w:rsidP="009E03FB">
      <w:pPr>
        <w:pStyle w:val="Paragraphtext"/>
      </w:pPr>
      <w:r w:rsidRPr="008549D5">
        <w:t>Both the NHRA and PRAs aim to address financial efficiency and sustainability, by balancing state and territory access to Commonwealth funding or Commonwealth funded programs</w:t>
      </w:r>
      <w:r w:rsidR="00EF5E59">
        <w:t>,</w:t>
      </w:r>
      <w:r w:rsidRPr="008549D5">
        <w:t xml:space="preserve"> such as the PBS, with measures to ensure financial risk is shared across parties.</w:t>
      </w:r>
    </w:p>
    <w:p w14:paraId="72F42EF6" w14:textId="163D3531" w:rsidR="00FC2D19" w:rsidRPr="00BF06C2" w:rsidRDefault="00756858" w:rsidP="00FC2D19">
      <w:pPr>
        <w:pStyle w:val="Heading2"/>
      </w:pPr>
      <w:bookmarkStart w:id="13" w:name="_Toc126595346"/>
      <w:r>
        <w:t xml:space="preserve">PRA </w:t>
      </w:r>
      <w:r w:rsidR="00881E9F">
        <w:t>Objectives</w:t>
      </w:r>
      <w:bookmarkEnd w:id="13"/>
    </w:p>
    <w:p w14:paraId="1CBA838A" w14:textId="78168779" w:rsidR="00FC2D19" w:rsidRPr="008549D5" w:rsidRDefault="00FC2D19" w:rsidP="009E03FB">
      <w:pPr>
        <w:pStyle w:val="Paragraphtext"/>
      </w:pPr>
      <w:r w:rsidRPr="008549D5">
        <w:t>PRAs are intended to enhance pat</w:t>
      </w:r>
      <w:r>
        <w:t>i</w:t>
      </w:r>
      <w:r w:rsidRPr="008549D5">
        <w:t xml:space="preserve">ent access to PBS medicines through the public hospital system. </w:t>
      </w:r>
      <w:r w:rsidR="00881E9F">
        <w:t>Objectives</w:t>
      </w:r>
      <w:r w:rsidRPr="008549D5">
        <w:t xml:space="preserve"> that are critical to the success of PRAs are:</w:t>
      </w:r>
    </w:p>
    <w:p w14:paraId="68598FC6" w14:textId="77777777"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Equity of access</w:t>
      </w:r>
      <w:r w:rsidRPr="009E03FB">
        <w:rPr>
          <w:rFonts w:cs="Arial"/>
          <w:szCs w:val="22"/>
        </w:rPr>
        <w:t xml:space="preserve"> – that all eligible patients are able to access PBS medicines through public hospitals </w:t>
      </w:r>
    </w:p>
    <w:p w14:paraId="4EED8BF3" w14:textId="77777777"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Continuum of care for patients</w:t>
      </w:r>
      <w:r w:rsidRPr="009E03FB">
        <w:rPr>
          <w:rFonts w:cs="Arial"/>
          <w:szCs w:val="22"/>
        </w:rPr>
        <w:t xml:space="preserve"> – patients receive adequate medicine to support them in the community</w:t>
      </w:r>
    </w:p>
    <w:p w14:paraId="5AD6B48F" w14:textId="69175172"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Quality use of medicines</w:t>
      </w:r>
      <w:r w:rsidRPr="009E03FB">
        <w:rPr>
          <w:rFonts w:cs="Arial"/>
          <w:szCs w:val="22"/>
        </w:rPr>
        <w:t xml:space="preserve"> – that public hospital</w:t>
      </w:r>
      <w:r w:rsidR="00D109C5">
        <w:rPr>
          <w:rFonts w:cs="Arial"/>
          <w:szCs w:val="22"/>
        </w:rPr>
        <w:t>s</w:t>
      </w:r>
      <w:r w:rsidRPr="009E03FB">
        <w:rPr>
          <w:rFonts w:cs="Arial"/>
          <w:szCs w:val="22"/>
        </w:rPr>
        <w:t xml:space="preserve"> continue to improve on QUM measures</w:t>
      </w:r>
    </w:p>
    <w:p w14:paraId="79D9B35A" w14:textId="41F7B613" w:rsidR="00FC2D19" w:rsidRPr="008549D5" w:rsidRDefault="00FC2D19" w:rsidP="009E03FB">
      <w:pPr>
        <w:pStyle w:val="Paragraphtext"/>
      </w:pPr>
      <w:r w:rsidRPr="008549D5">
        <w:rPr>
          <w:rFonts w:eastAsia="Arial"/>
        </w:rPr>
        <w:t xml:space="preserve">By highlighting their importance, the Commonwealth calls on all partners to proactively develop and promote these </w:t>
      </w:r>
      <w:r w:rsidR="00881E9F">
        <w:rPr>
          <w:rFonts w:eastAsia="Arial"/>
        </w:rPr>
        <w:t>objectives</w:t>
      </w:r>
      <w:r w:rsidRPr="008549D5">
        <w:rPr>
          <w:rFonts w:eastAsia="Arial"/>
        </w:rPr>
        <w:t xml:space="preserve">. </w:t>
      </w:r>
    </w:p>
    <w:p w14:paraId="7C2C8B15" w14:textId="77777777" w:rsidR="00FC2D19" w:rsidRDefault="00FC2D19" w:rsidP="00466201">
      <w:pPr>
        <w:pStyle w:val="Heading2"/>
      </w:pPr>
      <w:bookmarkStart w:id="14" w:name="_Toc126595347"/>
      <w:r>
        <w:t>Governance</w:t>
      </w:r>
      <w:bookmarkEnd w:id="14"/>
      <w:r>
        <w:t xml:space="preserve"> </w:t>
      </w:r>
    </w:p>
    <w:p w14:paraId="6D28C53A" w14:textId="44A466A2" w:rsidR="00FC2D19" w:rsidRPr="008549D5" w:rsidRDefault="00FC2D19" w:rsidP="00466201">
      <w:pPr>
        <w:pStyle w:val="Paragraphtext"/>
        <w:keepNext/>
      </w:pPr>
      <w:r w:rsidRPr="008549D5">
        <w:t xml:space="preserve">While the PRAs are designed to enable the supply of PBS medicines to </w:t>
      </w:r>
      <w:r w:rsidR="00E42A25">
        <w:t xml:space="preserve">public hospital </w:t>
      </w:r>
      <w:r w:rsidRPr="008549D5">
        <w:t>patients in certain circumstances, other agreements also govern service delivery and financial responsibility within the public hospital system and form a shared governance system between the Commonwealth and state/territory governments. In relation to the PBS, under these agreements, states and territories are responsible for:</w:t>
      </w:r>
    </w:p>
    <w:p w14:paraId="502326EC" w14:textId="77777777"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Management and delivery of public hospital services;</w:t>
      </w:r>
    </w:p>
    <w:p w14:paraId="6F991874" w14:textId="0A851AE0"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Funding of public hospital pharmacies and pharmacists</w:t>
      </w:r>
      <w:r w:rsidR="00A81F06">
        <w:rPr>
          <w:rFonts w:cs="Arial"/>
          <w:szCs w:val="22"/>
        </w:rPr>
        <w:t xml:space="preserve"> (in conjunction with the Commonwealth </w:t>
      </w:r>
      <w:r w:rsidR="002E1FF7">
        <w:rPr>
          <w:rFonts w:cs="Arial"/>
          <w:szCs w:val="22"/>
        </w:rPr>
        <w:t xml:space="preserve">through </w:t>
      </w:r>
      <w:r w:rsidR="00A81F06">
        <w:rPr>
          <w:rFonts w:cs="Arial"/>
          <w:szCs w:val="22"/>
        </w:rPr>
        <w:t>the NHRA)</w:t>
      </w:r>
      <w:r w:rsidRPr="009E03FB">
        <w:rPr>
          <w:rFonts w:cs="Arial"/>
          <w:szCs w:val="22"/>
        </w:rPr>
        <w:t>;</w:t>
      </w:r>
    </w:p>
    <w:p w14:paraId="5F4C097C" w14:textId="2F64B295"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Funding of pharmaceuticals for</w:t>
      </w:r>
      <w:r w:rsidR="00881E9F">
        <w:rPr>
          <w:rFonts w:cs="Arial"/>
          <w:szCs w:val="22"/>
        </w:rPr>
        <w:t xml:space="preserve"> admi</w:t>
      </w:r>
      <w:r w:rsidR="008F2C79">
        <w:rPr>
          <w:rFonts w:cs="Arial"/>
          <w:szCs w:val="22"/>
        </w:rPr>
        <w:t>t</w:t>
      </w:r>
      <w:r w:rsidR="00881E9F">
        <w:rPr>
          <w:rFonts w:cs="Arial"/>
          <w:szCs w:val="22"/>
        </w:rPr>
        <w:t>ted</w:t>
      </w:r>
      <w:r w:rsidRPr="009E03FB">
        <w:rPr>
          <w:rFonts w:cs="Arial"/>
          <w:szCs w:val="22"/>
        </w:rPr>
        <w:t xml:space="preserve"> patients</w:t>
      </w:r>
      <w:r w:rsidR="00A81F06">
        <w:rPr>
          <w:rFonts w:cs="Arial"/>
          <w:szCs w:val="22"/>
        </w:rPr>
        <w:t xml:space="preserve"> (in conjunction with the Commonwealth </w:t>
      </w:r>
      <w:r w:rsidR="002E1FF7">
        <w:rPr>
          <w:rFonts w:cs="Arial"/>
          <w:szCs w:val="22"/>
        </w:rPr>
        <w:t xml:space="preserve">through </w:t>
      </w:r>
      <w:r w:rsidR="00A81F06">
        <w:rPr>
          <w:rFonts w:cs="Arial"/>
          <w:szCs w:val="22"/>
        </w:rPr>
        <w:t>the NHRA)</w:t>
      </w:r>
      <w:r w:rsidRPr="009E03FB">
        <w:rPr>
          <w:rFonts w:cs="Arial"/>
          <w:szCs w:val="22"/>
        </w:rPr>
        <w:t>, subject to reform agreements with the Australian Government; and</w:t>
      </w:r>
    </w:p>
    <w:p w14:paraId="0314B0E5" w14:textId="77777777" w:rsidR="00FC2D19" w:rsidRPr="009E03FB" w:rsidRDefault="00FC2D19"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szCs w:val="22"/>
        </w:rPr>
        <w:t>Funding of medicines for prisoners, with the exception of s100 HSD medicines.</w:t>
      </w:r>
    </w:p>
    <w:p w14:paraId="4BD2E24F" w14:textId="58609E3B" w:rsidR="00FC2D19" w:rsidRPr="008549D5" w:rsidRDefault="00FC2D19" w:rsidP="003B6A65">
      <w:pPr>
        <w:pStyle w:val="Paragraphtext"/>
        <w:keepNext/>
        <w:keepLines/>
        <w:widowControl w:val="0"/>
      </w:pPr>
      <w:r w:rsidRPr="008549D5">
        <w:lastRenderedPageBreak/>
        <w:t>In turn, the Australian Government is responsible for funding of PBS subsidies and the administration of the PBS program</w:t>
      </w:r>
      <w:r w:rsidR="00881E9F">
        <w:t>.</w:t>
      </w:r>
      <w:r w:rsidRPr="008549D5">
        <w:t xml:space="preserve"> </w:t>
      </w:r>
      <w:r w:rsidR="00881E9F">
        <w:t>T</w:t>
      </w:r>
      <w:r w:rsidRPr="008549D5">
        <w:t xml:space="preserve">he Department </w:t>
      </w:r>
      <w:r w:rsidR="00731B76">
        <w:t xml:space="preserve">is </w:t>
      </w:r>
      <w:r w:rsidRPr="008549D5">
        <w:t>responsible for:</w:t>
      </w:r>
    </w:p>
    <w:p w14:paraId="7440D57A" w14:textId="7E5C9CE0" w:rsidR="00FC2D19" w:rsidRDefault="00FC2D19" w:rsidP="003B6A65">
      <w:pPr>
        <w:pStyle w:val="ListParagraph"/>
        <w:keepNext/>
        <w:keepLines/>
        <w:widowControl w:val="0"/>
        <w:numPr>
          <w:ilvl w:val="0"/>
          <w:numId w:val="23"/>
        </w:numPr>
        <w:spacing w:before="120" w:after="60" w:line="256" w:lineRule="auto"/>
        <w:ind w:left="714" w:right="-46" w:hanging="357"/>
        <w:contextualSpacing w:val="0"/>
        <w:rPr>
          <w:rFonts w:cs="Arial"/>
          <w:szCs w:val="22"/>
        </w:rPr>
      </w:pPr>
      <w:r w:rsidRPr="009E03FB">
        <w:rPr>
          <w:rFonts w:cs="Arial"/>
          <w:szCs w:val="22"/>
        </w:rPr>
        <w:t>PBS policies;</w:t>
      </w:r>
    </w:p>
    <w:p w14:paraId="41FB3F00" w14:textId="2FC56D29" w:rsidR="00881E9F" w:rsidRPr="009E03FB" w:rsidRDefault="00881E9F" w:rsidP="003B6A65">
      <w:pPr>
        <w:pStyle w:val="ListParagraph"/>
        <w:keepNext/>
        <w:keepLines/>
        <w:widowControl w:val="0"/>
        <w:numPr>
          <w:ilvl w:val="0"/>
          <w:numId w:val="23"/>
        </w:numPr>
        <w:spacing w:before="120" w:after="60" w:line="256" w:lineRule="auto"/>
        <w:ind w:left="714" w:right="-46" w:hanging="357"/>
        <w:contextualSpacing w:val="0"/>
        <w:rPr>
          <w:rFonts w:cs="Arial"/>
          <w:szCs w:val="22"/>
        </w:rPr>
      </w:pPr>
      <w:r>
        <w:rPr>
          <w:rFonts w:cs="Arial"/>
          <w:szCs w:val="22"/>
        </w:rPr>
        <w:t>Funding the PBS;</w:t>
      </w:r>
    </w:p>
    <w:p w14:paraId="764AA5EC" w14:textId="77777777" w:rsidR="00FC2D19" w:rsidRPr="009E03FB" w:rsidRDefault="00FC2D19" w:rsidP="003B6A65">
      <w:pPr>
        <w:pStyle w:val="ListParagraph"/>
        <w:keepNext/>
        <w:keepLines/>
        <w:widowControl w:val="0"/>
        <w:numPr>
          <w:ilvl w:val="0"/>
          <w:numId w:val="23"/>
        </w:numPr>
        <w:spacing w:before="120" w:after="60" w:line="256" w:lineRule="auto"/>
        <w:ind w:left="714" w:right="-46" w:hanging="357"/>
        <w:contextualSpacing w:val="0"/>
        <w:rPr>
          <w:rFonts w:cs="Arial"/>
          <w:szCs w:val="22"/>
        </w:rPr>
      </w:pPr>
      <w:r w:rsidRPr="009E03FB">
        <w:rPr>
          <w:rFonts w:cs="Arial"/>
          <w:szCs w:val="22"/>
        </w:rPr>
        <w:t>TGA and PBAC administration; and</w:t>
      </w:r>
    </w:p>
    <w:p w14:paraId="28CC51A3" w14:textId="77777777" w:rsidR="00FC2D19" w:rsidRPr="009E03FB" w:rsidRDefault="00FC2D19" w:rsidP="003B6A65">
      <w:pPr>
        <w:pStyle w:val="ListParagraph"/>
        <w:keepNext/>
        <w:keepLines/>
        <w:widowControl w:val="0"/>
        <w:numPr>
          <w:ilvl w:val="0"/>
          <w:numId w:val="23"/>
        </w:numPr>
        <w:spacing w:before="120" w:after="60" w:line="256" w:lineRule="auto"/>
        <w:ind w:left="714" w:right="-46" w:hanging="357"/>
        <w:contextualSpacing w:val="0"/>
        <w:rPr>
          <w:rFonts w:cs="Arial"/>
          <w:szCs w:val="22"/>
        </w:rPr>
      </w:pPr>
      <w:r w:rsidRPr="009E03FB">
        <w:rPr>
          <w:rFonts w:cs="Arial"/>
          <w:szCs w:val="22"/>
        </w:rPr>
        <w:t>Listing of PBS medicines and associated guidelines.</w:t>
      </w:r>
    </w:p>
    <w:p w14:paraId="41649A47" w14:textId="77777777" w:rsidR="00FC2D19" w:rsidRPr="002E0FA2" w:rsidRDefault="00FC2D19" w:rsidP="009E03FB">
      <w:pPr>
        <w:pStyle w:val="Paragraphtext"/>
      </w:pPr>
      <w:r w:rsidRPr="008549D5">
        <w:t>The payment of benefits under the PBS is the responsibility of Services Australia.</w:t>
      </w:r>
    </w:p>
    <w:p w14:paraId="4B7F7B3F" w14:textId="053BE8D2" w:rsidR="00FC2D19" w:rsidRPr="002E0FA2" w:rsidRDefault="00E42A25" w:rsidP="009E03FB">
      <w:pPr>
        <w:pStyle w:val="Paragraphtext"/>
      </w:pPr>
      <w:r w:rsidRPr="002E0FA2">
        <w:t>N</w:t>
      </w:r>
      <w:r w:rsidR="00FC2D19" w:rsidRPr="002E0FA2">
        <w:t xml:space="preserve">o single PRA partner can be completely responsible for achieving the PRAs’ </w:t>
      </w:r>
      <w:r w:rsidR="00881E9F">
        <w:t>objectives</w:t>
      </w:r>
      <w:r w:rsidR="00FC2D19" w:rsidRPr="002E0FA2">
        <w:t xml:space="preserve">. All partners </w:t>
      </w:r>
      <w:r w:rsidRPr="002E0FA2">
        <w:t>need to</w:t>
      </w:r>
      <w:r w:rsidR="00FC2D19" w:rsidRPr="002E0FA2">
        <w:t xml:space="preserve"> work together, by acknowledging and respecting the contributions of others to achieve </w:t>
      </w:r>
      <w:r w:rsidR="00881E9F">
        <w:t>each</w:t>
      </w:r>
      <w:r w:rsidR="00FC2D19" w:rsidRPr="002E0FA2">
        <w:t xml:space="preserve"> agreements’ </w:t>
      </w:r>
      <w:r w:rsidR="00881E9F">
        <w:t>objectives</w:t>
      </w:r>
      <w:r w:rsidR="00FC2D19" w:rsidRPr="002E0FA2">
        <w:t xml:space="preserve">. There </w:t>
      </w:r>
      <w:r w:rsidR="003573AA">
        <w:t>are</w:t>
      </w:r>
      <w:r w:rsidR="00FC2D19" w:rsidRPr="002E0FA2">
        <w:t xml:space="preserve"> no formal governance arrangements in the current PRAs. </w:t>
      </w:r>
    </w:p>
    <w:p w14:paraId="2FEBA5DE" w14:textId="77777777" w:rsidR="00E27CC4" w:rsidRDefault="00E27CC4" w:rsidP="00607E56">
      <w:pPr>
        <w:pStyle w:val="Heading2"/>
      </w:pPr>
      <w:bookmarkStart w:id="15" w:name="_Toc126595348"/>
      <w:r>
        <w:t>PBS expenditure in hospitals</w:t>
      </w:r>
      <w:r w:rsidRPr="00C41AD3">
        <w:rPr>
          <w:vertAlign w:val="superscript"/>
        </w:rPr>
        <w:footnoteReference w:id="4"/>
      </w:r>
      <w:bookmarkEnd w:id="15"/>
    </w:p>
    <w:p w14:paraId="36FA70FE" w14:textId="5F9EA3CA" w:rsidR="00E27CC4" w:rsidRPr="002E0FA2" w:rsidRDefault="00E27CC4" w:rsidP="009E03FB">
      <w:pPr>
        <w:pStyle w:val="Paragraphtext"/>
      </w:pPr>
      <w:r w:rsidRPr="002E0FA2">
        <w:t>In 2020-21, public hospitals</w:t>
      </w:r>
      <w:r w:rsidR="00881E9F">
        <w:t xml:space="preserve"> participating in a PRA</w:t>
      </w:r>
      <w:r w:rsidRPr="002E0FA2">
        <w:t xml:space="preserve"> accounted for 21% of annual PBS expenditure</w:t>
      </w:r>
      <w:r w:rsidR="006416D3" w:rsidRPr="002E0FA2">
        <w:t xml:space="preserve"> (Figure 1)</w:t>
      </w:r>
      <w:r w:rsidRPr="002E0FA2">
        <w:t>. PBS expenditure in public hospitals includes a significant proportion of two programs – s100 Highly Specialised Drugs program (HSD) and s100 Efficient Funding of Chemotherapy program (EFC). In the same year, HSD accounted for 50% of PBS expenditure, while EFC accounted for 35% of PBS expenditure in participating PRA public hospitals</w:t>
      </w:r>
      <w:r w:rsidR="006416D3" w:rsidRPr="002E0FA2">
        <w:t xml:space="preserve"> (Figure 2)</w:t>
      </w:r>
      <w:r w:rsidRPr="002E0FA2">
        <w:t>.</w:t>
      </w:r>
      <w:r w:rsidRPr="002E0FA2">
        <w:rPr>
          <w:vertAlign w:val="superscript"/>
        </w:rPr>
        <w:footnoteReference w:id="5"/>
      </w:r>
      <w:r w:rsidR="007F74C4" w:rsidRPr="002E0FA2">
        <w:t xml:space="preserve"> </w:t>
      </w:r>
      <w:r w:rsidR="002E0FA2">
        <w:t>Access to the</w:t>
      </w:r>
      <w:r w:rsidR="007F74C4" w:rsidRPr="002E0FA2">
        <w:t xml:space="preserve"> </w:t>
      </w:r>
      <w:r w:rsidR="007C459E" w:rsidRPr="002E0FA2">
        <w:t xml:space="preserve">S100 </w:t>
      </w:r>
      <w:r w:rsidR="007F74C4" w:rsidRPr="002E0FA2">
        <w:t>HSD program is not dependant on the jurisdiction being a signatory to a PRA. This decreases the overall impact of PBS expenditure accessed through PRAs</w:t>
      </w:r>
      <w:r w:rsidR="009A202D" w:rsidRPr="002E0FA2">
        <w:t>,</w:t>
      </w:r>
      <w:r w:rsidR="00424DE7" w:rsidRPr="002E0FA2">
        <w:t xml:space="preserve"> however </w:t>
      </w:r>
      <w:r w:rsidR="00881E9F">
        <w:t>expenditure on general schedule and other S100 programs by PRA hospitals</w:t>
      </w:r>
      <w:r w:rsidR="00424DE7" w:rsidRPr="002E0FA2">
        <w:t xml:space="preserve"> is still a significant proportion of overall PBS expenditure</w:t>
      </w:r>
      <w:r w:rsidR="004E4EAF" w:rsidRPr="002E0FA2">
        <w:t xml:space="preserve"> and therefore of the overall Health budget.</w:t>
      </w:r>
    </w:p>
    <w:p w14:paraId="26588E3F" w14:textId="77777777" w:rsidR="006416D3" w:rsidRDefault="005344D0" w:rsidP="001517C0">
      <w:pPr>
        <w:keepNext/>
      </w:pPr>
      <w:r>
        <w:rPr>
          <w:noProof/>
        </w:rPr>
        <w:lastRenderedPageBreak/>
        <w:drawing>
          <wp:inline distT="0" distB="0" distL="0" distR="0" wp14:anchorId="52FE3F65" wp14:editId="6A08FFBA">
            <wp:extent cx="5731510" cy="2978150"/>
            <wp:effectExtent l="0" t="0" r="2540" b="0"/>
            <wp:docPr id="4" name="Chart 4" descr="Figure 1. Annual PBS expenditure in public hospitals (inclusive of S100 HSD) as expressed against total PBS expenditure.">
              <a:extLst xmlns:a="http://schemas.openxmlformats.org/drawingml/2006/main">
                <a:ext uri="{FF2B5EF4-FFF2-40B4-BE49-F238E27FC236}">
                  <a16:creationId xmlns:a16="http://schemas.microsoft.com/office/drawing/2014/main" id="{F478A2A3-1458-42BE-BE72-C5946279FE72}"/>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A92C73" w14:textId="564AF9B7" w:rsidR="005344D0" w:rsidRPr="004905F9" w:rsidRDefault="006416D3" w:rsidP="001517C0">
      <w:pPr>
        <w:pStyle w:val="Caption"/>
        <w:rPr>
          <w:sz w:val="22"/>
          <w:szCs w:val="22"/>
        </w:rPr>
      </w:pPr>
      <w:r w:rsidRPr="004905F9">
        <w:rPr>
          <w:sz w:val="22"/>
          <w:szCs w:val="22"/>
        </w:rPr>
        <w:t xml:space="preserve">Figure </w:t>
      </w:r>
      <w:r w:rsidR="003774B9" w:rsidRPr="004905F9">
        <w:rPr>
          <w:sz w:val="22"/>
          <w:szCs w:val="22"/>
        </w:rPr>
        <w:fldChar w:fldCharType="begin"/>
      </w:r>
      <w:r w:rsidR="003774B9" w:rsidRPr="004905F9">
        <w:rPr>
          <w:sz w:val="22"/>
          <w:szCs w:val="22"/>
        </w:rPr>
        <w:instrText xml:space="preserve"> SEQ Figure \* ARABIC </w:instrText>
      </w:r>
      <w:r w:rsidR="003774B9" w:rsidRPr="004905F9">
        <w:rPr>
          <w:sz w:val="22"/>
          <w:szCs w:val="22"/>
        </w:rPr>
        <w:fldChar w:fldCharType="separate"/>
      </w:r>
      <w:r w:rsidR="00254675">
        <w:rPr>
          <w:noProof/>
          <w:sz w:val="22"/>
          <w:szCs w:val="22"/>
        </w:rPr>
        <w:t>1</w:t>
      </w:r>
      <w:r w:rsidR="003774B9" w:rsidRPr="004905F9">
        <w:rPr>
          <w:noProof/>
          <w:sz w:val="22"/>
          <w:szCs w:val="22"/>
        </w:rPr>
        <w:fldChar w:fldCharType="end"/>
      </w:r>
      <w:r w:rsidRPr="004905F9">
        <w:rPr>
          <w:sz w:val="22"/>
          <w:szCs w:val="22"/>
        </w:rPr>
        <w:t>. Annual PBS expenditure in public hospitals</w:t>
      </w:r>
      <w:r w:rsidR="006C7C27">
        <w:rPr>
          <w:sz w:val="22"/>
          <w:szCs w:val="22"/>
        </w:rPr>
        <w:t xml:space="preserve"> (inclusive of S100 HSD)</w:t>
      </w:r>
      <w:r w:rsidRPr="004905F9">
        <w:rPr>
          <w:sz w:val="22"/>
          <w:szCs w:val="22"/>
        </w:rPr>
        <w:t xml:space="preserve"> as expressed against </w:t>
      </w:r>
      <w:r w:rsidR="00881E9F">
        <w:rPr>
          <w:sz w:val="22"/>
          <w:szCs w:val="22"/>
        </w:rPr>
        <w:t>total</w:t>
      </w:r>
      <w:r w:rsidRPr="004905F9">
        <w:rPr>
          <w:sz w:val="22"/>
          <w:szCs w:val="22"/>
        </w:rPr>
        <w:t xml:space="preserve"> PBS </w:t>
      </w:r>
      <w:r w:rsidR="00881E9F">
        <w:rPr>
          <w:sz w:val="22"/>
          <w:szCs w:val="22"/>
        </w:rPr>
        <w:t>expenditure</w:t>
      </w:r>
    </w:p>
    <w:p w14:paraId="06D8A9C4" w14:textId="0318A552" w:rsidR="004905F9" w:rsidRDefault="004905F9" w:rsidP="004905F9"/>
    <w:p w14:paraId="638ADFF4" w14:textId="77777777" w:rsidR="003162BC" w:rsidRPr="004905F9" w:rsidRDefault="003162BC" w:rsidP="004905F9"/>
    <w:p w14:paraId="1CB9EBF7" w14:textId="77777777" w:rsidR="003B1EA2" w:rsidRDefault="006416D3" w:rsidP="001517C0">
      <w:pPr>
        <w:keepNext/>
      </w:pPr>
      <w:r>
        <w:rPr>
          <w:noProof/>
        </w:rPr>
        <w:drawing>
          <wp:inline distT="0" distB="0" distL="0" distR="0" wp14:anchorId="5045B1AF" wp14:editId="66417004">
            <wp:extent cx="5731510" cy="4505325"/>
            <wp:effectExtent l="0" t="0" r="2540" b="0"/>
            <wp:docPr id="1" name="Chart 1" descr="Figure 2. Breakdown of total PBS expenditure in public hospitals by program.">
              <a:extLst xmlns:a="http://schemas.openxmlformats.org/drawingml/2006/main">
                <a:ext uri="{FF2B5EF4-FFF2-40B4-BE49-F238E27FC236}">
                  <a16:creationId xmlns:a16="http://schemas.microsoft.com/office/drawing/2014/main" id="{E8860B7C-A775-44AF-8F9C-AF03C6F1F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FD84E0" w14:textId="478A52F7" w:rsidR="005344D0" w:rsidRPr="004905F9" w:rsidRDefault="003B1EA2" w:rsidP="001517C0">
      <w:pPr>
        <w:pStyle w:val="Caption"/>
        <w:rPr>
          <w:rFonts w:cs="Arial"/>
          <w:color w:val="000000" w:themeColor="text1"/>
          <w:sz w:val="22"/>
          <w:szCs w:val="28"/>
        </w:rPr>
      </w:pPr>
      <w:r w:rsidRPr="004905F9">
        <w:rPr>
          <w:sz w:val="22"/>
          <w:szCs w:val="22"/>
        </w:rPr>
        <w:t xml:space="preserve">Figure </w:t>
      </w:r>
      <w:r w:rsidR="003774B9" w:rsidRPr="004905F9">
        <w:rPr>
          <w:sz w:val="22"/>
          <w:szCs w:val="22"/>
        </w:rPr>
        <w:fldChar w:fldCharType="begin"/>
      </w:r>
      <w:r w:rsidR="003774B9" w:rsidRPr="004905F9">
        <w:rPr>
          <w:sz w:val="22"/>
          <w:szCs w:val="22"/>
        </w:rPr>
        <w:instrText xml:space="preserve"> SEQ Figure \* ARABIC </w:instrText>
      </w:r>
      <w:r w:rsidR="003774B9" w:rsidRPr="004905F9">
        <w:rPr>
          <w:sz w:val="22"/>
          <w:szCs w:val="22"/>
        </w:rPr>
        <w:fldChar w:fldCharType="separate"/>
      </w:r>
      <w:r w:rsidR="00254675">
        <w:rPr>
          <w:noProof/>
          <w:sz w:val="22"/>
          <w:szCs w:val="22"/>
        </w:rPr>
        <w:t>2</w:t>
      </w:r>
      <w:r w:rsidR="003774B9" w:rsidRPr="004905F9">
        <w:rPr>
          <w:noProof/>
          <w:sz w:val="22"/>
          <w:szCs w:val="22"/>
        </w:rPr>
        <w:fldChar w:fldCharType="end"/>
      </w:r>
      <w:r w:rsidRPr="004905F9">
        <w:rPr>
          <w:sz w:val="22"/>
          <w:szCs w:val="22"/>
        </w:rPr>
        <w:t xml:space="preserve">. Breakdown of </w:t>
      </w:r>
      <w:r w:rsidR="00881E9F">
        <w:rPr>
          <w:sz w:val="22"/>
          <w:szCs w:val="22"/>
        </w:rPr>
        <w:t xml:space="preserve">total </w:t>
      </w:r>
      <w:r w:rsidRPr="004905F9">
        <w:rPr>
          <w:sz w:val="22"/>
          <w:szCs w:val="22"/>
        </w:rPr>
        <w:t>PBS expenditure in public hospitals by program.</w:t>
      </w:r>
    </w:p>
    <w:p w14:paraId="68B41C1A" w14:textId="43F9AF06" w:rsidR="00C03D40" w:rsidRPr="00C03D40" w:rsidRDefault="00021DF1" w:rsidP="00607E56">
      <w:pPr>
        <w:pStyle w:val="Heading2"/>
      </w:pPr>
      <w:bookmarkStart w:id="16" w:name="_Toc126595349"/>
      <w:r>
        <w:lastRenderedPageBreak/>
        <w:t>Evaluation</w:t>
      </w:r>
      <w:r w:rsidR="00A75A9B">
        <w:t xml:space="preserve"> and Consultation</w:t>
      </w:r>
      <w:bookmarkEnd w:id="16"/>
    </w:p>
    <w:p w14:paraId="20D071C7" w14:textId="318C8D8D" w:rsidR="004C02F8" w:rsidRPr="008549D5" w:rsidRDefault="00473C78" w:rsidP="003545CC">
      <w:pPr>
        <w:pStyle w:val="Paragraphtext"/>
      </w:pPr>
      <w:r w:rsidRPr="00473C78">
        <w:t>This is the first systematic review of PRAs to be undertaken by the Department.</w:t>
      </w:r>
      <w:r>
        <w:t xml:space="preserve"> </w:t>
      </w:r>
      <w:r w:rsidR="00710964" w:rsidRPr="008549D5">
        <w:t>Currently no PRA</w:t>
      </w:r>
      <w:r w:rsidR="00107385" w:rsidRPr="008549D5">
        <w:t xml:space="preserve"> with any jurisdiction</w:t>
      </w:r>
      <w:r w:rsidR="00710964" w:rsidRPr="008549D5">
        <w:t xml:space="preserve"> contains a mechanism to trigger a review process</w:t>
      </w:r>
      <w:r w:rsidR="00107385" w:rsidRPr="008549D5">
        <w:t xml:space="preserve"> or any regular evaluation process</w:t>
      </w:r>
      <w:r w:rsidR="00710964" w:rsidRPr="008549D5">
        <w:t>. While some of the PRAs are over 20 years old</w:t>
      </w:r>
      <w:r w:rsidR="002E0FA2">
        <w:t>,</w:t>
      </w:r>
      <w:r w:rsidR="00710964" w:rsidRPr="008549D5">
        <w:t xml:space="preserve"> they have n</w:t>
      </w:r>
      <w:r w:rsidR="00D668BF" w:rsidRPr="008549D5">
        <w:t>ever</w:t>
      </w:r>
      <w:r w:rsidR="00710964" w:rsidRPr="008549D5">
        <w:t xml:space="preserve"> been formally reviewed. Some updates to the structure and wording of PRAs have been enacted through exchanges of letters</w:t>
      </w:r>
      <w:r w:rsidR="007C459E">
        <w:t>,</w:t>
      </w:r>
      <w:r w:rsidR="00710964" w:rsidRPr="008549D5">
        <w:t xml:space="preserve"> </w:t>
      </w:r>
      <w:r w:rsidR="002E0FA2">
        <w:t xml:space="preserve">however </w:t>
      </w:r>
      <w:r w:rsidR="00710964" w:rsidRPr="008549D5">
        <w:t>these were only to address specific aspects such as removing Hepatitis C medicines from the calculation of any Risk Sharing Arrangement processes</w:t>
      </w:r>
      <w:r w:rsidR="007C459E">
        <w:t xml:space="preserve"> and changing details </w:t>
      </w:r>
      <w:r>
        <w:t>for access to</w:t>
      </w:r>
      <w:r w:rsidR="007C459E">
        <w:t xml:space="preserve"> the chemotherapy program</w:t>
      </w:r>
      <w:r w:rsidR="00710964" w:rsidRPr="008549D5">
        <w:t xml:space="preserve">. </w:t>
      </w:r>
    </w:p>
    <w:p w14:paraId="2C9E76EA" w14:textId="618E7D2B" w:rsidR="00910421" w:rsidRDefault="003162BC" w:rsidP="00910421">
      <w:pPr>
        <w:pStyle w:val="Heading2"/>
      </w:pPr>
      <w:bookmarkStart w:id="17" w:name="_Toc126595350"/>
      <w:r>
        <w:t xml:space="preserve">PRA </w:t>
      </w:r>
      <w:r w:rsidR="00910421">
        <w:t>Principles</w:t>
      </w:r>
      <w:bookmarkEnd w:id="17"/>
    </w:p>
    <w:p w14:paraId="5644B6DD" w14:textId="77777777" w:rsidR="00910421" w:rsidRPr="008549D5" w:rsidRDefault="00910421" w:rsidP="009E03FB">
      <w:pPr>
        <w:pStyle w:val="Paragraphtext"/>
      </w:pPr>
      <w:r w:rsidRPr="008549D5">
        <w:t xml:space="preserve">These principles have been derived to enable the PRAs to deliver successful outcomes for the Commonwealth, </w:t>
      </w:r>
      <w:r>
        <w:t>j</w:t>
      </w:r>
      <w:r w:rsidRPr="008549D5">
        <w:t xml:space="preserve">urisdictions and </w:t>
      </w:r>
      <w:r>
        <w:t>p</w:t>
      </w:r>
      <w:r w:rsidRPr="008549D5">
        <w:t>atients. The Department proposes the following principles encapsulate the overarching goals of PRAs:</w:t>
      </w:r>
    </w:p>
    <w:p w14:paraId="0F022E7F" w14:textId="7E818DEF" w:rsidR="00910421" w:rsidRPr="009E03FB" w:rsidRDefault="00910421" w:rsidP="00EF3C6C">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Equity</w:t>
      </w:r>
      <w:r w:rsidRPr="009E03FB">
        <w:rPr>
          <w:rFonts w:cs="Arial"/>
          <w:szCs w:val="22"/>
        </w:rPr>
        <w:t xml:space="preserve"> – same-day, outpatient and discharged patients receive safe, high-quality, and affordable access to PBS medicines in the public hospital setting. </w:t>
      </w:r>
    </w:p>
    <w:p w14:paraId="61BE7F2C" w14:textId="77777777" w:rsidR="00910421" w:rsidRPr="009E03FB" w:rsidRDefault="00910421"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Person-centred</w:t>
      </w:r>
      <w:r w:rsidRPr="009E03FB">
        <w:rPr>
          <w:rFonts w:cs="Arial"/>
          <w:szCs w:val="22"/>
        </w:rPr>
        <w:t xml:space="preserve"> – PBS access in public hospitals is considered from the needs of the person receiving care.</w:t>
      </w:r>
    </w:p>
    <w:p w14:paraId="6421AE4C" w14:textId="5EA1AC8E" w:rsidR="00910421" w:rsidRPr="009E03FB" w:rsidRDefault="00910421"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Partnership based</w:t>
      </w:r>
      <w:r w:rsidRPr="009E03FB">
        <w:rPr>
          <w:rFonts w:cs="Arial"/>
          <w:szCs w:val="22"/>
        </w:rPr>
        <w:t xml:space="preserve"> – active, respectful, and collaborative partnerships, that harness stakeholders’ skills, experience and knowledge, increased health literacy are established</w:t>
      </w:r>
      <w:r w:rsidR="009D0E1E">
        <w:rPr>
          <w:rFonts w:cs="Arial"/>
          <w:szCs w:val="22"/>
        </w:rPr>
        <w:t>,</w:t>
      </w:r>
      <w:r w:rsidRPr="009E03FB">
        <w:rPr>
          <w:rFonts w:cs="Arial"/>
          <w:szCs w:val="22"/>
        </w:rPr>
        <w:t xml:space="preserve"> and maintained. </w:t>
      </w:r>
    </w:p>
    <w:p w14:paraId="7B28885A" w14:textId="77777777" w:rsidR="00910421" w:rsidRPr="009E03FB" w:rsidRDefault="00910421" w:rsidP="009E03FB">
      <w:pPr>
        <w:pStyle w:val="ListParagraph"/>
        <w:numPr>
          <w:ilvl w:val="0"/>
          <w:numId w:val="23"/>
        </w:numPr>
        <w:spacing w:before="120" w:after="60" w:line="256" w:lineRule="auto"/>
        <w:ind w:left="714" w:right="-46" w:hanging="357"/>
        <w:contextualSpacing w:val="0"/>
        <w:rPr>
          <w:rFonts w:cs="Arial"/>
          <w:szCs w:val="22"/>
        </w:rPr>
      </w:pPr>
      <w:r w:rsidRPr="009E03FB">
        <w:rPr>
          <w:rFonts w:cs="Arial"/>
          <w:b/>
          <w:bCs/>
          <w:szCs w:val="22"/>
        </w:rPr>
        <w:t>Accountability and transparency</w:t>
      </w:r>
      <w:r w:rsidRPr="009E03FB">
        <w:rPr>
          <w:rFonts w:cs="Arial"/>
          <w:szCs w:val="22"/>
        </w:rPr>
        <w:t xml:space="preserve"> - all stakeholders are identified and accountable for their responsibilities and actions towards delivering or contributing to the achievement of PRA objectives.</w:t>
      </w:r>
    </w:p>
    <w:p w14:paraId="5D03D05E" w14:textId="7B65A404" w:rsidR="00910421" w:rsidRPr="009E03FB" w:rsidRDefault="00473C78" w:rsidP="009E03FB">
      <w:pPr>
        <w:pStyle w:val="ListParagraph"/>
        <w:numPr>
          <w:ilvl w:val="0"/>
          <w:numId w:val="23"/>
        </w:numPr>
        <w:spacing w:before="120" w:after="60" w:line="256" w:lineRule="auto"/>
        <w:ind w:left="714" w:right="-46" w:hanging="357"/>
        <w:contextualSpacing w:val="0"/>
        <w:rPr>
          <w:rFonts w:cs="Arial"/>
          <w:szCs w:val="22"/>
        </w:rPr>
      </w:pPr>
      <w:r>
        <w:rPr>
          <w:rFonts w:cs="Arial"/>
          <w:b/>
          <w:bCs/>
          <w:szCs w:val="22"/>
        </w:rPr>
        <w:t xml:space="preserve">PRA </w:t>
      </w:r>
      <w:r w:rsidR="00910421" w:rsidRPr="009E03FB">
        <w:rPr>
          <w:rFonts w:cs="Arial"/>
          <w:b/>
          <w:bCs/>
          <w:szCs w:val="22"/>
        </w:rPr>
        <w:t>Stewardship</w:t>
      </w:r>
      <w:r w:rsidR="00910421" w:rsidRPr="009E03FB">
        <w:rPr>
          <w:rFonts w:cs="Arial"/>
          <w:szCs w:val="22"/>
        </w:rPr>
        <w:t xml:space="preserve"> –</w:t>
      </w:r>
      <w:r w:rsidR="009D0E1E">
        <w:rPr>
          <w:rFonts w:cs="Arial"/>
          <w:szCs w:val="22"/>
        </w:rPr>
        <w:t xml:space="preserve"> </w:t>
      </w:r>
      <w:r w:rsidR="00910421" w:rsidRPr="009E03FB">
        <w:rPr>
          <w:rFonts w:cs="Arial"/>
          <w:szCs w:val="22"/>
        </w:rPr>
        <w:t xml:space="preserve">all stakeholders have a shared responsibility, limited by individual roles and responsibilities, to ensure that PRA objectives are met in an equitable, efficient and sustainable manner, as stewards of the health system, as it relates to the supply of PBS medicines. </w:t>
      </w:r>
    </w:p>
    <w:p w14:paraId="7C209D49" w14:textId="77777777" w:rsidR="00910421" w:rsidRDefault="00910421" w:rsidP="009E03FB">
      <w:pPr>
        <w:pStyle w:val="Paragraphtext"/>
      </w:pPr>
      <w:r w:rsidRPr="008549D5">
        <w:t>There was considerable discussion</w:t>
      </w:r>
      <w:r>
        <w:t xml:space="preserve"> among stakeholders</w:t>
      </w:r>
      <w:r w:rsidRPr="008549D5">
        <w:t xml:space="preserve"> about the content and applicability of these principles. An area of serious contention was around the final principle of stewardship. This was especially raised by end user representatives where they indicated that there was a perception that patients are expected to contribute to the management of their care often with no control over the programs and services available and with limited medical knowledge. Stewardship in the context of PRAs is limited to the signatory stakeholders of the agreements with the Commonwealth responsible for the stewardship of the PBS as a whole and the jurisdictions responsible for service delivery within the public hospital domain.</w:t>
      </w:r>
    </w:p>
    <w:p w14:paraId="7ECC406C" w14:textId="7CD07AF9" w:rsidR="004C02F8" w:rsidRDefault="004C02F8">
      <w:pPr>
        <w:rPr>
          <w:color w:val="000000" w:themeColor="text1"/>
          <w:sz w:val="21"/>
        </w:rPr>
      </w:pPr>
      <w:r>
        <w:br w:type="page"/>
      </w:r>
    </w:p>
    <w:p w14:paraId="5C22A75F" w14:textId="04063FE4" w:rsidR="004A180B" w:rsidRDefault="00E346AF" w:rsidP="00370759">
      <w:pPr>
        <w:pStyle w:val="Heading1"/>
      </w:pPr>
      <w:bookmarkStart w:id="18" w:name="_Toc126595351"/>
      <w:r>
        <w:lastRenderedPageBreak/>
        <w:t xml:space="preserve">Consultation </w:t>
      </w:r>
      <w:r w:rsidR="00A35038" w:rsidRPr="00EA5BF2">
        <w:rPr>
          <w:color w:val="3F4A75" w:themeColor="text2"/>
        </w:rPr>
        <w:t>Summary</w:t>
      </w:r>
      <w:bookmarkEnd w:id="18"/>
      <w:r w:rsidR="00A35038" w:rsidRPr="00EA5BF2">
        <w:rPr>
          <w:color w:val="3F4A75" w:themeColor="text2"/>
        </w:rPr>
        <w:t xml:space="preserve"> </w:t>
      </w:r>
    </w:p>
    <w:p w14:paraId="64C83F9A" w14:textId="23AF424D" w:rsidR="00DB6F46" w:rsidRDefault="00A35038" w:rsidP="00D148A7">
      <w:pPr>
        <w:pStyle w:val="Paragraphtext"/>
      </w:pPr>
      <w:r w:rsidRPr="008549D5">
        <w:t>It</w:t>
      </w:r>
      <w:r w:rsidR="0055590E" w:rsidRPr="008549D5">
        <w:t xml:space="preserve"> h</w:t>
      </w:r>
      <w:r w:rsidRPr="008549D5">
        <w:t xml:space="preserve">as </w:t>
      </w:r>
      <w:r w:rsidR="0055590E" w:rsidRPr="008549D5">
        <w:t xml:space="preserve">been </w:t>
      </w:r>
      <w:r w:rsidRPr="008549D5">
        <w:t>widely acknowledged</w:t>
      </w:r>
      <w:r w:rsidR="0055590E" w:rsidRPr="008549D5">
        <w:t xml:space="preserve"> by multiple stakeholders</w:t>
      </w:r>
      <w:r w:rsidRPr="008549D5">
        <w:t xml:space="preserve"> that PRAs have </w:t>
      </w:r>
      <w:r w:rsidR="00F61A1F">
        <w:t>supported</w:t>
      </w:r>
      <w:r w:rsidR="00F61A1F" w:rsidRPr="008549D5">
        <w:t xml:space="preserve"> </w:t>
      </w:r>
      <w:r w:rsidR="009B61F3">
        <w:t>participating</w:t>
      </w:r>
      <w:r w:rsidR="009B61F3" w:rsidRPr="008549D5">
        <w:t xml:space="preserve"> </w:t>
      </w:r>
      <w:r w:rsidRPr="008549D5">
        <w:t xml:space="preserve">jurisdictions </w:t>
      </w:r>
      <w:r w:rsidR="00F61A1F">
        <w:t>to provide</w:t>
      </w:r>
      <w:r w:rsidRPr="008549D5">
        <w:t xml:space="preserve"> continuity of care for </w:t>
      </w:r>
      <w:r w:rsidR="00D17218">
        <w:t>PBS</w:t>
      </w:r>
      <w:r w:rsidR="00D17218" w:rsidRPr="008549D5">
        <w:t xml:space="preserve"> </w:t>
      </w:r>
      <w:r w:rsidRPr="008549D5">
        <w:t xml:space="preserve">medicines at discharge and for day-admitted and non-admitted patients. The ability to access </w:t>
      </w:r>
      <w:r w:rsidR="007C459E">
        <w:t xml:space="preserve">up to one </w:t>
      </w:r>
      <w:r w:rsidR="00342D3B">
        <w:t>month’s</w:t>
      </w:r>
      <w:r w:rsidR="007C459E">
        <w:t xml:space="preserve"> </w:t>
      </w:r>
      <w:r w:rsidRPr="008549D5">
        <w:t xml:space="preserve">supply of </w:t>
      </w:r>
      <w:r w:rsidR="009B61F3">
        <w:t xml:space="preserve">PBS </w:t>
      </w:r>
      <w:r w:rsidRPr="008549D5">
        <w:t xml:space="preserve">medicines </w:t>
      </w:r>
      <w:r w:rsidR="0038280E" w:rsidRPr="008549D5">
        <w:t>wa</w:t>
      </w:r>
      <w:r w:rsidRPr="008549D5">
        <w:t>s</w:t>
      </w:r>
      <w:r w:rsidR="0038280E" w:rsidRPr="008549D5">
        <w:t xml:space="preserve"> noted to be</w:t>
      </w:r>
      <w:r w:rsidRPr="008549D5">
        <w:t xml:space="preserve"> of particular benefit to those who live in rural or regional Australia where access to community pharmacies and GPs </w:t>
      </w:r>
      <w:r w:rsidR="007D3466">
        <w:t>is</w:t>
      </w:r>
      <w:r w:rsidR="007D3466" w:rsidRPr="008549D5">
        <w:t xml:space="preserve"> </w:t>
      </w:r>
      <w:r w:rsidRPr="008549D5">
        <w:t>generally more difficult than in metropolitan settings.</w:t>
      </w:r>
      <w:r w:rsidR="0038280E" w:rsidRPr="008549D5">
        <w:t xml:space="preserve"> Stakeholders noted the age of the agreements and that a review of the PRAs was welcomed to bring them in</w:t>
      </w:r>
      <w:r w:rsidR="007C459E">
        <w:t>-</w:t>
      </w:r>
      <w:r w:rsidR="0038280E" w:rsidRPr="008549D5">
        <w:t>line with current practi</w:t>
      </w:r>
      <w:r w:rsidR="00342D3B">
        <w:t>c</w:t>
      </w:r>
      <w:r w:rsidR="0038280E" w:rsidRPr="008549D5">
        <w:t>es in hospitals.</w:t>
      </w:r>
      <w:r w:rsidR="00AA2F7F" w:rsidRPr="008549D5">
        <w:t xml:space="preserve"> </w:t>
      </w:r>
    </w:p>
    <w:p w14:paraId="6C79298A" w14:textId="62BF6D12" w:rsidR="009B61F3" w:rsidRDefault="00AA2F7F" w:rsidP="00D148A7">
      <w:pPr>
        <w:pStyle w:val="Paragraphtext"/>
      </w:pPr>
      <w:r w:rsidRPr="008549D5">
        <w:t>As indicated above</w:t>
      </w:r>
      <w:r w:rsidR="007D3466">
        <w:t>,</w:t>
      </w:r>
      <w:r w:rsidRPr="008549D5">
        <w:t xml:space="preserve"> all jurisdictions, including those without a PRA</w:t>
      </w:r>
      <w:r w:rsidR="007D3466">
        <w:t>,</w:t>
      </w:r>
      <w:r w:rsidRPr="008549D5">
        <w:t xml:space="preserve"> along with organisations representing pharmacists and end users of PBS services through public hospitals were involved in the consultation stage of this review.</w:t>
      </w:r>
    </w:p>
    <w:p w14:paraId="60D1762D" w14:textId="5F2491A0" w:rsidR="00254675" w:rsidRPr="000F2F68" w:rsidRDefault="00D53E38" w:rsidP="000F2F68">
      <w:pPr>
        <w:pStyle w:val="Paragraphtext"/>
      </w:pPr>
      <w:r>
        <w:t xml:space="preserve">Issues raised are summarised below. </w:t>
      </w:r>
      <w:r w:rsidR="009D697D">
        <w:t>The four key themes of the recommendations are:</w:t>
      </w:r>
      <w:r w:rsidR="009D697D" w:rsidRPr="00D148A7">
        <w:fldChar w:fldCharType="begin"/>
      </w:r>
      <w:r w:rsidR="009D697D" w:rsidRPr="000F2F68">
        <w:instrText xml:space="preserve"> REF _Ref109053453 \h  \* MERGEFORMAT </w:instrText>
      </w:r>
      <w:r w:rsidR="009D697D" w:rsidRPr="00D148A7">
        <w:fldChar w:fldCharType="separate"/>
      </w:r>
    </w:p>
    <w:p w14:paraId="5AD1E235" w14:textId="115227B1" w:rsidR="009D697D" w:rsidRPr="00D148A7" w:rsidRDefault="00254675" w:rsidP="009D697D">
      <w:pPr>
        <w:pStyle w:val="ListParagraph"/>
        <w:numPr>
          <w:ilvl w:val="0"/>
          <w:numId w:val="23"/>
        </w:numPr>
        <w:spacing w:before="120" w:after="60" w:line="256" w:lineRule="auto"/>
        <w:ind w:left="714" w:right="-46" w:hanging="357"/>
        <w:contextualSpacing w:val="0"/>
        <w:rPr>
          <w:rFonts w:cs="Arial"/>
          <w:szCs w:val="22"/>
        </w:rPr>
      </w:pPr>
      <w:r w:rsidRPr="00254675">
        <w:rPr>
          <w:rFonts w:cs="Arial"/>
          <w:szCs w:val="22"/>
        </w:rPr>
        <w:t xml:space="preserve">Removing Barriers to </w:t>
      </w:r>
      <w:r w:rsidRPr="006D0894">
        <w:t>Access</w:t>
      </w:r>
      <w:r w:rsidR="009D697D" w:rsidRPr="00D148A7">
        <w:rPr>
          <w:rFonts w:cs="Arial"/>
          <w:szCs w:val="22"/>
        </w:rPr>
        <w:fldChar w:fldCharType="end"/>
      </w:r>
      <w:r w:rsidR="009D697D" w:rsidRPr="00D148A7">
        <w:rPr>
          <w:rFonts w:cs="Arial"/>
          <w:szCs w:val="22"/>
        </w:rPr>
        <w:t>;</w:t>
      </w:r>
    </w:p>
    <w:p w14:paraId="40DFE6D1" w14:textId="7693A9E6" w:rsidR="009D697D" w:rsidRPr="00D148A7" w:rsidRDefault="009D697D" w:rsidP="009D697D">
      <w:pPr>
        <w:pStyle w:val="ListParagraph"/>
        <w:numPr>
          <w:ilvl w:val="0"/>
          <w:numId w:val="23"/>
        </w:numPr>
        <w:spacing w:before="120" w:after="60" w:line="256" w:lineRule="auto"/>
        <w:ind w:left="714" w:right="-46" w:hanging="357"/>
        <w:contextualSpacing w:val="0"/>
        <w:rPr>
          <w:rFonts w:cs="Arial"/>
          <w:szCs w:val="22"/>
        </w:rPr>
      </w:pPr>
      <w:r w:rsidRPr="00D148A7">
        <w:rPr>
          <w:rFonts w:cs="Arial"/>
          <w:szCs w:val="22"/>
        </w:rPr>
        <w:fldChar w:fldCharType="begin"/>
      </w:r>
      <w:r w:rsidRPr="00D148A7">
        <w:rPr>
          <w:rFonts w:cs="Arial"/>
          <w:szCs w:val="22"/>
        </w:rPr>
        <w:instrText xml:space="preserve"> REF _Ref109053471 \h </w:instrText>
      </w:r>
      <w:r>
        <w:rPr>
          <w:rFonts w:cs="Arial"/>
          <w:szCs w:val="22"/>
        </w:rPr>
        <w:instrText xml:space="preserve"> \* MERGEFORMAT </w:instrText>
      </w:r>
      <w:r w:rsidRPr="00D148A7">
        <w:rPr>
          <w:rFonts w:cs="Arial"/>
          <w:szCs w:val="22"/>
        </w:rPr>
      </w:r>
      <w:r w:rsidRPr="00D148A7">
        <w:rPr>
          <w:rFonts w:cs="Arial"/>
          <w:szCs w:val="22"/>
        </w:rPr>
        <w:fldChar w:fldCharType="separate"/>
      </w:r>
      <w:r w:rsidR="00254675" w:rsidRPr="00254675">
        <w:rPr>
          <w:rFonts w:cs="Arial"/>
          <w:szCs w:val="22"/>
        </w:rPr>
        <w:t>Quality Use of Medicines</w:t>
      </w:r>
      <w:r w:rsidRPr="00D148A7">
        <w:rPr>
          <w:rFonts w:cs="Arial"/>
          <w:szCs w:val="22"/>
        </w:rPr>
        <w:fldChar w:fldCharType="end"/>
      </w:r>
      <w:r w:rsidRPr="00D148A7">
        <w:rPr>
          <w:rFonts w:cs="Arial"/>
          <w:szCs w:val="22"/>
        </w:rPr>
        <w:t>;</w:t>
      </w:r>
    </w:p>
    <w:p w14:paraId="68A6B86A" w14:textId="1F849717" w:rsidR="009D697D" w:rsidRDefault="009D697D" w:rsidP="009D697D">
      <w:pPr>
        <w:pStyle w:val="ListParagraph"/>
        <w:numPr>
          <w:ilvl w:val="0"/>
          <w:numId w:val="23"/>
        </w:numPr>
        <w:spacing w:before="120" w:after="60" w:line="256" w:lineRule="auto"/>
        <w:ind w:left="714" w:right="-46" w:hanging="357"/>
        <w:contextualSpacing w:val="0"/>
        <w:rPr>
          <w:rFonts w:cs="Arial"/>
          <w:szCs w:val="22"/>
        </w:rPr>
      </w:pPr>
      <w:r w:rsidRPr="00D148A7">
        <w:rPr>
          <w:rFonts w:cs="Arial"/>
          <w:szCs w:val="22"/>
        </w:rPr>
        <w:fldChar w:fldCharType="begin"/>
      </w:r>
      <w:r w:rsidRPr="00D148A7">
        <w:rPr>
          <w:rFonts w:cs="Arial"/>
          <w:szCs w:val="22"/>
        </w:rPr>
        <w:instrText xml:space="preserve"> REF _Ref109053478 \h </w:instrText>
      </w:r>
      <w:r>
        <w:rPr>
          <w:rFonts w:cs="Arial"/>
          <w:szCs w:val="22"/>
        </w:rPr>
        <w:instrText xml:space="preserve"> \* MERGEFORMAT </w:instrText>
      </w:r>
      <w:r w:rsidRPr="00D148A7">
        <w:rPr>
          <w:rFonts w:cs="Arial"/>
          <w:szCs w:val="22"/>
        </w:rPr>
      </w:r>
      <w:r w:rsidRPr="00D148A7">
        <w:rPr>
          <w:rFonts w:cs="Arial"/>
          <w:szCs w:val="22"/>
        </w:rPr>
        <w:fldChar w:fldCharType="separate"/>
      </w:r>
      <w:r w:rsidR="00254675" w:rsidRPr="00254675">
        <w:rPr>
          <w:rFonts w:cs="Arial"/>
          <w:szCs w:val="22"/>
        </w:rPr>
        <w:t>Building and maintaining a quality hospital pharmacy program</w:t>
      </w:r>
      <w:r w:rsidRPr="00D148A7">
        <w:rPr>
          <w:rFonts w:cs="Arial"/>
          <w:szCs w:val="22"/>
        </w:rPr>
        <w:fldChar w:fldCharType="end"/>
      </w:r>
      <w:r w:rsidRPr="00D148A7">
        <w:rPr>
          <w:rFonts w:cs="Arial"/>
          <w:szCs w:val="22"/>
        </w:rPr>
        <w:t>; and</w:t>
      </w:r>
    </w:p>
    <w:p w14:paraId="548708C9" w14:textId="054808C7" w:rsidR="000F2F68" w:rsidRPr="00D148A7" w:rsidRDefault="000F2F68" w:rsidP="009D697D">
      <w:pPr>
        <w:pStyle w:val="ListParagraph"/>
        <w:numPr>
          <w:ilvl w:val="0"/>
          <w:numId w:val="23"/>
        </w:numPr>
        <w:spacing w:before="120" w:after="60" w:line="256" w:lineRule="auto"/>
        <w:ind w:left="714" w:right="-46" w:hanging="357"/>
        <w:contextualSpacing w:val="0"/>
        <w:rPr>
          <w:rFonts w:cs="Arial"/>
          <w:szCs w:val="22"/>
        </w:rPr>
      </w:pPr>
      <w:r>
        <w:rPr>
          <w:rFonts w:cs="Arial"/>
          <w:szCs w:val="22"/>
        </w:rPr>
        <w:t>PRAs need to be more transparent and accountable</w:t>
      </w:r>
      <w:r w:rsidR="00B73348">
        <w:rPr>
          <w:rFonts w:cs="Arial"/>
          <w:szCs w:val="22"/>
        </w:rPr>
        <w:t>.</w:t>
      </w:r>
    </w:p>
    <w:p w14:paraId="4601745B" w14:textId="4F564BD7" w:rsidR="00967E6D" w:rsidRPr="006D0894" w:rsidRDefault="00403546" w:rsidP="006D0894">
      <w:pPr>
        <w:pStyle w:val="Heading2"/>
      </w:pPr>
      <w:bookmarkStart w:id="19" w:name="_Ref109053453"/>
      <w:bookmarkStart w:id="20" w:name="_Toc126595352"/>
      <w:r w:rsidRPr="006D0894">
        <w:t>Removing Barrie</w:t>
      </w:r>
      <w:r w:rsidR="00EE08FC">
        <w:t>r</w:t>
      </w:r>
      <w:r w:rsidRPr="006D0894">
        <w:t xml:space="preserve">s to </w:t>
      </w:r>
      <w:r w:rsidR="00967E6D" w:rsidRPr="006D0894">
        <w:t>Access</w:t>
      </w:r>
      <w:bookmarkEnd w:id="19"/>
      <w:bookmarkEnd w:id="20"/>
    </w:p>
    <w:p w14:paraId="53745191" w14:textId="105DF438" w:rsidR="00304FBA" w:rsidRPr="008549D5" w:rsidRDefault="00D53E38" w:rsidP="0036375F">
      <w:pPr>
        <w:pStyle w:val="Style2"/>
      </w:pPr>
      <w:r>
        <w:t>Bilateral</w:t>
      </w:r>
      <w:r w:rsidRPr="008549D5">
        <w:t xml:space="preserve"> </w:t>
      </w:r>
      <w:r w:rsidR="00304FBA" w:rsidRPr="008549D5">
        <w:t>agreement</w:t>
      </w:r>
      <w:r>
        <w:t>s</w:t>
      </w:r>
    </w:p>
    <w:p w14:paraId="306A00EB" w14:textId="7F6EC927" w:rsidR="00304FBA" w:rsidRPr="008549D5" w:rsidRDefault="00304FBA" w:rsidP="00D148A7">
      <w:pPr>
        <w:pStyle w:val="Paragraphtext"/>
      </w:pPr>
      <w:r w:rsidRPr="008549D5">
        <w:t>Currently</w:t>
      </w:r>
      <w:r w:rsidR="009D0E1E">
        <w:t>,</w:t>
      </w:r>
      <w:r w:rsidRPr="008549D5">
        <w:t xml:space="preserve"> each PRA is an individual </w:t>
      </w:r>
      <w:r>
        <w:t xml:space="preserve">bilateral </w:t>
      </w:r>
      <w:r w:rsidRPr="008549D5">
        <w:t xml:space="preserve">agreement between the Commonwealth and a particular </w:t>
      </w:r>
      <w:r w:rsidR="00DF5DB7" w:rsidRPr="008549D5">
        <w:t xml:space="preserve">state or territory </w:t>
      </w:r>
      <w:r w:rsidRPr="008549D5">
        <w:t>government. This has led to each agreement containing slightly different wording and details. The</w:t>
      </w:r>
      <w:r w:rsidR="00D17218">
        <w:t>re</w:t>
      </w:r>
      <w:r w:rsidRPr="008549D5">
        <w:t xml:space="preserve"> is a “</w:t>
      </w:r>
      <w:r w:rsidR="00D17218">
        <w:t>n</w:t>
      </w:r>
      <w:r w:rsidRPr="008549D5">
        <w:t xml:space="preserve">o disadvantage” clause in each agreement to the extent that if the Commonwealth enters into an agreement with another jurisdiction that is comparatively more advantageous for that jurisdiction then the Commonwealth will </w:t>
      </w:r>
      <w:r>
        <w:t xml:space="preserve">make efforts to negotiate to </w:t>
      </w:r>
      <w:r w:rsidRPr="008549D5">
        <w:t xml:space="preserve">adjust the </w:t>
      </w:r>
      <w:r w:rsidR="00934880">
        <w:t xml:space="preserve">existing </w:t>
      </w:r>
      <w:r w:rsidRPr="008549D5">
        <w:t xml:space="preserve">PRA to a similar advantage for the other jurisdictions. </w:t>
      </w:r>
      <w:r w:rsidR="00934880" w:rsidRPr="008549D5">
        <w:t>Each PRA is considered to be a</w:t>
      </w:r>
      <w:r w:rsidR="00934880">
        <w:t>n</w:t>
      </w:r>
      <w:r w:rsidR="00934880" w:rsidRPr="008549D5">
        <w:t xml:space="preserve"> in</w:t>
      </w:r>
      <w:r w:rsidR="00473C78">
        <w:t>-</w:t>
      </w:r>
      <w:r w:rsidR="00934880" w:rsidRPr="008549D5">
        <w:t>confidence document between the signatories and as such is not publicly available.</w:t>
      </w:r>
      <w:r w:rsidR="00934880">
        <w:t xml:space="preserve"> </w:t>
      </w:r>
      <w:r w:rsidRPr="008549D5">
        <w:t xml:space="preserve">This is not best practice from a governance perspective. </w:t>
      </w:r>
    </w:p>
    <w:p w14:paraId="59772573" w14:textId="5264E481" w:rsidR="00AF2597" w:rsidRPr="008549D5" w:rsidRDefault="00DF2666" w:rsidP="0036375F">
      <w:pPr>
        <w:spacing w:before="240"/>
        <w:rPr>
          <w:rFonts w:cs="Arial"/>
          <w:i/>
          <w:iCs/>
          <w:szCs w:val="22"/>
        </w:rPr>
      </w:pPr>
      <w:bookmarkStart w:id="21" w:name="_Hlk109381176"/>
      <w:r>
        <w:rPr>
          <w:rFonts w:cs="Arial"/>
          <w:i/>
          <w:iCs/>
          <w:szCs w:val="22"/>
        </w:rPr>
        <w:t xml:space="preserve">PBS </w:t>
      </w:r>
      <w:r w:rsidR="00AF2597" w:rsidRPr="008549D5">
        <w:rPr>
          <w:rFonts w:cs="Arial"/>
          <w:i/>
          <w:iCs/>
          <w:szCs w:val="22"/>
        </w:rPr>
        <w:t>Closing the Gap Co-Payment</w:t>
      </w:r>
      <w:r>
        <w:rPr>
          <w:rFonts w:cs="Arial"/>
          <w:i/>
          <w:iCs/>
          <w:szCs w:val="22"/>
        </w:rPr>
        <w:t xml:space="preserve"> Program</w:t>
      </w:r>
    </w:p>
    <w:p w14:paraId="0CD9A27A" w14:textId="711F0156" w:rsidR="007D3466" w:rsidRDefault="007D3466" w:rsidP="00D148A7">
      <w:pPr>
        <w:pStyle w:val="Paragraphtext"/>
      </w:pPr>
      <w:r w:rsidRPr="008549D5">
        <w:t xml:space="preserve">The CTG PBS Co-payment </w:t>
      </w:r>
      <w:r w:rsidR="00D17218">
        <w:t>P</w:t>
      </w:r>
      <w:r w:rsidRPr="008549D5">
        <w:t xml:space="preserve">rogram </w:t>
      </w:r>
      <w:r w:rsidR="00D17218">
        <w:t>(</w:t>
      </w:r>
      <w:r w:rsidR="00D17218" w:rsidRPr="007F5801">
        <w:t>CTGCP</w:t>
      </w:r>
      <w:r w:rsidR="00D17218">
        <w:t xml:space="preserve">) </w:t>
      </w:r>
      <w:r w:rsidRPr="008549D5">
        <w:t>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medicines regimen without assistance through the program.</w:t>
      </w:r>
      <w:r>
        <w:t xml:space="preserve"> </w:t>
      </w:r>
      <w:r w:rsidRPr="00F60716">
        <w:t>When obtaining PBS General Schedule medicines, eligible general patients who would normally pay the full PBS co-payment pay the concessional rate and those eligible patients who would normally pay the concessional rate receive their PBS medicines without being required to pay a PBS co</w:t>
      </w:r>
      <w:r w:rsidRPr="00F60716">
        <w:rPr>
          <w:rFonts w:ascii="Cambria Math" w:hAnsi="Cambria Math" w:cs="Cambria Math"/>
        </w:rPr>
        <w:t>‑</w:t>
      </w:r>
      <w:r w:rsidRPr="00F60716">
        <w:t>payment.</w:t>
      </w:r>
    </w:p>
    <w:p w14:paraId="734A4591" w14:textId="2C54BF1D" w:rsidR="007D3466" w:rsidRDefault="00A86C0E" w:rsidP="00D148A7">
      <w:pPr>
        <w:pStyle w:val="Paragraphtext"/>
      </w:pPr>
      <w:r w:rsidRPr="008549D5">
        <w:t xml:space="preserve">Currently CTG prescriptions can only be dispensed at community pharmacies or Section 94 Approved Private Hospital pharmacies. </w:t>
      </w:r>
      <w:r w:rsidR="001055CD">
        <w:t xml:space="preserve">Under recent changes to </w:t>
      </w:r>
      <w:r w:rsidR="00D17218" w:rsidRPr="007F5801">
        <w:t>CTGCP</w:t>
      </w:r>
      <w:r w:rsidR="001055CD">
        <w:t xml:space="preserve"> included in the </w:t>
      </w:r>
      <w:r w:rsidR="00960022">
        <w:t>Seventh Community Pharmacy Agreement (</w:t>
      </w:r>
      <w:r w:rsidR="001055CD">
        <w:t>7CPA</w:t>
      </w:r>
      <w:r w:rsidR="00960022">
        <w:t>)</w:t>
      </w:r>
      <w:r w:rsidR="001055CD">
        <w:t xml:space="preserve"> eligible public hospital prescribers can now issue </w:t>
      </w:r>
      <w:r w:rsidR="00D17218">
        <w:t>prescriptions</w:t>
      </w:r>
      <w:r w:rsidR="001055CD">
        <w:t xml:space="preserve"> under this program, however public hospital pharmacies are ineligible to dispense these </w:t>
      </w:r>
      <w:r w:rsidR="00D17218">
        <w:t>prescriptions</w:t>
      </w:r>
      <w:r w:rsidR="001055CD">
        <w:t xml:space="preserve"> under the program. E</w:t>
      </w:r>
      <w:r w:rsidR="001055CD" w:rsidRPr="001055CD">
        <w:t xml:space="preserve">ligible </w:t>
      </w:r>
      <w:r w:rsidR="0036375F">
        <w:t>prescriptions</w:t>
      </w:r>
      <w:r w:rsidR="001055CD" w:rsidRPr="001055CD">
        <w:t xml:space="preserve"> issued by PBS prescribers within public hospitals are </w:t>
      </w:r>
      <w:r w:rsidR="001055CD">
        <w:t xml:space="preserve">able to be </w:t>
      </w:r>
      <w:r w:rsidR="001055CD" w:rsidRPr="001055CD">
        <w:t>dispensed by a community pharmacy or Section 94 Approved Private Hospital pharmacy</w:t>
      </w:r>
      <w:r w:rsidR="001055CD">
        <w:t xml:space="preserve">. </w:t>
      </w:r>
    </w:p>
    <w:p w14:paraId="5D26D6CD" w14:textId="4A34947A" w:rsidR="007414F9" w:rsidRPr="008549D5" w:rsidRDefault="007414F9" w:rsidP="00D148A7">
      <w:pPr>
        <w:pStyle w:val="Paragraphtext"/>
      </w:pPr>
      <w:r w:rsidRPr="008549D5">
        <w:t>NACCHO has received significant feedback from across their national network of the poor outcomes associated with the current arrangement</w:t>
      </w:r>
      <w:r w:rsidR="007D3466">
        <w:t>s</w:t>
      </w:r>
      <w:r w:rsidRPr="008549D5">
        <w:t>.</w:t>
      </w:r>
      <w:r w:rsidR="007D3466">
        <w:t xml:space="preserve"> </w:t>
      </w:r>
      <w:r w:rsidR="0036375F" w:rsidRPr="008549D5">
        <w:t xml:space="preserve">The ineligibility of public hospitals to </w:t>
      </w:r>
      <w:r w:rsidR="0036375F" w:rsidRPr="008549D5">
        <w:lastRenderedPageBreak/>
        <w:t>access this program has</w:t>
      </w:r>
      <w:r w:rsidR="0036375F">
        <w:t xml:space="preserve"> anecdotally</w:t>
      </w:r>
      <w:r w:rsidR="0036375F" w:rsidRPr="008549D5">
        <w:t xml:space="preserve"> resulted in eligible patients being discharged </w:t>
      </w:r>
      <w:r w:rsidR="0036375F">
        <w:t>from</w:t>
      </w:r>
      <w:r w:rsidR="0036375F" w:rsidRPr="008549D5">
        <w:t xml:space="preserve"> hospital </w:t>
      </w:r>
      <w:r w:rsidR="0036375F">
        <w:t>without</w:t>
      </w:r>
      <w:r w:rsidR="0036375F" w:rsidRPr="008549D5">
        <w:t xml:space="preserve"> receiving </w:t>
      </w:r>
      <w:r w:rsidR="0036375F">
        <w:t>the maximum quantity</w:t>
      </w:r>
      <w:r w:rsidR="0036375F" w:rsidRPr="008549D5">
        <w:t xml:space="preserve"> of</w:t>
      </w:r>
      <w:r w:rsidR="0036375F">
        <w:t xml:space="preserve"> PBS</w:t>
      </w:r>
      <w:r w:rsidR="0036375F" w:rsidRPr="008549D5">
        <w:t xml:space="preserve"> medicines</w:t>
      </w:r>
      <w:r w:rsidR="0036375F">
        <w:t xml:space="preserve"> (i.e. up to one month’s supply)</w:t>
      </w:r>
      <w:r w:rsidR="0036375F" w:rsidRPr="008549D5">
        <w:t xml:space="preserve"> due to the hospital pharmacy needing to account for the co-payment amount for each </w:t>
      </w:r>
      <w:r w:rsidR="0036375F">
        <w:t>prescription</w:t>
      </w:r>
      <w:r w:rsidR="0036375F" w:rsidRPr="008549D5">
        <w:t>.</w:t>
      </w:r>
    </w:p>
    <w:p w14:paraId="366119FD" w14:textId="0778C3BC" w:rsidR="00E42C05" w:rsidRPr="003162BC" w:rsidRDefault="0036375F" w:rsidP="00D148A7">
      <w:pPr>
        <w:pStyle w:val="Paragraphtext"/>
        <w:rPr>
          <w:color w:val="auto"/>
        </w:rPr>
      </w:pPr>
      <w:r>
        <w:t>T</w:t>
      </w:r>
      <w:r w:rsidR="00B61694" w:rsidRPr="008549D5">
        <w:t xml:space="preserve">here </w:t>
      </w:r>
      <w:r>
        <w:t>was</w:t>
      </w:r>
      <w:r w:rsidR="00B61694" w:rsidRPr="008549D5">
        <w:t xml:space="preserve"> wide support </w:t>
      </w:r>
      <w:r>
        <w:t xml:space="preserve">from all stakeholders </w:t>
      </w:r>
      <w:r w:rsidR="00B61694" w:rsidRPr="008549D5">
        <w:t xml:space="preserve">for </w:t>
      </w:r>
      <w:r>
        <w:t>CTGCP</w:t>
      </w:r>
      <w:r w:rsidR="00B61694" w:rsidRPr="008549D5">
        <w:t xml:space="preserve"> to be expanded to public hospital</w:t>
      </w:r>
      <w:r>
        <w:t xml:space="preserve"> pharmacies</w:t>
      </w:r>
      <w:r w:rsidR="00B61694" w:rsidRPr="008549D5">
        <w:t xml:space="preserve"> through the PRA process</w:t>
      </w:r>
      <w:r>
        <w:t>.</w:t>
      </w:r>
      <w:r w:rsidR="00B61694" w:rsidRPr="008549D5">
        <w:t xml:space="preserve"> </w:t>
      </w:r>
    </w:p>
    <w:bookmarkEnd w:id="21"/>
    <w:p w14:paraId="58AD1A75" w14:textId="04F7CD8F" w:rsidR="00AF2597" w:rsidRPr="008549D5" w:rsidRDefault="00AF2597" w:rsidP="003545CC">
      <w:pPr>
        <w:spacing w:before="240"/>
        <w:rPr>
          <w:rFonts w:cs="Arial"/>
          <w:i/>
          <w:iCs/>
          <w:szCs w:val="22"/>
        </w:rPr>
      </w:pPr>
      <w:r w:rsidRPr="008549D5">
        <w:rPr>
          <w:rFonts w:cs="Arial"/>
          <w:i/>
          <w:iCs/>
          <w:szCs w:val="22"/>
        </w:rPr>
        <w:t>NSW and ACT PRAs</w:t>
      </w:r>
    </w:p>
    <w:p w14:paraId="2EBCD9E9" w14:textId="6B01CEEF" w:rsidR="00A61CA9" w:rsidRPr="008549D5" w:rsidRDefault="006831D3" w:rsidP="00D148A7">
      <w:pPr>
        <w:pStyle w:val="Paragraphtext"/>
      </w:pPr>
      <w:r>
        <w:t xml:space="preserve">NSW and ACT are not signatories to a PRA. </w:t>
      </w:r>
      <w:r w:rsidR="00A61CA9" w:rsidRPr="008549D5">
        <w:t xml:space="preserve">There was unanimous agreement </w:t>
      </w:r>
      <w:r w:rsidR="00DF2666">
        <w:t xml:space="preserve">by </w:t>
      </w:r>
      <w:r>
        <w:t>consumer</w:t>
      </w:r>
      <w:r w:rsidR="00DF2666">
        <w:t xml:space="preserve"> and professional representative organisations </w:t>
      </w:r>
      <w:r w:rsidR="00A61CA9" w:rsidRPr="008549D5">
        <w:t>that the Commonwealth should seek to enter into agreements with the</w:t>
      </w:r>
      <w:r w:rsidR="00571EE9">
        <w:t>se</w:t>
      </w:r>
      <w:r w:rsidR="00A61CA9" w:rsidRPr="008549D5">
        <w:t xml:space="preserve"> two jurisdictions to ensure fair and equitable access for all Australians. </w:t>
      </w:r>
      <w:r w:rsidR="00024460">
        <w:t>Entering into a P</w:t>
      </w:r>
      <w:r w:rsidR="00CF57B0" w:rsidRPr="008549D5">
        <w:t>RA with NSW and the ACT</w:t>
      </w:r>
      <w:r w:rsidR="009E1082">
        <w:t xml:space="preserve"> </w:t>
      </w:r>
      <w:r w:rsidR="00571EE9">
        <w:t>will</w:t>
      </w:r>
      <w:r w:rsidR="00384C77">
        <w:t xml:space="preserve"> </w:t>
      </w:r>
      <w:r w:rsidR="00CF57B0" w:rsidRPr="008549D5">
        <w:t xml:space="preserve">ensure that all </w:t>
      </w:r>
      <w:r w:rsidR="00505B64" w:rsidRPr="008549D5">
        <w:t>eligible</w:t>
      </w:r>
      <w:r w:rsidR="00CF57B0" w:rsidRPr="008549D5">
        <w:t xml:space="preserve"> </w:t>
      </w:r>
      <w:r w:rsidR="00505B64" w:rsidRPr="008549D5">
        <w:t>patients</w:t>
      </w:r>
      <w:r w:rsidR="00CF57B0" w:rsidRPr="008549D5">
        <w:t xml:space="preserve"> in Australia </w:t>
      </w:r>
      <w:r w:rsidR="00505B64" w:rsidRPr="008549D5">
        <w:t xml:space="preserve">receive </w:t>
      </w:r>
      <w:r w:rsidR="00571EE9">
        <w:t>equal</w:t>
      </w:r>
      <w:r w:rsidR="00505B64" w:rsidRPr="008549D5">
        <w:t xml:space="preserve"> access to PBS medicines upon discharge fr</w:t>
      </w:r>
      <w:r w:rsidR="007E666D" w:rsidRPr="008549D5">
        <w:t>o</w:t>
      </w:r>
      <w:r w:rsidR="00505B64" w:rsidRPr="008549D5">
        <w:t xml:space="preserve">m </w:t>
      </w:r>
      <w:r w:rsidR="000540C8" w:rsidRPr="008549D5">
        <w:t>public hospit</w:t>
      </w:r>
      <w:r w:rsidR="00505B64" w:rsidRPr="008549D5">
        <w:t>als</w:t>
      </w:r>
      <w:r w:rsidR="00E01C0E" w:rsidRPr="008549D5">
        <w:t xml:space="preserve"> and </w:t>
      </w:r>
      <w:r w:rsidR="00571EE9">
        <w:t>to</w:t>
      </w:r>
      <w:r w:rsidR="00E01C0E" w:rsidRPr="008549D5">
        <w:t xml:space="preserve"> </w:t>
      </w:r>
      <w:r w:rsidR="00F623AF">
        <w:t xml:space="preserve">section </w:t>
      </w:r>
      <w:r w:rsidR="00E01C0E" w:rsidRPr="008549D5">
        <w:t xml:space="preserve">100 programs </w:t>
      </w:r>
      <w:r w:rsidR="00571EE9">
        <w:t>(including the Efficient Funding of Chemotherapy</w:t>
      </w:r>
      <w:r w:rsidR="00571EE9" w:rsidRPr="008549D5">
        <w:t xml:space="preserve"> </w:t>
      </w:r>
      <w:r w:rsidR="00E01C0E" w:rsidRPr="008549D5">
        <w:t>Program, Growth Hormone Program, In vitro Fertilisation (IVF) Program and the Botulinum Toxin Program</w:t>
      </w:r>
      <w:r w:rsidR="00571EE9">
        <w:t>)</w:t>
      </w:r>
      <w:r w:rsidR="00E01C0E" w:rsidRPr="008549D5">
        <w:t xml:space="preserve"> </w:t>
      </w:r>
      <w:r w:rsidR="00571EE9">
        <w:t>regardless of the jurisdiction they are in</w:t>
      </w:r>
      <w:r w:rsidR="00505B64" w:rsidRPr="008549D5">
        <w:t>.</w:t>
      </w:r>
      <w:r w:rsidR="001D1790" w:rsidRPr="008549D5">
        <w:t xml:space="preserve"> </w:t>
      </w:r>
    </w:p>
    <w:p w14:paraId="6DB9FD55" w14:textId="17CBA7E6" w:rsidR="006831D3" w:rsidRDefault="00384C77" w:rsidP="00D148A7">
      <w:pPr>
        <w:pStyle w:val="Paragraphtext"/>
      </w:pPr>
      <w:r>
        <w:t xml:space="preserve">The </w:t>
      </w:r>
      <w:r w:rsidR="006831D3">
        <w:t xml:space="preserve">ACT </w:t>
      </w:r>
      <w:r>
        <w:t>has</w:t>
      </w:r>
      <w:r w:rsidR="006831D3">
        <w:t xml:space="preserve"> approached the Commonwealth in the last </w:t>
      </w:r>
      <w:r w:rsidR="00764150">
        <w:t>two years</w:t>
      </w:r>
      <w:r w:rsidR="006831D3">
        <w:t xml:space="preserve"> to enter into a PRA, coinciding with their digital health strategy</w:t>
      </w:r>
      <w:r w:rsidR="00764150">
        <w:t>, w</w:t>
      </w:r>
      <w:r w:rsidR="009D0E1E">
        <w:t xml:space="preserve">hile </w:t>
      </w:r>
      <w:r w:rsidR="006831D3">
        <w:t xml:space="preserve">NSW has made early contact </w:t>
      </w:r>
      <w:r w:rsidR="009D0E1E">
        <w:t>also</w:t>
      </w:r>
      <w:r w:rsidR="006831D3">
        <w:t>.</w:t>
      </w:r>
    </w:p>
    <w:p w14:paraId="68C1370B" w14:textId="4D027A9B" w:rsidR="00C935C6" w:rsidRPr="008549D5" w:rsidRDefault="00C935C6" w:rsidP="003545CC">
      <w:pPr>
        <w:spacing w:before="240"/>
        <w:rPr>
          <w:rFonts w:cs="Arial"/>
          <w:i/>
          <w:iCs/>
          <w:szCs w:val="22"/>
        </w:rPr>
      </w:pPr>
      <w:r w:rsidRPr="008549D5">
        <w:rPr>
          <w:rFonts w:cs="Arial"/>
          <w:i/>
          <w:iCs/>
          <w:szCs w:val="22"/>
        </w:rPr>
        <w:t>Delayed</w:t>
      </w:r>
      <w:r w:rsidR="00B32679">
        <w:rPr>
          <w:rFonts w:cs="Arial"/>
          <w:i/>
          <w:iCs/>
          <w:szCs w:val="22"/>
        </w:rPr>
        <w:t>/restricted</w:t>
      </w:r>
      <w:r w:rsidRPr="008549D5">
        <w:rPr>
          <w:rFonts w:cs="Arial"/>
          <w:i/>
          <w:iCs/>
          <w:szCs w:val="22"/>
        </w:rPr>
        <w:t xml:space="preserve"> access to high cost drugs</w:t>
      </w:r>
    </w:p>
    <w:p w14:paraId="6C2F798B" w14:textId="45B5C14C" w:rsidR="00071E6E" w:rsidRDefault="00071E6E" w:rsidP="00D148A7">
      <w:pPr>
        <w:pStyle w:val="Paragraphtext"/>
      </w:pPr>
      <w:r>
        <w:t xml:space="preserve">Stakeholders raised the issue of </w:t>
      </w:r>
      <w:r w:rsidR="001D1790" w:rsidRPr="008549D5">
        <w:t>barrier</w:t>
      </w:r>
      <w:r>
        <w:t>s</w:t>
      </w:r>
      <w:r w:rsidR="001D1790" w:rsidRPr="008549D5">
        <w:t xml:space="preserve"> </w:t>
      </w:r>
      <w:r>
        <w:t>in</w:t>
      </w:r>
      <w:r w:rsidR="00384C77">
        <w:t xml:space="preserve"> </w:t>
      </w:r>
      <w:r w:rsidR="001D1790" w:rsidRPr="008549D5">
        <w:t>access</w:t>
      </w:r>
      <w:r>
        <w:t>ing</w:t>
      </w:r>
      <w:r w:rsidR="001D1790" w:rsidRPr="008549D5">
        <w:t xml:space="preserve"> high</w:t>
      </w:r>
      <w:r w:rsidR="009D0E1E">
        <w:t>-</w:t>
      </w:r>
      <w:r w:rsidR="001D1790" w:rsidRPr="008549D5">
        <w:t xml:space="preserve">cost drugs </w:t>
      </w:r>
      <w:r>
        <w:t>for</w:t>
      </w:r>
      <w:r w:rsidR="001D1790" w:rsidRPr="008549D5">
        <w:t xml:space="preserve"> inpatients. </w:t>
      </w:r>
      <w:r w:rsidRPr="008549D5">
        <w:t xml:space="preserve">Hospitals </w:t>
      </w:r>
      <w:r>
        <w:t>are</w:t>
      </w:r>
      <w:r w:rsidRPr="008549D5">
        <w:t xml:space="preserve"> </w:t>
      </w:r>
      <w:r>
        <w:t xml:space="preserve">reportedly </w:t>
      </w:r>
      <w:r w:rsidRPr="008549D5">
        <w:t>reluctant or unable to fund these high cost medicines</w:t>
      </w:r>
      <w:r>
        <w:t xml:space="preserve"> and </w:t>
      </w:r>
      <w:r w:rsidR="002873FB">
        <w:t xml:space="preserve">reportedly </w:t>
      </w:r>
      <w:r>
        <w:t xml:space="preserve">may </w:t>
      </w:r>
      <w:r w:rsidRPr="008549D5">
        <w:t>delay treatment until the patient has been discharged</w:t>
      </w:r>
      <w:r>
        <w:t>, where possible</w:t>
      </w:r>
      <w:r w:rsidRPr="008549D5">
        <w:t xml:space="preserve">. </w:t>
      </w:r>
    </w:p>
    <w:p w14:paraId="4695CE4C" w14:textId="7AF4ECBB" w:rsidR="006831D3" w:rsidRDefault="001D1790" w:rsidP="00D148A7">
      <w:pPr>
        <w:pStyle w:val="Paragraphtext"/>
      </w:pPr>
      <w:r w:rsidRPr="008549D5">
        <w:t xml:space="preserve">This was particularly noted in the example of </w:t>
      </w:r>
      <w:r w:rsidR="002873FB">
        <w:t>H</w:t>
      </w:r>
      <w:r w:rsidRPr="008549D5">
        <w:t xml:space="preserve">epatitis C </w:t>
      </w:r>
      <w:r w:rsidR="002873FB">
        <w:t>treatments (costing approximately $12,500 per prescription)</w:t>
      </w:r>
      <w:r w:rsidRPr="008549D5">
        <w:t xml:space="preserve"> for involuntarily admitted mental health inpatients</w:t>
      </w:r>
      <w:r w:rsidR="00A72C2D">
        <w:t xml:space="preserve">. </w:t>
      </w:r>
      <w:r w:rsidRPr="008549D5">
        <w:t>Th</w:t>
      </w:r>
      <w:r w:rsidR="002873FB">
        <w:t>e</w:t>
      </w:r>
      <w:r w:rsidR="00C935C6" w:rsidRPr="008549D5">
        <w:t xml:space="preserve"> inability to access PBS subsidis</w:t>
      </w:r>
      <w:r w:rsidR="00FB681D" w:rsidRPr="008549D5">
        <w:t>ed</w:t>
      </w:r>
      <w:r w:rsidR="00C935C6" w:rsidRPr="008549D5">
        <w:t xml:space="preserve"> medicines was seen as an impediment to start</w:t>
      </w:r>
      <w:r w:rsidR="00FB681D" w:rsidRPr="008549D5">
        <w:t>ing</w:t>
      </w:r>
      <w:r w:rsidR="00C935C6" w:rsidRPr="008549D5">
        <w:t>, or continu</w:t>
      </w:r>
      <w:r w:rsidR="00FB681D" w:rsidRPr="008549D5">
        <w:t>ing</w:t>
      </w:r>
      <w:r w:rsidR="00C935C6" w:rsidRPr="008549D5">
        <w:t xml:space="preserve"> treatment</w:t>
      </w:r>
      <w:r w:rsidR="006831D3">
        <w:t>,</w:t>
      </w:r>
      <w:r w:rsidR="00C935C6" w:rsidRPr="008549D5">
        <w:t xml:space="preserve"> of </w:t>
      </w:r>
      <w:r w:rsidR="00F736B7">
        <w:t>Hepatitis C</w:t>
      </w:r>
      <w:r w:rsidR="00C935C6" w:rsidRPr="008549D5">
        <w:t xml:space="preserve"> </w:t>
      </w:r>
      <w:r w:rsidR="006831D3">
        <w:t>for</w:t>
      </w:r>
      <w:r w:rsidR="00C935C6" w:rsidRPr="008549D5">
        <w:t xml:space="preserve"> public hospital </w:t>
      </w:r>
      <w:r w:rsidR="006831D3">
        <w:t>inpatients</w:t>
      </w:r>
      <w:r w:rsidR="00C935C6" w:rsidRPr="008549D5">
        <w:t xml:space="preserve">. </w:t>
      </w:r>
    </w:p>
    <w:p w14:paraId="26206F56" w14:textId="4AE8C1E6" w:rsidR="00B32679" w:rsidRDefault="00B32679" w:rsidP="00D148A7">
      <w:pPr>
        <w:pStyle w:val="Paragraphtext"/>
      </w:pPr>
      <w:r>
        <w:t>It was also raised that multiple drugs included on the PBS require at least the initial dose of the drug to be administered in a hospital setting to qualify for later PBS subsidy</w:t>
      </w:r>
      <w:r w:rsidR="00F736B7">
        <w:t xml:space="preserve">, e.g. blinatumomab. This was raised in the 2017 </w:t>
      </w:r>
      <w:r w:rsidR="00F736B7" w:rsidRPr="00993B1D">
        <w:rPr>
          <w:i/>
          <w:iCs/>
        </w:rPr>
        <w:t>PBS Pharmaceuticals in Hospitals Review</w:t>
      </w:r>
      <w:r w:rsidR="00F736B7">
        <w:t>,</w:t>
      </w:r>
      <w:r w:rsidR="00F736B7" w:rsidRPr="00B9678A">
        <w:t xml:space="preserve"> however inpatient subsidy remains the remit of the jurisdictions.</w:t>
      </w:r>
      <w:r w:rsidR="00F736B7">
        <w:t xml:space="preserve"> </w:t>
      </w:r>
      <w:r>
        <w:t xml:space="preserve">This was indicated as a drain on hospital budgets that should be the responsibility of the </w:t>
      </w:r>
      <w:r w:rsidR="00F736B7">
        <w:t>C</w:t>
      </w:r>
      <w:r>
        <w:t>ommonwealth to fund.</w:t>
      </w:r>
    </w:p>
    <w:p w14:paraId="7937FB4A" w14:textId="3DB0AA97" w:rsidR="001D1790" w:rsidRDefault="003E1E03" w:rsidP="00D148A7">
      <w:pPr>
        <w:pStyle w:val="Paragraphtext"/>
      </w:pPr>
      <w:r w:rsidRPr="008549D5">
        <w:t xml:space="preserve">Access to PBS medicines </w:t>
      </w:r>
      <w:r w:rsidR="004B421E">
        <w:t>for</w:t>
      </w:r>
      <w:r w:rsidRPr="008549D5">
        <w:t xml:space="preserve"> inpatients in the public hospital sits outside the </w:t>
      </w:r>
      <w:r w:rsidR="009D0E1E">
        <w:t>scope</w:t>
      </w:r>
      <w:r w:rsidRPr="008549D5">
        <w:t xml:space="preserve"> of the PRAs</w:t>
      </w:r>
      <w:r w:rsidR="00071E6E">
        <w:t xml:space="preserve">. As clearly outlined in the NHRA, </w:t>
      </w:r>
      <w:r w:rsidR="00F67840">
        <w:t>the states have an obligation to provide clinically necessary services to public patients, including the provision of any associated pharmaceuticals, with the Commonwealth then making a funding contribution through the mechanisms of the NHRA</w:t>
      </w:r>
      <w:r w:rsidR="00FB681D" w:rsidRPr="008549D5">
        <w:t>.</w:t>
      </w:r>
      <w:r w:rsidRPr="008549D5">
        <w:t xml:space="preserve"> </w:t>
      </w:r>
    </w:p>
    <w:p w14:paraId="652E820D" w14:textId="35DC863D" w:rsidR="00996CB6" w:rsidRPr="008549D5" w:rsidRDefault="00996CB6" w:rsidP="00384C77">
      <w:pPr>
        <w:keepNext/>
        <w:spacing w:before="240"/>
        <w:rPr>
          <w:rFonts w:cs="Arial"/>
          <w:i/>
          <w:iCs/>
          <w:szCs w:val="22"/>
        </w:rPr>
      </w:pPr>
      <w:r w:rsidRPr="008549D5">
        <w:rPr>
          <w:rFonts w:cs="Arial"/>
          <w:i/>
          <w:iCs/>
          <w:szCs w:val="22"/>
        </w:rPr>
        <w:t>Geographic</w:t>
      </w:r>
      <w:r w:rsidR="00AA2F7F" w:rsidRPr="008549D5">
        <w:rPr>
          <w:rFonts w:cs="Arial"/>
          <w:i/>
          <w:iCs/>
          <w:szCs w:val="22"/>
        </w:rPr>
        <w:t xml:space="preserve"> </w:t>
      </w:r>
      <w:r w:rsidRPr="008549D5">
        <w:rPr>
          <w:rFonts w:cs="Arial"/>
          <w:i/>
          <w:iCs/>
          <w:szCs w:val="22"/>
        </w:rPr>
        <w:t>/</w:t>
      </w:r>
      <w:r w:rsidR="00AA2F7F" w:rsidRPr="008549D5">
        <w:rPr>
          <w:rFonts w:cs="Arial"/>
          <w:i/>
          <w:iCs/>
          <w:szCs w:val="22"/>
        </w:rPr>
        <w:t xml:space="preserve"> </w:t>
      </w:r>
      <w:r w:rsidRPr="008549D5">
        <w:rPr>
          <w:rFonts w:cs="Arial"/>
          <w:i/>
          <w:iCs/>
          <w:szCs w:val="22"/>
        </w:rPr>
        <w:t>time of service constraints</w:t>
      </w:r>
    </w:p>
    <w:p w14:paraId="55555018" w14:textId="5356FE42" w:rsidR="0068071F" w:rsidRDefault="0038280E" w:rsidP="00D148A7">
      <w:pPr>
        <w:pStyle w:val="Paragraphtext"/>
      </w:pPr>
      <w:r w:rsidRPr="008549D5">
        <w:t>E</w:t>
      </w:r>
      <w:r w:rsidR="00996CB6" w:rsidRPr="008549D5">
        <w:t>xternal stakeholder</w:t>
      </w:r>
      <w:r w:rsidRPr="008549D5">
        <w:t>s</w:t>
      </w:r>
      <w:r w:rsidR="00996CB6" w:rsidRPr="008549D5">
        <w:t xml:space="preserve"> provided feedback that access to PBS subsidised medicines</w:t>
      </w:r>
      <w:r w:rsidRPr="008549D5">
        <w:t xml:space="preserve"> </w:t>
      </w:r>
      <w:r w:rsidR="00770F96">
        <w:t>on discharge</w:t>
      </w:r>
      <w:r w:rsidR="00996CB6" w:rsidRPr="008549D5">
        <w:t xml:space="preserve"> </w:t>
      </w:r>
      <w:r w:rsidR="0066341A" w:rsidRPr="008549D5">
        <w:t xml:space="preserve">is </w:t>
      </w:r>
      <w:r w:rsidR="00770F96">
        <w:t xml:space="preserve">reportedly </w:t>
      </w:r>
      <w:r w:rsidR="0066341A" w:rsidRPr="008549D5">
        <w:t>somewhat dep</w:t>
      </w:r>
      <w:r w:rsidRPr="008549D5">
        <w:t>endant on the location and</w:t>
      </w:r>
      <w:r w:rsidR="00770F96">
        <w:t>,</w:t>
      </w:r>
      <w:r w:rsidRPr="008549D5">
        <w:t xml:space="preserve"> to a lesser extent</w:t>
      </w:r>
      <w:r w:rsidR="00770F96">
        <w:t>,</w:t>
      </w:r>
      <w:r w:rsidRPr="008549D5">
        <w:t xml:space="preserve"> the time of service.</w:t>
      </w:r>
      <w:r w:rsidR="00515547" w:rsidRPr="008549D5">
        <w:t xml:space="preserve"> Anecdotally</w:t>
      </w:r>
      <w:r w:rsidR="00A72C2D">
        <w:t>,</w:t>
      </w:r>
      <w:r w:rsidR="00515547" w:rsidRPr="008549D5">
        <w:t xml:space="preserve"> variances in access were found to</w:t>
      </w:r>
      <w:r w:rsidR="004B421E">
        <w:t xml:space="preserve"> be</w:t>
      </w:r>
      <w:r w:rsidR="00515547" w:rsidRPr="008549D5">
        <w:t xml:space="preserve"> dependent on jurisdiction, hospital, ward, patient risk factors, day (weekday or weekend) and time of day of discharge with large variations in service deliver</w:t>
      </w:r>
      <w:r w:rsidR="00DF5DB7">
        <w:t>y</w:t>
      </w:r>
      <w:r w:rsidR="00515547" w:rsidRPr="008549D5">
        <w:t xml:space="preserve"> especially after</w:t>
      </w:r>
      <w:r w:rsidR="00DF5DB7">
        <w:t xml:space="preserve"> </w:t>
      </w:r>
      <w:r w:rsidR="00515547" w:rsidRPr="008549D5">
        <w:t>hours</w:t>
      </w:r>
      <w:r w:rsidR="00466201">
        <w:t xml:space="preserve">. </w:t>
      </w:r>
      <w:r w:rsidR="00515547" w:rsidRPr="008549D5">
        <w:t xml:space="preserve">These variations are of concern as they go against the principles of the PRAs to deliver fair and equitable access to PBS medicines. </w:t>
      </w:r>
    </w:p>
    <w:p w14:paraId="56C2784C" w14:textId="77777777" w:rsidR="00384C77" w:rsidRPr="008549D5" w:rsidRDefault="00384C77" w:rsidP="00384C77">
      <w:pPr>
        <w:spacing w:before="240"/>
        <w:rPr>
          <w:rFonts w:cs="Arial"/>
          <w:i/>
          <w:iCs/>
          <w:szCs w:val="22"/>
        </w:rPr>
      </w:pPr>
      <w:r w:rsidRPr="008549D5">
        <w:rPr>
          <w:rFonts w:cs="Arial"/>
          <w:i/>
          <w:iCs/>
          <w:szCs w:val="22"/>
        </w:rPr>
        <w:t>Indigenous Dose Administration Aids program</w:t>
      </w:r>
    </w:p>
    <w:p w14:paraId="7D8DE8A0" w14:textId="77777777" w:rsidR="00384C77" w:rsidRDefault="00384C77" w:rsidP="00384C77">
      <w:pPr>
        <w:pStyle w:val="Paragraphtext"/>
      </w:pPr>
      <w:r>
        <w:t xml:space="preserve">The </w:t>
      </w:r>
      <w:r w:rsidRPr="00A0170B">
        <w:t xml:space="preserve">Indigenous Dose Administration Aids </w:t>
      </w:r>
      <w:r>
        <w:t xml:space="preserve">(IDAA) </w:t>
      </w:r>
      <w:r w:rsidRPr="00A0170B">
        <w:t>program</w:t>
      </w:r>
      <w:r>
        <w:t xml:space="preserve"> is a Community Pharmacy Program funded under the 7CPA. </w:t>
      </w:r>
      <w:r w:rsidRPr="008A6413">
        <w:t xml:space="preserve">Dose Administration Aids (DAAs) are provided with the aim of assisting people with the management and timing of their medicines. A DAA is a well-sealed, </w:t>
      </w:r>
      <w:r w:rsidRPr="008A6413">
        <w:lastRenderedPageBreak/>
        <w:t>tamper-evident device that allows individual medicine doses to be organised according to the prescribed dose schedule</w:t>
      </w:r>
      <w:r>
        <w:t>.</w:t>
      </w:r>
      <w:r w:rsidRPr="008A6413">
        <w:t xml:space="preserve"> </w:t>
      </w:r>
    </w:p>
    <w:p w14:paraId="48224D57" w14:textId="77777777" w:rsidR="00384C77" w:rsidRDefault="00384C77" w:rsidP="00384C77">
      <w:pPr>
        <w:pStyle w:val="Paragraphtext"/>
      </w:pPr>
      <w:r>
        <w:t xml:space="preserve">Some stakeholders made representations during the review about barriers to accessing the IDAA program, and that there should be allowance for public hospital pharmacies to provide IDAAs particularly in rural and remote areas where patients may need immediate changes to the DAA but experience delays in accessing their community pharmacy to make these changes. </w:t>
      </w:r>
    </w:p>
    <w:p w14:paraId="66FDEF53" w14:textId="77777777" w:rsidR="00384C77" w:rsidRDefault="00384C77" w:rsidP="00384C77">
      <w:pPr>
        <w:pStyle w:val="Paragraphtext"/>
      </w:pPr>
      <w:r>
        <w:t xml:space="preserve">The rules of the IDAA program stipulate that </w:t>
      </w:r>
      <w:r w:rsidRPr="008549D5">
        <w:t>participating pharmacies are restricted to section 90 pharmac</w:t>
      </w:r>
      <w:r>
        <w:t xml:space="preserve">ies, i.e. </w:t>
      </w:r>
      <w:r w:rsidRPr="008549D5">
        <w:t>community pharmacies</w:t>
      </w:r>
      <w:r>
        <w:t>. As such, p</w:t>
      </w:r>
      <w:r w:rsidRPr="008549D5">
        <w:t>ublic hospital</w:t>
      </w:r>
      <w:r>
        <w:t xml:space="preserve"> pharmacies</w:t>
      </w:r>
      <w:r w:rsidRPr="008549D5">
        <w:t xml:space="preserve"> are excluded from participating in the </w:t>
      </w:r>
      <w:r>
        <w:t>program</w:t>
      </w:r>
      <w:r w:rsidRPr="008549D5">
        <w:t xml:space="preserve">. </w:t>
      </w:r>
      <w:r>
        <w:t xml:space="preserve">Also, the patient’s usual community </w:t>
      </w:r>
      <w:r w:rsidRPr="008549D5">
        <w:t xml:space="preserve">pharmacy that provides </w:t>
      </w:r>
      <w:r>
        <w:t>their IDAA</w:t>
      </w:r>
      <w:r w:rsidRPr="008549D5">
        <w:t xml:space="preserve"> will hold the </w:t>
      </w:r>
      <w:r>
        <w:t>prescriptions</w:t>
      </w:r>
      <w:r w:rsidRPr="008549D5">
        <w:t xml:space="preserve"> for the supply of medicines</w:t>
      </w:r>
      <w:r>
        <w:t xml:space="preserve"> and</w:t>
      </w:r>
      <w:r w:rsidRPr="008549D5">
        <w:t xml:space="preserve"> any outstanding medicines already dispensed for scripts but not yet supplied in a DAA. </w:t>
      </w:r>
    </w:p>
    <w:p w14:paraId="67C6A161" w14:textId="4B101DDA" w:rsidR="00967E6D" w:rsidRPr="006D0894" w:rsidRDefault="00967E6D" w:rsidP="000920DC">
      <w:pPr>
        <w:pStyle w:val="Heading2"/>
        <w:widowControl w:val="0"/>
        <w:jc w:val="both"/>
      </w:pPr>
      <w:bookmarkStart w:id="22" w:name="_Ref109053471"/>
      <w:bookmarkStart w:id="23" w:name="_Ref109053652"/>
      <w:bookmarkStart w:id="24" w:name="_Toc126595353"/>
      <w:r w:rsidRPr="006D0894">
        <w:t>Q</w:t>
      </w:r>
      <w:r w:rsidR="00403546" w:rsidRPr="006D0894">
        <w:t xml:space="preserve">uality </w:t>
      </w:r>
      <w:r w:rsidRPr="006D0894">
        <w:t>U</w:t>
      </w:r>
      <w:r w:rsidR="00403546" w:rsidRPr="006D0894">
        <w:t xml:space="preserve">se of </w:t>
      </w:r>
      <w:r w:rsidRPr="006D0894">
        <w:t>M</w:t>
      </w:r>
      <w:r w:rsidR="00403546" w:rsidRPr="006D0894">
        <w:t>edicines</w:t>
      </w:r>
      <w:bookmarkEnd w:id="22"/>
      <w:bookmarkEnd w:id="23"/>
      <w:bookmarkEnd w:id="24"/>
    </w:p>
    <w:p w14:paraId="3650B3ED" w14:textId="2A33B05E" w:rsidR="00B25655" w:rsidRPr="008549D5" w:rsidRDefault="00B25655" w:rsidP="00466201">
      <w:pPr>
        <w:keepNext/>
        <w:widowControl w:val="0"/>
        <w:spacing w:before="240"/>
        <w:rPr>
          <w:rFonts w:cs="Arial"/>
          <w:i/>
          <w:iCs/>
          <w:szCs w:val="22"/>
        </w:rPr>
      </w:pPr>
      <w:r w:rsidRPr="008549D5">
        <w:rPr>
          <w:rFonts w:cs="Arial"/>
          <w:i/>
          <w:iCs/>
          <w:szCs w:val="22"/>
        </w:rPr>
        <w:t>Inclusion of QUM issues in PRAs</w:t>
      </w:r>
    </w:p>
    <w:p w14:paraId="24159C3E" w14:textId="211805A5" w:rsidR="00FF58C2" w:rsidRDefault="00FF58C2" w:rsidP="00D148A7">
      <w:pPr>
        <w:pStyle w:val="Paragraphtext"/>
      </w:pPr>
      <w:r>
        <w:rPr>
          <w:lang w:eastAsia="en-AU"/>
        </w:rPr>
        <w:t>Current PRAs</w:t>
      </w:r>
      <w:r w:rsidR="00534BDD">
        <w:rPr>
          <w:lang w:eastAsia="en-AU"/>
        </w:rPr>
        <w:t xml:space="preserve"> contain clauses that ensure </w:t>
      </w:r>
      <w:r w:rsidR="00534BDD" w:rsidRPr="00534BDD">
        <w:rPr>
          <w:lang w:eastAsia="en-AU"/>
        </w:rPr>
        <w:t xml:space="preserve">eligible </w:t>
      </w:r>
      <w:r w:rsidR="00E6057D">
        <w:rPr>
          <w:lang w:eastAsia="en-AU"/>
        </w:rPr>
        <w:t>patients are</w:t>
      </w:r>
      <w:r w:rsidR="00534BDD" w:rsidRPr="00534BDD">
        <w:rPr>
          <w:lang w:eastAsia="en-AU"/>
        </w:rPr>
        <w:t xml:space="preserve"> supplied with </w:t>
      </w:r>
      <w:r w:rsidR="00E6057D" w:rsidRPr="00534BDD">
        <w:rPr>
          <w:lang w:eastAsia="en-AU"/>
        </w:rPr>
        <w:t xml:space="preserve">a clinically appropriate quantity </w:t>
      </w:r>
      <w:r w:rsidR="0068071F">
        <w:rPr>
          <w:lang w:eastAsia="en-AU"/>
        </w:rPr>
        <w:t xml:space="preserve">of </w:t>
      </w:r>
      <w:r w:rsidR="00534BDD" w:rsidRPr="00534BDD">
        <w:rPr>
          <w:lang w:eastAsia="en-AU"/>
        </w:rPr>
        <w:t xml:space="preserve">pharmaceutical </w:t>
      </w:r>
      <w:r w:rsidR="00534BDD" w:rsidRPr="00534BDD">
        <w:t>benefits and/or chemotherapy pharmaceuticals</w:t>
      </w:r>
      <w:r w:rsidR="00E6057D">
        <w:t>,</w:t>
      </w:r>
      <w:r w:rsidR="00534BDD" w:rsidRPr="00534BDD">
        <w:t xml:space="preserve"> irrespective of </w:t>
      </w:r>
      <w:r w:rsidR="0075026A" w:rsidRPr="00534BDD">
        <w:t>whether</w:t>
      </w:r>
      <w:r w:rsidR="00534BDD" w:rsidRPr="00534BDD">
        <w:t xml:space="preserve"> those pharmaceutical benefits and/or chemotherapy pharmaceuticals are supplied in accordance with th</w:t>
      </w:r>
      <w:r w:rsidR="0068071F">
        <w:t>e</w:t>
      </w:r>
      <w:r w:rsidR="00534BDD" w:rsidRPr="00534BDD">
        <w:t xml:space="preserve"> Agreement. </w:t>
      </w:r>
      <w:r w:rsidR="00E6057D">
        <w:t>Also,</w:t>
      </w:r>
      <w:r w:rsidR="00534BDD">
        <w:t xml:space="preserve"> generalised clauses </w:t>
      </w:r>
      <w:r w:rsidR="00534BDD" w:rsidRPr="00534BDD">
        <w:t xml:space="preserve">ensure the continuum of pharmaceutical care between the hospital and the </w:t>
      </w:r>
      <w:r w:rsidR="00534BDD">
        <w:t>c</w:t>
      </w:r>
      <w:r w:rsidR="00534BDD" w:rsidRPr="00534BDD">
        <w:t>ommunity</w:t>
      </w:r>
      <w:r w:rsidR="00534BDD">
        <w:t>, including obtaining medication history, evaluation of current medication</w:t>
      </w:r>
      <w:r w:rsidR="00E6057D">
        <w:t>,</w:t>
      </w:r>
      <w:r w:rsidR="00534BDD">
        <w:t xml:space="preserve"> and </w:t>
      </w:r>
      <w:r w:rsidR="00534BDD" w:rsidRPr="00534BDD">
        <w:t>development and coordination of a medication discharge plan for each patient</w:t>
      </w:r>
      <w:r w:rsidR="00534BDD">
        <w:t>. However, while these were best practi</w:t>
      </w:r>
      <w:r w:rsidR="00E6057D">
        <w:t>c</w:t>
      </w:r>
      <w:r w:rsidR="00534BDD">
        <w:t>e at the time of entering the agreements the</w:t>
      </w:r>
      <w:r w:rsidR="0068071F">
        <w:t xml:space="preserve"> references</w:t>
      </w:r>
      <w:r w:rsidR="00E6057D">
        <w:t xml:space="preserve"> have</w:t>
      </w:r>
      <w:r w:rsidR="00534BDD">
        <w:t xml:space="preserve"> remain</w:t>
      </w:r>
      <w:r w:rsidR="00E6057D">
        <w:t>ed</w:t>
      </w:r>
      <w:r w:rsidR="00534BDD">
        <w:t xml:space="preserve"> static for the duration of the agreement.</w:t>
      </w:r>
    </w:p>
    <w:p w14:paraId="67709F2A" w14:textId="67C9ECDE" w:rsidR="00FF58C2" w:rsidRDefault="00FF58C2" w:rsidP="00D148A7">
      <w:pPr>
        <w:pStyle w:val="Paragraphtext"/>
      </w:pPr>
      <w:r>
        <w:t xml:space="preserve">Stakeholders </w:t>
      </w:r>
      <w:r w:rsidR="00E6057D">
        <w:t>reported</w:t>
      </w:r>
      <w:r w:rsidR="00E61FF7" w:rsidRPr="00E61FF7">
        <w:t xml:space="preserve"> </w:t>
      </w:r>
      <w:r w:rsidR="002E3A4E">
        <w:t>that m</w:t>
      </w:r>
      <w:r w:rsidR="00E61FF7" w:rsidRPr="00E61FF7">
        <w:t xml:space="preserve">edication management </w:t>
      </w:r>
      <w:r w:rsidR="00E6057D">
        <w:t xml:space="preserve">in hospitals </w:t>
      </w:r>
      <w:r w:rsidR="00E61FF7" w:rsidRPr="00E61FF7">
        <w:t>has improved significantly over the last 20 years</w:t>
      </w:r>
      <w:r w:rsidR="00E6057D">
        <w:t xml:space="preserve"> and that t</w:t>
      </w:r>
      <w:r w:rsidR="00E61FF7" w:rsidRPr="00E61FF7">
        <w:t>he tools and resources provided by the Australian Commission for Safety and Quality in Healthcare</w:t>
      </w:r>
      <w:r w:rsidR="0068071F">
        <w:t xml:space="preserve"> (ACSQHC)</w:t>
      </w:r>
      <w:r w:rsidR="00E61FF7" w:rsidRPr="00E61FF7">
        <w:t xml:space="preserve"> should be referenced in PRAs.</w:t>
      </w:r>
      <w:r w:rsidR="00E6057D">
        <w:t xml:space="preserve"> Stakeholders considered that t</w:t>
      </w:r>
      <w:r w:rsidR="00E61FF7" w:rsidRPr="00E61FF7">
        <w:t>here is no need to make specific references to quality use of medicines criteria or goals, as ACSQHC standards and guidelines provide this detail</w:t>
      </w:r>
      <w:r w:rsidR="00E6057D">
        <w:t xml:space="preserve"> and advised that p</w:t>
      </w:r>
      <w:r w:rsidR="00E61FF7" w:rsidRPr="00E61FF7">
        <w:t>ublic hospitals are well across this detail.</w:t>
      </w:r>
      <w:r w:rsidR="00E61FF7">
        <w:t xml:space="preserve"> </w:t>
      </w:r>
    </w:p>
    <w:p w14:paraId="6721378D" w14:textId="5E636986" w:rsidR="000379E4" w:rsidRDefault="000A66A6" w:rsidP="00D148A7">
      <w:pPr>
        <w:pStyle w:val="Paragraphtext"/>
      </w:pPr>
      <w:r>
        <w:t>There remains a n</w:t>
      </w:r>
      <w:r w:rsidR="00B61694" w:rsidRPr="008549D5">
        <w:t>eed to continue to include adopt</w:t>
      </w:r>
      <w:r>
        <w:t>ion</w:t>
      </w:r>
      <w:r w:rsidR="00B61694" w:rsidRPr="008549D5">
        <w:t xml:space="preserve"> and </w:t>
      </w:r>
      <w:r>
        <w:t xml:space="preserve">implementation </w:t>
      </w:r>
      <w:r w:rsidR="008D2FEE">
        <w:t>of</w:t>
      </w:r>
      <w:r w:rsidR="00B61694" w:rsidRPr="008549D5">
        <w:t xml:space="preserve"> the </w:t>
      </w:r>
      <w:r w:rsidR="00B61694" w:rsidRPr="0068071F">
        <w:rPr>
          <w:i/>
          <w:iCs/>
        </w:rPr>
        <w:t>Guiding principles to achieve continuity in medication management</w:t>
      </w:r>
      <w:r w:rsidR="00B61694" w:rsidRPr="0068071F">
        <w:rPr>
          <w:vertAlign w:val="superscript"/>
        </w:rPr>
        <w:footnoteReference w:id="6"/>
      </w:r>
      <w:r w:rsidR="00B61694" w:rsidRPr="00D148A7">
        <w:t xml:space="preserve"> </w:t>
      </w:r>
      <w:r w:rsidR="00647670" w:rsidRPr="008549D5">
        <w:t xml:space="preserve">or its replacement guidelines </w:t>
      </w:r>
      <w:r w:rsidR="00B61694" w:rsidRPr="008549D5">
        <w:t xml:space="preserve">in future PRAs. </w:t>
      </w:r>
      <w:r w:rsidR="00192A07" w:rsidRPr="008549D5">
        <w:t>PRAs have strengthened the commitment of jurisdictions to adopt best practice medicine management.</w:t>
      </w:r>
      <w:r w:rsidR="00DE755C" w:rsidRPr="008549D5">
        <w:t xml:space="preserve"> This has </w:t>
      </w:r>
      <w:r w:rsidR="00111C8F">
        <w:t>widely been acknowledged as</w:t>
      </w:r>
      <w:r w:rsidR="00DE755C" w:rsidRPr="008549D5">
        <w:t xml:space="preserve"> a major success of the PRAs, therefore this should continue to be encouraged by inclusion in new PRAs and expansion to those jurisdictions without a PRA</w:t>
      </w:r>
      <w:r w:rsidR="009D0E1E">
        <w:t xml:space="preserve"> in place</w:t>
      </w:r>
      <w:r w:rsidR="00DE755C" w:rsidRPr="008549D5">
        <w:t xml:space="preserve">. </w:t>
      </w:r>
    </w:p>
    <w:p w14:paraId="5A7AF1BE" w14:textId="26D429C6" w:rsidR="0095787B" w:rsidRDefault="00111C8F" w:rsidP="00D148A7">
      <w:pPr>
        <w:pStyle w:val="Paragraphtext"/>
      </w:pPr>
      <w:r>
        <w:t xml:space="preserve">The </w:t>
      </w:r>
      <w:r w:rsidR="000379E4" w:rsidRPr="008549D5">
        <w:t>ACSQHC administer</w:t>
      </w:r>
      <w:r w:rsidR="00E6057D">
        <w:t>s</w:t>
      </w:r>
      <w:r w:rsidR="000379E4" w:rsidRPr="008549D5">
        <w:t xml:space="preserve"> the </w:t>
      </w:r>
      <w:bookmarkStart w:id="25" w:name="_Hlk109393180"/>
      <w:r w:rsidR="000379E4" w:rsidRPr="00993B1D">
        <w:rPr>
          <w:i/>
          <w:iCs/>
        </w:rPr>
        <w:t>N</w:t>
      </w:r>
      <w:r w:rsidR="000379E4" w:rsidRPr="0068071F">
        <w:rPr>
          <w:i/>
          <w:iCs/>
        </w:rPr>
        <w:t>ational Indicators for Quality Use of Medicines (QUM) in Australian Hospitals 2014</w:t>
      </w:r>
      <w:r w:rsidR="000379E4" w:rsidRPr="008549D5">
        <w:t xml:space="preserve"> </w:t>
      </w:r>
      <w:bookmarkEnd w:id="25"/>
      <w:r w:rsidR="000379E4" w:rsidRPr="008549D5">
        <w:t xml:space="preserve">which support measurement of safety and quality </w:t>
      </w:r>
      <w:r w:rsidR="00F736B7" w:rsidRPr="008549D5">
        <w:t xml:space="preserve">use </w:t>
      </w:r>
      <w:r w:rsidR="000379E4" w:rsidRPr="008549D5">
        <w:t>of medicines for quality improvement purposes, and to help health services to drive changes in healthcare practice</w:t>
      </w:r>
      <w:r w:rsidR="000379E4" w:rsidRPr="0068071F">
        <w:rPr>
          <w:vertAlign w:val="superscript"/>
        </w:rPr>
        <w:footnoteReference w:id="7"/>
      </w:r>
      <w:r w:rsidR="000379E4" w:rsidRPr="008549D5">
        <w:t xml:space="preserve">. </w:t>
      </w:r>
      <w:bookmarkStart w:id="26" w:name="_Hlk106804869"/>
      <w:r w:rsidR="004978AA">
        <w:t xml:space="preserve">This program also includes a number of indicator measures that could be used to quantify potential </w:t>
      </w:r>
      <w:r w:rsidR="003B411D">
        <w:t>key performance measures (KPM)</w:t>
      </w:r>
      <w:r w:rsidR="004978AA">
        <w:t xml:space="preserve"> </w:t>
      </w:r>
      <w:r w:rsidR="003B411D">
        <w:t>(</w:t>
      </w:r>
      <w:r w:rsidR="004978AA">
        <w:t>discussed below</w:t>
      </w:r>
      <w:r w:rsidR="003B411D">
        <w:t>)</w:t>
      </w:r>
      <w:r w:rsidR="004978AA">
        <w:t>, including p</w:t>
      </w:r>
      <w:r w:rsidR="004978AA" w:rsidRPr="004978AA">
        <w:t>ercentage of patients whose current medicines are documented and reconciled at admission</w:t>
      </w:r>
      <w:r w:rsidR="004978AA">
        <w:t>, p</w:t>
      </w:r>
      <w:r w:rsidR="004978AA" w:rsidRPr="004978AA">
        <w:t xml:space="preserve">ercentage of patients whose discharge summaries contain a current, accurate and comprehensive list of </w:t>
      </w:r>
      <w:r w:rsidR="004978AA" w:rsidRPr="004978AA">
        <w:lastRenderedPageBreak/>
        <w:t>medicines</w:t>
      </w:r>
      <w:r w:rsidR="004978AA">
        <w:t xml:space="preserve"> and p</w:t>
      </w:r>
      <w:r w:rsidR="004978AA" w:rsidRPr="004978AA">
        <w:t>ercentage of patients who receive a current, accurate and comprehensive medication list at the time of hospital discharg</w:t>
      </w:r>
      <w:r w:rsidR="004978AA">
        <w:t xml:space="preserve">e. </w:t>
      </w:r>
    </w:p>
    <w:p w14:paraId="706D3600" w14:textId="7E5E663E" w:rsidR="00403546" w:rsidRPr="006D0894" w:rsidRDefault="00403546" w:rsidP="003537C5">
      <w:pPr>
        <w:pStyle w:val="Heading2"/>
        <w:keepLines/>
      </w:pPr>
      <w:bookmarkStart w:id="27" w:name="_Ref109053478"/>
      <w:bookmarkStart w:id="28" w:name="_Ref109129178"/>
      <w:bookmarkStart w:id="29" w:name="_Toc126595354"/>
      <w:bookmarkEnd w:id="26"/>
      <w:r w:rsidRPr="006D0894">
        <w:t>Building and maintaining a quality hospital pharmacy program</w:t>
      </w:r>
      <w:bookmarkEnd w:id="27"/>
      <w:bookmarkEnd w:id="28"/>
      <w:bookmarkEnd w:id="29"/>
    </w:p>
    <w:p w14:paraId="472BB8BB" w14:textId="2F9EFDDF" w:rsidR="00B61694" w:rsidRPr="008549D5" w:rsidRDefault="00967E6D" w:rsidP="003545CC">
      <w:pPr>
        <w:spacing w:before="240"/>
        <w:rPr>
          <w:rFonts w:cs="Arial"/>
          <w:i/>
          <w:iCs/>
          <w:szCs w:val="22"/>
        </w:rPr>
      </w:pPr>
      <w:r w:rsidRPr="008549D5">
        <w:rPr>
          <w:rFonts w:cs="Arial"/>
          <w:i/>
          <w:iCs/>
          <w:szCs w:val="22"/>
        </w:rPr>
        <w:t>Prescribers</w:t>
      </w:r>
    </w:p>
    <w:p w14:paraId="4441343C" w14:textId="5C23171A" w:rsidR="00111C8F" w:rsidRDefault="00111C8F" w:rsidP="00D148A7">
      <w:pPr>
        <w:pStyle w:val="Paragraphtext"/>
      </w:pPr>
      <w:r>
        <w:t>Current</w:t>
      </w:r>
      <w:r w:rsidR="002E3A4E">
        <w:t xml:space="preserve"> </w:t>
      </w:r>
      <w:r>
        <w:t>PRAs</w:t>
      </w:r>
      <w:r w:rsidR="002E3A4E">
        <w:t xml:space="preserve"> vary in the wording around eligible prescribers</w:t>
      </w:r>
      <w:r w:rsidR="0018203C">
        <w:t>;</w:t>
      </w:r>
      <w:r w:rsidR="002E3A4E">
        <w:t xml:space="preserve"> while some PRAs contain definitions that allow all eligible prescribers to issue PBS </w:t>
      </w:r>
      <w:r w:rsidR="0018203C">
        <w:t>prescriptions</w:t>
      </w:r>
      <w:r w:rsidR="002E3A4E">
        <w:t xml:space="preserve"> for dispensing</w:t>
      </w:r>
      <w:r w:rsidR="00B9678A">
        <w:t>, some PRA</w:t>
      </w:r>
      <w:r w:rsidR="0018203C">
        <w:t>s</w:t>
      </w:r>
      <w:r w:rsidR="00B9678A">
        <w:t xml:space="preserve"> still refer to medical practitioners which is seen as limiting prescribing to doctors. Stakeholder</w:t>
      </w:r>
      <w:r w:rsidR="0018203C">
        <w:t>s</w:t>
      </w:r>
      <w:r w:rsidR="00B9678A">
        <w:t xml:space="preserve"> indicated that </w:t>
      </w:r>
      <w:r w:rsidR="00B9678A" w:rsidRPr="00B9678A">
        <w:t>PBS prescribing should be by individual practitioners’ scope of practice</w:t>
      </w:r>
      <w:r w:rsidR="00B9678A">
        <w:t xml:space="preserve"> under the broader PBS</w:t>
      </w:r>
      <w:r w:rsidR="00B9678A" w:rsidRPr="00B9678A">
        <w:t>, including nurse practitioners where applicable in a jurisdiction.</w:t>
      </w:r>
    </w:p>
    <w:p w14:paraId="317969FB" w14:textId="0C9A49CD" w:rsidR="004C7FC2" w:rsidRPr="00B9678A" w:rsidRDefault="00111C8F" w:rsidP="00D148A7">
      <w:pPr>
        <w:pStyle w:val="Paragraphtext"/>
      </w:pPr>
      <w:r w:rsidRPr="0018203C">
        <w:t>It was never the intention of the PRA</w:t>
      </w:r>
      <w:r w:rsidR="0018203C">
        <w:t>s</w:t>
      </w:r>
      <w:r w:rsidRPr="0018203C">
        <w:t xml:space="preserve"> to restrict the scope of prescribers eligible to prescribe </w:t>
      </w:r>
      <w:r w:rsidRPr="00B9678A">
        <w:t>outside of the restrictions already in the PBS</w:t>
      </w:r>
      <w:r w:rsidR="004C7FC2" w:rsidRPr="00B9678A">
        <w:t xml:space="preserve">; </w:t>
      </w:r>
      <w:r w:rsidRPr="00B9678A">
        <w:t xml:space="preserve">this has occurred as new prescribers were permitted under jurisdictional and Commonwealth legislation since the inception of the PRAs. </w:t>
      </w:r>
    </w:p>
    <w:p w14:paraId="6F14D69E" w14:textId="62A425B2" w:rsidR="00131BFE" w:rsidRPr="003545CC" w:rsidRDefault="00131BFE" w:rsidP="003545CC">
      <w:pPr>
        <w:spacing w:before="240"/>
        <w:rPr>
          <w:rFonts w:cs="Arial"/>
          <w:i/>
          <w:iCs/>
          <w:szCs w:val="22"/>
        </w:rPr>
      </w:pPr>
      <w:r w:rsidRPr="003545CC">
        <w:rPr>
          <w:rFonts w:cs="Arial"/>
          <w:i/>
          <w:iCs/>
          <w:szCs w:val="22"/>
        </w:rPr>
        <w:t>New Hospital programs</w:t>
      </w:r>
    </w:p>
    <w:p w14:paraId="3ACBEC17" w14:textId="4B1C42F3" w:rsidR="00C64F0F" w:rsidRDefault="00C64F0F" w:rsidP="00D148A7">
      <w:pPr>
        <w:pStyle w:val="Paragraphtext"/>
      </w:pPr>
      <w:r>
        <w:t xml:space="preserve">Since the inception of PRAs, new models of care have been established, in particular since the onset of the COVID-19 pandemic in 2020. PRAs currently restrict prescribing and dispensing to patients on discharge, day-admitted patients and non-admitted patients. </w:t>
      </w:r>
    </w:p>
    <w:p w14:paraId="14C601F5" w14:textId="00D67352" w:rsidR="00C64F0F" w:rsidRPr="008549D5" w:rsidRDefault="00C64F0F" w:rsidP="00D148A7">
      <w:pPr>
        <w:pStyle w:val="Paragraphtext"/>
      </w:pPr>
      <w:r w:rsidRPr="008549D5">
        <w:t>An admitted patient is defined as a patient who undergoes a hospital’s admission process to receive treatment and/or care. This treatment and/or care is provided over a period of time, and can occur in hospital and/or in the person’s home (for hospital-in-the-home patients).</w:t>
      </w:r>
      <w:r>
        <w:t xml:space="preserve"> </w:t>
      </w:r>
      <w:r w:rsidRPr="008549D5">
        <w:t>Inpatient</w:t>
      </w:r>
      <w:r w:rsidR="0018203C">
        <w:t>s</w:t>
      </w:r>
      <w:r w:rsidRPr="008549D5">
        <w:t xml:space="preserve"> are currently outside the scope of access to PBS medicines under the PRAs as these are the responsibility of the jurisdictions to provide and are funded through the NHRA. The NHRA provides for </w:t>
      </w:r>
      <w:r w:rsidR="00F67840" w:rsidRPr="00F67840">
        <w:t xml:space="preserve">the delivery and funding of public hospital </w:t>
      </w:r>
      <w:r w:rsidRPr="008549D5">
        <w:t xml:space="preserve">services delivered through emergency departments, hospitals and community health settings. </w:t>
      </w:r>
    </w:p>
    <w:p w14:paraId="2D64FE64" w14:textId="0B523881" w:rsidR="00C64F0F" w:rsidRDefault="00C64F0F" w:rsidP="00D148A7">
      <w:pPr>
        <w:pStyle w:val="Paragraphtext"/>
      </w:pPr>
      <w:r w:rsidRPr="008549D5">
        <w:t>Non-admitted care includes all hospital services and care provided to a patient who is not formally admitted at the time when the care is provided (</w:t>
      </w:r>
      <w:r w:rsidR="0075026A" w:rsidRPr="008549D5">
        <w:t>e.g.</w:t>
      </w:r>
      <w:r w:rsidRPr="008549D5">
        <w:t xml:space="preserve"> in an outpatient clinic). </w:t>
      </w:r>
    </w:p>
    <w:p w14:paraId="31961F00" w14:textId="16801580" w:rsidR="00C64F0F" w:rsidRPr="008549D5" w:rsidRDefault="00C64F0F" w:rsidP="00D148A7">
      <w:pPr>
        <w:pStyle w:val="Paragraphtext"/>
      </w:pPr>
      <w:r w:rsidRPr="008549D5">
        <w:t>Out-patients are covered for access to PBS medicines by PRAs while all in-patients including day-admitted patients are not, except for access to S100 EFC medicines.</w:t>
      </w:r>
    </w:p>
    <w:p w14:paraId="1ADF75B6" w14:textId="34536094" w:rsidR="0033592A" w:rsidRPr="008549D5" w:rsidRDefault="00C64F0F" w:rsidP="00D148A7">
      <w:pPr>
        <w:pStyle w:val="Paragraphtext"/>
      </w:pPr>
      <w:r>
        <w:t>Jurisdictions strongly argued for the inclusion of new models of care in the public hospital setting</w:t>
      </w:r>
      <w:r w:rsidR="00F736B7">
        <w:t xml:space="preserve"> to</w:t>
      </w:r>
      <w:r>
        <w:t xml:space="preserve"> </w:t>
      </w:r>
      <w:r w:rsidR="0068071F">
        <w:t xml:space="preserve">be </w:t>
      </w:r>
      <w:r>
        <w:t>in</w:t>
      </w:r>
      <w:r w:rsidR="0068071F">
        <w:t>cluded in</w:t>
      </w:r>
      <w:r>
        <w:t xml:space="preserve"> PRAs.</w:t>
      </w:r>
      <w:r w:rsidR="00DE755C" w:rsidRPr="008549D5">
        <w:t xml:space="preserve"> It was proposed that the e</w:t>
      </w:r>
      <w:r w:rsidR="00403546" w:rsidRPr="008549D5">
        <w:t>xpansion of eligible patients to include those cover</w:t>
      </w:r>
      <w:r w:rsidR="00DE755C" w:rsidRPr="008549D5">
        <w:t>ed</w:t>
      </w:r>
      <w:r w:rsidR="00403546" w:rsidRPr="008549D5">
        <w:t xml:space="preserve"> in </w:t>
      </w:r>
      <w:r w:rsidR="006C693C" w:rsidRPr="008549D5">
        <w:t xml:space="preserve">public hospital </w:t>
      </w:r>
      <w:r w:rsidR="00403546" w:rsidRPr="008549D5">
        <w:t xml:space="preserve">programs such as Hospital in the </w:t>
      </w:r>
      <w:r w:rsidR="00F736B7">
        <w:t>H</w:t>
      </w:r>
      <w:r w:rsidR="00403546" w:rsidRPr="008549D5">
        <w:t>ome</w:t>
      </w:r>
      <w:r w:rsidR="0033592A" w:rsidRPr="008549D5">
        <w:t xml:space="preserve"> be considered as part of updated PRA</w:t>
      </w:r>
      <w:r w:rsidR="000A66A6">
        <w:t>s</w:t>
      </w:r>
      <w:r w:rsidR="00403546" w:rsidRPr="008549D5">
        <w:t xml:space="preserve">, as </w:t>
      </w:r>
      <w:r w:rsidR="0018203C">
        <w:t xml:space="preserve">they argued </w:t>
      </w:r>
      <w:r w:rsidR="00403546" w:rsidRPr="008549D5">
        <w:t>these are “community based programs” to avoid or reduce hospitalisation timeframes</w:t>
      </w:r>
      <w:r w:rsidR="0033592A" w:rsidRPr="008549D5">
        <w:t>. W</w:t>
      </w:r>
      <w:r w:rsidR="00FB681D" w:rsidRPr="008549D5">
        <w:t>h</w:t>
      </w:r>
      <w:r w:rsidR="0033592A" w:rsidRPr="008549D5">
        <w:t>il</w:t>
      </w:r>
      <w:r w:rsidR="00FB681D" w:rsidRPr="008549D5">
        <w:t>e</w:t>
      </w:r>
      <w:r w:rsidR="00403546" w:rsidRPr="008549D5">
        <w:t xml:space="preserve"> on the surface</w:t>
      </w:r>
      <w:r w:rsidR="0033592A" w:rsidRPr="008549D5">
        <w:t xml:space="preserve"> these programs</w:t>
      </w:r>
      <w:r w:rsidR="00403546" w:rsidRPr="008549D5">
        <w:t xml:space="preserve"> meet the intention of the PBS to subsidise the cost of listed medicines to people in the community setting</w:t>
      </w:r>
      <w:r>
        <w:t>, i</w:t>
      </w:r>
      <w:r w:rsidR="0033592A" w:rsidRPr="008549D5">
        <w:t>t is n</w:t>
      </w:r>
      <w:r w:rsidR="00403546" w:rsidRPr="008549D5">
        <w:t>ot</w:t>
      </w:r>
      <w:r w:rsidR="0033592A" w:rsidRPr="008549D5">
        <w:t>ed</w:t>
      </w:r>
      <w:r w:rsidR="00403546" w:rsidRPr="008549D5">
        <w:t xml:space="preserve"> that </w:t>
      </w:r>
      <w:r>
        <w:t xml:space="preserve">many of these models of care </w:t>
      </w:r>
      <w:r w:rsidR="00403546" w:rsidRPr="008549D5">
        <w:t>require patients to be</w:t>
      </w:r>
      <w:r>
        <w:t xml:space="preserve"> classified</w:t>
      </w:r>
      <w:r w:rsidR="00403546" w:rsidRPr="008549D5">
        <w:t xml:space="preserve"> </w:t>
      </w:r>
      <w:r>
        <w:t xml:space="preserve">as </w:t>
      </w:r>
      <w:r w:rsidR="00403546" w:rsidRPr="008549D5">
        <w:t>admitted hospital patients</w:t>
      </w:r>
      <w:r>
        <w:t>.</w:t>
      </w:r>
      <w:r w:rsidR="0033592A" w:rsidRPr="008549D5">
        <w:t xml:space="preserve"> </w:t>
      </w:r>
      <w:r>
        <w:t>T</w:t>
      </w:r>
      <w:r w:rsidR="0033592A" w:rsidRPr="008549D5">
        <w:t>his</w:t>
      </w:r>
      <w:r w:rsidR="00403546" w:rsidRPr="008549D5">
        <w:t xml:space="preserve"> complicates the funding model </w:t>
      </w:r>
      <w:r w:rsidR="0075026A" w:rsidRPr="008549D5">
        <w:t>in regard to</w:t>
      </w:r>
      <w:r w:rsidR="00403546" w:rsidRPr="008549D5">
        <w:t xml:space="preserve"> PRAs as funding for these patients </w:t>
      </w:r>
      <w:r>
        <w:t>is</w:t>
      </w:r>
      <w:r w:rsidRPr="008549D5">
        <w:t xml:space="preserve"> </w:t>
      </w:r>
      <w:r w:rsidR="00403546" w:rsidRPr="008549D5">
        <w:t xml:space="preserve">already </w:t>
      </w:r>
      <w:r w:rsidR="0018203C">
        <w:t>e</w:t>
      </w:r>
      <w:r w:rsidR="00403546" w:rsidRPr="008549D5">
        <w:t xml:space="preserve">mbedded in the NHRA. </w:t>
      </w:r>
    </w:p>
    <w:p w14:paraId="6287C87D" w14:textId="65BDC1D2" w:rsidR="00447E0A" w:rsidRPr="00447E0A" w:rsidRDefault="00447E0A" w:rsidP="003545CC">
      <w:pPr>
        <w:spacing w:before="240"/>
        <w:rPr>
          <w:rFonts w:cs="Arial"/>
          <w:i/>
          <w:iCs/>
          <w:szCs w:val="22"/>
        </w:rPr>
      </w:pPr>
      <w:r w:rsidRPr="00447E0A">
        <w:rPr>
          <w:rFonts w:cs="Arial"/>
          <w:i/>
          <w:iCs/>
          <w:szCs w:val="22"/>
        </w:rPr>
        <w:t>High cost treatments</w:t>
      </w:r>
    </w:p>
    <w:p w14:paraId="3BC193B2" w14:textId="44119D9D" w:rsidR="00447E0A" w:rsidRPr="008549D5" w:rsidRDefault="001A7689" w:rsidP="00D148A7">
      <w:pPr>
        <w:pStyle w:val="Paragraphtext"/>
      </w:pPr>
      <w:r>
        <w:t xml:space="preserve">Multiple stakeholders indicated that the cost of treating in-patients </w:t>
      </w:r>
      <w:r w:rsidR="00B32679">
        <w:t xml:space="preserve">with individually tailored therapies and medicines was a significant and increasing component of some tertiary hospital budgets. </w:t>
      </w:r>
      <w:r w:rsidR="003841C5">
        <w:t>Jurisdictions noted that the majority of these treatments are currently funded by mutual agreement between jurisdictions and the Commonwealth through the NHRA. There was discussion that this current situation was not sustainable and that the Commonwealth should contribute more to the finding of these treatments.</w:t>
      </w:r>
      <w:r w:rsidR="006C1E28">
        <w:t xml:space="preserve"> </w:t>
      </w:r>
    </w:p>
    <w:p w14:paraId="17532505" w14:textId="5026BA46" w:rsidR="009F7B05" w:rsidRPr="008549D5" w:rsidRDefault="009F7B05" w:rsidP="00106734">
      <w:pPr>
        <w:keepNext/>
        <w:spacing w:before="240"/>
        <w:rPr>
          <w:rFonts w:cs="Arial"/>
          <w:i/>
          <w:iCs/>
          <w:szCs w:val="22"/>
        </w:rPr>
      </w:pPr>
      <w:r w:rsidRPr="008549D5">
        <w:rPr>
          <w:rFonts w:cs="Arial"/>
          <w:i/>
          <w:iCs/>
          <w:szCs w:val="22"/>
        </w:rPr>
        <w:lastRenderedPageBreak/>
        <w:t>Harmonisation</w:t>
      </w:r>
      <w:r w:rsidR="00AA2F7F" w:rsidRPr="008549D5">
        <w:rPr>
          <w:rFonts w:cs="Arial"/>
          <w:i/>
          <w:iCs/>
          <w:szCs w:val="22"/>
        </w:rPr>
        <w:t xml:space="preserve"> </w:t>
      </w:r>
      <w:r w:rsidR="00691CE5" w:rsidRPr="008549D5">
        <w:rPr>
          <w:rFonts w:cs="Arial"/>
          <w:i/>
          <w:iCs/>
          <w:szCs w:val="22"/>
        </w:rPr>
        <w:t>/</w:t>
      </w:r>
      <w:r w:rsidR="00AA2F7F" w:rsidRPr="008549D5">
        <w:rPr>
          <w:rFonts w:cs="Arial"/>
          <w:i/>
          <w:iCs/>
          <w:szCs w:val="22"/>
        </w:rPr>
        <w:t xml:space="preserve"> </w:t>
      </w:r>
      <w:r w:rsidR="00691CE5" w:rsidRPr="008549D5">
        <w:rPr>
          <w:rFonts w:cs="Arial"/>
          <w:i/>
          <w:iCs/>
          <w:szCs w:val="22"/>
        </w:rPr>
        <w:t>Activity based funding</w:t>
      </w:r>
    </w:p>
    <w:p w14:paraId="60AA7B00" w14:textId="79E0B8A8" w:rsidR="00B33FD2" w:rsidRPr="008549D5" w:rsidRDefault="00B33FD2" w:rsidP="00B33FD2">
      <w:pPr>
        <w:pStyle w:val="Paragraphtext"/>
        <w:rPr>
          <w:lang w:eastAsia="en-AU"/>
        </w:rPr>
      </w:pPr>
      <w:r>
        <w:rPr>
          <w:lang w:eastAsia="en-AU"/>
        </w:rPr>
        <w:t>Stakeholders</w:t>
      </w:r>
      <w:r w:rsidRPr="008549D5">
        <w:rPr>
          <w:lang w:eastAsia="en-AU"/>
        </w:rPr>
        <w:t xml:space="preserve"> have indicated a desire to harmonise the fee and mark-up structure between public hospitals</w:t>
      </w:r>
      <w:r>
        <w:rPr>
          <w:lang w:eastAsia="en-AU"/>
        </w:rPr>
        <w:t xml:space="preserve">, </w:t>
      </w:r>
      <w:r w:rsidRPr="008549D5">
        <w:rPr>
          <w:lang w:eastAsia="en-AU"/>
        </w:rPr>
        <w:t xml:space="preserve">private hospitals and community pharmacies. </w:t>
      </w:r>
      <w:r>
        <w:rPr>
          <w:lang w:eastAsia="en-AU"/>
        </w:rPr>
        <w:t xml:space="preserve">However the fees to community pharmacies are designed to ensure the viability of community pharmacies in accessible retail settings. </w:t>
      </w:r>
      <w:r w:rsidRPr="008549D5">
        <w:rPr>
          <w:lang w:eastAsia="en-AU"/>
        </w:rPr>
        <w:t>As such it would not be appropriate to pass this fee onto public hospital pharmacies where the Commonwealth is not responsible for ensuring the viability of the pharmacy</w:t>
      </w:r>
      <w:r>
        <w:rPr>
          <w:lang w:eastAsia="en-AU"/>
        </w:rPr>
        <w:t xml:space="preserve"> as this remains the remit of jurisdictions</w:t>
      </w:r>
      <w:r w:rsidRPr="008549D5">
        <w:rPr>
          <w:lang w:eastAsia="en-AU"/>
        </w:rPr>
        <w:t xml:space="preserve">. </w:t>
      </w:r>
    </w:p>
    <w:p w14:paraId="4E70B95B" w14:textId="64B77374" w:rsidR="007E4AF8" w:rsidRDefault="00931845" w:rsidP="00B33FD2">
      <w:pPr>
        <w:pStyle w:val="Paragraphtext"/>
      </w:pPr>
      <w:r w:rsidRPr="00D148A7">
        <w:t xml:space="preserve">There is a marked difference in the </w:t>
      </w:r>
      <w:r w:rsidR="00CC4484" w:rsidRPr="00D148A7">
        <w:t xml:space="preserve">Commonwealth </w:t>
      </w:r>
      <w:r w:rsidRPr="00D148A7">
        <w:t xml:space="preserve">remuneration structure for public hospitals and private hospital/community pharmacies. </w:t>
      </w:r>
      <w:r w:rsidR="00CC4484" w:rsidRPr="00D148A7">
        <w:t xml:space="preserve">As outlined in </w:t>
      </w:r>
      <w:r w:rsidR="000920DC">
        <w:t>Tables 1-3</w:t>
      </w:r>
      <w:r w:rsidR="00CC4484" w:rsidRPr="00D148A7">
        <w:t>, a</w:t>
      </w:r>
      <w:r w:rsidRPr="00D148A7">
        <w:t>ll pharmacies upon dispensing a PBS script are eligible to claim the Wholesale Mark-up of up to a maximum of $54.14 (as at 1 January 2022) for medicines over $720</w:t>
      </w:r>
      <w:r w:rsidR="00416989" w:rsidRPr="00D148A7">
        <w:t>.</w:t>
      </w:r>
      <w:r w:rsidRPr="00D148A7">
        <w:t xml:space="preserve"> </w:t>
      </w:r>
      <w:r w:rsidR="00416989" w:rsidRPr="00D148A7">
        <w:t>H</w:t>
      </w:r>
      <w:r w:rsidRPr="00D148A7">
        <w:t>owever</w:t>
      </w:r>
      <w:r w:rsidR="00993B1D">
        <w:t>,</w:t>
      </w:r>
      <w:r w:rsidRPr="00D148A7">
        <w:t xml:space="preserve"> while private hospitals can claim dispensing fees and dangerous drug fees and community pharmacies can claim dispensing fees and Administration, Handling and Infrastructure (AHI) fees, public hospitals currently cannot claim these fees</w:t>
      </w:r>
      <w:r w:rsidR="00023EC3">
        <w:t xml:space="preserve"> – however, the NHRA does allow public hospitals to charge patients a fee for pharmaceuticals at a level consistent with PBS statutory co-payments.</w:t>
      </w:r>
      <w:r w:rsidRPr="00D148A7">
        <w:t xml:space="preserve"> The aim of the AHI fees is to ensure the viability of community pharmacies in accessible retail settings to continue to dispense PBS medicines. AHI fees were introduced in 2015 to delink pharmacy remuneration from the price of PBS subsidised medicines through the introduction of a predominantly fixed fee, to replace the previous six tier retail mark-up fee</w:t>
      </w:r>
      <w:r w:rsidRPr="008549D5">
        <w:rPr>
          <w:lang w:eastAsia="en-AU"/>
        </w:rPr>
        <w:t>.</w:t>
      </w:r>
    </w:p>
    <w:p w14:paraId="45F2EAFA" w14:textId="4305BEAD" w:rsidR="007E4AF8" w:rsidRDefault="007E4AF8" w:rsidP="007E4AF8">
      <w:pPr>
        <w:pStyle w:val="Caption"/>
      </w:pPr>
      <w:r>
        <w:br w:type="page"/>
      </w:r>
    </w:p>
    <w:p w14:paraId="6C4BBA0D" w14:textId="7F852084" w:rsidR="007B1618" w:rsidRPr="003D02FA" w:rsidRDefault="000920DC">
      <w:pPr>
        <w:rPr>
          <w:b/>
          <w:bCs/>
          <w:color w:val="3F4A75" w:themeColor="accent1"/>
          <w:lang w:eastAsia="en-AU"/>
        </w:rPr>
      </w:pPr>
      <w:r>
        <w:rPr>
          <w:b/>
          <w:bCs/>
          <w:color w:val="3F4A75" w:themeColor="accent1"/>
          <w:lang w:eastAsia="en-AU"/>
        </w:rPr>
        <w:lastRenderedPageBreak/>
        <w:t>Table 1</w:t>
      </w:r>
      <w:r w:rsidR="00491AAC" w:rsidRPr="003D02FA">
        <w:rPr>
          <w:b/>
          <w:bCs/>
          <w:color w:val="3F4A75" w:themeColor="accent1"/>
          <w:lang w:eastAsia="en-AU"/>
        </w:rPr>
        <w:t xml:space="preserve">. Wholesale </w:t>
      </w:r>
      <w:r w:rsidR="0045751F" w:rsidRPr="003D02FA">
        <w:rPr>
          <w:b/>
          <w:bCs/>
          <w:color w:val="3F4A75" w:themeColor="accent1"/>
          <w:lang w:eastAsia="en-AU"/>
        </w:rPr>
        <w:t xml:space="preserve">mark-ups </w:t>
      </w:r>
      <w:r w:rsidR="00C414D2" w:rsidRPr="003D02FA">
        <w:rPr>
          <w:b/>
          <w:bCs/>
          <w:color w:val="3F4A75" w:themeColor="accent1"/>
          <w:lang w:eastAsia="en-AU"/>
        </w:rPr>
        <w:t>(for all pharmacy types)</w:t>
      </w:r>
    </w:p>
    <w:tbl>
      <w:tblPr>
        <w:tblStyle w:val="TableGrid"/>
        <w:tblW w:w="0" w:type="auto"/>
        <w:tblLook w:val="04A0" w:firstRow="1" w:lastRow="0" w:firstColumn="1" w:lastColumn="0" w:noHBand="0" w:noVBand="1"/>
      </w:tblPr>
      <w:tblGrid>
        <w:gridCol w:w="636"/>
        <w:gridCol w:w="1876"/>
        <w:gridCol w:w="863"/>
      </w:tblGrid>
      <w:tr w:rsidR="007B1618" w14:paraId="40E15ACD" w14:textId="77777777" w:rsidTr="00FB0102">
        <w:tc>
          <w:tcPr>
            <w:tcW w:w="0" w:type="auto"/>
            <w:shd w:val="clear" w:color="auto" w:fill="BFE7FF" w:themeFill="accent3" w:themeFillTint="33"/>
          </w:tcPr>
          <w:p w14:paraId="24C06C96" w14:textId="18AA36BC" w:rsidR="007B1618" w:rsidRPr="007F2558" w:rsidRDefault="00463169" w:rsidP="00DE175D">
            <w:pPr>
              <w:jc w:val="center"/>
              <w:rPr>
                <w:rFonts w:ascii="Arial Narrow" w:hAnsi="Arial Narrow"/>
                <w:b/>
                <w:bCs/>
                <w:sz w:val="20"/>
                <w:szCs w:val="20"/>
                <w:lang w:eastAsia="en-AU"/>
              </w:rPr>
            </w:pPr>
            <w:r w:rsidRPr="007F2558">
              <w:rPr>
                <w:rFonts w:ascii="Arial Narrow" w:hAnsi="Arial Narrow"/>
                <w:b/>
                <w:bCs/>
                <w:sz w:val="20"/>
                <w:szCs w:val="20"/>
                <w:lang w:eastAsia="en-AU"/>
              </w:rPr>
              <w:t>L</w:t>
            </w:r>
            <w:r w:rsidR="007B1618" w:rsidRPr="007F2558">
              <w:rPr>
                <w:rFonts w:ascii="Arial Narrow" w:hAnsi="Arial Narrow"/>
                <w:b/>
                <w:bCs/>
                <w:sz w:val="20"/>
                <w:szCs w:val="20"/>
                <w:lang w:eastAsia="en-AU"/>
              </w:rPr>
              <w:t>evel</w:t>
            </w:r>
          </w:p>
        </w:tc>
        <w:tc>
          <w:tcPr>
            <w:tcW w:w="0" w:type="auto"/>
            <w:shd w:val="clear" w:color="auto" w:fill="BFE7FF" w:themeFill="accent3" w:themeFillTint="33"/>
          </w:tcPr>
          <w:p w14:paraId="05128ED6" w14:textId="0AB23435" w:rsidR="007B1618" w:rsidRPr="007F2558" w:rsidRDefault="007B1618" w:rsidP="00DE175D">
            <w:pPr>
              <w:jc w:val="center"/>
              <w:rPr>
                <w:rFonts w:ascii="Arial Narrow" w:hAnsi="Arial Narrow"/>
                <w:b/>
                <w:bCs/>
                <w:sz w:val="20"/>
                <w:szCs w:val="20"/>
                <w:lang w:eastAsia="en-AU"/>
              </w:rPr>
            </w:pPr>
            <w:r w:rsidRPr="007F2558">
              <w:rPr>
                <w:rFonts w:ascii="Arial Narrow" w:hAnsi="Arial Narrow"/>
                <w:b/>
                <w:bCs/>
                <w:sz w:val="20"/>
                <w:szCs w:val="20"/>
                <w:lang w:eastAsia="en-AU"/>
              </w:rPr>
              <w:t>AEMP</w:t>
            </w:r>
          </w:p>
        </w:tc>
        <w:tc>
          <w:tcPr>
            <w:tcW w:w="0" w:type="auto"/>
            <w:shd w:val="clear" w:color="auto" w:fill="BFE7FF" w:themeFill="accent3" w:themeFillTint="33"/>
          </w:tcPr>
          <w:p w14:paraId="33FE6123" w14:textId="2C723395" w:rsidR="007B1618" w:rsidRPr="007F2558" w:rsidRDefault="00463169" w:rsidP="00DE175D">
            <w:pPr>
              <w:jc w:val="center"/>
              <w:rPr>
                <w:rFonts w:ascii="Arial Narrow" w:hAnsi="Arial Narrow"/>
                <w:b/>
                <w:bCs/>
                <w:sz w:val="20"/>
                <w:szCs w:val="20"/>
                <w:lang w:eastAsia="en-AU"/>
              </w:rPr>
            </w:pPr>
            <w:r w:rsidRPr="007F2558">
              <w:rPr>
                <w:rFonts w:ascii="Arial Narrow" w:hAnsi="Arial Narrow"/>
                <w:b/>
                <w:bCs/>
                <w:sz w:val="20"/>
                <w:szCs w:val="20"/>
                <w:lang w:eastAsia="en-AU"/>
              </w:rPr>
              <w:t>m</w:t>
            </w:r>
            <w:r w:rsidR="00C414D2" w:rsidRPr="007F2558">
              <w:rPr>
                <w:rFonts w:ascii="Arial Narrow" w:hAnsi="Arial Narrow"/>
                <w:b/>
                <w:bCs/>
                <w:sz w:val="20"/>
                <w:szCs w:val="20"/>
                <w:lang w:eastAsia="en-AU"/>
              </w:rPr>
              <w:t>ark-up</w:t>
            </w:r>
          </w:p>
        </w:tc>
      </w:tr>
      <w:tr w:rsidR="007B1618" w14:paraId="5A722D75" w14:textId="77777777" w:rsidTr="00FB0102">
        <w:tc>
          <w:tcPr>
            <w:tcW w:w="0" w:type="auto"/>
          </w:tcPr>
          <w:p w14:paraId="20653135" w14:textId="711E2B10" w:rsidR="007B1618" w:rsidRPr="007F2558" w:rsidRDefault="00C414D2" w:rsidP="003D02FA">
            <w:pPr>
              <w:jc w:val="center"/>
              <w:rPr>
                <w:rFonts w:ascii="Arial Narrow" w:hAnsi="Arial Narrow"/>
                <w:b/>
                <w:bCs/>
                <w:sz w:val="20"/>
                <w:szCs w:val="20"/>
                <w:lang w:eastAsia="en-AU"/>
              </w:rPr>
            </w:pPr>
            <w:r w:rsidRPr="007F2558">
              <w:rPr>
                <w:rFonts w:ascii="Arial Narrow" w:hAnsi="Arial Narrow"/>
                <w:b/>
                <w:bCs/>
                <w:sz w:val="20"/>
                <w:szCs w:val="20"/>
                <w:lang w:eastAsia="en-AU"/>
              </w:rPr>
              <w:t>1</w:t>
            </w:r>
          </w:p>
        </w:tc>
        <w:tc>
          <w:tcPr>
            <w:tcW w:w="0" w:type="auto"/>
          </w:tcPr>
          <w:p w14:paraId="651D83B6" w14:textId="0EFB290B"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AEMP up to $5.50</w:t>
            </w:r>
          </w:p>
        </w:tc>
        <w:tc>
          <w:tcPr>
            <w:tcW w:w="0" w:type="auto"/>
          </w:tcPr>
          <w:p w14:paraId="3852C591" w14:textId="4B5F7F03"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$0.41</w:t>
            </w:r>
          </w:p>
        </w:tc>
      </w:tr>
      <w:tr w:rsidR="007B1618" w14:paraId="75B63893" w14:textId="77777777" w:rsidTr="00FB0102">
        <w:tc>
          <w:tcPr>
            <w:tcW w:w="0" w:type="auto"/>
          </w:tcPr>
          <w:p w14:paraId="6946BCEA" w14:textId="2D66F13C" w:rsidR="007B1618" w:rsidRPr="007F2558" w:rsidRDefault="00C414D2" w:rsidP="003D02FA">
            <w:pPr>
              <w:jc w:val="center"/>
              <w:rPr>
                <w:rFonts w:ascii="Arial Narrow" w:hAnsi="Arial Narrow"/>
                <w:b/>
                <w:bCs/>
                <w:sz w:val="20"/>
                <w:szCs w:val="20"/>
                <w:lang w:eastAsia="en-AU"/>
              </w:rPr>
            </w:pPr>
            <w:r w:rsidRPr="007F2558">
              <w:rPr>
                <w:rFonts w:ascii="Arial Narrow" w:hAnsi="Arial Narrow"/>
                <w:b/>
                <w:bCs/>
                <w:sz w:val="20"/>
                <w:szCs w:val="20"/>
                <w:lang w:eastAsia="en-AU"/>
              </w:rPr>
              <w:t>2</w:t>
            </w:r>
          </w:p>
        </w:tc>
        <w:tc>
          <w:tcPr>
            <w:tcW w:w="0" w:type="auto"/>
          </w:tcPr>
          <w:p w14:paraId="59CA4DEC" w14:textId="7509DFC3"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AEMP $5.50 - $720.00</w:t>
            </w:r>
          </w:p>
        </w:tc>
        <w:tc>
          <w:tcPr>
            <w:tcW w:w="0" w:type="auto"/>
          </w:tcPr>
          <w:p w14:paraId="411C4CAC" w14:textId="685056B4"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7.52%</w:t>
            </w:r>
          </w:p>
        </w:tc>
      </w:tr>
      <w:tr w:rsidR="007B1618" w14:paraId="3CD6E303" w14:textId="77777777" w:rsidTr="00FB0102">
        <w:tc>
          <w:tcPr>
            <w:tcW w:w="0" w:type="auto"/>
          </w:tcPr>
          <w:p w14:paraId="6AA5544A" w14:textId="61415E57" w:rsidR="007B1618" w:rsidRPr="007F2558" w:rsidRDefault="00C414D2" w:rsidP="003D02FA">
            <w:pPr>
              <w:jc w:val="center"/>
              <w:rPr>
                <w:rFonts w:ascii="Arial Narrow" w:hAnsi="Arial Narrow"/>
                <w:b/>
                <w:bCs/>
                <w:sz w:val="20"/>
                <w:szCs w:val="20"/>
                <w:lang w:eastAsia="en-AU"/>
              </w:rPr>
            </w:pPr>
            <w:r w:rsidRPr="007F2558">
              <w:rPr>
                <w:rFonts w:ascii="Arial Narrow" w:hAnsi="Arial Narrow"/>
                <w:b/>
                <w:bCs/>
                <w:sz w:val="20"/>
                <w:szCs w:val="20"/>
                <w:lang w:eastAsia="en-AU"/>
              </w:rPr>
              <w:t>3</w:t>
            </w:r>
          </w:p>
        </w:tc>
        <w:tc>
          <w:tcPr>
            <w:tcW w:w="0" w:type="auto"/>
          </w:tcPr>
          <w:p w14:paraId="639F8282" w14:textId="00470FCB"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AEMP &gt; $720.00</w:t>
            </w:r>
          </w:p>
        </w:tc>
        <w:tc>
          <w:tcPr>
            <w:tcW w:w="0" w:type="auto"/>
          </w:tcPr>
          <w:p w14:paraId="795E9714" w14:textId="307CEFEE" w:rsidR="007B1618" w:rsidRPr="007F2558" w:rsidRDefault="00C414D2">
            <w:pPr>
              <w:rPr>
                <w:rFonts w:ascii="Arial Narrow" w:hAnsi="Arial Narrow"/>
                <w:sz w:val="20"/>
                <w:szCs w:val="20"/>
                <w:lang w:eastAsia="en-AU"/>
              </w:rPr>
            </w:pPr>
            <w:r w:rsidRPr="007F2558">
              <w:rPr>
                <w:rFonts w:ascii="Arial Narrow" w:hAnsi="Arial Narrow" w:cstheme="minorHAnsi"/>
                <w:color w:val="000000"/>
                <w:sz w:val="20"/>
                <w:szCs w:val="20"/>
                <w:lang w:eastAsia="en-AU"/>
              </w:rPr>
              <w:t>$54.14</w:t>
            </w:r>
          </w:p>
        </w:tc>
      </w:tr>
    </w:tbl>
    <w:p w14:paraId="26E33789" w14:textId="77777777" w:rsidR="00463169" w:rsidRPr="007E4AF8" w:rsidRDefault="00463169" w:rsidP="00463169">
      <w:pPr>
        <w:textAlignment w:val="center"/>
        <w:rPr>
          <w:rFonts w:ascii="Arial Narrow" w:hAnsi="Arial Narrow" w:cs="Arial"/>
          <w:sz w:val="18"/>
          <w:szCs w:val="18"/>
        </w:rPr>
      </w:pPr>
      <w:r w:rsidRPr="007E4AF8">
        <w:rPr>
          <w:rFonts w:ascii="Arial Narrow" w:hAnsi="Arial Narrow" w:cs="Arial"/>
          <w:sz w:val="18"/>
          <w:szCs w:val="18"/>
        </w:rPr>
        <w:t>AEMP:</w:t>
      </w:r>
      <w:r>
        <w:rPr>
          <w:rFonts w:ascii="Arial Narrow" w:hAnsi="Arial Narrow" w:cs="Arial"/>
          <w:sz w:val="18"/>
          <w:szCs w:val="18"/>
        </w:rPr>
        <w:t xml:space="preserve"> </w:t>
      </w:r>
      <w:r w:rsidRPr="007E4AF8">
        <w:rPr>
          <w:rFonts w:ascii="Arial Narrow" w:hAnsi="Arial Narrow" w:cs="Arial"/>
          <w:sz w:val="18"/>
          <w:szCs w:val="18"/>
        </w:rPr>
        <w:t>approved ex-manufacturer price</w:t>
      </w:r>
    </w:p>
    <w:p w14:paraId="418EEC72" w14:textId="77777777" w:rsidR="00C414D2" w:rsidRDefault="00C414D2">
      <w:pPr>
        <w:rPr>
          <w:lang w:eastAsia="en-AU"/>
        </w:rPr>
      </w:pPr>
    </w:p>
    <w:p w14:paraId="2427A0A5" w14:textId="4FE49D6A" w:rsidR="00E41C55" w:rsidRPr="003D02FA" w:rsidRDefault="00C414D2">
      <w:pPr>
        <w:rPr>
          <w:b/>
          <w:bCs/>
          <w:color w:val="3F4A75" w:themeColor="accent1"/>
          <w:lang w:eastAsia="en-AU"/>
        </w:rPr>
      </w:pPr>
      <w:r w:rsidRPr="003D02FA">
        <w:rPr>
          <w:b/>
          <w:bCs/>
          <w:color w:val="3F4A75" w:themeColor="accent1"/>
          <w:lang w:eastAsia="en-AU"/>
        </w:rPr>
        <w:t xml:space="preserve">Table </w:t>
      </w:r>
      <w:r w:rsidR="003D02FA">
        <w:rPr>
          <w:b/>
          <w:bCs/>
          <w:color w:val="3F4A75" w:themeColor="accent1"/>
          <w:lang w:eastAsia="en-AU"/>
        </w:rPr>
        <w:t>2</w:t>
      </w:r>
      <w:r w:rsidRPr="003D02FA">
        <w:rPr>
          <w:b/>
          <w:bCs/>
          <w:color w:val="3F4A75" w:themeColor="accent1"/>
          <w:lang w:eastAsia="en-AU"/>
        </w:rPr>
        <w:t>. AHI Fee</w:t>
      </w:r>
      <w:r w:rsidR="00565C64" w:rsidRPr="003D02FA">
        <w:rPr>
          <w:b/>
          <w:bCs/>
          <w:color w:val="3F4A75" w:themeColor="accent1"/>
          <w:lang w:eastAsia="en-AU"/>
        </w:rPr>
        <w:t xml:space="preserve"> (</w:t>
      </w:r>
      <w:r w:rsidR="00E41C55" w:rsidRPr="003D02FA">
        <w:rPr>
          <w:b/>
          <w:bCs/>
          <w:color w:val="3F4A75" w:themeColor="accent1"/>
          <w:lang w:eastAsia="en-AU"/>
        </w:rPr>
        <w:t>for s90 Community Pharmacies only)</w:t>
      </w:r>
    </w:p>
    <w:tbl>
      <w:tblPr>
        <w:tblStyle w:val="TableGrid"/>
        <w:tblW w:w="0" w:type="auto"/>
        <w:tblLook w:val="04A0" w:firstRow="1" w:lastRow="0" w:firstColumn="1" w:lastColumn="0" w:noHBand="0" w:noVBand="1"/>
      </w:tblPr>
      <w:tblGrid>
        <w:gridCol w:w="517"/>
        <w:gridCol w:w="1548"/>
        <w:gridCol w:w="5127"/>
      </w:tblGrid>
      <w:tr w:rsidR="00E41C55" w14:paraId="5A0FF833" w14:textId="77777777" w:rsidTr="00FB0102">
        <w:tc>
          <w:tcPr>
            <w:tcW w:w="0" w:type="auto"/>
            <w:shd w:val="clear" w:color="auto" w:fill="BFE7FF" w:themeFill="accent3" w:themeFillTint="33"/>
          </w:tcPr>
          <w:p w14:paraId="16F6CD3F" w14:textId="2B1C31CA" w:rsidR="00E41C55" w:rsidRPr="007F2558" w:rsidRDefault="00C379D4" w:rsidP="00DE175D">
            <w:pPr>
              <w:jc w:val="center"/>
              <w:rPr>
                <w:rFonts w:ascii="Arial Narrow" w:hAnsi="Arial Narrow"/>
                <w:b/>
                <w:bCs/>
                <w:sz w:val="20"/>
                <w:szCs w:val="20"/>
                <w:lang w:eastAsia="en-AU"/>
              </w:rPr>
            </w:pPr>
            <w:r w:rsidRPr="007F2558">
              <w:rPr>
                <w:rFonts w:ascii="Arial Narrow" w:hAnsi="Arial Narrow"/>
                <w:b/>
                <w:bCs/>
                <w:sz w:val="20"/>
                <w:szCs w:val="20"/>
                <w:lang w:eastAsia="en-AU"/>
              </w:rPr>
              <w:t>Tier</w:t>
            </w:r>
          </w:p>
        </w:tc>
        <w:tc>
          <w:tcPr>
            <w:tcW w:w="0" w:type="auto"/>
            <w:shd w:val="clear" w:color="auto" w:fill="BFE7FF" w:themeFill="accent3" w:themeFillTint="33"/>
          </w:tcPr>
          <w:p w14:paraId="152CAEF9" w14:textId="59752B07" w:rsidR="00E41C55" w:rsidRPr="007F2558" w:rsidRDefault="00C379D4" w:rsidP="00DE175D">
            <w:pPr>
              <w:jc w:val="center"/>
              <w:rPr>
                <w:rFonts w:ascii="Arial Narrow" w:hAnsi="Arial Narrow"/>
                <w:b/>
                <w:bCs/>
                <w:sz w:val="20"/>
                <w:szCs w:val="20"/>
                <w:lang w:eastAsia="en-AU"/>
              </w:rPr>
            </w:pPr>
            <w:r w:rsidRPr="007F2558">
              <w:rPr>
                <w:rFonts w:ascii="Arial Narrow" w:hAnsi="Arial Narrow"/>
                <w:b/>
                <w:bCs/>
                <w:sz w:val="20"/>
                <w:szCs w:val="20"/>
                <w:lang w:eastAsia="en-AU"/>
              </w:rPr>
              <w:t>PTP</w:t>
            </w:r>
          </w:p>
        </w:tc>
        <w:tc>
          <w:tcPr>
            <w:tcW w:w="0" w:type="auto"/>
            <w:shd w:val="clear" w:color="auto" w:fill="BFE7FF" w:themeFill="accent3" w:themeFillTint="33"/>
          </w:tcPr>
          <w:p w14:paraId="6E414C10" w14:textId="3E7CEBB8" w:rsidR="00E41C55" w:rsidRPr="007F2558" w:rsidRDefault="00C379D4" w:rsidP="00DE175D">
            <w:pPr>
              <w:jc w:val="center"/>
              <w:rPr>
                <w:rFonts w:ascii="Arial Narrow" w:hAnsi="Arial Narrow"/>
                <w:b/>
                <w:bCs/>
                <w:sz w:val="20"/>
                <w:szCs w:val="20"/>
                <w:lang w:eastAsia="en-AU"/>
              </w:rPr>
            </w:pPr>
            <w:r w:rsidRPr="007F2558">
              <w:rPr>
                <w:rFonts w:ascii="Arial Narrow" w:hAnsi="Arial Narrow"/>
                <w:b/>
                <w:bCs/>
                <w:sz w:val="20"/>
                <w:szCs w:val="20"/>
                <w:lang w:eastAsia="en-AU"/>
              </w:rPr>
              <w:t>AHI Fee</w:t>
            </w:r>
          </w:p>
        </w:tc>
      </w:tr>
      <w:tr w:rsidR="00E41C55" w14:paraId="56675AA0" w14:textId="77777777" w:rsidTr="00FB0102">
        <w:tc>
          <w:tcPr>
            <w:tcW w:w="0" w:type="auto"/>
          </w:tcPr>
          <w:p w14:paraId="31B19611" w14:textId="79E3BFE2" w:rsidR="00E41C55" w:rsidRPr="007F2558" w:rsidRDefault="00C379D4" w:rsidP="003D02FA">
            <w:pPr>
              <w:jc w:val="center"/>
              <w:rPr>
                <w:rFonts w:ascii="Arial Narrow" w:hAnsi="Arial Narrow"/>
                <w:b/>
                <w:bCs/>
                <w:sz w:val="20"/>
                <w:szCs w:val="20"/>
                <w:lang w:eastAsia="en-AU"/>
              </w:rPr>
            </w:pPr>
            <w:r w:rsidRPr="007F2558">
              <w:rPr>
                <w:rFonts w:ascii="Arial Narrow" w:hAnsi="Arial Narrow"/>
                <w:b/>
                <w:bCs/>
                <w:sz w:val="20"/>
                <w:szCs w:val="20"/>
                <w:lang w:eastAsia="en-AU"/>
              </w:rPr>
              <w:t>1</w:t>
            </w:r>
          </w:p>
        </w:tc>
        <w:tc>
          <w:tcPr>
            <w:tcW w:w="0" w:type="auto"/>
          </w:tcPr>
          <w:p w14:paraId="04D6E657" w14:textId="6BFA69F9" w:rsidR="00E41C55"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PTP &lt; $100</w:t>
            </w:r>
          </w:p>
        </w:tc>
        <w:tc>
          <w:tcPr>
            <w:tcW w:w="0" w:type="auto"/>
          </w:tcPr>
          <w:p w14:paraId="434F5B1E" w14:textId="17B95795" w:rsidR="00E41C55"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$4.32</w:t>
            </w:r>
          </w:p>
        </w:tc>
      </w:tr>
      <w:tr w:rsidR="00E41C55" w14:paraId="4BA9D16D" w14:textId="77777777" w:rsidTr="00FB0102">
        <w:tc>
          <w:tcPr>
            <w:tcW w:w="0" w:type="auto"/>
          </w:tcPr>
          <w:p w14:paraId="560C85F7" w14:textId="31452AD4" w:rsidR="00E41C55" w:rsidRPr="007F2558" w:rsidRDefault="00C379D4" w:rsidP="003D02FA">
            <w:pPr>
              <w:jc w:val="center"/>
              <w:rPr>
                <w:rFonts w:ascii="Arial Narrow" w:hAnsi="Arial Narrow"/>
                <w:b/>
                <w:bCs/>
                <w:sz w:val="20"/>
                <w:szCs w:val="20"/>
                <w:lang w:eastAsia="en-AU"/>
              </w:rPr>
            </w:pPr>
            <w:r w:rsidRPr="007F2558">
              <w:rPr>
                <w:rFonts w:ascii="Arial Narrow" w:hAnsi="Arial Narrow"/>
                <w:b/>
                <w:bCs/>
                <w:sz w:val="20"/>
                <w:szCs w:val="20"/>
                <w:lang w:eastAsia="en-AU"/>
              </w:rPr>
              <w:t>2</w:t>
            </w:r>
          </w:p>
        </w:tc>
        <w:tc>
          <w:tcPr>
            <w:tcW w:w="0" w:type="auto"/>
          </w:tcPr>
          <w:p w14:paraId="397C2667" w14:textId="6CF2F2E6" w:rsidR="00E41C55"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PTP $100 - $2000</w:t>
            </w:r>
          </w:p>
        </w:tc>
        <w:tc>
          <w:tcPr>
            <w:tcW w:w="0" w:type="auto"/>
          </w:tcPr>
          <w:p w14:paraId="6ADA16CE" w14:textId="788B71FC" w:rsidR="00E41C55"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$4.32 + 5% of the amount which the PTP for max qty exceeds $100</w:t>
            </w:r>
          </w:p>
        </w:tc>
      </w:tr>
      <w:tr w:rsidR="00C379D4" w14:paraId="0A047E85" w14:textId="77777777" w:rsidTr="00FB0102">
        <w:tc>
          <w:tcPr>
            <w:tcW w:w="0" w:type="auto"/>
          </w:tcPr>
          <w:p w14:paraId="32351460" w14:textId="4588C5E1" w:rsidR="00C379D4" w:rsidRPr="007F2558" w:rsidRDefault="00C379D4" w:rsidP="003D02FA">
            <w:pPr>
              <w:jc w:val="center"/>
              <w:rPr>
                <w:rFonts w:ascii="Arial Narrow" w:hAnsi="Arial Narrow"/>
                <w:b/>
                <w:bCs/>
                <w:sz w:val="20"/>
                <w:szCs w:val="20"/>
                <w:lang w:eastAsia="en-AU"/>
              </w:rPr>
            </w:pPr>
            <w:r w:rsidRPr="007F2558">
              <w:rPr>
                <w:rFonts w:ascii="Arial Narrow" w:hAnsi="Arial Narrow"/>
                <w:b/>
                <w:bCs/>
                <w:sz w:val="20"/>
                <w:szCs w:val="20"/>
                <w:lang w:eastAsia="en-AU"/>
              </w:rPr>
              <w:t>3</w:t>
            </w:r>
          </w:p>
        </w:tc>
        <w:tc>
          <w:tcPr>
            <w:tcW w:w="0" w:type="auto"/>
          </w:tcPr>
          <w:p w14:paraId="395B8848" w14:textId="4DB3E384" w:rsidR="00C379D4"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PTP &gt; $2000</w:t>
            </w:r>
          </w:p>
        </w:tc>
        <w:tc>
          <w:tcPr>
            <w:tcW w:w="0" w:type="auto"/>
          </w:tcPr>
          <w:p w14:paraId="07881118" w14:textId="05023A5A" w:rsidR="00C379D4" w:rsidRPr="007F2558" w:rsidRDefault="00C379D4">
            <w:pPr>
              <w:rPr>
                <w:rFonts w:ascii="Arial Narrow" w:hAnsi="Arial Narrow"/>
                <w:sz w:val="20"/>
                <w:szCs w:val="20"/>
                <w:lang w:eastAsia="en-AU"/>
              </w:rPr>
            </w:pPr>
            <w:r w:rsidRPr="007F2558">
              <w:rPr>
                <w:rFonts w:ascii="Arial Narrow" w:hAnsi="Arial Narrow" w:cstheme="minorHAnsi"/>
                <w:color w:val="000000"/>
                <w:sz w:val="20"/>
                <w:szCs w:val="20"/>
                <w:lang w:eastAsia="en-AU"/>
              </w:rPr>
              <w:t>$99.32</w:t>
            </w:r>
          </w:p>
        </w:tc>
      </w:tr>
    </w:tbl>
    <w:p w14:paraId="4BECB866" w14:textId="1AFD5DDE" w:rsidR="00C414D2" w:rsidRPr="003D02FA" w:rsidRDefault="00C70885">
      <w:pPr>
        <w:rPr>
          <w:rFonts w:ascii="Arial Narrow" w:hAnsi="Arial Narrow"/>
          <w:sz w:val="18"/>
          <w:szCs w:val="18"/>
          <w:lang w:eastAsia="en-AU"/>
        </w:rPr>
      </w:pPr>
      <w:r w:rsidRPr="003D02FA">
        <w:rPr>
          <w:rFonts w:ascii="Arial Narrow" w:hAnsi="Arial Narrow"/>
          <w:sz w:val="18"/>
          <w:szCs w:val="18"/>
          <w:lang w:eastAsia="en-AU"/>
        </w:rPr>
        <w:t>Not applicable for private and pu</w:t>
      </w:r>
      <w:r w:rsidR="0049233E" w:rsidRPr="003D02FA">
        <w:rPr>
          <w:rFonts w:ascii="Arial Narrow" w:hAnsi="Arial Narrow"/>
          <w:sz w:val="18"/>
          <w:szCs w:val="18"/>
          <w:lang w:eastAsia="en-AU"/>
        </w:rPr>
        <w:t>blic hospital pharmacies</w:t>
      </w:r>
    </w:p>
    <w:p w14:paraId="137FF438" w14:textId="77777777" w:rsidR="00427A01" w:rsidRPr="007E4AF8" w:rsidRDefault="00427A01" w:rsidP="00427A01">
      <w:pPr>
        <w:textAlignment w:val="center"/>
        <w:rPr>
          <w:rFonts w:ascii="Arial Narrow" w:hAnsi="Arial Narrow" w:cs="Arial"/>
          <w:sz w:val="18"/>
          <w:szCs w:val="18"/>
        </w:rPr>
      </w:pPr>
      <w:r w:rsidRPr="007E4AF8">
        <w:rPr>
          <w:rFonts w:ascii="Arial Narrow" w:hAnsi="Arial Narrow" w:cs="Arial"/>
          <w:sz w:val="18"/>
          <w:szCs w:val="18"/>
        </w:rPr>
        <w:t>AHI: administrative, handling and infrastructure</w:t>
      </w:r>
    </w:p>
    <w:p w14:paraId="72591B06" w14:textId="7F955AF3" w:rsidR="0049233E" w:rsidRPr="00DE175D" w:rsidRDefault="00427A01" w:rsidP="00DE175D">
      <w:pPr>
        <w:spacing w:after="240"/>
        <w:textAlignment w:val="center"/>
        <w:rPr>
          <w:rFonts w:cs="Arial"/>
          <w:szCs w:val="22"/>
          <w:lang w:eastAsia="en-AU"/>
        </w:rPr>
      </w:pPr>
      <w:r w:rsidRPr="007E4AF8">
        <w:rPr>
          <w:rFonts w:ascii="Arial Narrow" w:hAnsi="Arial Narrow" w:cs="Arial"/>
          <w:sz w:val="18"/>
          <w:szCs w:val="18"/>
        </w:rPr>
        <w:t>PTP: price to pharmacy, i.e. AEMP plus wholesaler markup</w:t>
      </w:r>
    </w:p>
    <w:p w14:paraId="32516375" w14:textId="5C9027E0" w:rsidR="0049233E" w:rsidRPr="003D02FA" w:rsidRDefault="00F70B4C">
      <w:pPr>
        <w:rPr>
          <w:b/>
          <w:bCs/>
          <w:color w:val="3F4A75" w:themeColor="accent1"/>
          <w:lang w:eastAsia="en-AU"/>
        </w:rPr>
      </w:pPr>
      <w:r w:rsidRPr="003D02FA">
        <w:rPr>
          <w:b/>
          <w:bCs/>
          <w:color w:val="3F4A75" w:themeColor="accent1"/>
          <w:lang w:eastAsia="en-AU"/>
        </w:rPr>
        <w:t xml:space="preserve">Table </w:t>
      </w:r>
      <w:r w:rsidR="003D02FA">
        <w:rPr>
          <w:b/>
          <w:bCs/>
          <w:color w:val="3F4A75" w:themeColor="accent1"/>
          <w:lang w:eastAsia="en-AU"/>
        </w:rPr>
        <w:t>3</w:t>
      </w:r>
      <w:r w:rsidRPr="003D02FA">
        <w:rPr>
          <w:b/>
          <w:bCs/>
          <w:color w:val="3F4A75" w:themeColor="accent1"/>
          <w:lang w:eastAsia="en-AU"/>
        </w:rPr>
        <w:t>. Other Fees</w:t>
      </w:r>
    </w:p>
    <w:tbl>
      <w:tblPr>
        <w:tblStyle w:val="TableGrid"/>
        <w:tblW w:w="0" w:type="auto"/>
        <w:tblLook w:val="04A0" w:firstRow="1" w:lastRow="0" w:firstColumn="1" w:lastColumn="0" w:noHBand="0" w:noVBand="1"/>
      </w:tblPr>
      <w:tblGrid>
        <w:gridCol w:w="3599"/>
        <w:gridCol w:w="2108"/>
        <w:gridCol w:w="1666"/>
        <w:gridCol w:w="1643"/>
      </w:tblGrid>
      <w:tr w:rsidR="007127F6" w14:paraId="4D04C48C" w14:textId="77777777" w:rsidTr="00FB0102">
        <w:tc>
          <w:tcPr>
            <w:tcW w:w="0" w:type="auto"/>
            <w:shd w:val="clear" w:color="auto" w:fill="BFE7FF" w:themeFill="accent3" w:themeFillTint="33"/>
          </w:tcPr>
          <w:p w14:paraId="42610883" w14:textId="1DE70D6C" w:rsidR="007127F6" w:rsidRPr="00DE175D" w:rsidRDefault="00DE175D" w:rsidP="00DE175D">
            <w:pPr>
              <w:jc w:val="center"/>
              <w:rPr>
                <w:rFonts w:ascii="Arial Narrow" w:hAnsi="Arial Narrow"/>
                <w:b/>
                <w:bCs/>
                <w:sz w:val="20"/>
                <w:szCs w:val="20"/>
                <w:lang w:eastAsia="en-AU"/>
              </w:rPr>
            </w:pPr>
            <w:r w:rsidRPr="00DE175D">
              <w:rPr>
                <w:rFonts w:ascii="Arial Narrow" w:hAnsi="Arial Narrow"/>
                <w:b/>
                <w:bCs/>
                <w:sz w:val="20"/>
                <w:szCs w:val="20"/>
                <w:lang w:eastAsia="en-AU"/>
              </w:rPr>
              <w:t>Fee</w:t>
            </w:r>
          </w:p>
        </w:tc>
        <w:tc>
          <w:tcPr>
            <w:tcW w:w="0" w:type="auto"/>
            <w:shd w:val="clear" w:color="auto" w:fill="BFE7FF" w:themeFill="accent3" w:themeFillTint="33"/>
            <w:vAlign w:val="center"/>
          </w:tcPr>
          <w:p w14:paraId="1F905485" w14:textId="7F85AF82" w:rsidR="007127F6" w:rsidRPr="00DE175D" w:rsidRDefault="007127F6" w:rsidP="00DE175D">
            <w:pPr>
              <w:jc w:val="center"/>
              <w:rPr>
                <w:rFonts w:ascii="Arial Narrow" w:hAnsi="Arial Narrow"/>
                <w:b/>
                <w:bCs/>
                <w:sz w:val="20"/>
                <w:szCs w:val="20"/>
                <w:lang w:eastAsia="en-AU"/>
              </w:rPr>
            </w:pPr>
            <w:r w:rsidRPr="00DE175D">
              <w:rPr>
                <w:rFonts w:ascii="Arial Narrow" w:hAnsi="Arial Narrow" w:cstheme="minorHAnsi"/>
                <w:b/>
                <w:bCs/>
                <w:color w:val="000000"/>
                <w:sz w:val="20"/>
                <w:szCs w:val="20"/>
                <w:lang w:eastAsia="en-AU"/>
              </w:rPr>
              <w:t>Community Pharmacy (s90)</w:t>
            </w:r>
          </w:p>
        </w:tc>
        <w:tc>
          <w:tcPr>
            <w:tcW w:w="0" w:type="auto"/>
            <w:shd w:val="clear" w:color="auto" w:fill="BFE7FF" w:themeFill="accent3" w:themeFillTint="33"/>
            <w:vAlign w:val="center"/>
          </w:tcPr>
          <w:p w14:paraId="7F073E5D" w14:textId="46AAFEFE" w:rsidR="007127F6" w:rsidRPr="00DE175D" w:rsidRDefault="007127F6" w:rsidP="00DE175D">
            <w:pPr>
              <w:jc w:val="center"/>
              <w:rPr>
                <w:rFonts w:ascii="Arial Narrow" w:hAnsi="Arial Narrow"/>
                <w:b/>
                <w:bCs/>
                <w:sz w:val="20"/>
                <w:szCs w:val="20"/>
                <w:lang w:eastAsia="en-AU"/>
              </w:rPr>
            </w:pPr>
            <w:r w:rsidRPr="00DE175D">
              <w:rPr>
                <w:rFonts w:ascii="Arial Narrow" w:hAnsi="Arial Narrow" w:cstheme="minorHAnsi"/>
                <w:b/>
                <w:bCs/>
                <w:color w:val="000000"/>
                <w:sz w:val="20"/>
                <w:szCs w:val="20"/>
                <w:lang w:eastAsia="en-AU"/>
              </w:rPr>
              <w:t>Private Hospital (s94)</w:t>
            </w:r>
          </w:p>
        </w:tc>
        <w:tc>
          <w:tcPr>
            <w:tcW w:w="0" w:type="auto"/>
            <w:shd w:val="clear" w:color="auto" w:fill="BFE7FF" w:themeFill="accent3" w:themeFillTint="33"/>
            <w:vAlign w:val="center"/>
          </w:tcPr>
          <w:p w14:paraId="53F08400" w14:textId="29053E5A" w:rsidR="007127F6" w:rsidRPr="00DE175D" w:rsidRDefault="007127F6" w:rsidP="00DE175D">
            <w:pPr>
              <w:jc w:val="center"/>
              <w:rPr>
                <w:rFonts w:ascii="Arial Narrow" w:hAnsi="Arial Narrow"/>
                <w:b/>
                <w:bCs/>
                <w:sz w:val="20"/>
                <w:szCs w:val="20"/>
                <w:lang w:eastAsia="en-AU"/>
              </w:rPr>
            </w:pPr>
            <w:r w:rsidRPr="00DE175D">
              <w:rPr>
                <w:rFonts w:ascii="Arial Narrow" w:hAnsi="Arial Narrow" w:cstheme="minorHAnsi"/>
                <w:b/>
                <w:bCs/>
                <w:color w:val="000000"/>
                <w:sz w:val="20"/>
                <w:szCs w:val="20"/>
                <w:lang w:eastAsia="en-AU"/>
              </w:rPr>
              <w:t>Public Hospital (s94)</w:t>
            </w:r>
          </w:p>
        </w:tc>
      </w:tr>
      <w:tr w:rsidR="007127F6" w14:paraId="1F9200A7" w14:textId="77777777" w:rsidTr="00FB0102">
        <w:trPr>
          <w:trHeight w:val="463"/>
        </w:trPr>
        <w:tc>
          <w:tcPr>
            <w:tcW w:w="0" w:type="auto"/>
          </w:tcPr>
          <w:p w14:paraId="4AF512D0" w14:textId="2EF95AD8"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Dangerous Drug Fee</w:t>
            </w:r>
          </w:p>
        </w:tc>
        <w:tc>
          <w:tcPr>
            <w:tcW w:w="0" w:type="auto"/>
          </w:tcPr>
          <w:p w14:paraId="36DF9B3E" w14:textId="1F1411EC"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$4.84</w:t>
            </w:r>
          </w:p>
        </w:tc>
        <w:tc>
          <w:tcPr>
            <w:tcW w:w="0" w:type="auto"/>
          </w:tcPr>
          <w:p w14:paraId="3B535FA8" w14:textId="60005117"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$4.84</w:t>
            </w:r>
          </w:p>
        </w:tc>
        <w:tc>
          <w:tcPr>
            <w:tcW w:w="0" w:type="auto"/>
          </w:tcPr>
          <w:p w14:paraId="08898A79" w14:textId="15FC6A8A" w:rsidR="007127F6" w:rsidRPr="00DE175D" w:rsidRDefault="00CE59B7" w:rsidP="007127F6">
            <w:pPr>
              <w:rPr>
                <w:rFonts w:ascii="Arial Narrow" w:hAnsi="Arial Narrow"/>
                <w:sz w:val="20"/>
                <w:szCs w:val="20"/>
                <w:lang w:eastAsia="en-AU"/>
              </w:rPr>
            </w:pPr>
            <w:r w:rsidRPr="00DE175D">
              <w:rPr>
                <w:rFonts w:ascii="Arial Narrow" w:hAnsi="Arial Narrow"/>
                <w:sz w:val="20"/>
                <w:szCs w:val="20"/>
                <w:lang w:eastAsia="en-AU"/>
              </w:rPr>
              <w:t>not applicable</w:t>
            </w:r>
          </w:p>
        </w:tc>
      </w:tr>
      <w:tr w:rsidR="007127F6" w14:paraId="6EC7B042" w14:textId="77777777" w:rsidTr="00FB0102">
        <w:tc>
          <w:tcPr>
            <w:tcW w:w="0" w:type="auto"/>
          </w:tcPr>
          <w:p w14:paraId="3F2FBF17" w14:textId="15990EBE"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Ready Prepared Dispensing Fee (RPDF)</w:t>
            </w:r>
          </w:p>
        </w:tc>
        <w:tc>
          <w:tcPr>
            <w:tcW w:w="0" w:type="auto"/>
          </w:tcPr>
          <w:p w14:paraId="25C2A694" w14:textId="746995C0"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$7.82</w:t>
            </w:r>
          </w:p>
        </w:tc>
        <w:tc>
          <w:tcPr>
            <w:tcW w:w="0" w:type="auto"/>
          </w:tcPr>
          <w:p w14:paraId="377D51B6" w14:textId="11A2D3C6"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$7.82</w:t>
            </w:r>
          </w:p>
        </w:tc>
        <w:tc>
          <w:tcPr>
            <w:tcW w:w="0" w:type="auto"/>
          </w:tcPr>
          <w:p w14:paraId="5DB473B4" w14:textId="5BF342DA" w:rsidR="007127F6" w:rsidRPr="00DE175D" w:rsidRDefault="00CE59B7" w:rsidP="007127F6">
            <w:pPr>
              <w:rPr>
                <w:rFonts w:ascii="Arial Narrow" w:hAnsi="Arial Narrow"/>
                <w:sz w:val="20"/>
                <w:szCs w:val="20"/>
                <w:lang w:eastAsia="en-AU"/>
              </w:rPr>
            </w:pPr>
            <w:r w:rsidRPr="00DE175D">
              <w:rPr>
                <w:rFonts w:ascii="Arial Narrow" w:hAnsi="Arial Narrow"/>
                <w:sz w:val="20"/>
                <w:szCs w:val="20"/>
                <w:lang w:eastAsia="en-AU"/>
              </w:rPr>
              <w:t xml:space="preserve">not </w:t>
            </w:r>
            <w:r w:rsidR="00463169" w:rsidRPr="00DE175D">
              <w:rPr>
                <w:rFonts w:ascii="Arial Narrow" w:hAnsi="Arial Narrow"/>
                <w:sz w:val="20"/>
                <w:szCs w:val="20"/>
                <w:lang w:eastAsia="en-AU"/>
              </w:rPr>
              <w:t>a</w:t>
            </w:r>
            <w:r w:rsidRPr="00DE175D">
              <w:rPr>
                <w:rFonts w:ascii="Arial Narrow" w:hAnsi="Arial Narrow"/>
                <w:sz w:val="20"/>
                <w:szCs w:val="20"/>
                <w:lang w:eastAsia="en-AU"/>
              </w:rPr>
              <w:t>pplicable</w:t>
            </w:r>
          </w:p>
        </w:tc>
      </w:tr>
      <w:tr w:rsidR="007127F6" w14:paraId="643A5202" w14:textId="77777777" w:rsidTr="00FB0102">
        <w:tc>
          <w:tcPr>
            <w:tcW w:w="0" w:type="auto"/>
          </w:tcPr>
          <w:p w14:paraId="7DC1B515" w14:textId="2BD75382"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Extemporaneous Prepared Dispensing Fee (EPDF)</w:t>
            </w:r>
          </w:p>
        </w:tc>
        <w:tc>
          <w:tcPr>
            <w:tcW w:w="0" w:type="auto"/>
          </w:tcPr>
          <w:p w14:paraId="0B4CD00E" w14:textId="5FDC9459"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$9.86</w:t>
            </w:r>
          </w:p>
        </w:tc>
        <w:tc>
          <w:tcPr>
            <w:tcW w:w="0" w:type="auto"/>
          </w:tcPr>
          <w:p w14:paraId="1CD67271" w14:textId="2C33F9A4"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$9.86</w:t>
            </w:r>
          </w:p>
        </w:tc>
        <w:tc>
          <w:tcPr>
            <w:tcW w:w="0" w:type="auto"/>
          </w:tcPr>
          <w:p w14:paraId="69F12C38" w14:textId="6DE0CDCA" w:rsidR="007127F6" w:rsidRPr="00DE175D" w:rsidRDefault="00DE175D" w:rsidP="007127F6">
            <w:pPr>
              <w:rPr>
                <w:rFonts w:ascii="Arial Narrow" w:hAnsi="Arial Narrow"/>
                <w:sz w:val="20"/>
                <w:szCs w:val="20"/>
                <w:lang w:eastAsia="en-AU"/>
              </w:rPr>
            </w:pPr>
            <w:r>
              <w:rPr>
                <w:rFonts w:ascii="Arial Narrow" w:hAnsi="Arial Narrow"/>
                <w:sz w:val="20"/>
                <w:szCs w:val="20"/>
                <w:lang w:eastAsia="en-AU"/>
              </w:rPr>
              <w:t>n</w:t>
            </w:r>
            <w:r w:rsidR="00463169" w:rsidRPr="00DE175D">
              <w:rPr>
                <w:rFonts w:ascii="Arial Narrow" w:hAnsi="Arial Narrow"/>
                <w:sz w:val="20"/>
                <w:szCs w:val="20"/>
                <w:lang w:eastAsia="en-AU"/>
              </w:rPr>
              <w:t>ot applicable</w:t>
            </w:r>
          </w:p>
        </w:tc>
      </w:tr>
      <w:tr w:rsidR="007127F6" w14:paraId="53F772C3" w14:textId="77777777" w:rsidTr="00FB0102">
        <w:tc>
          <w:tcPr>
            <w:tcW w:w="0" w:type="auto"/>
          </w:tcPr>
          <w:p w14:paraId="2C69059F" w14:textId="7EAB7CD0"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PBS Safety Net Recording fee (RPDF)</w:t>
            </w:r>
          </w:p>
        </w:tc>
        <w:tc>
          <w:tcPr>
            <w:tcW w:w="0" w:type="auto"/>
          </w:tcPr>
          <w:p w14:paraId="54097802" w14:textId="6941BBD0"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$1.31</w:t>
            </w:r>
          </w:p>
        </w:tc>
        <w:tc>
          <w:tcPr>
            <w:tcW w:w="0" w:type="auto"/>
          </w:tcPr>
          <w:p w14:paraId="0A4DB700" w14:textId="19CF1320"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$1.31</w:t>
            </w:r>
          </w:p>
        </w:tc>
        <w:tc>
          <w:tcPr>
            <w:tcW w:w="0" w:type="auto"/>
          </w:tcPr>
          <w:p w14:paraId="62723F68" w14:textId="381D7011"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$1.31</w:t>
            </w:r>
          </w:p>
        </w:tc>
      </w:tr>
      <w:tr w:rsidR="007127F6" w14:paraId="14705512" w14:textId="77777777" w:rsidTr="00FB0102">
        <w:trPr>
          <w:trHeight w:val="61"/>
        </w:trPr>
        <w:tc>
          <w:tcPr>
            <w:tcW w:w="0" w:type="auto"/>
          </w:tcPr>
          <w:p w14:paraId="56FA97F4" w14:textId="13E0288F"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PBS Safety Net Recording fee (EPDF)</w:t>
            </w:r>
          </w:p>
        </w:tc>
        <w:tc>
          <w:tcPr>
            <w:tcW w:w="0" w:type="auto"/>
          </w:tcPr>
          <w:p w14:paraId="66A441CE" w14:textId="5466153B"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$1.68</w:t>
            </w:r>
          </w:p>
        </w:tc>
        <w:tc>
          <w:tcPr>
            <w:tcW w:w="0" w:type="auto"/>
          </w:tcPr>
          <w:p w14:paraId="467D77B1" w14:textId="6B4962C1"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$1.68</w:t>
            </w:r>
          </w:p>
        </w:tc>
        <w:tc>
          <w:tcPr>
            <w:tcW w:w="0" w:type="auto"/>
          </w:tcPr>
          <w:p w14:paraId="5665A4CE" w14:textId="795E7CA6"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$1.68</w:t>
            </w:r>
          </w:p>
        </w:tc>
      </w:tr>
      <w:tr w:rsidR="007127F6" w14:paraId="78F542AF" w14:textId="77777777" w:rsidTr="00FB0102">
        <w:tc>
          <w:tcPr>
            <w:tcW w:w="0" w:type="auto"/>
          </w:tcPr>
          <w:p w14:paraId="347C4C09" w14:textId="1980A621" w:rsidR="007127F6" w:rsidRPr="00DE175D" w:rsidRDefault="007127F6" w:rsidP="00BA0AB4">
            <w:pPr>
              <w:rPr>
                <w:rFonts w:ascii="Arial Narrow" w:hAnsi="Arial Narrow"/>
                <w:sz w:val="20"/>
                <w:szCs w:val="20"/>
                <w:lang w:eastAsia="en-AU"/>
              </w:rPr>
            </w:pPr>
            <w:r w:rsidRPr="00DE175D">
              <w:rPr>
                <w:rFonts w:ascii="Arial Narrow" w:hAnsi="Arial Narrow" w:cstheme="minorHAnsi"/>
                <w:b/>
                <w:bCs/>
                <w:color w:val="000000"/>
                <w:sz w:val="20"/>
                <w:szCs w:val="20"/>
                <w:lang w:eastAsia="en-AU"/>
              </w:rPr>
              <w:t>PBS Safety Net Card Issue fee</w:t>
            </w:r>
          </w:p>
        </w:tc>
        <w:tc>
          <w:tcPr>
            <w:tcW w:w="0" w:type="auto"/>
          </w:tcPr>
          <w:p w14:paraId="1F7DCD76" w14:textId="5CA805D6"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$10.34</w:t>
            </w:r>
          </w:p>
        </w:tc>
        <w:tc>
          <w:tcPr>
            <w:tcW w:w="0" w:type="auto"/>
          </w:tcPr>
          <w:p w14:paraId="383FF9B1" w14:textId="34F4B790"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$10.34</w:t>
            </w:r>
          </w:p>
        </w:tc>
        <w:tc>
          <w:tcPr>
            <w:tcW w:w="0" w:type="auto"/>
          </w:tcPr>
          <w:p w14:paraId="095ABC44" w14:textId="2B32DA78" w:rsidR="007127F6" w:rsidRPr="00DE175D" w:rsidRDefault="007127F6" w:rsidP="007127F6">
            <w:pPr>
              <w:rPr>
                <w:rFonts w:ascii="Arial Narrow" w:hAnsi="Arial Narrow"/>
                <w:sz w:val="20"/>
                <w:szCs w:val="20"/>
                <w:lang w:eastAsia="en-AU"/>
              </w:rPr>
            </w:pPr>
            <w:r w:rsidRPr="00DE175D">
              <w:rPr>
                <w:rFonts w:ascii="Arial Narrow" w:hAnsi="Arial Narrow" w:cstheme="minorHAnsi"/>
                <w:color w:val="000000"/>
                <w:sz w:val="20"/>
                <w:szCs w:val="20"/>
                <w:lang w:eastAsia="en-AU"/>
              </w:rPr>
              <w:t>$10.34</w:t>
            </w:r>
          </w:p>
        </w:tc>
      </w:tr>
    </w:tbl>
    <w:p w14:paraId="484FBBD2" w14:textId="77777777" w:rsidR="007127F6" w:rsidRPr="00C414D2" w:rsidRDefault="007127F6">
      <w:pPr>
        <w:rPr>
          <w:lang w:eastAsia="en-AU"/>
        </w:rPr>
      </w:pPr>
    </w:p>
    <w:p w14:paraId="169C6162" w14:textId="0A282992" w:rsidR="00691CE5" w:rsidRDefault="00691CE5" w:rsidP="00D45F20">
      <w:pPr>
        <w:pStyle w:val="Paragraphtext"/>
        <w:rPr>
          <w:lang w:eastAsia="en-AU"/>
        </w:rPr>
      </w:pPr>
      <w:r w:rsidRPr="008549D5">
        <w:rPr>
          <w:lang w:eastAsia="en-AU"/>
        </w:rPr>
        <w:t>It was raised by some stakeholders that h</w:t>
      </w:r>
      <w:r w:rsidR="006D0894" w:rsidRPr="008549D5">
        <w:rPr>
          <w:lang w:eastAsia="en-AU"/>
        </w:rPr>
        <w:t>igh cost and highly specialised medicines generally necessitate</w:t>
      </w:r>
      <w:r w:rsidRPr="008549D5">
        <w:rPr>
          <w:lang w:eastAsia="en-AU"/>
        </w:rPr>
        <w:t xml:space="preserve"> a</w:t>
      </w:r>
      <w:r w:rsidR="006D0894" w:rsidRPr="008549D5">
        <w:rPr>
          <w:lang w:eastAsia="en-AU"/>
        </w:rPr>
        <w:t xml:space="preserve"> high level </w:t>
      </w:r>
      <w:r w:rsidRPr="008549D5">
        <w:rPr>
          <w:lang w:eastAsia="en-AU"/>
        </w:rPr>
        <w:t xml:space="preserve">of </w:t>
      </w:r>
      <w:r w:rsidR="006D0894" w:rsidRPr="008549D5">
        <w:rPr>
          <w:lang w:eastAsia="en-AU"/>
        </w:rPr>
        <w:t>clinical services (e.g. patient review, interpretation of pathology results, managing treatment cycles, etc.) and as such, they are often dispensed in a hospital setting with minimal remuneration for these clinical services.</w:t>
      </w:r>
      <w:r w:rsidRPr="008549D5">
        <w:rPr>
          <w:lang w:eastAsia="en-AU"/>
        </w:rPr>
        <w:t xml:space="preserve"> </w:t>
      </w:r>
      <w:r w:rsidR="00C45EB1" w:rsidRPr="008549D5">
        <w:rPr>
          <w:lang w:eastAsia="en-AU"/>
        </w:rPr>
        <w:t>This was raised as an equity issue between community</w:t>
      </w:r>
      <w:r w:rsidR="00931845">
        <w:rPr>
          <w:lang w:eastAsia="en-AU"/>
        </w:rPr>
        <w:t xml:space="preserve"> pharmacy</w:t>
      </w:r>
      <w:r w:rsidR="00C45EB1" w:rsidRPr="008549D5">
        <w:rPr>
          <w:lang w:eastAsia="en-AU"/>
        </w:rPr>
        <w:t xml:space="preserve"> and public hospital pharmac</w:t>
      </w:r>
      <w:r w:rsidR="00931845">
        <w:rPr>
          <w:lang w:eastAsia="en-AU"/>
        </w:rPr>
        <w:t>y</w:t>
      </w:r>
      <w:r w:rsidR="00C45EB1" w:rsidRPr="008549D5">
        <w:rPr>
          <w:lang w:eastAsia="en-AU"/>
        </w:rPr>
        <w:t xml:space="preserve"> that could be addressed</w:t>
      </w:r>
      <w:r w:rsidR="00C45EB1" w:rsidRPr="008549D5">
        <w:t xml:space="preserve"> by increasing remuneration to public hospital pharmacies for these embedded services. </w:t>
      </w:r>
      <w:r w:rsidR="00023EC3">
        <w:t>It is unclear if these concerns have been raised with the Independent Health and Aged Care Pricing Authority and their annual National Hospital Cost Data Collection process, which seeks to capture the actual costs of delivery for the provision of public hospital services.</w:t>
      </w:r>
    </w:p>
    <w:p w14:paraId="5FD19FF4" w14:textId="43E23096" w:rsidR="00967E6D" w:rsidRPr="003545CC" w:rsidRDefault="00967E6D" w:rsidP="003545CC">
      <w:pPr>
        <w:spacing w:before="240"/>
        <w:rPr>
          <w:rFonts w:cs="Arial"/>
          <w:i/>
          <w:iCs/>
          <w:szCs w:val="22"/>
        </w:rPr>
      </w:pPr>
      <w:r w:rsidRPr="003545CC">
        <w:rPr>
          <w:rFonts w:cs="Arial"/>
          <w:i/>
          <w:iCs/>
          <w:szCs w:val="22"/>
        </w:rPr>
        <w:t>Programs</w:t>
      </w:r>
      <w:r w:rsidR="00AA2F7F" w:rsidRPr="003545CC">
        <w:rPr>
          <w:rFonts w:cs="Arial"/>
          <w:i/>
          <w:iCs/>
          <w:szCs w:val="22"/>
        </w:rPr>
        <w:t xml:space="preserve"> </w:t>
      </w:r>
      <w:r w:rsidRPr="003545CC">
        <w:rPr>
          <w:rFonts w:cs="Arial"/>
          <w:i/>
          <w:iCs/>
          <w:szCs w:val="22"/>
        </w:rPr>
        <w:t>/</w:t>
      </w:r>
      <w:r w:rsidR="00AA2F7F" w:rsidRPr="003545CC">
        <w:rPr>
          <w:rFonts w:cs="Arial"/>
          <w:i/>
          <w:iCs/>
          <w:szCs w:val="22"/>
        </w:rPr>
        <w:t xml:space="preserve"> </w:t>
      </w:r>
      <w:r w:rsidRPr="003545CC">
        <w:rPr>
          <w:rFonts w:cs="Arial"/>
          <w:i/>
          <w:iCs/>
          <w:szCs w:val="22"/>
        </w:rPr>
        <w:t>Policies</w:t>
      </w:r>
    </w:p>
    <w:p w14:paraId="1DB1858D" w14:textId="60C1FB29" w:rsidR="0011035C" w:rsidRPr="008549D5" w:rsidRDefault="001B3FD4" w:rsidP="007E4AF8">
      <w:pPr>
        <w:pStyle w:val="Paragraphtext"/>
        <w:rPr>
          <w:lang w:eastAsia="en-AU"/>
        </w:rPr>
      </w:pPr>
      <w:r w:rsidRPr="008549D5">
        <w:rPr>
          <w:lang w:eastAsia="en-AU"/>
        </w:rPr>
        <w:t xml:space="preserve">Currently no PRA has </w:t>
      </w:r>
      <w:r w:rsidR="00FA543F" w:rsidRPr="008549D5">
        <w:rPr>
          <w:lang w:eastAsia="en-AU"/>
        </w:rPr>
        <w:t xml:space="preserve">reference to </w:t>
      </w:r>
      <w:r w:rsidRPr="008549D5">
        <w:rPr>
          <w:lang w:eastAsia="en-AU"/>
        </w:rPr>
        <w:t>specific</w:t>
      </w:r>
      <w:r w:rsidR="00FA543F" w:rsidRPr="008549D5">
        <w:rPr>
          <w:lang w:eastAsia="en-AU"/>
        </w:rPr>
        <w:t xml:space="preserve"> programs outside of the inclusion of the PBS and Section 100 Chemotherapy programs. </w:t>
      </w:r>
      <w:r w:rsidR="000A48E3">
        <w:rPr>
          <w:lang w:eastAsia="en-AU"/>
        </w:rPr>
        <w:t xml:space="preserve">During stakeholder consultation there was discussion around whether </w:t>
      </w:r>
      <w:r w:rsidR="00EB2EF8">
        <w:rPr>
          <w:lang w:eastAsia="en-AU"/>
        </w:rPr>
        <w:t xml:space="preserve">it would be appropriate to </w:t>
      </w:r>
      <w:r w:rsidR="000A48E3">
        <w:rPr>
          <w:lang w:eastAsia="en-AU"/>
        </w:rPr>
        <w:t>include specific</w:t>
      </w:r>
      <w:r w:rsidR="00EB2EF8">
        <w:rPr>
          <w:lang w:eastAsia="en-AU"/>
        </w:rPr>
        <w:t xml:space="preserve"> Commonwealth</w:t>
      </w:r>
      <w:r w:rsidR="000A48E3">
        <w:rPr>
          <w:lang w:eastAsia="en-AU"/>
        </w:rPr>
        <w:t xml:space="preserve"> programs</w:t>
      </w:r>
      <w:r w:rsidR="008D1482">
        <w:rPr>
          <w:lang w:eastAsia="en-AU"/>
        </w:rPr>
        <w:t xml:space="preserve"> or policies</w:t>
      </w:r>
      <w:r w:rsidR="00EB2EF8">
        <w:rPr>
          <w:lang w:eastAsia="en-AU"/>
        </w:rPr>
        <w:t xml:space="preserve"> in PRAs</w:t>
      </w:r>
      <w:r w:rsidR="000A48E3">
        <w:rPr>
          <w:lang w:eastAsia="en-AU"/>
        </w:rPr>
        <w:t>, such as the biosimilar uptake initiative. However, t</w:t>
      </w:r>
      <w:r w:rsidR="0011035C" w:rsidRPr="008549D5">
        <w:rPr>
          <w:lang w:eastAsia="en-AU"/>
        </w:rPr>
        <w:t>here is a n</w:t>
      </w:r>
      <w:r w:rsidR="00D40F5E" w:rsidRPr="008549D5">
        <w:rPr>
          <w:lang w:eastAsia="en-AU"/>
        </w:rPr>
        <w:t xml:space="preserve">eed to be cautious about including specific programs within the PRAs as they can age badly. </w:t>
      </w:r>
      <w:r w:rsidR="00FA543F" w:rsidRPr="008549D5">
        <w:rPr>
          <w:lang w:eastAsia="en-AU"/>
        </w:rPr>
        <w:t xml:space="preserve">The PRAs intention was to enable access to PBS medicines </w:t>
      </w:r>
      <w:r w:rsidR="00E27CC4" w:rsidRPr="008549D5">
        <w:rPr>
          <w:lang w:eastAsia="en-AU"/>
        </w:rPr>
        <w:t xml:space="preserve">through public hospitals </w:t>
      </w:r>
      <w:r w:rsidR="00FA543F" w:rsidRPr="008549D5">
        <w:rPr>
          <w:lang w:eastAsia="en-AU"/>
        </w:rPr>
        <w:t>for all eligible patients</w:t>
      </w:r>
      <w:r w:rsidR="00E27CC4" w:rsidRPr="008549D5">
        <w:rPr>
          <w:lang w:eastAsia="en-AU"/>
        </w:rPr>
        <w:t xml:space="preserve"> in a safe and equitable manner. While the introduction of PRAs into the majority of jurisdiction</w:t>
      </w:r>
      <w:r w:rsidR="00B01840" w:rsidRPr="008549D5">
        <w:rPr>
          <w:lang w:eastAsia="en-AU"/>
        </w:rPr>
        <w:t>s</w:t>
      </w:r>
      <w:r w:rsidR="00E27CC4" w:rsidRPr="008549D5">
        <w:rPr>
          <w:lang w:eastAsia="en-AU"/>
        </w:rPr>
        <w:t xml:space="preserve"> has facilitated greater uptake of QUM measures</w:t>
      </w:r>
      <w:r w:rsidR="00B01840" w:rsidRPr="008549D5">
        <w:rPr>
          <w:lang w:eastAsia="en-AU"/>
        </w:rPr>
        <w:t>,</w:t>
      </w:r>
      <w:r w:rsidR="00E27CC4" w:rsidRPr="008549D5">
        <w:rPr>
          <w:lang w:eastAsia="en-AU"/>
        </w:rPr>
        <w:t xml:space="preserve"> the </w:t>
      </w:r>
      <w:r w:rsidR="00B01840" w:rsidRPr="008549D5">
        <w:rPr>
          <w:lang w:eastAsia="en-AU"/>
        </w:rPr>
        <w:t>jurisdiction’s</w:t>
      </w:r>
      <w:r w:rsidR="00E27CC4" w:rsidRPr="008549D5">
        <w:rPr>
          <w:lang w:eastAsia="en-AU"/>
        </w:rPr>
        <w:t xml:space="preserve"> inclusion of</w:t>
      </w:r>
      <w:r w:rsidR="0011035C" w:rsidRPr="008549D5">
        <w:rPr>
          <w:lang w:eastAsia="en-AU"/>
        </w:rPr>
        <w:t xml:space="preserve"> a reference to ACSQHC </w:t>
      </w:r>
      <w:r w:rsidR="0011035C" w:rsidRPr="00EB2EF8">
        <w:rPr>
          <w:i/>
          <w:iCs/>
          <w:lang w:eastAsia="en-AU"/>
        </w:rPr>
        <w:t>National Safety and Quality Health Service Standards</w:t>
      </w:r>
      <w:r w:rsidR="0011035C" w:rsidRPr="008549D5">
        <w:rPr>
          <w:lang w:eastAsia="en-AU"/>
        </w:rPr>
        <w:t xml:space="preserve"> in PRAs would continue to promote this initiative.</w:t>
      </w:r>
      <w:r w:rsidR="00E27CC4" w:rsidRPr="008549D5">
        <w:rPr>
          <w:lang w:eastAsia="en-AU"/>
        </w:rPr>
        <w:t xml:space="preserve"> </w:t>
      </w:r>
      <w:r w:rsidR="0011035C" w:rsidRPr="008549D5">
        <w:rPr>
          <w:lang w:eastAsia="en-AU"/>
        </w:rPr>
        <w:t xml:space="preserve">Inclusion of specific programs could be negotiated with stakeholders as part of a governance program as discussed below. </w:t>
      </w:r>
    </w:p>
    <w:p w14:paraId="1E8E9AEA" w14:textId="50E02D50" w:rsidR="00D40F5E" w:rsidRDefault="00967E6D" w:rsidP="003545CC">
      <w:pPr>
        <w:spacing w:before="240"/>
        <w:rPr>
          <w:rFonts w:cs="Arial"/>
          <w:i/>
          <w:iCs/>
          <w:szCs w:val="22"/>
        </w:rPr>
      </w:pPr>
      <w:r w:rsidRPr="0097068E">
        <w:rPr>
          <w:rFonts w:cs="Arial"/>
          <w:i/>
          <w:iCs/>
          <w:szCs w:val="22"/>
        </w:rPr>
        <w:t>Risk-share arrangements</w:t>
      </w:r>
    </w:p>
    <w:p w14:paraId="4337481A" w14:textId="256F9246" w:rsidR="0053616D" w:rsidRPr="0053616D" w:rsidRDefault="0053616D" w:rsidP="003545CC">
      <w:pPr>
        <w:spacing w:before="240"/>
        <w:rPr>
          <w:rFonts w:cs="Arial"/>
          <w:szCs w:val="22"/>
        </w:rPr>
      </w:pPr>
      <w:r>
        <w:rPr>
          <w:rFonts w:cs="Arial"/>
          <w:szCs w:val="22"/>
        </w:rPr>
        <w:t>I</w:t>
      </w:r>
      <w:r w:rsidR="008D1482">
        <w:rPr>
          <w:rFonts w:cs="Arial"/>
          <w:szCs w:val="22"/>
        </w:rPr>
        <w:t>t</w:t>
      </w:r>
      <w:r>
        <w:rPr>
          <w:rFonts w:cs="Arial"/>
          <w:szCs w:val="22"/>
        </w:rPr>
        <w:t xml:space="preserve"> was noted by several jurisdictions that while there may have been </w:t>
      </w:r>
      <w:r w:rsidR="008D1482">
        <w:rPr>
          <w:rFonts w:cs="Arial"/>
          <w:szCs w:val="22"/>
        </w:rPr>
        <w:t xml:space="preserve">a </w:t>
      </w:r>
      <w:r>
        <w:rPr>
          <w:rFonts w:cs="Arial"/>
          <w:szCs w:val="22"/>
        </w:rPr>
        <w:t xml:space="preserve">perceived requirement for a </w:t>
      </w:r>
      <w:r w:rsidR="008D1482">
        <w:rPr>
          <w:rFonts w:cs="Arial"/>
          <w:szCs w:val="22"/>
        </w:rPr>
        <w:t>ri</w:t>
      </w:r>
      <w:r>
        <w:rPr>
          <w:rFonts w:cs="Arial"/>
          <w:szCs w:val="22"/>
        </w:rPr>
        <w:t>sk sharing arrangement during the initial phase of the introduction of PRAs this has since passed it</w:t>
      </w:r>
      <w:r w:rsidR="00D440FA">
        <w:rPr>
          <w:rFonts w:cs="Arial"/>
          <w:szCs w:val="22"/>
        </w:rPr>
        <w:t>s</w:t>
      </w:r>
      <w:r>
        <w:rPr>
          <w:rFonts w:cs="Arial"/>
          <w:szCs w:val="22"/>
        </w:rPr>
        <w:t xml:space="preserve"> usefulness. The only time in which the individual jurisdiction ceilings where </w:t>
      </w:r>
      <w:r>
        <w:rPr>
          <w:rFonts w:cs="Arial"/>
          <w:szCs w:val="22"/>
        </w:rPr>
        <w:lastRenderedPageBreak/>
        <w:t xml:space="preserve">breached was with the introduction of the high-cost hepatitis C medicines. These </w:t>
      </w:r>
      <w:r w:rsidR="00D440FA">
        <w:rPr>
          <w:rFonts w:cs="Arial"/>
          <w:szCs w:val="22"/>
        </w:rPr>
        <w:t xml:space="preserve">medicines </w:t>
      </w:r>
      <w:r>
        <w:rPr>
          <w:rFonts w:cs="Arial"/>
          <w:szCs w:val="22"/>
        </w:rPr>
        <w:t xml:space="preserve">were </w:t>
      </w:r>
      <w:r w:rsidR="00D440FA">
        <w:rPr>
          <w:rFonts w:cs="Arial"/>
          <w:szCs w:val="22"/>
        </w:rPr>
        <w:t>eventually</w:t>
      </w:r>
      <w:r>
        <w:rPr>
          <w:rFonts w:cs="Arial"/>
          <w:szCs w:val="22"/>
        </w:rPr>
        <w:t xml:space="preserve"> removed </w:t>
      </w:r>
      <w:r w:rsidR="00D440FA">
        <w:rPr>
          <w:rFonts w:cs="Arial"/>
          <w:szCs w:val="22"/>
        </w:rPr>
        <w:t>from</w:t>
      </w:r>
      <w:r>
        <w:rPr>
          <w:rFonts w:cs="Arial"/>
          <w:szCs w:val="22"/>
        </w:rPr>
        <w:t xml:space="preserve"> the </w:t>
      </w:r>
      <w:r w:rsidR="00D440FA">
        <w:rPr>
          <w:rFonts w:cs="Arial"/>
          <w:szCs w:val="22"/>
        </w:rPr>
        <w:t xml:space="preserve">calculation of each jurisdiction. </w:t>
      </w:r>
      <w:r w:rsidR="00FC11B2">
        <w:rPr>
          <w:rFonts w:cs="Arial"/>
          <w:szCs w:val="22"/>
        </w:rPr>
        <w:t xml:space="preserve">The lack of any other breaches in the ceilings was raised as justification for removing the need for a risk sharing agreement in any future PRA. </w:t>
      </w:r>
      <w:r w:rsidR="00D440FA">
        <w:rPr>
          <w:rFonts w:cs="Arial"/>
          <w:szCs w:val="22"/>
        </w:rPr>
        <w:t>It was</w:t>
      </w:r>
      <w:r w:rsidR="00FC11B2">
        <w:rPr>
          <w:rFonts w:cs="Arial"/>
          <w:szCs w:val="22"/>
        </w:rPr>
        <w:t xml:space="preserve"> also</w:t>
      </w:r>
      <w:r w:rsidR="00D440FA">
        <w:rPr>
          <w:rFonts w:cs="Arial"/>
          <w:szCs w:val="22"/>
        </w:rPr>
        <w:t xml:space="preserve"> noted that if the intention of the PRAs was to </w:t>
      </w:r>
      <w:r w:rsidR="00D440FA" w:rsidRPr="00D440FA">
        <w:rPr>
          <w:rFonts w:cs="Arial"/>
          <w:szCs w:val="22"/>
        </w:rPr>
        <w:t xml:space="preserve">maximise access to </w:t>
      </w:r>
      <w:r w:rsidR="00D440FA">
        <w:rPr>
          <w:rFonts w:cs="Arial"/>
          <w:szCs w:val="22"/>
        </w:rPr>
        <w:t xml:space="preserve">PBS </w:t>
      </w:r>
      <w:r w:rsidR="00D440FA" w:rsidRPr="00D440FA">
        <w:rPr>
          <w:rFonts w:cs="Arial"/>
          <w:szCs w:val="22"/>
        </w:rPr>
        <w:t>medicines for</w:t>
      </w:r>
      <w:r w:rsidR="00D440FA">
        <w:rPr>
          <w:rFonts w:cs="Arial"/>
          <w:szCs w:val="22"/>
        </w:rPr>
        <w:t xml:space="preserve"> non-admitted public hospital patients then the need for a risk sharing </w:t>
      </w:r>
      <w:r w:rsidR="00FC11B2">
        <w:rPr>
          <w:rFonts w:cs="Arial"/>
          <w:szCs w:val="22"/>
        </w:rPr>
        <w:t>arrangement was no longer required.</w:t>
      </w:r>
    </w:p>
    <w:p w14:paraId="4C38038D" w14:textId="77777777" w:rsidR="00AF3F16" w:rsidRPr="008549D5" w:rsidRDefault="00AF3F16" w:rsidP="003545CC">
      <w:pPr>
        <w:spacing w:before="240"/>
        <w:rPr>
          <w:rFonts w:cs="Arial"/>
          <w:i/>
          <w:iCs/>
          <w:szCs w:val="22"/>
        </w:rPr>
      </w:pPr>
      <w:r w:rsidRPr="008549D5">
        <w:rPr>
          <w:rFonts w:cs="Arial"/>
          <w:i/>
          <w:iCs/>
          <w:szCs w:val="22"/>
        </w:rPr>
        <w:t>Digital health / ePrescribing</w:t>
      </w:r>
    </w:p>
    <w:p w14:paraId="009A941A" w14:textId="42E23286" w:rsidR="00EB2EF8" w:rsidRPr="008549D5" w:rsidRDefault="00AF3F16" w:rsidP="007E4AF8">
      <w:pPr>
        <w:pStyle w:val="Paragraphtext"/>
        <w:rPr>
          <w:lang w:eastAsia="en-AU"/>
        </w:rPr>
      </w:pPr>
      <w:r w:rsidRPr="008549D5">
        <w:rPr>
          <w:lang w:eastAsia="en-AU"/>
        </w:rPr>
        <w:t>It was noted that jurisdictions are moving to a digital health model in public hospital</w:t>
      </w:r>
      <w:r w:rsidR="008D1482">
        <w:rPr>
          <w:lang w:eastAsia="en-AU"/>
        </w:rPr>
        <w:t>,</w:t>
      </w:r>
      <w:r w:rsidRPr="008549D5">
        <w:rPr>
          <w:lang w:eastAsia="en-AU"/>
        </w:rPr>
        <w:t xml:space="preserve"> with digital health and medicine charts</w:t>
      </w:r>
      <w:r w:rsidR="008D1482">
        <w:rPr>
          <w:lang w:eastAsia="en-AU"/>
        </w:rPr>
        <w:t>,</w:t>
      </w:r>
      <w:r w:rsidRPr="008549D5">
        <w:rPr>
          <w:lang w:eastAsia="en-AU"/>
        </w:rPr>
        <w:t xml:space="preserve"> with </w:t>
      </w:r>
      <w:r w:rsidR="000B1B4D" w:rsidRPr="008549D5">
        <w:rPr>
          <w:lang w:eastAsia="en-AU"/>
        </w:rPr>
        <w:t xml:space="preserve">ePrescribing </w:t>
      </w:r>
      <w:r w:rsidRPr="008549D5">
        <w:rPr>
          <w:lang w:eastAsia="en-AU"/>
        </w:rPr>
        <w:t xml:space="preserve">a key component of this model. This is driven in part by the ease of claiming PBS subsidies through Services Australia with </w:t>
      </w:r>
      <w:r w:rsidR="000B1B4D" w:rsidRPr="008549D5">
        <w:rPr>
          <w:lang w:eastAsia="en-AU"/>
        </w:rPr>
        <w:t xml:space="preserve">ePrescribing </w:t>
      </w:r>
      <w:r w:rsidR="008D1482">
        <w:rPr>
          <w:lang w:eastAsia="en-AU"/>
        </w:rPr>
        <w:t>in addition to</w:t>
      </w:r>
      <w:r w:rsidRPr="008549D5">
        <w:rPr>
          <w:lang w:eastAsia="en-AU"/>
        </w:rPr>
        <w:t xml:space="preserve"> other advantages for both the hospital and the patient. ePrescribing will most likely lessen instances of incorrect dispensing at the pharmacy level for both the hospital and hospital issued </w:t>
      </w:r>
      <w:r w:rsidR="00EB2EF8">
        <w:rPr>
          <w:lang w:eastAsia="en-AU"/>
        </w:rPr>
        <w:t>prescriptions</w:t>
      </w:r>
      <w:r w:rsidRPr="008549D5">
        <w:rPr>
          <w:lang w:eastAsia="en-AU"/>
        </w:rPr>
        <w:t xml:space="preserve"> dispensed in a community pharmacy.</w:t>
      </w:r>
      <w:r w:rsidR="000A6F7A">
        <w:rPr>
          <w:lang w:eastAsia="en-AU"/>
        </w:rPr>
        <w:t xml:space="preserve"> </w:t>
      </w:r>
    </w:p>
    <w:p w14:paraId="36EA858F" w14:textId="3F5A2C6A" w:rsidR="00403546" w:rsidRPr="006D0894" w:rsidRDefault="00A72C2D" w:rsidP="006D0894">
      <w:pPr>
        <w:pStyle w:val="Heading2"/>
      </w:pPr>
      <w:bookmarkStart w:id="30" w:name="_Toc126595355"/>
      <w:r>
        <w:t>Transparency and accountability</w:t>
      </w:r>
      <w:bookmarkEnd w:id="30"/>
    </w:p>
    <w:p w14:paraId="59F5DEB2" w14:textId="4D8A2F1A" w:rsidR="00160C5F" w:rsidRPr="003545CC" w:rsidRDefault="00403546" w:rsidP="003545CC">
      <w:pPr>
        <w:spacing w:before="240"/>
        <w:rPr>
          <w:rFonts w:cs="Arial"/>
          <w:i/>
          <w:iCs/>
          <w:szCs w:val="22"/>
        </w:rPr>
      </w:pPr>
      <w:r w:rsidRPr="008549D5">
        <w:rPr>
          <w:rFonts w:cs="Arial"/>
          <w:i/>
          <w:iCs/>
          <w:szCs w:val="22"/>
        </w:rPr>
        <w:t>Ongoing consultation</w:t>
      </w:r>
    </w:p>
    <w:p w14:paraId="5EC7EBA0" w14:textId="2BF775A4" w:rsidR="00403546" w:rsidRPr="008549D5" w:rsidRDefault="00160C5F" w:rsidP="000E432D">
      <w:pPr>
        <w:pStyle w:val="Paragraphtext"/>
        <w:rPr>
          <w:lang w:eastAsia="en-AU"/>
        </w:rPr>
      </w:pPr>
      <w:r w:rsidRPr="008549D5">
        <w:rPr>
          <w:lang w:eastAsia="en-AU"/>
        </w:rPr>
        <w:t xml:space="preserve">It was noted that there is no requirement under a </w:t>
      </w:r>
      <w:r w:rsidR="00EB2EF8">
        <w:rPr>
          <w:lang w:eastAsia="en-AU"/>
        </w:rPr>
        <w:t xml:space="preserve">current </w:t>
      </w:r>
      <w:r w:rsidRPr="008549D5">
        <w:rPr>
          <w:lang w:eastAsia="en-AU"/>
        </w:rPr>
        <w:t xml:space="preserve">PRA to consult with the jurisdictions on aspects pertaining to PRAs. This has led to PRAs forming a virtual </w:t>
      </w:r>
      <w:r w:rsidR="00EB2EF8" w:rsidRPr="008549D5">
        <w:rPr>
          <w:lang w:eastAsia="en-AU"/>
        </w:rPr>
        <w:t>snapshot</w:t>
      </w:r>
      <w:r w:rsidRPr="008549D5">
        <w:rPr>
          <w:lang w:eastAsia="en-AU"/>
        </w:rPr>
        <w:t xml:space="preserve"> in time from when they were entered into, with some of these agreements </w:t>
      </w:r>
      <w:r w:rsidR="003774B9">
        <w:rPr>
          <w:lang w:eastAsia="en-AU"/>
        </w:rPr>
        <w:t xml:space="preserve">now </w:t>
      </w:r>
      <w:r w:rsidRPr="008549D5">
        <w:rPr>
          <w:lang w:eastAsia="en-AU"/>
        </w:rPr>
        <w:t>over 20 years old. It was suggested by multiple stakeholders that a</w:t>
      </w:r>
      <w:r w:rsidR="00403546" w:rsidRPr="008549D5">
        <w:rPr>
          <w:lang w:eastAsia="en-AU"/>
        </w:rPr>
        <w:t xml:space="preserve"> forum which involved Departmental, jurisdictional health representatives and </w:t>
      </w:r>
      <w:r w:rsidR="003774B9" w:rsidRPr="008549D5">
        <w:rPr>
          <w:lang w:eastAsia="en-AU"/>
        </w:rPr>
        <w:t xml:space="preserve">Chief Pharmacists </w:t>
      </w:r>
      <w:r w:rsidR="00403546" w:rsidRPr="008549D5">
        <w:rPr>
          <w:lang w:eastAsia="en-AU"/>
        </w:rPr>
        <w:t xml:space="preserve">would be beneficial for the maintenance of PRAs. </w:t>
      </w:r>
      <w:r w:rsidRPr="008549D5">
        <w:rPr>
          <w:lang w:eastAsia="en-AU"/>
        </w:rPr>
        <w:t>Indicative s</w:t>
      </w:r>
      <w:r w:rsidR="00403546" w:rsidRPr="008549D5">
        <w:rPr>
          <w:lang w:eastAsia="en-AU"/>
        </w:rPr>
        <w:t xml:space="preserve">upport has also been received from multiple stakeholders to enact 5 year agreements with </w:t>
      </w:r>
      <w:r w:rsidR="006E4970" w:rsidRPr="008549D5">
        <w:rPr>
          <w:lang w:eastAsia="en-AU"/>
        </w:rPr>
        <w:t>states and territories</w:t>
      </w:r>
      <w:r w:rsidRPr="008549D5">
        <w:rPr>
          <w:lang w:eastAsia="en-AU"/>
        </w:rPr>
        <w:t xml:space="preserve">. </w:t>
      </w:r>
      <w:r w:rsidR="00B25655" w:rsidRPr="008549D5">
        <w:rPr>
          <w:lang w:eastAsia="en-AU"/>
        </w:rPr>
        <w:t xml:space="preserve">This PRA would include </w:t>
      </w:r>
      <w:r w:rsidR="00403546" w:rsidRPr="008549D5">
        <w:rPr>
          <w:lang w:eastAsia="en-AU"/>
        </w:rPr>
        <w:t>a regular forum to discuss current PRAs and any changes that should be included</w:t>
      </w:r>
      <w:r w:rsidR="00B25655" w:rsidRPr="008549D5">
        <w:rPr>
          <w:lang w:eastAsia="en-AU"/>
        </w:rPr>
        <w:t xml:space="preserve"> either as addendums to the current agreement or for future agreements</w:t>
      </w:r>
      <w:r w:rsidR="00403546" w:rsidRPr="008549D5">
        <w:rPr>
          <w:lang w:eastAsia="en-AU"/>
        </w:rPr>
        <w:t xml:space="preserve">. </w:t>
      </w:r>
    </w:p>
    <w:p w14:paraId="7074DDCD" w14:textId="77777777" w:rsidR="003B3B48" w:rsidRPr="008549D5" w:rsidRDefault="003B3B48" w:rsidP="003545CC">
      <w:pPr>
        <w:spacing w:before="240"/>
        <w:rPr>
          <w:rFonts w:cs="Arial"/>
          <w:i/>
          <w:iCs/>
          <w:szCs w:val="22"/>
        </w:rPr>
      </w:pPr>
      <w:r w:rsidRPr="008549D5">
        <w:rPr>
          <w:rFonts w:cs="Arial"/>
          <w:i/>
          <w:iCs/>
          <w:szCs w:val="22"/>
        </w:rPr>
        <w:t>PBS updates</w:t>
      </w:r>
    </w:p>
    <w:p w14:paraId="4E34FC11" w14:textId="4F3BD0AA" w:rsidR="009407D8" w:rsidRDefault="000C44EE" w:rsidP="000E432D">
      <w:pPr>
        <w:pStyle w:val="Paragraphtext"/>
        <w:rPr>
          <w:lang w:eastAsia="en-AU"/>
        </w:rPr>
      </w:pPr>
      <w:r>
        <w:rPr>
          <w:lang w:eastAsia="en-AU"/>
        </w:rPr>
        <w:t xml:space="preserve">Jurisdictions </w:t>
      </w:r>
      <w:r w:rsidR="003B3B48" w:rsidRPr="008549D5">
        <w:rPr>
          <w:lang w:eastAsia="en-AU"/>
        </w:rPr>
        <w:t xml:space="preserve">expressed a desire to engage with the Department prior to the implementation of PBS listings, where these listings have a direct impact on hospitals. </w:t>
      </w:r>
      <w:r w:rsidR="006D40C7">
        <w:rPr>
          <w:lang w:eastAsia="en-AU"/>
        </w:rPr>
        <w:t>I</w:t>
      </w:r>
      <w:r w:rsidR="006D40C7" w:rsidRPr="008549D5">
        <w:rPr>
          <w:lang w:eastAsia="en-AU"/>
        </w:rPr>
        <w:t>t was noted that jurisdictions are usually restricted to an annual budget negotiated based on the current environment and that the listing of new high cost drugs, especially those that require initiation as an in-patient</w:t>
      </w:r>
      <w:r w:rsidR="006D40C7">
        <w:rPr>
          <w:lang w:eastAsia="en-AU"/>
        </w:rPr>
        <w:t>,</w:t>
      </w:r>
      <w:r w:rsidR="006D40C7" w:rsidRPr="008549D5">
        <w:rPr>
          <w:lang w:eastAsia="en-AU"/>
        </w:rPr>
        <w:t xml:space="preserve"> have a</w:t>
      </w:r>
      <w:r w:rsidR="006D40C7">
        <w:rPr>
          <w:lang w:eastAsia="en-AU"/>
        </w:rPr>
        <w:t xml:space="preserve"> negative</w:t>
      </w:r>
      <w:r w:rsidR="006D40C7" w:rsidRPr="008549D5">
        <w:rPr>
          <w:lang w:eastAsia="en-AU"/>
        </w:rPr>
        <w:t xml:space="preserve"> impact on hospital budgets. The Department is aware that while there is a process for new drugs</w:t>
      </w:r>
      <w:r w:rsidR="00023EC3">
        <w:rPr>
          <w:lang w:eastAsia="en-AU"/>
        </w:rPr>
        <w:t>,</w:t>
      </w:r>
      <w:r w:rsidR="006D40C7" w:rsidRPr="008549D5">
        <w:rPr>
          <w:lang w:eastAsia="en-AU"/>
        </w:rPr>
        <w:t xml:space="preserve"> provided to inpatients to qualify for ongoing PBS access</w:t>
      </w:r>
      <w:r w:rsidR="00023EC3">
        <w:rPr>
          <w:lang w:eastAsia="en-AU"/>
        </w:rPr>
        <w:t>,</w:t>
      </w:r>
      <w:r w:rsidR="006D40C7" w:rsidRPr="008549D5">
        <w:rPr>
          <w:lang w:eastAsia="en-AU"/>
        </w:rPr>
        <w:t xml:space="preserve"> to be added to the funding model for each jurisdiction, through IH</w:t>
      </w:r>
      <w:r w:rsidR="00C125C5">
        <w:rPr>
          <w:lang w:eastAsia="en-AU"/>
        </w:rPr>
        <w:t>AC</w:t>
      </w:r>
      <w:r w:rsidR="006D40C7" w:rsidRPr="008549D5">
        <w:rPr>
          <w:lang w:eastAsia="en-AU"/>
        </w:rPr>
        <w:t xml:space="preserve">PA, it was indicated during the consultation phase that this mechanism </w:t>
      </w:r>
      <w:r w:rsidR="00023EC3">
        <w:rPr>
          <w:lang w:eastAsia="en-AU"/>
        </w:rPr>
        <w:t xml:space="preserve">is slow and </w:t>
      </w:r>
      <w:r w:rsidR="006D40C7" w:rsidRPr="008549D5">
        <w:rPr>
          <w:lang w:eastAsia="en-AU"/>
        </w:rPr>
        <w:t>can take up to 2</w:t>
      </w:r>
      <w:r w:rsidR="00023EC3">
        <w:rPr>
          <w:lang w:eastAsia="en-AU"/>
        </w:rPr>
        <w:t xml:space="preserve"> to 3</w:t>
      </w:r>
      <w:r w:rsidR="006D40C7" w:rsidRPr="008549D5">
        <w:rPr>
          <w:lang w:eastAsia="en-AU"/>
        </w:rPr>
        <w:t xml:space="preserve"> years </w:t>
      </w:r>
      <w:r w:rsidR="00023EC3">
        <w:rPr>
          <w:lang w:eastAsia="en-AU"/>
        </w:rPr>
        <w:t xml:space="preserve">for it </w:t>
      </w:r>
      <w:r w:rsidR="006D40C7" w:rsidRPr="008549D5">
        <w:rPr>
          <w:lang w:eastAsia="en-AU"/>
        </w:rPr>
        <w:t>to be flowed into hospital budgets.</w:t>
      </w:r>
    </w:p>
    <w:p w14:paraId="44C0DA02" w14:textId="77777777" w:rsidR="009407D8" w:rsidRDefault="009407D8">
      <w:pPr>
        <w:rPr>
          <w:rFonts w:cs="Arial"/>
          <w:color w:val="000000" w:themeColor="text1"/>
          <w:szCs w:val="22"/>
          <w:lang w:eastAsia="en-AU"/>
        </w:rPr>
      </w:pPr>
      <w:r>
        <w:rPr>
          <w:lang w:eastAsia="en-AU"/>
        </w:rPr>
        <w:br w:type="page"/>
      </w:r>
    </w:p>
    <w:p w14:paraId="6FE4B47B" w14:textId="1673CD4D" w:rsidR="00E346AF" w:rsidRDefault="00E346AF" w:rsidP="00E346AF">
      <w:pPr>
        <w:pStyle w:val="Heading1"/>
      </w:pPr>
      <w:bookmarkStart w:id="31" w:name="_Toc126595356"/>
      <w:r>
        <w:lastRenderedPageBreak/>
        <w:t xml:space="preserve">Department </w:t>
      </w:r>
      <w:r w:rsidR="000A6F7A">
        <w:t>response</w:t>
      </w:r>
      <w:r>
        <w:t xml:space="preserve"> and Recommendations</w:t>
      </w:r>
      <w:bookmarkEnd w:id="31"/>
    </w:p>
    <w:p w14:paraId="44BF43F7" w14:textId="77777777" w:rsidR="00E346AF" w:rsidRPr="006D0894" w:rsidRDefault="00E346AF" w:rsidP="00E346AF">
      <w:pPr>
        <w:pStyle w:val="Heading2"/>
      </w:pPr>
      <w:bookmarkStart w:id="32" w:name="_Toc126595357"/>
      <w:r w:rsidRPr="006D0894">
        <w:t>R</w:t>
      </w:r>
      <w:r>
        <w:t>ecommendation Summary</w:t>
      </w:r>
      <w:bookmarkEnd w:id="32"/>
    </w:p>
    <w:p w14:paraId="789F3730" w14:textId="77777777" w:rsidR="00E346AF" w:rsidRPr="0036375F" w:rsidRDefault="00E346AF" w:rsidP="00E346AF">
      <w:pPr>
        <w:spacing w:before="240"/>
        <w:rPr>
          <w:rFonts w:cs="Arial"/>
          <w:i/>
          <w:iCs/>
          <w:szCs w:val="22"/>
        </w:rPr>
      </w:pPr>
      <w:r w:rsidRPr="007F5801">
        <w:rPr>
          <w:rFonts w:cs="Arial"/>
          <w:i/>
          <w:iCs/>
          <w:szCs w:val="22"/>
        </w:rPr>
        <w:t>Multilateral agreement</w:t>
      </w:r>
    </w:p>
    <w:p w14:paraId="6C7B80A0" w14:textId="4601A3E7" w:rsidR="000E2B19" w:rsidRPr="007F5801" w:rsidRDefault="006E4970" w:rsidP="000E2B19">
      <w:pPr>
        <w:pStyle w:val="ListParagraph"/>
        <w:numPr>
          <w:ilvl w:val="0"/>
          <w:numId w:val="23"/>
        </w:numPr>
        <w:spacing w:before="120" w:after="60" w:line="256" w:lineRule="auto"/>
        <w:ind w:left="714" w:right="-46" w:hanging="357"/>
        <w:contextualSpacing w:val="0"/>
        <w:rPr>
          <w:rFonts w:cs="Arial"/>
          <w:szCs w:val="22"/>
        </w:rPr>
      </w:pPr>
      <w:r>
        <w:rPr>
          <w:rFonts w:cs="Arial"/>
          <w:szCs w:val="22"/>
        </w:rPr>
        <w:t>Include the PRAs as a schedule to the NHRA.</w:t>
      </w:r>
    </w:p>
    <w:p w14:paraId="67FEFA9B" w14:textId="0220D903" w:rsidR="006E4970" w:rsidRDefault="006E4970" w:rsidP="00106734">
      <w:pPr>
        <w:pStyle w:val="ListParagraph"/>
        <w:numPr>
          <w:ilvl w:val="0"/>
          <w:numId w:val="23"/>
        </w:numPr>
        <w:spacing w:before="120" w:after="60" w:line="256" w:lineRule="auto"/>
        <w:ind w:left="714" w:right="-46" w:hanging="357"/>
        <w:contextualSpacing w:val="0"/>
      </w:pPr>
      <w:r>
        <w:t xml:space="preserve">If PRA </w:t>
      </w:r>
      <w:r w:rsidRPr="00106734">
        <w:rPr>
          <w:rFonts w:cs="Arial"/>
          <w:szCs w:val="22"/>
        </w:rPr>
        <w:t>functions</w:t>
      </w:r>
      <w:r>
        <w:t xml:space="preserve"> are not included in the NHRA, negotiate a multilateral agreement with all jurisdictions to replace individual bilateral agreements; </w:t>
      </w:r>
    </w:p>
    <w:p w14:paraId="3223296C" w14:textId="77777777" w:rsidR="00E346AF" w:rsidRDefault="00E346AF" w:rsidP="00E346AF">
      <w:pPr>
        <w:pStyle w:val="ListParagraph"/>
        <w:numPr>
          <w:ilvl w:val="0"/>
          <w:numId w:val="23"/>
        </w:numPr>
      </w:pPr>
      <w:r>
        <w:t>Include a pharmacist professional organisation in the negotiation of future PRAs, but not as a signatory.</w:t>
      </w:r>
    </w:p>
    <w:p w14:paraId="09F8D3B4"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Pr>
          <w:rFonts w:cs="Arial"/>
          <w:szCs w:val="22"/>
        </w:rPr>
        <w:t>Publish agreements to improve transparency.</w:t>
      </w:r>
    </w:p>
    <w:p w14:paraId="29DE4E19"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Pr>
          <w:rFonts w:cs="Arial"/>
          <w:szCs w:val="22"/>
        </w:rPr>
        <w:t>Develop an appropriate</w:t>
      </w:r>
      <w:r w:rsidRPr="007F5801">
        <w:rPr>
          <w:rFonts w:cs="Arial"/>
          <w:szCs w:val="22"/>
        </w:rPr>
        <w:t xml:space="preserve"> governance structure</w:t>
      </w:r>
      <w:r>
        <w:rPr>
          <w:rFonts w:cs="Arial"/>
          <w:szCs w:val="22"/>
        </w:rPr>
        <w:t>, including a regular discussion forum</w:t>
      </w:r>
      <w:r w:rsidRPr="007F5801">
        <w:rPr>
          <w:rFonts w:cs="Arial"/>
          <w:szCs w:val="22"/>
        </w:rPr>
        <w:t>.</w:t>
      </w:r>
    </w:p>
    <w:p w14:paraId="5066E747"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sidRPr="007F5801">
        <w:rPr>
          <w:rFonts w:cs="Arial"/>
          <w:szCs w:val="22"/>
        </w:rPr>
        <w:t xml:space="preserve">Include </w:t>
      </w:r>
      <w:r>
        <w:rPr>
          <w:rFonts w:cs="Arial"/>
          <w:szCs w:val="22"/>
        </w:rPr>
        <w:t>an agreed evaluation mechanism</w:t>
      </w:r>
      <w:r w:rsidRPr="007F5801">
        <w:rPr>
          <w:rFonts w:cs="Arial"/>
          <w:szCs w:val="22"/>
        </w:rPr>
        <w:t>.</w:t>
      </w:r>
    </w:p>
    <w:p w14:paraId="16C3729A"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sidRPr="007F5801">
        <w:rPr>
          <w:rFonts w:cs="Arial"/>
          <w:szCs w:val="22"/>
        </w:rPr>
        <w:t xml:space="preserve">Continue </w:t>
      </w:r>
      <w:r>
        <w:rPr>
          <w:rFonts w:cs="Arial"/>
          <w:szCs w:val="22"/>
        </w:rPr>
        <w:t xml:space="preserve">to </w:t>
      </w:r>
      <w:r w:rsidRPr="007F5801">
        <w:rPr>
          <w:rFonts w:cs="Arial"/>
          <w:szCs w:val="22"/>
        </w:rPr>
        <w:t xml:space="preserve">include </w:t>
      </w:r>
      <w:r>
        <w:rPr>
          <w:rFonts w:cs="Arial"/>
          <w:szCs w:val="22"/>
        </w:rPr>
        <w:t>quality use of medicine</w:t>
      </w:r>
      <w:r w:rsidRPr="007F5801">
        <w:rPr>
          <w:rFonts w:cs="Arial"/>
          <w:szCs w:val="22"/>
        </w:rPr>
        <w:t xml:space="preserve"> specific issues.</w:t>
      </w:r>
    </w:p>
    <w:p w14:paraId="63102F52" w14:textId="77777777" w:rsidR="00E346AF" w:rsidRDefault="00E346AF" w:rsidP="00E346AF">
      <w:pPr>
        <w:pStyle w:val="ListParagraph"/>
        <w:numPr>
          <w:ilvl w:val="0"/>
          <w:numId w:val="23"/>
        </w:numPr>
        <w:spacing w:before="120" w:after="60" w:line="256" w:lineRule="auto"/>
        <w:ind w:left="714" w:right="-46" w:hanging="357"/>
        <w:contextualSpacing w:val="0"/>
        <w:rPr>
          <w:rFonts w:cs="Arial"/>
          <w:szCs w:val="22"/>
        </w:rPr>
      </w:pPr>
      <w:r w:rsidRPr="007F5801">
        <w:rPr>
          <w:rFonts w:cs="Arial"/>
          <w:szCs w:val="22"/>
        </w:rPr>
        <w:t>Enable all eligible prescribers to be able to prescribe PBS medicines through PRAs.</w:t>
      </w:r>
    </w:p>
    <w:p w14:paraId="7EF45186"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Pr>
          <w:rFonts w:cs="Arial"/>
          <w:szCs w:val="22"/>
        </w:rPr>
        <w:t>Include clauses to reduce variances in access to medicines.</w:t>
      </w:r>
    </w:p>
    <w:p w14:paraId="7DE881BB" w14:textId="77777777" w:rsidR="00E346AF" w:rsidRPr="0036375F" w:rsidRDefault="00E346AF" w:rsidP="00E346AF">
      <w:pPr>
        <w:spacing w:before="240"/>
        <w:rPr>
          <w:rFonts w:cs="Arial"/>
          <w:i/>
          <w:iCs/>
          <w:szCs w:val="22"/>
        </w:rPr>
      </w:pPr>
      <w:r w:rsidRPr="007F5801">
        <w:rPr>
          <w:rFonts w:cs="Arial"/>
          <w:i/>
          <w:iCs/>
          <w:szCs w:val="22"/>
        </w:rPr>
        <w:t xml:space="preserve">Extend </w:t>
      </w:r>
      <w:r>
        <w:rPr>
          <w:rFonts w:cs="Arial"/>
          <w:i/>
          <w:iCs/>
          <w:szCs w:val="22"/>
        </w:rPr>
        <w:t xml:space="preserve">the </w:t>
      </w:r>
      <w:r w:rsidRPr="007F5801">
        <w:rPr>
          <w:rFonts w:cs="Arial"/>
          <w:i/>
          <w:iCs/>
          <w:szCs w:val="22"/>
        </w:rPr>
        <w:t>CTG PBS Co-Payment Program</w:t>
      </w:r>
    </w:p>
    <w:p w14:paraId="5BC5CD1B" w14:textId="77777777" w:rsidR="00E346AF" w:rsidRPr="007F5801" w:rsidRDefault="00E346AF" w:rsidP="00E346AF">
      <w:pPr>
        <w:pStyle w:val="ListParagraph"/>
        <w:numPr>
          <w:ilvl w:val="0"/>
          <w:numId w:val="23"/>
        </w:numPr>
        <w:spacing w:before="120" w:after="60" w:line="256" w:lineRule="auto"/>
        <w:ind w:left="714" w:right="-46" w:hanging="357"/>
        <w:contextualSpacing w:val="0"/>
        <w:rPr>
          <w:rFonts w:cs="Arial"/>
          <w:szCs w:val="22"/>
        </w:rPr>
      </w:pPr>
      <w:r>
        <w:rPr>
          <w:rFonts w:cs="Arial"/>
          <w:szCs w:val="22"/>
        </w:rPr>
        <w:t>Expand t</w:t>
      </w:r>
      <w:r w:rsidRPr="007F5801">
        <w:rPr>
          <w:rFonts w:cs="Arial"/>
          <w:szCs w:val="22"/>
        </w:rPr>
        <w:t>he Closing the Gap</w:t>
      </w:r>
      <w:r>
        <w:rPr>
          <w:rFonts w:cs="Arial"/>
          <w:szCs w:val="22"/>
        </w:rPr>
        <w:t xml:space="preserve"> PBS</w:t>
      </w:r>
      <w:r w:rsidRPr="007F5801">
        <w:rPr>
          <w:rFonts w:cs="Arial"/>
          <w:szCs w:val="22"/>
        </w:rPr>
        <w:t xml:space="preserve"> Co-Payment </w:t>
      </w:r>
      <w:r>
        <w:rPr>
          <w:rFonts w:cs="Arial"/>
          <w:szCs w:val="22"/>
        </w:rPr>
        <w:t>Program</w:t>
      </w:r>
      <w:r w:rsidRPr="007F5801">
        <w:rPr>
          <w:rFonts w:cs="Arial"/>
          <w:szCs w:val="22"/>
        </w:rPr>
        <w:t xml:space="preserve"> (CTGCP) to include public hospitals.</w:t>
      </w:r>
    </w:p>
    <w:p w14:paraId="4E5A6D7C" w14:textId="77777777" w:rsidR="00E346AF" w:rsidRPr="0036375F" w:rsidRDefault="00E346AF" w:rsidP="00E346AF">
      <w:pPr>
        <w:spacing w:before="240"/>
        <w:rPr>
          <w:rFonts w:cs="Arial"/>
          <w:i/>
          <w:iCs/>
          <w:szCs w:val="22"/>
        </w:rPr>
      </w:pPr>
      <w:r w:rsidRPr="007F5801">
        <w:rPr>
          <w:rFonts w:cs="Arial"/>
          <w:i/>
          <w:iCs/>
          <w:szCs w:val="22"/>
        </w:rPr>
        <w:t xml:space="preserve">Interim PRA with NSW and ACT </w:t>
      </w:r>
    </w:p>
    <w:p w14:paraId="7E26FE5E" w14:textId="6F69DD98" w:rsidR="00E346AF" w:rsidRPr="007F5801" w:rsidRDefault="006E4970" w:rsidP="00E346AF">
      <w:pPr>
        <w:pStyle w:val="ListParagraph"/>
        <w:numPr>
          <w:ilvl w:val="0"/>
          <w:numId w:val="23"/>
        </w:numPr>
        <w:spacing w:before="120" w:after="60" w:line="256" w:lineRule="auto"/>
        <w:ind w:left="714" w:right="-46" w:hanging="357"/>
        <w:contextualSpacing w:val="0"/>
        <w:rPr>
          <w:rFonts w:cs="Arial"/>
          <w:szCs w:val="22"/>
        </w:rPr>
      </w:pPr>
      <w:r>
        <w:t xml:space="preserve">If PRA </w:t>
      </w:r>
      <w:r w:rsidRPr="006F01A9">
        <w:rPr>
          <w:rFonts w:cs="Arial"/>
          <w:szCs w:val="22"/>
        </w:rPr>
        <w:t>functions</w:t>
      </w:r>
      <w:r>
        <w:t xml:space="preserve"> are not included in the NHRA, consider </w:t>
      </w:r>
      <w:r>
        <w:rPr>
          <w:rFonts w:cs="Arial"/>
          <w:szCs w:val="22"/>
        </w:rPr>
        <w:t>entering</w:t>
      </w:r>
      <w:r w:rsidR="00E346AF" w:rsidRPr="007F5801">
        <w:rPr>
          <w:rFonts w:cs="Arial"/>
          <w:szCs w:val="22"/>
        </w:rPr>
        <w:t xml:space="preserve"> into negotiations with the ACT and NSW governments </w:t>
      </w:r>
      <w:r w:rsidR="00E346AF">
        <w:rPr>
          <w:rFonts w:cs="Arial"/>
          <w:szCs w:val="22"/>
        </w:rPr>
        <w:t>for</w:t>
      </w:r>
      <w:r w:rsidR="00E346AF" w:rsidRPr="007F5801">
        <w:rPr>
          <w:rFonts w:cs="Arial"/>
          <w:szCs w:val="22"/>
        </w:rPr>
        <w:t xml:space="preserve"> interim PRA</w:t>
      </w:r>
      <w:r w:rsidR="00E346AF">
        <w:rPr>
          <w:rFonts w:cs="Arial"/>
          <w:szCs w:val="22"/>
        </w:rPr>
        <w:t>s</w:t>
      </w:r>
      <w:r>
        <w:t>, pending agreement to a multilateral agreement.</w:t>
      </w:r>
    </w:p>
    <w:p w14:paraId="6357CD35" w14:textId="77777777" w:rsidR="007744C2" w:rsidRDefault="007744C2">
      <w:pPr>
        <w:rPr>
          <w:rFonts w:cs="Arial"/>
          <w:bCs/>
          <w:iCs/>
          <w:color w:val="358189"/>
          <w:sz w:val="32"/>
          <w:szCs w:val="28"/>
        </w:rPr>
      </w:pPr>
      <w:r>
        <w:br w:type="page"/>
      </w:r>
    </w:p>
    <w:p w14:paraId="36FB39E3" w14:textId="34635F9D" w:rsidR="007744C2" w:rsidRPr="006D0894" w:rsidRDefault="007744C2" w:rsidP="007744C2">
      <w:pPr>
        <w:pStyle w:val="Heading2"/>
      </w:pPr>
      <w:bookmarkStart w:id="33" w:name="_Toc126595358"/>
      <w:r w:rsidRPr="006D0894">
        <w:lastRenderedPageBreak/>
        <w:t>R</w:t>
      </w:r>
      <w:r>
        <w:t>ecommendations</w:t>
      </w:r>
      <w:bookmarkEnd w:id="33"/>
    </w:p>
    <w:p w14:paraId="43EFB58B" w14:textId="77777777" w:rsidR="0014034C" w:rsidRPr="008549D5" w:rsidRDefault="0014034C" w:rsidP="0014034C">
      <w:pPr>
        <w:spacing w:before="240"/>
        <w:rPr>
          <w:rFonts w:cs="Arial"/>
          <w:i/>
          <w:iCs/>
          <w:szCs w:val="22"/>
        </w:rPr>
      </w:pPr>
      <w:r w:rsidRPr="00894305">
        <w:rPr>
          <w:rFonts w:cs="Arial"/>
          <w:i/>
          <w:iCs/>
          <w:szCs w:val="22"/>
        </w:rPr>
        <w:t>PRA / NHRA relationship</w:t>
      </w:r>
    </w:p>
    <w:p w14:paraId="4FE48DF9" w14:textId="75B9F80A" w:rsidR="000E2B19" w:rsidRDefault="0014034C" w:rsidP="0014034C">
      <w:pPr>
        <w:pStyle w:val="Paragraphtext"/>
        <w:rPr>
          <w:lang w:eastAsia="en-AU"/>
        </w:rPr>
      </w:pPr>
      <w:r>
        <w:rPr>
          <w:lang w:eastAsia="en-AU"/>
        </w:rPr>
        <w:t xml:space="preserve">Strong consideration should be given to incorporating the PRA functions into the </w:t>
      </w:r>
      <w:r w:rsidRPr="008549D5">
        <w:rPr>
          <w:lang w:eastAsia="en-AU"/>
        </w:rPr>
        <w:t xml:space="preserve">NHRA </w:t>
      </w:r>
      <w:r>
        <w:rPr>
          <w:lang w:eastAsia="en-AU"/>
        </w:rPr>
        <w:t xml:space="preserve">through </w:t>
      </w:r>
      <w:r w:rsidRPr="008549D5">
        <w:rPr>
          <w:lang w:eastAsia="en-AU"/>
        </w:rPr>
        <w:t>negotiations for the period 2025</w:t>
      </w:r>
      <w:r>
        <w:rPr>
          <w:lang w:eastAsia="en-AU"/>
        </w:rPr>
        <w:t> </w:t>
      </w:r>
      <w:r>
        <w:rPr>
          <w:lang w:eastAsia="en-AU"/>
        </w:rPr>
        <w:noBreakHyphen/>
      </w:r>
      <w:r w:rsidR="000E2B19">
        <w:rPr>
          <w:lang w:eastAsia="en-AU"/>
        </w:rPr>
        <w:t xml:space="preserve"> </w:t>
      </w:r>
      <w:r w:rsidRPr="008549D5">
        <w:rPr>
          <w:lang w:eastAsia="en-AU"/>
        </w:rPr>
        <w:t>2030.</w:t>
      </w:r>
      <w:r>
        <w:rPr>
          <w:lang w:eastAsia="en-AU"/>
        </w:rPr>
        <w:t xml:space="preserve"> </w:t>
      </w:r>
      <w:r w:rsidRPr="00FA6E6F">
        <w:rPr>
          <w:lang w:eastAsia="en-AU"/>
        </w:rPr>
        <w:t>The shared health funding responsibilities between Australian governments can only benefit from greater policy coherence</w:t>
      </w:r>
      <w:r w:rsidR="000E2B19">
        <w:rPr>
          <w:lang w:eastAsia="en-AU"/>
        </w:rPr>
        <w:t xml:space="preserve"> and a holistic approach to public hospital funding. </w:t>
      </w:r>
    </w:p>
    <w:p w14:paraId="7335A56F" w14:textId="33ED8D40" w:rsidR="000E2B19" w:rsidRDefault="000E2B19" w:rsidP="0014034C">
      <w:pPr>
        <w:pStyle w:val="Paragraphtext"/>
        <w:rPr>
          <w:lang w:eastAsia="en-AU"/>
        </w:rPr>
      </w:pPr>
      <w:r>
        <w:rPr>
          <w:lang w:eastAsia="en-AU"/>
        </w:rPr>
        <w:t>T</w:t>
      </w:r>
      <w:r w:rsidR="0014034C">
        <w:rPr>
          <w:lang w:eastAsia="en-AU"/>
        </w:rPr>
        <w:t xml:space="preserve">he NHRA already takes into consideration many aspects of hospital medication dispensing. </w:t>
      </w:r>
      <w:r>
        <w:rPr>
          <w:lang w:eastAsia="en-AU"/>
        </w:rPr>
        <w:t>The inclusion of the PRA in the NHRA means that a</w:t>
      </w:r>
      <w:r w:rsidR="0014034C">
        <w:rPr>
          <w:lang w:eastAsia="en-AU"/>
        </w:rPr>
        <w:t xml:space="preserve">ll costs </w:t>
      </w:r>
      <w:r w:rsidR="0014034C" w:rsidRPr="008549D5">
        <w:rPr>
          <w:lang w:eastAsia="en-AU"/>
        </w:rPr>
        <w:t xml:space="preserve">associated with </w:t>
      </w:r>
      <w:r>
        <w:rPr>
          <w:lang w:eastAsia="en-AU"/>
        </w:rPr>
        <w:t>medicines</w:t>
      </w:r>
      <w:r w:rsidR="0014034C" w:rsidRPr="008549D5">
        <w:rPr>
          <w:lang w:eastAsia="en-AU"/>
        </w:rPr>
        <w:t xml:space="preserve"> delivery</w:t>
      </w:r>
      <w:r w:rsidR="0014034C">
        <w:rPr>
          <w:lang w:eastAsia="en-AU"/>
        </w:rPr>
        <w:t xml:space="preserve"> </w:t>
      </w:r>
      <w:r>
        <w:rPr>
          <w:lang w:eastAsia="en-AU"/>
        </w:rPr>
        <w:t xml:space="preserve">in public hospitals </w:t>
      </w:r>
      <w:r w:rsidR="0014034C">
        <w:rPr>
          <w:lang w:eastAsia="en-AU"/>
        </w:rPr>
        <w:t xml:space="preserve">would </w:t>
      </w:r>
      <w:r w:rsidR="00922343">
        <w:rPr>
          <w:lang w:eastAsia="en-AU"/>
        </w:rPr>
        <w:t xml:space="preserve">then </w:t>
      </w:r>
      <w:r w:rsidR="0014034C">
        <w:rPr>
          <w:lang w:eastAsia="en-AU"/>
        </w:rPr>
        <w:t xml:space="preserve">be included as part of </w:t>
      </w:r>
      <w:r w:rsidR="0014034C" w:rsidRPr="008549D5">
        <w:rPr>
          <w:lang w:eastAsia="en-AU"/>
        </w:rPr>
        <w:t xml:space="preserve">the NHRA negotiations. This </w:t>
      </w:r>
      <w:r w:rsidR="0014034C">
        <w:rPr>
          <w:lang w:eastAsia="en-AU"/>
        </w:rPr>
        <w:t>approach c</w:t>
      </w:r>
      <w:r w:rsidR="0014034C" w:rsidRPr="008549D5">
        <w:rPr>
          <w:lang w:eastAsia="en-AU"/>
        </w:rPr>
        <w:t>ould also allow for the possibility of access to PBS medicines for all or a select sub-set of in-patients</w:t>
      </w:r>
      <w:r w:rsidR="00922343">
        <w:rPr>
          <w:lang w:eastAsia="en-AU"/>
        </w:rPr>
        <w:t xml:space="preserve"> as well as for outpatients and upon discharge,</w:t>
      </w:r>
      <w:r w:rsidR="0014034C" w:rsidRPr="008549D5">
        <w:rPr>
          <w:lang w:eastAsia="en-AU"/>
        </w:rPr>
        <w:t xml:space="preserve"> due to the all-encompassing funding nature of a combined PRA</w:t>
      </w:r>
      <w:r w:rsidR="0014034C">
        <w:rPr>
          <w:lang w:eastAsia="en-AU"/>
        </w:rPr>
        <w:t xml:space="preserve"> </w:t>
      </w:r>
      <w:r w:rsidR="0014034C" w:rsidRPr="008549D5">
        <w:rPr>
          <w:lang w:eastAsia="en-AU"/>
        </w:rPr>
        <w:t>/</w:t>
      </w:r>
      <w:r w:rsidR="0014034C">
        <w:rPr>
          <w:lang w:eastAsia="en-AU"/>
        </w:rPr>
        <w:t xml:space="preserve"> </w:t>
      </w:r>
      <w:r w:rsidR="0014034C" w:rsidRPr="008549D5">
        <w:rPr>
          <w:lang w:eastAsia="en-AU"/>
        </w:rPr>
        <w:t xml:space="preserve">NHRA negotiation. </w:t>
      </w:r>
    </w:p>
    <w:p w14:paraId="5E1479E6" w14:textId="3206C636" w:rsidR="0014034C" w:rsidRDefault="0014034C" w:rsidP="0014034C">
      <w:pPr>
        <w:pStyle w:val="Paragraphtext"/>
        <w:rPr>
          <w:lang w:eastAsia="en-AU"/>
        </w:rPr>
      </w:pPr>
      <w:r>
        <w:rPr>
          <w:lang w:eastAsia="en-AU"/>
        </w:rPr>
        <w:t>By combining the PRA with the NHRA the final agreement</w:t>
      </w:r>
      <w:r w:rsidRPr="00EB2EF8">
        <w:rPr>
          <w:lang w:eastAsia="en-AU"/>
        </w:rPr>
        <w:t xml:space="preserve"> </w:t>
      </w:r>
      <w:r w:rsidRPr="008549D5">
        <w:rPr>
          <w:lang w:eastAsia="en-AU"/>
        </w:rPr>
        <w:t>would cover all treatment modalities for public hospitals in a single agreement</w:t>
      </w:r>
      <w:r>
        <w:rPr>
          <w:lang w:eastAsia="en-AU"/>
        </w:rPr>
        <w:t xml:space="preserve"> and</w:t>
      </w:r>
      <w:r w:rsidRPr="008549D5">
        <w:rPr>
          <w:lang w:eastAsia="en-AU"/>
        </w:rPr>
        <w:t xml:space="preserve"> be subject to increased input from the </w:t>
      </w:r>
      <w:r w:rsidR="00661476" w:rsidRPr="00661476">
        <w:rPr>
          <w:lang w:eastAsia="en-AU"/>
        </w:rPr>
        <w:t>Independent Health and Aged Care Pricing Authority (IHACPA)</w:t>
      </w:r>
      <w:r>
        <w:rPr>
          <w:lang w:eastAsia="en-AU"/>
        </w:rPr>
        <w:t xml:space="preserve">. </w:t>
      </w:r>
      <w:r w:rsidR="006E4970">
        <w:rPr>
          <w:lang w:eastAsia="en-AU"/>
        </w:rPr>
        <w:t xml:space="preserve">This would also align with the inclusion of highly specialised therapies in the NHRA. </w:t>
      </w:r>
      <w:r w:rsidR="00E014DB">
        <w:rPr>
          <w:lang w:eastAsia="en-AU"/>
        </w:rPr>
        <w:t xml:space="preserve">The IHACPA </w:t>
      </w:r>
      <w:r w:rsidR="00053094">
        <w:rPr>
          <w:lang w:eastAsia="en-AU"/>
        </w:rPr>
        <w:t>currently receives</w:t>
      </w:r>
      <w:r w:rsidR="00053094" w:rsidRPr="00053094">
        <w:rPr>
          <w:lang w:eastAsia="en-AU"/>
        </w:rPr>
        <w:t xml:space="preserve"> a detailed breakdown of the actual costs experienced by public hospitals in the delivery of hospital services </w:t>
      </w:r>
      <w:r w:rsidR="00053094">
        <w:rPr>
          <w:lang w:eastAsia="en-AU"/>
        </w:rPr>
        <w:t xml:space="preserve">including the costs involved in dispensing medicines. </w:t>
      </w:r>
    </w:p>
    <w:p w14:paraId="25D225F3" w14:textId="12DC27FE" w:rsidR="000E2B19" w:rsidRDefault="000E2B19" w:rsidP="0014034C">
      <w:pPr>
        <w:pStyle w:val="Paragraphtext"/>
        <w:rPr>
          <w:lang w:eastAsia="en-AU"/>
        </w:rPr>
      </w:pPr>
      <w:r>
        <w:rPr>
          <w:lang w:eastAsia="en-AU"/>
        </w:rPr>
        <w:t xml:space="preserve">Finally, there </w:t>
      </w:r>
      <w:r w:rsidRPr="00FA6E6F">
        <w:rPr>
          <w:lang w:eastAsia="en-AU"/>
        </w:rPr>
        <w:t xml:space="preserve">would be benefits from reducing the </w:t>
      </w:r>
      <w:r>
        <w:rPr>
          <w:lang w:eastAsia="en-AU"/>
        </w:rPr>
        <w:t>cost</w:t>
      </w:r>
      <w:r w:rsidRPr="00FA6E6F">
        <w:rPr>
          <w:lang w:eastAsia="en-AU"/>
        </w:rPr>
        <w:t xml:space="preserve"> of maintaining </w:t>
      </w:r>
      <w:r>
        <w:rPr>
          <w:lang w:eastAsia="en-AU"/>
        </w:rPr>
        <w:t>a number</w:t>
      </w:r>
      <w:r w:rsidRPr="00FA6E6F">
        <w:rPr>
          <w:lang w:eastAsia="en-AU"/>
        </w:rPr>
        <w:t xml:space="preserve"> of different bilateral or multilateral agreements</w:t>
      </w:r>
      <w:r>
        <w:rPr>
          <w:lang w:eastAsia="en-AU"/>
        </w:rPr>
        <w:t xml:space="preserve"> to achieve the same outcome and ensuring a holistic approach to governance for all funding of medicines in public hospitals. </w:t>
      </w:r>
    </w:p>
    <w:p w14:paraId="155BDA4F" w14:textId="77777777" w:rsidR="00E346AF" w:rsidRPr="008549D5" w:rsidRDefault="00E346AF" w:rsidP="00E346AF">
      <w:pPr>
        <w:pStyle w:val="Style2"/>
      </w:pPr>
      <w:r w:rsidRPr="008549D5">
        <w:t>Multilateral agreement</w:t>
      </w:r>
    </w:p>
    <w:p w14:paraId="51E32385" w14:textId="0BD1E1C7" w:rsidR="00E346AF" w:rsidRDefault="0014034C" w:rsidP="00E346AF">
      <w:pPr>
        <w:pStyle w:val="Paragraphtext"/>
      </w:pPr>
      <w:r>
        <w:t xml:space="preserve">If the above recommendation to include PRAs in the NHRA is not </w:t>
      </w:r>
      <w:r w:rsidR="00AA4F86">
        <w:t>supported</w:t>
      </w:r>
      <w:r>
        <w:t xml:space="preserve"> i</w:t>
      </w:r>
      <w:r w:rsidR="00E346AF" w:rsidRPr="008549D5">
        <w:t xml:space="preserve">t is </w:t>
      </w:r>
      <w:r w:rsidR="00AA4F86">
        <w:t xml:space="preserve">then </w:t>
      </w:r>
      <w:r w:rsidR="00E346AF" w:rsidRPr="008549D5">
        <w:t>recommended that the</w:t>
      </w:r>
      <w:r w:rsidR="00E346AF">
        <w:t xml:space="preserve"> Commonwealth</w:t>
      </w:r>
      <w:r w:rsidR="00E346AF" w:rsidRPr="008549D5">
        <w:t xml:space="preserve"> seek</w:t>
      </w:r>
      <w:r w:rsidR="00E346AF">
        <w:t>s</w:t>
      </w:r>
      <w:r w:rsidR="00E346AF" w:rsidRPr="008549D5">
        <w:t xml:space="preserve"> to engage with jurisdictions to move to a single multilateral agreement </w:t>
      </w:r>
      <w:r w:rsidR="00E346AF">
        <w:t>between the Commonwealth and all jurisdictions</w:t>
      </w:r>
      <w:r w:rsidR="00E346AF" w:rsidRPr="008549D5">
        <w:t xml:space="preserve">. </w:t>
      </w:r>
      <w:r w:rsidR="00E346AF">
        <w:t>During the negotiation phase it may be beneficial to include a professional pharmacist representative organisation, for instance SHPA, to provide technical input and subject matter expertise, however, signatories to the agreement should be restricted to the Commonwealth and jurisdictions.</w:t>
      </w:r>
      <w:r w:rsidR="00BB1154">
        <w:t xml:space="preserve"> The agreement should not contain any information in it that could be considered to be commercial in confidence.</w:t>
      </w:r>
      <w:r w:rsidR="00E346AF">
        <w:t xml:space="preserve"> </w:t>
      </w:r>
      <w:r w:rsidR="00E346AF" w:rsidRPr="008549D5">
        <w:t xml:space="preserve">This agreement would contain appropriate governance arrangements, outlined below, to ensure that it maintains its relevance to real world hospital practice and </w:t>
      </w:r>
      <w:r w:rsidR="00E346AF">
        <w:t>sh</w:t>
      </w:r>
      <w:r w:rsidR="00E346AF" w:rsidRPr="008549D5">
        <w:t>ould be published</w:t>
      </w:r>
      <w:r w:rsidR="00E346AF">
        <w:t>,</w:t>
      </w:r>
      <w:r w:rsidR="00E346AF" w:rsidRPr="008549D5">
        <w:t xml:space="preserve"> similar to the </w:t>
      </w:r>
      <w:r w:rsidR="00E346AF">
        <w:t>NHRA,</w:t>
      </w:r>
      <w:r w:rsidR="00E346AF" w:rsidRPr="008549D5">
        <w:t xml:space="preserve"> for </w:t>
      </w:r>
      <w:r w:rsidR="00E346AF">
        <w:t>improved</w:t>
      </w:r>
      <w:r w:rsidR="00E346AF" w:rsidRPr="008549D5">
        <w:t xml:space="preserve"> transparency.</w:t>
      </w:r>
    </w:p>
    <w:p w14:paraId="11D6878D" w14:textId="77777777" w:rsidR="00E346AF" w:rsidRPr="008549D5" w:rsidRDefault="00E346AF" w:rsidP="00E346AF">
      <w:pPr>
        <w:spacing w:before="240"/>
        <w:rPr>
          <w:rFonts w:cs="Arial"/>
          <w:i/>
          <w:iCs/>
          <w:szCs w:val="22"/>
        </w:rPr>
      </w:pPr>
      <w:r>
        <w:rPr>
          <w:rFonts w:cs="Arial"/>
          <w:i/>
          <w:iCs/>
          <w:szCs w:val="22"/>
        </w:rPr>
        <w:t xml:space="preserve">PBS </w:t>
      </w:r>
      <w:r w:rsidRPr="008549D5">
        <w:rPr>
          <w:rFonts w:cs="Arial"/>
          <w:i/>
          <w:iCs/>
          <w:szCs w:val="22"/>
        </w:rPr>
        <w:t>Closing the Gap Co-Payment</w:t>
      </w:r>
      <w:r>
        <w:rPr>
          <w:rFonts w:cs="Arial"/>
          <w:i/>
          <w:iCs/>
          <w:szCs w:val="22"/>
        </w:rPr>
        <w:t xml:space="preserve"> Program</w:t>
      </w:r>
    </w:p>
    <w:p w14:paraId="1684BC73" w14:textId="77777777" w:rsidR="00E346AF" w:rsidRDefault="00E346AF" w:rsidP="00E346AF">
      <w:pPr>
        <w:pStyle w:val="Paragraphtext"/>
      </w:pPr>
      <w:r>
        <w:t xml:space="preserve">It is recommended that </w:t>
      </w:r>
      <w:r w:rsidRPr="007F5801">
        <w:t>CTGCP</w:t>
      </w:r>
      <w:r w:rsidDel="00D17218">
        <w:t xml:space="preserve"> </w:t>
      </w:r>
      <w:r>
        <w:t>is amended to permit dispensing of CTG prescriptions in public hospitals. This could be achieved by either:</w:t>
      </w:r>
    </w:p>
    <w:p w14:paraId="7D3E54A6" w14:textId="0DCF51AF" w:rsidR="00E346AF" w:rsidRDefault="00E346AF" w:rsidP="00E346AF">
      <w:pPr>
        <w:pStyle w:val="ListParagraph"/>
        <w:numPr>
          <w:ilvl w:val="0"/>
          <w:numId w:val="23"/>
        </w:numPr>
        <w:spacing w:before="120" w:after="60" w:line="256" w:lineRule="auto"/>
        <w:ind w:left="714" w:right="-46" w:hanging="357"/>
        <w:contextualSpacing w:val="0"/>
        <w:rPr>
          <w:rFonts w:cs="Arial"/>
          <w:szCs w:val="22"/>
        </w:rPr>
      </w:pPr>
      <w:r w:rsidRPr="00282431">
        <w:rPr>
          <w:rFonts w:cs="Arial"/>
          <w:szCs w:val="22"/>
        </w:rPr>
        <w:t xml:space="preserve">costing the implementation for each jurisdiction and a commensurate decrease in Commonwealth </w:t>
      </w:r>
      <w:r w:rsidR="006E4970">
        <w:rPr>
          <w:rFonts w:cs="Arial"/>
          <w:szCs w:val="22"/>
        </w:rPr>
        <w:t>f</w:t>
      </w:r>
      <w:r w:rsidRPr="00282431">
        <w:rPr>
          <w:rFonts w:cs="Arial"/>
          <w:szCs w:val="22"/>
        </w:rPr>
        <w:t xml:space="preserve">unding through the NHRA agreements for each </w:t>
      </w:r>
      <w:r>
        <w:rPr>
          <w:rFonts w:cs="Arial"/>
          <w:szCs w:val="22"/>
        </w:rPr>
        <w:t>jurisdiction; or</w:t>
      </w:r>
    </w:p>
    <w:p w14:paraId="5B427271" w14:textId="77777777" w:rsidR="00E346AF" w:rsidRPr="002A0B64" w:rsidRDefault="00E346AF" w:rsidP="00E346AF">
      <w:pPr>
        <w:pStyle w:val="ListParagraph"/>
        <w:numPr>
          <w:ilvl w:val="0"/>
          <w:numId w:val="23"/>
        </w:numPr>
        <w:spacing w:before="120" w:after="60" w:line="256" w:lineRule="auto"/>
        <w:ind w:left="714" w:right="-46" w:hanging="357"/>
        <w:contextualSpacing w:val="0"/>
        <w:rPr>
          <w:rFonts w:cs="Arial"/>
          <w:szCs w:val="22"/>
        </w:rPr>
      </w:pPr>
      <w:r w:rsidRPr="00282431">
        <w:rPr>
          <w:rFonts w:cs="Arial"/>
          <w:szCs w:val="22"/>
        </w:rPr>
        <w:t xml:space="preserve">seeking new </w:t>
      </w:r>
      <w:r>
        <w:rPr>
          <w:rFonts w:cs="Arial"/>
          <w:szCs w:val="22"/>
        </w:rPr>
        <w:t xml:space="preserve">Commonwealth </w:t>
      </w:r>
      <w:r w:rsidRPr="002A0B64">
        <w:rPr>
          <w:rFonts w:cs="Arial"/>
          <w:szCs w:val="22"/>
        </w:rPr>
        <w:t>funding to enable public hospitals to recover the cost of providing PBS medicines through CTGCP.</w:t>
      </w:r>
    </w:p>
    <w:p w14:paraId="1F2D48EC" w14:textId="77777777" w:rsidR="00E346AF" w:rsidRPr="00607E56" w:rsidRDefault="00E346AF" w:rsidP="00E346AF">
      <w:pPr>
        <w:pStyle w:val="Paragraphtext"/>
        <w:keepNext/>
      </w:pPr>
      <w:r w:rsidRPr="00607E56">
        <w:t>This recommendation supports the Government’s commitment</w:t>
      </w:r>
      <w:r>
        <w:t xml:space="preserve"> to</w:t>
      </w:r>
      <w:r w:rsidRPr="00607E56">
        <w:t xml:space="preserve"> work in partnership with Aboriginal and Torres Strait Islander peoples to improve health outcomes through:</w:t>
      </w:r>
    </w:p>
    <w:p w14:paraId="2753407B" w14:textId="77777777" w:rsidR="00E346AF" w:rsidRPr="00607E56" w:rsidRDefault="00E346AF" w:rsidP="00E346AF">
      <w:pPr>
        <w:pStyle w:val="ListParagraph"/>
        <w:numPr>
          <w:ilvl w:val="0"/>
          <w:numId w:val="23"/>
        </w:numPr>
        <w:spacing w:before="120" w:after="60" w:line="256" w:lineRule="auto"/>
        <w:ind w:left="714" w:right="-46" w:hanging="357"/>
        <w:contextualSpacing w:val="0"/>
        <w:rPr>
          <w:rFonts w:cs="Arial"/>
          <w:szCs w:val="22"/>
        </w:rPr>
      </w:pPr>
      <w:r w:rsidRPr="00607E56">
        <w:rPr>
          <w:rFonts w:cs="Arial"/>
          <w:szCs w:val="22"/>
        </w:rPr>
        <w:t>working towards the Priority Reform commitments under the National Agreement on Closing the Gap;</w:t>
      </w:r>
    </w:p>
    <w:p w14:paraId="3FDD71BF" w14:textId="77777777" w:rsidR="00E346AF" w:rsidRPr="00607E56" w:rsidRDefault="00E346AF" w:rsidP="00E346AF">
      <w:pPr>
        <w:pStyle w:val="ListParagraph"/>
        <w:numPr>
          <w:ilvl w:val="0"/>
          <w:numId w:val="23"/>
        </w:numPr>
        <w:spacing w:before="120" w:after="60" w:line="256" w:lineRule="auto"/>
        <w:ind w:left="714" w:right="-46" w:hanging="357"/>
        <w:contextualSpacing w:val="0"/>
        <w:rPr>
          <w:rFonts w:cs="Arial"/>
          <w:szCs w:val="22"/>
        </w:rPr>
      </w:pPr>
      <w:r w:rsidRPr="00607E56">
        <w:rPr>
          <w:rFonts w:cs="Arial"/>
          <w:szCs w:val="22"/>
        </w:rPr>
        <w:t>supporting the delivery of culturally appropriate, high-quality essential health services; and</w:t>
      </w:r>
    </w:p>
    <w:p w14:paraId="2D6175AB" w14:textId="77777777" w:rsidR="00E346AF" w:rsidRPr="00607E56" w:rsidRDefault="00E346AF" w:rsidP="00E346AF">
      <w:pPr>
        <w:pStyle w:val="ListParagraph"/>
        <w:numPr>
          <w:ilvl w:val="0"/>
          <w:numId w:val="23"/>
        </w:numPr>
        <w:spacing w:before="120" w:after="60" w:line="256" w:lineRule="auto"/>
        <w:ind w:left="714" w:right="-46" w:hanging="357"/>
        <w:contextualSpacing w:val="0"/>
        <w:rPr>
          <w:rFonts w:cs="Arial"/>
          <w:szCs w:val="22"/>
        </w:rPr>
      </w:pPr>
      <w:r w:rsidRPr="00607E56">
        <w:rPr>
          <w:rFonts w:cs="Arial"/>
          <w:szCs w:val="22"/>
        </w:rPr>
        <w:lastRenderedPageBreak/>
        <w:t>implementing targeted efforts to improve health outcomes, including through smoking cessation and chronic disease management programs.</w:t>
      </w:r>
    </w:p>
    <w:p w14:paraId="2496D92F" w14:textId="77777777" w:rsidR="00F168CF" w:rsidRDefault="00F168CF" w:rsidP="00F168CF">
      <w:pPr>
        <w:pStyle w:val="Paragraphtext"/>
      </w:pPr>
      <w:r>
        <w:t xml:space="preserve">In consultation with the Efficient </w:t>
      </w:r>
      <w:r w:rsidRPr="00F168CF">
        <w:t xml:space="preserve">Funding of Chemotherapy (EFC) Review Team </w:t>
      </w:r>
      <w:r>
        <w:t xml:space="preserve">they have indicated that they intend to recommend </w:t>
      </w:r>
      <w:r w:rsidRPr="00F168CF">
        <w:t>“</w:t>
      </w:r>
      <w:r w:rsidRPr="00F168CF">
        <w:rPr>
          <w:i/>
          <w:iCs/>
        </w:rPr>
        <w:t>Expand the availability of the Closing the Gap arrangements to all eligible Indigenous peoples accessing cancer medicines listed in Schedule 1 or Schedule 2 of the EFC, irrespective of the setting from which those medicines are prescribed.”</w:t>
      </w:r>
      <w:r>
        <w:t xml:space="preserve"> </w:t>
      </w:r>
    </w:p>
    <w:p w14:paraId="0EEBED54" w14:textId="5467939D" w:rsidR="00E346AF" w:rsidRPr="003162BC" w:rsidRDefault="00E346AF" w:rsidP="00F168CF">
      <w:pPr>
        <w:pStyle w:val="Paragraphtext"/>
        <w:rPr>
          <w:color w:val="auto"/>
        </w:rPr>
      </w:pPr>
      <w:r w:rsidRPr="00607E56">
        <w:t xml:space="preserve">Extending </w:t>
      </w:r>
      <w:r w:rsidRPr="002A0B64">
        <w:t>CTGCP</w:t>
      </w:r>
      <w:r w:rsidRPr="00607E56">
        <w:t xml:space="preserve"> to allow public hospitals to dispense </w:t>
      </w:r>
      <w:r w:rsidRPr="002A0B64">
        <w:t xml:space="preserve">prescriptions will also </w:t>
      </w:r>
      <w:r>
        <w:t>support</w:t>
      </w:r>
      <w:r w:rsidRPr="002A0B64">
        <w:t xml:space="preserve"> the Government’s commitment to fixing the cost of living pressures </w:t>
      </w:r>
      <w:r>
        <w:t>for eligible people.</w:t>
      </w:r>
    </w:p>
    <w:p w14:paraId="0BFC5894" w14:textId="77777777" w:rsidR="00E346AF" w:rsidRPr="008549D5" w:rsidRDefault="00E346AF" w:rsidP="00E346AF">
      <w:pPr>
        <w:spacing w:before="240"/>
        <w:rPr>
          <w:rFonts w:cs="Arial"/>
          <w:i/>
          <w:iCs/>
          <w:szCs w:val="22"/>
        </w:rPr>
      </w:pPr>
      <w:r w:rsidRPr="008549D5">
        <w:rPr>
          <w:rFonts w:cs="Arial"/>
          <w:i/>
          <w:iCs/>
          <w:szCs w:val="22"/>
        </w:rPr>
        <w:t>NSW and ACT PRAs</w:t>
      </w:r>
    </w:p>
    <w:p w14:paraId="6ADEEDEB" w14:textId="248E7EF6" w:rsidR="00E346AF" w:rsidRPr="008549D5" w:rsidRDefault="00A25D9E" w:rsidP="00E346AF">
      <w:pPr>
        <w:pStyle w:val="Paragraphtext"/>
      </w:pPr>
      <w:r>
        <w:t>I</w:t>
      </w:r>
      <w:r w:rsidR="00FA6E6F">
        <w:t xml:space="preserve">f the </w:t>
      </w:r>
      <w:r w:rsidR="006E4970">
        <w:t>first</w:t>
      </w:r>
      <w:r w:rsidR="00FA6E6F">
        <w:t xml:space="preserve"> recommendation for the inclusion of PRA functions into the NHRA </w:t>
      </w:r>
      <w:r>
        <w:t xml:space="preserve">is not supported </w:t>
      </w:r>
      <w:r w:rsidR="00FA6E6F">
        <w:t xml:space="preserve">then </w:t>
      </w:r>
      <w:r w:rsidR="009750B2">
        <w:t>consideration</w:t>
      </w:r>
      <w:r w:rsidR="00FA6E6F">
        <w:t xml:space="preserve"> should</w:t>
      </w:r>
      <w:r w:rsidR="009750B2">
        <w:t xml:space="preserve"> be given to entering into</w:t>
      </w:r>
      <w:r w:rsidR="00E346AF" w:rsidRPr="008549D5">
        <w:t xml:space="preserve"> interim PRAs with NSW and the ACT</w:t>
      </w:r>
      <w:r w:rsidR="00E346AF">
        <w:t>, until future decisions on PRAs are made</w:t>
      </w:r>
      <w:r w:rsidR="00E346AF" w:rsidRPr="008549D5">
        <w:t xml:space="preserve">. This </w:t>
      </w:r>
      <w:r w:rsidR="00E346AF">
        <w:t xml:space="preserve">recommendation will </w:t>
      </w:r>
      <w:r w:rsidR="00E346AF" w:rsidRPr="008549D5">
        <w:t xml:space="preserve">ensure that all eligible patients in Australia receive </w:t>
      </w:r>
      <w:r w:rsidR="00E346AF">
        <w:t>equal</w:t>
      </w:r>
      <w:r w:rsidR="00E346AF" w:rsidRPr="008549D5">
        <w:t xml:space="preserve"> access to PBS medicines upon discharge from public hospitals and </w:t>
      </w:r>
      <w:r w:rsidR="00E346AF">
        <w:t>to</w:t>
      </w:r>
      <w:r w:rsidR="00E346AF" w:rsidRPr="008549D5">
        <w:t xml:space="preserve"> </w:t>
      </w:r>
      <w:r w:rsidR="00E346AF">
        <w:t xml:space="preserve">section </w:t>
      </w:r>
      <w:r w:rsidR="00E346AF" w:rsidRPr="008549D5">
        <w:t xml:space="preserve">100 programs </w:t>
      </w:r>
      <w:r w:rsidR="00E346AF">
        <w:t>(including the Efficient Funding of Chemotherapy</w:t>
      </w:r>
      <w:r w:rsidR="00E346AF" w:rsidRPr="008549D5">
        <w:t xml:space="preserve"> Program, Growth Hormone Program, In vitro Fertilisation (IVF) Program and the Botulinum Toxin Program</w:t>
      </w:r>
      <w:r w:rsidR="00E346AF">
        <w:t>)</w:t>
      </w:r>
      <w:r w:rsidR="00E346AF" w:rsidRPr="008549D5">
        <w:t xml:space="preserve"> </w:t>
      </w:r>
      <w:r w:rsidR="00E346AF">
        <w:t>regardless of the jurisdiction they are in</w:t>
      </w:r>
      <w:r w:rsidR="00E346AF" w:rsidRPr="008549D5">
        <w:t xml:space="preserve">. </w:t>
      </w:r>
    </w:p>
    <w:p w14:paraId="745C0E86" w14:textId="77777777" w:rsidR="00E346AF" w:rsidRPr="008549D5" w:rsidRDefault="00E346AF" w:rsidP="00E346AF">
      <w:pPr>
        <w:pStyle w:val="Paragraphtext"/>
      </w:pPr>
      <w:r w:rsidRPr="008549D5">
        <w:t xml:space="preserve">There </w:t>
      </w:r>
      <w:r>
        <w:t>will be</w:t>
      </w:r>
      <w:r w:rsidRPr="008549D5">
        <w:t xml:space="preserve"> a budget impact on entering into new PRAs with NSW and the ACT</w:t>
      </w:r>
      <w:r>
        <w:t>,</w:t>
      </w:r>
      <w:r w:rsidRPr="008549D5">
        <w:t xml:space="preserve"> as expenditure on the PBS for general schedule and chemotherapy will most likely increase with more patients eligible for subsidy. </w:t>
      </w:r>
      <w:r>
        <w:t>However, no formal costing calculation has been conducted at this time to quantify the magnitude of any budgetary impact.</w:t>
      </w:r>
      <w:r w:rsidRPr="008549D5">
        <w:t xml:space="preserve"> </w:t>
      </w:r>
    </w:p>
    <w:p w14:paraId="0AA62185" w14:textId="467B3B59" w:rsidR="00E346AF" w:rsidRPr="008549D5" w:rsidRDefault="006C1F18" w:rsidP="00E346AF">
      <w:pPr>
        <w:spacing w:before="240"/>
        <w:rPr>
          <w:rFonts w:cs="Arial"/>
          <w:i/>
          <w:iCs/>
          <w:szCs w:val="22"/>
        </w:rPr>
      </w:pPr>
      <w:bookmarkStart w:id="34" w:name="_Hlk121386469"/>
      <w:r>
        <w:rPr>
          <w:rFonts w:cs="Arial"/>
          <w:i/>
          <w:iCs/>
          <w:szCs w:val="22"/>
        </w:rPr>
        <w:t>Inpatient access to PBS</w:t>
      </w:r>
      <w:r w:rsidR="00A25D9E">
        <w:rPr>
          <w:rFonts w:cs="Arial"/>
          <w:i/>
          <w:iCs/>
          <w:szCs w:val="22"/>
        </w:rPr>
        <w:t xml:space="preserve"> medicines</w:t>
      </w:r>
    </w:p>
    <w:p w14:paraId="4C25E0F5" w14:textId="4E19D834" w:rsidR="006C1F18" w:rsidRDefault="00E346AF" w:rsidP="006C1F18">
      <w:pPr>
        <w:pStyle w:val="Paragraphtext"/>
      </w:pPr>
      <w:r w:rsidRPr="008549D5">
        <w:t xml:space="preserve">Access to PBS medicines </w:t>
      </w:r>
      <w:r>
        <w:t>for</w:t>
      </w:r>
      <w:r w:rsidRPr="008549D5">
        <w:t xml:space="preserve"> inpatients in the public hospital sits outside the </w:t>
      </w:r>
      <w:r>
        <w:t>scope</w:t>
      </w:r>
      <w:r w:rsidRPr="008549D5">
        <w:t xml:space="preserve"> of the PRAs</w:t>
      </w:r>
      <w:r>
        <w:t>. As clearly outlined in the NHRA, the p</w:t>
      </w:r>
      <w:r w:rsidRPr="008549D5">
        <w:t>rovision of inpatient medicine</w:t>
      </w:r>
      <w:r w:rsidR="006E4970">
        <w:t>s</w:t>
      </w:r>
      <w:r w:rsidRPr="008549D5">
        <w:t xml:space="preserve"> remains the remit of the jurisdictions for which there are established </w:t>
      </w:r>
      <w:r w:rsidR="00023EC3">
        <w:t>funding</w:t>
      </w:r>
      <w:r w:rsidRPr="008549D5">
        <w:t xml:space="preserve"> arrangements</w:t>
      </w:r>
      <w:r>
        <w:t xml:space="preserve"> through the NHRA</w:t>
      </w:r>
      <w:r w:rsidRPr="008549D5">
        <w:t xml:space="preserve">. It is recommended that no change be made to PRAs to allow for inpatient access to PBS medicines. </w:t>
      </w:r>
    </w:p>
    <w:p w14:paraId="6433F017" w14:textId="44CAFC39" w:rsidR="006C1F18" w:rsidRDefault="006C1F18" w:rsidP="006C1F18">
      <w:pPr>
        <w:pStyle w:val="Paragraphtext"/>
      </w:pPr>
      <w:r>
        <w:t>T</w:t>
      </w:r>
      <w:r w:rsidRPr="008549D5">
        <w:t>he inclusion of inpatients</w:t>
      </w:r>
      <w:r w:rsidR="00435EA9">
        <w:t>, including programs like hospital in the home,</w:t>
      </w:r>
      <w:r w:rsidRPr="008549D5">
        <w:t xml:space="preserve"> under a PRA would </w:t>
      </w:r>
      <w:r>
        <w:t xml:space="preserve">be a significant policy shift and would </w:t>
      </w:r>
      <w:r w:rsidRPr="008549D5">
        <w:t xml:space="preserve">require a significant adjustment to funding for both the PBS and the NHRA. This could be facilitated by combining the role and function of PRAs into future NHRA negotiations, </w:t>
      </w:r>
      <w:r w:rsidR="006E4970">
        <w:t>as recommended</w:t>
      </w:r>
      <w:r w:rsidR="006E4970" w:rsidRPr="008549D5">
        <w:t xml:space="preserve"> </w:t>
      </w:r>
      <w:r w:rsidR="00D34286">
        <w:t>above</w:t>
      </w:r>
      <w:r w:rsidRPr="008549D5">
        <w:t xml:space="preserve">. </w:t>
      </w:r>
      <w:r>
        <w:t>An</w:t>
      </w:r>
      <w:r w:rsidRPr="008549D5">
        <w:t xml:space="preserve"> increase in funding of the PBS to accommodate </w:t>
      </w:r>
      <w:r>
        <w:t>inpatient</w:t>
      </w:r>
      <w:r w:rsidRPr="008549D5">
        <w:t xml:space="preserve"> access to PBS medicines would be required as currently these medicines are supplied</w:t>
      </w:r>
      <w:r>
        <w:t xml:space="preserve"> and funded</w:t>
      </w:r>
      <w:r w:rsidRPr="008549D5">
        <w:t xml:space="preserve"> by the jurisdictions outside of the PBS. Approximately half of the increase in PBS medicines could be saved from the NHRA</w:t>
      </w:r>
      <w:r>
        <w:t>,</w:t>
      </w:r>
      <w:r w:rsidRPr="008549D5">
        <w:t xml:space="preserve"> where currently the Commonwealth provides </w:t>
      </w:r>
      <w:r>
        <w:t>4</w:t>
      </w:r>
      <w:r w:rsidRPr="008549D5">
        <w:t>5 per</w:t>
      </w:r>
      <w:r>
        <w:t xml:space="preserve"> </w:t>
      </w:r>
      <w:r w:rsidRPr="008549D5">
        <w:t xml:space="preserve">cent </w:t>
      </w:r>
      <w:r w:rsidRPr="008E1BB1">
        <w:t>of growth in the price and volume of public hospital services</w:t>
      </w:r>
      <w:r w:rsidRPr="008549D5">
        <w:t xml:space="preserve"> including inpatient medication, the other 5</w:t>
      </w:r>
      <w:r>
        <w:t>5</w:t>
      </w:r>
      <w:r w:rsidRPr="008549D5">
        <w:t xml:space="preserve"> per</w:t>
      </w:r>
      <w:r>
        <w:t xml:space="preserve"> </w:t>
      </w:r>
      <w:r w:rsidRPr="008549D5">
        <w:t xml:space="preserve">cent of the cost would need to be sourced from outside of the current Health Budget. It is not recommended that any inpatient access to PBS medicines be included in future PRAs without consideration of </w:t>
      </w:r>
      <w:r>
        <w:t xml:space="preserve">the </w:t>
      </w:r>
      <w:r w:rsidRPr="008549D5">
        <w:t>funding issues above.</w:t>
      </w:r>
    </w:p>
    <w:p w14:paraId="2BB98056" w14:textId="4666A2F8" w:rsidR="006C1F18" w:rsidRDefault="006C1F18" w:rsidP="00E346AF">
      <w:pPr>
        <w:pStyle w:val="Paragraphtext"/>
      </w:pPr>
      <w:r>
        <w:t xml:space="preserve">There is an increasing trend in new treatments to be tailored to individual patients. Examples of these treatments are CAR T-cell therapy were the patient’s own T-cells are collected from the patient, activated against specific antigens (currently blood borne cancers) to form </w:t>
      </w:r>
      <w:r w:rsidRPr="00447E0A">
        <w:t>chimeric antigen receptors, or CARs</w:t>
      </w:r>
      <w:r>
        <w:t xml:space="preserve">, and expanded in a laboratory and then re-introduced to the patient. These treatments are currently funded through provisions in the NHRA with the Commonwealth and jurisdictions jointly responsible for funding. While the number of these tailored medicines/treatments is expected to rise in the near future, their inclusion in any future PRA is not recommended, as they are highly specialised treatments that at the moment require hospitalisation to administer. The Department is currently investigating the future </w:t>
      </w:r>
      <w:r>
        <w:lastRenderedPageBreak/>
        <w:t xml:space="preserve">direction of the Commonwealth funding of these treatments, through the HTA Review Panel, which falls outside the scope of this report. </w:t>
      </w:r>
    </w:p>
    <w:bookmarkEnd w:id="34"/>
    <w:p w14:paraId="748DB68F" w14:textId="77777777" w:rsidR="00E346AF" w:rsidRPr="008549D5" w:rsidRDefault="00E346AF" w:rsidP="00E346AF">
      <w:pPr>
        <w:keepNext/>
        <w:spacing w:before="240"/>
        <w:rPr>
          <w:rFonts w:cs="Arial"/>
          <w:i/>
          <w:iCs/>
          <w:szCs w:val="22"/>
        </w:rPr>
      </w:pPr>
      <w:r w:rsidRPr="008549D5">
        <w:rPr>
          <w:rFonts w:cs="Arial"/>
          <w:i/>
          <w:iCs/>
          <w:szCs w:val="22"/>
        </w:rPr>
        <w:t>Geographic / time of service constraints</w:t>
      </w:r>
    </w:p>
    <w:p w14:paraId="7BA18388" w14:textId="0EC1664A" w:rsidR="00E346AF" w:rsidRDefault="0038543C">
      <w:pPr>
        <w:pStyle w:val="Paragraphtext"/>
      </w:pPr>
      <w:r>
        <w:t>Issues regarding equity of access</w:t>
      </w:r>
      <w:r w:rsidR="006200AD">
        <w:t xml:space="preserve"> is a major concern to the Commonwealth and exacerbat</w:t>
      </w:r>
      <w:r>
        <w:t>ed</w:t>
      </w:r>
      <w:r w:rsidR="006200AD">
        <w:t xml:space="preserve"> through factors that can be managed through judicious use of existing resources</w:t>
      </w:r>
      <w:r w:rsidR="006E4970">
        <w:t>. H</w:t>
      </w:r>
      <w:r w:rsidR="006200AD">
        <w:t xml:space="preserve">owever, </w:t>
      </w:r>
      <w:r w:rsidR="00E346AF" w:rsidRPr="008549D5">
        <w:t xml:space="preserve">they are outside the remit of the </w:t>
      </w:r>
      <w:r w:rsidR="00E346AF">
        <w:t>Commonwealth</w:t>
      </w:r>
      <w:r w:rsidR="00E346AF" w:rsidRPr="008549D5">
        <w:t xml:space="preserve">. </w:t>
      </w:r>
    </w:p>
    <w:p w14:paraId="7E3FF4B5" w14:textId="4FC6A23A" w:rsidR="00E346AF" w:rsidRDefault="00E346AF" w:rsidP="00E346AF">
      <w:pPr>
        <w:pStyle w:val="Paragraphtext"/>
      </w:pPr>
      <w:r w:rsidRPr="008549D5">
        <w:t>Jurisdictions are responsible for which hospitals</w:t>
      </w:r>
      <w:r>
        <w:t>,</w:t>
      </w:r>
      <w:r w:rsidRPr="008549D5">
        <w:t xml:space="preserve"> if any</w:t>
      </w:r>
      <w:r>
        <w:t>,</w:t>
      </w:r>
      <w:r w:rsidRPr="008549D5">
        <w:t xml:space="preserve"> are approved to participate in the PRA and for the day to day management of the pharmacies within each hospital</w:t>
      </w:r>
      <w:r>
        <w:t>, which is the driving force of this issue. Future PRAs may consider including a clause that reduces variances in access to medicines</w:t>
      </w:r>
      <w:r w:rsidR="00BB1154">
        <w:t xml:space="preserve"> due to individual differences in approved hospitals.</w:t>
      </w:r>
    </w:p>
    <w:p w14:paraId="769BD124" w14:textId="77777777" w:rsidR="00E346AF" w:rsidRPr="008549D5" w:rsidRDefault="00E346AF" w:rsidP="00E346AF">
      <w:pPr>
        <w:spacing w:before="240"/>
        <w:rPr>
          <w:rFonts w:cs="Arial"/>
          <w:i/>
          <w:iCs/>
          <w:szCs w:val="22"/>
        </w:rPr>
      </w:pPr>
      <w:r w:rsidRPr="008549D5">
        <w:rPr>
          <w:rFonts w:cs="Arial"/>
          <w:i/>
          <w:iCs/>
          <w:szCs w:val="22"/>
        </w:rPr>
        <w:t>Indigenous Dose Administration Aids program</w:t>
      </w:r>
    </w:p>
    <w:p w14:paraId="129DA7C2" w14:textId="7D50831C" w:rsidR="00E346AF" w:rsidRDefault="00E346AF" w:rsidP="00E346AF">
      <w:pPr>
        <w:pStyle w:val="Paragraphtext"/>
      </w:pPr>
      <w:r>
        <w:t>The aim of the PRA is to allow access to PBS medicines, not to provide funding for quality use of medicines programs. As outlined previously, jurisdictions are responsible for the management and delivery of public hospital services. Therefore</w:t>
      </w:r>
      <w:r w:rsidR="000351FF">
        <w:t>,</w:t>
      </w:r>
      <w:r>
        <w:t xml:space="preserve"> the IDAA program is</w:t>
      </w:r>
      <w:r w:rsidRPr="008549D5">
        <w:t xml:space="preserve"> not amenable to inclusion in future PRAs. No recommendation is made in regard to changes in the IDAA program</w:t>
      </w:r>
      <w:r>
        <w:t xml:space="preserve"> as this is considered out of scope of the PRA Review</w:t>
      </w:r>
      <w:r w:rsidRPr="008549D5">
        <w:t>.</w:t>
      </w:r>
      <w:r w:rsidRPr="00C77AC2">
        <w:t xml:space="preserve"> </w:t>
      </w:r>
    </w:p>
    <w:p w14:paraId="453971ED" w14:textId="77777777" w:rsidR="00E346AF" w:rsidRPr="008549D5" w:rsidRDefault="00E346AF" w:rsidP="00E346AF">
      <w:pPr>
        <w:pStyle w:val="Paragraphtext"/>
      </w:pPr>
    </w:p>
    <w:p w14:paraId="47D470A2" w14:textId="77777777" w:rsidR="00E346AF" w:rsidRPr="008549D5" w:rsidRDefault="00E346AF" w:rsidP="00E346AF">
      <w:pPr>
        <w:rPr>
          <w:rFonts w:cs="Arial"/>
          <w:szCs w:val="22"/>
        </w:rPr>
      </w:pPr>
      <w:r w:rsidRPr="00EA5BF2">
        <w:rPr>
          <w:rFonts w:cs="Arial"/>
          <w:noProof/>
          <w:szCs w:val="22"/>
        </w:rPr>
        <mc:AlternateContent>
          <mc:Choice Requires="wps">
            <w:drawing>
              <wp:inline distT="0" distB="0" distL="0" distR="0" wp14:anchorId="640D4469" wp14:editId="6C066E06">
                <wp:extent cx="5721350" cy="1404620"/>
                <wp:effectExtent l="0" t="0" r="1270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chemeClr val="accent2"/>
                          </a:solidFill>
                          <a:miter lim="800000"/>
                          <a:headEnd/>
                          <a:tailEnd/>
                        </a:ln>
                      </wps:spPr>
                      <wps:txbx>
                        <w:txbxContent>
                          <w:p w14:paraId="5FF259CB" w14:textId="77777777" w:rsidR="00E346AF" w:rsidRPr="00EA5BF2" w:rsidRDefault="00E346AF" w:rsidP="00E346AF">
                            <w:pPr>
                              <w:rPr>
                                <w:color w:val="3F4A75" w:themeColor="accent1"/>
                              </w:rPr>
                            </w:pPr>
                            <w:r w:rsidRPr="00EA5BF2">
                              <w:rPr>
                                <w:color w:val="3F4A75" w:themeColor="accent1"/>
                              </w:rPr>
                              <w:t>Recommendations: Removing Barriers to Access</w:t>
                            </w:r>
                          </w:p>
                          <w:p w14:paraId="2973D218" w14:textId="32B69C13" w:rsidR="0014034C" w:rsidRDefault="006E4970" w:rsidP="0014034C">
                            <w:pPr>
                              <w:pStyle w:val="ListParagraph"/>
                              <w:numPr>
                                <w:ilvl w:val="0"/>
                                <w:numId w:val="42"/>
                              </w:numPr>
                            </w:pPr>
                            <w:r>
                              <w:t>Include</w:t>
                            </w:r>
                            <w:r w:rsidR="0014034C">
                              <w:t xml:space="preserve"> the PRAs in the NHRA.</w:t>
                            </w:r>
                          </w:p>
                          <w:p w14:paraId="170F1A89" w14:textId="108146E4" w:rsidR="00A25D9E" w:rsidRDefault="00A25D9E" w:rsidP="0014034C">
                            <w:pPr>
                              <w:pStyle w:val="ListParagraph"/>
                              <w:numPr>
                                <w:ilvl w:val="0"/>
                                <w:numId w:val="42"/>
                              </w:numPr>
                            </w:pPr>
                            <w:r>
                              <w:t>If PRA functions are not included in the NHRA:</w:t>
                            </w:r>
                          </w:p>
                          <w:p w14:paraId="0924E619" w14:textId="61859C6E" w:rsidR="0037452C" w:rsidRDefault="00A25D9E" w:rsidP="00106734">
                            <w:pPr>
                              <w:pStyle w:val="ListParagraph"/>
                              <w:numPr>
                                <w:ilvl w:val="0"/>
                                <w:numId w:val="53"/>
                              </w:numPr>
                            </w:pPr>
                            <w:r>
                              <w:t>n</w:t>
                            </w:r>
                            <w:r w:rsidR="00E346AF">
                              <w:t>egotiate a multilateral agreement with all jurisdictions to replace individual bilateral agreements</w:t>
                            </w:r>
                            <w:r>
                              <w:t>;</w:t>
                            </w:r>
                            <w:r w:rsidR="00E346AF">
                              <w:t xml:space="preserve"> </w:t>
                            </w:r>
                          </w:p>
                          <w:p w14:paraId="7EA0D955" w14:textId="5DCF1727" w:rsidR="00A25D9E" w:rsidRDefault="00A25D9E" w:rsidP="00106734">
                            <w:pPr>
                              <w:pStyle w:val="ListParagraph"/>
                              <w:numPr>
                                <w:ilvl w:val="0"/>
                                <w:numId w:val="53"/>
                              </w:numPr>
                            </w:pPr>
                            <w:r>
                              <w:t>consider entering into interim PRAs with the ACT and NSW, pending agreement to a multilateral agreement.</w:t>
                            </w:r>
                          </w:p>
                          <w:p w14:paraId="12DEC713" w14:textId="77777777" w:rsidR="00E346AF" w:rsidRDefault="00E346AF" w:rsidP="00A25D9E">
                            <w:pPr>
                              <w:pStyle w:val="ListParagraph"/>
                              <w:numPr>
                                <w:ilvl w:val="0"/>
                                <w:numId w:val="42"/>
                              </w:numPr>
                            </w:pPr>
                            <w:r>
                              <w:t>Include a pharmacist professional organisation in the negotiation of future PRAs, but not as a signatory.</w:t>
                            </w:r>
                          </w:p>
                          <w:p w14:paraId="0787E013" w14:textId="77777777" w:rsidR="00E346AF" w:rsidRDefault="00E346AF" w:rsidP="00E346AF">
                            <w:pPr>
                              <w:pStyle w:val="ListParagraph"/>
                              <w:numPr>
                                <w:ilvl w:val="0"/>
                                <w:numId w:val="42"/>
                              </w:numPr>
                            </w:pPr>
                            <w:r>
                              <w:t>Publish agreements to improve transparency.</w:t>
                            </w:r>
                          </w:p>
                          <w:p w14:paraId="02ABE6EA" w14:textId="77777777" w:rsidR="00E346AF" w:rsidRDefault="00E346AF" w:rsidP="00E346AF">
                            <w:pPr>
                              <w:pStyle w:val="ListParagraph"/>
                              <w:numPr>
                                <w:ilvl w:val="0"/>
                                <w:numId w:val="42"/>
                              </w:numPr>
                            </w:pPr>
                            <w:r>
                              <w:t>Amend the CTG Co-Payment Program to permit dispensing of CTG prescriptions in public hospital pharmacies.</w:t>
                            </w:r>
                          </w:p>
                          <w:p w14:paraId="2B9F9005" w14:textId="77777777" w:rsidR="00E346AF" w:rsidRDefault="00E346AF" w:rsidP="00E346AF">
                            <w:pPr>
                              <w:pStyle w:val="ListParagraph"/>
                              <w:numPr>
                                <w:ilvl w:val="0"/>
                                <w:numId w:val="42"/>
                              </w:numPr>
                            </w:pPr>
                            <w:r>
                              <w:t xml:space="preserve">Include clauses that reduces variances in access to medicines. </w:t>
                            </w:r>
                          </w:p>
                        </w:txbxContent>
                      </wps:txbx>
                      <wps:bodyPr rot="0" vert="horz" wrap="square" lIns="91440" tIns="45720" rIns="91440" bIns="45720" anchor="t" anchorCtr="0">
                        <a:spAutoFit/>
                      </wps:bodyPr>
                    </wps:wsp>
                  </a:graphicData>
                </a:graphic>
              </wp:inline>
            </w:drawing>
          </mc:Choice>
          <mc:Fallback>
            <w:pict>
              <v:shapetype w14:anchorId="640D4469" id="_x0000_t202" coordsize="21600,21600" o:spt="202" path="m,l,21600r21600,l21600,xe">
                <v:stroke joinstyle="miter"/>
                <v:path gradientshapeok="t" o:connecttype="rect"/>
              </v:shapetype>
              <v:shape id="Text Box 2" o:spid="_x0000_s1026" type="#_x0000_t202" style="width:45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FxFwIAACMEAAAOAAAAZHJzL2Uyb0RvYy54bWysU9tu2zAMfR+wfxD0vtjxkq414hRdugwD&#10;ugvQ7QNoWY6FyaImKbG7rx8lp2nW7WmYHgRRpI7Iw8PV9dhrdpDOKzQVn89yzqQR2Cizq/i3r9tX&#10;l5z5AKYBjUZW/EF6fr1++WI12FIW2KFupGMEYnw52Ip3Idgyy7zoZA9+hlYacrboeghkul3WOBgI&#10;vddZkecX2YCusQ6F9J5ubycnXyf8tpUifG5bLwPTFafcQtpd2uu4Z+sVlDsHtlPimAb8QxY9KEOf&#10;nqBuIQDbO/UHVK+EQ49tmAnsM2xbJWSqgaqZ58+que/AylQLkePtiSb//2DFp8O9/eJYGN/iSA1M&#10;RXh7h+K7ZwY3HZidvHEOh05CQx/PI2XZYH15fBqp9qWPIPXwERtqMuwDJqCxdX1khepkhE4NeDiR&#10;LsfABF0u3xTz10tyCfLNF/niokhtyaB8fG6dD+8l9iweKu6oqwkeDnc+xHSgfAyJv3nUqtkqrZPh&#10;dvVGO3YAUsA2rVTBszBt2FDxq2WxnBj4DSKKUZ5AQAhpQvE3lF4FUrNWfcUv87gmfUXq3pkmaS2A&#10;0tOZstbmyGWkbyIyjPVIgZHTGpsHYtXhpFqaMjp06H5yNpBiK+5/7MFJzvQHQ525mi8WUeLJWBCt&#10;ZLhzT33uASMIquKBs+m4CWksEmf2hjq4VYnbp0yOuZISE+XHqYlSP7dT1NNsr38BAAD//wMAUEsD&#10;BBQABgAIAAAAIQBEa6d+1gAAAAUBAAAPAAAAZHJzL2Rvd25yZXYueG1sTI/BTsMwEETvSPyDtUhc&#10;ELWTA6IhToUqeofAB2zjbRKw11HstoGvZ+ECl5VGs5p5U2+W4NWJ5jRGtlCsDCjiLrqRewtvr7vb&#10;e1ApIzv0kcnCJyXYNJcXNVYunvmFTm3ulYRwqtDCkPNUaZ26gQKmVZyIxTvEOWAWOffazXiW8OB1&#10;acydDjiyNAw40Xag7qM9BimZ25gP3iD7913HX95sb56frL2+Wh4fQGVa8t8z/OALOjTCtI9Hdkl5&#10;CzIk/17x1qYQubdQlkUJuqn1f/rmGwAA//8DAFBLAQItABQABgAIAAAAIQC2gziS/gAAAOEBAAAT&#10;AAAAAAAAAAAAAAAAAAAAAABbQ29udGVudF9UeXBlc10ueG1sUEsBAi0AFAAGAAgAAAAhADj9If/W&#10;AAAAlAEAAAsAAAAAAAAAAAAAAAAALwEAAF9yZWxzLy5yZWxzUEsBAi0AFAAGAAgAAAAhAA/aAXEX&#10;AgAAIwQAAA4AAAAAAAAAAAAAAAAALgIAAGRycy9lMm9Eb2MueG1sUEsBAi0AFAAGAAgAAAAhAERr&#10;p37WAAAABQEAAA8AAAAAAAAAAAAAAAAAcQQAAGRycy9kb3ducmV2LnhtbFBLBQYAAAAABAAEAPMA&#10;AAB0BQAAAAA=&#10;" strokecolor="#358189 [3205]">
                <v:textbox style="mso-fit-shape-to-text:t">
                  <w:txbxContent>
                    <w:p w14:paraId="5FF259CB" w14:textId="77777777" w:rsidR="00E346AF" w:rsidRPr="00EA5BF2" w:rsidRDefault="00E346AF" w:rsidP="00E346AF">
                      <w:pPr>
                        <w:rPr>
                          <w:color w:val="3F4A75" w:themeColor="accent1"/>
                        </w:rPr>
                      </w:pPr>
                      <w:r w:rsidRPr="00EA5BF2">
                        <w:rPr>
                          <w:color w:val="3F4A75" w:themeColor="accent1"/>
                        </w:rPr>
                        <w:t>Recommendations: Removing Barriers to Access</w:t>
                      </w:r>
                    </w:p>
                    <w:p w14:paraId="2973D218" w14:textId="32B69C13" w:rsidR="0014034C" w:rsidRDefault="006E4970" w:rsidP="0014034C">
                      <w:pPr>
                        <w:pStyle w:val="ListParagraph"/>
                        <w:numPr>
                          <w:ilvl w:val="0"/>
                          <w:numId w:val="42"/>
                        </w:numPr>
                      </w:pPr>
                      <w:r>
                        <w:t>Include</w:t>
                      </w:r>
                      <w:r w:rsidR="0014034C">
                        <w:t xml:space="preserve"> the PRAs in the NHRA.</w:t>
                      </w:r>
                    </w:p>
                    <w:p w14:paraId="170F1A89" w14:textId="108146E4" w:rsidR="00A25D9E" w:rsidRDefault="00A25D9E" w:rsidP="0014034C">
                      <w:pPr>
                        <w:pStyle w:val="ListParagraph"/>
                        <w:numPr>
                          <w:ilvl w:val="0"/>
                          <w:numId w:val="42"/>
                        </w:numPr>
                      </w:pPr>
                      <w:r>
                        <w:t>If PRA functions are not included in the NHRA:</w:t>
                      </w:r>
                    </w:p>
                    <w:p w14:paraId="0924E619" w14:textId="61859C6E" w:rsidR="0037452C" w:rsidRDefault="00A25D9E" w:rsidP="00106734">
                      <w:pPr>
                        <w:pStyle w:val="ListParagraph"/>
                        <w:numPr>
                          <w:ilvl w:val="0"/>
                          <w:numId w:val="53"/>
                        </w:numPr>
                      </w:pPr>
                      <w:r>
                        <w:t>n</w:t>
                      </w:r>
                      <w:r w:rsidR="00E346AF">
                        <w:t>egotiate a multilateral agreement with all jurisdictions to replace individual bilateral agreements</w:t>
                      </w:r>
                      <w:r>
                        <w:t>;</w:t>
                      </w:r>
                      <w:r w:rsidR="00E346AF">
                        <w:t xml:space="preserve"> </w:t>
                      </w:r>
                    </w:p>
                    <w:p w14:paraId="7EA0D955" w14:textId="5DCF1727" w:rsidR="00A25D9E" w:rsidRDefault="00A25D9E" w:rsidP="00106734">
                      <w:pPr>
                        <w:pStyle w:val="ListParagraph"/>
                        <w:numPr>
                          <w:ilvl w:val="0"/>
                          <w:numId w:val="53"/>
                        </w:numPr>
                      </w:pPr>
                      <w:r>
                        <w:t>consider entering into interim PRAs with the ACT and NSW, pending agreement to a multilateral agreement.</w:t>
                      </w:r>
                    </w:p>
                    <w:p w14:paraId="12DEC713" w14:textId="77777777" w:rsidR="00E346AF" w:rsidRDefault="00E346AF" w:rsidP="00A25D9E">
                      <w:pPr>
                        <w:pStyle w:val="ListParagraph"/>
                        <w:numPr>
                          <w:ilvl w:val="0"/>
                          <w:numId w:val="42"/>
                        </w:numPr>
                      </w:pPr>
                      <w:r>
                        <w:t>Include a pharmacist professional organisation in the negotiation of future PRAs, but not as a signatory.</w:t>
                      </w:r>
                    </w:p>
                    <w:p w14:paraId="0787E013" w14:textId="77777777" w:rsidR="00E346AF" w:rsidRDefault="00E346AF" w:rsidP="00E346AF">
                      <w:pPr>
                        <w:pStyle w:val="ListParagraph"/>
                        <w:numPr>
                          <w:ilvl w:val="0"/>
                          <w:numId w:val="42"/>
                        </w:numPr>
                      </w:pPr>
                      <w:r>
                        <w:t>Publish agreements to improve transparency.</w:t>
                      </w:r>
                    </w:p>
                    <w:p w14:paraId="02ABE6EA" w14:textId="77777777" w:rsidR="00E346AF" w:rsidRDefault="00E346AF" w:rsidP="00E346AF">
                      <w:pPr>
                        <w:pStyle w:val="ListParagraph"/>
                        <w:numPr>
                          <w:ilvl w:val="0"/>
                          <w:numId w:val="42"/>
                        </w:numPr>
                      </w:pPr>
                      <w:r>
                        <w:t>Amend the CTG Co-Payment Program to permit dispensing of CTG prescriptions in public hospital pharmacies.</w:t>
                      </w:r>
                    </w:p>
                    <w:p w14:paraId="2B9F9005" w14:textId="77777777" w:rsidR="00E346AF" w:rsidRDefault="00E346AF" w:rsidP="00E346AF">
                      <w:pPr>
                        <w:pStyle w:val="ListParagraph"/>
                        <w:numPr>
                          <w:ilvl w:val="0"/>
                          <w:numId w:val="42"/>
                        </w:numPr>
                      </w:pPr>
                      <w:r>
                        <w:t xml:space="preserve">Include clauses that reduces variances in access to medicines. </w:t>
                      </w:r>
                    </w:p>
                  </w:txbxContent>
                </v:textbox>
                <w10:anchorlock/>
              </v:shape>
            </w:pict>
          </mc:Fallback>
        </mc:AlternateContent>
      </w:r>
    </w:p>
    <w:p w14:paraId="3BF1C108" w14:textId="77777777" w:rsidR="00E346AF" w:rsidRPr="006D0894" w:rsidRDefault="00E346AF" w:rsidP="00E346AF">
      <w:pPr>
        <w:pStyle w:val="Heading2"/>
        <w:widowControl w:val="0"/>
      </w:pPr>
      <w:bookmarkStart w:id="35" w:name="_Toc126595359"/>
      <w:r w:rsidRPr="006D0894">
        <w:t>Quality Use of Medicines</w:t>
      </w:r>
      <w:bookmarkEnd w:id="35"/>
    </w:p>
    <w:p w14:paraId="44872300" w14:textId="77777777" w:rsidR="00E346AF" w:rsidRPr="008549D5" w:rsidRDefault="00E346AF" w:rsidP="00E346AF">
      <w:pPr>
        <w:keepNext/>
        <w:widowControl w:val="0"/>
        <w:spacing w:before="240"/>
        <w:rPr>
          <w:rFonts w:cs="Arial"/>
          <w:i/>
          <w:iCs/>
          <w:szCs w:val="22"/>
        </w:rPr>
      </w:pPr>
      <w:r w:rsidRPr="008549D5">
        <w:rPr>
          <w:rFonts w:cs="Arial"/>
          <w:i/>
          <w:iCs/>
          <w:szCs w:val="22"/>
        </w:rPr>
        <w:t>Inclusion of QUM issues in PRAs</w:t>
      </w:r>
    </w:p>
    <w:p w14:paraId="7C045952" w14:textId="6F7D9AFC" w:rsidR="00E346AF" w:rsidRDefault="007E5FE6" w:rsidP="00E346AF">
      <w:pPr>
        <w:pStyle w:val="Paragraphtext"/>
      </w:pPr>
      <w:r>
        <w:t>As indicated in the stakeholder summary the uptake of QUM principles by jurisdictions has been a</w:t>
      </w:r>
      <w:r w:rsidR="00E83849">
        <w:t xml:space="preserve">n important and </w:t>
      </w:r>
      <w:r>
        <w:t xml:space="preserve">tangible benefit of the implementation of PRAs. </w:t>
      </w:r>
      <w:r w:rsidR="00430B44">
        <w:t>Building on this the Department recommends that r</w:t>
      </w:r>
      <w:r w:rsidR="00E346AF" w:rsidRPr="008549D5">
        <w:t xml:space="preserve">eference to ACSQHC </w:t>
      </w:r>
      <w:r w:rsidR="00E346AF" w:rsidRPr="0068071F">
        <w:rPr>
          <w:i/>
          <w:iCs/>
        </w:rPr>
        <w:t>National Safety and Quality Health Service Standards</w:t>
      </w:r>
      <w:r w:rsidR="00E346AF" w:rsidRPr="0068071F">
        <w:rPr>
          <w:vertAlign w:val="superscript"/>
        </w:rPr>
        <w:footnoteReference w:id="8"/>
      </w:r>
      <w:r w:rsidR="00E346AF" w:rsidRPr="008549D5">
        <w:t xml:space="preserve"> </w:t>
      </w:r>
      <w:r w:rsidR="00430B44">
        <w:t xml:space="preserve">or its successors </w:t>
      </w:r>
      <w:r w:rsidR="00E346AF" w:rsidRPr="008549D5">
        <w:t>should be included in the PRA</w:t>
      </w:r>
      <w:r w:rsidR="00E346AF">
        <w:t>s</w:t>
      </w:r>
      <w:r w:rsidR="00430B44">
        <w:t xml:space="preserve"> as it </w:t>
      </w:r>
      <w:r w:rsidR="00430B44" w:rsidRPr="008549D5">
        <w:t>would be advantageous to continue to advance this initiative</w:t>
      </w:r>
      <w:r w:rsidR="00E346AF" w:rsidRPr="008549D5">
        <w:t xml:space="preserve">. This includes a need for communication to patients to be clear, accessible, and easy for patients to understand. </w:t>
      </w:r>
    </w:p>
    <w:p w14:paraId="4DE39DDE" w14:textId="77777777" w:rsidR="00E346AF" w:rsidRDefault="00E346AF" w:rsidP="00E346AF">
      <w:pPr>
        <w:pStyle w:val="Paragraphtext"/>
      </w:pPr>
    </w:p>
    <w:p w14:paraId="302C29E3" w14:textId="77777777" w:rsidR="00E346AF" w:rsidRPr="008549D5" w:rsidRDefault="00E346AF" w:rsidP="00E346AF">
      <w:pPr>
        <w:spacing w:line="276" w:lineRule="auto"/>
        <w:rPr>
          <w:rFonts w:cs="Arial"/>
          <w:szCs w:val="22"/>
        </w:rPr>
      </w:pPr>
      <w:r w:rsidRPr="00EA5BF2">
        <w:rPr>
          <w:rFonts w:cs="Arial"/>
          <w:noProof/>
          <w:szCs w:val="22"/>
        </w:rPr>
        <mc:AlternateContent>
          <mc:Choice Requires="wps">
            <w:drawing>
              <wp:inline distT="0" distB="0" distL="0" distR="0" wp14:anchorId="4DB7BC03" wp14:editId="1CB4A538">
                <wp:extent cx="5721350" cy="1404620"/>
                <wp:effectExtent l="0" t="0" r="12700" b="1651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chemeClr val="accent2"/>
                          </a:solidFill>
                          <a:miter lim="800000"/>
                          <a:headEnd/>
                          <a:tailEnd/>
                        </a:ln>
                      </wps:spPr>
                      <wps:txbx>
                        <w:txbxContent>
                          <w:p w14:paraId="6F005F3F" w14:textId="09627E10"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fldChar w:fldCharType="begin"/>
                            </w:r>
                            <w:r>
                              <w:rPr>
                                <w:color w:val="3F4A75" w:themeColor="accent1"/>
                              </w:rPr>
                              <w:instrText xml:space="preserve"> REF _Ref109053652 \h  \* MERGEFORMAT </w:instrText>
                            </w:r>
                            <w:r>
                              <w:rPr>
                                <w:color w:val="3F4A75" w:themeColor="accent1"/>
                              </w:rPr>
                            </w:r>
                            <w:r>
                              <w:rPr>
                                <w:color w:val="3F4A75" w:themeColor="accent1"/>
                              </w:rPr>
                              <w:fldChar w:fldCharType="separate"/>
                            </w:r>
                            <w:r w:rsidR="00254675" w:rsidRPr="00254675">
                              <w:rPr>
                                <w:color w:val="3F4A75" w:themeColor="accent1"/>
                              </w:rPr>
                              <w:t>Quality Use of Medicines</w:t>
                            </w:r>
                            <w:r>
                              <w:rPr>
                                <w:color w:val="3F4A75" w:themeColor="accent1"/>
                              </w:rPr>
                              <w:fldChar w:fldCharType="end"/>
                            </w:r>
                          </w:p>
                          <w:p w14:paraId="7C52EF11" w14:textId="77777777" w:rsidR="00E346AF" w:rsidRDefault="00E346AF" w:rsidP="00E346AF">
                            <w:pPr>
                              <w:pStyle w:val="ListParagraph"/>
                              <w:numPr>
                                <w:ilvl w:val="0"/>
                                <w:numId w:val="42"/>
                              </w:numPr>
                            </w:pPr>
                            <w:r>
                              <w:t>Include reference to</w:t>
                            </w:r>
                            <w:r w:rsidRPr="004978AA">
                              <w:rPr>
                                <w:rFonts w:cs="Arial"/>
                                <w:szCs w:val="22"/>
                              </w:rPr>
                              <w:t xml:space="preserve"> </w:t>
                            </w:r>
                            <w:r w:rsidRPr="008549D5">
                              <w:rPr>
                                <w:rFonts w:cs="Arial"/>
                                <w:szCs w:val="22"/>
                              </w:rPr>
                              <w:t xml:space="preserve">ACSQHC </w:t>
                            </w:r>
                            <w:r w:rsidRPr="008549D5">
                              <w:rPr>
                                <w:rFonts w:cs="Arial"/>
                                <w:i/>
                                <w:iCs/>
                                <w:szCs w:val="22"/>
                              </w:rPr>
                              <w:t>National Safety and Quality Health Service Standards</w:t>
                            </w:r>
                            <w:r>
                              <w:rPr>
                                <w:rFonts w:cs="Arial"/>
                                <w:i/>
                                <w:iCs/>
                                <w:szCs w:val="22"/>
                              </w:rPr>
                              <w:t>.</w:t>
                            </w:r>
                            <w:r>
                              <w:t xml:space="preserve"> </w:t>
                            </w:r>
                          </w:p>
                        </w:txbxContent>
                      </wps:txbx>
                      <wps:bodyPr rot="0" vert="horz" wrap="square" lIns="91440" tIns="45720" rIns="91440" bIns="45720" anchor="t" anchorCtr="0">
                        <a:spAutoFit/>
                      </wps:bodyPr>
                    </wps:wsp>
                  </a:graphicData>
                </a:graphic>
              </wp:inline>
            </w:drawing>
          </mc:Choice>
          <mc:Fallback>
            <w:pict>
              <v:shapetype w14:anchorId="4DB7BC03" id="_x0000_t202" coordsize="21600,21600" o:spt="202" path="m,l,21600r21600,l21600,xe">
                <v:stroke joinstyle="miter"/>
                <v:path gradientshapeok="t" o:connecttype="rect"/>
              </v:shapetype>
              <v:shape id="_x0000_s1027" type="#_x0000_t202" style="width:45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8xGgIAACoEAAAOAAAAZHJzL2Uyb0RvYy54bWysk11v2yAUhu8n7T8g7hd/LOlaK07Vpcs0&#10;qfuQuv0ADDhGwxwGJHb363fAbpp1u5rmCwQ+8HLOc17W12OvyVE6r8DUtFjklEjDQSizr+m3r7tX&#10;l5T4wIxgGoys6YP09Hrz8sV6sJUsoQMtpCMoYnw12Jp2IdgqyzzvZM/8Aqw0GGzB9Szg0u0z4diA&#10;6r3Oyjy/yAZwwjrg0nv8ezsF6Sbpt63k4XPbehmIrinmFtLo0tjEMdusWbV3zHaKz2mwf8iiZ8rg&#10;pSepWxYYOTj1h1SvuAMPbVhw6DNoW8VlqgGrKfJn1dx3zMpUC8Lx9oTJ/z9Z/ul4b784Esa3MGID&#10;UxHe3gH/7omBbcfMXt44B0MnmcCLi4gsG6yv5qMRta98FGmGjyCwyewQIAmNresjFayToDo24OEE&#10;XY6BcPy5elMWr1cY4hgrlvnyokxtyVj1eNw6H95L6Emc1NRhV5M8O975ENNh1eOWeJsHrcROaZ0W&#10;bt9stSNHhg7YpS9V8GybNmSo6dWqXE0EfpOIZpQnEca5NKH8m0qvArpZq76ml3n8Jn9FdO+MSF4L&#10;TOlpjllrM7OM+CaQYWxGosQMOqJtQDwgXAeTefGx4aQD95OSAY1bU//jwJykRH8w2KCrYrmMTk+L&#10;JdLFhTuPNOcRZjhK1TRQMk23Ib2OhM7eYCN3KiF+ymROGQ2ZyM+PJzr+fJ12PT3xzS8AAAD//wMA&#10;UEsDBBQABgAIAAAAIQBEa6d+1gAAAAUBAAAPAAAAZHJzL2Rvd25yZXYueG1sTI/BTsMwEETvSPyD&#10;tUhcELWTA6IhToUqeofAB2zjbRKw11HstoGvZ+ECl5VGs5p5U2+W4NWJ5jRGtlCsDCjiLrqRewtv&#10;r7vbe1ApIzv0kcnCJyXYNJcXNVYunvmFTm3ulYRwqtDCkPNUaZ26gQKmVZyIxTvEOWAWOffazXiW&#10;8OB1acydDjiyNAw40Xag7qM9BimZ25gP3iD7913HX95sb56frL2+Wh4fQGVa8t8z/OALOjTCtI9H&#10;dkl5CzIk/17x1qYQubdQlkUJuqn1f/rmGwAA//8DAFBLAQItABQABgAIAAAAIQC2gziS/gAAAOEB&#10;AAATAAAAAAAAAAAAAAAAAAAAAABbQ29udGVudF9UeXBlc10ueG1sUEsBAi0AFAAGAAgAAAAhADj9&#10;If/WAAAAlAEAAAsAAAAAAAAAAAAAAAAALwEAAF9yZWxzLy5yZWxzUEsBAi0AFAAGAAgAAAAhANp3&#10;HzEaAgAAKgQAAA4AAAAAAAAAAAAAAAAALgIAAGRycy9lMm9Eb2MueG1sUEsBAi0AFAAGAAgAAAAh&#10;AERrp37WAAAABQEAAA8AAAAAAAAAAAAAAAAAdAQAAGRycy9kb3ducmV2LnhtbFBLBQYAAAAABAAE&#10;APMAAAB3BQAAAAA=&#10;" strokecolor="#358189 [3205]">
                <v:textbox style="mso-fit-shape-to-text:t">
                  <w:txbxContent>
                    <w:p w14:paraId="6F005F3F" w14:textId="09627E10"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fldChar w:fldCharType="begin"/>
                      </w:r>
                      <w:r>
                        <w:rPr>
                          <w:color w:val="3F4A75" w:themeColor="accent1"/>
                        </w:rPr>
                        <w:instrText xml:space="preserve"> REF _Ref109053652 \h  \* MERGEFORMAT </w:instrText>
                      </w:r>
                      <w:r>
                        <w:rPr>
                          <w:color w:val="3F4A75" w:themeColor="accent1"/>
                        </w:rPr>
                      </w:r>
                      <w:r>
                        <w:rPr>
                          <w:color w:val="3F4A75" w:themeColor="accent1"/>
                        </w:rPr>
                        <w:fldChar w:fldCharType="separate"/>
                      </w:r>
                      <w:r w:rsidR="00254675" w:rsidRPr="00254675">
                        <w:rPr>
                          <w:color w:val="3F4A75" w:themeColor="accent1"/>
                        </w:rPr>
                        <w:t>Quality Use of Medicines</w:t>
                      </w:r>
                      <w:r>
                        <w:rPr>
                          <w:color w:val="3F4A75" w:themeColor="accent1"/>
                        </w:rPr>
                        <w:fldChar w:fldCharType="end"/>
                      </w:r>
                    </w:p>
                    <w:p w14:paraId="7C52EF11" w14:textId="77777777" w:rsidR="00E346AF" w:rsidRDefault="00E346AF" w:rsidP="00E346AF">
                      <w:pPr>
                        <w:pStyle w:val="ListParagraph"/>
                        <w:numPr>
                          <w:ilvl w:val="0"/>
                          <w:numId w:val="42"/>
                        </w:numPr>
                      </w:pPr>
                      <w:r>
                        <w:t>Include reference to</w:t>
                      </w:r>
                      <w:r w:rsidRPr="004978AA">
                        <w:rPr>
                          <w:rFonts w:cs="Arial"/>
                          <w:szCs w:val="22"/>
                        </w:rPr>
                        <w:t xml:space="preserve"> </w:t>
                      </w:r>
                      <w:r w:rsidRPr="008549D5">
                        <w:rPr>
                          <w:rFonts w:cs="Arial"/>
                          <w:szCs w:val="22"/>
                        </w:rPr>
                        <w:t xml:space="preserve">ACSQHC </w:t>
                      </w:r>
                      <w:r w:rsidRPr="008549D5">
                        <w:rPr>
                          <w:rFonts w:cs="Arial"/>
                          <w:i/>
                          <w:iCs/>
                          <w:szCs w:val="22"/>
                        </w:rPr>
                        <w:t>National Safety and Quality Health Service Standards</w:t>
                      </w:r>
                      <w:r>
                        <w:rPr>
                          <w:rFonts w:cs="Arial"/>
                          <w:i/>
                          <w:iCs/>
                          <w:szCs w:val="22"/>
                        </w:rPr>
                        <w:t>.</w:t>
                      </w:r>
                      <w:r>
                        <w:t xml:space="preserve"> </w:t>
                      </w:r>
                    </w:p>
                  </w:txbxContent>
                </v:textbox>
                <w10:anchorlock/>
              </v:shape>
            </w:pict>
          </mc:Fallback>
        </mc:AlternateContent>
      </w:r>
    </w:p>
    <w:p w14:paraId="294FB3F2" w14:textId="77777777" w:rsidR="00E346AF" w:rsidRPr="006D0894" w:rsidRDefault="00E346AF" w:rsidP="00E346AF">
      <w:pPr>
        <w:pStyle w:val="Heading2"/>
        <w:keepLines/>
      </w:pPr>
      <w:bookmarkStart w:id="36" w:name="_Toc126595360"/>
      <w:r w:rsidRPr="006D0894">
        <w:lastRenderedPageBreak/>
        <w:t>Building and maintaining a quality hospital pharmacy program</w:t>
      </w:r>
      <w:bookmarkEnd w:id="36"/>
    </w:p>
    <w:p w14:paraId="71B71384" w14:textId="77777777" w:rsidR="00E346AF" w:rsidRPr="008549D5" w:rsidRDefault="00E346AF" w:rsidP="00E346AF">
      <w:pPr>
        <w:spacing w:before="240"/>
        <w:rPr>
          <w:rFonts w:cs="Arial"/>
          <w:i/>
          <w:iCs/>
          <w:szCs w:val="22"/>
        </w:rPr>
      </w:pPr>
      <w:r w:rsidRPr="008549D5">
        <w:rPr>
          <w:rFonts w:cs="Arial"/>
          <w:i/>
          <w:iCs/>
          <w:szCs w:val="22"/>
        </w:rPr>
        <w:t>Prescribers</w:t>
      </w:r>
    </w:p>
    <w:p w14:paraId="03FAACBD" w14:textId="66576B71" w:rsidR="00E346AF" w:rsidRDefault="00E346AF" w:rsidP="00E346AF">
      <w:pPr>
        <w:pStyle w:val="Paragraphtext"/>
      </w:pPr>
      <w:r>
        <w:t>It is recommended to e</w:t>
      </w:r>
      <w:r w:rsidRPr="008549D5">
        <w:t>nable all PBS approved prescribers to prescribe eligible prescriptions via PRA</w:t>
      </w:r>
      <w:r>
        <w:t>s</w:t>
      </w:r>
      <w:r w:rsidRPr="008549D5">
        <w:t xml:space="preserve">, </w:t>
      </w:r>
      <w:r>
        <w:t xml:space="preserve">i.e. </w:t>
      </w:r>
      <w:r w:rsidRPr="00B9678A">
        <w:t xml:space="preserve">doctors, dentists, optometrists, midwives, and nurse practitioners subject to individual jurisdiction regulation. </w:t>
      </w:r>
      <w:r w:rsidR="00E83849">
        <w:t xml:space="preserve">Words to the effect of allowing all approved PBS prescribers, without quantifying which prescribers, to prescribe to all eligible patients would allow for any future changes in PBS prescribers to be incorporated in the PRA without the need to amend the PRA. </w:t>
      </w:r>
    </w:p>
    <w:p w14:paraId="1CA4638F" w14:textId="4A238350" w:rsidR="00E346AF" w:rsidRDefault="00E346AF" w:rsidP="00E346AF">
      <w:pPr>
        <w:spacing w:before="240"/>
        <w:rPr>
          <w:rFonts w:cs="Arial"/>
          <w:i/>
          <w:iCs/>
          <w:szCs w:val="22"/>
        </w:rPr>
      </w:pPr>
      <w:bookmarkStart w:id="37" w:name="_Hlk121386506"/>
      <w:r w:rsidRPr="008549D5">
        <w:rPr>
          <w:rFonts w:cs="Arial"/>
          <w:i/>
          <w:iCs/>
          <w:szCs w:val="22"/>
        </w:rPr>
        <w:t>Harmonisation / Activity based funding</w:t>
      </w:r>
    </w:p>
    <w:p w14:paraId="74ED0A95" w14:textId="74D93376" w:rsidR="0093715B" w:rsidRDefault="0093715B" w:rsidP="0093715B">
      <w:pPr>
        <w:pStyle w:val="Paragraphtext"/>
      </w:pPr>
      <w:r>
        <w:t xml:space="preserve">The request to harmonise </w:t>
      </w:r>
      <w:r w:rsidR="00E32220">
        <w:t>the fees and marks between community pharmacies and hospital pharmacies has several considerations that impact the validity of this request. T</w:t>
      </w:r>
      <w:r w:rsidR="00E32220">
        <w:rPr>
          <w:lang w:eastAsia="en-AU"/>
        </w:rPr>
        <w:t xml:space="preserve">he fees to community pharmacies are designed to ensure the viability of community pharmacies in accessible retail settings. It is one of the mechanisms </w:t>
      </w:r>
      <w:r w:rsidR="00CF4037">
        <w:rPr>
          <w:lang w:eastAsia="en-AU"/>
        </w:rPr>
        <w:t xml:space="preserve">by which </w:t>
      </w:r>
      <w:r w:rsidR="00E32220">
        <w:rPr>
          <w:lang w:eastAsia="en-AU"/>
        </w:rPr>
        <w:t xml:space="preserve">the Commonwealth ensures that a pillar of the </w:t>
      </w:r>
      <w:r w:rsidR="00E32220" w:rsidRPr="00E32220">
        <w:rPr>
          <w:lang w:eastAsia="en-AU"/>
        </w:rPr>
        <w:t>National Medicines Policy</w:t>
      </w:r>
      <w:r w:rsidR="00E32220">
        <w:rPr>
          <w:lang w:eastAsia="en-AU"/>
        </w:rPr>
        <w:t xml:space="preserve">, </w:t>
      </w:r>
      <w:r w:rsidR="00E32220" w:rsidRPr="00E32220">
        <w:rPr>
          <w:lang w:eastAsia="en-AU"/>
        </w:rPr>
        <w:t>ensur</w:t>
      </w:r>
      <w:r w:rsidR="00E32220">
        <w:rPr>
          <w:lang w:eastAsia="en-AU"/>
        </w:rPr>
        <w:t>ing</w:t>
      </w:r>
      <w:r w:rsidR="00E32220" w:rsidRPr="00E32220">
        <w:rPr>
          <w:lang w:eastAsia="en-AU"/>
        </w:rPr>
        <w:t xml:space="preserve"> Australians have equal and affordable access to medicines</w:t>
      </w:r>
      <w:r w:rsidR="00E32220">
        <w:rPr>
          <w:lang w:eastAsia="en-AU"/>
        </w:rPr>
        <w:t xml:space="preserve">, is maintained. </w:t>
      </w:r>
      <w:r w:rsidR="00E32220" w:rsidRPr="008549D5">
        <w:rPr>
          <w:lang w:eastAsia="en-AU"/>
        </w:rPr>
        <w:t>As such it would not be appropriate to pass th</w:t>
      </w:r>
      <w:r w:rsidR="00E32220">
        <w:rPr>
          <w:lang w:eastAsia="en-AU"/>
        </w:rPr>
        <w:t xml:space="preserve">e </w:t>
      </w:r>
      <w:r w:rsidR="00E32220" w:rsidRPr="00E32220">
        <w:rPr>
          <w:lang w:eastAsia="en-AU"/>
        </w:rPr>
        <w:t>Administration, Handling and Infrastructure (AHI) fees</w:t>
      </w:r>
      <w:r w:rsidR="00E32220">
        <w:rPr>
          <w:lang w:eastAsia="en-AU"/>
        </w:rPr>
        <w:t xml:space="preserve"> </w:t>
      </w:r>
      <w:r w:rsidR="00E32220" w:rsidRPr="008549D5">
        <w:rPr>
          <w:lang w:eastAsia="en-AU"/>
        </w:rPr>
        <w:t>onto public hospital pharmacies where the Commonwealth is not responsible for ensuring the viability of the pharmacy</w:t>
      </w:r>
      <w:r w:rsidR="00E32220">
        <w:rPr>
          <w:lang w:eastAsia="en-AU"/>
        </w:rPr>
        <w:t xml:space="preserve"> as this remains the remit of jurisdictions.</w:t>
      </w:r>
      <w:r w:rsidR="00E111F9">
        <w:rPr>
          <w:lang w:eastAsia="en-AU"/>
        </w:rPr>
        <w:t xml:space="preserve"> It should be noted that </w:t>
      </w:r>
      <w:r w:rsidR="00E111F9">
        <w:t>the NHRA does allow public hospitals to charge patients a fee for pharmaceuticals at a level consistent with PBS statutory co-payments.</w:t>
      </w:r>
    </w:p>
    <w:p w14:paraId="0B6D52DA" w14:textId="2F288860" w:rsidR="0093715B" w:rsidRPr="008549D5" w:rsidRDefault="00E32220" w:rsidP="0093715B">
      <w:pPr>
        <w:pStyle w:val="Paragraphtext"/>
      </w:pPr>
      <w:r>
        <w:t>It should be noted that c</w:t>
      </w:r>
      <w:r w:rsidR="0093715B" w:rsidRPr="008549D5">
        <w:t xml:space="preserve">onsideration of </w:t>
      </w:r>
      <w:r w:rsidR="0093715B">
        <w:t xml:space="preserve">all </w:t>
      </w:r>
      <w:r w:rsidR="0093715B" w:rsidRPr="008549D5">
        <w:t>the costs involved in dispensing these medicines is</w:t>
      </w:r>
      <w:r w:rsidR="0093715B">
        <w:t xml:space="preserve"> currently</w:t>
      </w:r>
      <w:r w:rsidR="0093715B" w:rsidRPr="008549D5">
        <w:t xml:space="preserve"> factored into hospital funding</w:t>
      </w:r>
      <w:r w:rsidR="0093715B">
        <w:t>,</w:t>
      </w:r>
      <w:r w:rsidR="0093715B" w:rsidRPr="008549D5">
        <w:t xml:space="preserve"> in that </w:t>
      </w:r>
      <w:r w:rsidR="0093715B" w:rsidRPr="00C125C5">
        <w:t xml:space="preserve">the </w:t>
      </w:r>
      <w:bookmarkStart w:id="38" w:name="_Hlk126572109"/>
      <w:r w:rsidR="0093715B" w:rsidRPr="00C125C5">
        <w:t>Independent Health and Aged Care Pricing Authority (IHACPA)</w:t>
      </w:r>
      <w:bookmarkEnd w:id="38"/>
      <w:r w:rsidR="0093715B" w:rsidRPr="008549D5">
        <w:t xml:space="preserve"> collects information for the National Hospital Cost Data Collection (NHCDC), which </w:t>
      </w:r>
      <w:bookmarkStart w:id="39" w:name="_Hlk126577040"/>
      <w:r w:rsidR="0093715B" w:rsidRPr="008549D5">
        <w:t>provides a detailed breakdown of the actual costs experienced by public hospitals in the delivery of hospital services</w:t>
      </w:r>
      <w:bookmarkEnd w:id="39"/>
      <w:r w:rsidR="0093715B">
        <w:rPr>
          <w:rStyle w:val="FootnoteReference"/>
        </w:rPr>
        <w:footnoteReference w:id="9"/>
      </w:r>
      <w:r w:rsidR="0093715B" w:rsidRPr="008549D5">
        <w:t>. One of the categories of cost that is collected in the NHCDC is the pharmacy sub-costs related to the costs of delivering public hospital services, which is defined as:</w:t>
      </w:r>
    </w:p>
    <w:p w14:paraId="7C1039FA" w14:textId="77777777" w:rsidR="0093715B" w:rsidRPr="008549D5" w:rsidRDefault="0093715B" w:rsidP="0093715B">
      <w:pPr>
        <w:spacing w:before="120" w:after="60"/>
        <w:ind w:left="720"/>
        <w:jc w:val="both"/>
        <w:rPr>
          <w:rFonts w:cs="Arial"/>
          <w:szCs w:val="22"/>
        </w:rPr>
      </w:pPr>
      <w:r w:rsidRPr="008549D5">
        <w:rPr>
          <w:rFonts w:cs="Arial"/>
          <w:i/>
          <w:iCs/>
          <w:szCs w:val="22"/>
        </w:rPr>
        <w:t>Pharmacy costs are goods and services used in the provision of a pharmaceutical service and consumables or the actual cost as billed by a provider. They include the purchase, production, distribution, supply and storage of drug products and clinical pharmacy services of both Pharmaceutical Benefits Scheme (PBS) reimbursed pharmaceuticals and PBS non–reimbursed pharmaceuticals. This includes the cost of pharmacy staff</w:t>
      </w:r>
      <w:r w:rsidRPr="008549D5">
        <w:rPr>
          <w:rFonts w:cs="Arial"/>
          <w:szCs w:val="22"/>
        </w:rPr>
        <w:t>.</w:t>
      </w:r>
    </w:p>
    <w:p w14:paraId="158D2249" w14:textId="291A2564" w:rsidR="0093715B" w:rsidRDefault="0093715B" w:rsidP="0093715B">
      <w:pPr>
        <w:pStyle w:val="Paragraphtext"/>
        <w:rPr>
          <w:lang w:eastAsia="en-AU"/>
        </w:rPr>
      </w:pPr>
      <w:r w:rsidRPr="008549D5">
        <w:t xml:space="preserve">This sub-cost is then further divided into direct pharmaceutical costs (which are mostly the cost of the medicines) and overheads pharmaceutical costs (which are mostly the cost of staff and storage). The NHRA operates in such a way as the total cost of actually delivering public hospital services gets factored into the setting of the National Efficient Price to be paid </w:t>
      </w:r>
      <w:r w:rsidRPr="008549D5">
        <w:rPr>
          <w:lang w:eastAsia="en-AU"/>
        </w:rPr>
        <w:t>for the future delivery of public hospital services. Therefore the actual costs of operating a public hospital pharmacy will be picked up and incorporated into the Commonwealth’s future contribut</w:t>
      </w:r>
      <w:r w:rsidR="00CF4037">
        <w:rPr>
          <w:lang w:eastAsia="en-AU"/>
        </w:rPr>
        <w:t>ions</w:t>
      </w:r>
      <w:r w:rsidRPr="008549D5">
        <w:rPr>
          <w:lang w:eastAsia="en-AU"/>
        </w:rPr>
        <w:t xml:space="preserve"> to the states and territories under the pricing mechanisms of the NHRA. </w:t>
      </w:r>
      <w:r>
        <w:rPr>
          <w:lang w:eastAsia="en-AU"/>
        </w:rPr>
        <w:t>As such, changes to fee structures sit outside the scope of th</w:t>
      </w:r>
      <w:r w:rsidR="00CF4037">
        <w:rPr>
          <w:lang w:eastAsia="en-AU"/>
        </w:rPr>
        <w:t>is</w:t>
      </w:r>
      <w:r>
        <w:rPr>
          <w:lang w:eastAsia="en-AU"/>
        </w:rPr>
        <w:t xml:space="preserve"> review. </w:t>
      </w:r>
      <w:r w:rsidR="007E6927">
        <w:rPr>
          <w:lang w:eastAsia="en-AU"/>
        </w:rPr>
        <w:t>Any activity based funding for clinical services provided by hospital pharmacies is outside the remit of this review and should be address</w:t>
      </w:r>
      <w:r w:rsidR="00CF4037">
        <w:rPr>
          <w:lang w:eastAsia="en-AU"/>
        </w:rPr>
        <w:t>ed</w:t>
      </w:r>
      <w:r w:rsidR="007E6927">
        <w:rPr>
          <w:lang w:eastAsia="en-AU"/>
        </w:rPr>
        <w:t xml:space="preserve"> through NHRA processes.</w:t>
      </w:r>
    </w:p>
    <w:bookmarkEnd w:id="37"/>
    <w:p w14:paraId="005C5843" w14:textId="77777777" w:rsidR="00E346AF" w:rsidRPr="0097068E" w:rsidRDefault="00E346AF" w:rsidP="00106734">
      <w:pPr>
        <w:keepNext/>
        <w:spacing w:before="240"/>
        <w:rPr>
          <w:rFonts w:cs="Arial"/>
          <w:i/>
          <w:iCs/>
          <w:szCs w:val="22"/>
        </w:rPr>
      </w:pPr>
      <w:r w:rsidRPr="0097068E">
        <w:rPr>
          <w:rFonts w:cs="Arial"/>
          <w:i/>
          <w:iCs/>
          <w:szCs w:val="22"/>
        </w:rPr>
        <w:lastRenderedPageBreak/>
        <w:t>Risk-share arrangements</w:t>
      </w:r>
    </w:p>
    <w:p w14:paraId="71B2BDE8" w14:textId="77777777" w:rsidR="00E346AF" w:rsidRPr="00290CE5" w:rsidRDefault="00E346AF" w:rsidP="00E346AF">
      <w:pPr>
        <w:pStyle w:val="Paragraphtext"/>
      </w:pPr>
      <w:r w:rsidRPr="00607E56">
        <w:t>During the initial negotiations of P</w:t>
      </w:r>
      <w:r>
        <w:t>RAs</w:t>
      </w:r>
      <w:r w:rsidRPr="00607E56">
        <w:t xml:space="preserve"> there was a perceived risk of a considerable growth in the overall cost of the PBS due to prescribing and dispensing PBS medicines through public hospitals.</w:t>
      </w:r>
      <w:r>
        <w:t xml:space="preserve"> </w:t>
      </w:r>
      <w:r w:rsidRPr="00951C50">
        <w:t>Current PRAs include risk sharing arrangements</w:t>
      </w:r>
      <w:r>
        <w:t xml:space="preserve"> (RSA)</w:t>
      </w:r>
      <w:r w:rsidRPr="00951C50">
        <w:t>, whereby</w:t>
      </w:r>
      <w:r w:rsidRPr="000C658E">
        <w:t xml:space="preserve"> the Commonwealth and PRA states and territories share the risk of high growth in hospital prescribed PBS medications, including </w:t>
      </w:r>
      <w:r w:rsidRPr="00290CE5">
        <w:t xml:space="preserve">s100 chemotherapy medications supplied to non-admitted patients and discharged patients. </w:t>
      </w:r>
    </w:p>
    <w:p w14:paraId="712C56A1" w14:textId="77777777" w:rsidR="00E346AF" w:rsidRPr="00290CE5" w:rsidRDefault="00E346AF" w:rsidP="00E346AF">
      <w:pPr>
        <w:pStyle w:val="Paragraphtext"/>
      </w:pPr>
      <w:r w:rsidRPr="00290CE5">
        <w:t>The RSAs contained a ceiling which was to set a level of expenditure, which if reached, would activate risk sharing arrangements, resulting in shared cost between the state/territor</w:t>
      </w:r>
      <w:r>
        <w:t>y</w:t>
      </w:r>
      <w:r w:rsidRPr="00290CE5">
        <w:t xml:space="preserve"> and the </w:t>
      </w:r>
      <w:r>
        <w:t>Commonwealth</w:t>
      </w:r>
      <w:r w:rsidRPr="00290CE5">
        <w:t xml:space="preserve">. These ceilings were indexed on an annual basis based on the performance of the jurisdiction in the previous year. The indexation of the PBS expenditure is linked to the overall growth of the PBS excluding the S100 program drugs. Cost saving measures implemented to the PBS over the years have slowed the growth of overall PBS expenditure (particularly when the average cost of S100 medicines generally higher than the general schedule medicines). </w:t>
      </w:r>
    </w:p>
    <w:p w14:paraId="4D04558D" w14:textId="77777777" w:rsidR="00E346AF" w:rsidRDefault="00E346AF" w:rsidP="00E346AF">
      <w:pPr>
        <w:pStyle w:val="Paragraphtext"/>
      </w:pPr>
      <w:r w:rsidRPr="00607E56">
        <w:t>The current RSAs have never been enacted. In 2016, there was a high risk the caps would be breached by jurisdictions due to the listing of the Hepatitis C medicines on the PBS, as these cost over $20,000 per treatment when first listed</w:t>
      </w:r>
      <w:r>
        <w:t>,</w:t>
      </w:r>
      <w:r w:rsidRPr="00607E56">
        <w:t xml:space="preserve"> with expenditure in the first 6 months of listing exceeding $2 Billion dollars. The proportion of hospital prescribing and dispensing is not available but inclusion of these costs in the RSA cap calculations would have greatly exceeded the caps and was not the intention of the Commonwealth.</w:t>
      </w:r>
      <w:r>
        <w:t xml:space="preserve"> </w:t>
      </w:r>
      <w:r w:rsidRPr="00607E56">
        <w:t xml:space="preserve">These medicines were removed from the expenditure calculations for the RSA. </w:t>
      </w:r>
    </w:p>
    <w:p w14:paraId="3A52CDD3" w14:textId="77FAF7B4" w:rsidR="00E346AF" w:rsidRPr="00607E56" w:rsidRDefault="00E346AF" w:rsidP="00E346AF">
      <w:pPr>
        <w:pStyle w:val="Paragraphtext"/>
      </w:pPr>
      <w:r w:rsidRPr="00607E56">
        <w:t>The major contributor to increases seen in payments made to public hospitals has been through a steep increase in S100 EFC claims fr</w:t>
      </w:r>
      <w:r>
        <w:t>o</w:t>
      </w:r>
      <w:r w:rsidRPr="00607E56">
        <w:t>m 2016-17 onwards</w:t>
      </w:r>
      <w:r>
        <w:t>, as seen in Figure 2</w:t>
      </w:r>
      <w:r w:rsidRPr="00607E56">
        <w:t xml:space="preserve">. As such the RSA component of the current PRA is redundant as it is not managing any real risk to the Commonwealth Budget and </w:t>
      </w:r>
      <w:r w:rsidR="00FC11B2">
        <w:t xml:space="preserve">it is recommended that it </w:t>
      </w:r>
      <w:r w:rsidRPr="00607E56">
        <w:t xml:space="preserve">should </w:t>
      </w:r>
      <w:r>
        <w:t>not be part of</w:t>
      </w:r>
      <w:r w:rsidRPr="00607E56">
        <w:t xml:space="preserve"> any new PRA negotiations. </w:t>
      </w:r>
    </w:p>
    <w:p w14:paraId="15AEFC0F" w14:textId="77777777" w:rsidR="00E346AF" w:rsidRPr="008549D5" w:rsidRDefault="00E346AF" w:rsidP="00E346AF">
      <w:pPr>
        <w:spacing w:before="240"/>
        <w:rPr>
          <w:rFonts w:cs="Arial"/>
          <w:i/>
          <w:iCs/>
          <w:szCs w:val="22"/>
        </w:rPr>
      </w:pPr>
      <w:r w:rsidRPr="008549D5">
        <w:rPr>
          <w:rFonts w:cs="Arial"/>
          <w:i/>
          <w:iCs/>
          <w:szCs w:val="22"/>
        </w:rPr>
        <w:t>Digital health / ePrescribing</w:t>
      </w:r>
    </w:p>
    <w:p w14:paraId="75088E35" w14:textId="44BEF1EB" w:rsidR="00E346AF" w:rsidRDefault="007000ED" w:rsidP="00E346AF">
      <w:pPr>
        <w:pStyle w:val="Paragraphtext"/>
        <w:rPr>
          <w:lang w:eastAsia="en-AU"/>
        </w:rPr>
      </w:pPr>
      <w:r>
        <w:rPr>
          <w:lang w:eastAsia="en-AU"/>
        </w:rPr>
        <w:t xml:space="preserve">Jurisdictions should be encouraged to continue moving towards </w:t>
      </w:r>
      <w:r w:rsidR="00E346AF" w:rsidRPr="008549D5">
        <w:rPr>
          <w:lang w:eastAsia="en-AU"/>
        </w:rPr>
        <w:t xml:space="preserve">a digital health model in </w:t>
      </w:r>
      <w:r>
        <w:rPr>
          <w:lang w:eastAsia="en-AU"/>
        </w:rPr>
        <w:t xml:space="preserve">all </w:t>
      </w:r>
      <w:r w:rsidR="00E346AF" w:rsidRPr="008549D5">
        <w:rPr>
          <w:lang w:eastAsia="en-AU"/>
        </w:rPr>
        <w:t>public hospital</w:t>
      </w:r>
      <w:r>
        <w:rPr>
          <w:lang w:eastAsia="en-AU"/>
        </w:rPr>
        <w:t>s</w:t>
      </w:r>
      <w:r w:rsidR="00F26CD6">
        <w:rPr>
          <w:lang w:eastAsia="en-AU"/>
        </w:rPr>
        <w:t>. The shift to a digital health model should be holistic in nature to harness the unique situation where multiple disciplines of medical professionals are able to work collaboratively within a hospital setting. This would include medical interns, residents, registrars and consultants along with nurses and clinical pharmacists working collaboratively to chart and review individual records to ensure accuracy and to lessen the chances of mis-prescribing of medicines. The move to a digital based health record and chart</w:t>
      </w:r>
      <w:r w:rsidR="00E9540B">
        <w:rPr>
          <w:lang w:eastAsia="en-AU"/>
        </w:rPr>
        <w:t>ing model</w:t>
      </w:r>
      <w:r w:rsidR="00F26CD6">
        <w:rPr>
          <w:lang w:eastAsia="en-AU"/>
        </w:rPr>
        <w:t xml:space="preserve"> with</w:t>
      </w:r>
      <w:r w:rsidR="00E9540B">
        <w:rPr>
          <w:lang w:eastAsia="en-AU"/>
        </w:rPr>
        <w:t>in</w:t>
      </w:r>
      <w:r w:rsidR="00F26CD6">
        <w:rPr>
          <w:lang w:eastAsia="en-AU"/>
        </w:rPr>
        <w:t xml:space="preserve"> the hos</w:t>
      </w:r>
      <w:r w:rsidR="00E9540B">
        <w:rPr>
          <w:lang w:eastAsia="en-AU"/>
        </w:rPr>
        <w:t xml:space="preserve">pital system should also include a switch to </w:t>
      </w:r>
      <w:r w:rsidR="00E346AF" w:rsidRPr="008549D5">
        <w:rPr>
          <w:lang w:eastAsia="en-AU"/>
        </w:rPr>
        <w:t>ePrescribing a</w:t>
      </w:r>
      <w:r w:rsidR="00E9540B">
        <w:rPr>
          <w:lang w:eastAsia="en-AU"/>
        </w:rPr>
        <w:t>s</w:t>
      </w:r>
      <w:r w:rsidR="005F15B2">
        <w:rPr>
          <w:lang w:eastAsia="en-AU"/>
        </w:rPr>
        <w:t xml:space="preserve"> a</w:t>
      </w:r>
      <w:r w:rsidR="00E346AF" w:rsidRPr="008549D5">
        <w:rPr>
          <w:lang w:eastAsia="en-AU"/>
        </w:rPr>
        <w:t xml:space="preserve"> key component of this model. ePrescribing </w:t>
      </w:r>
      <w:r w:rsidR="00E9540B">
        <w:rPr>
          <w:lang w:eastAsia="en-AU"/>
        </w:rPr>
        <w:t xml:space="preserve">as an output of the collaborative charting process above </w:t>
      </w:r>
      <w:r w:rsidR="00E346AF" w:rsidRPr="008549D5">
        <w:rPr>
          <w:lang w:eastAsia="en-AU"/>
        </w:rPr>
        <w:t xml:space="preserve">will most likely lessen instances of incorrect dispensing at the pharmacy level for both the hospital and hospital issued </w:t>
      </w:r>
      <w:r w:rsidR="00E346AF">
        <w:rPr>
          <w:lang w:eastAsia="en-AU"/>
        </w:rPr>
        <w:t>prescriptions</w:t>
      </w:r>
      <w:r w:rsidR="00E346AF" w:rsidRPr="008549D5">
        <w:rPr>
          <w:lang w:eastAsia="en-AU"/>
        </w:rPr>
        <w:t xml:space="preserve"> dispensed in a community pharmacy. </w:t>
      </w:r>
      <w:r w:rsidR="00E9540B">
        <w:rPr>
          <w:lang w:eastAsia="en-AU"/>
        </w:rPr>
        <w:t>T</w:t>
      </w:r>
      <w:r w:rsidR="00E346AF" w:rsidRPr="008549D5">
        <w:rPr>
          <w:lang w:eastAsia="en-AU"/>
        </w:rPr>
        <w:t>he uptake of this initiative should be encouraged in each jurisdiction</w:t>
      </w:r>
      <w:r w:rsidR="00E9540B">
        <w:rPr>
          <w:lang w:eastAsia="en-AU"/>
        </w:rPr>
        <w:t xml:space="preserve"> and</w:t>
      </w:r>
      <w:r w:rsidR="00E346AF" w:rsidRPr="008549D5">
        <w:rPr>
          <w:lang w:eastAsia="en-AU"/>
        </w:rPr>
        <w:t xml:space="preserve"> it is recommended that this be included in future PRAs as </w:t>
      </w:r>
      <w:r w:rsidR="00E9540B">
        <w:rPr>
          <w:lang w:eastAsia="en-AU"/>
        </w:rPr>
        <w:t>commitment by jurisdictions as current</w:t>
      </w:r>
      <w:r w:rsidR="00E346AF" w:rsidRPr="008549D5">
        <w:rPr>
          <w:lang w:eastAsia="en-AU"/>
        </w:rPr>
        <w:t xml:space="preserve"> best practice and </w:t>
      </w:r>
      <w:r w:rsidR="00E9540B">
        <w:rPr>
          <w:lang w:eastAsia="en-AU"/>
        </w:rPr>
        <w:t xml:space="preserve">include capacity for this to be </w:t>
      </w:r>
      <w:r w:rsidR="00E346AF" w:rsidRPr="008549D5">
        <w:rPr>
          <w:lang w:eastAsia="en-AU"/>
        </w:rPr>
        <w:t>replaced by newer more rigorous models during the life of the PRA.</w:t>
      </w:r>
    </w:p>
    <w:p w14:paraId="64448163" w14:textId="77777777" w:rsidR="00E346AF" w:rsidRPr="008549D5" w:rsidRDefault="00E346AF" w:rsidP="00E346AF">
      <w:pPr>
        <w:pStyle w:val="Paragraphtext"/>
        <w:rPr>
          <w:lang w:eastAsia="en-AU"/>
        </w:rPr>
      </w:pPr>
    </w:p>
    <w:p w14:paraId="33248FCD" w14:textId="77777777" w:rsidR="00E346AF" w:rsidRDefault="00E346AF" w:rsidP="00E346AF">
      <w:pPr>
        <w:rPr>
          <w:rFonts w:cs="Arial"/>
          <w:sz w:val="21"/>
          <w:szCs w:val="21"/>
        </w:rPr>
      </w:pPr>
      <w:r w:rsidRPr="00EA5BF2">
        <w:rPr>
          <w:rFonts w:cs="Arial"/>
          <w:noProof/>
          <w:szCs w:val="22"/>
        </w:rPr>
        <w:lastRenderedPageBreak/>
        <mc:AlternateContent>
          <mc:Choice Requires="wps">
            <w:drawing>
              <wp:inline distT="0" distB="0" distL="0" distR="0" wp14:anchorId="59331EEC" wp14:editId="19362BD0">
                <wp:extent cx="5721350" cy="1404620"/>
                <wp:effectExtent l="0" t="0" r="12700" b="1651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chemeClr val="accent2"/>
                          </a:solidFill>
                          <a:miter lim="800000"/>
                          <a:headEnd/>
                          <a:tailEnd/>
                        </a:ln>
                      </wps:spPr>
                      <wps:txbx>
                        <w:txbxContent>
                          <w:p w14:paraId="64E67755" w14:textId="1F219226"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fldChar w:fldCharType="begin"/>
                            </w:r>
                            <w:r>
                              <w:rPr>
                                <w:color w:val="3F4A75" w:themeColor="accent1"/>
                              </w:rPr>
                              <w:instrText xml:space="preserve"> REF _Ref109129178 \h  \* MERGEFORMAT </w:instrText>
                            </w:r>
                            <w:r>
                              <w:rPr>
                                <w:color w:val="3F4A75" w:themeColor="accent1"/>
                              </w:rPr>
                            </w:r>
                            <w:r>
                              <w:rPr>
                                <w:color w:val="3F4A75" w:themeColor="accent1"/>
                              </w:rPr>
                              <w:fldChar w:fldCharType="separate"/>
                            </w:r>
                            <w:r w:rsidR="00254675" w:rsidRPr="00254675">
                              <w:rPr>
                                <w:color w:val="3F4A75" w:themeColor="accent1"/>
                              </w:rPr>
                              <w:t>Building and maintaining a quality hospital pharmacy program</w:t>
                            </w:r>
                            <w:r>
                              <w:rPr>
                                <w:color w:val="3F4A75" w:themeColor="accent1"/>
                              </w:rPr>
                              <w:fldChar w:fldCharType="end"/>
                            </w:r>
                          </w:p>
                          <w:p w14:paraId="787CDA55" w14:textId="461AF423" w:rsidR="00E346AF" w:rsidRDefault="00E346AF" w:rsidP="00E346AF">
                            <w:pPr>
                              <w:pStyle w:val="ListParagraph"/>
                              <w:numPr>
                                <w:ilvl w:val="0"/>
                                <w:numId w:val="42"/>
                              </w:numPr>
                            </w:pPr>
                            <w:r>
                              <w:t>Allow all eligible prescribers under PRAs.</w:t>
                            </w:r>
                          </w:p>
                          <w:p w14:paraId="1314B969" w14:textId="6F0832AB" w:rsidR="00E9540B" w:rsidRDefault="00E9540B" w:rsidP="00E346AF">
                            <w:pPr>
                              <w:pStyle w:val="ListParagraph"/>
                              <w:numPr>
                                <w:ilvl w:val="0"/>
                                <w:numId w:val="42"/>
                              </w:numPr>
                            </w:pPr>
                            <w:r>
                              <w:t>Include reference to a move to digital health re</w:t>
                            </w:r>
                            <w:r w:rsidR="00EC533E">
                              <w:t xml:space="preserve">cords and </w:t>
                            </w:r>
                            <w:r w:rsidR="000B1B4D" w:rsidRPr="008549D5">
                              <w:rPr>
                                <w:lang w:eastAsia="en-AU"/>
                              </w:rPr>
                              <w:t xml:space="preserve">ePrescribing </w:t>
                            </w:r>
                          </w:p>
                        </w:txbxContent>
                      </wps:txbx>
                      <wps:bodyPr rot="0" vert="horz" wrap="square" lIns="91440" tIns="45720" rIns="91440" bIns="45720" anchor="t" anchorCtr="0">
                        <a:spAutoFit/>
                      </wps:bodyPr>
                    </wps:wsp>
                  </a:graphicData>
                </a:graphic>
              </wp:inline>
            </w:drawing>
          </mc:Choice>
          <mc:Fallback>
            <w:pict>
              <v:shape w14:anchorId="59331EEC" id="Text Box 8" o:spid="_x0000_s1028" type="#_x0000_t202" style="width:45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3wGwIAACoEAAAOAAAAZHJzL2Uyb0RvYy54bWysU9tu2zAMfR+wfxD0vtjxkq414hRdugwD&#10;ugvQ7QNkWY6FyaJGKbG7rx8lp2nW7WmYHgRRlA7Jw8PV9dgbdlDoNdiKz2c5Z8pKaLTdVfzb1+2r&#10;S858ELYRBqyq+IPy/Hr98sVqcKUqoAPTKGQEYn05uIp3Ibgyy7zsVC/8DJyy5GwBexHIxF3WoBgI&#10;vTdZkecX2QDYOASpvKfb28nJ1wm/bZUMn9vWq8BMxSm3kHZMex33bL0S5Q6F67Q8piH+IYteaEtB&#10;T1C3Igi2R/0HVK8lgoc2zCT0GbStlirVQNXM82fV3HfCqVQLkePdiSb//2Dlp8O9+4IsjG9hpAam&#10;Iry7A/ndMwubTtidukGEoVOiocDzSFk2OF8ev0aqfekjSD18hIaaLPYBEtDYYh9ZoToZoVMDHk6k&#10;qzEwSZfLN8X89ZJcknzzRb64KFJbMlE+fnfow3sFPYuHiiN1NcGLw50PMR1RPj6J0TwY3Wy1McnA&#10;Xb0xyA6CFLBNK1Xw7JmxbKj41bJYTgz8BhHFqE4gQkplQ/E3lF4HUrPRfcUv87gmfUXq3tkmaS0I&#10;baYzZW3skctI30RkGOuR6abiKUCktobmgchFmMRLw0aHDvAnZwMJt+L+x16g4sx8sNSgq/liEZWe&#10;jAWxSwaee+pzj7CSoCoeOJuOm5CmI1HnbqiRW50ofsrkmDIJMjF/HJ6o+HM7vXoa8fUvAAAA//8D&#10;AFBLAwQUAAYACAAAACEARGunftYAAAAFAQAADwAAAGRycy9kb3ducmV2LnhtbEyPwU7DMBBE70j8&#10;g7VIXBC1kwOiIU6FKnqHwAds420SsNdR7LaBr2fhApeVRrOaeVNvluDVieY0RrZQrAwo4i66kXsL&#10;b6+723tQKSM79JHJwicl2DSXFzVWLp75hU5t7pWEcKrQwpDzVGmduoECplWciMU7xDlgFjn32s14&#10;lvDgdWnMnQ44sjQMONF2oO6jPQYpmduYD94g+/ddx1/ebG+en6y9vloeH0BlWvLfM/zgCzo0wrSP&#10;R3ZJeQsyJP9e8damELm3UJZFCbqp9X/65hsAAP//AwBQSwECLQAUAAYACAAAACEAtoM4kv4AAADh&#10;AQAAEwAAAAAAAAAAAAAAAAAAAAAAW0NvbnRlbnRfVHlwZXNdLnhtbFBLAQItABQABgAIAAAAIQA4&#10;/SH/1gAAAJQBAAALAAAAAAAAAAAAAAAAAC8BAABfcmVscy8ucmVsc1BLAQItABQABgAIAAAAIQDt&#10;qd3wGwIAACoEAAAOAAAAAAAAAAAAAAAAAC4CAABkcnMvZTJvRG9jLnhtbFBLAQItABQABgAIAAAA&#10;IQBEa6d+1gAAAAUBAAAPAAAAAAAAAAAAAAAAAHUEAABkcnMvZG93bnJldi54bWxQSwUGAAAAAAQA&#10;BADzAAAAeAUAAAAA&#10;" strokecolor="#358189 [3205]">
                <v:textbox style="mso-fit-shape-to-text:t">
                  <w:txbxContent>
                    <w:p w14:paraId="64E67755" w14:textId="1F219226"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fldChar w:fldCharType="begin"/>
                      </w:r>
                      <w:r>
                        <w:rPr>
                          <w:color w:val="3F4A75" w:themeColor="accent1"/>
                        </w:rPr>
                        <w:instrText xml:space="preserve"> REF _Ref109129178 \h  \* MERGEFORMAT </w:instrText>
                      </w:r>
                      <w:r>
                        <w:rPr>
                          <w:color w:val="3F4A75" w:themeColor="accent1"/>
                        </w:rPr>
                      </w:r>
                      <w:r>
                        <w:rPr>
                          <w:color w:val="3F4A75" w:themeColor="accent1"/>
                        </w:rPr>
                        <w:fldChar w:fldCharType="separate"/>
                      </w:r>
                      <w:r w:rsidR="00254675" w:rsidRPr="00254675">
                        <w:rPr>
                          <w:color w:val="3F4A75" w:themeColor="accent1"/>
                        </w:rPr>
                        <w:t>Building and maintaining a quality hospital pharmacy program</w:t>
                      </w:r>
                      <w:r>
                        <w:rPr>
                          <w:color w:val="3F4A75" w:themeColor="accent1"/>
                        </w:rPr>
                        <w:fldChar w:fldCharType="end"/>
                      </w:r>
                    </w:p>
                    <w:p w14:paraId="787CDA55" w14:textId="461AF423" w:rsidR="00E346AF" w:rsidRDefault="00E346AF" w:rsidP="00E346AF">
                      <w:pPr>
                        <w:pStyle w:val="ListParagraph"/>
                        <w:numPr>
                          <w:ilvl w:val="0"/>
                          <w:numId w:val="42"/>
                        </w:numPr>
                      </w:pPr>
                      <w:r>
                        <w:t>Allow all eligible prescribers under PRAs.</w:t>
                      </w:r>
                    </w:p>
                    <w:p w14:paraId="1314B969" w14:textId="6F0832AB" w:rsidR="00E9540B" w:rsidRDefault="00E9540B" w:rsidP="00E346AF">
                      <w:pPr>
                        <w:pStyle w:val="ListParagraph"/>
                        <w:numPr>
                          <w:ilvl w:val="0"/>
                          <w:numId w:val="42"/>
                        </w:numPr>
                      </w:pPr>
                      <w:r>
                        <w:t>Include reference to a move to digital health re</w:t>
                      </w:r>
                      <w:r w:rsidR="00EC533E">
                        <w:t xml:space="preserve">cords and </w:t>
                      </w:r>
                      <w:r w:rsidR="000B1B4D" w:rsidRPr="008549D5">
                        <w:rPr>
                          <w:lang w:eastAsia="en-AU"/>
                        </w:rPr>
                        <w:t xml:space="preserve">ePrescribing </w:t>
                      </w:r>
                    </w:p>
                  </w:txbxContent>
                </v:textbox>
                <w10:anchorlock/>
              </v:shape>
            </w:pict>
          </mc:Fallback>
        </mc:AlternateContent>
      </w:r>
    </w:p>
    <w:p w14:paraId="1CAD8756" w14:textId="1ABD76EE" w:rsidR="00E346AF" w:rsidRPr="006D0894" w:rsidRDefault="007000ED" w:rsidP="00E346AF">
      <w:pPr>
        <w:pStyle w:val="Heading2"/>
      </w:pPr>
      <w:r>
        <w:br w:type="column"/>
      </w:r>
      <w:bookmarkStart w:id="40" w:name="_Toc126595361"/>
      <w:r w:rsidR="00E346AF">
        <w:lastRenderedPageBreak/>
        <w:t>Transparency and accountability</w:t>
      </w:r>
      <w:bookmarkEnd w:id="40"/>
    </w:p>
    <w:p w14:paraId="6FB3CBA2" w14:textId="77777777" w:rsidR="00E346AF" w:rsidRPr="003545CC" w:rsidRDefault="00E346AF" w:rsidP="00E346AF">
      <w:pPr>
        <w:spacing w:before="240"/>
        <w:rPr>
          <w:rFonts w:cs="Arial"/>
          <w:i/>
          <w:iCs/>
          <w:szCs w:val="22"/>
        </w:rPr>
      </w:pPr>
      <w:r w:rsidRPr="008549D5">
        <w:rPr>
          <w:rFonts w:cs="Arial"/>
          <w:i/>
          <w:iCs/>
          <w:szCs w:val="22"/>
        </w:rPr>
        <w:t>Ongoing consultation</w:t>
      </w:r>
    </w:p>
    <w:p w14:paraId="5F980BF9" w14:textId="04C77276" w:rsidR="00E346AF" w:rsidRPr="008549D5" w:rsidRDefault="00E346AF" w:rsidP="00E346AF">
      <w:pPr>
        <w:pStyle w:val="Paragraphtext"/>
        <w:rPr>
          <w:lang w:eastAsia="en-AU"/>
        </w:rPr>
      </w:pPr>
      <w:r w:rsidRPr="008549D5">
        <w:rPr>
          <w:lang w:eastAsia="en-AU"/>
        </w:rPr>
        <w:t xml:space="preserve">Indicative support has been received from multiple stakeholders to enact 5 year agreements with </w:t>
      </w:r>
      <w:r w:rsidR="007000ED" w:rsidRPr="008549D5">
        <w:rPr>
          <w:lang w:eastAsia="en-AU"/>
        </w:rPr>
        <w:t>states and territories</w:t>
      </w:r>
      <w:r w:rsidR="007000ED">
        <w:rPr>
          <w:lang w:eastAsia="en-AU"/>
        </w:rPr>
        <w:t>,</w:t>
      </w:r>
      <w:r w:rsidRPr="008549D5">
        <w:rPr>
          <w:lang w:eastAsia="en-AU"/>
        </w:rPr>
        <w:t xml:space="preserve"> in line with the multilateral agreement recommendation above. This PRA would include a regular forum to discuss current PRAs and any changes that should be included either as addendums to the current agreement or for future agreements. </w:t>
      </w:r>
    </w:p>
    <w:p w14:paraId="67102EB0" w14:textId="167A9D82" w:rsidR="00E346AF" w:rsidRPr="008549D5" w:rsidRDefault="00E346AF" w:rsidP="00E346AF">
      <w:pPr>
        <w:pStyle w:val="Paragraphtext"/>
        <w:rPr>
          <w:lang w:eastAsia="en-AU"/>
        </w:rPr>
      </w:pPr>
      <w:r w:rsidRPr="008549D5">
        <w:rPr>
          <w:lang w:eastAsia="en-AU"/>
        </w:rPr>
        <w:t>Inclusion of programs</w:t>
      </w:r>
      <w:r w:rsidR="00972B0A">
        <w:rPr>
          <w:lang w:eastAsia="en-AU"/>
        </w:rPr>
        <w:t xml:space="preserve"> or policies</w:t>
      </w:r>
      <w:r w:rsidRPr="008549D5">
        <w:rPr>
          <w:lang w:eastAsia="en-AU"/>
        </w:rPr>
        <w:t xml:space="preserve"> in PRAs may be possible if there is a 5 year review/expiry on </w:t>
      </w:r>
      <w:r>
        <w:rPr>
          <w:lang w:eastAsia="en-AU"/>
        </w:rPr>
        <w:t xml:space="preserve">any </w:t>
      </w:r>
      <w:r w:rsidRPr="008549D5">
        <w:rPr>
          <w:lang w:eastAsia="en-AU"/>
        </w:rPr>
        <w:t xml:space="preserve">new PRA. This would apply to programs </w:t>
      </w:r>
      <w:r>
        <w:rPr>
          <w:lang w:eastAsia="en-AU"/>
        </w:rPr>
        <w:t>such as</w:t>
      </w:r>
      <w:r w:rsidRPr="008549D5">
        <w:rPr>
          <w:lang w:eastAsia="en-AU"/>
        </w:rPr>
        <w:t xml:space="preserve"> the biosimilar uptake driver initiative, as well as any other proposed new programs, as the review/replacement clauses would allow for the removal or replacement of specific programs on a regular basis.</w:t>
      </w:r>
    </w:p>
    <w:p w14:paraId="72DC10F8" w14:textId="77777777" w:rsidR="00E346AF" w:rsidRPr="008549D5" w:rsidRDefault="00E346AF" w:rsidP="00E346AF">
      <w:pPr>
        <w:spacing w:before="240"/>
        <w:rPr>
          <w:rFonts w:cs="Arial"/>
          <w:i/>
          <w:iCs/>
          <w:szCs w:val="22"/>
        </w:rPr>
      </w:pPr>
      <w:r w:rsidRPr="008549D5">
        <w:rPr>
          <w:rFonts w:cs="Arial"/>
          <w:i/>
          <w:iCs/>
          <w:szCs w:val="22"/>
        </w:rPr>
        <w:t>Governance issues</w:t>
      </w:r>
    </w:p>
    <w:p w14:paraId="7F83DDAB" w14:textId="77777777" w:rsidR="00E346AF" w:rsidRPr="008549D5" w:rsidRDefault="00E346AF" w:rsidP="00E346AF">
      <w:pPr>
        <w:pStyle w:val="Paragraphtext"/>
        <w:rPr>
          <w:lang w:eastAsia="en-AU"/>
        </w:rPr>
      </w:pPr>
      <w:r w:rsidRPr="008549D5">
        <w:rPr>
          <w:lang w:eastAsia="en-AU"/>
        </w:rPr>
        <w:t>As indicated above it is recommended that the current arrangements be replaced by a multilateral agreement with a defined end or review date. There should also be a requirement for regular formal consultation on aspects of the agreement with all signatories to keep the agreement as up to date as possible. These meeting</w:t>
      </w:r>
      <w:r>
        <w:rPr>
          <w:lang w:eastAsia="en-AU"/>
        </w:rPr>
        <w:t>s</w:t>
      </w:r>
      <w:r w:rsidRPr="008549D5">
        <w:rPr>
          <w:lang w:eastAsia="en-AU"/>
        </w:rPr>
        <w:t xml:space="preserve"> would also be an ideal forum in which to discuss and agree to any new Key </w:t>
      </w:r>
      <w:r>
        <w:rPr>
          <w:lang w:eastAsia="en-AU"/>
        </w:rPr>
        <w:t>P</w:t>
      </w:r>
      <w:r w:rsidRPr="008549D5">
        <w:rPr>
          <w:lang w:eastAsia="en-AU"/>
        </w:rPr>
        <w:t>erformance Measures (KP</w:t>
      </w:r>
      <w:r>
        <w:rPr>
          <w:lang w:eastAsia="en-AU"/>
        </w:rPr>
        <w:t>M</w:t>
      </w:r>
      <w:r w:rsidRPr="008549D5">
        <w:rPr>
          <w:lang w:eastAsia="en-AU"/>
        </w:rPr>
        <w:t>) that would indicate the value of the agreement to all stakeholders. There should be relevant dispute resolution clauses</w:t>
      </w:r>
      <w:r>
        <w:rPr>
          <w:lang w:eastAsia="en-AU"/>
        </w:rPr>
        <w:t xml:space="preserve"> </w:t>
      </w:r>
      <w:r w:rsidRPr="008549D5">
        <w:rPr>
          <w:lang w:eastAsia="en-AU"/>
        </w:rPr>
        <w:t>included in the agreement, similar to other Commonwealth agreements, which the current agreements do not contain. This would allow an avenue for dispute resolution for any aggrieved party with</w:t>
      </w:r>
      <w:r>
        <w:rPr>
          <w:lang w:eastAsia="en-AU"/>
        </w:rPr>
        <w:t>in</w:t>
      </w:r>
      <w:r w:rsidRPr="008549D5">
        <w:rPr>
          <w:lang w:eastAsia="en-AU"/>
        </w:rPr>
        <w:t xml:space="preserve"> the construct of the agreement.</w:t>
      </w:r>
    </w:p>
    <w:p w14:paraId="00DBF8C3" w14:textId="77777777" w:rsidR="00E346AF" w:rsidRPr="008549D5" w:rsidRDefault="00E346AF" w:rsidP="00E346AF">
      <w:pPr>
        <w:spacing w:before="240"/>
        <w:rPr>
          <w:rFonts w:cs="Arial"/>
          <w:i/>
          <w:iCs/>
          <w:szCs w:val="22"/>
        </w:rPr>
      </w:pPr>
      <w:r w:rsidRPr="008549D5">
        <w:rPr>
          <w:rFonts w:cs="Arial"/>
          <w:i/>
          <w:iCs/>
          <w:szCs w:val="22"/>
        </w:rPr>
        <w:t>KPM / evaluation</w:t>
      </w:r>
    </w:p>
    <w:p w14:paraId="11E30C43" w14:textId="77777777" w:rsidR="00E346AF" w:rsidRPr="008549D5" w:rsidRDefault="00E346AF" w:rsidP="00E346AF">
      <w:pPr>
        <w:pStyle w:val="Paragraphtext"/>
        <w:rPr>
          <w:lang w:eastAsia="en-AU"/>
        </w:rPr>
      </w:pPr>
      <w:r w:rsidRPr="008549D5">
        <w:rPr>
          <w:lang w:eastAsia="en-AU"/>
        </w:rPr>
        <w:t xml:space="preserve">There is no measurement of outcomes under the current PRAs to indicate that the PRAs are meeting their intended purpose. It is proposed that any new PRA entered into should </w:t>
      </w:r>
      <w:r>
        <w:rPr>
          <w:lang w:eastAsia="en-AU"/>
        </w:rPr>
        <w:t>include</w:t>
      </w:r>
      <w:r w:rsidRPr="008549D5">
        <w:rPr>
          <w:lang w:eastAsia="en-AU"/>
        </w:rPr>
        <w:t xml:space="preserve"> KPM</w:t>
      </w:r>
      <w:r>
        <w:rPr>
          <w:lang w:eastAsia="en-AU"/>
        </w:rPr>
        <w:t>s</w:t>
      </w:r>
      <w:r w:rsidRPr="008549D5">
        <w:rPr>
          <w:lang w:eastAsia="en-AU"/>
        </w:rPr>
        <w:t xml:space="preserve"> to allow for the evaluation of the agreement. </w:t>
      </w:r>
      <w:r>
        <w:rPr>
          <w:lang w:eastAsia="en-AU"/>
        </w:rPr>
        <w:t xml:space="preserve">As outlined above in the QUM section the </w:t>
      </w:r>
      <w:r w:rsidRPr="006D40C7">
        <w:rPr>
          <w:i/>
          <w:iCs/>
          <w:lang w:eastAsia="en-AU"/>
        </w:rPr>
        <w:t>National Indicators for Quality Use of Medicines (QUM) in Australian Hospitals 2014</w:t>
      </w:r>
      <w:r w:rsidRPr="008549D5">
        <w:rPr>
          <w:lang w:eastAsia="en-AU"/>
        </w:rPr>
        <w:t xml:space="preserve"> </w:t>
      </w:r>
      <w:r>
        <w:rPr>
          <w:lang w:eastAsia="en-AU"/>
        </w:rPr>
        <w:t xml:space="preserve">contains several indicators that could be used to formulate KPMs; these were taken into consideration in the possible measures below. </w:t>
      </w:r>
      <w:r w:rsidRPr="008549D5">
        <w:rPr>
          <w:lang w:eastAsia="en-AU"/>
        </w:rPr>
        <w:t>For future PRA negotiations possible KPMs may include:</w:t>
      </w:r>
    </w:p>
    <w:p w14:paraId="4E5A1B64" w14:textId="23883FBA" w:rsidR="00E346AF" w:rsidRPr="008549D5" w:rsidRDefault="00E346AF" w:rsidP="00E346AF">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 xml:space="preserve">The number of patients discharged with at least </w:t>
      </w:r>
      <w:r w:rsidR="00972B0A">
        <w:rPr>
          <w:rFonts w:cs="Arial"/>
          <w:szCs w:val="22"/>
        </w:rPr>
        <w:t>one</w:t>
      </w:r>
      <w:r w:rsidRPr="008549D5">
        <w:rPr>
          <w:rFonts w:cs="Arial"/>
          <w:szCs w:val="22"/>
        </w:rPr>
        <w:t xml:space="preserve"> PBS quantity of medication;</w:t>
      </w:r>
    </w:p>
    <w:p w14:paraId="71D9A161" w14:textId="3D018E8C" w:rsidR="00E346AF" w:rsidRPr="008549D5" w:rsidRDefault="00E346AF" w:rsidP="00E346AF">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 xml:space="preserve">Less than 30 percent of patients require a GP appointment within the first </w:t>
      </w:r>
      <w:r w:rsidR="00972B0A">
        <w:rPr>
          <w:rFonts w:cs="Arial"/>
          <w:szCs w:val="22"/>
        </w:rPr>
        <w:t>five</w:t>
      </w:r>
      <w:r w:rsidRPr="008549D5">
        <w:rPr>
          <w:rFonts w:cs="Arial"/>
          <w:szCs w:val="22"/>
        </w:rPr>
        <w:t xml:space="preserve"> days post discharge or a breakdown of the time to first visit to a GP;</w:t>
      </w:r>
    </w:p>
    <w:p w14:paraId="45110ADD" w14:textId="77777777" w:rsidR="00E346AF" w:rsidRPr="008549D5" w:rsidRDefault="00E346AF" w:rsidP="00E346AF">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Time from discharge to provision of medicine discharge summary to primary care provider (incl</w:t>
      </w:r>
      <w:r>
        <w:rPr>
          <w:rFonts w:cs="Arial"/>
          <w:szCs w:val="22"/>
        </w:rPr>
        <w:t>uding</w:t>
      </w:r>
      <w:r w:rsidRPr="008549D5">
        <w:rPr>
          <w:rFonts w:cs="Arial"/>
          <w:szCs w:val="22"/>
        </w:rPr>
        <w:t xml:space="preserve"> aged care);</w:t>
      </w:r>
    </w:p>
    <w:p w14:paraId="39DA873E" w14:textId="77777777" w:rsidR="00E346AF" w:rsidRPr="008549D5" w:rsidRDefault="00E346AF" w:rsidP="00E346AF">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Demographic breakdown of pat</w:t>
      </w:r>
      <w:r>
        <w:rPr>
          <w:rFonts w:cs="Arial"/>
          <w:szCs w:val="22"/>
        </w:rPr>
        <w:t>i</w:t>
      </w:r>
      <w:r w:rsidRPr="008549D5">
        <w:rPr>
          <w:rFonts w:cs="Arial"/>
          <w:szCs w:val="22"/>
        </w:rPr>
        <w:t>ents accessing the PBS upon discharge/outpatient treatment;</w:t>
      </w:r>
    </w:p>
    <w:p w14:paraId="0F832FE4" w14:textId="77777777" w:rsidR="00E346AF" w:rsidRPr="008549D5" w:rsidRDefault="00E346AF" w:rsidP="00E346AF">
      <w:pPr>
        <w:pStyle w:val="ListParagraph"/>
        <w:numPr>
          <w:ilvl w:val="0"/>
          <w:numId w:val="23"/>
        </w:numPr>
        <w:spacing w:before="120" w:after="60" w:line="256" w:lineRule="auto"/>
        <w:ind w:left="714" w:right="-46" w:hanging="357"/>
        <w:contextualSpacing w:val="0"/>
        <w:rPr>
          <w:rFonts w:cs="Arial"/>
          <w:szCs w:val="22"/>
        </w:rPr>
      </w:pPr>
      <w:r w:rsidRPr="008549D5">
        <w:rPr>
          <w:rFonts w:cs="Arial"/>
          <w:szCs w:val="22"/>
        </w:rPr>
        <w:t>Analysis of ACSQHC related Patient-reported outcome measures (PROMs) or Patient reported experience measures (PREMs) to evaluate patients’ experiences as a measure of the success of PRA to deliver meaningful results to patients.</w:t>
      </w:r>
    </w:p>
    <w:p w14:paraId="36D0F38D" w14:textId="77777777" w:rsidR="00E346AF" w:rsidRPr="008549D5" w:rsidRDefault="00E346AF" w:rsidP="00E346AF">
      <w:pPr>
        <w:pStyle w:val="Paragraphtext"/>
        <w:rPr>
          <w:lang w:eastAsia="en-AU"/>
        </w:rPr>
      </w:pPr>
      <w:r>
        <w:rPr>
          <w:lang w:eastAsia="en-AU"/>
        </w:rPr>
        <w:t xml:space="preserve">It is recommended </w:t>
      </w:r>
      <w:r w:rsidRPr="008549D5">
        <w:rPr>
          <w:lang w:eastAsia="en-AU"/>
        </w:rPr>
        <w:t xml:space="preserve">that KPMs </w:t>
      </w:r>
      <w:r>
        <w:rPr>
          <w:lang w:eastAsia="en-AU"/>
        </w:rPr>
        <w:t>are</w:t>
      </w:r>
      <w:r w:rsidRPr="008549D5">
        <w:rPr>
          <w:lang w:eastAsia="en-AU"/>
        </w:rPr>
        <w:t xml:space="preserve"> negotiated with signatories and included in the PRA document before finalisation. </w:t>
      </w:r>
    </w:p>
    <w:p w14:paraId="091C4B22" w14:textId="77777777" w:rsidR="00E346AF" w:rsidRPr="008549D5" w:rsidRDefault="00E346AF" w:rsidP="00E346AF">
      <w:pPr>
        <w:spacing w:before="240"/>
        <w:rPr>
          <w:rFonts w:cs="Arial"/>
          <w:i/>
          <w:iCs/>
          <w:szCs w:val="22"/>
        </w:rPr>
      </w:pPr>
      <w:r w:rsidRPr="008549D5">
        <w:rPr>
          <w:rFonts w:cs="Arial"/>
          <w:i/>
          <w:iCs/>
          <w:szCs w:val="22"/>
        </w:rPr>
        <w:t>PBS updates</w:t>
      </w:r>
    </w:p>
    <w:p w14:paraId="1D7B01D7" w14:textId="0586B14A" w:rsidR="00E346AF" w:rsidRDefault="00E346AF" w:rsidP="00E346AF">
      <w:pPr>
        <w:pStyle w:val="Paragraphtext"/>
        <w:rPr>
          <w:lang w:eastAsia="en-AU"/>
        </w:rPr>
      </w:pPr>
      <w:r>
        <w:rPr>
          <w:lang w:eastAsia="en-AU"/>
        </w:rPr>
        <w:t xml:space="preserve">Jurisdictions </w:t>
      </w:r>
      <w:r w:rsidRPr="008549D5">
        <w:rPr>
          <w:lang w:eastAsia="en-AU"/>
        </w:rPr>
        <w:t xml:space="preserve">expressed a desire to engage with the Department prior to the implementation of PBS listings, where these listings have a direct impact on hospitals. </w:t>
      </w:r>
      <w:r>
        <w:rPr>
          <w:lang w:eastAsia="en-AU"/>
        </w:rPr>
        <w:t>I</w:t>
      </w:r>
      <w:r w:rsidRPr="008549D5">
        <w:rPr>
          <w:lang w:eastAsia="en-AU"/>
        </w:rPr>
        <w:t xml:space="preserve">t was noted that jurisdictions are usually restricted to an annual budget negotiated based on the current environment and that the listing of new high cost drugs, especially those that require initiation </w:t>
      </w:r>
      <w:r w:rsidRPr="008549D5">
        <w:rPr>
          <w:lang w:eastAsia="en-AU"/>
        </w:rPr>
        <w:lastRenderedPageBreak/>
        <w:t>as an in-patient</w:t>
      </w:r>
      <w:r>
        <w:rPr>
          <w:lang w:eastAsia="en-AU"/>
        </w:rPr>
        <w:t>,</w:t>
      </w:r>
      <w:r w:rsidRPr="008549D5">
        <w:rPr>
          <w:lang w:eastAsia="en-AU"/>
        </w:rPr>
        <w:t xml:space="preserve"> have a</w:t>
      </w:r>
      <w:r>
        <w:rPr>
          <w:lang w:eastAsia="en-AU"/>
        </w:rPr>
        <w:t xml:space="preserve"> negative</w:t>
      </w:r>
      <w:r w:rsidRPr="008549D5">
        <w:rPr>
          <w:lang w:eastAsia="en-AU"/>
        </w:rPr>
        <w:t xml:space="preserve"> impact on hospital budgets. The Department is aware that while there is a process for new drugs provided to inpatients to qualify for ongoing PBS access to be added to the funding model for each jurisdiction </w:t>
      </w:r>
      <w:r w:rsidR="00E111F9">
        <w:rPr>
          <w:lang w:eastAsia="en-AU"/>
        </w:rPr>
        <w:t>and that this can take some time to be reflected in</w:t>
      </w:r>
      <w:r w:rsidRPr="008549D5">
        <w:rPr>
          <w:lang w:eastAsia="en-AU"/>
        </w:rPr>
        <w:t xml:space="preserve"> hospital budgets.</w:t>
      </w:r>
    </w:p>
    <w:p w14:paraId="13024836" w14:textId="77777777" w:rsidR="00E346AF" w:rsidRDefault="00E346AF" w:rsidP="00E346AF">
      <w:pPr>
        <w:pStyle w:val="Paragraphtext"/>
        <w:rPr>
          <w:lang w:eastAsia="en-AU"/>
        </w:rPr>
      </w:pPr>
      <w:r w:rsidRPr="008549D5">
        <w:rPr>
          <w:lang w:eastAsia="en-AU"/>
        </w:rPr>
        <w:t xml:space="preserve">Discussion of the PBS listings </w:t>
      </w:r>
      <w:r>
        <w:rPr>
          <w:lang w:eastAsia="en-AU"/>
        </w:rPr>
        <w:t>with the Department is</w:t>
      </w:r>
      <w:r w:rsidRPr="008549D5">
        <w:rPr>
          <w:lang w:eastAsia="en-AU"/>
        </w:rPr>
        <w:t xml:space="preserve"> outside the remit of this </w:t>
      </w:r>
      <w:r>
        <w:rPr>
          <w:lang w:eastAsia="en-AU"/>
        </w:rPr>
        <w:t>review</w:t>
      </w:r>
      <w:r w:rsidRPr="008549D5">
        <w:rPr>
          <w:lang w:eastAsia="en-AU"/>
        </w:rPr>
        <w:t>.</w:t>
      </w:r>
      <w:r>
        <w:rPr>
          <w:lang w:eastAsia="en-AU"/>
        </w:rPr>
        <w:t xml:space="preserve"> However, t</w:t>
      </w:r>
      <w:r w:rsidRPr="008549D5">
        <w:rPr>
          <w:lang w:eastAsia="en-AU"/>
        </w:rPr>
        <w:t>he PBS listing process, and any implications on hospitals, is a commercially sensitive process between the Commonwealth and individual medicine sponsors, usually commercial pharmaceutical companies, that can</w:t>
      </w:r>
      <w:r>
        <w:rPr>
          <w:lang w:eastAsia="en-AU"/>
        </w:rPr>
        <w:t>not</w:t>
      </w:r>
      <w:r w:rsidRPr="008549D5">
        <w:rPr>
          <w:lang w:eastAsia="en-AU"/>
        </w:rPr>
        <w:t xml:space="preserve"> be shared during negotiations with outside bodies. States and </w:t>
      </w:r>
      <w:r>
        <w:rPr>
          <w:lang w:eastAsia="en-AU"/>
        </w:rPr>
        <w:t>t</w:t>
      </w:r>
      <w:r w:rsidRPr="008549D5">
        <w:rPr>
          <w:lang w:eastAsia="en-AU"/>
        </w:rPr>
        <w:t>erritories receive the same notification as other dispense</w:t>
      </w:r>
      <w:r>
        <w:rPr>
          <w:lang w:eastAsia="en-AU"/>
        </w:rPr>
        <w:t>r</w:t>
      </w:r>
      <w:r w:rsidRPr="008549D5">
        <w:rPr>
          <w:lang w:eastAsia="en-AU"/>
        </w:rPr>
        <w:t>s of PBS medicine</w:t>
      </w:r>
      <w:r>
        <w:rPr>
          <w:lang w:eastAsia="en-AU"/>
        </w:rPr>
        <w:t>s</w:t>
      </w:r>
      <w:r w:rsidRPr="008549D5">
        <w:rPr>
          <w:lang w:eastAsia="en-AU"/>
        </w:rPr>
        <w:t xml:space="preserve"> for new and revised listings. </w:t>
      </w:r>
    </w:p>
    <w:p w14:paraId="5998EE72" w14:textId="77777777" w:rsidR="00E346AF" w:rsidRPr="008549D5" w:rsidRDefault="00E346AF" w:rsidP="00E346AF">
      <w:pPr>
        <w:pStyle w:val="Paragraphtext"/>
        <w:rPr>
          <w:lang w:eastAsia="en-AU"/>
        </w:rPr>
      </w:pPr>
      <w:r w:rsidRPr="008549D5">
        <w:rPr>
          <w:lang w:eastAsia="en-AU"/>
        </w:rPr>
        <w:t>There is currently no way for the Department to provide further clarity of when new or expanded listing</w:t>
      </w:r>
      <w:r>
        <w:rPr>
          <w:lang w:eastAsia="en-AU"/>
        </w:rPr>
        <w:t>s</w:t>
      </w:r>
      <w:r w:rsidRPr="008549D5">
        <w:rPr>
          <w:lang w:eastAsia="en-AU"/>
        </w:rPr>
        <w:t xml:space="preserve"> will be available on the PBS. It is </w:t>
      </w:r>
      <w:r>
        <w:rPr>
          <w:lang w:eastAsia="en-AU"/>
        </w:rPr>
        <w:t>recommended</w:t>
      </w:r>
      <w:r w:rsidRPr="008549D5">
        <w:rPr>
          <w:lang w:eastAsia="en-AU"/>
        </w:rPr>
        <w:t xml:space="preserve"> that this current process be maintained and not included specifically in any future PRAs.</w:t>
      </w:r>
    </w:p>
    <w:p w14:paraId="5B007968" w14:textId="77777777" w:rsidR="00E346AF" w:rsidRDefault="00E346AF" w:rsidP="00E346AF">
      <w:pPr>
        <w:pStyle w:val="Paragraphtext"/>
        <w:rPr>
          <w:lang w:eastAsia="en-AU"/>
        </w:rPr>
      </w:pPr>
      <w:r w:rsidRPr="008549D5">
        <w:rPr>
          <w:lang w:eastAsia="en-AU"/>
        </w:rPr>
        <w:t>It is open to the jurisdictions to request from the Department a forum with</w:t>
      </w:r>
      <w:r>
        <w:rPr>
          <w:lang w:eastAsia="en-AU"/>
        </w:rPr>
        <w:t xml:space="preserve"> relevant</w:t>
      </w:r>
      <w:r w:rsidRPr="008549D5">
        <w:rPr>
          <w:lang w:eastAsia="en-AU"/>
        </w:rPr>
        <w:t xml:space="preserve"> areas of the Department involved in the </w:t>
      </w:r>
      <w:r>
        <w:rPr>
          <w:lang w:eastAsia="en-AU"/>
        </w:rPr>
        <w:t>listing of</w:t>
      </w:r>
      <w:r w:rsidRPr="008549D5">
        <w:rPr>
          <w:lang w:eastAsia="en-AU"/>
        </w:rPr>
        <w:t xml:space="preserve"> a medicine on the PBS, to discuss possible future listings as an aid to forecasting future budget constraints. However, it is a decision of Government on whether to list a medicine for subsidy on the PBS. </w:t>
      </w:r>
    </w:p>
    <w:p w14:paraId="3C3E7D7F" w14:textId="77777777" w:rsidR="00E346AF" w:rsidRPr="008549D5" w:rsidRDefault="00E346AF" w:rsidP="00E346AF">
      <w:pPr>
        <w:pStyle w:val="Paragraphtext"/>
        <w:rPr>
          <w:lang w:eastAsia="en-AU"/>
        </w:rPr>
      </w:pPr>
    </w:p>
    <w:p w14:paraId="44614E7F" w14:textId="77777777" w:rsidR="00E346AF" w:rsidRDefault="00E346AF" w:rsidP="00E346AF">
      <w:pPr>
        <w:rPr>
          <w:rFonts w:cs="Arial"/>
          <w:sz w:val="21"/>
          <w:szCs w:val="21"/>
        </w:rPr>
      </w:pPr>
      <w:r w:rsidRPr="00EA5BF2">
        <w:rPr>
          <w:rFonts w:cs="Arial"/>
          <w:noProof/>
          <w:szCs w:val="22"/>
        </w:rPr>
        <mc:AlternateContent>
          <mc:Choice Requires="wps">
            <w:drawing>
              <wp:inline distT="0" distB="0" distL="0" distR="0" wp14:anchorId="4E3B8980" wp14:editId="5D16E384">
                <wp:extent cx="5721350" cy="1404620"/>
                <wp:effectExtent l="0" t="0" r="12700" b="1651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chemeClr val="accent2"/>
                          </a:solidFill>
                          <a:miter lim="800000"/>
                          <a:headEnd/>
                          <a:tailEnd/>
                        </a:ln>
                      </wps:spPr>
                      <wps:txbx>
                        <w:txbxContent>
                          <w:p w14:paraId="30939FD8" w14:textId="77777777"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t>Transparency and accountability</w:t>
                            </w:r>
                          </w:p>
                          <w:p w14:paraId="7223B73D" w14:textId="77777777" w:rsidR="00E346AF" w:rsidRDefault="00E346AF" w:rsidP="00E346AF">
                            <w:pPr>
                              <w:pStyle w:val="ListParagraph"/>
                              <w:numPr>
                                <w:ilvl w:val="0"/>
                                <w:numId w:val="42"/>
                              </w:numPr>
                            </w:pPr>
                            <w:r>
                              <w:t>Include regular consultation and governance clauses.</w:t>
                            </w:r>
                          </w:p>
                          <w:p w14:paraId="5F399ACA" w14:textId="77777777" w:rsidR="00E346AF" w:rsidRDefault="00E346AF" w:rsidP="00E346AF">
                            <w:pPr>
                              <w:pStyle w:val="ListParagraph"/>
                              <w:numPr>
                                <w:ilvl w:val="0"/>
                                <w:numId w:val="42"/>
                              </w:numPr>
                            </w:pPr>
                            <w:r>
                              <w:t>Negotiate and include an agreed evaluation mechanism.</w:t>
                            </w:r>
                          </w:p>
                        </w:txbxContent>
                      </wps:txbx>
                      <wps:bodyPr rot="0" vert="horz" wrap="square" lIns="91440" tIns="45720" rIns="91440" bIns="45720" anchor="t" anchorCtr="0">
                        <a:spAutoFit/>
                      </wps:bodyPr>
                    </wps:wsp>
                  </a:graphicData>
                </a:graphic>
              </wp:inline>
            </w:drawing>
          </mc:Choice>
          <mc:Fallback>
            <w:pict>
              <v:shape w14:anchorId="4E3B8980" id="Text Box 9" o:spid="_x0000_s1029" type="#_x0000_t202" style="width:45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GGwIAACoEAAAOAAAAZHJzL2Uyb0RvYy54bWysU9tuGyEQfa/Uf0C813uJnSYrr6PUqatK&#10;6UVK+wEssF5UlqGAvet+fQbWcdy0T1V5QDMMHGbOnFnejL0me+m8AlPTYpZTIg0Hocy2pt+/bd5c&#10;UeIDM4JpMLKmB+npzer1q+VgK1lCB1pIRxDE+GqwNe1CsFWWed7JnvkZWGkw2ILrWUDXbTPh2IDo&#10;vc7KPL/MBnDCOuDSezy9m4J0lfDbVvLwpW29DETXFHMLaXdpb+KerZas2jpmO8WPabB/yKJnyuCn&#10;J6g7FhjZOfUHVK+4Aw9tmHHoM2hbxWWqAasp8hfVPHTMylQLkuPtiSb//2D55/2D/epIGN/BiA1M&#10;RXh7D/yHJwbWHTNbeescDJ1kAj8uImXZYH11fBqp9pWPIM3wCQQ2me0CJKCxdX1kBeskiI4NOJxI&#10;l2MgHA8Xb8viYoEhjrFins8vy9SWjFVPz63z4YOEnkSjpg67muDZ/t6HmA6rnq7E3zxoJTZK6+S4&#10;bbPWjuwZKmCTVqrgxTVtyFDT60W5mBj4DSKKUZ5AGOfShPJvKL0KqGat+ppe5XFN+orUvTciaS0w&#10;pScbs9bmyGWkbyIyjM1IlKjpRXwbqW1AHJBcB5N4cdjQ6MD9omRA4dbU/9wxJynRHw026LqYz6PS&#10;kzNHdtFx55HmPMIMR6iaBkomcx3SdCTq7C02cqMSxc+ZHFNGQSbmj8MTFX/up1vPI756BAAA//8D&#10;AFBLAwQUAAYACAAAACEARGunftYAAAAFAQAADwAAAGRycy9kb3ducmV2LnhtbEyPwU7DMBBE70j8&#10;g7VIXBC1kwOiIU6FKnqHwAds420SsNdR7LaBr2fhApeVRrOaeVNvluDVieY0RrZQrAwo4i66kXsL&#10;b6+723tQKSM79JHJwicl2DSXFzVWLp75hU5t7pWEcKrQwpDzVGmduoECplWciMU7xDlgFjn32s14&#10;lvDgdWnMnQ44sjQMONF2oO6jPQYpmduYD94g+/ddx1/ebG+en6y9vloeH0BlWvLfM/zgCzo0wrSP&#10;R3ZJeQsyJP9e8damELm3UJZFCbqp9X/65hsAAP//AwBQSwECLQAUAAYACAAAACEAtoM4kv4AAADh&#10;AQAAEwAAAAAAAAAAAAAAAAAAAAAAW0NvbnRlbnRfVHlwZXNdLnhtbFBLAQItABQABgAIAAAAIQA4&#10;/SH/1gAAAJQBAAALAAAAAAAAAAAAAAAAAC8BAABfcmVscy8ucmVsc1BLAQItABQABgAIAAAAIQA/&#10;HrMGGwIAACoEAAAOAAAAAAAAAAAAAAAAAC4CAABkcnMvZTJvRG9jLnhtbFBLAQItABQABgAIAAAA&#10;IQBEa6d+1gAAAAUBAAAPAAAAAAAAAAAAAAAAAHUEAABkcnMvZG93bnJldi54bWxQSwUGAAAAAAQA&#10;BADzAAAAeAUAAAAA&#10;" strokecolor="#358189 [3205]">
                <v:textbox style="mso-fit-shape-to-text:t">
                  <w:txbxContent>
                    <w:p w14:paraId="30939FD8" w14:textId="77777777" w:rsidR="00E346AF" w:rsidRPr="00EA5BF2" w:rsidRDefault="00E346AF" w:rsidP="00E346AF">
                      <w:pPr>
                        <w:rPr>
                          <w:color w:val="3F4A75" w:themeColor="accent1"/>
                        </w:rPr>
                      </w:pPr>
                      <w:r w:rsidRPr="00EA5BF2">
                        <w:rPr>
                          <w:color w:val="3F4A75" w:themeColor="accent1"/>
                        </w:rPr>
                        <w:t xml:space="preserve">Recommendations: </w:t>
                      </w:r>
                      <w:r>
                        <w:rPr>
                          <w:color w:val="3F4A75" w:themeColor="accent1"/>
                        </w:rPr>
                        <w:t>Transparency and accountability</w:t>
                      </w:r>
                    </w:p>
                    <w:p w14:paraId="7223B73D" w14:textId="77777777" w:rsidR="00E346AF" w:rsidRDefault="00E346AF" w:rsidP="00E346AF">
                      <w:pPr>
                        <w:pStyle w:val="ListParagraph"/>
                        <w:numPr>
                          <w:ilvl w:val="0"/>
                          <w:numId w:val="42"/>
                        </w:numPr>
                      </w:pPr>
                      <w:r>
                        <w:t>Include regular consultation and governance clauses.</w:t>
                      </w:r>
                    </w:p>
                    <w:p w14:paraId="5F399ACA" w14:textId="77777777" w:rsidR="00E346AF" w:rsidRDefault="00E346AF" w:rsidP="00E346AF">
                      <w:pPr>
                        <w:pStyle w:val="ListParagraph"/>
                        <w:numPr>
                          <w:ilvl w:val="0"/>
                          <w:numId w:val="42"/>
                        </w:numPr>
                      </w:pPr>
                      <w:r>
                        <w:t>Negotiate and include an agreed evaluation mechanism.</w:t>
                      </w:r>
                    </w:p>
                  </w:txbxContent>
                </v:textbox>
                <w10:anchorlock/>
              </v:shape>
            </w:pict>
          </mc:Fallback>
        </mc:AlternateContent>
      </w:r>
    </w:p>
    <w:p w14:paraId="58C35BD9" w14:textId="77777777" w:rsidR="004A1E5B" w:rsidRPr="004A1E5B" w:rsidRDefault="004A1E5B" w:rsidP="00727B11">
      <w:pPr>
        <w:pStyle w:val="ListParagraph"/>
        <w:keepNext/>
        <w:spacing w:before="240" w:after="60"/>
        <w:ind w:left="0"/>
        <w:contextualSpacing w:val="0"/>
        <w:outlineLvl w:val="1"/>
        <w:rPr>
          <w:rFonts w:cs="Arial"/>
          <w:sz w:val="21"/>
          <w:szCs w:val="21"/>
        </w:rPr>
      </w:pPr>
    </w:p>
    <w:sectPr w:rsidR="004A1E5B" w:rsidRPr="004A1E5B" w:rsidSect="00607E5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F4E1" w14:textId="77777777" w:rsidR="00636D06" w:rsidRDefault="00636D06" w:rsidP="006B56BB">
      <w:r>
        <w:separator/>
      </w:r>
    </w:p>
    <w:p w14:paraId="60682F48" w14:textId="77777777" w:rsidR="00636D06" w:rsidRDefault="00636D06"/>
  </w:endnote>
  <w:endnote w:type="continuationSeparator" w:id="0">
    <w:p w14:paraId="25862343" w14:textId="77777777" w:rsidR="00636D06" w:rsidRDefault="00636D06" w:rsidP="006B56BB">
      <w:r>
        <w:continuationSeparator/>
      </w:r>
    </w:p>
    <w:p w14:paraId="26039676" w14:textId="77777777" w:rsidR="00636D06" w:rsidRDefault="00636D06"/>
  </w:endnote>
  <w:endnote w:type="continuationNotice" w:id="1">
    <w:p w14:paraId="62384AE1" w14:textId="77777777" w:rsidR="00636D06" w:rsidRDefault="0063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182175"/>
      <w:docPartObj>
        <w:docPartGallery w:val="Page Numbers (Bottom of Page)"/>
        <w:docPartUnique/>
      </w:docPartObj>
    </w:sdtPr>
    <w:sdtEndPr>
      <w:rPr>
        <w:noProof/>
      </w:rPr>
    </w:sdtEndPr>
    <w:sdtContent>
      <w:p w14:paraId="59EC4F0C" w14:textId="68A949C9" w:rsidR="00D60448" w:rsidRDefault="00000000">
        <w:pPr>
          <w:pStyle w:val="Footer"/>
          <w:jc w:val="right"/>
        </w:pPr>
      </w:p>
    </w:sdtContent>
  </w:sdt>
  <w:p w14:paraId="7965DB07" w14:textId="77777777" w:rsidR="00D60448" w:rsidRDefault="00D6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23073"/>
      <w:docPartObj>
        <w:docPartGallery w:val="Page Numbers (Bottom of Page)"/>
        <w:docPartUnique/>
      </w:docPartObj>
    </w:sdtPr>
    <w:sdtEndPr>
      <w:rPr>
        <w:noProof/>
      </w:rPr>
    </w:sdtEndPr>
    <w:sdtContent>
      <w:p w14:paraId="03DA00E3" w14:textId="37383836" w:rsidR="00D60448" w:rsidRDefault="00D604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60BE15" w14:textId="77777777" w:rsidR="00D60448" w:rsidRDefault="00D60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69875"/>
      <w:docPartObj>
        <w:docPartGallery w:val="Page Numbers (Bottom of Page)"/>
        <w:docPartUnique/>
      </w:docPartObj>
    </w:sdtPr>
    <w:sdtEndPr>
      <w:rPr>
        <w:noProof/>
      </w:rPr>
    </w:sdtEndPr>
    <w:sdtContent>
      <w:p w14:paraId="478B8172" w14:textId="77777777" w:rsidR="00D60448" w:rsidRDefault="00D60448">
        <w:pPr>
          <w:pStyle w:val="Footer"/>
          <w:jc w:val="right"/>
        </w:pPr>
        <w:r>
          <w:fldChar w:fldCharType="begin"/>
        </w:r>
        <w:r>
          <w:instrText xml:space="preserve"> PAGE  \* Arabic  \* MERGEFORMAT </w:instrText>
        </w:r>
        <w:r>
          <w:fldChar w:fldCharType="separate"/>
        </w:r>
        <w:r>
          <w:rPr>
            <w:noProof/>
          </w:rPr>
          <w:t>2</w:t>
        </w:r>
        <w:r>
          <w:fldChar w:fldCharType="end"/>
        </w:r>
      </w:p>
    </w:sdtContent>
  </w:sdt>
  <w:p w14:paraId="4DF1DAF0" w14:textId="77777777" w:rsidR="00D60448" w:rsidRDefault="00D60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1D76" w14:textId="77777777" w:rsidR="00636D06" w:rsidRDefault="00636D06" w:rsidP="006B56BB">
      <w:r>
        <w:separator/>
      </w:r>
    </w:p>
    <w:p w14:paraId="20252C62" w14:textId="77777777" w:rsidR="00636D06" w:rsidRDefault="00636D06"/>
  </w:footnote>
  <w:footnote w:type="continuationSeparator" w:id="0">
    <w:p w14:paraId="09F85611" w14:textId="77777777" w:rsidR="00636D06" w:rsidRDefault="00636D06" w:rsidP="006B56BB">
      <w:r>
        <w:continuationSeparator/>
      </w:r>
    </w:p>
    <w:p w14:paraId="170A8453" w14:textId="77777777" w:rsidR="00636D06" w:rsidRDefault="00636D06"/>
  </w:footnote>
  <w:footnote w:type="continuationNotice" w:id="1">
    <w:p w14:paraId="04E95045" w14:textId="77777777" w:rsidR="00636D06" w:rsidRDefault="00636D06"/>
  </w:footnote>
  <w:footnote w:id="2">
    <w:p w14:paraId="73260B3D" w14:textId="6CD930C9" w:rsidR="00D60448" w:rsidRPr="000D3458" w:rsidRDefault="00D60448">
      <w:pPr>
        <w:pStyle w:val="FootnoteText"/>
      </w:pPr>
      <w:r>
        <w:rPr>
          <w:rStyle w:val="FootnoteReference"/>
        </w:rPr>
        <w:footnoteRef/>
      </w:r>
      <w:r>
        <w:t xml:space="preserve"> PBS Pharmaceuticals in Hospitals Review, </w:t>
      </w:r>
      <w:r w:rsidRPr="000D3458">
        <w:t xml:space="preserve">available at: </w:t>
      </w:r>
      <w:hyperlink r:id="rId1" w:history="1">
        <w:r w:rsidRPr="00607E56">
          <w:rPr>
            <w:rStyle w:val="Hyperlink"/>
            <w:color w:val="auto"/>
          </w:rPr>
          <w:t>www.pbs.gov.au/info/reviews/pbs-pharmaceuticals-in-hospitals-review</w:t>
        </w:r>
      </w:hyperlink>
    </w:p>
  </w:footnote>
  <w:footnote w:id="3">
    <w:p w14:paraId="00D4DF8F" w14:textId="510A238C" w:rsidR="00D60448" w:rsidRDefault="00D60448">
      <w:pPr>
        <w:pStyle w:val="FootnoteText"/>
      </w:pPr>
      <w:r w:rsidRPr="000D3458">
        <w:rPr>
          <w:rStyle w:val="FootnoteReference"/>
        </w:rPr>
        <w:footnoteRef/>
      </w:r>
      <w:r w:rsidRPr="000D3458">
        <w:t xml:space="preserve"> Addendum to National Health Reform Agreement 2020-2025, available at: </w:t>
      </w:r>
      <w:hyperlink r:id="rId2" w:history="1">
        <w:r w:rsidRPr="00607E56">
          <w:rPr>
            <w:rFonts w:eastAsiaTheme="minorHAnsi" w:cs="Arial"/>
            <w:szCs w:val="22"/>
            <w:u w:val="single"/>
          </w:rPr>
          <w:t>federalfinancialrelations.gov.au/sites/federalfinancialrelations.gov.au/files/2021-07/NHRA_2020-25_Addendum_consolidated.pdf</w:t>
        </w:r>
      </w:hyperlink>
    </w:p>
  </w:footnote>
  <w:footnote w:id="4">
    <w:p w14:paraId="03A64891" w14:textId="77777777" w:rsidR="00D60448" w:rsidRDefault="00D60448" w:rsidP="00E27CC4">
      <w:pPr>
        <w:pStyle w:val="FootnoteText"/>
      </w:pPr>
      <w:r>
        <w:rPr>
          <w:rStyle w:val="FootnoteReference"/>
        </w:rPr>
        <w:footnoteRef/>
      </w:r>
      <w:r>
        <w:t xml:space="preserve"> Data referenced in this section is based on PBS online claims data. It includes data for prescriptions dispensed by public hospitals in states and territories participating in the PRA. One public hospital (Albury) in NSW participating in the PRA has been counted in the Victorian totals. Data excludes medicines prescribed in public hospitals and dispensed in community pharmacies. Total PBS expenditure figures includes payments processed through the PBS Online system but excludes scripts dispensed by Remote Area Aboriginal Health Services, Opiate Dependence Treatment Program, and Continuing Medication Program as they were subject to manual processing. The data also excludes bulk manual adjustment for nusinersen. Figures are subject to change due to late claims and adjustments by pharmacies. </w:t>
      </w:r>
    </w:p>
  </w:footnote>
  <w:footnote w:id="5">
    <w:p w14:paraId="1D3A8751" w14:textId="77777777" w:rsidR="00D60448" w:rsidRDefault="00D60448" w:rsidP="00E27CC4">
      <w:pPr>
        <w:pStyle w:val="FootnoteText"/>
      </w:pPr>
      <w:r>
        <w:rPr>
          <w:rStyle w:val="FootnoteReference"/>
        </w:rPr>
        <w:footnoteRef/>
      </w:r>
      <w:r>
        <w:t xml:space="preserve"> Source: PBS online claims data (extracted 22 October 2021)</w:t>
      </w:r>
    </w:p>
  </w:footnote>
  <w:footnote w:id="6">
    <w:p w14:paraId="6FE02691" w14:textId="6B18DF6D" w:rsidR="00D60448" w:rsidRDefault="00D60448" w:rsidP="00B61694">
      <w:pPr>
        <w:pStyle w:val="FootnoteText"/>
      </w:pPr>
      <w:r w:rsidRPr="002A0B64">
        <w:rPr>
          <w:rStyle w:val="FootnoteReference"/>
        </w:rPr>
        <w:footnoteRef/>
      </w:r>
      <w:r w:rsidRPr="002A0B64">
        <w:t xml:space="preserve"> </w:t>
      </w:r>
      <w:r w:rsidRPr="003B411D">
        <w:rPr>
          <w:rFonts w:cs="Arial"/>
          <w:i/>
          <w:iCs/>
          <w:szCs w:val="22"/>
        </w:rPr>
        <w:t>Guiding principles to achieve continuity in medication management</w:t>
      </w:r>
      <w:r w:rsidRPr="002A0B64">
        <w:rPr>
          <w:rFonts w:cs="Arial"/>
          <w:szCs w:val="22"/>
        </w:rPr>
        <w:t>, available at:</w:t>
      </w:r>
      <w:r w:rsidRPr="002A0B64">
        <w:t xml:space="preserve"> </w:t>
      </w:r>
      <w:hyperlink r:id="rId3" w:history="1">
        <w:r w:rsidRPr="00607E56">
          <w:rPr>
            <w:rStyle w:val="Hyperlink"/>
            <w:color w:val="auto"/>
          </w:rPr>
          <w:t>www.health.gov.au/sites/default/files/documents/2022/04/guiding-principles-to-achieve-continuity-in-medication-management_0.pdf</w:t>
        </w:r>
      </w:hyperlink>
      <w:r w:rsidRPr="002A0B64">
        <w:t xml:space="preserve"> </w:t>
      </w:r>
    </w:p>
  </w:footnote>
  <w:footnote w:id="7">
    <w:p w14:paraId="0EF8B4B2" w14:textId="2FBED8ED" w:rsidR="00D60448" w:rsidRDefault="00D60448" w:rsidP="000379E4">
      <w:pPr>
        <w:pStyle w:val="FootnoteText"/>
      </w:pPr>
      <w:r w:rsidRPr="002A0B64">
        <w:rPr>
          <w:rStyle w:val="FootnoteReference"/>
        </w:rPr>
        <w:footnoteRef/>
      </w:r>
      <w:r w:rsidRPr="002A0B64">
        <w:t xml:space="preserve"> </w:t>
      </w:r>
      <w:r w:rsidRPr="003B411D">
        <w:rPr>
          <w:i/>
          <w:iCs/>
          <w:szCs w:val="22"/>
          <w:lang w:eastAsia="en-CA"/>
        </w:rPr>
        <w:t>National Indicators for Quality Use of Medicines (QUM) in Australian Hospitals 2014</w:t>
      </w:r>
      <w:r w:rsidRPr="002A0B64">
        <w:t>, available at:</w:t>
      </w:r>
      <w:r w:rsidRPr="0018203C">
        <w:t xml:space="preserve"> </w:t>
      </w:r>
      <w:hyperlink r:id="rId4" w:anchor="national-indicators-for-quality-use-of-medicines-in-australian-hospitals" w:history="1">
        <w:r w:rsidRPr="0018203C">
          <w:rPr>
            <w:rStyle w:val="Hyperlink"/>
            <w:color w:val="auto"/>
          </w:rPr>
          <w:t>www.safetyandquality.gov.au/our-work/medication-safety/quality-use-medicines#national-indicators-for-quality-use-of-medicines-in-australian-hospitals</w:t>
        </w:r>
      </w:hyperlink>
    </w:p>
  </w:footnote>
  <w:footnote w:id="8">
    <w:p w14:paraId="1AFCF252" w14:textId="77777777" w:rsidR="00E346AF" w:rsidRDefault="00E346AF" w:rsidP="00E346AF">
      <w:pPr>
        <w:pStyle w:val="FootnoteText"/>
      </w:pPr>
      <w:r>
        <w:rPr>
          <w:rStyle w:val="FootnoteReference"/>
        </w:rPr>
        <w:footnoteRef/>
      </w:r>
      <w:r>
        <w:t xml:space="preserve"> </w:t>
      </w:r>
      <w:r w:rsidRPr="0095787B">
        <w:rPr>
          <w:rFonts w:cs="Arial"/>
          <w:szCs w:val="22"/>
        </w:rPr>
        <w:t>National Safety and Quality Health Service Standards</w:t>
      </w:r>
      <w:r>
        <w:rPr>
          <w:rFonts w:cs="Arial"/>
          <w:szCs w:val="22"/>
        </w:rPr>
        <w:t>, avai</w:t>
      </w:r>
      <w:r w:rsidRPr="0095787B">
        <w:rPr>
          <w:rFonts w:cs="Arial"/>
          <w:szCs w:val="22"/>
        </w:rPr>
        <w:t xml:space="preserve">lable at: </w:t>
      </w:r>
      <w:r w:rsidRPr="0095787B">
        <w:t xml:space="preserve"> </w:t>
      </w:r>
      <w:hyperlink r:id="rId5" w:history="1">
        <w:r w:rsidRPr="0095787B">
          <w:rPr>
            <w:rStyle w:val="Hyperlink"/>
            <w:color w:val="auto"/>
          </w:rPr>
          <w:t>www.safetyandquality.gov.au/standards/nsqhs-standards</w:t>
        </w:r>
      </w:hyperlink>
      <w:r w:rsidRPr="0095787B">
        <w:t xml:space="preserve"> </w:t>
      </w:r>
    </w:p>
  </w:footnote>
  <w:footnote w:id="9">
    <w:p w14:paraId="626904BD" w14:textId="77777777" w:rsidR="0093715B" w:rsidRDefault="0093715B" w:rsidP="0093715B">
      <w:pPr>
        <w:pStyle w:val="FootnoteText"/>
      </w:pPr>
      <w:r>
        <w:rPr>
          <w:rStyle w:val="FootnoteReference"/>
        </w:rPr>
        <w:footnoteRef/>
      </w:r>
      <w:r>
        <w:t xml:space="preserve"> </w:t>
      </w:r>
      <w:r w:rsidRPr="00CC4484">
        <w:t xml:space="preserve">The 2019-20 results of the NHCDC are available at: </w:t>
      </w:r>
      <w:hyperlink r:id="rId6" w:history="1">
        <w:r w:rsidRPr="00EE6BE2">
          <w:rPr>
            <w:rStyle w:val="Hyperlink"/>
          </w:rPr>
          <w:t>https://www.ihacpa.gov.au/resources/national-hospital-cost-data-collection-nhcdc-public-hospitals-round-24-financial-year-2019-20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5FA0" w14:textId="63D960FA" w:rsidR="00D60448" w:rsidRDefault="00D60448">
    <w:pPr>
      <w:pStyle w:val="Header"/>
    </w:pPr>
    <w:r>
      <w:rPr>
        <w:noProof/>
        <w:lang w:eastAsia="en-AU"/>
      </w:rPr>
      <w:drawing>
        <wp:anchor distT="0" distB="0" distL="114300" distR="114300" simplePos="0" relativeHeight="251657728" behindDoc="1" locked="0" layoutInCell="1" allowOverlap="1" wp14:anchorId="256A42CB" wp14:editId="3E5E6346">
          <wp:simplePos x="0" y="0"/>
          <wp:positionH relativeFrom="page">
            <wp:posOffset>28575</wp:posOffset>
          </wp:positionH>
          <wp:positionV relativeFrom="page">
            <wp:align>top</wp:align>
          </wp:positionV>
          <wp:extent cx="7559245" cy="10692675"/>
          <wp:effectExtent l="0" t="0" r="381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59D4" w14:textId="42BE3AB5" w:rsidR="00D60448" w:rsidRDefault="00D60448">
    <w:pPr>
      <w:pStyle w:val="Header"/>
    </w:pPr>
    <w:r>
      <w:rPr>
        <w:noProof/>
        <w:lang w:eastAsia="en-AU"/>
      </w:rPr>
      <w:drawing>
        <wp:inline distT="0" distB="0" distL="0" distR="0" wp14:anchorId="045B2C2B" wp14:editId="03290508">
          <wp:extent cx="7560000" cy="10692675"/>
          <wp:effectExtent l="0" t="0" r="3175" b="0"/>
          <wp:docPr id="14" name="Picture 1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0598" w14:textId="30062559" w:rsidR="00D60448" w:rsidRDefault="00D604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A155" w14:textId="16A3BC59" w:rsidR="00D60448" w:rsidRDefault="00D604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4554" w14:textId="1EEAC7F8" w:rsidR="00D60448" w:rsidRDefault="00D60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29D750"/>
    <w:multiLevelType w:val="hybridMultilevel"/>
    <w:tmpl w:val="4C96E7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833CF8"/>
    <w:multiLevelType w:val="hybridMultilevel"/>
    <w:tmpl w:val="9BF30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8529C"/>
    <w:multiLevelType w:val="multilevel"/>
    <w:tmpl w:val="EB5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23106"/>
    <w:multiLevelType w:val="hybridMultilevel"/>
    <w:tmpl w:val="D6228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995B8B"/>
    <w:multiLevelType w:val="hybridMultilevel"/>
    <w:tmpl w:val="785C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1D28B8"/>
    <w:multiLevelType w:val="hybridMultilevel"/>
    <w:tmpl w:val="F82E9A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345F5B"/>
    <w:multiLevelType w:val="hybridMultilevel"/>
    <w:tmpl w:val="FEDCC6D4"/>
    <w:lvl w:ilvl="0" w:tplc="D2EAFA4E">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618CAECE">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651D6A"/>
    <w:multiLevelType w:val="hybridMultilevel"/>
    <w:tmpl w:val="0F325EFC"/>
    <w:lvl w:ilvl="0" w:tplc="AB6CC5F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E1BE1"/>
    <w:multiLevelType w:val="hybridMultilevel"/>
    <w:tmpl w:val="72D61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1580495"/>
    <w:multiLevelType w:val="hybridMultilevel"/>
    <w:tmpl w:val="DF405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02CBF"/>
    <w:multiLevelType w:val="multilevel"/>
    <w:tmpl w:val="8EFC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363506"/>
    <w:multiLevelType w:val="hybridMultilevel"/>
    <w:tmpl w:val="C54C8210"/>
    <w:lvl w:ilvl="0" w:tplc="FFFFFFFF">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30F6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A6798E"/>
    <w:multiLevelType w:val="hybridMultilevel"/>
    <w:tmpl w:val="0630C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62251"/>
    <w:multiLevelType w:val="hybridMultilevel"/>
    <w:tmpl w:val="EB2A6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4CB953"/>
    <w:multiLevelType w:val="hybridMultilevel"/>
    <w:tmpl w:val="F58A0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B4339C"/>
    <w:multiLevelType w:val="hybridMultilevel"/>
    <w:tmpl w:val="4064B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60B52"/>
    <w:multiLevelType w:val="hybridMultilevel"/>
    <w:tmpl w:val="D65C3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C630BB"/>
    <w:multiLevelType w:val="hybridMultilevel"/>
    <w:tmpl w:val="8A8EE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F678C"/>
    <w:multiLevelType w:val="hybridMultilevel"/>
    <w:tmpl w:val="716A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1266C"/>
    <w:multiLevelType w:val="multilevel"/>
    <w:tmpl w:val="900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CD50FD"/>
    <w:multiLevelType w:val="hybridMultilevel"/>
    <w:tmpl w:val="21A4F708"/>
    <w:lvl w:ilvl="0" w:tplc="FFFFFFFF">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5774F6C"/>
    <w:multiLevelType w:val="multilevel"/>
    <w:tmpl w:val="533C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D2C0B"/>
    <w:multiLevelType w:val="hybridMultilevel"/>
    <w:tmpl w:val="745A3824"/>
    <w:lvl w:ilvl="0" w:tplc="087241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4D1F1F"/>
    <w:multiLevelType w:val="hybridMultilevel"/>
    <w:tmpl w:val="AA32B9F6"/>
    <w:lvl w:ilvl="0" w:tplc="9BBA93E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846D27"/>
    <w:multiLevelType w:val="hybridMultilevel"/>
    <w:tmpl w:val="A48C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40007C"/>
    <w:multiLevelType w:val="hybridMultilevel"/>
    <w:tmpl w:val="6B8EB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6937A4"/>
    <w:multiLevelType w:val="singleLevel"/>
    <w:tmpl w:val="858CC70C"/>
    <w:lvl w:ilvl="0">
      <w:start w:val="3"/>
      <w:numFmt w:val="bullet"/>
      <w:lvlText w:val="-"/>
      <w:lvlJc w:val="left"/>
      <w:pPr>
        <w:tabs>
          <w:tab w:val="num" w:pos="720"/>
        </w:tabs>
        <w:ind w:left="720" w:hanging="360"/>
      </w:pPr>
      <w:rPr>
        <w:rFonts w:hint="default"/>
      </w:rPr>
    </w:lvl>
  </w:abstractNum>
  <w:abstractNum w:abstractNumId="29" w15:restartNumberingAfterBreak="0">
    <w:nsid w:val="3E2969E0"/>
    <w:multiLevelType w:val="hybridMultilevel"/>
    <w:tmpl w:val="24AAE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FC1D7E"/>
    <w:multiLevelType w:val="hybridMultilevel"/>
    <w:tmpl w:val="F14C8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7609F2"/>
    <w:multiLevelType w:val="hybridMultilevel"/>
    <w:tmpl w:val="41D879E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48937742"/>
    <w:multiLevelType w:val="hybridMultilevel"/>
    <w:tmpl w:val="CDC0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3960A0"/>
    <w:multiLevelType w:val="multilevel"/>
    <w:tmpl w:val="4EC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A3456C"/>
    <w:multiLevelType w:val="hybridMultilevel"/>
    <w:tmpl w:val="1AF44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5E3782"/>
    <w:multiLevelType w:val="hybridMultilevel"/>
    <w:tmpl w:val="2D06CB98"/>
    <w:lvl w:ilvl="0" w:tplc="73F883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26CF9"/>
    <w:multiLevelType w:val="hybridMultilevel"/>
    <w:tmpl w:val="94E20854"/>
    <w:lvl w:ilvl="0" w:tplc="0A5A6A8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12B1E09"/>
    <w:multiLevelType w:val="hybridMultilevel"/>
    <w:tmpl w:val="FAECD65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332489"/>
    <w:multiLevelType w:val="hybridMultilevel"/>
    <w:tmpl w:val="C24A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137265"/>
    <w:multiLevelType w:val="multilevel"/>
    <w:tmpl w:val="E02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4146B7"/>
    <w:multiLevelType w:val="multilevel"/>
    <w:tmpl w:val="5246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AE09CF"/>
    <w:multiLevelType w:val="hybridMultilevel"/>
    <w:tmpl w:val="5308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A31E05"/>
    <w:multiLevelType w:val="hybridMultilevel"/>
    <w:tmpl w:val="A22E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0A6A0B"/>
    <w:multiLevelType w:val="multilevel"/>
    <w:tmpl w:val="022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2633DE"/>
    <w:multiLevelType w:val="hybridMultilevel"/>
    <w:tmpl w:val="F708A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C92BCA"/>
    <w:multiLevelType w:val="hybridMultilevel"/>
    <w:tmpl w:val="8382796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A3C0E"/>
    <w:multiLevelType w:val="hybridMultilevel"/>
    <w:tmpl w:val="24D089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AA58C2"/>
    <w:multiLevelType w:val="hybridMultilevel"/>
    <w:tmpl w:val="915617FE"/>
    <w:lvl w:ilvl="0" w:tplc="D2EAFA4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618CAECE">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20317637">
    <w:abstractNumId w:val="38"/>
  </w:num>
  <w:num w:numId="2" w16cid:durableId="1728644055">
    <w:abstractNumId w:val="47"/>
  </w:num>
  <w:num w:numId="3" w16cid:durableId="2078358469">
    <w:abstractNumId w:val="6"/>
  </w:num>
  <w:num w:numId="4" w16cid:durableId="225651997">
    <w:abstractNumId w:val="50"/>
  </w:num>
  <w:num w:numId="5" w16cid:durableId="1723939055">
    <w:abstractNumId w:val="12"/>
  </w:num>
  <w:num w:numId="6" w16cid:durableId="394206992">
    <w:abstractNumId w:val="22"/>
  </w:num>
  <w:num w:numId="7" w16cid:durableId="853346266">
    <w:abstractNumId w:val="2"/>
  </w:num>
  <w:num w:numId="8" w16cid:durableId="845099662">
    <w:abstractNumId w:val="4"/>
  </w:num>
  <w:num w:numId="9" w16cid:durableId="1967350496">
    <w:abstractNumId w:val="46"/>
  </w:num>
  <w:num w:numId="10" w16cid:durableId="40441782">
    <w:abstractNumId w:val="31"/>
  </w:num>
  <w:num w:numId="11" w16cid:durableId="1268855841">
    <w:abstractNumId w:val="16"/>
  </w:num>
  <w:num w:numId="12" w16cid:durableId="647319593">
    <w:abstractNumId w:val="0"/>
  </w:num>
  <w:num w:numId="13" w16cid:durableId="1443837064">
    <w:abstractNumId w:val="1"/>
  </w:num>
  <w:num w:numId="14" w16cid:durableId="537400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204703">
    <w:abstractNumId w:val="43"/>
  </w:num>
  <w:num w:numId="16" w16cid:durableId="545066535">
    <w:abstractNumId w:val="37"/>
  </w:num>
  <w:num w:numId="17" w16cid:durableId="731344313">
    <w:abstractNumId w:val="26"/>
  </w:num>
  <w:num w:numId="18" w16cid:durableId="1320815037">
    <w:abstractNumId w:val="3"/>
  </w:num>
  <w:num w:numId="19" w16cid:durableId="423965332">
    <w:abstractNumId w:val="40"/>
  </w:num>
  <w:num w:numId="20" w16cid:durableId="493910535">
    <w:abstractNumId w:val="32"/>
  </w:num>
  <w:num w:numId="21" w16cid:durableId="1146161952">
    <w:abstractNumId w:val="12"/>
  </w:num>
  <w:num w:numId="22" w16cid:durableId="2108498928">
    <w:abstractNumId w:val="37"/>
  </w:num>
  <w:num w:numId="23" w16cid:durableId="375591387">
    <w:abstractNumId w:val="49"/>
  </w:num>
  <w:num w:numId="24" w16cid:durableId="681399670">
    <w:abstractNumId w:val="34"/>
  </w:num>
  <w:num w:numId="25" w16cid:durableId="1635401219">
    <w:abstractNumId w:val="45"/>
  </w:num>
  <w:num w:numId="26" w16cid:durableId="29109096">
    <w:abstractNumId w:val="10"/>
  </w:num>
  <w:num w:numId="27" w16cid:durableId="2075619355">
    <w:abstractNumId w:val="29"/>
  </w:num>
  <w:num w:numId="28" w16cid:durableId="1627929299">
    <w:abstractNumId w:val="14"/>
  </w:num>
  <w:num w:numId="29" w16cid:durableId="1141461470">
    <w:abstractNumId w:val="25"/>
  </w:num>
  <w:num w:numId="30" w16cid:durableId="856190600">
    <w:abstractNumId w:val="17"/>
  </w:num>
  <w:num w:numId="31" w16cid:durableId="773938440">
    <w:abstractNumId w:val="8"/>
  </w:num>
  <w:num w:numId="32" w16cid:durableId="674457759">
    <w:abstractNumId w:val="23"/>
  </w:num>
  <w:num w:numId="33" w16cid:durableId="86318418">
    <w:abstractNumId w:val="44"/>
  </w:num>
  <w:num w:numId="34" w16cid:durableId="894388939">
    <w:abstractNumId w:val="21"/>
  </w:num>
  <w:num w:numId="35" w16cid:durableId="1447775534">
    <w:abstractNumId w:val="41"/>
  </w:num>
  <w:num w:numId="36" w16cid:durableId="1105421684">
    <w:abstractNumId w:val="11"/>
  </w:num>
  <w:num w:numId="37" w16cid:durableId="1369574367">
    <w:abstractNumId w:val="33"/>
  </w:num>
  <w:num w:numId="38" w16cid:durableId="1922177019">
    <w:abstractNumId w:val="36"/>
  </w:num>
  <w:num w:numId="39" w16cid:durableId="153113780">
    <w:abstractNumId w:val="28"/>
  </w:num>
  <w:num w:numId="40" w16cid:durableId="316569274">
    <w:abstractNumId w:val="20"/>
  </w:num>
  <w:num w:numId="41" w16cid:durableId="1934051510">
    <w:abstractNumId w:val="42"/>
  </w:num>
  <w:num w:numId="42" w16cid:durableId="1549339271">
    <w:abstractNumId w:val="5"/>
  </w:num>
  <w:num w:numId="43" w16cid:durableId="895043798">
    <w:abstractNumId w:val="19"/>
  </w:num>
  <w:num w:numId="44" w16cid:durableId="1130636769">
    <w:abstractNumId w:val="24"/>
  </w:num>
  <w:num w:numId="45" w16cid:durableId="1735815767">
    <w:abstractNumId w:val="35"/>
  </w:num>
  <w:num w:numId="46" w16cid:durableId="693112963">
    <w:abstractNumId w:val="15"/>
  </w:num>
  <w:num w:numId="47" w16cid:durableId="341319999">
    <w:abstractNumId w:val="39"/>
  </w:num>
  <w:num w:numId="48" w16cid:durableId="955260868">
    <w:abstractNumId w:val="27"/>
  </w:num>
  <w:num w:numId="49" w16cid:durableId="1699887340">
    <w:abstractNumId w:val="7"/>
  </w:num>
  <w:num w:numId="50" w16cid:durableId="1072656536">
    <w:abstractNumId w:val="30"/>
  </w:num>
  <w:num w:numId="51" w16cid:durableId="1994017376">
    <w:abstractNumId w:val="18"/>
  </w:num>
  <w:num w:numId="52" w16cid:durableId="1270238509">
    <w:abstractNumId w:val="13"/>
  </w:num>
  <w:num w:numId="53" w16cid:durableId="1851137384">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CC"/>
    <w:rsid w:val="000001DF"/>
    <w:rsid w:val="0000031C"/>
    <w:rsid w:val="000006AB"/>
    <w:rsid w:val="0000098F"/>
    <w:rsid w:val="00000A3B"/>
    <w:rsid w:val="00000F7B"/>
    <w:rsid w:val="00001461"/>
    <w:rsid w:val="000014FA"/>
    <w:rsid w:val="0000283F"/>
    <w:rsid w:val="00002985"/>
    <w:rsid w:val="00002F0C"/>
    <w:rsid w:val="0000362F"/>
    <w:rsid w:val="00003743"/>
    <w:rsid w:val="000037B3"/>
    <w:rsid w:val="00003A74"/>
    <w:rsid w:val="000040A5"/>
    <w:rsid w:val="0000444A"/>
    <w:rsid w:val="000047B4"/>
    <w:rsid w:val="000048CA"/>
    <w:rsid w:val="00004E09"/>
    <w:rsid w:val="00004F51"/>
    <w:rsid w:val="000050BA"/>
    <w:rsid w:val="00005712"/>
    <w:rsid w:val="000058FE"/>
    <w:rsid w:val="00005FC9"/>
    <w:rsid w:val="00006071"/>
    <w:rsid w:val="00006284"/>
    <w:rsid w:val="0000648A"/>
    <w:rsid w:val="0000653C"/>
    <w:rsid w:val="00006954"/>
    <w:rsid w:val="000069CF"/>
    <w:rsid w:val="00006BF1"/>
    <w:rsid w:val="00006F36"/>
    <w:rsid w:val="000070C5"/>
    <w:rsid w:val="0000759C"/>
    <w:rsid w:val="00007736"/>
    <w:rsid w:val="00007C8C"/>
    <w:rsid w:val="00007FD8"/>
    <w:rsid w:val="000101D5"/>
    <w:rsid w:val="000108FE"/>
    <w:rsid w:val="00010A3B"/>
    <w:rsid w:val="00010B6B"/>
    <w:rsid w:val="00010BFC"/>
    <w:rsid w:val="00010EA4"/>
    <w:rsid w:val="0001151E"/>
    <w:rsid w:val="000117F8"/>
    <w:rsid w:val="00012103"/>
    <w:rsid w:val="000121B2"/>
    <w:rsid w:val="00013398"/>
    <w:rsid w:val="000133C8"/>
    <w:rsid w:val="00013E10"/>
    <w:rsid w:val="000147AE"/>
    <w:rsid w:val="00014CC6"/>
    <w:rsid w:val="00015583"/>
    <w:rsid w:val="0001616F"/>
    <w:rsid w:val="00016C83"/>
    <w:rsid w:val="0002035C"/>
    <w:rsid w:val="0002065E"/>
    <w:rsid w:val="00020933"/>
    <w:rsid w:val="00020A76"/>
    <w:rsid w:val="00020C65"/>
    <w:rsid w:val="00020CE2"/>
    <w:rsid w:val="00020D74"/>
    <w:rsid w:val="00021DF1"/>
    <w:rsid w:val="0002241A"/>
    <w:rsid w:val="0002262C"/>
    <w:rsid w:val="00022793"/>
    <w:rsid w:val="00022DDF"/>
    <w:rsid w:val="00022EEF"/>
    <w:rsid w:val="000231B6"/>
    <w:rsid w:val="0002341B"/>
    <w:rsid w:val="00023914"/>
    <w:rsid w:val="000239E9"/>
    <w:rsid w:val="00023E7C"/>
    <w:rsid w:val="00023EC3"/>
    <w:rsid w:val="00024373"/>
    <w:rsid w:val="00024460"/>
    <w:rsid w:val="00024593"/>
    <w:rsid w:val="000250B8"/>
    <w:rsid w:val="00025102"/>
    <w:rsid w:val="00025694"/>
    <w:rsid w:val="00025714"/>
    <w:rsid w:val="000259DA"/>
    <w:rsid w:val="00025B5D"/>
    <w:rsid w:val="00025D2D"/>
    <w:rsid w:val="00025D7C"/>
    <w:rsid w:val="00025D9E"/>
    <w:rsid w:val="00026139"/>
    <w:rsid w:val="00026591"/>
    <w:rsid w:val="00026871"/>
    <w:rsid w:val="00026A4A"/>
    <w:rsid w:val="00026FF8"/>
    <w:rsid w:val="00027071"/>
    <w:rsid w:val="00027107"/>
    <w:rsid w:val="000272A8"/>
    <w:rsid w:val="00027349"/>
    <w:rsid w:val="00027601"/>
    <w:rsid w:val="00027A49"/>
    <w:rsid w:val="00027DC1"/>
    <w:rsid w:val="00027F6C"/>
    <w:rsid w:val="00027F6F"/>
    <w:rsid w:val="00030357"/>
    <w:rsid w:val="0003067A"/>
    <w:rsid w:val="000306B4"/>
    <w:rsid w:val="0003093B"/>
    <w:rsid w:val="00031383"/>
    <w:rsid w:val="00031BBA"/>
    <w:rsid w:val="0003204A"/>
    <w:rsid w:val="00032CF8"/>
    <w:rsid w:val="00032F14"/>
    <w:rsid w:val="00032F16"/>
    <w:rsid w:val="000332A9"/>
    <w:rsid w:val="00033321"/>
    <w:rsid w:val="000338E5"/>
    <w:rsid w:val="00033ECC"/>
    <w:rsid w:val="0003422F"/>
    <w:rsid w:val="000343FA"/>
    <w:rsid w:val="00034747"/>
    <w:rsid w:val="0003498F"/>
    <w:rsid w:val="000351FF"/>
    <w:rsid w:val="00035270"/>
    <w:rsid w:val="000355F6"/>
    <w:rsid w:val="00035BE5"/>
    <w:rsid w:val="00036391"/>
    <w:rsid w:val="00036880"/>
    <w:rsid w:val="00036D20"/>
    <w:rsid w:val="000373F9"/>
    <w:rsid w:val="000376D8"/>
    <w:rsid w:val="000377AE"/>
    <w:rsid w:val="0003791E"/>
    <w:rsid w:val="000379E4"/>
    <w:rsid w:val="0004049E"/>
    <w:rsid w:val="00040A32"/>
    <w:rsid w:val="00040B68"/>
    <w:rsid w:val="00041183"/>
    <w:rsid w:val="000413BF"/>
    <w:rsid w:val="0004166E"/>
    <w:rsid w:val="0004190D"/>
    <w:rsid w:val="00041A66"/>
    <w:rsid w:val="000426EC"/>
    <w:rsid w:val="00042BED"/>
    <w:rsid w:val="00042CB7"/>
    <w:rsid w:val="00042DAB"/>
    <w:rsid w:val="000435E9"/>
    <w:rsid w:val="00043D99"/>
    <w:rsid w:val="00044027"/>
    <w:rsid w:val="00044067"/>
    <w:rsid w:val="0004418A"/>
    <w:rsid w:val="000444E9"/>
    <w:rsid w:val="0004469C"/>
    <w:rsid w:val="00044A63"/>
    <w:rsid w:val="00044B70"/>
    <w:rsid w:val="000450EB"/>
    <w:rsid w:val="00045492"/>
    <w:rsid w:val="00045578"/>
    <w:rsid w:val="00046012"/>
    <w:rsid w:val="000460AA"/>
    <w:rsid w:val="00046449"/>
    <w:rsid w:val="000464F4"/>
    <w:rsid w:val="000465CB"/>
    <w:rsid w:val="00046744"/>
    <w:rsid w:val="00046750"/>
    <w:rsid w:val="00046840"/>
    <w:rsid w:val="000469EB"/>
    <w:rsid w:val="00046FF0"/>
    <w:rsid w:val="0004753B"/>
    <w:rsid w:val="00047A31"/>
    <w:rsid w:val="00047C08"/>
    <w:rsid w:val="00050176"/>
    <w:rsid w:val="00050278"/>
    <w:rsid w:val="0005072D"/>
    <w:rsid w:val="0005080C"/>
    <w:rsid w:val="00050C4F"/>
    <w:rsid w:val="00051157"/>
    <w:rsid w:val="000511F7"/>
    <w:rsid w:val="0005159E"/>
    <w:rsid w:val="0005243A"/>
    <w:rsid w:val="00053030"/>
    <w:rsid w:val="00053094"/>
    <w:rsid w:val="0005388F"/>
    <w:rsid w:val="00053F72"/>
    <w:rsid w:val="000540C8"/>
    <w:rsid w:val="00054168"/>
    <w:rsid w:val="00054189"/>
    <w:rsid w:val="0005456B"/>
    <w:rsid w:val="0005534F"/>
    <w:rsid w:val="00055B09"/>
    <w:rsid w:val="00055C2F"/>
    <w:rsid w:val="000562C9"/>
    <w:rsid w:val="0005634D"/>
    <w:rsid w:val="00056A8B"/>
    <w:rsid w:val="00056BB8"/>
    <w:rsid w:val="00056BC8"/>
    <w:rsid w:val="00056D18"/>
    <w:rsid w:val="00057343"/>
    <w:rsid w:val="00057975"/>
    <w:rsid w:val="00057B91"/>
    <w:rsid w:val="00057BFE"/>
    <w:rsid w:val="000600F2"/>
    <w:rsid w:val="000617FD"/>
    <w:rsid w:val="000619D0"/>
    <w:rsid w:val="000619EC"/>
    <w:rsid w:val="00062023"/>
    <w:rsid w:val="00062270"/>
    <w:rsid w:val="000626AA"/>
    <w:rsid w:val="00062B65"/>
    <w:rsid w:val="00062D0F"/>
    <w:rsid w:val="00062D5D"/>
    <w:rsid w:val="00062E9F"/>
    <w:rsid w:val="0006341D"/>
    <w:rsid w:val="00063B79"/>
    <w:rsid w:val="0006429D"/>
    <w:rsid w:val="0006433B"/>
    <w:rsid w:val="000643C4"/>
    <w:rsid w:val="00064C9F"/>
    <w:rsid w:val="00064D5B"/>
    <w:rsid w:val="00064DBE"/>
    <w:rsid w:val="00064FBF"/>
    <w:rsid w:val="00065250"/>
    <w:rsid w:val="00065783"/>
    <w:rsid w:val="00065848"/>
    <w:rsid w:val="00066034"/>
    <w:rsid w:val="000663DE"/>
    <w:rsid w:val="0006671F"/>
    <w:rsid w:val="00066B23"/>
    <w:rsid w:val="0006701C"/>
    <w:rsid w:val="00067054"/>
    <w:rsid w:val="00067456"/>
    <w:rsid w:val="00067631"/>
    <w:rsid w:val="0006782C"/>
    <w:rsid w:val="00067B7C"/>
    <w:rsid w:val="00067F67"/>
    <w:rsid w:val="00070D59"/>
    <w:rsid w:val="000710F4"/>
    <w:rsid w:val="00071506"/>
    <w:rsid w:val="0007154F"/>
    <w:rsid w:val="0007161F"/>
    <w:rsid w:val="00071E6E"/>
    <w:rsid w:val="0007237E"/>
    <w:rsid w:val="000727DD"/>
    <w:rsid w:val="00072CBF"/>
    <w:rsid w:val="00072D5E"/>
    <w:rsid w:val="00072E4A"/>
    <w:rsid w:val="00073204"/>
    <w:rsid w:val="00073D4A"/>
    <w:rsid w:val="0007403B"/>
    <w:rsid w:val="00074266"/>
    <w:rsid w:val="000748D7"/>
    <w:rsid w:val="00074AD9"/>
    <w:rsid w:val="00075061"/>
    <w:rsid w:val="000756AC"/>
    <w:rsid w:val="0007588A"/>
    <w:rsid w:val="000758BD"/>
    <w:rsid w:val="00075D35"/>
    <w:rsid w:val="00075EE0"/>
    <w:rsid w:val="00076110"/>
    <w:rsid w:val="0007651C"/>
    <w:rsid w:val="00076856"/>
    <w:rsid w:val="0007686B"/>
    <w:rsid w:val="00076C65"/>
    <w:rsid w:val="000772C1"/>
    <w:rsid w:val="0007777C"/>
    <w:rsid w:val="00077A9D"/>
    <w:rsid w:val="00077CF9"/>
    <w:rsid w:val="00077DC0"/>
    <w:rsid w:val="00077E7B"/>
    <w:rsid w:val="00080141"/>
    <w:rsid w:val="00080618"/>
    <w:rsid w:val="0008074C"/>
    <w:rsid w:val="0008078B"/>
    <w:rsid w:val="00080CF1"/>
    <w:rsid w:val="000813B7"/>
    <w:rsid w:val="00081AB1"/>
    <w:rsid w:val="000826E2"/>
    <w:rsid w:val="00082CAC"/>
    <w:rsid w:val="00083091"/>
    <w:rsid w:val="000832BB"/>
    <w:rsid w:val="000836B8"/>
    <w:rsid w:val="00083EEC"/>
    <w:rsid w:val="000840BB"/>
    <w:rsid w:val="000841C0"/>
    <w:rsid w:val="00084555"/>
    <w:rsid w:val="00084775"/>
    <w:rsid w:val="00084799"/>
    <w:rsid w:val="000851A2"/>
    <w:rsid w:val="00085853"/>
    <w:rsid w:val="00085E52"/>
    <w:rsid w:val="00085F71"/>
    <w:rsid w:val="000862B8"/>
    <w:rsid w:val="00086463"/>
    <w:rsid w:val="000878E4"/>
    <w:rsid w:val="000878EB"/>
    <w:rsid w:val="00087B57"/>
    <w:rsid w:val="00087C35"/>
    <w:rsid w:val="00087EB9"/>
    <w:rsid w:val="0008CFE9"/>
    <w:rsid w:val="0008F19C"/>
    <w:rsid w:val="00090316"/>
    <w:rsid w:val="0009064C"/>
    <w:rsid w:val="00090909"/>
    <w:rsid w:val="0009093D"/>
    <w:rsid w:val="0009120E"/>
    <w:rsid w:val="00091D0A"/>
    <w:rsid w:val="00091EE7"/>
    <w:rsid w:val="000920A1"/>
    <w:rsid w:val="000920DC"/>
    <w:rsid w:val="00092DE6"/>
    <w:rsid w:val="00092E77"/>
    <w:rsid w:val="00093207"/>
    <w:rsid w:val="00093219"/>
    <w:rsid w:val="0009359B"/>
    <w:rsid w:val="00093981"/>
    <w:rsid w:val="00093A45"/>
    <w:rsid w:val="00093CD9"/>
    <w:rsid w:val="000942AF"/>
    <w:rsid w:val="0009436F"/>
    <w:rsid w:val="000948B3"/>
    <w:rsid w:val="00094A49"/>
    <w:rsid w:val="00094C08"/>
    <w:rsid w:val="00094FE0"/>
    <w:rsid w:val="0009530F"/>
    <w:rsid w:val="00095E92"/>
    <w:rsid w:val="00095F5B"/>
    <w:rsid w:val="00095FB7"/>
    <w:rsid w:val="00096446"/>
    <w:rsid w:val="000969B3"/>
    <w:rsid w:val="00096C71"/>
    <w:rsid w:val="000974D7"/>
    <w:rsid w:val="00097CA1"/>
    <w:rsid w:val="000A0277"/>
    <w:rsid w:val="000A02EA"/>
    <w:rsid w:val="000A03C7"/>
    <w:rsid w:val="000A1021"/>
    <w:rsid w:val="000A16CB"/>
    <w:rsid w:val="000A1E0B"/>
    <w:rsid w:val="000A1EDE"/>
    <w:rsid w:val="000A2091"/>
    <w:rsid w:val="000A2407"/>
    <w:rsid w:val="000A25F8"/>
    <w:rsid w:val="000A2D01"/>
    <w:rsid w:val="000A3345"/>
    <w:rsid w:val="000A33F2"/>
    <w:rsid w:val="000A37A0"/>
    <w:rsid w:val="000A3CD5"/>
    <w:rsid w:val="000A46F7"/>
    <w:rsid w:val="000A47C1"/>
    <w:rsid w:val="000A48E3"/>
    <w:rsid w:val="000A56D4"/>
    <w:rsid w:val="000A5875"/>
    <w:rsid w:val="000A5D1F"/>
    <w:rsid w:val="000A5EFA"/>
    <w:rsid w:val="000A66A6"/>
    <w:rsid w:val="000A6B22"/>
    <w:rsid w:val="000A6D15"/>
    <w:rsid w:val="000A6F7A"/>
    <w:rsid w:val="000B05F4"/>
    <w:rsid w:val="000B067A"/>
    <w:rsid w:val="000B0873"/>
    <w:rsid w:val="000B0F0C"/>
    <w:rsid w:val="000B0FF2"/>
    <w:rsid w:val="000B13C7"/>
    <w:rsid w:val="000B1540"/>
    <w:rsid w:val="000B1B4D"/>
    <w:rsid w:val="000B1F29"/>
    <w:rsid w:val="000B267D"/>
    <w:rsid w:val="000B29CF"/>
    <w:rsid w:val="000B2A6F"/>
    <w:rsid w:val="000B2BFE"/>
    <w:rsid w:val="000B33FD"/>
    <w:rsid w:val="000B37E0"/>
    <w:rsid w:val="000B39CC"/>
    <w:rsid w:val="000B3A8E"/>
    <w:rsid w:val="000B4123"/>
    <w:rsid w:val="000B443E"/>
    <w:rsid w:val="000B4594"/>
    <w:rsid w:val="000B4ABA"/>
    <w:rsid w:val="000B4CEC"/>
    <w:rsid w:val="000B4DEE"/>
    <w:rsid w:val="000B4E2B"/>
    <w:rsid w:val="000B57DD"/>
    <w:rsid w:val="000B58C6"/>
    <w:rsid w:val="000B5A02"/>
    <w:rsid w:val="000B5BD7"/>
    <w:rsid w:val="000B6219"/>
    <w:rsid w:val="000B62C0"/>
    <w:rsid w:val="000B6778"/>
    <w:rsid w:val="000B6E10"/>
    <w:rsid w:val="000B6F12"/>
    <w:rsid w:val="000B700F"/>
    <w:rsid w:val="000B75FF"/>
    <w:rsid w:val="000B76D4"/>
    <w:rsid w:val="000B7B94"/>
    <w:rsid w:val="000C0206"/>
    <w:rsid w:val="000C071F"/>
    <w:rsid w:val="000C0AD4"/>
    <w:rsid w:val="000C10C3"/>
    <w:rsid w:val="000C1402"/>
    <w:rsid w:val="000C1FF5"/>
    <w:rsid w:val="000C2714"/>
    <w:rsid w:val="000C2B24"/>
    <w:rsid w:val="000C3D10"/>
    <w:rsid w:val="000C3FDA"/>
    <w:rsid w:val="000C44EE"/>
    <w:rsid w:val="000C46B1"/>
    <w:rsid w:val="000C4790"/>
    <w:rsid w:val="000C4B16"/>
    <w:rsid w:val="000C4EEA"/>
    <w:rsid w:val="000C50C3"/>
    <w:rsid w:val="000C5BE6"/>
    <w:rsid w:val="000C5CDB"/>
    <w:rsid w:val="000C5EA7"/>
    <w:rsid w:val="000C60DC"/>
    <w:rsid w:val="000C6180"/>
    <w:rsid w:val="000C6237"/>
    <w:rsid w:val="000C6285"/>
    <w:rsid w:val="000C639A"/>
    <w:rsid w:val="000C63FA"/>
    <w:rsid w:val="000C658E"/>
    <w:rsid w:val="000C6C7E"/>
    <w:rsid w:val="000C7628"/>
    <w:rsid w:val="000D046D"/>
    <w:rsid w:val="000D0708"/>
    <w:rsid w:val="000D0E94"/>
    <w:rsid w:val="000D1318"/>
    <w:rsid w:val="000D1448"/>
    <w:rsid w:val="000D15C2"/>
    <w:rsid w:val="000D16A0"/>
    <w:rsid w:val="000D1A76"/>
    <w:rsid w:val="000D21F6"/>
    <w:rsid w:val="000D2274"/>
    <w:rsid w:val="000D2B75"/>
    <w:rsid w:val="000D2D2D"/>
    <w:rsid w:val="000D2F7A"/>
    <w:rsid w:val="000D33EB"/>
    <w:rsid w:val="000D3458"/>
    <w:rsid w:val="000D3D57"/>
    <w:rsid w:val="000D3FD7"/>
    <w:rsid w:val="000D42C3"/>
    <w:rsid w:val="000D4500"/>
    <w:rsid w:val="000D45C3"/>
    <w:rsid w:val="000D4BE1"/>
    <w:rsid w:val="000D4C83"/>
    <w:rsid w:val="000D5137"/>
    <w:rsid w:val="000D5FC3"/>
    <w:rsid w:val="000D60D5"/>
    <w:rsid w:val="000D66F7"/>
    <w:rsid w:val="000D67C9"/>
    <w:rsid w:val="000D680B"/>
    <w:rsid w:val="000D764A"/>
    <w:rsid w:val="000D7932"/>
    <w:rsid w:val="000D7AEA"/>
    <w:rsid w:val="000D7E9F"/>
    <w:rsid w:val="000D7EAC"/>
    <w:rsid w:val="000E016C"/>
    <w:rsid w:val="000E01A9"/>
    <w:rsid w:val="000E0618"/>
    <w:rsid w:val="000E0BEE"/>
    <w:rsid w:val="000E1157"/>
    <w:rsid w:val="000E1177"/>
    <w:rsid w:val="000E1185"/>
    <w:rsid w:val="000E2720"/>
    <w:rsid w:val="000E2756"/>
    <w:rsid w:val="000E2820"/>
    <w:rsid w:val="000E2B19"/>
    <w:rsid w:val="000E2C66"/>
    <w:rsid w:val="000E3256"/>
    <w:rsid w:val="000E335D"/>
    <w:rsid w:val="000E34ED"/>
    <w:rsid w:val="000E37D9"/>
    <w:rsid w:val="000E3A6F"/>
    <w:rsid w:val="000E432D"/>
    <w:rsid w:val="000E43FF"/>
    <w:rsid w:val="000E4AC4"/>
    <w:rsid w:val="000E546D"/>
    <w:rsid w:val="000E5484"/>
    <w:rsid w:val="000E5C06"/>
    <w:rsid w:val="000E5C76"/>
    <w:rsid w:val="000E5E25"/>
    <w:rsid w:val="000E5FA0"/>
    <w:rsid w:val="000E637D"/>
    <w:rsid w:val="000E6903"/>
    <w:rsid w:val="000E6C56"/>
    <w:rsid w:val="000E6E7D"/>
    <w:rsid w:val="000E763A"/>
    <w:rsid w:val="000EC4C8"/>
    <w:rsid w:val="000F008C"/>
    <w:rsid w:val="000F0FF4"/>
    <w:rsid w:val="000F123C"/>
    <w:rsid w:val="000F140E"/>
    <w:rsid w:val="000F1773"/>
    <w:rsid w:val="000F1ADA"/>
    <w:rsid w:val="000F1D3D"/>
    <w:rsid w:val="000F204B"/>
    <w:rsid w:val="000F2053"/>
    <w:rsid w:val="000F2192"/>
    <w:rsid w:val="000F2335"/>
    <w:rsid w:val="000F294A"/>
    <w:rsid w:val="000F2F68"/>
    <w:rsid w:val="000F2FED"/>
    <w:rsid w:val="000F3E8B"/>
    <w:rsid w:val="000F3FF4"/>
    <w:rsid w:val="000F4CBD"/>
    <w:rsid w:val="000F4F02"/>
    <w:rsid w:val="000F51A1"/>
    <w:rsid w:val="000F5620"/>
    <w:rsid w:val="000F58D4"/>
    <w:rsid w:val="000F6294"/>
    <w:rsid w:val="000F6399"/>
    <w:rsid w:val="000F6811"/>
    <w:rsid w:val="000F6F39"/>
    <w:rsid w:val="000F71D3"/>
    <w:rsid w:val="000F780D"/>
    <w:rsid w:val="000F79AB"/>
    <w:rsid w:val="000F7C7A"/>
    <w:rsid w:val="0010066B"/>
    <w:rsid w:val="00100840"/>
    <w:rsid w:val="00100DC0"/>
    <w:rsid w:val="00100DE6"/>
    <w:rsid w:val="00100FA2"/>
    <w:rsid w:val="00101096"/>
    <w:rsid w:val="00101237"/>
    <w:rsid w:val="001012B5"/>
    <w:rsid w:val="001025C1"/>
    <w:rsid w:val="00102703"/>
    <w:rsid w:val="00102C0B"/>
    <w:rsid w:val="00102C26"/>
    <w:rsid w:val="00102F8C"/>
    <w:rsid w:val="0010391C"/>
    <w:rsid w:val="00103AF5"/>
    <w:rsid w:val="00103D03"/>
    <w:rsid w:val="00103E2A"/>
    <w:rsid w:val="0010486C"/>
    <w:rsid w:val="001048E0"/>
    <w:rsid w:val="0010491F"/>
    <w:rsid w:val="00104F1E"/>
    <w:rsid w:val="001055CD"/>
    <w:rsid w:val="0010616D"/>
    <w:rsid w:val="0010618B"/>
    <w:rsid w:val="00106734"/>
    <w:rsid w:val="00106B7E"/>
    <w:rsid w:val="00107385"/>
    <w:rsid w:val="0011035C"/>
    <w:rsid w:val="00110478"/>
    <w:rsid w:val="001104CD"/>
    <w:rsid w:val="00111261"/>
    <w:rsid w:val="0011175F"/>
    <w:rsid w:val="00111952"/>
    <w:rsid w:val="00111C8F"/>
    <w:rsid w:val="00111D54"/>
    <w:rsid w:val="00111FFA"/>
    <w:rsid w:val="00112409"/>
    <w:rsid w:val="00112DBE"/>
    <w:rsid w:val="001132A1"/>
    <w:rsid w:val="00113451"/>
    <w:rsid w:val="00113C86"/>
    <w:rsid w:val="0011454E"/>
    <w:rsid w:val="00114631"/>
    <w:rsid w:val="00114A2C"/>
    <w:rsid w:val="00115547"/>
    <w:rsid w:val="00115738"/>
    <w:rsid w:val="001157DE"/>
    <w:rsid w:val="00115B30"/>
    <w:rsid w:val="00116250"/>
    <w:rsid w:val="001170C2"/>
    <w:rsid w:val="0011711B"/>
    <w:rsid w:val="00117501"/>
    <w:rsid w:val="0011775A"/>
    <w:rsid w:val="00117779"/>
    <w:rsid w:val="00117EA9"/>
    <w:rsid w:val="00117F8A"/>
    <w:rsid w:val="00120177"/>
    <w:rsid w:val="0012029D"/>
    <w:rsid w:val="00120436"/>
    <w:rsid w:val="001205E5"/>
    <w:rsid w:val="00120691"/>
    <w:rsid w:val="001206BF"/>
    <w:rsid w:val="0012074C"/>
    <w:rsid w:val="00120B00"/>
    <w:rsid w:val="001211E1"/>
    <w:rsid w:val="00121752"/>
    <w:rsid w:val="00121808"/>
    <w:rsid w:val="00121B9B"/>
    <w:rsid w:val="00121E03"/>
    <w:rsid w:val="001220EC"/>
    <w:rsid w:val="00122ADC"/>
    <w:rsid w:val="001232AE"/>
    <w:rsid w:val="001234A5"/>
    <w:rsid w:val="001238C1"/>
    <w:rsid w:val="00123C19"/>
    <w:rsid w:val="00124020"/>
    <w:rsid w:val="0012404A"/>
    <w:rsid w:val="00124072"/>
    <w:rsid w:val="0012428C"/>
    <w:rsid w:val="001245E7"/>
    <w:rsid w:val="001249E0"/>
    <w:rsid w:val="00124A8E"/>
    <w:rsid w:val="00124EB2"/>
    <w:rsid w:val="00124FD2"/>
    <w:rsid w:val="0012611B"/>
    <w:rsid w:val="001269AC"/>
    <w:rsid w:val="001269C2"/>
    <w:rsid w:val="00127115"/>
    <w:rsid w:val="00127CF9"/>
    <w:rsid w:val="00127E9B"/>
    <w:rsid w:val="00130A67"/>
    <w:rsid w:val="00130C9A"/>
    <w:rsid w:val="00130F59"/>
    <w:rsid w:val="0013195F"/>
    <w:rsid w:val="00131AE7"/>
    <w:rsid w:val="00131BFE"/>
    <w:rsid w:val="0013313E"/>
    <w:rsid w:val="00133EC0"/>
    <w:rsid w:val="00134573"/>
    <w:rsid w:val="001347E8"/>
    <w:rsid w:val="00134C55"/>
    <w:rsid w:val="00135664"/>
    <w:rsid w:val="00135E9E"/>
    <w:rsid w:val="00136345"/>
    <w:rsid w:val="001375C6"/>
    <w:rsid w:val="00137A04"/>
    <w:rsid w:val="00137A7F"/>
    <w:rsid w:val="00137F72"/>
    <w:rsid w:val="0014028C"/>
    <w:rsid w:val="0014034C"/>
    <w:rsid w:val="00140846"/>
    <w:rsid w:val="001408DF"/>
    <w:rsid w:val="00140D71"/>
    <w:rsid w:val="00140E11"/>
    <w:rsid w:val="00140F2E"/>
    <w:rsid w:val="001411AA"/>
    <w:rsid w:val="0014152D"/>
    <w:rsid w:val="00141C94"/>
    <w:rsid w:val="00141CE5"/>
    <w:rsid w:val="00141EF3"/>
    <w:rsid w:val="0014208A"/>
    <w:rsid w:val="0014222B"/>
    <w:rsid w:val="001429A6"/>
    <w:rsid w:val="00142C5B"/>
    <w:rsid w:val="00142FF6"/>
    <w:rsid w:val="00143596"/>
    <w:rsid w:val="00143790"/>
    <w:rsid w:val="0014394B"/>
    <w:rsid w:val="001442F1"/>
    <w:rsid w:val="00144732"/>
    <w:rsid w:val="00144908"/>
    <w:rsid w:val="00144EF6"/>
    <w:rsid w:val="0014525F"/>
    <w:rsid w:val="0014528F"/>
    <w:rsid w:val="00145534"/>
    <w:rsid w:val="00145653"/>
    <w:rsid w:val="001460BC"/>
    <w:rsid w:val="00146B5B"/>
    <w:rsid w:val="00147571"/>
    <w:rsid w:val="00147609"/>
    <w:rsid w:val="00147B0C"/>
    <w:rsid w:val="00147DF8"/>
    <w:rsid w:val="00150061"/>
    <w:rsid w:val="00150A71"/>
    <w:rsid w:val="00150D77"/>
    <w:rsid w:val="001510CB"/>
    <w:rsid w:val="001517C0"/>
    <w:rsid w:val="001519B2"/>
    <w:rsid w:val="00151A82"/>
    <w:rsid w:val="00151E72"/>
    <w:rsid w:val="001523F3"/>
    <w:rsid w:val="001525CA"/>
    <w:rsid w:val="00152F9F"/>
    <w:rsid w:val="00153590"/>
    <w:rsid w:val="001535C6"/>
    <w:rsid w:val="00153E8B"/>
    <w:rsid w:val="001543B9"/>
    <w:rsid w:val="00154A83"/>
    <w:rsid w:val="00154ADC"/>
    <w:rsid w:val="00154CE5"/>
    <w:rsid w:val="001552EB"/>
    <w:rsid w:val="0015536D"/>
    <w:rsid w:val="00155490"/>
    <w:rsid w:val="00155A5A"/>
    <w:rsid w:val="00155C9B"/>
    <w:rsid w:val="00155F5E"/>
    <w:rsid w:val="00155FBD"/>
    <w:rsid w:val="00156149"/>
    <w:rsid w:val="00156182"/>
    <w:rsid w:val="001571C7"/>
    <w:rsid w:val="001571D3"/>
    <w:rsid w:val="001579B1"/>
    <w:rsid w:val="00157B36"/>
    <w:rsid w:val="00157EB3"/>
    <w:rsid w:val="001602C9"/>
    <w:rsid w:val="00160C5F"/>
    <w:rsid w:val="00160F1C"/>
    <w:rsid w:val="00161094"/>
    <w:rsid w:val="0016112C"/>
    <w:rsid w:val="00161139"/>
    <w:rsid w:val="001611CC"/>
    <w:rsid w:val="00161A70"/>
    <w:rsid w:val="0016251C"/>
    <w:rsid w:val="001626D4"/>
    <w:rsid w:val="00162E0B"/>
    <w:rsid w:val="00163065"/>
    <w:rsid w:val="001639E9"/>
    <w:rsid w:val="001640A4"/>
    <w:rsid w:val="001643F4"/>
    <w:rsid w:val="001652F6"/>
    <w:rsid w:val="00165757"/>
    <w:rsid w:val="00165848"/>
    <w:rsid w:val="00165EAA"/>
    <w:rsid w:val="001664F2"/>
    <w:rsid w:val="00166727"/>
    <w:rsid w:val="00166C9A"/>
    <w:rsid w:val="00166F7A"/>
    <w:rsid w:val="0016705A"/>
    <w:rsid w:val="001670D9"/>
    <w:rsid w:val="00167467"/>
    <w:rsid w:val="00167D54"/>
    <w:rsid w:val="00167F9D"/>
    <w:rsid w:val="00167FE8"/>
    <w:rsid w:val="0017095E"/>
    <w:rsid w:val="00170EE1"/>
    <w:rsid w:val="001715AE"/>
    <w:rsid w:val="00172036"/>
    <w:rsid w:val="00172358"/>
    <w:rsid w:val="001724FE"/>
    <w:rsid w:val="00172693"/>
    <w:rsid w:val="001727D6"/>
    <w:rsid w:val="00172A55"/>
    <w:rsid w:val="00172B02"/>
    <w:rsid w:val="00172DCF"/>
    <w:rsid w:val="00172E1D"/>
    <w:rsid w:val="00173268"/>
    <w:rsid w:val="0017394B"/>
    <w:rsid w:val="00173EA6"/>
    <w:rsid w:val="00174A40"/>
    <w:rsid w:val="00174B0B"/>
    <w:rsid w:val="0017574A"/>
    <w:rsid w:val="001758CD"/>
    <w:rsid w:val="00175973"/>
    <w:rsid w:val="001759E1"/>
    <w:rsid w:val="00176521"/>
    <w:rsid w:val="0017665C"/>
    <w:rsid w:val="00176D91"/>
    <w:rsid w:val="00176FE5"/>
    <w:rsid w:val="001777F9"/>
    <w:rsid w:val="001779BA"/>
    <w:rsid w:val="00177AD2"/>
    <w:rsid w:val="00180163"/>
    <w:rsid w:val="0018052C"/>
    <w:rsid w:val="001806CB"/>
    <w:rsid w:val="00180E25"/>
    <w:rsid w:val="00180E76"/>
    <w:rsid w:val="00180F5E"/>
    <w:rsid w:val="001815A8"/>
    <w:rsid w:val="001817A3"/>
    <w:rsid w:val="0018203C"/>
    <w:rsid w:val="0018207F"/>
    <w:rsid w:val="00182528"/>
    <w:rsid w:val="00182B14"/>
    <w:rsid w:val="0018303B"/>
    <w:rsid w:val="0018314E"/>
    <w:rsid w:val="00183B4B"/>
    <w:rsid w:val="001840FA"/>
    <w:rsid w:val="0018449E"/>
    <w:rsid w:val="00184CBF"/>
    <w:rsid w:val="00185362"/>
    <w:rsid w:val="00185662"/>
    <w:rsid w:val="001856C6"/>
    <w:rsid w:val="00185ACD"/>
    <w:rsid w:val="00185F73"/>
    <w:rsid w:val="00186F83"/>
    <w:rsid w:val="001873FD"/>
    <w:rsid w:val="00187E4B"/>
    <w:rsid w:val="00190079"/>
    <w:rsid w:val="00190183"/>
    <w:rsid w:val="0019069A"/>
    <w:rsid w:val="001907A6"/>
    <w:rsid w:val="001910CA"/>
    <w:rsid w:val="00191AF5"/>
    <w:rsid w:val="00191BF7"/>
    <w:rsid w:val="00191F18"/>
    <w:rsid w:val="001926C6"/>
    <w:rsid w:val="001926CC"/>
    <w:rsid w:val="00192A07"/>
    <w:rsid w:val="00192C78"/>
    <w:rsid w:val="001935F2"/>
    <w:rsid w:val="001936B6"/>
    <w:rsid w:val="00193B5D"/>
    <w:rsid w:val="00193B77"/>
    <w:rsid w:val="00193CC9"/>
    <w:rsid w:val="00193E97"/>
    <w:rsid w:val="00193FA2"/>
    <w:rsid w:val="00194481"/>
    <w:rsid w:val="00194961"/>
    <w:rsid w:val="00194AEB"/>
    <w:rsid w:val="00194CEC"/>
    <w:rsid w:val="001953FD"/>
    <w:rsid w:val="001955F3"/>
    <w:rsid w:val="00195785"/>
    <w:rsid w:val="00195BE8"/>
    <w:rsid w:val="00195CF4"/>
    <w:rsid w:val="00195E0E"/>
    <w:rsid w:val="0019622E"/>
    <w:rsid w:val="001966A7"/>
    <w:rsid w:val="0019678A"/>
    <w:rsid w:val="00196C0C"/>
    <w:rsid w:val="00196E0F"/>
    <w:rsid w:val="0019705B"/>
    <w:rsid w:val="001971A8"/>
    <w:rsid w:val="0019733D"/>
    <w:rsid w:val="00197B1D"/>
    <w:rsid w:val="00197B99"/>
    <w:rsid w:val="001A00F7"/>
    <w:rsid w:val="001A0408"/>
    <w:rsid w:val="001A06FD"/>
    <w:rsid w:val="001A073E"/>
    <w:rsid w:val="001A0873"/>
    <w:rsid w:val="001A0D10"/>
    <w:rsid w:val="001A1530"/>
    <w:rsid w:val="001A1728"/>
    <w:rsid w:val="001A17A8"/>
    <w:rsid w:val="001A1FF2"/>
    <w:rsid w:val="001A2173"/>
    <w:rsid w:val="001A23B4"/>
    <w:rsid w:val="001A2700"/>
    <w:rsid w:val="001A2A01"/>
    <w:rsid w:val="001A2C7E"/>
    <w:rsid w:val="001A3045"/>
    <w:rsid w:val="001A38E7"/>
    <w:rsid w:val="001A3F1A"/>
    <w:rsid w:val="001A4253"/>
    <w:rsid w:val="001A4627"/>
    <w:rsid w:val="001A4979"/>
    <w:rsid w:val="001A4F80"/>
    <w:rsid w:val="001A552D"/>
    <w:rsid w:val="001A69B0"/>
    <w:rsid w:val="001A733B"/>
    <w:rsid w:val="001A7689"/>
    <w:rsid w:val="001A7C3D"/>
    <w:rsid w:val="001A7EB6"/>
    <w:rsid w:val="001B0788"/>
    <w:rsid w:val="001B0941"/>
    <w:rsid w:val="001B1159"/>
    <w:rsid w:val="001B11E2"/>
    <w:rsid w:val="001B131C"/>
    <w:rsid w:val="001B1328"/>
    <w:rsid w:val="001B13D0"/>
    <w:rsid w:val="001B156A"/>
    <w:rsid w:val="001B15D3"/>
    <w:rsid w:val="001B187B"/>
    <w:rsid w:val="001B2054"/>
    <w:rsid w:val="001B260B"/>
    <w:rsid w:val="001B2C70"/>
    <w:rsid w:val="001B2EBB"/>
    <w:rsid w:val="001B3443"/>
    <w:rsid w:val="001B3B05"/>
    <w:rsid w:val="001B3FD4"/>
    <w:rsid w:val="001B44D4"/>
    <w:rsid w:val="001B494E"/>
    <w:rsid w:val="001B4CDE"/>
    <w:rsid w:val="001B4DD0"/>
    <w:rsid w:val="001B576E"/>
    <w:rsid w:val="001B6E31"/>
    <w:rsid w:val="001B6E6B"/>
    <w:rsid w:val="001B72C0"/>
    <w:rsid w:val="001B76DA"/>
    <w:rsid w:val="001B77F6"/>
    <w:rsid w:val="001B7E59"/>
    <w:rsid w:val="001C01C9"/>
    <w:rsid w:val="001C0326"/>
    <w:rsid w:val="001C05EA"/>
    <w:rsid w:val="001C099C"/>
    <w:rsid w:val="001C09B1"/>
    <w:rsid w:val="001C0ADC"/>
    <w:rsid w:val="001C0BBB"/>
    <w:rsid w:val="001C192F"/>
    <w:rsid w:val="001C1B6C"/>
    <w:rsid w:val="001C1C97"/>
    <w:rsid w:val="001C202C"/>
    <w:rsid w:val="001C2788"/>
    <w:rsid w:val="001C2E73"/>
    <w:rsid w:val="001C2FF0"/>
    <w:rsid w:val="001C317B"/>
    <w:rsid w:val="001C36E9"/>
    <w:rsid w:val="001C3BEC"/>
    <w:rsid w:val="001C3C42"/>
    <w:rsid w:val="001C4707"/>
    <w:rsid w:val="001C49B6"/>
    <w:rsid w:val="001C4D5C"/>
    <w:rsid w:val="001C5157"/>
    <w:rsid w:val="001C5232"/>
    <w:rsid w:val="001C55FA"/>
    <w:rsid w:val="001C561F"/>
    <w:rsid w:val="001C5864"/>
    <w:rsid w:val="001C5C55"/>
    <w:rsid w:val="001C6044"/>
    <w:rsid w:val="001C6690"/>
    <w:rsid w:val="001C67FB"/>
    <w:rsid w:val="001C686C"/>
    <w:rsid w:val="001C6BB9"/>
    <w:rsid w:val="001C6C65"/>
    <w:rsid w:val="001C6D02"/>
    <w:rsid w:val="001C7394"/>
    <w:rsid w:val="001C7960"/>
    <w:rsid w:val="001D0010"/>
    <w:rsid w:val="001D03CA"/>
    <w:rsid w:val="001D03E2"/>
    <w:rsid w:val="001D0B92"/>
    <w:rsid w:val="001D0E7D"/>
    <w:rsid w:val="001D0FA1"/>
    <w:rsid w:val="001D10D4"/>
    <w:rsid w:val="001D14BD"/>
    <w:rsid w:val="001D1770"/>
    <w:rsid w:val="001D1790"/>
    <w:rsid w:val="001D211E"/>
    <w:rsid w:val="001D24FD"/>
    <w:rsid w:val="001D2B55"/>
    <w:rsid w:val="001D2C24"/>
    <w:rsid w:val="001D35F4"/>
    <w:rsid w:val="001D3AF4"/>
    <w:rsid w:val="001D3CDB"/>
    <w:rsid w:val="001D3ED0"/>
    <w:rsid w:val="001D3FF0"/>
    <w:rsid w:val="001D4D87"/>
    <w:rsid w:val="001D4DB7"/>
    <w:rsid w:val="001D51AB"/>
    <w:rsid w:val="001D51B3"/>
    <w:rsid w:val="001D529F"/>
    <w:rsid w:val="001D53FF"/>
    <w:rsid w:val="001D54A9"/>
    <w:rsid w:val="001D553B"/>
    <w:rsid w:val="001D55D6"/>
    <w:rsid w:val="001D5998"/>
    <w:rsid w:val="001D63A6"/>
    <w:rsid w:val="001D6E45"/>
    <w:rsid w:val="001D6E6A"/>
    <w:rsid w:val="001D700E"/>
    <w:rsid w:val="001D7869"/>
    <w:rsid w:val="001E037E"/>
    <w:rsid w:val="001E07CC"/>
    <w:rsid w:val="001E154F"/>
    <w:rsid w:val="001E1B0D"/>
    <w:rsid w:val="001E1D11"/>
    <w:rsid w:val="001E21D2"/>
    <w:rsid w:val="001E2633"/>
    <w:rsid w:val="001E274F"/>
    <w:rsid w:val="001E28C3"/>
    <w:rsid w:val="001E2C73"/>
    <w:rsid w:val="001E2FF2"/>
    <w:rsid w:val="001E362F"/>
    <w:rsid w:val="001E380C"/>
    <w:rsid w:val="001E3ACA"/>
    <w:rsid w:val="001E3D8E"/>
    <w:rsid w:val="001E3DC9"/>
    <w:rsid w:val="001E462C"/>
    <w:rsid w:val="001E4785"/>
    <w:rsid w:val="001E4CD2"/>
    <w:rsid w:val="001E507B"/>
    <w:rsid w:val="001E598A"/>
    <w:rsid w:val="001E60CA"/>
    <w:rsid w:val="001E60D7"/>
    <w:rsid w:val="001E61FE"/>
    <w:rsid w:val="001E6470"/>
    <w:rsid w:val="001E6477"/>
    <w:rsid w:val="001E65B3"/>
    <w:rsid w:val="001E6B37"/>
    <w:rsid w:val="001E7231"/>
    <w:rsid w:val="001E79DE"/>
    <w:rsid w:val="001E7D0D"/>
    <w:rsid w:val="001F0093"/>
    <w:rsid w:val="001F0484"/>
    <w:rsid w:val="001F09D8"/>
    <w:rsid w:val="001F13C4"/>
    <w:rsid w:val="001F1BD3"/>
    <w:rsid w:val="001F1E7D"/>
    <w:rsid w:val="001F1EBE"/>
    <w:rsid w:val="001F1F08"/>
    <w:rsid w:val="001F256E"/>
    <w:rsid w:val="001F2F74"/>
    <w:rsid w:val="001F2F78"/>
    <w:rsid w:val="001F3386"/>
    <w:rsid w:val="001F4070"/>
    <w:rsid w:val="001F51F0"/>
    <w:rsid w:val="001F61E8"/>
    <w:rsid w:val="001F6532"/>
    <w:rsid w:val="001F65D5"/>
    <w:rsid w:val="001F6622"/>
    <w:rsid w:val="001F69B5"/>
    <w:rsid w:val="001F72D5"/>
    <w:rsid w:val="001F74AC"/>
    <w:rsid w:val="001F7543"/>
    <w:rsid w:val="001F7753"/>
    <w:rsid w:val="001F7781"/>
    <w:rsid w:val="001F7896"/>
    <w:rsid w:val="002003A2"/>
    <w:rsid w:val="002009EB"/>
    <w:rsid w:val="00200B42"/>
    <w:rsid w:val="0020192C"/>
    <w:rsid w:val="00201E57"/>
    <w:rsid w:val="00201EB0"/>
    <w:rsid w:val="00202194"/>
    <w:rsid w:val="00202307"/>
    <w:rsid w:val="002026CD"/>
    <w:rsid w:val="00202706"/>
    <w:rsid w:val="00202D96"/>
    <w:rsid w:val="00202ED3"/>
    <w:rsid w:val="002033FC"/>
    <w:rsid w:val="00203708"/>
    <w:rsid w:val="00203760"/>
    <w:rsid w:val="0020429E"/>
    <w:rsid w:val="002044BB"/>
    <w:rsid w:val="0020469E"/>
    <w:rsid w:val="00205DCA"/>
    <w:rsid w:val="00205F2B"/>
    <w:rsid w:val="00206006"/>
    <w:rsid w:val="00206740"/>
    <w:rsid w:val="00207286"/>
    <w:rsid w:val="0020743E"/>
    <w:rsid w:val="002074F3"/>
    <w:rsid w:val="0020778A"/>
    <w:rsid w:val="00207ECF"/>
    <w:rsid w:val="002106D9"/>
    <w:rsid w:val="00210A2A"/>
    <w:rsid w:val="00210B09"/>
    <w:rsid w:val="00210C9E"/>
    <w:rsid w:val="00211840"/>
    <w:rsid w:val="002118B4"/>
    <w:rsid w:val="002119BC"/>
    <w:rsid w:val="00211D2B"/>
    <w:rsid w:val="00211E11"/>
    <w:rsid w:val="00212219"/>
    <w:rsid w:val="002123EE"/>
    <w:rsid w:val="0021281C"/>
    <w:rsid w:val="00212820"/>
    <w:rsid w:val="002130A1"/>
    <w:rsid w:val="002134F4"/>
    <w:rsid w:val="0021371F"/>
    <w:rsid w:val="0021390B"/>
    <w:rsid w:val="00213921"/>
    <w:rsid w:val="002143D2"/>
    <w:rsid w:val="0021466E"/>
    <w:rsid w:val="00214716"/>
    <w:rsid w:val="002149FD"/>
    <w:rsid w:val="00214C55"/>
    <w:rsid w:val="00214E20"/>
    <w:rsid w:val="00215160"/>
    <w:rsid w:val="0021532B"/>
    <w:rsid w:val="0021547D"/>
    <w:rsid w:val="00215531"/>
    <w:rsid w:val="0021602B"/>
    <w:rsid w:val="002167CC"/>
    <w:rsid w:val="0021705A"/>
    <w:rsid w:val="002172A9"/>
    <w:rsid w:val="002175E2"/>
    <w:rsid w:val="00217ACD"/>
    <w:rsid w:val="00217E27"/>
    <w:rsid w:val="00217EE6"/>
    <w:rsid w:val="002203C6"/>
    <w:rsid w:val="0022093A"/>
    <w:rsid w:val="00220E1A"/>
    <w:rsid w:val="00220E5F"/>
    <w:rsid w:val="00220E96"/>
    <w:rsid w:val="00220F30"/>
    <w:rsid w:val="002210D1"/>
    <w:rsid w:val="002210EE"/>
    <w:rsid w:val="002212B5"/>
    <w:rsid w:val="0022135A"/>
    <w:rsid w:val="00222A95"/>
    <w:rsid w:val="00222D9A"/>
    <w:rsid w:val="00223380"/>
    <w:rsid w:val="002233B8"/>
    <w:rsid w:val="002236FB"/>
    <w:rsid w:val="0022383F"/>
    <w:rsid w:val="002238F4"/>
    <w:rsid w:val="00223F9B"/>
    <w:rsid w:val="002240BC"/>
    <w:rsid w:val="0022535F"/>
    <w:rsid w:val="00225948"/>
    <w:rsid w:val="00225E18"/>
    <w:rsid w:val="0022652D"/>
    <w:rsid w:val="00226668"/>
    <w:rsid w:val="00226792"/>
    <w:rsid w:val="002269E8"/>
    <w:rsid w:val="00226E31"/>
    <w:rsid w:val="00226F79"/>
    <w:rsid w:val="002279B5"/>
    <w:rsid w:val="00227C5E"/>
    <w:rsid w:val="00227E07"/>
    <w:rsid w:val="00227FEF"/>
    <w:rsid w:val="0022CFBC"/>
    <w:rsid w:val="0023040B"/>
    <w:rsid w:val="00230659"/>
    <w:rsid w:val="00230819"/>
    <w:rsid w:val="00231402"/>
    <w:rsid w:val="002314A6"/>
    <w:rsid w:val="00231596"/>
    <w:rsid w:val="002316BF"/>
    <w:rsid w:val="00231832"/>
    <w:rsid w:val="00231B55"/>
    <w:rsid w:val="0023204D"/>
    <w:rsid w:val="00232774"/>
    <w:rsid w:val="0023317C"/>
    <w:rsid w:val="00233809"/>
    <w:rsid w:val="00233896"/>
    <w:rsid w:val="00234052"/>
    <w:rsid w:val="0023436A"/>
    <w:rsid w:val="00234B2F"/>
    <w:rsid w:val="00234C03"/>
    <w:rsid w:val="00234D2B"/>
    <w:rsid w:val="002350CA"/>
    <w:rsid w:val="0023540E"/>
    <w:rsid w:val="0023542F"/>
    <w:rsid w:val="002357F2"/>
    <w:rsid w:val="00235BE2"/>
    <w:rsid w:val="00235D88"/>
    <w:rsid w:val="00236DFB"/>
    <w:rsid w:val="0023753C"/>
    <w:rsid w:val="00237D6C"/>
    <w:rsid w:val="00240046"/>
    <w:rsid w:val="00240A64"/>
    <w:rsid w:val="00241151"/>
    <w:rsid w:val="002412E4"/>
    <w:rsid w:val="00241306"/>
    <w:rsid w:val="00241C11"/>
    <w:rsid w:val="00241C1A"/>
    <w:rsid w:val="00241E60"/>
    <w:rsid w:val="00242162"/>
    <w:rsid w:val="00242281"/>
    <w:rsid w:val="00242294"/>
    <w:rsid w:val="00242701"/>
    <w:rsid w:val="00242784"/>
    <w:rsid w:val="00242A23"/>
    <w:rsid w:val="00242A50"/>
    <w:rsid w:val="00242EDA"/>
    <w:rsid w:val="00243367"/>
    <w:rsid w:val="0024354A"/>
    <w:rsid w:val="00243C18"/>
    <w:rsid w:val="00244872"/>
    <w:rsid w:val="00244A76"/>
    <w:rsid w:val="00244B79"/>
    <w:rsid w:val="00244D94"/>
    <w:rsid w:val="00244F62"/>
    <w:rsid w:val="00244FAF"/>
    <w:rsid w:val="0024534B"/>
    <w:rsid w:val="002459AA"/>
    <w:rsid w:val="00245AD5"/>
    <w:rsid w:val="00245D1F"/>
    <w:rsid w:val="00245F62"/>
    <w:rsid w:val="00246089"/>
    <w:rsid w:val="00246294"/>
    <w:rsid w:val="00246350"/>
    <w:rsid w:val="002465B5"/>
    <w:rsid w:val="00246753"/>
    <w:rsid w:val="00246C6B"/>
    <w:rsid w:val="0024713E"/>
    <w:rsid w:val="002472A4"/>
    <w:rsid w:val="0024797F"/>
    <w:rsid w:val="00247D77"/>
    <w:rsid w:val="00250663"/>
    <w:rsid w:val="0025072F"/>
    <w:rsid w:val="00250848"/>
    <w:rsid w:val="00250CB8"/>
    <w:rsid w:val="0025119E"/>
    <w:rsid w:val="00251205"/>
    <w:rsid w:val="00251269"/>
    <w:rsid w:val="002515DC"/>
    <w:rsid w:val="002519BA"/>
    <w:rsid w:val="00251E30"/>
    <w:rsid w:val="002523C6"/>
    <w:rsid w:val="002524DF"/>
    <w:rsid w:val="00252866"/>
    <w:rsid w:val="00252988"/>
    <w:rsid w:val="00252ABB"/>
    <w:rsid w:val="002535C0"/>
    <w:rsid w:val="00253AA8"/>
    <w:rsid w:val="00254010"/>
    <w:rsid w:val="0025413F"/>
    <w:rsid w:val="0025430A"/>
    <w:rsid w:val="0025462B"/>
    <w:rsid w:val="00254675"/>
    <w:rsid w:val="002546FB"/>
    <w:rsid w:val="00254B25"/>
    <w:rsid w:val="00254CD2"/>
    <w:rsid w:val="00255871"/>
    <w:rsid w:val="00255D02"/>
    <w:rsid w:val="00255E40"/>
    <w:rsid w:val="00255FBA"/>
    <w:rsid w:val="002568FE"/>
    <w:rsid w:val="00256FF8"/>
    <w:rsid w:val="0025766A"/>
    <w:rsid w:val="00257868"/>
    <w:rsid w:val="002578CF"/>
    <w:rsid w:val="002579C3"/>
    <w:rsid w:val="002579FE"/>
    <w:rsid w:val="00257DEC"/>
    <w:rsid w:val="0026013B"/>
    <w:rsid w:val="002607D4"/>
    <w:rsid w:val="00261612"/>
    <w:rsid w:val="00261D6B"/>
    <w:rsid w:val="00262649"/>
    <w:rsid w:val="0026295B"/>
    <w:rsid w:val="00262A74"/>
    <w:rsid w:val="00262C28"/>
    <w:rsid w:val="0026311C"/>
    <w:rsid w:val="0026391A"/>
    <w:rsid w:val="00263B3D"/>
    <w:rsid w:val="00263E77"/>
    <w:rsid w:val="00264052"/>
    <w:rsid w:val="00264251"/>
    <w:rsid w:val="002648AC"/>
    <w:rsid w:val="00264968"/>
    <w:rsid w:val="00264B29"/>
    <w:rsid w:val="00264DC6"/>
    <w:rsid w:val="002652DF"/>
    <w:rsid w:val="0026547D"/>
    <w:rsid w:val="00265A9A"/>
    <w:rsid w:val="00265B9E"/>
    <w:rsid w:val="00265CAE"/>
    <w:rsid w:val="0026659A"/>
    <w:rsid w:val="0026668C"/>
    <w:rsid w:val="00266909"/>
    <w:rsid w:val="00266AC1"/>
    <w:rsid w:val="00267417"/>
    <w:rsid w:val="002676CE"/>
    <w:rsid w:val="0026782C"/>
    <w:rsid w:val="00267BA6"/>
    <w:rsid w:val="0027127A"/>
    <w:rsid w:val="0027178C"/>
    <w:rsid w:val="002719FA"/>
    <w:rsid w:val="00272668"/>
    <w:rsid w:val="00272A8F"/>
    <w:rsid w:val="0027330B"/>
    <w:rsid w:val="002733AA"/>
    <w:rsid w:val="00273B9D"/>
    <w:rsid w:val="0027438E"/>
    <w:rsid w:val="00275239"/>
    <w:rsid w:val="00275281"/>
    <w:rsid w:val="002753D3"/>
    <w:rsid w:val="00275744"/>
    <w:rsid w:val="00275905"/>
    <w:rsid w:val="0027631D"/>
    <w:rsid w:val="00276C43"/>
    <w:rsid w:val="00276FA7"/>
    <w:rsid w:val="00277D04"/>
    <w:rsid w:val="00277FFA"/>
    <w:rsid w:val="0028018A"/>
    <w:rsid w:val="002803AD"/>
    <w:rsid w:val="00280A0B"/>
    <w:rsid w:val="0028138D"/>
    <w:rsid w:val="00281738"/>
    <w:rsid w:val="00281805"/>
    <w:rsid w:val="00281BA1"/>
    <w:rsid w:val="00282052"/>
    <w:rsid w:val="00282431"/>
    <w:rsid w:val="002828C4"/>
    <w:rsid w:val="00282A55"/>
    <w:rsid w:val="00282DAC"/>
    <w:rsid w:val="0028316A"/>
    <w:rsid w:val="0028330F"/>
    <w:rsid w:val="002834AE"/>
    <w:rsid w:val="00283C19"/>
    <w:rsid w:val="002848EA"/>
    <w:rsid w:val="00284B2B"/>
    <w:rsid w:val="00284E6E"/>
    <w:rsid w:val="00284F98"/>
    <w:rsid w:val="0028519E"/>
    <w:rsid w:val="002851A6"/>
    <w:rsid w:val="002856A5"/>
    <w:rsid w:val="00285A26"/>
    <w:rsid w:val="0028619F"/>
    <w:rsid w:val="002861B3"/>
    <w:rsid w:val="00286AC6"/>
    <w:rsid w:val="00286DD8"/>
    <w:rsid w:val="00286E96"/>
    <w:rsid w:val="002872ED"/>
    <w:rsid w:val="002873FB"/>
    <w:rsid w:val="0028753C"/>
    <w:rsid w:val="00287E9C"/>
    <w:rsid w:val="002905C2"/>
    <w:rsid w:val="0029062C"/>
    <w:rsid w:val="00290A61"/>
    <w:rsid w:val="00290CE5"/>
    <w:rsid w:val="00291340"/>
    <w:rsid w:val="00291694"/>
    <w:rsid w:val="002916BF"/>
    <w:rsid w:val="002920FA"/>
    <w:rsid w:val="00292EB8"/>
    <w:rsid w:val="002930F2"/>
    <w:rsid w:val="00293B6F"/>
    <w:rsid w:val="00294020"/>
    <w:rsid w:val="00294711"/>
    <w:rsid w:val="00294812"/>
    <w:rsid w:val="00295368"/>
    <w:rsid w:val="002957A3"/>
    <w:rsid w:val="00295819"/>
    <w:rsid w:val="002958FC"/>
    <w:rsid w:val="00295AF2"/>
    <w:rsid w:val="00295C91"/>
    <w:rsid w:val="00296752"/>
    <w:rsid w:val="00296B24"/>
    <w:rsid w:val="00297151"/>
    <w:rsid w:val="002976CF"/>
    <w:rsid w:val="00297ED4"/>
    <w:rsid w:val="00297EF5"/>
    <w:rsid w:val="00297F7F"/>
    <w:rsid w:val="0029B50A"/>
    <w:rsid w:val="002A0808"/>
    <w:rsid w:val="002A0A89"/>
    <w:rsid w:val="002A0AC6"/>
    <w:rsid w:val="002A0B64"/>
    <w:rsid w:val="002A1453"/>
    <w:rsid w:val="002A16EA"/>
    <w:rsid w:val="002A211E"/>
    <w:rsid w:val="002A23D3"/>
    <w:rsid w:val="002A324F"/>
    <w:rsid w:val="002A341A"/>
    <w:rsid w:val="002A3C08"/>
    <w:rsid w:val="002A40EF"/>
    <w:rsid w:val="002A45FD"/>
    <w:rsid w:val="002A48BD"/>
    <w:rsid w:val="002A49ED"/>
    <w:rsid w:val="002A4A99"/>
    <w:rsid w:val="002A4C09"/>
    <w:rsid w:val="002A4D77"/>
    <w:rsid w:val="002A4EDC"/>
    <w:rsid w:val="002A53ED"/>
    <w:rsid w:val="002A5616"/>
    <w:rsid w:val="002A5C30"/>
    <w:rsid w:val="002A6214"/>
    <w:rsid w:val="002A6221"/>
    <w:rsid w:val="002A650E"/>
    <w:rsid w:val="002A6554"/>
    <w:rsid w:val="002A6FA2"/>
    <w:rsid w:val="002A720A"/>
    <w:rsid w:val="002A72DB"/>
    <w:rsid w:val="002A7470"/>
    <w:rsid w:val="002AD0CA"/>
    <w:rsid w:val="002B03CA"/>
    <w:rsid w:val="002B0643"/>
    <w:rsid w:val="002B09DC"/>
    <w:rsid w:val="002B1107"/>
    <w:rsid w:val="002B11E0"/>
    <w:rsid w:val="002B1526"/>
    <w:rsid w:val="002B1B5E"/>
    <w:rsid w:val="002B20E6"/>
    <w:rsid w:val="002B272B"/>
    <w:rsid w:val="002B2D6A"/>
    <w:rsid w:val="002B2EC2"/>
    <w:rsid w:val="002B358E"/>
    <w:rsid w:val="002B3F53"/>
    <w:rsid w:val="002B4244"/>
    <w:rsid w:val="002B42A3"/>
    <w:rsid w:val="002B4771"/>
    <w:rsid w:val="002B4CCE"/>
    <w:rsid w:val="002B4DE2"/>
    <w:rsid w:val="002B5229"/>
    <w:rsid w:val="002B5286"/>
    <w:rsid w:val="002B543C"/>
    <w:rsid w:val="002B5F21"/>
    <w:rsid w:val="002B6255"/>
    <w:rsid w:val="002B66B5"/>
    <w:rsid w:val="002B72CF"/>
    <w:rsid w:val="002B788C"/>
    <w:rsid w:val="002B78CA"/>
    <w:rsid w:val="002B7BBE"/>
    <w:rsid w:val="002B7BFF"/>
    <w:rsid w:val="002B7E30"/>
    <w:rsid w:val="002B7FC7"/>
    <w:rsid w:val="002C0039"/>
    <w:rsid w:val="002C046F"/>
    <w:rsid w:val="002C0B76"/>
    <w:rsid w:val="002C0CDD"/>
    <w:rsid w:val="002C10EB"/>
    <w:rsid w:val="002C1453"/>
    <w:rsid w:val="002C16E9"/>
    <w:rsid w:val="002C1D05"/>
    <w:rsid w:val="002C1DEB"/>
    <w:rsid w:val="002C1F6D"/>
    <w:rsid w:val="002C2214"/>
    <w:rsid w:val="002C25D5"/>
    <w:rsid w:val="002C2657"/>
    <w:rsid w:val="002C30D1"/>
    <w:rsid w:val="002C3443"/>
    <w:rsid w:val="002C3503"/>
    <w:rsid w:val="002C3560"/>
    <w:rsid w:val="002C3691"/>
    <w:rsid w:val="002C392A"/>
    <w:rsid w:val="002C3DA3"/>
    <w:rsid w:val="002C3F31"/>
    <w:rsid w:val="002C4578"/>
    <w:rsid w:val="002C4616"/>
    <w:rsid w:val="002C489C"/>
    <w:rsid w:val="002C4C4A"/>
    <w:rsid w:val="002C4C5D"/>
    <w:rsid w:val="002C528C"/>
    <w:rsid w:val="002C5638"/>
    <w:rsid w:val="002C5AE7"/>
    <w:rsid w:val="002C5B3B"/>
    <w:rsid w:val="002C60F5"/>
    <w:rsid w:val="002C6181"/>
    <w:rsid w:val="002C6B9F"/>
    <w:rsid w:val="002C7239"/>
    <w:rsid w:val="002C750F"/>
    <w:rsid w:val="002C7ED3"/>
    <w:rsid w:val="002C7EF9"/>
    <w:rsid w:val="002D03EF"/>
    <w:rsid w:val="002D04CE"/>
    <w:rsid w:val="002D15D6"/>
    <w:rsid w:val="002D1A73"/>
    <w:rsid w:val="002D20B7"/>
    <w:rsid w:val="002D2BF2"/>
    <w:rsid w:val="002D315E"/>
    <w:rsid w:val="002D31C2"/>
    <w:rsid w:val="002D37D5"/>
    <w:rsid w:val="002D39C2"/>
    <w:rsid w:val="002D411E"/>
    <w:rsid w:val="002D42AA"/>
    <w:rsid w:val="002D4444"/>
    <w:rsid w:val="002D498F"/>
    <w:rsid w:val="002D4AB3"/>
    <w:rsid w:val="002D553D"/>
    <w:rsid w:val="002D5E56"/>
    <w:rsid w:val="002D64D0"/>
    <w:rsid w:val="002D66AA"/>
    <w:rsid w:val="002D6AE3"/>
    <w:rsid w:val="002D6C4D"/>
    <w:rsid w:val="002E0039"/>
    <w:rsid w:val="002E0FA2"/>
    <w:rsid w:val="002E1389"/>
    <w:rsid w:val="002E139A"/>
    <w:rsid w:val="002E1640"/>
    <w:rsid w:val="002E1727"/>
    <w:rsid w:val="002E1A1D"/>
    <w:rsid w:val="002E1FF7"/>
    <w:rsid w:val="002E22E7"/>
    <w:rsid w:val="002E27DC"/>
    <w:rsid w:val="002E3283"/>
    <w:rsid w:val="002E32FC"/>
    <w:rsid w:val="002E3914"/>
    <w:rsid w:val="002E3A4E"/>
    <w:rsid w:val="002E4081"/>
    <w:rsid w:val="002E470D"/>
    <w:rsid w:val="002E4D42"/>
    <w:rsid w:val="002E50EA"/>
    <w:rsid w:val="002E51DE"/>
    <w:rsid w:val="002E5491"/>
    <w:rsid w:val="002E5B78"/>
    <w:rsid w:val="002E5C90"/>
    <w:rsid w:val="002E5D46"/>
    <w:rsid w:val="002E605E"/>
    <w:rsid w:val="002E60BA"/>
    <w:rsid w:val="002E635A"/>
    <w:rsid w:val="002E6447"/>
    <w:rsid w:val="002E67B9"/>
    <w:rsid w:val="002E6CD5"/>
    <w:rsid w:val="002E6FCA"/>
    <w:rsid w:val="002E7113"/>
    <w:rsid w:val="002E744A"/>
    <w:rsid w:val="002E7503"/>
    <w:rsid w:val="002E7689"/>
    <w:rsid w:val="002E7A76"/>
    <w:rsid w:val="002E7ABC"/>
    <w:rsid w:val="002E7D1C"/>
    <w:rsid w:val="002E7D72"/>
    <w:rsid w:val="002F09EF"/>
    <w:rsid w:val="002F0CC3"/>
    <w:rsid w:val="002F1311"/>
    <w:rsid w:val="002F1DAA"/>
    <w:rsid w:val="002F2021"/>
    <w:rsid w:val="002F2142"/>
    <w:rsid w:val="002F224A"/>
    <w:rsid w:val="002F23F3"/>
    <w:rsid w:val="002F24E6"/>
    <w:rsid w:val="002F2D30"/>
    <w:rsid w:val="002F3236"/>
    <w:rsid w:val="002F3336"/>
    <w:rsid w:val="002F3739"/>
    <w:rsid w:val="002F3AE3"/>
    <w:rsid w:val="002F3B48"/>
    <w:rsid w:val="002F4435"/>
    <w:rsid w:val="002F480F"/>
    <w:rsid w:val="002F48B1"/>
    <w:rsid w:val="002F4E72"/>
    <w:rsid w:val="002F5F5A"/>
    <w:rsid w:val="002F66B5"/>
    <w:rsid w:val="002F74DB"/>
    <w:rsid w:val="002F7945"/>
    <w:rsid w:val="002F79B0"/>
    <w:rsid w:val="002F7C84"/>
    <w:rsid w:val="00300135"/>
    <w:rsid w:val="0030071A"/>
    <w:rsid w:val="00300EA1"/>
    <w:rsid w:val="00300F90"/>
    <w:rsid w:val="00301BA7"/>
    <w:rsid w:val="00301DAE"/>
    <w:rsid w:val="00301E6B"/>
    <w:rsid w:val="003022E9"/>
    <w:rsid w:val="0030248F"/>
    <w:rsid w:val="003027AA"/>
    <w:rsid w:val="00302A60"/>
    <w:rsid w:val="00302AF6"/>
    <w:rsid w:val="00302CE0"/>
    <w:rsid w:val="003031D8"/>
    <w:rsid w:val="003034BB"/>
    <w:rsid w:val="00303516"/>
    <w:rsid w:val="0030389F"/>
    <w:rsid w:val="00303CC1"/>
    <w:rsid w:val="00303CE1"/>
    <w:rsid w:val="003041DE"/>
    <w:rsid w:val="0030428F"/>
    <w:rsid w:val="0030464B"/>
    <w:rsid w:val="00304A52"/>
    <w:rsid w:val="00304A82"/>
    <w:rsid w:val="00304FBA"/>
    <w:rsid w:val="003050E8"/>
    <w:rsid w:val="00305460"/>
    <w:rsid w:val="003056BD"/>
    <w:rsid w:val="003061FA"/>
    <w:rsid w:val="0030629D"/>
    <w:rsid w:val="00306B24"/>
    <w:rsid w:val="00306D31"/>
    <w:rsid w:val="00306DEF"/>
    <w:rsid w:val="003074D0"/>
    <w:rsid w:val="0030777A"/>
    <w:rsid w:val="003077BC"/>
    <w:rsid w:val="00307865"/>
    <w:rsid w:val="0030786C"/>
    <w:rsid w:val="00307BBC"/>
    <w:rsid w:val="00310050"/>
    <w:rsid w:val="003102CC"/>
    <w:rsid w:val="00310678"/>
    <w:rsid w:val="0031069D"/>
    <w:rsid w:val="00310930"/>
    <w:rsid w:val="0031116A"/>
    <w:rsid w:val="003112AD"/>
    <w:rsid w:val="0031155A"/>
    <w:rsid w:val="00311D88"/>
    <w:rsid w:val="00311E49"/>
    <w:rsid w:val="0031226F"/>
    <w:rsid w:val="00312807"/>
    <w:rsid w:val="0031287E"/>
    <w:rsid w:val="00312946"/>
    <w:rsid w:val="00312E11"/>
    <w:rsid w:val="00312F69"/>
    <w:rsid w:val="0031398D"/>
    <w:rsid w:val="0031466E"/>
    <w:rsid w:val="0031493B"/>
    <w:rsid w:val="00314A78"/>
    <w:rsid w:val="00315203"/>
    <w:rsid w:val="00315352"/>
    <w:rsid w:val="0031545B"/>
    <w:rsid w:val="0031560D"/>
    <w:rsid w:val="003158B7"/>
    <w:rsid w:val="00315A90"/>
    <w:rsid w:val="00315F0C"/>
    <w:rsid w:val="003160B0"/>
    <w:rsid w:val="003162BC"/>
    <w:rsid w:val="0031652B"/>
    <w:rsid w:val="00316DA4"/>
    <w:rsid w:val="003171DC"/>
    <w:rsid w:val="0031769B"/>
    <w:rsid w:val="0031776A"/>
    <w:rsid w:val="00317895"/>
    <w:rsid w:val="00317B19"/>
    <w:rsid w:val="00317C64"/>
    <w:rsid w:val="0031A97D"/>
    <w:rsid w:val="003202B6"/>
    <w:rsid w:val="00320985"/>
    <w:rsid w:val="00320B1C"/>
    <w:rsid w:val="003213DF"/>
    <w:rsid w:val="0032142F"/>
    <w:rsid w:val="00322314"/>
    <w:rsid w:val="00322937"/>
    <w:rsid w:val="00322C05"/>
    <w:rsid w:val="00322C09"/>
    <w:rsid w:val="00322C96"/>
    <w:rsid w:val="00323110"/>
    <w:rsid w:val="00323372"/>
    <w:rsid w:val="003233DE"/>
    <w:rsid w:val="003233F7"/>
    <w:rsid w:val="00323490"/>
    <w:rsid w:val="003236C5"/>
    <w:rsid w:val="00324304"/>
    <w:rsid w:val="003244A1"/>
    <w:rsid w:val="0032466B"/>
    <w:rsid w:val="00324C39"/>
    <w:rsid w:val="00324CD0"/>
    <w:rsid w:val="00324CF9"/>
    <w:rsid w:val="003257C5"/>
    <w:rsid w:val="003259A1"/>
    <w:rsid w:val="0032658E"/>
    <w:rsid w:val="00326BC9"/>
    <w:rsid w:val="00326D45"/>
    <w:rsid w:val="00326EF3"/>
    <w:rsid w:val="00326FAF"/>
    <w:rsid w:val="003277BF"/>
    <w:rsid w:val="00327855"/>
    <w:rsid w:val="00327B44"/>
    <w:rsid w:val="00327CA0"/>
    <w:rsid w:val="00327D05"/>
    <w:rsid w:val="00327E42"/>
    <w:rsid w:val="0032C8B1"/>
    <w:rsid w:val="003306AE"/>
    <w:rsid w:val="00330A62"/>
    <w:rsid w:val="00330CBA"/>
    <w:rsid w:val="00330EAE"/>
    <w:rsid w:val="003311E7"/>
    <w:rsid w:val="00331A2A"/>
    <w:rsid w:val="00332066"/>
    <w:rsid w:val="0033251B"/>
    <w:rsid w:val="003330EB"/>
    <w:rsid w:val="0033391F"/>
    <w:rsid w:val="003339CE"/>
    <w:rsid w:val="00333B11"/>
    <w:rsid w:val="00333E3F"/>
    <w:rsid w:val="00333EE1"/>
    <w:rsid w:val="00334492"/>
    <w:rsid w:val="003345CE"/>
    <w:rsid w:val="00334743"/>
    <w:rsid w:val="00334C65"/>
    <w:rsid w:val="003352A1"/>
    <w:rsid w:val="003353C2"/>
    <w:rsid w:val="0033575C"/>
    <w:rsid w:val="0033592A"/>
    <w:rsid w:val="00335ACA"/>
    <w:rsid w:val="00335F21"/>
    <w:rsid w:val="00336088"/>
    <w:rsid w:val="00336110"/>
    <w:rsid w:val="00336410"/>
    <w:rsid w:val="003364B6"/>
    <w:rsid w:val="00336554"/>
    <w:rsid w:val="00336605"/>
    <w:rsid w:val="00336A76"/>
    <w:rsid w:val="00336AEC"/>
    <w:rsid w:val="00336B2F"/>
    <w:rsid w:val="0033716F"/>
    <w:rsid w:val="003376AC"/>
    <w:rsid w:val="0033793D"/>
    <w:rsid w:val="00337DEB"/>
    <w:rsid w:val="0034028A"/>
    <w:rsid w:val="0034051A"/>
    <w:rsid w:val="0034099C"/>
    <w:rsid w:val="003409B4"/>
    <w:rsid w:val="003409D7"/>
    <w:rsid w:val="003415FD"/>
    <w:rsid w:val="00341C89"/>
    <w:rsid w:val="00341E41"/>
    <w:rsid w:val="00341FA6"/>
    <w:rsid w:val="00342057"/>
    <w:rsid w:val="003422E8"/>
    <w:rsid w:val="00342522"/>
    <w:rsid w:val="00342559"/>
    <w:rsid w:val="003428EF"/>
    <w:rsid w:val="003429F0"/>
    <w:rsid w:val="00342A35"/>
    <w:rsid w:val="00342D3B"/>
    <w:rsid w:val="00342DD6"/>
    <w:rsid w:val="00342EAA"/>
    <w:rsid w:val="003446F4"/>
    <w:rsid w:val="00344761"/>
    <w:rsid w:val="00344D35"/>
    <w:rsid w:val="00344EAA"/>
    <w:rsid w:val="0034566A"/>
    <w:rsid w:val="003456F2"/>
    <w:rsid w:val="0034577F"/>
    <w:rsid w:val="0034581B"/>
    <w:rsid w:val="003459E9"/>
    <w:rsid w:val="00345B67"/>
    <w:rsid w:val="00346021"/>
    <w:rsid w:val="0034624A"/>
    <w:rsid w:val="003473A9"/>
    <w:rsid w:val="003478C2"/>
    <w:rsid w:val="00347F42"/>
    <w:rsid w:val="0035011F"/>
    <w:rsid w:val="003504BB"/>
    <w:rsid w:val="0035055B"/>
    <w:rsid w:val="003508C3"/>
    <w:rsid w:val="0035097A"/>
    <w:rsid w:val="00350C80"/>
    <w:rsid w:val="00350C86"/>
    <w:rsid w:val="00350DE4"/>
    <w:rsid w:val="00351167"/>
    <w:rsid w:val="00351182"/>
    <w:rsid w:val="00351AAC"/>
    <w:rsid w:val="00351DBF"/>
    <w:rsid w:val="0035212D"/>
    <w:rsid w:val="0035276C"/>
    <w:rsid w:val="00352AC7"/>
    <w:rsid w:val="00353274"/>
    <w:rsid w:val="003536EA"/>
    <w:rsid w:val="003537A5"/>
    <w:rsid w:val="003537C5"/>
    <w:rsid w:val="00353B54"/>
    <w:rsid w:val="00353B7C"/>
    <w:rsid w:val="00353C91"/>
    <w:rsid w:val="003540A4"/>
    <w:rsid w:val="00354485"/>
    <w:rsid w:val="003545CC"/>
    <w:rsid w:val="0035468F"/>
    <w:rsid w:val="003549D9"/>
    <w:rsid w:val="00354E82"/>
    <w:rsid w:val="00355677"/>
    <w:rsid w:val="00355927"/>
    <w:rsid w:val="00356424"/>
    <w:rsid w:val="003565AB"/>
    <w:rsid w:val="0035666B"/>
    <w:rsid w:val="003566EA"/>
    <w:rsid w:val="00356A75"/>
    <w:rsid w:val="00356F25"/>
    <w:rsid w:val="003570DC"/>
    <w:rsid w:val="003573AA"/>
    <w:rsid w:val="003574DA"/>
    <w:rsid w:val="003579B9"/>
    <w:rsid w:val="00360030"/>
    <w:rsid w:val="0036085F"/>
    <w:rsid w:val="00360E4E"/>
    <w:rsid w:val="00361163"/>
    <w:rsid w:val="003611EC"/>
    <w:rsid w:val="00361394"/>
    <w:rsid w:val="00361568"/>
    <w:rsid w:val="00361573"/>
    <w:rsid w:val="0036186D"/>
    <w:rsid w:val="00361D18"/>
    <w:rsid w:val="003621C6"/>
    <w:rsid w:val="003623A0"/>
    <w:rsid w:val="0036250D"/>
    <w:rsid w:val="00362A80"/>
    <w:rsid w:val="00362FD2"/>
    <w:rsid w:val="00363056"/>
    <w:rsid w:val="003634CD"/>
    <w:rsid w:val="0036375F"/>
    <w:rsid w:val="003637EE"/>
    <w:rsid w:val="00363950"/>
    <w:rsid w:val="00363F75"/>
    <w:rsid w:val="00364255"/>
    <w:rsid w:val="003642A8"/>
    <w:rsid w:val="003643B7"/>
    <w:rsid w:val="003648F8"/>
    <w:rsid w:val="00364C27"/>
    <w:rsid w:val="00364FC4"/>
    <w:rsid w:val="00365250"/>
    <w:rsid w:val="003655BB"/>
    <w:rsid w:val="003658B8"/>
    <w:rsid w:val="00365BCC"/>
    <w:rsid w:val="00366332"/>
    <w:rsid w:val="00366550"/>
    <w:rsid w:val="00366563"/>
    <w:rsid w:val="00366FB3"/>
    <w:rsid w:val="003705F9"/>
    <w:rsid w:val="00370759"/>
    <w:rsid w:val="00370781"/>
    <w:rsid w:val="00370AAA"/>
    <w:rsid w:val="00370DB7"/>
    <w:rsid w:val="00371C68"/>
    <w:rsid w:val="00371D27"/>
    <w:rsid w:val="0037230E"/>
    <w:rsid w:val="003727EC"/>
    <w:rsid w:val="0037318E"/>
    <w:rsid w:val="0037319F"/>
    <w:rsid w:val="003735FD"/>
    <w:rsid w:val="00373BC6"/>
    <w:rsid w:val="00373D3D"/>
    <w:rsid w:val="00373EA6"/>
    <w:rsid w:val="00373F97"/>
    <w:rsid w:val="0037419C"/>
    <w:rsid w:val="0037428A"/>
    <w:rsid w:val="00374443"/>
    <w:rsid w:val="0037452C"/>
    <w:rsid w:val="003746C6"/>
    <w:rsid w:val="003749A7"/>
    <w:rsid w:val="00374B29"/>
    <w:rsid w:val="00374DEB"/>
    <w:rsid w:val="0037503C"/>
    <w:rsid w:val="00375209"/>
    <w:rsid w:val="0037568E"/>
    <w:rsid w:val="003757EC"/>
    <w:rsid w:val="00375A0F"/>
    <w:rsid w:val="00375F77"/>
    <w:rsid w:val="00376520"/>
    <w:rsid w:val="00376529"/>
    <w:rsid w:val="00376865"/>
    <w:rsid w:val="00376A2D"/>
    <w:rsid w:val="00376D95"/>
    <w:rsid w:val="0037719F"/>
    <w:rsid w:val="003773E7"/>
    <w:rsid w:val="003774B9"/>
    <w:rsid w:val="00377A11"/>
    <w:rsid w:val="00377A78"/>
    <w:rsid w:val="00377CB3"/>
    <w:rsid w:val="00380370"/>
    <w:rsid w:val="0038061B"/>
    <w:rsid w:val="00380892"/>
    <w:rsid w:val="00380F35"/>
    <w:rsid w:val="003813CA"/>
    <w:rsid w:val="00381511"/>
    <w:rsid w:val="00381627"/>
    <w:rsid w:val="00381BBE"/>
    <w:rsid w:val="00381F16"/>
    <w:rsid w:val="003821C1"/>
    <w:rsid w:val="003822B5"/>
    <w:rsid w:val="003827F3"/>
    <w:rsid w:val="0038280E"/>
    <w:rsid w:val="00382903"/>
    <w:rsid w:val="00382DAC"/>
    <w:rsid w:val="00383517"/>
    <w:rsid w:val="00383C71"/>
    <w:rsid w:val="003841C5"/>
    <w:rsid w:val="003844C6"/>
    <w:rsid w:val="003846FF"/>
    <w:rsid w:val="00384C2B"/>
    <w:rsid w:val="00384C77"/>
    <w:rsid w:val="00384D47"/>
    <w:rsid w:val="00384F53"/>
    <w:rsid w:val="0038543C"/>
    <w:rsid w:val="00385AD4"/>
    <w:rsid w:val="00385E3B"/>
    <w:rsid w:val="0038617A"/>
    <w:rsid w:val="00386445"/>
    <w:rsid w:val="0038686C"/>
    <w:rsid w:val="0038691A"/>
    <w:rsid w:val="00386AAC"/>
    <w:rsid w:val="00386C00"/>
    <w:rsid w:val="003876AF"/>
    <w:rsid w:val="00387924"/>
    <w:rsid w:val="00387C2E"/>
    <w:rsid w:val="00387F89"/>
    <w:rsid w:val="00390342"/>
    <w:rsid w:val="0039042A"/>
    <w:rsid w:val="00390692"/>
    <w:rsid w:val="00391132"/>
    <w:rsid w:val="003914D9"/>
    <w:rsid w:val="00391DAA"/>
    <w:rsid w:val="003923E4"/>
    <w:rsid w:val="00392506"/>
    <w:rsid w:val="00392677"/>
    <w:rsid w:val="003926D9"/>
    <w:rsid w:val="003926FA"/>
    <w:rsid w:val="00392769"/>
    <w:rsid w:val="00392FC8"/>
    <w:rsid w:val="003934A4"/>
    <w:rsid w:val="0039384D"/>
    <w:rsid w:val="0039393E"/>
    <w:rsid w:val="00393B05"/>
    <w:rsid w:val="00393F70"/>
    <w:rsid w:val="00394C35"/>
    <w:rsid w:val="00394CA3"/>
    <w:rsid w:val="00395256"/>
    <w:rsid w:val="00395745"/>
    <w:rsid w:val="0039588D"/>
    <w:rsid w:val="003959AE"/>
    <w:rsid w:val="00395C23"/>
    <w:rsid w:val="003961AD"/>
    <w:rsid w:val="00397412"/>
    <w:rsid w:val="0039761C"/>
    <w:rsid w:val="003978DC"/>
    <w:rsid w:val="00397B66"/>
    <w:rsid w:val="003A0369"/>
    <w:rsid w:val="003A079C"/>
    <w:rsid w:val="003A0CB3"/>
    <w:rsid w:val="003A1705"/>
    <w:rsid w:val="003A19C3"/>
    <w:rsid w:val="003A200C"/>
    <w:rsid w:val="003A2E4F"/>
    <w:rsid w:val="003A2FE9"/>
    <w:rsid w:val="003A3486"/>
    <w:rsid w:val="003A34C1"/>
    <w:rsid w:val="003A385C"/>
    <w:rsid w:val="003A3D62"/>
    <w:rsid w:val="003A3DCB"/>
    <w:rsid w:val="003A440F"/>
    <w:rsid w:val="003A4438"/>
    <w:rsid w:val="003A47A3"/>
    <w:rsid w:val="003A4A89"/>
    <w:rsid w:val="003A4AE4"/>
    <w:rsid w:val="003A4B35"/>
    <w:rsid w:val="003A4EAA"/>
    <w:rsid w:val="003A5013"/>
    <w:rsid w:val="003A5078"/>
    <w:rsid w:val="003A5731"/>
    <w:rsid w:val="003A62A7"/>
    <w:rsid w:val="003A62DD"/>
    <w:rsid w:val="003A63A4"/>
    <w:rsid w:val="003A6D87"/>
    <w:rsid w:val="003A711B"/>
    <w:rsid w:val="003A775A"/>
    <w:rsid w:val="003A77C7"/>
    <w:rsid w:val="003A7DA1"/>
    <w:rsid w:val="003B0876"/>
    <w:rsid w:val="003B0C08"/>
    <w:rsid w:val="003B0CB0"/>
    <w:rsid w:val="003B0DAB"/>
    <w:rsid w:val="003B0DDF"/>
    <w:rsid w:val="003B1286"/>
    <w:rsid w:val="003B16B9"/>
    <w:rsid w:val="003B173D"/>
    <w:rsid w:val="003B1EA2"/>
    <w:rsid w:val="003B213A"/>
    <w:rsid w:val="003B2EB2"/>
    <w:rsid w:val="003B390E"/>
    <w:rsid w:val="003B39FF"/>
    <w:rsid w:val="003B3B48"/>
    <w:rsid w:val="003B3CD5"/>
    <w:rsid w:val="003B3F3D"/>
    <w:rsid w:val="003B411D"/>
    <w:rsid w:val="003B43AD"/>
    <w:rsid w:val="003B5446"/>
    <w:rsid w:val="003B55DF"/>
    <w:rsid w:val="003B588F"/>
    <w:rsid w:val="003B5BB9"/>
    <w:rsid w:val="003B5F3F"/>
    <w:rsid w:val="003B6998"/>
    <w:rsid w:val="003B6A65"/>
    <w:rsid w:val="003B6A6D"/>
    <w:rsid w:val="003B7134"/>
    <w:rsid w:val="003B79FE"/>
    <w:rsid w:val="003C0C09"/>
    <w:rsid w:val="003C0D61"/>
    <w:rsid w:val="003C0FEC"/>
    <w:rsid w:val="003C15B8"/>
    <w:rsid w:val="003C1645"/>
    <w:rsid w:val="003C246A"/>
    <w:rsid w:val="003C2589"/>
    <w:rsid w:val="003C29E8"/>
    <w:rsid w:val="003C2AC8"/>
    <w:rsid w:val="003C2B8B"/>
    <w:rsid w:val="003C30C8"/>
    <w:rsid w:val="003C3356"/>
    <w:rsid w:val="003C34BA"/>
    <w:rsid w:val="003C3560"/>
    <w:rsid w:val="003C379E"/>
    <w:rsid w:val="003C4144"/>
    <w:rsid w:val="003C4165"/>
    <w:rsid w:val="003C4540"/>
    <w:rsid w:val="003C4713"/>
    <w:rsid w:val="003C53DE"/>
    <w:rsid w:val="003C5A6D"/>
    <w:rsid w:val="003C6163"/>
    <w:rsid w:val="003C6992"/>
    <w:rsid w:val="003C6A28"/>
    <w:rsid w:val="003C7464"/>
    <w:rsid w:val="003C7816"/>
    <w:rsid w:val="003C782C"/>
    <w:rsid w:val="003D0095"/>
    <w:rsid w:val="003D02FA"/>
    <w:rsid w:val="003D03E8"/>
    <w:rsid w:val="003D056B"/>
    <w:rsid w:val="003D0753"/>
    <w:rsid w:val="003D075C"/>
    <w:rsid w:val="003D0BB8"/>
    <w:rsid w:val="003D0C84"/>
    <w:rsid w:val="003D1556"/>
    <w:rsid w:val="003D16DC"/>
    <w:rsid w:val="003D17F9"/>
    <w:rsid w:val="003D1864"/>
    <w:rsid w:val="003D188E"/>
    <w:rsid w:val="003D1C95"/>
    <w:rsid w:val="003D1FFB"/>
    <w:rsid w:val="003D2082"/>
    <w:rsid w:val="003D2499"/>
    <w:rsid w:val="003D2531"/>
    <w:rsid w:val="003D25EE"/>
    <w:rsid w:val="003D2731"/>
    <w:rsid w:val="003D28EE"/>
    <w:rsid w:val="003D2A37"/>
    <w:rsid w:val="003D2C53"/>
    <w:rsid w:val="003D2D88"/>
    <w:rsid w:val="003D2F41"/>
    <w:rsid w:val="003D3181"/>
    <w:rsid w:val="003D32AB"/>
    <w:rsid w:val="003D388E"/>
    <w:rsid w:val="003D3A44"/>
    <w:rsid w:val="003D3AAA"/>
    <w:rsid w:val="003D3CAA"/>
    <w:rsid w:val="003D41EA"/>
    <w:rsid w:val="003D4365"/>
    <w:rsid w:val="003D4633"/>
    <w:rsid w:val="003D4815"/>
    <w:rsid w:val="003D4850"/>
    <w:rsid w:val="003D4974"/>
    <w:rsid w:val="003D4DC2"/>
    <w:rsid w:val="003D508C"/>
    <w:rsid w:val="003D522F"/>
    <w:rsid w:val="003D52F4"/>
    <w:rsid w:val="003D535A"/>
    <w:rsid w:val="003D549A"/>
    <w:rsid w:val="003D5DC8"/>
    <w:rsid w:val="003D6ADB"/>
    <w:rsid w:val="003D6F05"/>
    <w:rsid w:val="003D79F7"/>
    <w:rsid w:val="003D7D55"/>
    <w:rsid w:val="003DBF35"/>
    <w:rsid w:val="003E09D7"/>
    <w:rsid w:val="003E0A14"/>
    <w:rsid w:val="003E0DF3"/>
    <w:rsid w:val="003E0FF2"/>
    <w:rsid w:val="003E1093"/>
    <w:rsid w:val="003E143A"/>
    <w:rsid w:val="003E1794"/>
    <w:rsid w:val="003E1998"/>
    <w:rsid w:val="003E1C1C"/>
    <w:rsid w:val="003E1E03"/>
    <w:rsid w:val="003E20A0"/>
    <w:rsid w:val="003E235A"/>
    <w:rsid w:val="003E2375"/>
    <w:rsid w:val="003E262B"/>
    <w:rsid w:val="003E2998"/>
    <w:rsid w:val="003E2B7C"/>
    <w:rsid w:val="003E2BF0"/>
    <w:rsid w:val="003E304C"/>
    <w:rsid w:val="003E337A"/>
    <w:rsid w:val="003E3618"/>
    <w:rsid w:val="003E3B1E"/>
    <w:rsid w:val="003E3BE8"/>
    <w:rsid w:val="003E3D4F"/>
    <w:rsid w:val="003E3E80"/>
    <w:rsid w:val="003E4121"/>
    <w:rsid w:val="003E4548"/>
    <w:rsid w:val="003E4A92"/>
    <w:rsid w:val="003E4AFA"/>
    <w:rsid w:val="003E5265"/>
    <w:rsid w:val="003E5301"/>
    <w:rsid w:val="003E5C0F"/>
    <w:rsid w:val="003E5CFC"/>
    <w:rsid w:val="003E6363"/>
    <w:rsid w:val="003E6419"/>
    <w:rsid w:val="003E68E4"/>
    <w:rsid w:val="003E69CC"/>
    <w:rsid w:val="003E6B14"/>
    <w:rsid w:val="003E6D3C"/>
    <w:rsid w:val="003E7349"/>
    <w:rsid w:val="003E75A4"/>
    <w:rsid w:val="003E7D7D"/>
    <w:rsid w:val="003F013E"/>
    <w:rsid w:val="003F0940"/>
    <w:rsid w:val="003F0955"/>
    <w:rsid w:val="003F0BDD"/>
    <w:rsid w:val="003F1351"/>
    <w:rsid w:val="003F16B8"/>
    <w:rsid w:val="003F1E82"/>
    <w:rsid w:val="003F20FE"/>
    <w:rsid w:val="003F227D"/>
    <w:rsid w:val="003F2429"/>
    <w:rsid w:val="003F272F"/>
    <w:rsid w:val="003F2841"/>
    <w:rsid w:val="003F2880"/>
    <w:rsid w:val="003F300E"/>
    <w:rsid w:val="003F3084"/>
    <w:rsid w:val="003F32F4"/>
    <w:rsid w:val="003F39BE"/>
    <w:rsid w:val="003F3D4E"/>
    <w:rsid w:val="003F3DA0"/>
    <w:rsid w:val="003F3E52"/>
    <w:rsid w:val="003F3FCC"/>
    <w:rsid w:val="003F4ED6"/>
    <w:rsid w:val="003F4EE9"/>
    <w:rsid w:val="003F4EF7"/>
    <w:rsid w:val="003F4FB9"/>
    <w:rsid w:val="003F599E"/>
    <w:rsid w:val="003F5A5A"/>
    <w:rsid w:val="003F65DF"/>
    <w:rsid w:val="003F66FB"/>
    <w:rsid w:val="003F67A5"/>
    <w:rsid w:val="003F6A4C"/>
    <w:rsid w:val="003F6ADA"/>
    <w:rsid w:val="003F6DDA"/>
    <w:rsid w:val="003F6E10"/>
    <w:rsid w:val="003F6FE1"/>
    <w:rsid w:val="003F7083"/>
    <w:rsid w:val="003F71E7"/>
    <w:rsid w:val="003F741E"/>
    <w:rsid w:val="003F7567"/>
    <w:rsid w:val="003F7AA4"/>
    <w:rsid w:val="003F7EFF"/>
    <w:rsid w:val="00400F00"/>
    <w:rsid w:val="00401224"/>
    <w:rsid w:val="004019AE"/>
    <w:rsid w:val="004019D6"/>
    <w:rsid w:val="004019F0"/>
    <w:rsid w:val="00401A31"/>
    <w:rsid w:val="00401EDE"/>
    <w:rsid w:val="00402074"/>
    <w:rsid w:val="00402924"/>
    <w:rsid w:val="004029F3"/>
    <w:rsid w:val="00402A3D"/>
    <w:rsid w:val="00402CB3"/>
    <w:rsid w:val="00403153"/>
    <w:rsid w:val="00403546"/>
    <w:rsid w:val="004037A2"/>
    <w:rsid w:val="004047CE"/>
    <w:rsid w:val="00404CAD"/>
    <w:rsid w:val="00404F8B"/>
    <w:rsid w:val="00405256"/>
    <w:rsid w:val="00406F94"/>
    <w:rsid w:val="00407111"/>
    <w:rsid w:val="00407193"/>
    <w:rsid w:val="00407905"/>
    <w:rsid w:val="00410031"/>
    <w:rsid w:val="00410AA4"/>
    <w:rsid w:val="00410E23"/>
    <w:rsid w:val="00410F5F"/>
    <w:rsid w:val="00411387"/>
    <w:rsid w:val="004115A2"/>
    <w:rsid w:val="004115F8"/>
    <w:rsid w:val="004116B7"/>
    <w:rsid w:val="00411A8D"/>
    <w:rsid w:val="00411B1A"/>
    <w:rsid w:val="00412935"/>
    <w:rsid w:val="004129C0"/>
    <w:rsid w:val="00412C82"/>
    <w:rsid w:val="0041310A"/>
    <w:rsid w:val="004132F7"/>
    <w:rsid w:val="00413413"/>
    <w:rsid w:val="004135DD"/>
    <w:rsid w:val="00413626"/>
    <w:rsid w:val="00413B6D"/>
    <w:rsid w:val="00413F9F"/>
    <w:rsid w:val="00414058"/>
    <w:rsid w:val="0041426D"/>
    <w:rsid w:val="00414436"/>
    <w:rsid w:val="0041459F"/>
    <w:rsid w:val="004145D1"/>
    <w:rsid w:val="00414764"/>
    <w:rsid w:val="00414C8C"/>
    <w:rsid w:val="00415A17"/>
    <w:rsid w:val="00415C81"/>
    <w:rsid w:val="00415D5B"/>
    <w:rsid w:val="00416436"/>
    <w:rsid w:val="00416731"/>
    <w:rsid w:val="00416914"/>
    <w:rsid w:val="00416989"/>
    <w:rsid w:val="00417D06"/>
    <w:rsid w:val="00417E55"/>
    <w:rsid w:val="00417F46"/>
    <w:rsid w:val="00420170"/>
    <w:rsid w:val="00420B16"/>
    <w:rsid w:val="00420CAB"/>
    <w:rsid w:val="00420D35"/>
    <w:rsid w:val="00420D48"/>
    <w:rsid w:val="00420F84"/>
    <w:rsid w:val="0042157A"/>
    <w:rsid w:val="00421611"/>
    <w:rsid w:val="00421671"/>
    <w:rsid w:val="0042188D"/>
    <w:rsid w:val="00422029"/>
    <w:rsid w:val="004223F5"/>
    <w:rsid w:val="00423524"/>
    <w:rsid w:val="00423934"/>
    <w:rsid w:val="00423971"/>
    <w:rsid w:val="00423F09"/>
    <w:rsid w:val="0042410F"/>
    <w:rsid w:val="004247B7"/>
    <w:rsid w:val="00424DE7"/>
    <w:rsid w:val="004254E6"/>
    <w:rsid w:val="004256A5"/>
    <w:rsid w:val="00426336"/>
    <w:rsid w:val="0042707F"/>
    <w:rsid w:val="00427A01"/>
    <w:rsid w:val="00430072"/>
    <w:rsid w:val="004301D6"/>
    <w:rsid w:val="004302E3"/>
    <w:rsid w:val="0043044D"/>
    <w:rsid w:val="00430B44"/>
    <w:rsid w:val="004321A1"/>
    <w:rsid w:val="00432308"/>
    <w:rsid w:val="00432378"/>
    <w:rsid w:val="00432858"/>
    <w:rsid w:val="00432D1F"/>
    <w:rsid w:val="00433361"/>
    <w:rsid w:val="004333A9"/>
    <w:rsid w:val="004333F6"/>
    <w:rsid w:val="004336CE"/>
    <w:rsid w:val="0043397A"/>
    <w:rsid w:val="00434386"/>
    <w:rsid w:val="004343B6"/>
    <w:rsid w:val="004344A8"/>
    <w:rsid w:val="00434667"/>
    <w:rsid w:val="00434A4E"/>
    <w:rsid w:val="004350F1"/>
    <w:rsid w:val="00435398"/>
    <w:rsid w:val="004356F3"/>
    <w:rsid w:val="0043599A"/>
    <w:rsid w:val="00435D03"/>
    <w:rsid w:val="00435EA9"/>
    <w:rsid w:val="00435EB2"/>
    <w:rsid w:val="0043600A"/>
    <w:rsid w:val="004369D8"/>
    <w:rsid w:val="00436CF8"/>
    <w:rsid w:val="00436EE8"/>
    <w:rsid w:val="00436F1F"/>
    <w:rsid w:val="004374B9"/>
    <w:rsid w:val="004374D1"/>
    <w:rsid w:val="004377B6"/>
    <w:rsid w:val="00437809"/>
    <w:rsid w:val="00437B24"/>
    <w:rsid w:val="004403A6"/>
    <w:rsid w:val="004406AC"/>
    <w:rsid w:val="00440734"/>
    <w:rsid w:val="00440D65"/>
    <w:rsid w:val="004410D3"/>
    <w:rsid w:val="00441390"/>
    <w:rsid w:val="00441BB2"/>
    <w:rsid w:val="00441C09"/>
    <w:rsid w:val="00442200"/>
    <w:rsid w:val="0044292A"/>
    <w:rsid w:val="00442BC2"/>
    <w:rsid w:val="00442C54"/>
    <w:rsid w:val="004431E4"/>
    <w:rsid w:val="004432A1"/>
    <w:rsid w:val="004435E6"/>
    <w:rsid w:val="00443B11"/>
    <w:rsid w:val="004444F8"/>
    <w:rsid w:val="004448F7"/>
    <w:rsid w:val="00444D52"/>
    <w:rsid w:val="004451BA"/>
    <w:rsid w:val="00445E04"/>
    <w:rsid w:val="00447119"/>
    <w:rsid w:val="0044770C"/>
    <w:rsid w:val="00447C09"/>
    <w:rsid w:val="00447E0A"/>
    <w:rsid w:val="00447E31"/>
    <w:rsid w:val="0045003A"/>
    <w:rsid w:val="00450607"/>
    <w:rsid w:val="00451087"/>
    <w:rsid w:val="0045122E"/>
    <w:rsid w:val="00451277"/>
    <w:rsid w:val="00451447"/>
    <w:rsid w:val="00451A1D"/>
    <w:rsid w:val="00451BFC"/>
    <w:rsid w:val="00451CCE"/>
    <w:rsid w:val="00452076"/>
    <w:rsid w:val="00452581"/>
    <w:rsid w:val="00452587"/>
    <w:rsid w:val="00452740"/>
    <w:rsid w:val="00452C1E"/>
    <w:rsid w:val="004531CC"/>
    <w:rsid w:val="00453257"/>
    <w:rsid w:val="004536C2"/>
    <w:rsid w:val="00453890"/>
    <w:rsid w:val="00453923"/>
    <w:rsid w:val="00453AB4"/>
    <w:rsid w:val="00453E30"/>
    <w:rsid w:val="00453F9A"/>
    <w:rsid w:val="00454240"/>
    <w:rsid w:val="00454936"/>
    <w:rsid w:val="0045497D"/>
    <w:rsid w:val="00454AE7"/>
    <w:rsid w:val="00454AEE"/>
    <w:rsid w:val="00454B9B"/>
    <w:rsid w:val="00455494"/>
    <w:rsid w:val="00455597"/>
    <w:rsid w:val="00455A11"/>
    <w:rsid w:val="00456340"/>
    <w:rsid w:val="00456383"/>
    <w:rsid w:val="00456704"/>
    <w:rsid w:val="004567E9"/>
    <w:rsid w:val="004568B0"/>
    <w:rsid w:val="00456ADF"/>
    <w:rsid w:val="00456BD8"/>
    <w:rsid w:val="004572E3"/>
    <w:rsid w:val="0045751F"/>
    <w:rsid w:val="00457858"/>
    <w:rsid w:val="004579FF"/>
    <w:rsid w:val="00457CDE"/>
    <w:rsid w:val="00460641"/>
    <w:rsid w:val="00460B0B"/>
    <w:rsid w:val="00460B2C"/>
    <w:rsid w:val="00460D7A"/>
    <w:rsid w:val="00461023"/>
    <w:rsid w:val="0046131A"/>
    <w:rsid w:val="004614DA"/>
    <w:rsid w:val="004619C0"/>
    <w:rsid w:val="00461C77"/>
    <w:rsid w:val="00462432"/>
    <w:rsid w:val="0046276A"/>
    <w:rsid w:val="00462A3A"/>
    <w:rsid w:val="00462CB8"/>
    <w:rsid w:val="00462F2E"/>
    <w:rsid w:val="00462FAC"/>
    <w:rsid w:val="00463169"/>
    <w:rsid w:val="004636F5"/>
    <w:rsid w:val="00463F61"/>
    <w:rsid w:val="00464631"/>
    <w:rsid w:val="004648DF"/>
    <w:rsid w:val="00464B79"/>
    <w:rsid w:val="00464B9F"/>
    <w:rsid w:val="00465740"/>
    <w:rsid w:val="00465930"/>
    <w:rsid w:val="00466201"/>
    <w:rsid w:val="00466BCC"/>
    <w:rsid w:val="00466CD0"/>
    <w:rsid w:val="00466E16"/>
    <w:rsid w:val="00467279"/>
    <w:rsid w:val="004672BC"/>
    <w:rsid w:val="004672CE"/>
    <w:rsid w:val="004673C0"/>
    <w:rsid w:val="00467BBF"/>
    <w:rsid w:val="00467FA9"/>
    <w:rsid w:val="0046F796"/>
    <w:rsid w:val="00470139"/>
    <w:rsid w:val="00470425"/>
    <w:rsid w:val="004711BA"/>
    <w:rsid w:val="00471222"/>
    <w:rsid w:val="0047135E"/>
    <w:rsid w:val="00471810"/>
    <w:rsid w:val="00471823"/>
    <w:rsid w:val="004718B5"/>
    <w:rsid w:val="00471CC9"/>
    <w:rsid w:val="00471FDF"/>
    <w:rsid w:val="00472143"/>
    <w:rsid w:val="0047233C"/>
    <w:rsid w:val="0047279F"/>
    <w:rsid w:val="00472E4A"/>
    <w:rsid w:val="004730F7"/>
    <w:rsid w:val="0047359D"/>
    <w:rsid w:val="00473AFD"/>
    <w:rsid w:val="00473C78"/>
    <w:rsid w:val="0047438D"/>
    <w:rsid w:val="004743B5"/>
    <w:rsid w:val="0047458E"/>
    <w:rsid w:val="00474614"/>
    <w:rsid w:val="0047499B"/>
    <w:rsid w:val="004751B2"/>
    <w:rsid w:val="00475440"/>
    <w:rsid w:val="00475532"/>
    <w:rsid w:val="00475A60"/>
    <w:rsid w:val="00475DD2"/>
    <w:rsid w:val="00475E60"/>
    <w:rsid w:val="004761F5"/>
    <w:rsid w:val="004766FA"/>
    <w:rsid w:val="0047684A"/>
    <w:rsid w:val="004768E4"/>
    <w:rsid w:val="00476B37"/>
    <w:rsid w:val="00476DCD"/>
    <w:rsid w:val="0047769B"/>
    <w:rsid w:val="00477E94"/>
    <w:rsid w:val="00480252"/>
    <w:rsid w:val="00480378"/>
    <w:rsid w:val="004806B0"/>
    <w:rsid w:val="00480BB0"/>
    <w:rsid w:val="00481338"/>
    <w:rsid w:val="00481BE1"/>
    <w:rsid w:val="00481F9D"/>
    <w:rsid w:val="0048240C"/>
    <w:rsid w:val="004829E8"/>
    <w:rsid w:val="00482B3E"/>
    <w:rsid w:val="00483580"/>
    <w:rsid w:val="0048390C"/>
    <w:rsid w:val="0048428D"/>
    <w:rsid w:val="004843FA"/>
    <w:rsid w:val="0048453B"/>
    <w:rsid w:val="0048478A"/>
    <w:rsid w:val="0048490F"/>
    <w:rsid w:val="00484A0A"/>
    <w:rsid w:val="00484E01"/>
    <w:rsid w:val="00484FBE"/>
    <w:rsid w:val="0048506D"/>
    <w:rsid w:val="0048579B"/>
    <w:rsid w:val="004859A9"/>
    <w:rsid w:val="00485FDA"/>
    <w:rsid w:val="004867E2"/>
    <w:rsid w:val="004869A5"/>
    <w:rsid w:val="00486C4E"/>
    <w:rsid w:val="00486D1C"/>
    <w:rsid w:val="00487140"/>
    <w:rsid w:val="0048733A"/>
    <w:rsid w:val="00487480"/>
    <w:rsid w:val="00487757"/>
    <w:rsid w:val="00490105"/>
    <w:rsid w:val="0049023C"/>
    <w:rsid w:val="004905F9"/>
    <w:rsid w:val="00490A1C"/>
    <w:rsid w:val="00491001"/>
    <w:rsid w:val="00491457"/>
    <w:rsid w:val="004914D7"/>
    <w:rsid w:val="00491A49"/>
    <w:rsid w:val="00491AAC"/>
    <w:rsid w:val="00491D46"/>
    <w:rsid w:val="00491DAE"/>
    <w:rsid w:val="00491FAB"/>
    <w:rsid w:val="0049233E"/>
    <w:rsid w:val="004929A9"/>
    <w:rsid w:val="00492EAB"/>
    <w:rsid w:val="0049305A"/>
    <w:rsid w:val="00493CCB"/>
    <w:rsid w:val="004940FA"/>
    <w:rsid w:val="0049478D"/>
    <w:rsid w:val="00494B44"/>
    <w:rsid w:val="00494DDB"/>
    <w:rsid w:val="004958D4"/>
    <w:rsid w:val="00495964"/>
    <w:rsid w:val="004969A9"/>
    <w:rsid w:val="00496BF9"/>
    <w:rsid w:val="004973C8"/>
    <w:rsid w:val="004977EC"/>
    <w:rsid w:val="004978AA"/>
    <w:rsid w:val="00497992"/>
    <w:rsid w:val="00497AC5"/>
    <w:rsid w:val="00497DC3"/>
    <w:rsid w:val="004A0099"/>
    <w:rsid w:val="004A0392"/>
    <w:rsid w:val="004A0515"/>
    <w:rsid w:val="004A054A"/>
    <w:rsid w:val="004A0955"/>
    <w:rsid w:val="004A0C3F"/>
    <w:rsid w:val="004A0D3C"/>
    <w:rsid w:val="004A168F"/>
    <w:rsid w:val="004A17D5"/>
    <w:rsid w:val="004A180B"/>
    <w:rsid w:val="004A1CFD"/>
    <w:rsid w:val="004A1E5B"/>
    <w:rsid w:val="004A1F61"/>
    <w:rsid w:val="004A24C8"/>
    <w:rsid w:val="004A2FB7"/>
    <w:rsid w:val="004A300D"/>
    <w:rsid w:val="004A3579"/>
    <w:rsid w:val="004A3B9B"/>
    <w:rsid w:val="004A3C81"/>
    <w:rsid w:val="004A4166"/>
    <w:rsid w:val="004A44A9"/>
    <w:rsid w:val="004A47C7"/>
    <w:rsid w:val="004A4F5B"/>
    <w:rsid w:val="004A5373"/>
    <w:rsid w:val="004A5588"/>
    <w:rsid w:val="004A5A6C"/>
    <w:rsid w:val="004A6078"/>
    <w:rsid w:val="004A62DE"/>
    <w:rsid w:val="004A656E"/>
    <w:rsid w:val="004A66EA"/>
    <w:rsid w:val="004A6BD1"/>
    <w:rsid w:val="004A74B6"/>
    <w:rsid w:val="004A7A1D"/>
    <w:rsid w:val="004B00DD"/>
    <w:rsid w:val="004B01A9"/>
    <w:rsid w:val="004B0462"/>
    <w:rsid w:val="004B06AD"/>
    <w:rsid w:val="004B0D0D"/>
    <w:rsid w:val="004B0D91"/>
    <w:rsid w:val="004B11B5"/>
    <w:rsid w:val="004B163D"/>
    <w:rsid w:val="004B2183"/>
    <w:rsid w:val="004B273C"/>
    <w:rsid w:val="004B30CC"/>
    <w:rsid w:val="004B369F"/>
    <w:rsid w:val="004B37A4"/>
    <w:rsid w:val="004B3DFA"/>
    <w:rsid w:val="004B421E"/>
    <w:rsid w:val="004B4D1F"/>
    <w:rsid w:val="004B5AD7"/>
    <w:rsid w:val="004B5FB2"/>
    <w:rsid w:val="004B6412"/>
    <w:rsid w:val="004B7671"/>
    <w:rsid w:val="004B7767"/>
    <w:rsid w:val="004C02F8"/>
    <w:rsid w:val="004C066E"/>
    <w:rsid w:val="004C0828"/>
    <w:rsid w:val="004C0B11"/>
    <w:rsid w:val="004C0C90"/>
    <w:rsid w:val="004C1800"/>
    <w:rsid w:val="004C1926"/>
    <w:rsid w:val="004C1A7F"/>
    <w:rsid w:val="004C1C9A"/>
    <w:rsid w:val="004C2D65"/>
    <w:rsid w:val="004C2F31"/>
    <w:rsid w:val="004C2FEC"/>
    <w:rsid w:val="004C3451"/>
    <w:rsid w:val="004C387A"/>
    <w:rsid w:val="004C3FDB"/>
    <w:rsid w:val="004C40F4"/>
    <w:rsid w:val="004C43B4"/>
    <w:rsid w:val="004C4D9F"/>
    <w:rsid w:val="004C5470"/>
    <w:rsid w:val="004C5BAE"/>
    <w:rsid w:val="004C63FF"/>
    <w:rsid w:val="004C6739"/>
    <w:rsid w:val="004C69A4"/>
    <w:rsid w:val="004C6BCF"/>
    <w:rsid w:val="004C6CD4"/>
    <w:rsid w:val="004C7318"/>
    <w:rsid w:val="004C7531"/>
    <w:rsid w:val="004C77E2"/>
    <w:rsid w:val="004C7C24"/>
    <w:rsid w:val="004C7FC2"/>
    <w:rsid w:val="004D0AFF"/>
    <w:rsid w:val="004D0FAA"/>
    <w:rsid w:val="004D16D3"/>
    <w:rsid w:val="004D17F0"/>
    <w:rsid w:val="004D17F8"/>
    <w:rsid w:val="004D1F5B"/>
    <w:rsid w:val="004D24AD"/>
    <w:rsid w:val="004D287B"/>
    <w:rsid w:val="004D2E26"/>
    <w:rsid w:val="004D2F91"/>
    <w:rsid w:val="004D35E2"/>
    <w:rsid w:val="004D373A"/>
    <w:rsid w:val="004D3A1A"/>
    <w:rsid w:val="004D3E7F"/>
    <w:rsid w:val="004D414F"/>
    <w:rsid w:val="004D4201"/>
    <w:rsid w:val="004D4980"/>
    <w:rsid w:val="004D4B08"/>
    <w:rsid w:val="004D4B5F"/>
    <w:rsid w:val="004D5352"/>
    <w:rsid w:val="004D53FB"/>
    <w:rsid w:val="004D5439"/>
    <w:rsid w:val="004D58BF"/>
    <w:rsid w:val="004D58C3"/>
    <w:rsid w:val="004D58D6"/>
    <w:rsid w:val="004D5AF6"/>
    <w:rsid w:val="004D5F3A"/>
    <w:rsid w:val="004D612A"/>
    <w:rsid w:val="004D6EA7"/>
    <w:rsid w:val="004D6F1B"/>
    <w:rsid w:val="004D7810"/>
    <w:rsid w:val="004D7946"/>
    <w:rsid w:val="004D794F"/>
    <w:rsid w:val="004E024D"/>
    <w:rsid w:val="004E0902"/>
    <w:rsid w:val="004E0CCF"/>
    <w:rsid w:val="004E0D10"/>
    <w:rsid w:val="004E0D17"/>
    <w:rsid w:val="004E2711"/>
    <w:rsid w:val="004E2E94"/>
    <w:rsid w:val="004E31C3"/>
    <w:rsid w:val="004E36D9"/>
    <w:rsid w:val="004E37F6"/>
    <w:rsid w:val="004E392E"/>
    <w:rsid w:val="004E3F09"/>
    <w:rsid w:val="004E3F54"/>
    <w:rsid w:val="004E4335"/>
    <w:rsid w:val="004E4463"/>
    <w:rsid w:val="004E46A0"/>
    <w:rsid w:val="004E4A78"/>
    <w:rsid w:val="004E4C28"/>
    <w:rsid w:val="004E4EAF"/>
    <w:rsid w:val="004E5044"/>
    <w:rsid w:val="004E53BE"/>
    <w:rsid w:val="004E546B"/>
    <w:rsid w:val="004E5ACF"/>
    <w:rsid w:val="004E620F"/>
    <w:rsid w:val="004E660F"/>
    <w:rsid w:val="004E6EF7"/>
    <w:rsid w:val="004E72AB"/>
    <w:rsid w:val="004E7D7D"/>
    <w:rsid w:val="004E7FC4"/>
    <w:rsid w:val="004F00C0"/>
    <w:rsid w:val="004F0C5F"/>
    <w:rsid w:val="004F0E60"/>
    <w:rsid w:val="004F13EE"/>
    <w:rsid w:val="004F1591"/>
    <w:rsid w:val="004F1A4D"/>
    <w:rsid w:val="004F2022"/>
    <w:rsid w:val="004F2113"/>
    <w:rsid w:val="004F2CDD"/>
    <w:rsid w:val="004F2DC5"/>
    <w:rsid w:val="004F36DD"/>
    <w:rsid w:val="004F392E"/>
    <w:rsid w:val="004F3C25"/>
    <w:rsid w:val="004F3C5C"/>
    <w:rsid w:val="004F3CA1"/>
    <w:rsid w:val="004F3ED9"/>
    <w:rsid w:val="004F4030"/>
    <w:rsid w:val="004F41E0"/>
    <w:rsid w:val="004F48B3"/>
    <w:rsid w:val="004F48CE"/>
    <w:rsid w:val="004F4993"/>
    <w:rsid w:val="004F4A7F"/>
    <w:rsid w:val="004F4B30"/>
    <w:rsid w:val="004F4DA3"/>
    <w:rsid w:val="004F5512"/>
    <w:rsid w:val="004F555C"/>
    <w:rsid w:val="004F5971"/>
    <w:rsid w:val="004F61F7"/>
    <w:rsid w:val="004F660D"/>
    <w:rsid w:val="004F6BE8"/>
    <w:rsid w:val="004F6CA1"/>
    <w:rsid w:val="004F737D"/>
    <w:rsid w:val="004F763F"/>
    <w:rsid w:val="004F7908"/>
    <w:rsid w:val="004F7C05"/>
    <w:rsid w:val="004F7D92"/>
    <w:rsid w:val="0050044D"/>
    <w:rsid w:val="00500828"/>
    <w:rsid w:val="0050094E"/>
    <w:rsid w:val="0050163E"/>
    <w:rsid w:val="00501C94"/>
    <w:rsid w:val="00501CD3"/>
    <w:rsid w:val="005023A8"/>
    <w:rsid w:val="005024A8"/>
    <w:rsid w:val="00502BF7"/>
    <w:rsid w:val="00502C3A"/>
    <w:rsid w:val="005039F3"/>
    <w:rsid w:val="00503A5C"/>
    <w:rsid w:val="00503C6A"/>
    <w:rsid w:val="00503EA7"/>
    <w:rsid w:val="00504244"/>
    <w:rsid w:val="00504EB8"/>
    <w:rsid w:val="005050F4"/>
    <w:rsid w:val="0050516A"/>
    <w:rsid w:val="005052B7"/>
    <w:rsid w:val="00505431"/>
    <w:rsid w:val="005057D9"/>
    <w:rsid w:val="00505B64"/>
    <w:rsid w:val="00506257"/>
    <w:rsid w:val="00506432"/>
    <w:rsid w:val="0050649E"/>
    <w:rsid w:val="00506C1E"/>
    <w:rsid w:val="00506CFD"/>
    <w:rsid w:val="00506D17"/>
    <w:rsid w:val="00507231"/>
    <w:rsid w:val="005073A8"/>
    <w:rsid w:val="00507509"/>
    <w:rsid w:val="0051089E"/>
    <w:rsid w:val="00510BE4"/>
    <w:rsid w:val="00510CC9"/>
    <w:rsid w:val="005113E4"/>
    <w:rsid w:val="005115C5"/>
    <w:rsid w:val="00511D11"/>
    <w:rsid w:val="0051213A"/>
    <w:rsid w:val="0051242B"/>
    <w:rsid w:val="005127A3"/>
    <w:rsid w:val="00512C2E"/>
    <w:rsid w:val="00512C84"/>
    <w:rsid w:val="00513444"/>
    <w:rsid w:val="005134B4"/>
    <w:rsid w:val="0051372B"/>
    <w:rsid w:val="005139AF"/>
    <w:rsid w:val="00513A2C"/>
    <w:rsid w:val="00513D5D"/>
    <w:rsid w:val="00513F23"/>
    <w:rsid w:val="00514175"/>
    <w:rsid w:val="00514703"/>
    <w:rsid w:val="005149E5"/>
    <w:rsid w:val="00514D4A"/>
    <w:rsid w:val="00515547"/>
    <w:rsid w:val="00516F13"/>
    <w:rsid w:val="00517023"/>
    <w:rsid w:val="005177E0"/>
    <w:rsid w:val="00517895"/>
    <w:rsid w:val="00517FB3"/>
    <w:rsid w:val="005203F6"/>
    <w:rsid w:val="0052051D"/>
    <w:rsid w:val="00520828"/>
    <w:rsid w:val="00520FBD"/>
    <w:rsid w:val="00521357"/>
    <w:rsid w:val="00521513"/>
    <w:rsid w:val="0052157C"/>
    <w:rsid w:val="0052181A"/>
    <w:rsid w:val="00521964"/>
    <w:rsid w:val="00521B51"/>
    <w:rsid w:val="00521FAA"/>
    <w:rsid w:val="00522002"/>
    <w:rsid w:val="00522C1F"/>
    <w:rsid w:val="00522D41"/>
    <w:rsid w:val="00522EAF"/>
    <w:rsid w:val="00522F75"/>
    <w:rsid w:val="00523153"/>
    <w:rsid w:val="005234DD"/>
    <w:rsid w:val="0052352B"/>
    <w:rsid w:val="00523571"/>
    <w:rsid w:val="00523771"/>
    <w:rsid w:val="005237CB"/>
    <w:rsid w:val="00525135"/>
    <w:rsid w:val="005252FF"/>
    <w:rsid w:val="005257D5"/>
    <w:rsid w:val="00525835"/>
    <w:rsid w:val="00525E71"/>
    <w:rsid w:val="00526698"/>
    <w:rsid w:val="00526824"/>
    <w:rsid w:val="00526E97"/>
    <w:rsid w:val="00526FAA"/>
    <w:rsid w:val="0052791B"/>
    <w:rsid w:val="005303A2"/>
    <w:rsid w:val="005306C1"/>
    <w:rsid w:val="0053098E"/>
    <w:rsid w:val="00530AB6"/>
    <w:rsid w:val="00530F5E"/>
    <w:rsid w:val="005313D2"/>
    <w:rsid w:val="0053149D"/>
    <w:rsid w:val="005318E8"/>
    <w:rsid w:val="00531BF6"/>
    <w:rsid w:val="00531D7D"/>
    <w:rsid w:val="00532D3B"/>
    <w:rsid w:val="00532DB7"/>
    <w:rsid w:val="00532E93"/>
    <w:rsid w:val="00532F1D"/>
    <w:rsid w:val="00533024"/>
    <w:rsid w:val="0053328F"/>
    <w:rsid w:val="00533654"/>
    <w:rsid w:val="00533869"/>
    <w:rsid w:val="00533AE3"/>
    <w:rsid w:val="005344D0"/>
    <w:rsid w:val="00534BDD"/>
    <w:rsid w:val="00534F4F"/>
    <w:rsid w:val="00535E9E"/>
    <w:rsid w:val="00535EFC"/>
    <w:rsid w:val="0053616D"/>
    <w:rsid w:val="00536255"/>
    <w:rsid w:val="0053666C"/>
    <w:rsid w:val="00536776"/>
    <w:rsid w:val="0053710B"/>
    <w:rsid w:val="00537B57"/>
    <w:rsid w:val="00537FBF"/>
    <w:rsid w:val="0054044C"/>
    <w:rsid w:val="00540E55"/>
    <w:rsid w:val="00540F36"/>
    <w:rsid w:val="00541535"/>
    <w:rsid w:val="00541ED5"/>
    <w:rsid w:val="005420EC"/>
    <w:rsid w:val="005424B2"/>
    <w:rsid w:val="005428DE"/>
    <w:rsid w:val="00542B4F"/>
    <w:rsid w:val="00542D80"/>
    <w:rsid w:val="0054315B"/>
    <w:rsid w:val="005431D0"/>
    <w:rsid w:val="00543824"/>
    <w:rsid w:val="00543EEF"/>
    <w:rsid w:val="00544C6C"/>
    <w:rsid w:val="00544EFC"/>
    <w:rsid w:val="005450AD"/>
    <w:rsid w:val="00545357"/>
    <w:rsid w:val="00545630"/>
    <w:rsid w:val="0054583A"/>
    <w:rsid w:val="005459B5"/>
    <w:rsid w:val="00545A6D"/>
    <w:rsid w:val="00545B79"/>
    <w:rsid w:val="00545C5F"/>
    <w:rsid w:val="00545EE6"/>
    <w:rsid w:val="005461D6"/>
    <w:rsid w:val="00546C16"/>
    <w:rsid w:val="00546D07"/>
    <w:rsid w:val="0054702E"/>
    <w:rsid w:val="0054725B"/>
    <w:rsid w:val="0054728D"/>
    <w:rsid w:val="00550E9F"/>
    <w:rsid w:val="005512F7"/>
    <w:rsid w:val="00551966"/>
    <w:rsid w:val="00551A9F"/>
    <w:rsid w:val="00551B22"/>
    <w:rsid w:val="00552199"/>
    <w:rsid w:val="00552632"/>
    <w:rsid w:val="005527B2"/>
    <w:rsid w:val="005528E9"/>
    <w:rsid w:val="00552B31"/>
    <w:rsid w:val="00552BD2"/>
    <w:rsid w:val="00552C6C"/>
    <w:rsid w:val="00553058"/>
    <w:rsid w:val="00553142"/>
    <w:rsid w:val="00553498"/>
    <w:rsid w:val="005540EB"/>
    <w:rsid w:val="00554950"/>
    <w:rsid w:val="00554BE6"/>
    <w:rsid w:val="00554F08"/>
    <w:rsid w:val="005550E7"/>
    <w:rsid w:val="00555295"/>
    <w:rsid w:val="00555518"/>
    <w:rsid w:val="0055590E"/>
    <w:rsid w:val="00555EDB"/>
    <w:rsid w:val="00556054"/>
    <w:rsid w:val="00556179"/>
    <w:rsid w:val="005564FB"/>
    <w:rsid w:val="00556825"/>
    <w:rsid w:val="005569DD"/>
    <w:rsid w:val="00556A9A"/>
    <w:rsid w:val="00556AB0"/>
    <w:rsid w:val="00556FB0"/>
    <w:rsid w:val="005572C7"/>
    <w:rsid w:val="0055738D"/>
    <w:rsid w:val="005577EC"/>
    <w:rsid w:val="0055F2E0"/>
    <w:rsid w:val="005602A5"/>
    <w:rsid w:val="005604ED"/>
    <w:rsid w:val="005606BD"/>
    <w:rsid w:val="00560759"/>
    <w:rsid w:val="00560E60"/>
    <w:rsid w:val="00561C45"/>
    <w:rsid w:val="00561CEB"/>
    <w:rsid w:val="005627BA"/>
    <w:rsid w:val="005628C2"/>
    <w:rsid w:val="00562938"/>
    <w:rsid w:val="00562CD7"/>
    <w:rsid w:val="00563019"/>
    <w:rsid w:val="0056390E"/>
    <w:rsid w:val="0056405D"/>
    <w:rsid w:val="0056425D"/>
    <w:rsid w:val="00564BA2"/>
    <w:rsid w:val="005650ED"/>
    <w:rsid w:val="0056548B"/>
    <w:rsid w:val="00565A8C"/>
    <w:rsid w:val="00565C64"/>
    <w:rsid w:val="00565E17"/>
    <w:rsid w:val="0056621E"/>
    <w:rsid w:val="005663DD"/>
    <w:rsid w:val="005665B6"/>
    <w:rsid w:val="005665C0"/>
    <w:rsid w:val="00566C5A"/>
    <w:rsid w:val="00566ED6"/>
    <w:rsid w:val="00567540"/>
    <w:rsid w:val="00567C08"/>
    <w:rsid w:val="005700BE"/>
    <w:rsid w:val="005705C5"/>
    <w:rsid w:val="005705DD"/>
    <w:rsid w:val="00570D82"/>
    <w:rsid w:val="00570EA7"/>
    <w:rsid w:val="00571932"/>
    <w:rsid w:val="00571EE9"/>
    <w:rsid w:val="00571F44"/>
    <w:rsid w:val="00571FA2"/>
    <w:rsid w:val="00572328"/>
    <w:rsid w:val="00572478"/>
    <w:rsid w:val="00572E7A"/>
    <w:rsid w:val="00573227"/>
    <w:rsid w:val="005734B0"/>
    <w:rsid w:val="00573C14"/>
    <w:rsid w:val="00573C41"/>
    <w:rsid w:val="0057408E"/>
    <w:rsid w:val="00574861"/>
    <w:rsid w:val="00575754"/>
    <w:rsid w:val="00575F83"/>
    <w:rsid w:val="005760E3"/>
    <w:rsid w:val="00576583"/>
    <w:rsid w:val="00576871"/>
    <w:rsid w:val="005804AC"/>
    <w:rsid w:val="00580784"/>
    <w:rsid w:val="00580F82"/>
    <w:rsid w:val="00581DCA"/>
    <w:rsid w:val="005826DA"/>
    <w:rsid w:val="0058301A"/>
    <w:rsid w:val="00583DA6"/>
    <w:rsid w:val="005844DD"/>
    <w:rsid w:val="00584699"/>
    <w:rsid w:val="005855C6"/>
    <w:rsid w:val="005858CE"/>
    <w:rsid w:val="00585C9B"/>
    <w:rsid w:val="00585DF7"/>
    <w:rsid w:val="005862CE"/>
    <w:rsid w:val="005865BB"/>
    <w:rsid w:val="00586FB3"/>
    <w:rsid w:val="005876A5"/>
    <w:rsid w:val="005878D8"/>
    <w:rsid w:val="005901A2"/>
    <w:rsid w:val="00590907"/>
    <w:rsid w:val="005909A5"/>
    <w:rsid w:val="00590E90"/>
    <w:rsid w:val="00591633"/>
    <w:rsid w:val="005916D2"/>
    <w:rsid w:val="005916E9"/>
    <w:rsid w:val="005919A2"/>
    <w:rsid w:val="00591AE4"/>
    <w:rsid w:val="00591B59"/>
    <w:rsid w:val="00591B9D"/>
    <w:rsid w:val="00591E20"/>
    <w:rsid w:val="00592254"/>
    <w:rsid w:val="005923B0"/>
    <w:rsid w:val="005923BB"/>
    <w:rsid w:val="00592A40"/>
    <w:rsid w:val="00592E80"/>
    <w:rsid w:val="00592EBB"/>
    <w:rsid w:val="00592ED4"/>
    <w:rsid w:val="005930C0"/>
    <w:rsid w:val="0059388A"/>
    <w:rsid w:val="00593E2D"/>
    <w:rsid w:val="005945E4"/>
    <w:rsid w:val="00594D6D"/>
    <w:rsid w:val="00594FC9"/>
    <w:rsid w:val="00595408"/>
    <w:rsid w:val="00595580"/>
    <w:rsid w:val="005955FC"/>
    <w:rsid w:val="00595902"/>
    <w:rsid w:val="00595E84"/>
    <w:rsid w:val="00596726"/>
    <w:rsid w:val="005968F5"/>
    <w:rsid w:val="0059770D"/>
    <w:rsid w:val="005A03FC"/>
    <w:rsid w:val="005A0657"/>
    <w:rsid w:val="005A0C59"/>
    <w:rsid w:val="005A0D8C"/>
    <w:rsid w:val="005A143A"/>
    <w:rsid w:val="005A1A23"/>
    <w:rsid w:val="005A1C94"/>
    <w:rsid w:val="005A2346"/>
    <w:rsid w:val="005A2E74"/>
    <w:rsid w:val="005A3447"/>
    <w:rsid w:val="005A379B"/>
    <w:rsid w:val="005A3843"/>
    <w:rsid w:val="005A3B9E"/>
    <w:rsid w:val="005A3D70"/>
    <w:rsid w:val="005A48EB"/>
    <w:rsid w:val="005A4B12"/>
    <w:rsid w:val="005A4E1B"/>
    <w:rsid w:val="005A5109"/>
    <w:rsid w:val="005A51A6"/>
    <w:rsid w:val="005A5384"/>
    <w:rsid w:val="005A56DF"/>
    <w:rsid w:val="005A59AE"/>
    <w:rsid w:val="005A5A18"/>
    <w:rsid w:val="005A5C9C"/>
    <w:rsid w:val="005A617D"/>
    <w:rsid w:val="005A6CFB"/>
    <w:rsid w:val="005A6EB6"/>
    <w:rsid w:val="005A7328"/>
    <w:rsid w:val="005B0C44"/>
    <w:rsid w:val="005B10AE"/>
    <w:rsid w:val="005B1EB7"/>
    <w:rsid w:val="005B2135"/>
    <w:rsid w:val="005B2872"/>
    <w:rsid w:val="005B2B32"/>
    <w:rsid w:val="005B2C4D"/>
    <w:rsid w:val="005B2ECE"/>
    <w:rsid w:val="005B2F42"/>
    <w:rsid w:val="005B31C0"/>
    <w:rsid w:val="005B323C"/>
    <w:rsid w:val="005B3832"/>
    <w:rsid w:val="005B3D38"/>
    <w:rsid w:val="005B4170"/>
    <w:rsid w:val="005B4745"/>
    <w:rsid w:val="005B4A18"/>
    <w:rsid w:val="005B4E76"/>
    <w:rsid w:val="005B4EB6"/>
    <w:rsid w:val="005B5114"/>
    <w:rsid w:val="005B52C6"/>
    <w:rsid w:val="005B5F30"/>
    <w:rsid w:val="005B60AF"/>
    <w:rsid w:val="005B6848"/>
    <w:rsid w:val="005B6A81"/>
    <w:rsid w:val="005B6B34"/>
    <w:rsid w:val="005B6E0E"/>
    <w:rsid w:val="005B6E53"/>
    <w:rsid w:val="005B7250"/>
    <w:rsid w:val="005B7493"/>
    <w:rsid w:val="005B7731"/>
    <w:rsid w:val="005B7A2C"/>
    <w:rsid w:val="005C02AD"/>
    <w:rsid w:val="005C04E9"/>
    <w:rsid w:val="005C0C73"/>
    <w:rsid w:val="005C0EF9"/>
    <w:rsid w:val="005C106F"/>
    <w:rsid w:val="005C1436"/>
    <w:rsid w:val="005C14B3"/>
    <w:rsid w:val="005C1532"/>
    <w:rsid w:val="005C1762"/>
    <w:rsid w:val="005C1D17"/>
    <w:rsid w:val="005C25D5"/>
    <w:rsid w:val="005C279F"/>
    <w:rsid w:val="005C2F6F"/>
    <w:rsid w:val="005C371B"/>
    <w:rsid w:val="005C38FD"/>
    <w:rsid w:val="005C3921"/>
    <w:rsid w:val="005C41E5"/>
    <w:rsid w:val="005C4374"/>
    <w:rsid w:val="005C43E3"/>
    <w:rsid w:val="005C5058"/>
    <w:rsid w:val="005C529C"/>
    <w:rsid w:val="005C532F"/>
    <w:rsid w:val="005C53AF"/>
    <w:rsid w:val="005C5502"/>
    <w:rsid w:val="005C592C"/>
    <w:rsid w:val="005C59C6"/>
    <w:rsid w:val="005C5AEB"/>
    <w:rsid w:val="005C639D"/>
    <w:rsid w:val="005C658C"/>
    <w:rsid w:val="005C66F0"/>
    <w:rsid w:val="005C6EE8"/>
    <w:rsid w:val="005C738E"/>
    <w:rsid w:val="005C7480"/>
    <w:rsid w:val="005C75DE"/>
    <w:rsid w:val="005D01DE"/>
    <w:rsid w:val="005D022C"/>
    <w:rsid w:val="005D060E"/>
    <w:rsid w:val="005D09A0"/>
    <w:rsid w:val="005D09F3"/>
    <w:rsid w:val="005D1367"/>
    <w:rsid w:val="005D1507"/>
    <w:rsid w:val="005D177D"/>
    <w:rsid w:val="005D1788"/>
    <w:rsid w:val="005D1ACE"/>
    <w:rsid w:val="005D1E69"/>
    <w:rsid w:val="005D1ED5"/>
    <w:rsid w:val="005D2644"/>
    <w:rsid w:val="005D29A6"/>
    <w:rsid w:val="005D2C56"/>
    <w:rsid w:val="005D3152"/>
    <w:rsid w:val="005D3D4C"/>
    <w:rsid w:val="005D3DF0"/>
    <w:rsid w:val="005D4153"/>
    <w:rsid w:val="005D4B00"/>
    <w:rsid w:val="005D5153"/>
    <w:rsid w:val="005D5266"/>
    <w:rsid w:val="005D54BB"/>
    <w:rsid w:val="005D5AF4"/>
    <w:rsid w:val="005D5FFA"/>
    <w:rsid w:val="005D6177"/>
    <w:rsid w:val="005D64F5"/>
    <w:rsid w:val="005D68FD"/>
    <w:rsid w:val="005D7F2B"/>
    <w:rsid w:val="005E0000"/>
    <w:rsid w:val="005E00B4"/>
    <w:rsid w:val="005E0323"/>
    <w:rsid w:val="005E0A3F"/>
    <w:rsid w:val="005E0A7A"/>
    <w:rsid w:val="005E0F4A"/>
    <w:rsid w:val="005E162C"/>
    <w:rsid w:val="005E23A3"/>
    <w:rsid w:val="005E240A"/>
    <w:rsid w:val="005E2C07"/>
    <w:rsid w:val="005E2C23"/>
    <w:rsid w:val="005E2F52"/>
    <w:rsid w:val="005E37C7"/>
    <w:rsid w:val="005E3B7B"/>
    <w:rsid w:val="005E3BC7"/>
    <w:rsid w:val="005E3F78"/>
    <w:rsid w:val="005E4065"/>
    <w:rsid w:val="005E426B"/>
    <w:rsid w:val="005E4D33"/>
    <w:rsid w:val="005E543B"/>
    <w:rsid w:val="005E54FC"/>
    <w:rsid w:val="005E5922"/>
    <w:rsid w:val="005E5B07"/>
    <w:rsid w:val="005E5CA1"/>
    <w:rsid w:val="005E5F40"/>
    <w:rsid w:val="005E6883"/>
    <w:rsid w:val="005E6C06"/>
    <w:rsid w:val="005E6F67"/>
    <w:rsid w:val="005E7001"/>
    <w:rsid w:val="005E747F"/>
    <w:rsid w:val="005E766D"/>
    <w:rsid w:val="005E772F"/>
    <w:rsid w:val="005E7B74"/>
    <w:rsid w:val="005E7E9C"/>
    <w:rsid w:val="005E7F81"/>
    <w:rsid w:val="005F0090"/>
    <w:rsid w:val="005F0557"/>
    <w:rsid w:val="005F0BD3"/>
    <w:rsid w:val="005F102E"/>
    <w:rsid w:val="005F15B2"/>
    <w:rsid w:val="005F16E1"/>
    <w:rsid w:val="005F1981"/>
    <w:rsid w:val="005F1B58"/>
    <w:rsid w:val="005F1DCB"/>
    <w:rsid w:val="005F21F3"/>
    <w:rsid w:val="005F249E"/>
    <w:rsid w:val="005F273C"/>
    <w:rsid w:val="005F285D"/>
    <w:rsid w:val="005F2E36"/>
    <w:rsid w:val="005F3088"/>
    <w:rsid w:val="005F33F4"/>
    <w:rsid w:val="005F3485"/>
    <w:rsid w:val="005F37AB"/>
    <w:rsid w:val="005F383F"/>
    <w:rsid w:val="005F3CA7"/>
    <w:rsid w:val="005F3EBE"/>
    <w:rsid w:val="005F43D0"/>
    <w:rsid w:val="005F498F"/>
    <w:rsid w:val="005F4DED"/>
    <w:rsid w:val="005F4ECA"/>
    <w:rsid w:val="005F4F68"/>
    <w:rsid w:val="005F5025"/>
    <w:rsid w:val="005F5929"/>
    <w:rsid w:val="005F59B5"/>
    <w:rsid w:val="005F5CE9"/>
    <w:rsid w:val="005F5EF3"/>
    <w:rsid w:val="005F6379"/>
    <w:rsid w:val="005F66E9"/>
    <w:rsid w:val="005F690F"/>
    <w:rsid w:val="005F6D92"/>
    <w:rsid w:val="005F702E"/>
    <w:rsid w:val="005F7424"/>
    <w:rsid w:val="005F7675"/>
    <w:rsid w:val="005F7977"/>
    <w:rsid w:val="005F7FC8"/>
    <w:rsid w:val="0060003C"/>
    <w:rsid w:val="006000AB"/>
    <w:rsid w:val="006003FB"/>
    <w:rsid w:val="00600457"/>
    <w:rsid w:val="00600745"/>
    <w:rsid w:val="006007C6"/>
    <w:rsid w:val="006008F6"/>
    <w:rsid w:val="0060092F"/>
    <w:rsid w:val="00600FA3"/>
    <w:rsid w:val="0060100D"/>
    <w:rsid w:val="006011EA"/>
    <w:rsid w:val="006013AE"/>
    <w:rsid w:val="006018AC"/>
    <w:rsid w:val="00601EF9"/>
    <w:rsid w:val="006020F3"/>
    <w:rsid w:val="00602226"/>
    <w:rsid w:val="0060280C"/>
    <w:rsid w:val="00602926"/>
    <w:rsid w:val="00602934"/>
    <w:rsid w:val="00602B44"/>
    <w:rsid w:val="00602C3E"/>
    <w:rsid w:val="00603023"/>
    <w:rsid w:val="006034B1"/>
    <w:rsid w:val="00603BC3"/>
    <w:rsid w:val="00603E3A"/>
    <w:rsid w:val="006040A6"/>
    <w:rsid w:val="006041BE"/>
    <w:rsid w:val="006041E8"/>
    <w:rsid w:val="006043C7"/>
    <w:rsid w:val="0060465D"/>
    <w:rsid w:val="00604AFD"/>
    <w:rsid w:val="00604C23"/>
    <w:rsid w:val="006051D5"/>
    <w:rsid w:val="0060547A"/>
    <w:rsid w:val="0060623D"/>
    <w:rsid w:val="006062E8"/>
    <w:rsid w:val="0060649A"/>
    <w:rsid w:val="00606890"/>
    <w:rsid w:val="00606991"/>
    <w:rsid w:val="00606A3E"/>
    <w:rsid w:val="00606A74"/>
    <w:rsid w:val="00606C68"/>
    <w:rsid w:val="00606DF0"/>
    <w:rsid w:val="00606E9A"/>
    <w:rsid w:val="00606ECB"/>
    <w:rsid w:val="00606EEE"/>
    <w:rsid w:val="00607026"/>
    <w:rsid w:val="0060703D"/>
    <w:rsid w:val="006070D7"/>
    <w:rsid w:val="006071CE"/>
    <w:rsid w:val="00607C0F"/>
    <w:rsid w:val="00607E56"/>
    <w:rsid w:val="006103BA"/>
    <w:rsid w:val="00611219"/>
    <w:rsid w:val="00611239"/>
    <w:rsid w:val="0061159B"/>
    <w:rsid w:val="00612471"/>
    <w:rsid w:val="006124AC"/>
    <w:rsid w:val="006135A1"/>
    <w:rsid w:val="006135D5"/>
    <w:rsid w:val="00613780"/>
    <w:rsid w:val="00613F2E"/>
    <w:rsid w:val="0061414C"/>
    <w:rsid w:val="006141CF"/>
    <w:rsid w:val="00614269"/>
    <w:rsid w:val="006143DF"/>
    <w:rsid w:val="006148C4"/>
    <w:rsid w:val="00614D53"/>
    <w:rsid w:val="00614E44"/>
    <w:rsid w:val="00614F30"/>
    <w:rsid w:val="006158A1"/>
    <w:rsid w:val="0061590C"/>
    <w:rsid w:val="00615AFD"/>
    <w:rsid w:val="00616408"/>
    <w:rsid w:val="006169CD"/>
    <w:rsid w:val="00616F39"/>
    <w:rsid w:val="00617647"/>
    <w:rsid w:val="00617715"/>
    <w:rsid w:val="00617BF7"/>
    <w:rsid w:val="00617D43"/>
    <w:rsid w:val="00617E6D"/>
    <w:rsid w:val="00620062"/>
    <w:rsid w:val="0062007C"/>
    <w:rsid w:val="006200AD"/>
    <w:rsid w:val="0062017F"/>
    <w:rsid w:val="00620596"/>
    <w:rsid w:val="006212C3"/>
    <w:rsid w:val="006224B8"/>
    <w:rsid w:val="00622907"/>
    <w:rsid w:val="00622DB1"/>
    <w:rsid w:val="00623103"/>
    <w:rsid w:val="00623300"/>
    <w:rsid w:val="00623618"/>
    <w:rsid w:val="00623756"/>
    <w:rsid w:val="00623E5C"/>
    <w:rsid w:val="00623F15"/>
    <w:rsid w:val="006243FC"/>
    <w:rsid w:val="00624665"/>
    <w:rsid w:val="00624B52"/>
    <w:rsid w:val="00624FFA"/>
    <w:rsid w:val="00625082"/>
    <w:rsid w:val="00625183"/>
    <w:rsid w:val="006252CF"/>
    <w:rsid w:val="00625AF0"/>
    <w:rsid w:val="00625CDA"/>
    <w:rsid w:val="00627180"/>
    <w:rsid w:val="00627896"/>
    <w:rsid w:val="00627A1A"/>
    <w:rsid w:val="00627AAC"/>
    <w:rsid w:val="00627E1E"/>
    <w:rsid w:val="00630B61"/>
    <w:rsid w:val="00631203"/>
    <w:rsid w:val="0063133B"/>
    <w:rsid w:val="006313F1"/>
    <w:rsid w:val="00631758"/>
    <w:rsid w:val="00631860"/>
    <w:rsid w:val="006318DA"/>
    <w:rsid w:val="00631943"/>
    <w:rsid w:val="00631DA6"/>
    <w:rsid w:val="00631DF4"/>
    <w:rsid w:val="006327B0"/>
    <w:rsid w:val="00632DA1"/>
    <w:rsid w:val="006332E6"/>
    <w:rsid w:val="006335BD"/>
    <w:rsid w:val="00633A15"/>
    <w:rsid w:val="00633E6E"/>
    <w:rsid w:val="00634175"/>
    <w:rsid w:val="0063418D"/>
    <w:rsid w:val="00634694"/>
    <w:rsid w:val="00634B9D"/>
    <w:rsid w:val="00634E5D"/>
    <w:rsid w:val="00634FB1"/>
    <w:rsid w:val="00635E99"/>
    <w:rsid w:val="00635F45"/>
    <w:rsid w:val="00636008"/>
    <w:rsid w:val="00636228"/>
    <w:rsid w:val="00636982"/>
    <w:rsid w:val="00636D06"/>
    <w:rsid w:val="00637125"/>
    <w:rsid w:val="006377FB"/>
    <w:rsid w:val="00637BA9"/>
    <w:rsid w:val="00637E5F"/>
    <w:rsid w:val="006408AC"/>
    <w:rsid w:val="00640ACC"/>
    <w:rsid w:val="00640DD0"/>
    <w:rsid w:val="00640E4E"/>
    <w:rsid w:val="00641084"/>
    <w:rsid w:val="006416D3"/>
    <w:rsid w:val="0064236D"/>
    <w:rsid w:val="00642D92"/>
    <w:rsid w:val="00643207"/>
    <w:rsid w:val="006432DE"/>
    <w:rsid w:val="00643598"/>
    <w:rsid w:val="006435F2"/>
    <w:rsid w:val="00643974"/>
    <w:rsid w:val="006439FB"/>
    <w:rsid w:val="00643EF9"/>
    <w:rsid w:val="00643F4E"/>
    <w:rsid w:val="00644062"/>
    <w:rsid w:val="0064421C"/>
    <w:rsid w:val="0064424A"/>
    <w:rsid w:val="0064459C"/>
    <w:rsid w:val="00644891"/>
    <w:rsid w:val="00644B23"/>
    <w:rsid w:val="00645405"/>
    <w:rsid w:val="00645844"/>
    <w:rsid w:val="00645999"/>
    <w:rsid w:val="00645CC7"/>
    <w:rsid w:val="00645EC3"/>
    <w:rsid w:val="00645EFB"/>
    <w:rsid w:val="00646EA5"/>
    <w:rsid w:val="00647670"/>
    <w:rsid w:val="00647B35"/>
    <w:rsid w:val="00647C7D"/>
    <w:rsid w:val="006506A8"/>
    <w:rsid w:val="0065091A"/>
    <w:rsid w:val="006511B6"/>
    <w:rsid w:val="00651220"/>
    <w:rsid w:val="006512CC"/>
    <w:rsid w:val="00651590"/>
    <w:rsid w:val="00651FDC"/>
    <w:rsid w:val="0065249F"/>
    <w:rsid w:val="00652742"/>
    <w:rsid w:val="00652BA2"/>
    <w:rsid w:val="00652C7D"/>
    <w:rsid w:val="00652F6C"/>
    <w:rsid w:val="00652FEE"/>
    <w:rsid w:val="006533CD"/>
    <w:rsid w:val="0065380F"/>
    <w:rsid w:val="00653875"/>
    <w:rsid w:val="00653892"/>
    <w:rsid w:val="00653EFD"/>
    <w:rsid w:val="00654434"/>
    <w:rsid w:val="00654892"/>
    <w:rsid w:val="00654C7C"/>
    <w:rsid w:val="00654E42"/>
    <w:rsid w:val="0065511C"/>
    <w:rsid w:val="006556F4"/>
    <w:rsid w:val="006559F5"/>
    <w:rsid w:val="00655CFA"/>
    <w:rsid w:val="00655E2B"/>
    <w:rsid w:val="00655F86"/>
    <w:rsid w:val="00656758"/>
    <w:rsid w:val="0065676B"/>
    <w:rsid w:val="006567B1"/>
    <w:rsid w:val="0065680E"/>
    <w:rsid w:val="006569A3"/>
    <w:rsid w:val="00656E06"/>
    <w:rsid w:val="00657351"/>
    <w:rsid w:val="00657BBD"/>
    <w:rsid w:val="00657FF8"/>
    <w:rsid w:val="0065B5D2"/>
    <w:rsid w:val="006604C2"/>
    <w:rsid w:val="00660BB2"/>
    <w:rsid w:val="0066117A"/>
    <w:rsid w:val="00661456"/>
    <w:rsid w:val="00661476"/>
    <w:rsid w:val="00661925"/>
    <w:rsid w:val="00661C6B"/>
    <w:rsid w:val="006620D0"/>
    <w:rsid w:val="006620D1"/>
    <w:rsid w:val="006620D6"/>
    <w:rsid w:val="00662547"/>
    <w:rsid w:val="006626E6"/>
    <w:rsid w:val="00662965"/>
    <w:rsid w:val="00662F47"/>
    <w:rsid w:val="00663248"/>
    <w:rsid w:val="0066341A"/>
    <w:rsid w:val="00663503"/>
    <w:rsid w:val="0066368D"/>
    <w:rsid w:val="00663C56"/>
    <w:rsid w:val="00663FCD"/>
    <w:rsid w:val="00663FDB"/>
    <w:rsid w:val="00664082"/>
    <w:rsid w:val="0066413A"/>
    <w:rsid w:val="00664379"/>
    <w:rsid w:val="00664940"/>
    <w:rsid w:val="00665225"/>
    <w:rsid w:val="00665228"/>
    <w:rsid w:val="00665A74"/>
    <w:rsid w:val="00666DD0"/>
    <w:rsid w:val="00667549"/>
    <w:rsid w:val="00670D99"/>
    <w:rsid w:val="00670E2B"/>
    <w:rsid w:val="00671760"/>
    <w:rsid w:val="00672451"/>
    <w:rsid w:val="00672761"/>
    <w:rsid w:val="00672A8B"/>
    <w:rsid w:val="00672DEE"/>
    <w:rsid w:val="0067323B"/>
    <w:rsid w:val="00673285"/>
    <w:rsid w:val="006734BB"/>
    <w:rsid w:val="00674381"/>
    <w:rsid w:val="0067444A"/>
    <w:rsid w:val="0067583F"/>
    <w:rsid w:val="00677115"/>
    <w:rsid w:val="00680419"/>
    <w:rsid w:val="0068071F"/>
    <w:rsid w:val="0068081C"/>
    <w:rsid w:val="00680B8E"/>
    <w:rsid w:val="00681A34"/>
    <w:rsid w:val="00681C41"/>
    <w:rsid w:val="006821EB"/>
    <w:rsid w:val="00682255"/>
    <w:rsid w:val="00682682"/>
    <w:rsid w:val="006826E9"/>
    <w:rsid w:val="006827AF"/>
    <w:rsid w:val="006828C4"/>
    <w:rsid w:val="00682989"/>
    <w:rsid w:val="00682F24"/>
    <w:rsid w:val="006831D3"/>
    <w:rsid w:val="00683A1A"/>
    <w:rsid w:val="00683DAF"/>
    <w:rsid w:val="00683DEE"/>
    <w:rsid w:val="00684D9A"/>
    <w:rsid w:val="00684DB0"/>
    <w:rsid w:val="00684F81"/>
    <w:rsid w:val="006851DF"/>
    <w:rsid w:val="006854D2"/>
    <w:rsid w:val="006866B6"/>
    <w:rsid w:val="00686B0C"/>
    <w:rsid w:val="006873A4"/>
    <w:rsid w:val="0068740C"/>
    <w:rsid w:val="0068758A"/>
    <w:rsid w:val="00687AA5"/>
    <w:rsid w:val="00687C2B"/>
    <w:rsid w:val="00687F91"/>
    <w:rsid w:val="006903FB"/>
    <w:rsid w:val="00690488"/>
    <w:rsid w:val="00690584"/>
    <w:rsid w:val="00690A56"/>
    <w:rsid w:val="00690BFD"/>
    <w:rsid w:val="00691600"/>
    <w:rsid w:val="00691CE5"/>
    <w:rsid w:val="00691E47"/>
    <w:rsid w:val="006921CC"/>
    <w:rsid w:val="00692BF1"/>
    <w:rsid w:val="00693AF3"/>
    <w:rsid w:val="0069471C"/>
    <w:rsid w:val="00694C9C"/>
    <w:rsid w:val="00695A05"/>
    <w:rsid w:val="00696C97"/>
    <w:rsid w:val="006973EB"/>
    <w:rsid w:val="00697651"/>
    <w:rsid w:val="0069775C"/>
    <w:rsid w:val="006977C8"/>
    <w:rsid w:val="00697F8D"/>
    <w:rsid w:val="006A0232"/>
    <w:rsid w:val="006A04B1"/>
    <w:rsid w:val="006A1698"/>
    <w:rsid w:val="006A1CC1"/>
    <w:rsid w:val="006A2247"/>
    <w:rsid w:val="006A2B20"/>
    <w:rsid w:val="006A2C28"/>
    <w:rsid w:val="006A4551"/>
    <w:rsid w:val="006A4646"/>
    <w:rsid w:val="006A4901"/>
    <w:rsid w:val="006A4F8E"/>
    <w:rsid w:val="006A4FAC"/>
    <w:rsid w:val="006A5144"/>
    <w:rsid w:val="006A53B0"/>
    <w:rsid w:val="006A567E"/>
    <w:rsid w:val="006A59D1"/>
    <w:rsid w:val="006A5FD4"/>
    <w:rsid w:val="006A602E"/>
    <w:rsid w:val="006A62C3"/>
    <w:rsid w:val="006A6305"/>
    <w:rsid w:val="006A6401"/>
    <w:rsid w:val="006A743F"/>
    <w:rsid w:val="006A7537"/>
    <w:rsid w:val="006B01DA"/>
    <w:rsid w:val="006B0CC0"/>
    <w:rsid w:val="006B14AF"/>
    <w:rsid w:val="006B183F"/>
    <w:rsid w:val="006B1BFE"/>
    <w:rsid w:val="006B1FA9"/>
    <w:rsid w:val="006B2286"/>
    <w:rsid w:val="006B2334"/>
    <w:rsid w:val="006B3614"/>
    <w:rsid w:val="006B40BC"/>
    <w:rsid w:val="006B414B"/>
    <w:rsid w:val="006B41A0"/>
    <w:rsid w:val="006B49AA"/>
    <w:rsid w:val="006B4A58"/>
    <w:rsid w:val="006B4B53"/>
    <w:rsid w:val="006B4DF8"/>
    <w:rsid w:val="006B56BB"/>
    <w:rsid w:val="006B5FB3"/>
    <w:rsid w:val="006B60AD"/>
    <w:rsid w:val="006B64F7"/>
    <w:rsid w:val="006B6C3B"/>
    <w:rsid w:val="006B702A"/>
    <w:rsid w:val="006B7194"/>
    <w:rsid w:val="006B7620"/>
    <w:rsid w:val="006C00D6"/>
    <w:rsid w:val="006C0697"/>
    <w:rsid w:val="006C070A"/>
    <w:rsid w:val="006C0C7F"/>
    <w:rsid w:val="006C15D6"/>
    <w:rsid w:val="006C1CE3"/>
    <w:rsid w:val="006C1E28"/>
    <w:rsid w:val="006C1ECF"/>
    <w:rsid w:val="006C1F18"/>
    <w:rsid w:val="006C28D2"/>
    <w:rsid w:val="006C29F2"/>
    <w:rsid w:val="006C31C4"/>
    <w:rsid w:val="006C3710"/>
    <w:rsid w:val="006C3D88"/>
    <w:rsid w:val="006C42CB"/>
    <w:rsid w:val="006C46ED"/>
    <w:rsid w:val="006C49F4"/>
    <w:rsid w:val="006C4AC7"/>
    <w:rsid w:val="006C4B37"/>
    <w:rsid w:val="006C4B74"/>
    <w:rsid w:val="006C5446"/>
    <w:rsid w:val="006C5607"/>
    <w:rsid w:val="006C56CB"/>
    <w:rsid w:val="006C5976"/>
    <w:rsid w:val="006C5B81"/>
    <w:rsid w:val="006C64C4"/>
    <w:rsid w:val="006C68F0"/>
    <w:rsid w:val="006C693C"/>
    <w:rsid w:val="006C771F"/>
    <w:rsid w:val="006C7791"/>
    <w:rsid w:val="006C77A8"/>
    <w:rsid w:val="006C783F"/>
    <w:rsid w:val="006C7C27"/>
    <w:rsid w:val="006D013F"/>
    <w:rsid w:val="006D0390"/>
    <w:rsid w:val="006D03E4"/>
    <w:rsid w:val="006D0894"/>
    <w:rsid w:val="006D0A2A"/>
    <w:rsid w:val="006D105C"/>
    <w:rsid w:val="006D1F63"/>
    <w:rsid w:val="006D23DB"/>
    <w:rsid w:val="006D28FD"/>
    <w:rsid w:val="006D3120"/>
    <w:rsid w:val="006D3B02"/>
    <w:rsid w:val="006D4098"/>
    <w:rsid w:val="006D40C7"/>
    <w:rsid w:val="006D4109"/>
    <w:rsid w:val="006D41EF"/>
    <w:rsid w:val="006D440D"/>
    <w:rsid w:val="006D4589"/>
    <w:rsid w:val="006D4A80"/>
    <w:rsid w:val="006D4B8B"/>
    <w:rsid w:val="006D4BE7"/>
    <w:rsid w:val="006D4C89"/>
    <w:rsid w:val="006D5130"/>
    <w:rsid w:val="006D52C4"/>
    <w:rsid w:val="006D52E0"/>
    <w:rsid w:val="006D5762"/>
    <w:rsid w:val="006D5936"/>
    <w:rsid w:val="006D5B3B"/>
    <w:rsid w:val="006D5F1A"/>
    <w:rsid w:val="006D5F82"/>
    <w:rsid w:val="006D634F"/>
    <w:rsid w:val="006D64D0"/>
    <w:rsid w:val="006D7681"/>
    <w:rsid w:val="006D79D0"/>
    <w:rsid w:val="006D7B2E"/>
    <w:rsid w:val="006E02EA"/>
    <w:rsid w:val="006E089F"/>
    <w:rsid w:val="006E0968"/>
    <w:rsid w:val="006E0B6B"/>
    <w:rsid w:val="006E0DE7"/>
    <w:rsid w:val="006E0EC3"/>
    <w:rsid w:val="006E124C"/>
    <w:rsid w:val="006E150E"/>
    <w:rsid w:val="006E1515"/>
    <w:rsid w:val="006E1640"/>
    <w:rsid w:val="006E1B21"/>
    <w:rsid w:val="006E1CA5"/>
    <w:rsid w:val="006E2016"/>
    <w:rsid w:val="006E23EA"/>
    <w:rsid w:val="006E2AF6"/>
    <w:rsid w:val="006E3202"/>
    <w:rsid w:val="006E345E"/>
    <w:rsid w:val="006E34F2"/>
    <w:rsid w:val="006E39D8"/>
    <w:rsid w:val="006E3D3E"/>
    <w:rsid w:val="006E46AB"/>
    <w:rsid w:val="006E4868"/>
    <w:rsid w:val="006E4970"/>
    <w:rsid w:val="006E4E0A"/>
    <w:rsid w:val="006E53AF"/>
    <w:rsid w:val="006E5779"/>
    <w:rsid w:val="006E57D3"/>
    <w:rsid w:val="006E583A"/>
    <w:rsid w:val="006E58A8"/>
    <w:rsid w:val="006E5D48"/>
    <w:rsid w:val="006E5DFC"/>
    <w:rsid w:val="006E63D6"/>
    <w:rsid w:val="006E6618"/>
    <w:rsid w:val="006E6674"/>
    <w:rsid w:val="006E71B9"/>
    <w:rsid w:val="006E7606"/>
    <w:rsid w:val="006E76B4"/>
    <w:rsid w:val="006E7810"/>
    <w:rsid w:val="006E7968"/>
    <w:rsid w:val="006E7EAC"/>
    <w:rsid w:val="006F0EFF"/>
    <w:rsid w:val="006F10FC"/>
    <w:rsid w:val="006F1190"/>
    <w:rsid w:val="006F11C7"/>
    <w:rsid w:val="006F1646"/>
    <w:rsid w:val="006F1A1C"/>
    <w:rsid w:val="006F1B80"/>
    <w:rsid w:val="006F1F06"/>
    <w:rsid w:val="006F2445"/>
    <w:rsid w:val="006F2D25"/>
    <w:rsid w:val="006F3041"/>
    <w:rsid w:val="006F322B"/>
    <w:rsid w:val="006F36C7"/>
    <w:rsid w:val="006F377C"/>
    <w:rsid w:val="006F37EE"/>
    <w:rsid w:val="006F3815"/>
    <w:rsid w:val="006F3DBD"/>
    <w:rsid w:val="006F3DD1"/>
    <w:rsid w:val="006F3E31"/>
    <w:rsid w:val="006F4576"/>
    <w:rsid w:val="006F4929"/>
    <w:rsid w:val="006F494D"/>
    <w:rsid w:val="006F4CDF"/>
    <w:rsid w:val="006F4D3C"/>
    <w:rsid w:val="006F5C52"/>
    <w:rsid w:val="006F5FB6"/>
    <w:rsid w:val="006F7240"/>
    <w:rsid w:val="006F7E57"/>
    <w:rsid w:val="007000ED"/>
    <w:rsid w:val="00700553"/>
    <w:rsid w:val="00701066"/>
    <w:rsid w:val="00701275"/>
    <w:rsid w:val="00702027"/>
    <w:rsid w:val="007026A6"/>
    <w:rsid w:val="007027FE"/>
    <w:rsid w:val="00702DBD"/>
    <w:rsid w:val="007036CB"/>
    <w:rsid w:val="0070383C"/>
    <w:rsid w:val="007047B8"/>
    <w:rsid w:val="00704844"/>
    <w:rsid w:val="00704BA3"/>
    <w:rsid w:val="00705663"/>
    <w:rsid w:val="007061B3"/>
    <w:rsid w:val="00706459"/>
    <w:rsid w:val="00706858"/>
    <w:rsid w:val="00706880"/>
    <w:rsid w:val="00706A64"/>
    <w:rsid w:val="00707036"/>
    <w:rsid w:val="007071FE"/>
    <w:rsid w:val="007079B1"/>
    <w:rsid w:val="00707C40"/>
    <w:rsid w:val="00707CB7"/>
    <w:rsid w:val="00707D2F"/>
    <w:rsid w:val="00707F56"/>
    <w:rsid w:val="0071066A"/>
    <w:rsid w:val="0071086B"/>
    <w:rsid w:val="00710964"/>
    <w:rsid w:val="007109D7"/>
    <w:rsid w:val="00710BA9"/>
    <w:rsid w:val="00711049"/>
    <w:rsid w:val="00711363"/>
    <w:rsid w:val="0071183B"/>
    <w:rsid w:val="00711D2F"/>
    <w:rsid w:val="00711E03"/>
    <w:rsid w:val="007126D9"/>
    <w:rsid w:val="007127F6"/>
    <w:rsid w:val="00713109"/>
    <w:rsid w:val="007131A6"/>
    <w:rsid w:val="00713558"/>
    <w:rsid w:val="007138BF"/>
    <w:rsid w:val="00714382"/>
    <w:rsid w:val="00714820"/>
    <w:rsid w:val="00714D76"/>
    <w:rsid w:val="00714E01"/>
    <w:rsid w:val="00714FFD"/>
    <w:rsid w:val="0071553A"/>
    <w:rsid w:val="00715662"/>
    <w:rsid w:val="00715964"/>
    <w:rsid w:val="00715D63"/>
    <w:rsid w:val="00716162"/>
    <w:rsid w:val="007162BC"/>
    <w:rsid w:val="007162FD"/>
    <w:rsid w:val="00716D3F"/>
    <w:rsid w:val="00716DEF"/>
    <w:rsid w:val="00717E41"/>
    <w:rsid w:val="00717F3D"/>
    <w:rsid w:val="00717F8D"/>
    <w:rsid w:val="00720429"/>
    <w:rsid w:val="00720C3E"/>
    <w:rsid w:val="00720C51"/>
    <w:rsid w:val="00720D08"/>
    <w:rsid w:val="00720D53"/>
    <w:rsid w:val="00722A90"/>
    <w:rsid w:val="0072334E"/>
    <w:rsid w:val="007236F6"/>
    <w:rsid w:val="00723B69"/>
    <w:rsid w:val="0072409B"/>
    <w:rsid w:val="00724A89"/>
    <w:rsid w:val="00724BD6"/>
    <w:rsid w:val="00725247"/>
    <w:rsid w:val="00725389"/>
    <w:rsid w:val="00725947"/>
    <w:rsid w:val="00725E76"/>
    <w:rsid w:val="00726297"/>
    <w:rsid w:val="007263B9"/>
    <w:rsid w:val="00726ADB"/>
    <w:rsid w:val="00727067"/>
    <w:rsid w:val="007273D3"/>
    <w:rsid w:val="0072794E"/>
    <w:rsid w:val="007279B6"/>
    <w:rsid w:val="00727B11"/>
    <w:rsid w:val="00727EE8"/>
    <w:rsid w:val="00730E1F"/>
    <w:rsid w:val="00731B76"/>
    <w:rsid w:val="0073249A"/>
    <w:rsid w:val="007324EB"/>
    <w:rsid w:val="00732EA5"/>
    <w:rsid w:val="007334F8"/>
    <w:rsid w:val="007336F2"/>
    <w:rsid w:val="007339CD"/>
    <w:rsid w:val="00733A36"/>
    <w:rsid w:val="00734441"/>
    <w:rsid w:val="00734618"/>
    <w:rsid w:val="00734AB3"/>
    <w:rsid w:val="00734C43"/>
    <w:rsid w:val="00735452"/>
    <w:rsid w:val="007357A7"/>
    <w:rsid w:val="007359BF"/>
    <w:rsid w:val="007359D8"/>
    <w:rsid w:val="00735D6E"/>
    <w:rsid w:val="00735F82"/>
    <w:rsid w:val="007362D4"/>
    <w:rsid w:val="00736338"/>
    <w:rsid w:val="00736528"/>
    <w:rsid w:val="007372C4"/>
    <w:rsid w:val="007374BF"/>
    <w:rsid w:val="00737722"/>
    <w:rsid w:val="00737742"/>
    <w:rsid w:val="007377E6"/>
    <w:rsid w:val="0074004E"/>
    <w:rsid w:val="0074039C"/>
    <w:rsid w:val="0074047F"/>
    <w:rsid w:val="00741063"/>
    <w:rsid w:val="007414F9"/>
    <w:rsid w:val="00741523"/>
    <w:rsid w:val="00742335"/>
    <w:rsid w:val="00742931"/>
    <w:rsid w:val="00742D2D"/>
    <w:rsid w:val="00743996"/>
    <w:rsid w:val="00743E68"/>
    <w:rsid w:val="00743F17"/>
    <w:rsid w:val="007442A5"/>
    <w:rsid w:val="007444CD"/>
    <w:rsid w:val="00744AAB"/>
    <w:rsid w:val="00744CC2"/>
    <w:rsid w:val="007457C6"/>
    <w:rsid w:val="00745A98"/>
    <w:rsid w:val="0074619B"/>
    <w:rsid w:val="00746C9C"/>
    <w:rsid w:val="0074730D"/>
    <w:rsid w:val="00747324"/>
    <w:rsid w:val="0074766E"/>
    <w:rsid w:val="00747A0E"/>
    <w:rsid w:val="00747BBE"/>
    <w:rsid w:val="00747F8F"/>
    <w:rsid w:val="0074B3F9"/>
    <w:rsid w:val="00750074"/>
    <w:rsid w:val="00750096"/>
    <w:rsid w:val="007501CD"/>
    <w:rsid w:val="0075026A"/>
    <w:rsid w:val="00750384"/>
    <w:rsid w:val="007503A4"/>
    <w:rsid w:val="007504AC"/>
    <w:rsid w:val="007508E8"/>
    <w:rsid w:val="00750B93"/>
    <w:rsid w:val="00750D8E"/>
    <w:rsid w:val="00751A23"/>
    <w:rsid w:val="00752541"/>
    <w:rsid w:val="007525DB"/>
    <w:rsid w:val="00752A1F"/>
    <w:rsid w:val="00752DDD"/>
    <w:rsid w:val="007531DE"/>
    <w:rsid w:val="00753225"/>
    <w:rsid w:val="0075368D"/>
    <w:rsid w:val="00753D1E"/>
    <w:rsid w:val="00753D8A"/>
    <w:rsid w:val="00754167"/>
    <w:rsid w:val="00754229"/>
    <w:rsid w:val="00754CF9"/>
    <w:rsid w:val="00754D38"/>
    <w:rsid w:val="00754FBC"/>
    <w:rsid w:val="0075530F"/>
    <w:rsid w:val="00755B9D"/>
    <w:rsid w:val="00755CAF"/>
    <w:rsid w:val="0075603A"/>
    <w:rsid w:val="00756425"/>
    <w:rsid w:val="00756703"/>
    <w:rsid w:val="007567CE"/>
    <w:rsid w:val="00756858"/>
    <w:rsid w:val="0075691C"/>
    <w:rsid w:val="00757041"/>
    <w:rsid w:val="0075751E"/>
    <w:rsid w:val="0075754F"/>
    <w:rsid w:val="0075775C"/>
    <w:rsid w:val="00757E4F"/>
    <w:rsid w:val="00760DE7"/>
    <w:rsid w:val="00761798"/>
    <w:rsid w:val="007619F3"/>
    <w:rsid w:val="00761FAF"/>
    <w:rsid w:val="00762029"/>
    <w:rsid w:val="007622DF"/>
    <w:rsid w:val="007625D5"/>
    <w:rsid w:val="007629B7"/>
    <w:rsid w:val="00762DCF"/>
    <w:rsid w:val="007630D8"/>
    <w:rsid w:val="00763339"/>
    <w:rsid w:val="00763699"/>
    <w:rsid w:val="00763709"/>
    <w:rsid w:val="007638BE"/>
    <w:rsid w:val="00764150"/>
    <w:rsid w:val="00764441"/>
    <w:rsid w:val="007647AE"/>
    <w:rsid w:val="00764C56"/>
    <w:rsid w:val="0076564D"/>
    <w:rsid w:val="00765EB0"/>
    <w:rsid w:val="00765EFC"/>
    <w:rsid w:val="00766045"/>
    <w:rsid w:val="007663F7"/>
    <w:rsid w:val="0076672A"/>
    <w:rsid w:val="00766A0D"/>
    <w:rsid w:val="00766B2E"/>
    <w:rsid w:val="007676D0"/>
    <w:rsid w:val="00767843"/>
    <w:rsid w:val="007679C8"/>
    <w:rsid w:val="0077040D"/>
    <w:rsid w:val="00770687"/>
    <w:rsid w:val="00770BF6"/>
    <w:rsid w:val="00770F59"/>
    <w:rsid w:val="00770F96"/>
    <w:rsid w:val="007718D6"/>
    <w:rsid w:val="00771D38"/>
    <w:rsid w:val="00771E9C"/>
    <w:rsid w:val="007724FC"/>
    <w:rsid w:val="00772E73"/>
    <w:rsid w:val="007731EB"/>
    <w:rsid w:val="007735CA"/>
    <w:rsid w:val="007736AB"/>
    <w:rsid w:val="007741CC"/>
    <w:rsid w:val="0077437A"/>
    <w:rsid w:val="007744C2"/>
    <w:rsid w:val="007747BB"/>
    <w:rsid w:val="007751AD"/>
    <w:rsid w:val="007754F0"/>
    <w:rsid w:val="00775E45"/>
    <w:rsid w:val="007762D8"/>
    <w:rsid w:val="007763F5"/>
    <w:rsid w:val="00776C18"/>
    <w:rsid w:val="00776E74"/>
    <w:rsid w:val="00776F17"/>
    <w:rsid w:val="007774E3"/>
    <w:rsid w:val="00777A60"/>
    <w:rsid w:val="00777ABA"/>
    <w:rsid w:val="00777B2E"/>
    <w:rsid w:val="00777C0D"/>
    <w:rsid w:val="00777C1F"/>
    <w:rsid w:val="00777C32"/>
    <w:rsid w:val="00777C56"/>
    <w:rsid w:val="007802BF"/>
    <w:rsid w:val="007803D8"/>
    <w:rsid w:val="007805E8"/>
    <w:rsid w:val="007807BF"/>
    <w:rsid w:val="007808BC"/>
    <w:rsid w:val="0078091B"/>
    <w:rsid w:val="007811AF"/>
    <w:rsid w:val="0078232D"/>
    <w:rsid w:val="00783375"/>
    <w:rsid w:val="007836CB"/>
    <w:rsid w:val="007842EA"/>
    <w:rsid w:val="00784599"/>
    <w:rsid w:val="0078469E"/>
    <w:rsid w:val="0078472C"/>
    <w:rsid w:val="00785169"/>
    <w:rsid w:val="0078584B"/>
    <w:rsid w:val="00786445"/>
    <w:rsid w:val="00786E42"/>
    <w:rsid w:val="0078728E"/>
    <w:rsid w:val="007872F7"/>
    <w:rsid w:val="00787398"/>
    <w:rsid w:val="007877C5"/>
    <w:rsid w:val="00787BFD"/>
    <w:rsid w:val="00787CB8"/>
    <w:rsid w:val="00787CC7"/>
    <w:rsid w:val="00787E26"/>
    <w:rsid w:val="00787F89"/>
    <w:rsid w:val="007909F6"/>
    <w:rsid w:val="00790E2F"/>
    <w:rsid w:val="00791C34"/>
    <w:rsid w:val="00791C62"/>
    <w:rsid w:val="00791F98"/>
    <w:rsid w:val="00792689"/>
    <w:rsid w:val="007930D3"/>
    <w:rsid w:val="0079310F"/>
    <w:rsid w:val="007939B1"/>
    <w:rsid w:val="00793D00"/>
    <w:rsid w:val="00793EC7"/>
    <w:rsid w:val="00793EDC"/>
    <w:rsid w:val="007942FE"/>
    <w:rsid w:val="0079460A"/>
    <w:rsid w:val="00794A7C"/>
    <w:rsid w:val="00794ED3"/>
    <w:rsid w:val="00794F05"/>
    <w:rsid w:val="007954AB"/>
    <w:rsid w:val="00795544"/>
    <w:rsid w:val="00795F6C"/>
    <w:rsid w:val="00796754"/>
    <w:rsid w:val="007969FB"/>
    <w:rsid w:val="00796BB1"/>
    <w:rsid w:val="0079717C"/>
    <w:rsid w:val="007976A5"/>
    <w:rsid w:val="00797A48"/>
    <w:rsid w:val="00797DAD"/>
    <w:rsid w:val="007A02DA"/>
    <w:rsid w:val="007A0486"/>
    <w:rsid w:val="007A0F99"/>
    <w:rsid w:val="007A1238"/>
    <w:rsid w:val="007A14C5"/>
    <w:rsid w:val="007A14DD"/>
    <w:rsid w:val="007A16EC"/>
    <w:rsid w:val="007A1F70"/>
    <w:rsid w:val="007A21D8"/>
    <w:rsid w:val="007A395D"/>
    <w:rsid w:val="007A3A36"/>
    <w:rsid w:val="007A3E38"/>
    <w:rsid w:val="007A3FF4"/>
    <w:rsid w:val="007A4302"/>
    <w:rsid w:val="007A44D3"/>
    <w:rsid w:val="007A4A10"/>
    <w:rsid w:val="007A5387"/>
    <w:rsid w:val="007A54D1"/>
    <w:rsid w:val="007A58E5"/>
    <w:rsid w:val="007A59E5"/>
    <w:rsid w:val="007A5F29"/>
    <w:rsid w:val="007A62A0"/>
    <w:rsid w:val="007A634C"/>
    <w:rsid w:val="007A6481"/>
    <w:rsid w:val="007A6C13"/>
    <w:rsid w:val="007A6E9B"/>
    <w:rsid w:val="007A73DA"/>
    <w:rsid w:val="007A7501"/>
    <w:rsid w:val="007A75DC"/>
    <w:rsid w:val="007A77C1"/>
    <w:rsid w:val="007A7BAA"/>
    <w:rsid w:val="007A7C0A"/>
    <w:rsid w:val="007A7C88"/>
    <w:rsid w:val="007A7F7D"/>
    <w:rsid w:val="007B037F"/>
    <w:rsid w:val="007B08C9"/>
    <w:rsid w:val="007B0A52"/>
    <w:rsid w:val="007B0C6C"/>
    <w:rsid w:val="007B0E2C"/>
    <w:rsid w:val="007B1175"/>
    <w:rsid w:val="007B1618"/>
    <w:rsid w:val="007B1760"/>
    <w:rsid w:val="007B1AC3"/>
    <w:rsid w:val="007B1B2C"/>
    <w:rsid w:val="007B1C7D"/>
    <w:rsid w:val="007B2043"/>
    <w:rsid w:val="007B286C"/>
    <w:rsid w:val="007B370E"/>
    <w:rsid w:val="007B3F2B"/>
    <w:rsid w:val="007B41BC"/>
    <w:rsid w:val="007B4407"/>
    <w:rsid w:val="007B4D28"/>
    <w:rsid w:val="007B6072"/>
    <w:rsid w:val="007B68F4"/>
    <w:rsid w:val="007B69E8"/>
    <w:rsid w:val="007B6A2E"/>
    <w:rsid w:val="007B7023"/>
    <w:rsid w:val="007B7037"/>
    <w:rsid w:val="007B7383"/>
    <w:rsid w:val="007B7C62"/>
    <w:rsid w:val="007B7CF7"/>
    <w:rsid w:val="007C00B8"/>
    <w:rsid w:val="007C017B"/>
    <w:rsid w:val="007C0AEF"/>
    <w:rsid w:val="007C0EEA"/>
    <w:rsid w:val="007C137B"/>
    <w:rsid w:val="007C15BD"/>
    <w:rsid w:val="007C16A9"/>
    <w:rsid w:val="007C1811"/>
    <w:rsid w:val="007C1B2A"/>
    <w:rsid w:val="007C1BFB"/>
    <w:rsid w:val="007C1D7D"/>
    <w:rsid w:val="007C222E"/>
    <w:rsid w:val="007C26FE"/>
    <w:rsid w:val="007C2A23"/>
    <w:rsid w:val="007C2B02"/>
    <w:rsid w:val="007C3339"/>
    <w:rsid w:val="007C35E2"/>
    <w:rsid w:val="007C459E"/>
    <w:rsid w:val="007C4AFE"/>
    <w:rsid w:val="007C4CD0"/>
    <w:rsid w:val="007C4E31"/>
    <w:rsid w:val="007C53FC"/>
    <w:rsid w:val="007C5BC1"/>
    <w:rsid w:val="007C6706"/>
    <w:rsid w:val="007C6D9C"/>
    <w:rsid w:val="007C7295"/>
    <w:rsid w:val="007C7319"/>
    <w:rsid w:val="007C7B16"/>
    <w:rsid w:val="007C7B1A"/>
    <w:rsid w:val="007C7DDB"/>
    <w:rsid w:val="007C7E32"/>
    <w:rsid w:val="007D05CA"/>
    <w:rsid w:val="007D07FE"/>
    <w:rsid w:val="007D1072"/>
    <w:rsid w:val="007D11AA"/>
    <w:rsid w:val="007D194E"/>
    <w:rsid w:val="007D2CC7"/>
    <w:rsid w:val="007D3217"/>
    <w:rsid w:val="007D33BB"/>
    <w:rsid w:val="007D3466"/>
    <w:rsid w:val="007D377E"/>
    <w:rsid w:val="007D3D7F"/>
    <w:rsid w:val="007D4409"/>
    <w:rsid w:val="007D562B"/>
    <w:rsid w:val="007D6244"/>
    <w:rsid w:val="007D649B"/>
    <w:rsid w:val="007D673D"/>
    <w:rsid w:val="007D7952"/>
    <w:rsid w:val="007D7C65"/>
    <w:rsid w:val="007E06C3"/>
    <w:rsid w:val="007E13BE"/>
    <w:rsid w:val="007E15A2"/>
    <w:rsid w:val="007E1A70"/>
    <w:rsid w:val="007E1CB1"/>
    <w:rsid w:val="007E2B53"/>
    <w:rsid w:val="007E2C6B"/>
    <w:rsid w:val="007E30CF"/>
    <w:rsid w:val="007E36F0"/>
    <w:rsid w:val="007E4097"/>
    <w:rsid w:val="007E4384"/>
    <w:rsid w:val="007E45C5"/>
    <w:rsid w:val="007E4642"/>
    <w:rsid w:val="007E46F5"/>
    <w:rsid w:val="007E4ADB"/>
    <w:rsid w:val="007E4AF8"/>
    <w:rsid w:val="007E5139"/>
    <w:rsid w:val="007E52CE"/>
    <w:rsid w:val="007E53AA"/>
    <w:rsid w:val="007E5557"/>
    <w:rsid w:val="007E59B2"/>
    <w:rsid w:val="007E5EFB"/>
    <w:rsid w:val="007E5FE6"/>
    <w:rsid w:val="007E666D"/>
    <w:rsid w:val="007E6927"/>
    <w:rsid w:val="007E69E8"/>
    <w:rsid w:val="007E6C12"/>
    <w:rsid w:val="007E6DAC"/>
    <w:rsid w:val="007E7156"/>
    <w:rsid w:val="007E7312"/>
    <w:rsid w:val="007E78C9"/>
    <w:rsid w:val="007E7C29"/>
    <w:rsid w:val="007E7E10"/>
    <w:rsid w:val="007E7F36"/>
    <w:rsid w:val="007E7F4D"/>
    <w:rsid w:val="007F0087"/>
    <w:rsid w:val="007F08C3"/>
    <w:rsid w:val="007F1314"/>
    <w:rsid w:val="007F1B1D"/>
    <w:rsid w:val="007F215A"/>
    <w:rsid w:val="007F2220"/>
    <w:rsid w:val="007F2340"/>
    <w:rsid w:val="007F2558"/>
    <w:rsid w:val="007F2888"/>
    <w:rsid w:val="007F2C10"/>
    <w:rsid w:val="007F2F4F"/>
    <w:rsid w:val="007F2FFB"/>
    <w:rsid w:val="007F3382"/>
    <w:rsid w:val="007F3879"/>
    <w:rsid w:val="007F40A5"/>
    <w:rsid w:val="007F416A"/>
    <w:rsid w:val="007F4B3E"/>
    <w:rsid w:val="007F4C19"/>
    <w:rsid w:val="007F4CD9"/>
    <w:rsid w:val="007F51EF"/>
    <w:rsid w:val="007F525A"/>
    <w:rsid w:val="007F525F"/>
    <w:rsid w:val="007F5290"/>
    <w:rsid w:val="007F5618"/>
    <w:rsid w:val="007F5801"/>
    <w:rsid w:val="007F588A"/>
    <w:rsid w:val="007F5897"/>
    <w:rsid w:val="007F65B3"/>
    <w:rsid w:val="007F67C1"/>
    <w:rsid w:val="007F700B"/>
    <w:rsid w:val="007F748D"/>
    <w:rsid w:val="007F74C4"/>
    <w:rsid w:val="007F7945"/>
    <w:rsid w:val="007F7FB6"/>
    <w:rsid w:val="00800170"/>
    <w:rsid w:val="008002A3"/>
    <w:rsid w:val="0080052F"/>
    <w:rsid w:val="008006D1"/>
    <w:rsid w:val="00801265"/>
    <w:rsid w:val="008018AE"/>
    <w:rsid w:val="00801C28"/>
    <w:rsid w:val="00801E52"/>
    <w:rsid w:val="008021FC"/>
    <w:rsid w:val="00802D09"/>
    <w:rsid w:val="00802ED2"/>
    <w:rsid w:val="00802EE1"/>
    <w:rsid w:val="00803056"/>
    <w:rsid w:val="00803B6D"/>
    <w:rsid w:val="00803D72"/>
    <w:rsid w:val="00803E64"/>
    <w:rsid w:val="00804179"/>
    <w:rsid w:val="00804284"/>
    <w:rsid w:val="0080431F"/>
    <w:rsid w:val="008043A4"/>
    <w:rsid w:val="0080455A"/>
    <w:rsid w:val="00804CD1"/>
    <w:rsid w:val="00805040"/>
    <w:rsid w:val="00805277"/>
    <w:rsid w:val="00805298"/>
    <w:rsid w:val="008056A7"/>
    <w:rsid w:val="00805D3A"/>
    <w:rsid w:val="00806031"/>
    <w:rsid w:val="008077C5"/>
    <w:rsid w:val="008100E1"/>
    <w:rsid w:val="00810188"/>
    <w:rsid w:val="0081032F"/>
    <w:rsid w:val="00810FAD"/>
    <w:rsid w:val="0081105F"/>
    <w:rsid w:val="008116D8"/>
    <w:rsid w:val="00812094"/>
    <w:rsid w:val="0081211F"/>
    <w:rsid w:val="00812458"/>
    <w:rsid w:val="00812459"/>
    <w:rsid w:val="008125BA"/>
    <w:rsid w:val="00812643"/>
    <w:rsid w:val="008127AF"/>
    <w:rsid w:val="00812857"/>
    <w:rsid w:val="00812B46"/>
    <w:rsid w:val="00812D39"/>
    <w:rsid w:val="00812E05"/>
    <w:rsid w:val="00814019"/>
    <w:rsid w:val="00814070"/>
    <w:rsid w:val="008144CF"/>
    <w:rsid w:val="00814751"/>
    <w:rsid w:val="00815700"/>
    <w:rsid w:val="00815A2C"/>
    <w:rsid w:val="00815B45"/>
    <w:rsid w:val="00815B72"/>
    <w:rsid w:val="00816567"/>
    <w:rsid w:val="008165E6"/>
    <w:rsid w:val="0081665C"/>
    <w:rsid w:val="00816758"/>
    <w:rsid w:val="0081699A"/>
    <w:rsid w:val="00816A92"/>
    <w:rsid w:val="00816B35"/>
    <w:rsid w:val="008172B3"/>
    <w:rsid w:val="008172D9"/>
    <w:rsid w:val="00817759"/>
    <w:rsid w:val="00817B70"/>
    <w:rsid w:val="0081813F"/>
    <w:rsid w:val="008204AE"/>
    <w:rsid w:val="0082061C"/>
    <w:rsid w:val="008208FD"/>
    <w:rsid w:val="00820A99"/>
    <w:rsid w:val="0082156B"/>
    <w:rsid w:val="00821676"/>
    <w:rsid w:val="008217BF"/>
    <w:rsid w:val="00821A06"/>
    <w:rsid w:val="00821C83"/>
    <w:rsid w:val="00821E8A"/>
    <w:rsid w:val="00821FF7"/>
    <w:rsid w:val="008221BB"/>
    <w:rsid w:val="00822479"/>
    <w:rsid w:val="00822D11"/>
    <w:rsid w:val="00823A1F"/>
    <w:rsid w:val="0082485F"/>
    <w:rsid w:val="0082490B"/>
    <w:rsid w:val="00824F7F"/>
    <w:rsid w:val="00825531"/>
    <w:rsid w:val="00825C1C"/>
    <w:rsid w:val="008264EB"/>
    <w:rsid w:val="0082670D"/>
    <w:rsid w:val="0082675F"/>
    <w:rsid w:val="00826A69"/>
    <w:rsid w:val="00826AF4"/>
    <w:rsid w:val="00826B8F"/>
    <w:rsid w:val="00826CBA"/>
    <w:rsid w:val="008270C2"/>
    <w:rsid w:val="0082763C"/>
    <w:rsid w:val="00827725"/>
    <w:rsid w:val="00827808"/>
    <w:rsid w:val="008278C9"/>
    <w:rsid w:val="0082798C"/>
    <w:rsid w:val="00827A4D"/>
    <w:rsid w:val="00827CD1"/>
    <w:rsid w:val="00827FD5"/>
    <w:rsid w:val="008303D8"/>
    <w:rsid w:val="00831181"/>
    <w:rsid w:val="008318C4"/>
    <w:rsid w:val="00831C45"/>
    <w:rsid w:val="00831E8A"/>
    <w:rsid w:val="00832642"/>
    <w:rsid w:val="008328C9"/>
    <w:rsid w:val="00832FBC"/>
    <w:rsid w:val="008331F0"/>
    <w:rsid w:val="00833237"/>
    <w:rsid w:val="0083359E"/>
    <w:rsid w:val="008336D8"/>
    <w:rsid w:val="00833B1D"/>
    <w:rsid w:val="00833BA6"/>
    <w:rsid w:val="00834664"/>
    <w:rsid w:val="00834D1D"/>
    <w:rsid w:val="00834E63"/>
    <w:rsid w:val="00835199"/>
    <w:rsid w:val="00835C76"/>
    <w:rsid w:val="00835D3C"/>
    <w:rsid w:val="008362D6"/>
    <w:rsid w:val="0083670A"/>
    <w:rsid w:val="008367F5"/>
    <w:rsid w:val="00836BB8"/>
    <w:rsid w:val="00836EFD"/>
    <w:rsid w:val="0083776A"/>
    <w:rsid w:val="00837C38"/>
    <w:rsid w:val="00837D16"/>
    <w:rsid w:val="0084049E"/>
    <w:rsid w:val="0084051C"/>
    <w:rsid w:val="0084086B"/>
    <w:rsid w:val="00840BC7"/>
    <w:rsid w:val="008412C4"/>
    <w:rsid w:val="0084135F"/>
    <w:rsid w:val="0084207B"/>
    <w:rsid w:val="008421D2"/>
    <w:rsid w:val="00842615"/>
    <w:rsid w:val="0084291C"/>
    <w:rsid w:val="00842C2F"/>
    <w:rsid w:val="00843049"/>
    <w:rsid w:val="0084304E"/>
    <w:rsid w:val="00843C9B"/>
    <w:rsid w:val="00843D91"/>
    <w:rsid w:val="00843F84"/>
    <w:rsid w:val="00845069"/>
    <w:rsid w:val="008454A9"/>
    <w:rsid w:val="00845662"/>
    <w:rsid w:val="008456B7"/>
    <w:rsid w:val="00845AE8"/>
    <w:rsid w:val="00845B18"/>
    <w:rsid w:val="00845BF4"/>
    <w:rsid w:val="00846111"/>
    <w:rsid w:val="00846A01"/>
    <w:rsid w:val="00846AF1"/>
    <w:rsid w:val="00846B54"/>
    <w:rsid w:val="008470A8"/>
    <w:rsid w:val="00847268"/>
    <w:rsid w:val="008473B2"/>
    <w:rsid w:val="008474A9"/>
    <w:rsid w:val="008475DC"/>
    <w:rsid w:val="00847A81"/>
    <w:rsid w:val="00847D2E"/>
    <w:rsid w:val="00847DAD"/>
    <w:rsid w:val="00847FCC"/>
    <w:rsid w:val="00850B77"/>
    <w:rsid w:val="00850CC8"/>
    <w:rsid w:val="00851592"/>
    <w:rsid w:val="0085167A"/>
    <w:rsid w:val="00851E43"/>
    <w:rsid w:val="0085209B"/>
    <w:rsid w:val="00852409"/>
    <w:rsid w:val="00852459"/>
    <w:rsid w:val="00852E05"/>
    <w:rsid w:val="0085317A"/>
    <w:rsid w:val="00853A4D"/>
    <w:rsid w:val="00853A81"/>
    <w:rsid w:val="00853D63"/>
    <w:rsid w:val="00853FAE"/>
    <w:rsid w:val="008542D2"/>
    <w:rsid w:val="008542E4"/>
    <w:rsid w:val="0085441D"/>
    <w:rsid w:val="008549D5"/>
    <w:rsid w:val="00854FD3"/>
    <w:rsid w:val="00855664"/>
    <w:rsid w:val="00855C0B"/>
    <w:rsid w:val="00855CCF"/>
    <w:rsid w:val="00855F8E"/>
    <w:rsid w:val="00856667"/>
    <w:rsid w:val="00856975"/>
    <w:rsid w:val="00856B66"/>
    <w:rsid w:val="008570FF"/>
    <w:rsid w:val="00857743"/>
    <w:rsid w:val="008577AF"/>
    <w:rsid w:val="008577B1"/>
    <w:rsid w:val="00857BF4"/>
    <w:rsid w:val="00857E56"/>
    <w:rsid w:val="008605E6"/>
    <w:rsid w:val="00860AC6"/>
    <w:rsid w:val="00860B17"/>
    <w:rsid w:val="00861550"/>
    <w:rsid w:val="00861A5F"/>
    <w:rsid w:val="00861FA9"/>
    <w:rsid w:val="00862710"/>
    <w:rsid w:val="008628A7"/>
    <w:rsid w:val="008628AD"/>
    <w:rsid w:val="00862D08"/>
    <w:rsid w:val="008630F3"/>
    <w:rsid w:val="0086439D"/>
    <w:rsid w:val="008644AD"/>
    <w:rsid w:val="008649FE"/>
    <w:rsid w:val="00864E8A"/>
    <w:rsid w:val="008656A1"/>
    <w:rsid w:val="00865735"/>
    <w:rsid w:val="00865D33"/>
    <w:rsid w:val="00865DDB"/>
    <w:rsid w:val="00865F2C"/>
    <w:rsid w:val="008665BE"/>
    <w:rsid w:val="00866C79"/>
    <w:rsid w:val="00866C80"/>
    <w:rsid w:val="008670DE"/>
    <w:rsid w:val="008673CD"/>
    <w:rsid w:val="00867538"/>
    <w:rsid w:val="00867A95"/>
    <w:rsid w:val="00867CBB"/>
    <w:rsid w:val="0087090C"/>
    <w:rsid w:val="00870EA7"/>
    <w:rsid w:val="00871302"/>
    <w:rsid w:val="008716C9"/>
    <w:rsid w:val="00871907"/>
    <w:rsid w:val="00871E5E"/>
    <w:rsid w:val="008729F8"/>
    <w:rsid w:val="008739A0"/>
    <w:rsid w:val="00873D90"/>
    <w:rsid w:val="00873F2B"/>
    <w:rsid w:val="00873FC8"/>
    <w:rsid w:val="00874673"/>
    <w:rsid w:val="00874BE1"/>
    <w:rsid w:val="008751E5"/>
    <w:rsid w:val="008753BB"/>
    <w:rsid w:val="008755D5"/>
    <w:rsid w:val="0087586C"/>
    <w:rsid w:val="00875DBE"/>
    <w:rsid w:val="00875F3B"/>
    <w:rsid w:val="00876291"/>
    <w:rsid w:val="00876B89"/>
    <w:rsid w:val="00876F0A"/>
    <w:rsid w:val="0087716E"/>
    <w:rsid w:val="00877C97"/>
    <w:rsid w:val="00877E92"/>
    <w:rsid w:val="00880A9C"/>
    <w:rsid w:val="00881900"/>
    <w:rsid w:val="00881E9F"/>
    <w:rsid w:val="00882227"/>
    <w:rsid w:val="00882475"/>
    <w:rsid w:val="0088253E"/>
    <w:rsid w:val="00882C77"/>
    <w:rsid w:val="00882E0C"/>
    <w:rsid w:val="0088322C"/>
    <w:rsid w:val="00883368"/>
    <w:rsid w:val="008835CA"/>
    <w:rsid w:val="00883A8C"/>
    <w:rsid w:val="00883B4F"/>
    <w:rsid w:val="00883CE2"/>
    <w:rsid w:val="00884251"/>
    <w:rsid w:val="0088450A"/>
    <w:rsid w:val="00884C63"/>
    <w:rsid w:val="00884DA2"/>
    <w:rsid w:val="0088507F"/>
    <w:rsid w:val="008850AE"/>
    <w:rsid w:val="00885908"/>
    <w:rsid w:val="0088593E"/>
    <w:rsid w:val="00885A50"/>
    <w:rsid w:val="00885BAB"/>
    <w:rsid w:val="00886325"/>
    <w:rsid w:val="0088646C"/>
    <w:rsid w:val="008864B7"/>
    <w:rsid w:val="00886D04"/>
    <w:rsid w:val="00886FBE"/>
    <w:rsid w:val="0088784E"/>
    <w:rsid w:val="0088798F"/>
    <w:rsid w:val="00887D53"/>
    <w:rsid w:val="00887FF0"/>
    <w:rsid w:val="0089012A"/>
    <w:rsid w:val="0089137B"/>
    <w:rsid w:val="00891C8C"/>
    <w:rsid w:val="008927C5"/>
    <w:rsid w:val="00892B21"/>
    <w:rsid w:val="00892FE3"/>
    <w:rsid w:val="008935F6"/>
    <w:rsid w:val="00893DDC"/>
    <w:rsid w:val="00894128"/>
    <w:rsid w:val="00894305"/>
    <w:rsid w:val="00894A2F"/>
    <w:rsid w:val="00894A94"/>
    <w:rsid w:val="0089530D"/>
    <w:rsid w:val="0089571D"/>
    <w:rsid w:val="0089677E"/>
    <w:rsid w:val="00896807"/>
    <w:rsid w:val="00896C6F"/>
    <w:rsid w:val="00896E8C"/>
    <w:rsid w:val="008972E7"/>
    <w:rsid w:val="008977E5"/>
    <w:rsid w:val="00897BEA"/>
    <w:rsid w:val="00897FA0"/>
    <w:rsid w:val="008A00B1"/>
    <w:rsid w:val="008A0546"/>
    <w:rsid w:val="008A0736"/>
    <w:rsid w:val="008A074C"/>
    <w:rsid w:val="008A0912"/>
    <w:rsid w:val="008A0A0B"/>
    <w:rsid w:val="008A14C7"/>
    <w:rsid w:val="008A2029"/>
    <w:rsid w:val="008A25C9"/>
    <w:rsid w:val="008A2901"/>
    <w:rsid w:val="008A2B3A"/>
    <w:rsid w:val="008A394D"/>
    <w:rsid w:val="008A3CEB"/>
    <w:rsid w:val="008A420B"/>
    <w:rsid w:val="008A46CE"/>
    <w:rsid w:val="008A49B6"/>
    <w:rsid w:val="008A49BA"/>
    <w:rsid w:val="008A4A2A"/>
    <w:rsid w:val="008A4F6D"/>
    <w:rsid w:val="008A5035"/>
    <w:rsid w:val="008A5E9C"/>
    <w:rsid w:val="008A61BE"/>
    <w:rsid w:val="008A63E7"/>
    <w:rsid w:val="008A6413"/>
    <w:rsid w:val="008A66BD"/>
    <w:rsid w:val="008A69D0"/>
    <w:rsid w:val="008A6D74"/>
    <w:rsid w:val="008A7102"/>
    <w:rsid w:val="008A7438"/>
    <w:rsid w:val="008A7472"/>
    <w:rsid w:val="008A7C5B"/>
    <w:rsid w:val="008A7D13"/>
    <w:rsid w:val="008A7DC9"/>
    <w:rsid w:val="008A7FF4"/>
    <w:rsid w:val="008AEA18"/>
    <w:rsid w:val="008B0181"/>
    <w:rsid w:val="008B02BA"/>
    <w:rsid w:val="008B1334"/>
    <w:rsid w:val="008B1362"/>
    <w:rsid w:val="008B1428"/>
    <w:rsid w:val="008B1689"/>
    <w:rsid w:val="008B1978"/>
    <w:rsid w:val="008B1AE6"/>
    <w:rsid w:val="008B209C"/>
    <w:rsid w:val="008B267C"/>
    <w:rsid w:val="008B2C04"/>
    <w:rsid w:val="008B2EEF"/>
    <w:rsid w:val="008B34BA"/>
    <w:rsid w:val="008B35B2"/>
    <w:rsid w:val="008B36FD"/>
    <w:rsid w:val="008B3A8A"/>
    <w:rsid w:val="008B3BC5"/>
    <w:rsid w:val="008B3C8D"/>
    <w:rsid w:val="008B426A"/>
    <w:rsid w:val="008B454B"/>
    <w:rsid w:val="008B4AE4"/>
    <w:rsid w:val="008B5069"/>
    <w:rsid w:val="008B5395"/>
    <w:rsid w:val="008B55A4"/>
    <w:rsid w:val="008B55A8"/>
    <w:rsid w:val="008B5720"/>
    <w:rsid w:val="008B61EC"/>
    <w:rsid w:val="008B66E0"/>
    <w:rsid w:val="008B6B71"/>
    <w:rsid w:val="008B70F1"/>
    <w:rsid w:val="008B7324"/>
    <w:rsid w:val="008B78BB"/>
    <w:rsid w:val="008B7CF1"/>
    <w:rsid w:val="008C0278"/>
    <w:rsid w:val="008C06AC"/>
    <w:rsid w:val="008C0747"/>
    <w:rsid w:val="008C0B6E"/>
    <w:rsid w:val="008C0D28"/>
    <w:rsid w:val="008C0DC9"/>
    <w:rsid w:val="008C11A8"/>
    <w:rsid w:val="008C1361"/>
    <w:rsid w:val="008C1AD4"/>
    <w:rsid w:val="008C1C15"/>
    <w:rsid w:val="008C24E9"/>
    <w:rsid w:val="008C2589"/>
    <w:rsid w:val="008C2CD0"/>
    <w:rsid w:val="008C30EF"/>
    <w:rsid w:val="008C35F7"/>
    <w:rsid w:val="008C3CE6"/>
    <w:rsid w:val="008C3DE6"/>
    <w:rsid w:val="008C41CB"/>
    <w:rsid w:val="008C4599"/>
    <w:rsid w:val="008C481B"/>
    <w:rsid w:val="008C494D"/>
    <w:rsid w:val="008C4D77"/>
    <w:rsid w:val="008C50D4"/>
    <w:rsid w:val="008C5835"/>
    <w:rsid w:val="008C5B9E"/>
    <w:rsid w:val="008C5BF3"/>
    <w:rsid w:val="008C61AD"/>
    <w:rsid w:val="008C676E"/>
    <w:rsid w:val="008C685E"/>
    <w:rsid w:val="008C6A20"/>
    <w:rsid w:val="008C6B50"/>
    <w:rsid w:val="008C763E"/>
    <w:rsid w:val="008D0061"/>
    <w:rsid w:val="008D0111"/>
    <w:rsid w:val="008D030D"/>
    <w:rsid w:val="008D0533"/>
    <w:rsid w:val="008D0534"/>
    <w:rsid w:val="008D1482"/>
    <w:rsid w:val="008D17B4"/>
    <w:rsid w:val="008D17DA"/>
    <w:rsid w:val="008D17F8"/>
    <w:rsid w:val="008D180F"/>
    <w:rsid w:val="008D24E9"/>
    <w:rsid w:val="008D26BF"/>
    <w:rsid w:val="008D2BA2"/>
    <w:rsid w:val="008D2FEE"/>
    <w:rsid w:val="008D30DA"/>
    <w:rsid w:val="008D35CA"/>
    <w:rsid w:val="008D3C7D"/>
    <w:rsid w:val="008D3CC7"/>
    <w:rsid w:val="008D4273"/>
    <w:rsid w:val="008D42CB"/>
    <w:rsid w:val="008D44A3"/>
    <w:rsid w:val="008D44DE"/>
    <w:rsid w:val="008D4559"/>
    <w:rsid w:val="008D4843"/>
    <w:rsid w:val="008D48C9"/>
    <w:rsid w:val="008D49A3"/>
    <w:rsid w:val="008D4B9A"/>
    <w:rsid w:val="008D5414"/>
    <w:rsid w:val="008D5B79"/>
    <w:rsid w:val="008D5EBD"/>
    <w:rsid w:val="008D6287"/>
    <w:rsid w:val="008D6381"/>
    <w:rsid w:val="008D6BA9"/>
    <w:rsid w:val="008D6FE8"/>
    <w:rsid w:val="008D7731"/>
    <w:rsid w:val="008D77BB"/>
    <w:rsid w:val="008D7A8E"/>
    <w:rsid w:val="008D7C04"/>
    <w:rsid w:val="008E032F"/>
    <w:rsid w:val="008E05EA"/>
    <w:rsid w:val="008E0969"/>
    <w:rsid w:val="008E0C77"/>
    <w:rsid w:val="008E0CDD"/>
    <w:rsid w:val="008E0F9D"/>
    <w:rsid w:val="008E1158"/>
    <w:rsid w:val="008E1871"/>
    <w:rsid w:val="008E1BB1"/>
    <w:rsid w:val="008E1C1F"/>
    <w:rsid w:val="008E1EAC"/>
    <w:rsid w:val="008E2BC5"/>
    <w:rsid w:val="008E2DDC"/>
    <w:rsid w:val="008E3213"/>
    <w:rsid w:val="008E3261"/>
    <w:rsid w:val="008E37FC"/>
    <w:rsid w:val="008E3F56"/>
    <w:rsid w:val="008E40EE"/>
    <w:rsid w:val="008E40F1"/>
    <w:rsid w:val="008E436C"/>
    <w:rsid w:val="008E4760"/>
    <w:rsid w:val="008E4BF6"/>
    <w:rsid w:val="008E5338"/>
    <w:rsid w:val="008E56B4"/>
    <w:rsid w:val="008E56B7"/>
    <w:rsid w:val="008E5B5F"/>
    <w:rsid w:val="008E5B87"/>
    <w:rsid w:val="008E5BAB"/>
    <w:rsid w:val="008E5E2F"/>
    <w:rsid w:val="008E6010"/>
    <w:rsid w:val="008E625F"/>
    <w:rsid w:val="008E62BC"/>
    <w:rsid w:val="008E6993"/>
    <w:rsid w:val="008E7099"/>
    <w:rsid w:val="008E734F"/>
    <w:rsid w:val="008E7591"/>
    <w:rsid w:val="008E782D"/>
    <w:rsid w:val="008E7BCE"/>
    <w:rsid w:val="008F0250"/>
    <w:rsid w:val="008F0387"/>
    <w:rsid w:val="008F08A0"/>
    <w:rsid w:val="008F0E56"/>
    <w:rsid w:val="008F176A"/>
    <w:rsid w:val="008F264D"/>
    <w:rsid w:val="008F2C79"/>
    <w:rsid w:val="008F2F3A"/>
    <w:rsid w:val="008F310E"/>
    <w:rsid w:val="008F35B8"/>
    <w:rsid w:val="008F380A"/>
    <w:rsid w:val="008F3BB7"/>
    <w:rsid w:val="008F3BCA"/>
    <w:rsid w:val="008F3E86"/>
    <w:rsid w:val="008F4140"/>
    <w:rsid w:val="008F55D1"/>
    <w:rsid w:val="008F5F81"/>
    <w:rsid w:val="008F6226"/>
    <w:rsid w:val="008F622E"/>
    <w:rsid w:val="008F64E0"/>
    <w:rsid w:val="008F681A"/>
    <w:rsid w:val="008F6ABF"/>
    <w:rsid w:val="008F6AF7"/>
    <w:rsid w:val="008F6FC6"/>
    <w:rsid w:val="008F779B"/>
    <w:rsid w:val="008F7B92"/>
    <w:rsid w:val="008F7D26"/>
    <w:rsid w:val="008F7D4A"/>
    <w:rsid w:val="00900977"/>
    <w:rsid w:val="009009AE"/>
    <w:rsid w:val="00900B99"/>
    <w:rsid w:val="009013D8"/>
    <w:rsid w:val="009016A1"/>
    <w:rsid w:val="00901878"/>
    <w:rsid w:val="00901ABE"/>
    <w:rsid w:val="00901D7C"/>
    <w:rsid w:val="00901E6B"/>
    <w:rsid w:val="00902908"/>
    <w:rsid w:val="00902C30"/>
    <w:rsid w:val="009031F0"/>
    <w:rsid w:val="00903905"/>
    <w:rsid w:val="00903919"/>
    <w:rsid w:val="00903C17"/>
    <w:rsid w:val="00903D74"/>
    <w:rsid w:val="00903D9E"/>
    <w:rsid w:val="0090448A"/>
    <w:rsid w:val="00905242"/>
    <w:rsid w:val="00905538"/>
    <w:rsid w:val="00905974"/>
    <w:rsid w:val="0090639A"/>
    <w:rsid w:val="0090664F"/>
    <w:rsid w:val="009074E1"/>
    <w:rsid w:val="00907526"/>
    <w:rsid w:val="009079EB"/>
    <w:rsid w:val="00907CCD"/>
    <w:rsid w:val="00907D54"/>
    <w:rsid w:val="00907DCA"/>
    <w:rsid w:val="00907FBA"/>
    <w:rsid w:val="00910421"/>
    <w:rsid w:val="00910847"/>
    <w:rsid w:val="00910983"/>
    <w:rsid w:val="00910C82"/>
    <w:rsid w:val="00910FC8"/>
    <w:rsid w:val="009112BF"/>
    <w:rsid w:val="009112F7"/>
    <w:rsid w:val="00911AF4"/>
    <w:rsid w:val="00911BC8"/>
    <w:rsid w:val="00911DC0"/>
    <w:rsid w:val="00911FEF"/>
    <w:rsid w:val="009122AF"/>
    <w:rsid w:val="009127BC"/>
    <w:rsid w:val="00912A53"/>
    <w:rsid w:val="00912D25"/>
    <w:rsid w:val="00912D32"/>
    <w:rsid w:val="00912D54"/>
    <w:rsid w:val="009135C9"/>
    <w:rsid w:val="0091389F"/>
    <w:rsid w:val="0091395E"/>
    <w:rsid w:val="00913FAD"/>
    <w:rsid w:val="009143FD"/>
    <w:rsid w:val="00914800"/>
    <w:rsid w:val="00914932"/>
    <w:rsid w:val="00914AA9"/>
    <w:rsid w:val="00915063"/>
    <w:rsid w:val="009153DA"/>
    <w:rsid w:val="00916366"/>
    <w:rsid w:val="00916D4D"/>
    <w:rsid w:val="00916EEB"/>
    <w:rsid w:val="0091723B"/>
    <w:rsid w:val="00917FA5"/>
    <w:rsid w:val="0092029A"/>
    <w:rsid w:val="009202D5"/>
    <w:rsid w:val="00920567"/>
    <w:rsid w:val="009208F7"/>
    <w:rsid w:val="00920909"/>
    <w:rsid w:val="00920F29"/>
    <w:rsid w:val="00921149"/>
    <w:rsid w:val="00921505"/>
    <w:rsid w:val="009215ED"/>
    <w:rsid w:val="00921BB5"/>
    <w:rsid w:val="00921BDF"/>
    <w:rsid w:val="00921F7B"/>
    <w:rsid w:val="0092209D"/>
    <w:rsid w:val="00922289"/>
    <w:rsid w:val="00922343"/>
    <w:rsid w:val="00922454"/>
    <w:rsid w:val="00922517"/>
    <w:rsid w:val="0092252B"/>
    <w:rsid w:val="00922722"/>
    <w:rsid w:val="009227A7"/>
    <w:rsid w:val="00922911"/>
    <w:rsid w:val="00922DEB"/>
    <w:rsid w:val="009230D5"/>
    <w:rsid w:val="0092370A"/>
    <w:rsid w:val="00923D59"/>
    <w:rsid w:val="00923FA8"/>
    <w:rsid w:val="00925256"/>
    <w:rsid w:val="00925648"/>
    <w:rsid w:val="009256E7"/>
    <w:rsid w:val="00925B94"/>
    <w:rsid w:val="00925C54"/>
    <w:rsid w:val="00925CCB"/>
    <w:rsid w:val="00925D47"/>
    <w:rsid w:val="009261E6"/>
    <w:rsid w:val="00926244"/>
    <w:rsid w:val="009268E1"/>
    <w:rsid w:val="00926C05"/>
    <w:rsid w:val="00926C61"/>
    <w:rsid w:val="00927F23"/>
    <w:rsid w:val="009303BA"/>
    <w:rsid w:val="009308AF"/>
    <w:rsid w:val="0093091A"/>
    <w:rsid w:val="00930C0A"/>
    <w:rsid w:val="00930C14"/>
    <w:rsid w:val="00931067"/>
    <w:rsid w:val="00931401"/>
    <w:rsid w:val="0093160E"/>
    <w:rsid w:val="00931845"/>
    <w:rsid w:val="00931AC8"/>
    <w:rsid w:val="00931DB6"/>
    <w:rsid w:val="00932111"/>
    <w:rsid w:val="00932669"/>
    <w:rsid w:val="00932739"/>
    <w:rsid w:val="009327D4"/>
    <w:rsid w:val="00932EAA"/>
    <w:rsid w:val="0093367E"/>
    <w:rsid w:val="009337F6"/>
    <w:rsid w:val="00934583"/>
    <w:rsid w:val="0093471D"/>
    <w:rsid w:val="00934880"/>
    <w:rsid w:val="00934B2C"/>
    <w:rsid w:val="00934B30"/>
    <w:rsid w:val="00934C7A"/>
    <w:rsid w:val="00934D27"/>
    <w:rsid w:val="00934FAF"/>
    <w:rsid w:val="009350A3"/>
    <w:rsid w:val="0093560E"/>
    <w:rsid w:val="00935DA6"/>
    <w:rsid w:val="00936098"/>
    <w:rsid w:val="00936B17"/>
    <w:rsid w:val="00936D39"/>
    <w:rsid w:val="00936F6B"/>
    <w:rsid w:val="0093715B"/>
    <w:rsid w:val="009371A2"/>
    <w:rsid w:val="00937371"/>
    <w:rsid w:val="009374FA"/>
    <w:rsid w:val="00937EC5"/>
    <w:rsid w:val="0094018D"/>
    <w:rsid w:val="009404C5"/>
    <w:rsid w:val="009404FA"/>
    <w:rsid w:val="009407D8"/>
    <w:rsid w:val="00940B0E"/>
    <w:rsid w:val="00940DBA"/>
    <w:rsid w:val="00941065"/>
    <w:rsid w:val="00941332"/>
    <w:rsid w:val="00941A5A"/>
    <w:rsid w:val="00941AF4"/>
    <w:rsid w:val="00941E34"/>
    <w:rsid w:val="00941F46"/>
    <w:rsid w:val="009422DB"/>
    <w:rsid w:val="0094248B"/>
    <w:rsid w:val="009426FB"/>
    <w:rsid w:val="00942860"/>
    <w:rsid w:val="00942CA1"/>
    <w:rsid w:val="009436F5"/>
    <w:rsid w:val="00943F83"/>
    <w:rsid w:val="00943FDF"/>
    <w:rsid w:val="009447F3"/>
    <w:rsid w:val="00944895"/>
    <w:rsid w:val="00944B45"/>
    <w:rsid w:val="00944ECC"/>
    <w:rsid w:val="00945451"/>
    <w:rsid w:val="00945594"/>
    <w:rsid w:val="00945DC6"/>
    <w:rsid w:val="00945DCE"/>
    <w:rsid w:val="00945E7F"/>
    <w:rsid w:val="00946074"/>
    <w:rsid w:val="00946195"/>
    <w:rsid w:val="009468F9"/>
    <w:rsid w:val="009476FF"/>
    <w:rsid w:val="00947B50"/>
    <w:rsid w:val="00947E88"/>
    <w:rsid w:val="00950088"/>
    <w:rsid w:val="00950847"/>
    <w:rsid w:val="00950FDE"/>
    <w:rsid w:val="0095154B"/>
    <w:rsid w:val="009523E2"/>
    <w:rsid w:val="00952D9D"/>
    <w:rsid w:val="009531F6"/>
    <w:rsid w:val="0095397E"/>
    <w:rsid w:val="0095461C"/>
    <w:rsid w:val="00954A66"/>
    <w:rsid w:val="00954C1E"/>
    <w:rsid w:val="00955296"/>
    <w:rsid w:val="009557C1"/>
    <w:rsid w:val="009559E1"/>
    <w:rsid w:val="00955C4F"/>
    <w:rsid w:val="00955D2F"/>
    <w:rsid w:val="0095694A"/>
    <w:rsid w:val="00956D63"/>
    <w:rsid w:val="00956F4B"/>
    <w:rsid w:val="00956F7D"/>
    <w:rsid w:val="009576B9"/>
    <w:rsid w:val="0095787B"/>
    <w:rsid w:val="00957FF0"/>
    <w:rsid w:val="00960022"/>
    <w:rsid w:val="0096009F"/>
    <w:rsid w:val="00960440"/>
    <w:rsid w:val="00960D6E"/>
    <w:rsid w:val="00961441"/>
    <w:rsid w:val="00961908"/>
    <w:rsid w:val="00961BE6"/>
    <w:rsid w:val="00962290"/>
    <w:rsid w:val="00962641"/>
    <w:rsid w:val="009627B1"/>
    <w:rsid w:val="009627B3"/>
    <w:rsid w:val="00962EE6"/>
    <w:rsid w:val="0096332E"/>
    <w:rsid w:val="0096340C"/>
    <w:rsid w:val="00963AEC"/>
    <w:rsid w:val="00963B7A"/>
    <w:rsid w:val="00963EF2"/>
    <w:rsid w:val="00964768"/>
    <w:rsid w:val="00964915"/>
    <w:rsid w:val="00965255"/>
    <w:rsid w:val="00965262"/>
    <w:rsid w:val="00965711"/>
    <w:rsid w:val="00967352"/>
    <w:rsid w:val="009675A0"/>
    <w:rsid w:val="00967A26"/>
    <w:rsid w:val="00967CD3"/>
    <w:rsid w:val="00967E6D"/>
    <w:rsid w:val="00967F11"/>
    <w:rsid w:val="0097068E"/>
    <w:rsid w:val="00970CAF"/>
    <w:rsid w:val="009713F0"/>
    <w:rsid w:val="009713F4"/>
    <w:rsid w:val="00971A04"/>
    <w:rsid w:val="00971D9D"/>
    <w:rsid w:val="00971E90"/>
    <w:rsid w:val="00972024"/>
    <w:rsid w:val="0097220F"/>
    <w:rsid w:val="009725E7"/>
    <w:rsid w:val="00972A1E"/>
    <w:rsid w:val="00972B0A"/>
    <w:rsid w:val="00972BC1"/>
    <w:rsid w:val="009731CE"/>
    <w:rsid w:val="00973852"/>
    <w:rsid w:val="009739E9"/>
    <w:rsid w:val="00973BE6"/>
    <w:rsid w:val="00974875"/>
    <w:rsid w:val="009748D7"/>
    <w:rsid w:val="009748EC"/>
    <w:rsid w:val="00974906"/>
    <w:rsid w:val="00974A2B"/>
    <w:rsid w:val="00974A67"/>
    <w:rsid w:val="00974B59"/>
    <w:rsid w:val="00974E05"/>
    <w:rsid w:val="009750B2"/>
    <w:rsid w:val="009755E3"/>
    <w:rsid w:val="009755F0"/>
    <w:rsid w:val="009757E5"/>
    <w:rsid w:val="00975A6E"/>
    <w:rsid w:val="00975D3D"/>
    <w:rsid w:val="00975F7F"/>
    <w:rsid w:val="00975FDE"/>
    <w:rsid w:val="009762E8"/>
    <w:rsid w:val="009763E9"/>
    <w:rsid w:val="009765A6"/>
    <w:rsid w:val="00977164"/>
    <w:rsid w:val="009774D2"/>
    <w:rsid w:val="0097789D"/>
    <w:rsid w:val="00977C01"/>
    <w:rsid w:val="00977C99"/>
    <w:rsid w:val="00977FD3"/>
    <w:rsid w:val="009800AA"/>
    <w:rsid w:val="009801D9"/>
    <w:rsid w:val="0098088B"/>
    <w:rsid w:val="0098143C"/>
    <w:rsid w:val="00981EB9"/>
    <w:rsid w:val="00981FB1"/>
    <w:rsid w:val="009828FC"/>
    <w:rsid w:val="00982D41"/>
    <w:rsid w:val="00982DEE"/>
    <w:rsid w:val="0098340B"/>
    <w:rsid w:val="00983425"/>
    <w:rsid w:val="0098382A"/>
    <w:rsid w:val="009842A8"/>
    <w:rsid w:val="009843DF"/>
    <w:rsid w:val="0098450F"/>
    <w:rsid w:val="00984E0E"/>
    <w:rsid w:val="00985718"/>
    <w:rsid w:val="009857C8"/>
    <w:rsid w:val="00986830"/>
    <w:rsid w:val="00986B99"/>
    <w:rsid w:val="00986C56"/>
    <w:rsid w:val="00986DCE"/>
    <w:rsid w:val="00987168"/>
    <w:rsid w:val="009877EF"/>
    <w:rsid w:val="009879C7"/>
    <w:rsid w:val="00987CDE"/>
    <w:rsid w:val="00987E09"/>
    <w:rsid w:val="00987F9A"/>
    <w:rsid w:val="0099018B"/>
    <w:rsid w:val="00990262"/>
    <w:rsid w:val="009903B0"/>
    <w:rsid w:val="00990C09"/>
    <w:rsid w:val="0099148D"/>
    <w:rsid w:val="009915B6"/>
    <w:rsid w:val="00991999"/>
    <w:rsid w:val="00991A9F"/>
    <w:rsid w:val="00991DE9"/>
    <w:rsid w:val="00991E91"/>
    <w:rsid w:val="009924C3"/>
    <w:rsid w:val="00992964"/>
    <w:rsid w:val="009930D9"/>
    <w:rsid w:val="00993102"/>
    <w:rsid w:val="009936AA"/>
    <w:rsid w:val="00993B1D"/>
    <w:rsid w:val="00993C50"/>
    <w:rsid w:val="009941FA"/>
    <w:rsid w:val="009942A0"/>
    <w:rsid w:val="00994417"/>
    <w:rsid w:val="009946E0"/>
    <w:rsid w:val="00994DC1"/>
    <w:rsid w:val="00994EA1"/>
    <w:rsid w:val="0099549A"/>
    <w:rsid w:val="00995B6C"/>
    <w:rsid w:val="00995FEB"/>
    <w:rsid w:val="009960DF"/>
    <w:rsid w:val="009963C8"/>
    <w:rsid w:val="00996648"/>
    <w:rsid w:val="00996B8C"/>
    <w:rsid w:val="00996C9D"/>
    <w:rsid w:val="00996CB6"/>
    <w:rsid w:val="009973CD"/>
    <w:rsid w:val="00997641"/>
    <w:rsid w:val="00997CBC"/>
    <w:rsid w:val="00997EC9"/>
    <w:rsid w:val="009A02EA"/>
    <w:rsid w:val="009A03D9"/>
    <w:rsid w:val="009A08AF"/>
    <w:rsid w:val="009A09F7"/>
    <w:rsid w:val="009A0B4A"/>
    <w:rsid w:val="009A0D01"/>
    <w:rsid w:val="009A16B1"/>
    <w:rsid w:val="009A179F"/>
    <w:rsid w:val="009A19C9"/>
    <w:rsid w:val="009A1AC5"/>
    <w:rsid w:val="009A1F85"/>
    <w:rsid w:val="009A202D"/>
    <w:rsid w:val="009A228E"/>
    <w:rsid w:val="009A23C8"/>
    <w:rsid w:val="009A2A62"/>
    <w:rsid w:val="009A2AAB"/>
    <w:rsid w:val="009A2EA9"/>
    <w:rsid w:val="009A3109"/>
    <w:rsid w:val="009A3925"/>
    <w:rsid w:val="009A3A8E"/>
    <w:rsid w:val="009A3AB3"/>
    <w:rsid w:val="009A3C8A"/>
    <w:rsid w:val="009A3FC1"/>
    <w:rsid w:val="009A3FF1"/>
    <w:rsid w:val="009A4395"/>
    <w:rsid w:val="009A45B1"/>
    <w:rsid w:val="009A4940"/>
    <w:rsid w:val="009A5449"/>
    <w:rsid w:val="009A57A7"/>
    <w:rsid w:val="009A5E6F"/>
    <w:rsid w:val="009A606A"/>
    <w:rsid w:val="009A607D"/>
    <w:rsid w:val="009A63C6"/>
    <w:rsid w:val="009A6448"/>
    <w:rsid w:val="009A6B29"/>
    <w:rsid w:val="009A6F69"/>
    <w:rsid w:val="009A7439"/>
    <w:rsid w:val="009A76CA"/>
    <w:rsid w:val="009A7887"/>
    <w:rsid w:val="009A7C69"/>
    <w:rsid w:val="009B0402"/>
    <w:rsid w:val="009B1423"/>
    <w:rsid w:val="009B164D"/>
    <w:rsid w:val="009B1AEC"/>
    <w:rsid w:val="009B207D"/>
    <w:rsid w:val="009B22F5"/>
    <w:rsid w:val="009B3BCD"/>
    <w:rsid w:val="009B3C4E"/>
    <w:rsid w:val="009B3CB5"/>
    <w:rsid w:val="009B4692"/>
    <w:rsid w:val="009B4906"/>
    <w:rsid w:val="009B56C5"/>
    <w:rsid w:val="009B582D"/>
    <w:rsid w:val="009B5EE9"/>
    <w:rsid w:val="009B5FAB"/>
    <w:rsid w:val="009B61F3"/>
    <w:rsid w:val="009B6B27"/>
    <w:rsid w:val="009B769D"/>
    <w:rsid w:val="009B7CFA"/>
    <w:rsid w:val="009B7D77"/>
    <w:rsid w:val="009BC3A9"/>
    <w:rsid w:val="009C0454"/>
    <w:rsid w:val="009C07F2"/>
    <w:rsid w:val="009C088F"/>
    <w:rsid w:val="009C09F0"/>
    <w:rsid w:val="009C17B8"/>
    <w:rsid w:val="009C2661"/>
    <w:rsid w:val="009C2B4E"/>
    <w:rsid w:val="009C2D91"/>
    <w:rsid w:val="009C32EA"/>
    <w:rsid w:val="009C3343"/>
    <w:rsid w:val="009C357B"/>
    <w:rsid w:val="009C35A2"/>
    <w:rsid w:val="009C3A90"/>
    <w:rsid w:val="009C3FEC"/>
    <w:rsid w:val="009C46B6"/>
    <w:rsid w:val="009C4965"/>
    <w:rsid w:val="009C4985"/>
    <w:rsid w:val="009C4A39"/>
    <w:rsid w:val="009C5001"/>
    <w:rsid w:val="009C500C"/>
    <w:rsid w:val="009C54A2"/>
    <w:rsid w:val="009C5584"/>
    <w:rsid w:val="009C58C5"/>
    <w:rsid w:val="009C5EA1"/>
    <w:rsid w:val="009C5F0A"/>
    <w:rsid w:val="009C6538"/>
    <w:rsid w:val="009C6F10"/>
    <w:rsid w:val="009C7022"/>
    <w:rsid w:val="009C7170"/>
    <w:rsid w:val="009C7436"/>
    <w:rsid w:val="009C74B1"/>
    <w:rsid w:val="009C794F"/>
    <w:rsid w:val="009C79AB"/>
    <w:rsid w:val="009C7C88"/>
    <w:rsid w:val="009D0D72"/>
    <w:rsid w:val="009D0E1E"/>
    <w:rsid w:val="009D0FE2"/>
    <w:rsid w:val="009D1176"/>
    <w:rsid w:val="009D148F"/>
    <w:rsid w:val="009D1614"/>
    <w:rsid w:val="009D19C7"/>
    <w:rsid w:val="009D20CD"/>
    <w:rsid w:val="009D28D0"/>
    <w:rsid w:val="009D2C16"/>
    <w:rsid w:val="009D2FFC"/>
    <w:rsid w:val="009D323B"/>
    <w:rsid w:val="009D3D70"/>
    <w:rsid w:val="009D4008"/>
    <w:rsid w:val="009D40B5"/>
    <w:rsid w:val="009D43C3"/>
    <w:rsid w:val="009D4550"/>
    <w:rsid w:val="009D464B"/>
    <w:rsid w:val="009D487B"/>
    <w:rsid w:val="009D4C4D"/>
    <w:rsid w:val="009D545D"/>
    <w:rsid w:val="009D6448"/>
    <w:rsid w:val="009D6481"/>
    <w:rsid w:val="009D697D"/>
    <w:rsid w:val="009D6E2F"/>
    <w:rsid w:val="009D725C"/>
    <w:rsid w:val="009D753C"/>
    <w:rsid w:val="009D76A0"/>
    <w:rsid w:val="009D7713"/>
    <w:rsid w:val="009D7F06"/>
    <w:rsid w:val="009E01F2"/>
    <w:rsid w:val="009E03FB"/>
    <w:rsid w:val="009E1082"/>
    <w:rsid w:val="009E126A"/>
    <w:rsid w:val="009E1CC9"/>
    <w:rsid w:val="009E312B"/>
    <w:rsid w:val="009E3957"/>
    <w:rsid w:val="009E3E6A"/>
    <w:rsid w:val="009E3F4C"/>
    <w:rsid w:val="009E409C"/>
    <w:rsid w:val="009E424C"/>
    <w:rsid w:val="009E42C4"/>
    <w:rsid w:val="009E5353"/>
    <w:rsid w:val="009E5939"/>
    <w:rsid w:val="009E5C62"/>
    <w:rsid w:val="009E5E1D"/>
    <w:rsid w:val="009E6270"/>
    <w:rsid w:val="009E6626"/>
    <w:rsid w:val="009E6AD9"/>
    <w:rsid w:val="009E6C3E"/>
    <w:rsid w:val="009E6E2E"/>
    <w:rsid w:val="009E6F7E"/>
    <w:rsid w:val="009E71C0"/>
    <w:rsid w:val="009E7A57"/>
    <w:rsid w:val="009E7D59"/>
    <w:rsid w:val="009F03C1"/>
    <w:rsid w:val="009F0643"/>
    <w:rsid w:val="009F0982"/>
    <w:rsid w:val="009F0C1A"/>
    <w:rsid w:val="009F0F07"/>
    <w:rsid w:val="009F1360"/>
    <w:rsid w:val="009F14EC"/>
    <w:rsid w:val="009F1F40"/>
    <w:rsid w:val="009F2A18"/>
    <w:rsid w:val="009F2E30"/>
    <w:rsid w:val="009F316F"/>
    <w:rsid w:val="009F3429"/>
    <w:rsid w:val="009F34E9"/>
    <w:rsid w:val="009F3BB6"/>
    <w:rsid w:val="009F3FDF"/>
    <w:rsid w:val="009F4309"/>
    <w:rsid w:val="009F43DE"/>
    <w:rsid w:val="009F49A1"/>
    <w:rsid w:val="009F4B53"/>
    <w:rsid w:val="009F4B91"/>
    <w:rsid w:val="009F4B95"/>
    <w:rsid w:val="009F4F51"/>
    <w:rsid w:val="009F4F6A"/>
    <w:rsid w:val="009F5377"/>
    <w:rsid w:val="009F5420"/>
    <w:rsid w:val="009F547D"/>
    <w:rsid w:val="009F55F5"/>
    <w:rsid w:val="009F679C"/>
    <w:rsid w:val="009F67AF"/>
    <w:rsid w:val="009F6C13"/>
    <w:rsid w:val="009F6D47"/>
    <w:rsid w:val="009F6DC8"/>
    <w:rsid w:val="009F71FB"/>
    <w:rsid w:val="009F7B05"/>
    <w:rsid w:val="009F7D4C"/>
    <w:rsid w:val="00A00416"/>
    <w:rsid w:val="00A005B1"/>
    <w:rsid w:val="00A00F14"/>
    <w:rsid w:val="00A0170B"/>
    <w:rsid w:val="00A01C96"/>
    <w:rsid w:val="00A01DEA"/>
    <w:rsid w:val="00A025C8"/>
    <w:rsid w:val="00A02FB3"/>
    <w:rsid w:val="00A03E5F"/>
    <w:rsid w:val="00A04084"/>
    <w:rsid w:val="00A04380"/>
    <w:rsid w:val="00A04F17"/>
    <w:rsid w:val="00A057D0"/>
    <w:rsid w:val="00A05A5F"/>
    <w:rsid w:val="00A05C14"/>
    <w:rsid w:val="00A05F31"/>
    <w:rsid w:val="00A06336"/>
    <w:rsid w:val="00A067FC"/>
    <w:rsid w:val="00A06BCB"/>
    <w:rsid w:val="00A06E08"/>
    <w:rsid w:val="00A0727B"/>
    <w:rsid w:val="00A07907"/>
    <w:rsid w:val="00A07D82"/>
    <w:rsid w:val="00A08C9A"/>
    <w:rsid w:val="00A101F1"/>
    <w:rsid w:val="00A10C36"/>
    <w:rsid w:val="00A10FCD"/>
    <w:rsid w:val="00A11386"/>
    <w:rsid w:val="00A1169C"/>
    <w:rsid w:val="00A1188D"/>
    <w:rsid w:val="00A11927"/>
    <w:rsid w:val="00A11A54"/>
    <w:rsid w:val="00A11C4B"/>
    <w:rsid w:val="00A11C5C"/>
    <w:rsid w:val="00A12C20"/>
    <w:rsid w:val="00A1328A"/>
    <w:rsid w:val="00A13CFE"/>
    <w:rsid w:val="00A13E62"/>
    <w:rsid w:val="00A13F69"/>
    <w:rsid w:val="00A1519F"/>
    <w:rsid w:val="00A155F5"/>
    <w:rsid w:val="00A15798"/>
    <w:rsid w:val="00A15878"/>
    <w:rsid w:val="00A15892"/>
    <w:rsid w:val="00A15BD1"/>
    <w:rsid w:val="00A15D99"/>
    <w:rsid w:val="00A15DD5"/>
    <w:rsid w:val="00A1628F"/>
    <w:rsid w:val="00A16415"/>
    <w:rsid w:val="00A169BF"/>
    <w:rsid w:val="00A16AEB"/>
    <w:rsid w:val="00A16B10"/>
    <w:rsid w:val="00A16B4F"/>
    <w:rsid w:val="00A16E36"/>
    <w:rsid w:val="00A16EB6"/>
    <w:rsid w:val="00A16FCA"/>
    <w:rsid w:val="00A17226"/>
    <w:rsid w:val="00A17B40"/>
    <w:rsid w:val="00A17EE8"/>
    <w:rsid w:val="00A2009A"/>
    <w:rsid w:val="00A20AAE"/>
    <w:rsid w:val="00A20E17"/>
    <w:rsid w:val="00A2146F"/>
    <w:rsid w:val="00A2250D"/>
    <w:rsid w:val="00A2277D"/>
    <w:rsid w:val="00A22BB7"/>
    <w:rsid w:val="00A22DB8"/>
    <w:rsid w:val="00A22F9E"/>
    <w:rsid w:val="00A2312B"/>
    <w:rsid w:val="00A2360A"/>
    <w:rsid w:val="00A23D57"/>
    <w:rsid w:val="00A24137"/>
    <w:rsid w:val="00A2458F"/>
    <w:rsid w:val="00A245BF"/>
    <w:rsid w:val="00A246A3"/>
    <w:rsid w:val="00A24961"/>
    <w:rsid w:val="00A24A78"/>
    <w:rsid w:val="00A24AA5"/>
    <w:rsid w:val="00A24B10"/>
    <w:rsid w:val="00A24BDB"/>
    <w:rsid w:val="00A24DBC"/>
    <w:rsid w:val="00A24F04"/>
    <w:rsid w:val="00A24FCF"/>
    <w:rsid w:val="00A250A7"/>
    <w:rsid w:val="00A25307"/>
    <w:rsid w:val="00A25513"/>
    <w:rsid w:val="00A255DB"/>
    <w:rsid w:val="00A25758"/>
    <w:rsid w:val="00A258DC"/>
    <w:rsid w:val="00A25BCD"/>
    <w:rsid w:val="00A25D9E"/>
    <w:rsid w:val="00A25DFF"/>
    <w:rsid w:val="00A25E2F"/>
    <w:rsid w:val="00A26159"/>
    <w:rsid w:val="00A2628B"/>
    <w:rsid w:val="00A26342"/>
    <w:rsid w:val="00A26645"/>
    <w:rsid w:val="00A26D1C"/>
    <w:rsid w:val="00A27676"/>
    <w:rsid w:val="00A276B5"/>
    <w:rsid w:val="00A279B3"/>
    <w:rsid w:val="00A27DEC"/>
    <w:rsid w:val="00A27FC7"/>
    <w:rsid w:val="00A30313"/>
    <w:rsid w:val="00A3058E"/>
    <w:rsid w:val="00A30660"/>
    <w:rsid w:val="00A30872"/>
    <w:rsid w:val="00A30E9B"/>
    <w:rsid w:val="00A3159B"/>
    <w:rsid w:val="00A31F38"/>
    <w:rsid w:val="00A325C3"/>
    <w:rsid w:val="00A327A1"/>
    <w:rsid w:val="00A336B3"/>
    <w:rsid w:val="00A3384A"/>
    <w:rsid w:val="00A33CF4"/>
    <w:rsid w:val="00A33EF1"/>
    <w:rsid w:val="00A349EB"/>
    <w:rsid w:val="00A35027"/>
    <w:rsid w:val="00A35038"/>
    <w:rsid w:val="00A35543"/>
    <w:rsid w:val="00A35661"/>
    <w:rsid w:val="00A35BD7"/>
    <w:rsid w:val="00A36139"/>
    <w:rsid w:val="00A37457"/>
    <w:rsid w:val="00A37CFA"/>
    <w:rsid w:val="00A37DA9"/>
    <w:rsid w:val="00A4065C"/>
    <w:rsid w:val="00A412BE"/>
    <w:rsid w:val="00A41B76"/>
    <w:rsid w:val="00A41D1E"/>
    <w:rsid w:val="00A41EEB"/>
    <w:rsid w:val="00A41FB0"/>
    <w:rsid w:val="00A425CA"/>
    <w:rsid w:val="00A427DD"/>
    <w:rsid w:val="00A42EEB"/>
    <w:rsid w:val="00A4307C"/>
    <w:rsid w:val="00A43206"/>
    <w:rsid w:val="00A439A9"/>
    <w:rsid w:val="00A439F4"/>
    <w:rsid w:val="00A43D62"/>
    <w:rsid w:val="00A4406C"/>
    <w:rsid w:val="00A440FA"/>
    <w:rsid w:val="00A44C4C"/>
    <w:rsid w:val="00A44D0F"/>
    <w:rsid w:val="00A4512D"/>
    <w:rsid w:val="00A45A97"/>
    <w:rsid w:val="00A45F48"/>
    <w:rsid w:val="00A45FBB"/>
    <w:rsid w:val="00A4638C"/>
    <w:rsid w:val="00A46754"/>
    <w:rsid w:val="00A46A40"/>
    <w:rsid w:val="00A470BA"/>
    <w:rsid w:val="00A471F0"/>
    <w:rsid w:val="00A474D0"/>
    <w:rsid w:val="00A474E0"/>
    <w:rsid w:val="00A47855"/>
    <w:rsid w:val="00A478E3"/>
    <w:rsid w:val="00A47FA0"/>
    <w:rsid w:val="00A500EE"/>
    <w:rsid w:val="00A5014C"/>
    <w:rsid w:val="00A50244"/>
    <w:rsid w:val="00A50936"/>
    <w:rsid w:val="00A50E65"/>
    <w:rsid w:val="00A51352"/>
    <w:rsid w:val="00A51BC9"/>
    <w:rsid w:val="00A51C3E"/>
    <w:rsid w:val="00A52330"/>
    <w:rsid w:val="00A52F06"/>
    <w:rsid w:val="00A536C4"/>
    <w:rsid w:val="00A53864"/>
    <w:rsid w:val="00A53C87"/>
    <w:rsid w:val="00A541D5"/>
    <w:rsid w:val="00A54D24"/>
    <w:rsid w:val="00A552E6"/>
    <w:rsid w:val="00A557B5"/>
    <w:rsid w:val="00A55E09"/>
    <w:rsid w:val="00A56911"/>
    <w:rsid w:val="00A56E20"/>
    <w:rsid w:val="00A56F17"/>
    <w:rsid w:val="00A57F51"/>
    <w:rsid w:val="00A601B8"/>
    <w:rsid w:val="00A60BD8"/>
    <w:rsid w:val="00A612C4"/>
    <w:rsid w:val="00A61829"/>
    <w:rsid w:val="00A61CA6"/>
    <w:rsid w:val="00A61CA9"/>
    <w:rsid w:val="00A62245"/>
    <w:rsid w:val="00A62613"/>
    <w:rsid w:val="00A627D7"/>
    <w:rsid w:val="00A6293B"/>
    <w:rsid w:val="00A629BD"/>
    <w:rsid w:val="00A638DC"/>
    <w:rsid w:val="00A6390B"/>
    <w:rsid w:val="00A63F48"/>
    <w:rsid w:val="00A65558"/>
    <w:rsid w:val="00A656C7"/>
    <w:rsid w:val="00A65713"/>
    <w:rsid w:val="00A658D8"/>
    <w:rsid w:val="00A65C7F"/>
    <w:rsid w:val="00A66782"/>
    <w:rsid w:val="00A667C5"/>
    <w:rsid w:val="00A669C3"/>
    <w:rsid w:val="00A66D26"/>
    <w:rsid w:val="00A672C5"/>
    <w:rsid w:val="00A6745C"/>
    <w:rsid w:val="00A674CA"/>
    <w:rsid w:val="00A675C6"/>
    <w:rsid w:val="00A679FD"/>
    <w:rsid w:val="00A67C76"/>
    <w:rsid w:val="00A67DCB"/>
    <w:rsid w:val="00A70055"/>
    <w:rsid w:val="00A700A4"/>
    <w:rsid w:val="00A702AF"/>
    <w:rsid w:val="00A705AF"/>
    <w:rsid w:val="00A70686"/>
    <w:rsid w:val="00A706B3"/>
    <w:rsid w:val="00A7094F"/>
    <w:rsid w:val="00A70A38"/>
    <w:rsid w:val="00A70C7E"/>
    <w:rsid w:val="00A70FBF"/>
    <w:rsid w:val="00A71004"/>
    <w:rsid w:val="00A7116C"/>
    <w:rsid w:val="00A716A1"/>
    <w:rsid w:val="00A71734"/>
    <w:rsid w:val="00A7179D"/>
    <w:rsid w:val="00A71826"/>
    <w:rsid w:val="00A7185B"/>
    <w:rsid w:val="00A71E1A"/>
    <w:rsid w:val="00A72454"/>
    <w:rsid w:val="00A72C2D"/>
    <w:rsid w:val="00A72CF7"/>
    <w:rsid w:val="00A7326F"/>
    <w:rsid w:val="00A7368E"/>
    <w:rsid w:val="00A736E5"/>
    <w:rsid w:val="00A74345"/>
    <w:rsid w:val="00A74641"/>
    <w:rsid w:val="00A74699"/>
    <w:rsid w:val="00A75141"/>
    <w:rsid w:val="00A75A9B"/>
    <w:rsid w:val="00A76085"/>
    <w:rsid w:val="00A7692C"/>
    <w:rsid w:val="00A76C15"/>
    <w:rsid w:val="00A7736A"/>
    <w:rsid w:val="00A77696"/>
    <w:rsid w:val="00A77D33"/>
    <w:rsid w:val="00A77DE2"/>
    <w:rsid w:val="00A77FE1"/>
    <w:rsid w:val="00A80557"/>
    <w:rsid w:val="00A807F6"/>
    <w:rsid w:val="00A81D33"/>
    <w:rsid w:val="00A81F06"/>
    <w:rsid w:val="00A827B0"/>
    <w:rsid w:val="00A827F7"/>
    <w:rsid w:val="00A82866"/>
    <w:rsid w:val="00A82E0A"/>
    <w:rsid w:val="00A830A0"/>
    <w:rsid w:val="00A831AD"/>
    <w:rsid w:val="00A83792"/>
    <w:rsid w:val="00A83892"/>
    <w:rsid w:val="00A839CB"/>
    <w:rsid w:val="00A83C2D"/>
    <w:rsid w:val="00A83E88"/>
    <w:rsid w:val="00A84520"/>
    <w:rsid w:val="00A846F4"/>
    <w:rsid w:val="00A8494F"/>
    <w:rsid w:val="00A84ACC"/>
    <w:rsid w:val="00A84E7D"/>
    <w:rsid w:val="00A85436"/>
    <w:rsid w:val="00A85694"/>
    <w:rsid w:val="00A859AC"/>
    <w:rsid w:val="00A85B30"/>
    <w:rsid w:val="00A85D54"/>
    <w:rsid w:val="00A85D78"/>
    <w:rsid w:val="00A863C2"/>
    <w:rsid w:val="00A86B8B"/>
    <w:rsid w:val="00A86C0E"/>
    <w:rsid w:val="00A86DAC"/>
    <w:rsid w:val="00A87065"/>
    <w:rsid w:val="00A87093"/>
    <w:rsid w:val="00A874D3"/>
    <w:rsid w:val="00A876E5"/>
    <w:rsid w:val="00A8788A"/>
    <w:rsid w:val="00A90746"/>
    <w:rsid w:val="00A907DE"/>
    <w:rsid w:val="00A9094E"/>
    <w:rsid w:val="00A90AC0"/>
    <w:rsid w:val="00A90DC3"/>
    <w:rsid w:val="00A91026"/>
    <w:rsid w:val="00A91027"/>
    <w:rsid w:val="00A9121D"/>
    <w:rsid w:val="00A9158E"/>
    <w:rsid w:val="00A920DE"/>
    <w:rsid w:val="00A92144"/>
    <w:rsid w:val="00A92259"/>
    <w:rsid w:val="00A92DC1"/>
    <w:rsid w:val="00A92E36"/>
    <w:rsid w:val="00A92E4D"/>
    <w:rsid w:val="00A9300D"/>
    <w:rsid w:val="00A930AE"/>
    <w:rsid w:val="00A9343E"/>
    <w:rsid w:val="00A93482"/>
    <w:rsid w:val="00A93C56"/>
    <w:rsid w:val="00A93DAC"/>
    <w:rsid w:val="00A94AD7"/>
    <w:rsid w:val="00A94BA9"/>
    <w:rsid w:val="00A94BFD"/>
    <w:rsid w:val="00A94DC8"/>
    <w:rsid w:val="00A95179"/>
    <w:rsid w:val="00A9535D"/>
    <w:rsid w:val="00A95F5C"/>
    <w:rsid w:val="00A96195"/>
    <w:rsid w:val="00A9638D"/>
    <w:rsid w:val="00A96517"/>
    <w:rsid w:val="00A966CC"/>
    <w:rsid w:val="00A96EAA"/>
    <w:rsid w:val="00A971DF"/>
    <w:rsid w:val="00A9748B"/>
    <w:rsid w:val="00A97540"/>
    <w:rsid w:val="00A97B5C"/>
    <w:rsid w:val="00A97CFA"/>
    <w:rsid w:val="00AA00C7"/>
    <w:rsid w:val="00AA0480"/>
    <w:rsid w:val="00AA0637"/>
    <w:rsid w:val="00AA093D"/>
    <w:rsid w:val="00AA1216"/>
    <w:rsid w:val="00AA1A38"/>
    <w:rsid w:val="00AA1A95"/>
    <w:rsid w:val="00AA1C80"/>
    <w:rsid w:val="00AA22AD"/>
    <w:rsid w:val="00AA2364"/>
    <w:rsid w:val="00AA25CD"/>
    <w:rsid w:val="00AA260F"/>
    <w:rsid w:val="00AA2E35"/>
    <w:rsid w:val="00AA2EAA"/>
    <w:rsid w:val="00AA2F7F"/>
    <w:rsid w:val="00AA3689"/>
    <w:rsid w:val="00AA3FC7"/>
    <w:rsid w:val="00AA488F"/>
    <w:rsid w:val="00AA4F86"/>
    <w:rsid w:val="00AA5231"/>
    <w:rsid w:val="00AA5F59"/>
    <w:rsid w:val="00AA5FFE"/>
    <w:rsid w:val="00AA6984"/>
    <w:rsid w:val="00AA6A93"/>
    <w:rsid w:val="00AA7026"/>
    <w:rsid w:val="00AA7059"/>
    <w:rsid w:val="00AA7B52"/>
    <w:rsid w:val="00AB06AD"/>
    <w:rsid w:val="00AB06D2"/>
    <w:rsid w:val="00AB08D5"/>
    <w:rsid w:val="00AB0A31"/>
    <w:rsid w:val="00AB1627"/>
    <w:rsid w:val="00AB1B60"/>
    <w:rsid w:val="00AB1D51"/>
    <w:rsid w:val="00AB1EE7"/>
    <w:rsid w:val="00AB1F46"/>
    <w:rsid w:val="00AB1FE7"/>
    <w:rsid w:val="00AB212F"/>
    <w:rsid w:val="00AB2324"/>
    <w:rsid w:val="00AB4097"/>
    <w:rsid w:val="00AB4B37"/>
    <w:rsid w:val="00AB4C78"/>
    <w:rsid w:val="00AB500A"/>
    <w:rsid w:val="00AB5402"/>
    <w:rsid w:val="00AB5762"/>
    <w:rsid w:val="00AB5A08"/>
    <w:rsid w:val="00AB5DE6"/>
    <w:rsid w:val="00AB6199"/>
    <w:rsid w:val="00AB68C7"/>
    <w:rsid w:val="00AB69A5"/>
    <w:rsid w:val="00AB701A"/>
    <w:rsid w:val="00AB74E7"/>
    <w:rsid w:val="00AB7848"/>
    <w:rsid w:val="00AB7988"/>
    <w:rsid w:val="00AB79BC"/>
    <w:rsid w:val="00AC07EC"/>
    <w:rsid w:val="00AC0D0B"/>
    <w:rsid w:val="00AC13FF"/>
    <w:rsid w:val="00AC1704"/>
    <w:rsid w:val="00AC1B38"/>
    <w:rsid w:val="00AC1BAD"/>
    <w:rsid w:val="00AC1EAD"/>
    <w:rsid w:val="00AC21CC"/>
    <w:rsid w:val="00AC2220"/>
    <w:rsid w:val="00AC2679"/>
    <w:rsid w:val="00AC2711"/>
    <w:rsid w:val="00AC275A"/>
    <w:rsid w:val="00AC2C16"/>
    <w:rsid w:val="00AC37A4"/>
    <w:rsid w:val="00AC3C42"/>
    <w:rsid w:val="00AC3F6A"/>
    <w:rsid w:val="00AC42C5"/>
    <w:rsid w:val="00AC478B"/>
    <w:rsid w:val="00AC4AF9"/>
    <w:rsid w:val="00AC4BE4"/>
    <w:rsid w:val="00AC58C8"/>
    <w:rsid w:val="00AC5B45"/>
    <w:rsid w:val="00AC5F8E"/>
    <w:rsid w:val="00AC6273"/>
    <w:rsid w:val="00AC6360"/>
    <w:rsid w:val="00AC69C6"/>
    <w:rsid w:val="00AC6BF9"/>
    <w:rsid w:val="00AC706B"/>
    <w:rsid w:val="00AC7ADF"/>
    <w:rsid w:val="00AD0102"/>
    <w:rsid w:val="00AD0124"/>
    <w:rsid w:val="00AD01D0"/>
    <w:rsid w:val="00AD05E6"/>
    <w:rsid w:val="00AD0781"/>
    <w:rsid w:val="00AD0D3F"/>
    <w:rsid w:val="00AD1504"/>
    <w:rsid w:val="00AD1719"/>
    <w:rsid w:val="00AD1AE9"/>
    <w:rsid w:val="00AD1BBF"/>
    <w:rsid w:val="00AD1CCC"/>
    <w:rsid w:val="00AD1D15"/>
    <w:rsid w:val="00AD297E"/>
    <w:rsid w:val="00AD2F3F"/>
    <w:rsid w:val="00AD3778"/>
    <w:rsid w:val="00AD4193"/>
    <w:rsid w:val="00AD4277"/>
    <w:rsid w:val="00AD47EE"/>
    <w:rsid w:val="00AD5334"/>
    <w:rsid w:val="00AD57C5"/>
    <w:rsid w:val="00AD5991"/>
    <w:rsid w:val="00AD5FE5"/>
    <w:rsid w:val="00AD64CA"/>
    <w:rsid w:val="00AD6549"/>
    <w:rsid w:val="00AD6EAF"/>
    <w:rsid w:val="00AD7301"/>
    <w:rsid w:val="00AD734B"/>
    <w:rsid w:val="00AE02F7"/>
    <w:rsid w:val="00AE1014"/>
    <w:rsid w:val="00AE1A2D"/>
    <w:rsid w:val="00AE1CDF"/>
    <w:rsid w:val="00AE1D7D"/>
    <w:rsid w:val="00AE1DB4"/>
    <w:rsid w:val="00AE1F36"/>
    <w:rsid w:val="00AE264A"/>
    <w:rsid w:val="00AE2A8B"/>
    <w:rsid w:val="00AE2C76"/>
    <w:rsid w:val="00AE2E5C"/>
    <w:rsid w:val="00AE37B9"/>
    <w:rsid w:val="00AE3AF7"/>
    <w:rsid w:val="00AE3B8C"/>
    <w:rsid w:val="00AE3BDA"/>
    <w:rsid w:val="00AE3C87"/>
    <w:rsid w:val="00AE3F64"/>
    <w:rsid w:val="00AE4255"/>
    <w:rsid w:val="00AE4951"/>
    <w:rsid w:val="00AE4DF9"/>
    <w:rsid w:val="00AE4E34"/>
    <w:rsid w:val="00AE52F5"/>
    <w:rsid w:val="00AE55BE"/>
    <w:rsid w:val="00AE5BCC"/>
    <w:rsid w:val="00AE5C63"/>
    <w:rsid w:val="00AE67FB"/>
    <w:rsid w:val="00AE6A25"/>
    <w:rsid w:val="00AE6BFD"/>
    <w:rsid w:val="00AE6E27"/>
    <w:rsid w:val="00AE7C5C"/>
    <w:rsid w:val="00AE7F17"/>
    <w:rsid w:val="00AF09BD"/>
    <w:rsid w:val="00AF0A39"/>
    <w:rsid w:val="00AF0B2B"/>
    <w:rsid w:val="00AF11BA"/>
    <w:rsid w:val="00AF1334"/>
    <w:rsid w:val="00AF16E4"/>
    <w:rsid w:val="00AF19DE"/>
    <w:rsid w:val="00AF1B00"/>
    <w:rsid w:val="00AF1B6F"/>
    <w:rsid w:val="00AF2597"/>
    <w:rsid w:val="00AF25A4"/>
    <w:rsid w:val="00AF280A"/>
    <w:rsid w:val="00AF3D5A"/>
    <w:rsid w:val="00AF3F16"/>
    <w:rsid w:val="00AF3F5F"/>
    <w:rsid w:val="00AF4657"/>
    <w:rsid w:val="00AF4C57"/>
    <w:rsid w:val="00AF65A0"/>
    <w:rsid w:val="00AF6E85"/>
    <w:rsid w:val="00AF7233"/>
    <w:rsid w:val="00AF7386"/>
    <w:rsid w:val="00AF75CC"/>
    <w:rsid w:val="00AF7709"/>
    <w:rsid w:val="00AF7797"/>
    <w:rsid w:val="00AF7924"/>
    <w:rsid w:val="00AF7934"/>
    <w:rsid w:val="00AF7E07"/>
    <w:rsid w:val="00B00344"/>
    <w:rsid w:val="00B00B81"/>
    <w:rsid w:val="00B00BCB"/>
    <w:rsid w:val="00B0120A"/>
    <w:rsid w:val="00B01345"/>
    <w:rsid w:val="00B01840"/>
    <w:rsid w:val="00B01E7D"/>
    <w:rsid w:val="00B01FE3"/>
    <w:rsid w:val="00B0201D"/>
    <w:rsid w:val="00B024C3"/>
    <w:rsid w:val="00B02567"/>
    <w:rsid w:val="00B029FA"/>
    <w:rsid w:val="00B02BB3"/>
    <w:rsid w:val="00B02E86"/>
    <w:rsid w:val="00B02F19"/>
    <w:rsid w:val="00B03368"/>
    <w:rsid w:val="00B03D35"/>
    <w:rsid w:val="00B04580"/>
    <w:rsid w:val="00B047E2"/>
    <w:rsid w:val="00B04B09"/>
    <w:rsid w:val="00B0535E"/>
    <w:rsid w:val="00B05506"/>
    <w:rsid w:val="00B05689"/>
    <w:rsid w:val="00B0628F"/>
    <w:rsid w:val="00B06592"/>
    <w:rsid w:val="00B068F3"/>
    <w:rsid w:val="00B06A96"/>
    <w:rsid w:val="00B06FEF"/>
    <w:rsid w:val="00B07264"/>
    <w:rsid w:val="00B072B5"/>
    <w:rsid w:val="00B0731F"/>
    <w:rsid w:val="00B073C0"/>
    <w:rsid w:val="00B07886"/>
    <w:rsid w:val="00B078D5"/>
    <w:rsid w:val="00B079AB"/>
    <w:rsid w:val="00B07C0B"/>
    <w:rsid w:val="00B07D45"/>
    <w:rsid w:val="00B07DD5"/>
    <w:rsid w:val="00B07E78"/>
    <w:rsid w:val="00B07E84"/>
    <w:rsid w:val="00B11185"/>
    <w:rsid w:val="00B120F5"/>
    <w:rsid w:val="00B1213D"/>
    <w:rsid w:val="00B12FBA"/>
    <w:rsid w:val="00B13523"/>
    <w:rsid w:val="00B13842"/>
    <w:rsid w:val="00B13B9F"/>
    <w:rsid w:val="00B145F9"/>
    <w:rsid w:val="00B14993"/>
    <w:rsid w:val="00B14C5B"/>
    <w:rsid w:val="00B15021"/>
    <w:rsid w:val="00B15448"/>
    <w:rsid w:val="00B15A0A"/>
    <w:rsid w:val="00B15A21"/>
    <w:rsid w:val="00B161C1"/>
    <w:rsid w:val="00B1629E"/>
    <w:rsid w:val="00B163B3"/>
    <w:rsid w:val="00B16A51"/>
    <w:rsid w:val="00B16AE6"/>
    <w:rsid w:val="00B16B05"/>
    <w:rsid w:val="00B16D4E"/>
    <w:rsid w:val="00B16FBD"/>
    <w:rsid w:val="00B176BB"/>
    <w:rsid w:val="00B17743"/>
    <w:rsid w:val="00B17B57"/>
    <w:rsid w:val="00B17CFA"/>
    <w:rsid w:val="00B17DBB"/>
    <w:rsid w:val="00B17FD4"/>
    <w:rsid w:val="00B20039"/>
    <w:rsid w:val="00B200C5"/>
    <w:rsid w:val="00B20A77"/>
    <w:rsid w:val="00B20DFA"/>
    <w:rsid w:val="00B21AF4"/>
    <w:rsid w:val="00B21DDD"/>
    <w:rsid w:val="00B22455"/>
    <w:rsid w:val="00B2286E"/>
    <w:rsid w:val="00B23B22"/>
    <w:rsid w:val="00B23B6F"/>
    <w:rsid w:val="00B23D05"/>
    <w:rsid w:val="00B23EFD"/>
    <w:rsid w:val="00B240B8"/>
    <w:rsid w:val="00B24747"/>
    <w:rsid w:val="00B24E9E"/>
    <w:rsid w:val="00B25193"/>
    <w:rsid w:val="00B2522B"/>
    <w:rsid w:val="00B25440"/>
    <w:rsid w:val="00B254AD"/>
    <w:rsid w:val="00B25655"/>
    <w:rsid w:val="00B25D64"/>
    <w:rsid w:val="00B25DF5"/>
    <w:rsid w:val="00B25EAF"/>
    <w:rsid w:val="00B2612A"/>
    <w:rsid w:val="00B26469"/>
    <w:rsid w:val="00B26E48"/>
    <w:rsid w:val="00B271FD"/>
    <w:rsid w:val="00B27282"/>
    <w:rsid w:val="00B27346"/>
    <w:rsid w:val="00B27F67"/>
    <w:rsid w:val="00B27FBF"/>
    <w:rsid w:val="00B3003A"/>
    <w:rsid w:val="00B3005F"/>
    <w:rsid w:val="00B30361"/>
    <w:rsid w:val="00B30518"/>
    <w:rsid w:val="00B30FA0"/>
    <w:rsid w:val="00B31A04"/>
    <w:rsid w:val="00B31AF7"/>
    <w:rsid w:val="00B31FA3"/>
    <w:rsid w:val="00B32222"/>
    <w:rsid w:val="00B323B1"/>
    <w:rsid w:val="00B32471"/>
    <w:rsid w:val="00B32679"/>
    <w:rsid w:val="00B32698"/>
    <w:rsid w:val="00B332BC"/>
    <w:rsid w:val="00B33603"/>
    <w:rsid w:val="00B33B71"/>
    <w:rsid w:val="00B33EC2"/>
    <w:rsid w:val="00B33F69"/>
    <w:rsid w:val="00B33FD2"/>
    <w:rsid w:val="00B34084"/>
    <w:rsid w:val="00B340CA"/>
    <w:rsid w:val="00B341D5"/>
    <w:rsid w:val="00B34968"/>
    <w:rsid w:val="00B34992"/>
    <w:rsid w:val="00B34B75"/>
    <w:rsid w:val="00B34DC4"/>
    <w:rsid w:val="00B351E9"/>
    <w:rsid w:val="00B35FFF"/>
    <w:rsid w:val="00B36027"/>
    <w:rsid w:val="00B36146"/>
    <w:rsid w:val="00B3618D"/>
    <w:rsid w:val="00B36233"/>
    <w:rsid w:val="00B36264"/>
    <w:rsid w:val="00B36337"/>
    <w:rsid w:val="00B36C7F"/>
    <w:rsid w:val="00B36E8D"/>
    <w:rsid w:val="00B37CAE"/>
    <w:rsid w:val="00B4021F"/>
    <w:rsid w:val="00B407D9"/>
    <w:rsid w:val="00B40837"/>
    <w:rsid w:val="00B4091C"/>
    <w:rsid w:val="00B40FBC"/>
    <w:rsid w:val="00B410AF"/>
    <w:rsid w:val="00B41295"/>
    <w:rsid w:val="00B4144F"/>
    <w:rsid w:val="00B41614"/>
    <w:rsid w:val="00B41E6F"/>
    <w:rsid w:val="00B4246A"/>
    <w:rsid w:val="00B42627"/>
    <w:rsid w:val="00B42851"/>
    <w:rsid w:val="00B42F50"/>
    <w:rsid w:val="00B43E36"/>
    <w:rsid w:val="00B43EA0"/>
    <w:rsid w:val="00B440A9"/>
    <w:rsid w:val="00B44DBC"/>
    <w:rsid w:val="00B44F21"/>
    <w:rsid w:val="00B44FA1"/>
    <w:rsid w:val="00B452C7"/>
    <w:rsid w:val="00B458DB"/>
    <w:rsid w:val="00B45AC7"/>
    <w:rsid w:val="00B45EAC"/>
    <w:rsid w:val="00B4617A"/>
    <w:rsid w:val="00B46859"/>
    <w:rsid w:val="00B46938"/>
    <w:rsid w:val="00B46EF8"/>
    <w:rsid w:val="00B47D1C"/>
    <w:rsid w:val="00B50510"/>
    <w:rsid w:val="00B50633"/>
    <w:rsid w:val="00B5099B"/>
    <w:rsid w:val="00B50BFD"/>
    <w:rsid w:val="00B50DD1"/>
    <w:rsid w:val="00B50E83"/>
    <w:rsid w:val="00B50ECC"/>
    <w:rsid w:val="00B51447"/>
    <w:rsid w:val="00B514B2"/>
    <w:rsid w:val="00B519CE"/>
    <w:rsid w:val="00B5297A"/>
    <w:rsid w:val="00B536DA"/>
    <w:rsid w:val="00B5372F"/>
    <w:rsid w:val="00B537BE"/>
    <w:rsid w:val="00B53835"/>
    <w:rsid w:val="00B53C00"/>
    <w:rsid w:val="00B547A0"/>
    <w:rsid w:val="00B5528B"/>
    <w:rsid w:val="00B556C7"/>
    <w:rsid w:val="00B55732"/>
    <w:rsid w:val="00B55C03"/>
    <w:rsid w:val="00B55C4E"/>
    <w:rsid w:val="00B55EA2"/>
    <w:rsid w:val="00B55F84"/>
    <w:rsid w:val="00B55FE1"/>
    <w:rsid w:val="00B56666"/>
    <w:rsid w:val="00B568CA"/>
    <w:rsid w:val="00B5697E"/>
    <w:rsid w:val="00B569A3"/>
    <w:rsid w:val="00B56A69"/>
    <w:rsid w:val="00B56B83"/>
    <w:rsid w:val="00B572CB"/>
    <w:rsid w:val="00B57314"/>
    <w:rsid w:val="00B57461"/>
    <w:rsid w:val="00B574C9"/>
    <w:rsid w:val="00B57AA0"/>
    <w:rsid w:val="00B57AF7"/>
    <w:rsid w:val="00B6000B"/>
    <w:rsid w:val="00B60C85"/>
    <w:rsid w:val="00B60E9E"/>
    <w:rsid w:val="00B61129"/>
    <w:rsid w:val="00B6120B"/>
    <w:rsid w:val="00B61402"/>
    <w:rsid w:val="00B61694"/>
    <w:rsid w:val="00B61E99"/>
    <w:rsid w:val="00B62085"/>
    <w:rsid w:val="00B62347"/>
    <w:rsid w:val="00B627B0"/>
    <w:rsid w:val="00B62A66"/>
    <w:rsid w:val="00B63040"/>
    <w:rsid w:val="00B631CA"/>
    <w:rsid w:val="00B63238"/>
    <w:rsid w:val="00B63515"/>
    <w:rsid w:val="00B6356A"/>
    <w:rsid w:val="00B6372A"/>
    <w:rsid w:val="00B6372E"/>
    <w:rsid w:val="00B63CA4"/>
    <w:rsid w:val="00B63D1E"/>
    <w:rsid w:val="00B64A10"/>
    <w:rsid w:val="00B651FB"/>
    <w:rsid w:val="00B6554D"/>
    <w:rsid w:val="00B6575A"/>
    <w:rsid w:val="00B65AEE"/>
    <w:rsid w:val="00B65B25"/>
    <w:rsid w:val="00B65CAE"/>
    <w:rsid w:val="00B65EF2"/>
    <w:rsid w:val="00B66125"/>
    <w:rsid w:val="00B66255"/>
    <w:rsid w:val="00B66585"/>
    <w:rsid w:val="00B66974"/>
    <w:rsid w:val="00B66996"/>
    <w:rsid w:val="00B66DD8"/>
    <w:rsid w:val="00B66F76"/>
    <w:rsid w:val="00B67046"/>
    <w:rsid w:val="00B6704C"/>
    <w:rsid w:val="00B67320"/>
    <w:rsid w:val="00B67349"/>
    <w:rsid w:val="00B67984"/>
    <w:rsid w:val="00B67B73"/>
    <w:rsid w:val="00B67E67"/>
    <w:rsid w:val="00B67E7F"/>
    <w:rsid w:val="00B704C7"/>
    <w:rsid w:val="00B70A43"/>
    <w:rsid w:val="00B70F0D"/>
    <w:rsid w:val="00B71299"/>
    <w:rsid w:val="00B71336"/>
    <w:rsid w:val="00B71356"/>
    <w:rsid w:val="00B7137E"/>
    <w:rsid w:val="00B713D9"/>
    <w:rsid w:val="00B71755"/>
    <w:rsid w:val="00B721EA"/>
    <w:rsid w:val="00B723C6"/>
    <w:rsid w:val="00B72FB3"/>
    <w:rsid w:val="00B73003"/>
    <w:rsid w:val="00B73283"/>
    <w:rsid w:val="00B73348"/>
    <w:rsid w:val="00B735B7"/>
    <w:rsid w:val="00B736B5"/>
    <w:rsid w:val="00B737B7"/>
    <w:rsid w:val="00B73F1A"/>
    <w:rsid w:val="00B741F7"/>
    <w:rsid w:val="00B7452E"/>
    <w:rsid w:val="00B74994"/>
    <w:rsid w:val="00B74D02"/>
    <w:rsid w:val="00B753B2"/>
    <w:rsid w:val="00B756F4"/>
    <w:rsid w:val="00B75A04"/>
    <w:rsid w:val="00B75AF0"/>
    <w:rsid w:val="00B763AD"/>
    <w:rsid w:val="00B764E3"/>
    <w:rsid w:val="00B76DBE"/>
    <w:rsid w:val="00B76F21"/>
    <w:rsid w:val="00B772BF"/>
    <w:rsid w:val="00B776F1"/>
    <w:rsid w:val="00B777EE"/>
    <w:rsid w:val="00B77891"/>
    <w:rsid w:val="00B77C13"/>
    <w:rsid w:val="00B77D7E"/>
    <w:rsid w:val="00B803A7"/>
    <w:rsid w:val="00B804E8"/>
    <w:rsid w:val="00B8060A"/>
    <w:rsid w:val="00B80A06"/>
    <w:rsid w:val="00B8104F"/>
    <w:rsid w:val="00B817F4"/>
    <w:rsid w:val="00B8197C"/>
    <w:rsid w:val="00B81B07"/>
    <w:rsid w:val="00B81BE1"/>
    <w:rsid w:val="00B81D9E"/>
    <w:rsid w:val="00B82A35"/>
    <w:rsid w:val="00B82F1F"/>
    <w:rsid w:val="00B839B2"/>
    <w:rsid w:val="00B83CD7"/>
    <w:rsid w:val="00B8403F"/>
    <w:rsid w:val="00B84457"/>
    <w:rsid w:val="00B84AC1"/>
    <w:rsid w:val="00B84D34"/>
    <w:rsid w:val="00B85485"/>
    <w:rsid w:val="00B8558B"/>
    <w:rsid w:val="00B85822"/>
    <w:rsid w:val="00B85C4E"/>
    <w:rsid w:val="00B86040"/>
    <w:rsid w:val="00B8622A"/>
    <w:rsid w:val="00B86501"/>
    <w:rsid w:val="00B865C8"/>
    <w:rsid w:val="00B866FF"/>
    <w:rsid w:val="00B86DAC"/>
    <w:rsid w:val="00B86ECB"/>
    <w:rsid w:val="00B87A1A"/>
    <w:rsid w:val="00B87C5C"/>
    <w:rsid w:val="00B87FC5"/>
    <w:rsid w:val="00B904A5"/>
    <w:rsid w:val="00B907A3"/>
    <w:rsid w:val="00B907BA"/>
    <w:rsid w:val="00B90880"/>
    <w:rsid w:val="00B9201B"/>
    <w:rsid w:val="00B921F0"/>
    <w:rsid w:val="00B92774"/>
    <w:rsid w:val="00B9306B"/>
    <w:rsid w:val="00B933DD"/>
    <w:rsid w:val="00B93A70"/>
    <w:rsid w:val="00B93EE1"/>
    <w:rsid w:val="00B94146"/>
    <w:rsid w:val="00B94240"/>
    <w:rsid w:val="00B94252"/>
    <w:rsid w:val="00B94CBB"/>
    <w:rsid w:val="00B95545"/>
    <w:rsid w:val="00B956B6"/>
    <w:rsid w:val="00B95AAC"/>
    <w:rsid w:val="00B95D3C"/>
    <w:rsid w:val="00B95F67"/>
    <w:rsid w:val="00B9678A"/>
    <w:rsid w:val="00B9715A"/>
    <w:rsid w:val="00B97363"/>
    <w:rsid w:val="00B97656"/>
    <w:rsid w:val="00B97740"/>
    <w:rsid w:val="00B97873"/>
    <w:rsid w:val="00B97C75"/>
    <w:rsid w:val="00B97D7A"/>
    <w:rsid w:val="00B97E8B"/>
    <w:rsid w:val="00B97F0E"/>
    <w:rsid w:val="00BA0AB4"/>
    <w:rsid w:val="00BA11FB"/>
    <w:rsid w:val="00BA125E"/>
    <w:rsid w:val="00BA14BE"/>
    <w:rsid w:val="00BA15D3"/>
    <w:rsid w:val="00BA199E"/>
    <w:rsid w:val="00BA1B01"/>
    <w:rsid w:val="00BA1B1C"/>
    <w:rsid w:val="00BA1D12"/>
    <w:rsid w:val="00BA1FA9"/>
    <w:rsid w:val="00BA2556"/>
    <w:rsid w:val="00BA25D0"/>
    <w:rsid w:val="00BA2732"/>
    <w:rsid w:val="00BA2830"/>
    <w:rsid w:val="00BA293D"/>
    <w:rsid w:val="00BA3799"/>
    <w:rsid w:val="00BA3D34"/>
    <w:rsid w:val="00BA3E87"/>
    <w:rsid w:val="00BA49BC"/>
    <w:rsid w:val="00BA4DB1"/>
    <w:rsid w:val="00BA50B4"/>
    <w:rsid w:val="00BA5635"/>
    <w:rsid w:val="00BA56B7"/>
    <w:rsid w:val="00BA5877"/>
    <w:rsid w:val="00BA59EE"/>
    <w:rsid w:val="00BA5A17"/>
    <w:rsid w:val="00BA5E07"/>
    <w:rsid w:val="00BA5FF0"/>
    <w:rsid w:val="00BA6705"/>
    <w:rsid w:val="00BA7A15"/>
    <w:rsid w:val="00BA7A1E"/>
    <w:rsid w:val="00BA7CA9"/>
    <w:rsid w:val="00BB03DD"/>
    <w:rsid w:val="00BB0DF1"/>
    <w:rsid w:val="00BB0FD4"/>
    <w:rsid w:val="00BB1146"/>
    <w:rsid w:val="00BB1154"/>
    <w:rsid w:val="00BB1B56"/>
    <w:rsid w:val="00BB24DB"/>
    <w:rsid w:val="00BB2911"/>
    <w:rsid w:val="00BB2940"/>
    <w:rsid w:val="00BB2B8D"/>
    <w:rsid w:val="00BB2F6C"/>
    <w:rsid w:val="00BB32EA"/>
    <w:rsid w:val="00BB3372"/>
    <w:rsid w:val="00BB33B6"/>
    <w:rsid w:val="00BB33ED"/>
    <w:rsid w:val="00BB349F"/>
    <w:rsid w:val="00BB357E"/>
    <w:rsid w:val="00BB3875"/>
    <w:rsid w:val="00BB3D8E"/>
    <w:rsid w:val="00BB448A"/>
    <w:rsid w:val="00BB47E2"/>
    <w:rsid w:val="00BB4B2D"/>
    <w:rsid w:val="00BB4E90"/>
    <w:rsid w:val="00BB5028"/>
    <w:rsid w:val="00BB513A"/>
    <w:rsid w:val="00BB5205"/>
    <w:rsid w:val="00BB53A8"/>
    <w:rsid w:val="00BB5860"/>
    <w:rsid w:val="00BB5C8C"/>
    <w:rsid w:val="00BB6267"/>
    <w:rsid w:val="00BB6724"/>
    <w:rsid w:val="00BB6AAD"/>
    <w:rsid w:val="00BB6B83"/>
    <w:rsid w:val="00BB6EE7"/>
    <w:rsid w:val="00BB74DC"/>
    <w:rsid w:val="00BB7570"/>
    <w:rsid w:val="00BB7BD0"/>
    <w:rsid w:val="00BB7ED4"/>
    <w:rsid w:val="00BC00BA"/>
    <w:rsid w:val="00BC0298"/>
    <w:rsid w:val="00BC050D"/>
    <w:rsid w:val="00BC16F9"/>
    <w:rsid w:val="00BC18A5"/>
    <w:rsid w:val="00BC19D7"/>
    <w:rsid w:val="00BC1BCD"/>
    <w:rsid w:val="00BC1BF9"/>
    <w:rsid w:val="00BC1CD7"/>
    <w:rsid w:val="00BC2532"/>
    <w:rsid w:val="00BC26A5"/>
    <w:rsid w:val="00BC288E"/>
    <w:rsid w:val="00BC2BF3"/>
    <w:rsid w:val="00BC2C39"/>
    <w:rsid w:val="00BC3250"/>
    <w:rsid w:val="00BC3306"/>
    <w:rsid w:val="00BC3AA5"/>
    <w:rsid w:val="00BC3B02"/>
    <w:rsid w:val="00BC3E2F"/>
    <w:rsid w:val="00BC3E69"/>
    <w:rsid w:val="00BC44F2"/>
    <w:rsid w:val="00BC461F"/>
    <w:rsid w:val="00BC48B0"/>
    <w:rsid w:val="00BC4A19"/>
    <w:rsid w:val="00BC4B4D"/>
    <w:rsid w:val="00BC4BF6"/>
    <w:rsid w:val="00BC4E6D"/>
    <w:rsid w:val="00BC5145"/>
    <w:rsid w:val="00BC5585"/>
    <w:rsid w:val="00BC56E0"/>
    <w:rsid w:val="00BC5875"/>
    <w:rsid w:val="00BC5AEF"/>
    <w:rsid w:val="00BC5D6E"/>
    <w:rsid w:val="00BC614B"/>
    <w:rsid w:val="00BC6264"/>
    <w:rsid w:val="00BC6A48"/>
    <w:rsid w:val="00BC6A99"/>
    <w:rsid w:val="00BC6CD8"/>
    <w:rsid w:val="00BC72B2"/>
    <w:rsid w:val="00BC7ACB"/>
    <w:rsid w:val="00BC7CD8"/>
    <w:rsid w:val="00BD0583"/>
    <w:rsid w:val="00BD0617"/>
    <w:rsid w:val="00BD0DD7"/>
    <w:rsid w:val="00BD1366"/>
    <w:rsid w:val="00BD1C06"/>
    <w:rsid w:val="00BD2956"/>
    <w:rsid w:val="00BD2B8C"/>
    <w:rsid w:val="00BD2E14"/>
    <w:rsid w:val="00BD2E9B"/>
    <w:rsid w:val="00BD301D"/>
    <w:rsid w:val="00BD3205"/>
    <w:rsid w:val="00BD33B2"/>
    <w:rsid w:val="00BD4190"/>
    <w:rsid w:val="00BD4421"/>
    <w:rsid w:val="00BD45CF"/>
    <w:rsid w:val="00BD5372"/>
    <w:rsid w:val="00BD5AA4"/>
    <w:rsid w:val="00BD5D9F"/>
    <w:rsid w:val="00BD6116"/>
    <w:rsid w:val="00BD63B9"/>
    <w:rsid w:val="00BD64E2"/>
    <w:rsid w:val="00BD6536"/>
    <w:rsid w:val="00BD65FC"/>
    <w:rsid w:val="00BD662D"/>
    <w:rsid w:val="00BD6D0F"/>
    <w:rsid w:val="00BD776B"/>
    <w:rsid w:val="00BD7DB5"/>
    <w:rsid w:val="00BE0109"/>
    <w:rsid w:val="00BE06A1"/>
    <w:rsid w:val="00BE078B"/>
    <w:rsid w:val="00BE0C22"/>
    <w:rsid w:val="00BE0EEF"/>
    <w:rsid w:val="00BE0FCC"/>
    <w:rsid w:val="00BE12A5"/>
    <w:rsid w:val="00BE1774"/>
    <w:rsid w:val="00BE222A"/>
    <w:rsid w:val="00BE2230"/>
    <w:rsid w:val="00BE24DE"/>
    <w:rsid w:val="00BE256B"/>
    <w:rsid w:val="00BE280B"/>
    <w:rsid w:val="00BE2907"/>
    <w:rsid w:val="00BE324C"/>
    <w:rsid w:val="00BE371B"/>
    <w:rsid w:val="00BE4D35"/>
    <w:rsid w:val="00BE5175"/>
    <w:rsid w:val="00BE5BFD"/>
    <w:rsid w:val="00BE5D93"/>
    <w:rsid w:val="00BE62F6"/>
    <w:rsid w:val="00BE6418"/>
    <w:rsid w:val="00BE6529"/>
    <w:rsid w:val="00BE6AAB"/>
    <w:rsid w:val="00BE6E61"/>
    <w:rsid w:val="00BE7351"/>
    <w:rsid w:val="00BE75A5"/>
    <w:rsid w:val="00BE75AA"/>
    <w:rsid w:val="00BE7CD7"/>
    <w:rsid w:val="00BEDDDE"/>
    <w:rsid w:val="00BF05E8"/>
    <w:rsid w:val="00BF06C2"/>
    <w:rsid w:val="00BF0AF2"/>
    <w:rsid w:val="00BF0C7C"/>
    <w:rsid w:val="00BF0EF1"/>
    <w:rsid w:val="00BF141A"/>
    <w:rsid w:val="00BF26F1"/>
    <w:rsid w:val="00BF280E"/>
    <w:rsid w:val="00BF2F31"/>
    <w:rsid w:val="00BF2F64"/>
    <w:rsid w:val="00BF3113"/>
    <w:rsid w:val="00BF315B"/>
    <w:rsid w:val="00BF335D"/>
    <w:rsid w:val="00BF3365"/>
    <w:rsid w:val="00BF5E1D"/>
    <w:rsid w:val="00BF62C8"/>
    <w:rsid w:val="00BF7D3B"/>
    <w:rsid w:val="00BF7F3D"/>
    <w:rsid w:val="00C00930"/>
    <w:rsid w:val="00C00C2B"/>
    <w:rsid w:val="00C00EBB"/>
    <w:rsid w:val="00C00EC5"/>
    <w:rsid w:val="00C00F74"/>
    <w:rsid w:val="00C0119D"/>
    <w:rsid w:val="00C01F81"/>
    <w:rsid w:val="00C02179"/>
    <w:rsid w:val="00C02325"/>
    <w:rsid w:val="00C02419"/>
    <w:rsid w:val="00C02923"/>
    <w:rsid w:val="00C02D2A"/>
    <w:rsid w:val="00C030A9"/>
    <w:rsid w:val="00C038FE"/>
    <w:rsid w:val="00C03A96"/>
    <w:rsid w:val="00C03D3B"/>
    <w:rsid w:val="00C03D40"/>
    <w:rsid w:val="00C04949"/>
    <w:rsid w:val="00C04EFC"/>
    <w:rsid w:val="00C05261"/>
    <w:rsid w:val="00C05B2F"/>
    <w:rsid w:val="00C05BB0"/>
    <w:rsid w:val="00C060AD"/>
    <w:rsid w:val="00C060C1"/>
    <w:rsid w:val="00C061D9"/>
    <w:rsid w:val="00C065EE"/>
    <w:rsid w:val="00C0670D"/>
    <w:rsid w:val="00C06873"/>
    <w:rsid w:val="00C06EBC"/>
    <w:rsid w:val="00C07942"/>
    <w:rsid w:val="00C10AA0"/>
    <w:rsid w:val="00C10D91"/>
    <w:rsid w:val="00C11335"/>
    <w:rsid w:val="00C113BF"/>
    <w:rsid w:val="00C11603"/>
    <w:rsid w:val="00C12069"/>
    <w:rsid w:val="00C12547"/>
    <w:rsid w:val="00C125C5"/>
    <w:rsid w:val="00C12909"/>
    <w:rsid w:val="00C13309"/>
    <w:rsid w:val="00C136F0"/>
    <w:rsid w:val="00C1380A"/>
    <w:rsid w:val="00C13C3E"/>
    <w:rsid w:val="00C13F8D"/>
    <w:rsid w:val="00C1403C"/>
    <w:rsid w:val="00C14287"/>
    <w:rsid w:val="00C14512"/>
    <w:rsid w:val="00C14662"/>
    <w:rsid w:val="00C147F2"/>
    <w:rsid w:val="00C14B23"/>
    <w:rsid w:val="00C1582E"/>
    <w:rsid w:val="00C15A68"/>
    <w:rsid w:val="00C1626F"/>
    <w:rsid w:val="00C16794"/>
    <w:rsid w:val="00C16FD7"/>
    <w:rsid w:val="00C1704A"/>
    <w:rsid w:val="00C171EB"/>
    <w:rsid w:val="00C17911"/>
    <w:rsid w:val="00C17D9B"/>
    <w:rsid w:val="00C2028E"/>
    <w:rsid w:val="00C204D6"/>
    <w:rsid w:val="00C2053A"/>
    <w:rsid w:val="00C20D7E"/>
    <w:rsid w:val="00C2176E"/>
    <w:rsid w:val="00C218B1"/>
    <w:rsid w:val="00C21B19"/>
    <w:rsid w:val="00C224D9"/>
    <w:rsid w:val="00C2270E"/>
    <w:rsid w:val="00C227B8"/>
    <w:rsid w:val="00C22B31"/>
    <w:rsid w:val="00C2319E"/>
    <w:rsid w:val="00C23430"/>
    <w:rsid w:val="00C23670"/>
    <w:rsid w:val="00C239DA"/>
    <w:rsid w:val="00C23A59"/>
    <w:rsid w:val="00C245AE"/>
    <w:rsid w:val="00C2467E"/>
    <w:rsid w:val="00C24C17"/>
    <w:rsid w:val="00C24E31"/>
    <w:rsid w:val="00C250F2"/>
    <w:rsid w:val="00C2516C"/>
    <w:rsid w:val="00C25549"/>
    <w:rsid w:val="00C255AB"/>
    <w:rsid w:val="00C25B17"/>
    <w:rsid w:val="00C262AA"/>
    <w:rsid w:val="00C2688C"/>
    <w:rsid w:val="00C26A77"/>
    <w:rsid w:val="00C26AFE"/>
    <w:rsid w:val="00C26C99"/>
    <w:rsid w:val="00C270BC"/>
    <w:rsid w:val="00C27359"/>
    <w:rsid w:val="00C27439"/>
    <w:rsid w:val="00C27492"/>
    <w:rsid w:val="00C27D67"/>
    <w:rsid w:val="00C301C0"/>
    <w:rsid w:val="00C308E1"/>
    <w:rsid w:val="00C30F3C"/>
    <w:rsid w:val="00C30F8B"/>
    <w:rsid w:val="00C31286"/>
    <w:rsid w:val="00C31496"/>
    <w:rsid w:val="00C314DB"/>
    <w:rsid w:val="00C315B1"/>
    <w:rsid w:val="00C315D3"/>
    <w:rsid w:val="00C3162A"/>
    <w:rsid w:val="00C31885"/>
    <w:rsid w:val="00C31C19"/>
    <w:rsid w:val="00C323E0"/>
    <w:rsid w:val="00C32717"/>
    <w:rsid w:val="00C32799"/>
    <w:rsid w:val="00C32C52"/>
    <w:rsid w:val="00C32E2A"/>
    <w:rsid w:val="00C331D9"/>
    <w:rsid w:val="00C3364A"/>
    <w:rsid w:val="00C336E5"/>
    <w:rsid w:val="00C338F2"/>
    <w:rsid w:val="00C33A59"/>
    <w:rsid w:val="00C33E4D"/>
    <w:rsid w:val="00C33E88"/>
    <w:rsid w:val="00C3494F"/>
    <w:rsid w:val="00C34985"/>
    <w:rsid w:val="00C34C31"/>
    <w:rsid w:val="00C34E6D"/>
    <w:rsid w:val="00C35302"/>
    <w:rsid w:val="00C3541F"/>
    <w:rsid w:val="00C35537"/>
    <w:rsid w:val="00C3562B"/>
    <w:rsid w:val="00C35926"/>
    <w:rsid w:val="00C36167"/>
    <w:rsid w:val="00C361D9"/>
    <w:rsid w:val="00C3661E"/>
    <w:rsid w:val="00C36709"/>
    <w:rsid w:val="00C368A7"/>
    <w:rsid w:val="00C3692C"/>
    <w:rsid w:val="00C3699A"/>
    <w:rsid w:val="00C369C1"/>
    <w:rsid w:val="00C37562"/>
    <w:rsid w:val="00C379D4"/>
    <w:rsid w:val="00C3F15D"/>
    <w:rsid w:val="00C400A8"/>
    <w:rsid w:val="00C400BD"/>
    <w:rsid w:val="00C4064A"/>
    <w:rsid w:val="00C407F0"/>
    <w:rsid w:val="00C40E25"/>
    <w:rsid w:val="00C414D2"/>
    <w:rsid w:val="00C41891"/>
    <w:rsid w:val="00C4190C"/>
    <w:rsid w:val="00C41AD3"/>
    <w:rsid w:val="00C4200C"/>
    <w:rsid w:val="00C42B49"/>
    <w:rsid w:val="00C42CCC"/>
    <w:rsid w:val="00C42DE1"/>
    <w:rsid w:val="00C43010"/>
    <w:rsid w:val="00C43C46"/>
    <w:rsid w:val="00C4407F"/>
    <w:rsid w:val="00C44A65"/>
    <w:rsid w:val="00C44FCA"/>
    <w:rsid w:val="00C4516E"/>
    <w:rsid w:val="00C45BB4"/>
    <w:rsid w:val="00C45D6D"/>
    <w:rsid w:val="00C45EB1"/>
    <w:rsid w:val="00C46222"/>
    <w:rsid w:val="00C46267"/>
    <w:rsid w:val="00C4631F"/>
    <w:rsid w:val="00C463AA"/>
    <w:rsid w:val="00C46652"/>
    <w:rsid w:val="00C46B72"/>
    <w:rsid w:val="00C47FB0"/>
    <w:rsid w:val="00C5013E"/>
    <w:rsid w:val="00C50275"/>
    <w:rsid w:val="00C5099D"/>
    <w:rsid w:val="00C50C23"/>
    <w:rsid w:val="00C50C63"/>
    <w:rsid w:val="00C50E16"/>
    <w:rsid w:val="00C50EC5"/>
    <w:rsid w:val="00C51061"/>
    <w:rsid w:val="00C511E4"/>
    <w:rsid w:val="00C5141A"/>
    <w:rsid w:val="00C5173C"/>
    <w:rsid w:val="00C5198B"/>
    <w:rsid w:val="00C519FA"/>
    <w:rsid w:val="00C51C9A"/>
    <w:rsid w:val="00C520A9"/>
    <w:rsid w:val="00C5240C"/>
    <w:rsid w:val="00C5253A"/>
    <w:rsid w:val="00C52D89"/>
    <w:rsid w:val="00C53ABC"/>
    <w:rsid w:val="00C53FF3"/>
    <w:rsid w:val="00C54AC8"/>
    <w:rsid w:val="00C54CC4"/>
    <w:rsid w:val="00C55258"/>
    <w:rsid w:val="00C55389"/>
    <w:rsid w:val="00C56241"/>
    <w:rsid w:val="00C562E6"/>
    <w:rsid w:val="00C565D8"/>
    <w:rsid w:val="00C5711A"/>
    <w:rsid w:val="00C5747A"/>
    <w:rsid w:val="00C576A0"/>
    <w:rsid w:val="00C57FBE"/>
    <w:rsid w:val="00C600FE"/>
    <w:rsid w:val="00C60481"/>
    <w:rsid w:val="00C61583"/>
    <w:rsid w:val="00C616A5"/>
    <w:rsid w:val="00C61C6B"/>
    <w:rsid w:val="00C62834"/>
    <w:rsid w:val="00C6391C"/>
    <w:rsid w:val="00C6415B"/>
    <w:rsid w:val="00C6427A"/>
    <w:rsid w:val="00C64503"/>
    <w:rsid w:val="00C64609"/>
    <w:rsid w:val="00C647A3"/>
    <w:rsid w:val="00C64D2F"/>
    <w:rsid w:val="00C64F0F"/>
    <w:rsid w:val="00C6576D"/>
    <w:rsid w:val="00C6584B"/>
    <w:rsid w:val="00C65E00"/>
    <w:rsid w:val="00C65F46"/>
    <w:rsid w:val="00C663DC"/>
    <w:rsid w:val="00C66B77"/>
    <w:rsid w:val="00C67930"/>
    <w:rsid w:val="00C67B1D"/>
    <w:rsid w:val="00C702B6"/>
    <w:rsid w:val="00C70700"/>
    <w:rsid w:val="00C7076B"/>
    <w:rsid w:val="00C70885"/>
    <w:rsid w:val="00C70A68"/>
    <w:rsid w:val="00C70D1F"/>
    <w:rsid w:val="00C70DD4"/>
    <w:rsid w:val="00C710AC"/>
    <w:rsid w:val="00C71235"/>
    <w:rsid w:val="00C71448"/>
    <w:rsid w:val="00C71DFE"/>
    <w:rsid w:val="00C723F3"/>
    <w:rsid w:val="00C72401"/>
    <w:rsid w:val="00C725E4"/>
    <w:rsid w:val="00C7279D"/>
    <w:rsid w:val="00C72D17"/>
    <w:rsid w:val="00C72EF4"/>
    <w:rsid w:val="00C72F35"/>
    <w:rsid w:val="00C730BA"/>
    <w:rsid w:val="00C73296"/>
    <w:rsid w:val="00C7342D"/>
    <w:rsid w:val="00C739C2"/>
    <w:rsid w:val="00C73C6D"/>
    <w:rsid w:val="00C73EBA"/>
    <w:rsid w:val="00C7433F"/>
    <w:rsid w:val="00C74728"/>
    <w:rsid w:val="00C74851"/>
    <w:rsid w:val="00C749D0"/>
    <w:rsid w:val="00C749DD"/>
    <w:rsid w:val="00C74CEC"/>
    <w:rsid w:val="00C74E09"/>
    <w:rsid w:val="00C74FE0"/>
    <w:rsid w:val="00C754F1"/>
    <w:rsid w:val="00C758BE"/>
    <w:rsid w:val="00C76822"/>
    <w:rsid w:val="00C76F49"/>
    <w:rsid w:val="00C77189"/>
    <w:rsid w:val="00C7732C"/>
    <w:rsid w:val="00C77AC2"/>
    <w:rsid w:val="00C77BC2"/>
    <w:rsid w:val="00C77C01"/>
    <w:rsid w:val="00C80024"/>
    <w:rsid w:val="00C80147"/>
    <w:rsid w:val="00C807F0"/>
    <w:rsid w:val="00C80AB3"/>
    <w:rsid w:val="00C80D0D"/>
    <w:rsid w:val="00C81247"/>
    <w:rsid w:val="00C813AC"/>
    <w:rsid w:val="00C820E6"/>
    <w:rsid w:val="00C822F9"/>
    <w:rsid w:val="00C82BE5"/>
    <w:rsid w:val="00C82EEB"/>
    <w:rsid w:val="00C8380B"/>
    <w:rsid w:val="00C83DA0"/>
    <w:rsid w:val="00C8492F"/>
    <w:rsid w:val="00C84AEA"/>
    <w:rsid w:val="00C84BA9"/>
    <w:rsid w:val="00C854A0"/>
    <w:rsid w:val="00C86D01"/>
    <w:rsid w:val="00C86D20"/>
    <w:rsid w:val="00C86FCD"/>
    <w:rsid w:val="00C86FFB"/>
    <w:rsid w:val="00C87211"/>
    <w:rsid w:val="00C87877"/>
    <w:rsid w:val="00C8789B"/>
    <w:rsid w:val="00C87E80"/>
    <w:rsid w:val="00C902C4"/>
    <w:rsid w:val="00C903E8"/>
    <w:rsid w:val="00C90835"/>
    <w:rsid w:val="00C90C2B"/>
    <w:rsid w:val="00C90CF5"/>
    <w:rsid w:val="00C911A8"/>
    <w:rsid w:val="00C91325"/>
    <w:rsid w:val="00C913DC"/>
    <w:rsid w:val="00C91AB9"/>
    <w:rsid w:val="00C91ED0"/>
    <w:rsid w:val="00C921AB"/>
    <w:rsid w:val="00C928BD"/>
    <w:rsid w:val="00C92A2E"/>
    <w:rsid w:val="00C92F05"/>
    <w:rsid w:val="00C93259"/>
    <w:rsid w:val="00C935C6"/>
    <w:rsid w:val="00C93795"/>
    <w:rsid w:val="00C93DC3"/>
    <w:rsid w:val="00C943B2"/>
    <w:rsid w:val="00C952F1"/>
    <w:rsid w:val="00C953EA"/>
    <w:rsid w:val="00C954F4"/>
    <w:rsid w:val="00C95F1C"/>
    <w:rsid w:val="00C95F9B"/>
    <w:rsid w:val="00C95FB9"/>
    <w:rsid w:val="00C960CD"/>
    <w:rsid w:val="00C965BB"/>
    <w:rsid w:val="00C965F1"/>
    <w:rsid w:val="00C96CAD"/>
    <w:rsid w:val="00C96EAC"/>
    <w:rsid w:val="00C971DC"/>
    <w:rsid w:val="00C97ABD"/>
    <w:rsid w:val="00C97DAE"/>
    <w:rsid w:val="00CA07AF"/>
    <w:rsid w:val="00CA0ACE"/>
    <w:rsid w:val="00CA0B42"/>
    <w:rsid w:val="00CA0F66"/>
    <w:rsid w:val="00CA1158"/>
    <w:rsid w:val="00CA1299"/>
    <w:rsid w:val="00CA16B7"/>
    <w:rsid w:val="00CA195A"/>
    <w:rsid w:val="00CA1ED4"/>
    <w:rsid w:val="00CA26E5"/>
    <w:rsid w:val="00CA2B84"/>
    <w:rsid w:val="00CA2F1A"/>
    <w:rsid w:val="00CA3516"/>
    <w:rsid w:val="00CA418C"/>
    <w:rsid w:val="00CA43DE"/>
    <w:rsid w:val="00CA45CA"/>
    <w:rsid w:val="00CA4BE3"/>
    <w:rsid w:val="00CA4F32"/>
    <w:rsid w:val="00CA51F0"/>
    <w:rsid w:val="00CA5486"/>
    <w:rsid w:val="00CA5F47"/>
    <w:rsid w:val="00CA60A0"/>
    <w:rsid w:val="00CA62AE"/>
    <w:rsid w:val="00CA68E6"/>
    <w:rsid w:val="00CA6B96"/>
    <w:rsid w:val="00CA727B"/>
    <w:rsid w:val="00CA75DC"/>
    <w:rsid w:val="00CA779F"/>
    <w:rsid w:val="00CA790A"/>
    <w:rsid w:val="00CA7BA4"/>
    <w:rsid w:val="00CB04D5"/>
    <w:rsid w:val="00CB0576"/>
    <w:rsid w:val="00CB0FC8"/>
    <w:rsid w:val="00CB1DA0"/>
    <w:rsid w:val="00CB1F97"/>
    <w:rsid w:val="00CB2732"/>
    <w:rsid w:val="00CB2FA0"/>
    <w:rsid w:val="00CB3B18"/>
    <w:rsid w:val="00CB3E8B"/>
    <w:rsid w:val="00CB4236"/>
    <w:rsid w:val="00CB42B7"/>
    <w:rsid w:val="00CB42CA"/>
    <w:rsid w:val="00CB4512"/>
    <w:rsid w:val="00CB494F"/>
    <w:rsid w:val="00CB4A46"/>
    <w:rsid w:val="00CB5547"/>
    <w:rsid w:val="00CB5940"/>
    <w:rsid w:val="00CB5B1A"/>
    <w:rsid w:val="00CB6132"/>
    <w:rsid w:val="00CB618C"/>
    <w:rsid w:val="00CB667C"/>
    <w:rsid w:val="00CB6CDB"/>
    <w:rsid w:val="00CB6FA7"/>
    <w:rsid w:val="00CB7284"/>
    <w:rsid w:val="00CC0072"/>
    <w:rsid w:val="00CC0A50"/>
    <w:rsid w:val="00CC0B44"/>
    <w:rsid w:val="00CC0D28"/>
    <w:rsid w:val="00CC12D0"/>
    <w:rsid w:val="00CC16DC"/>
    <w:rsid w:val="00CC1787"/>
    <w:rsid w:val="00CC1A39"/>
    <w:rsid w:val="00CC1D4A"/>
    <w:rsid w:val="00CC21C0"/>
    <w:rsid w:val="00CC220B"/>
    <w:rsid w:val="00CC2958"/>
    <w:rsid w:val="00CC29F8"/>
    <w:rsid w:val="00CC2DD4"/>
    <w:rsid w:val="00CC35A7"/>
    <w:rsid w:val="00CC3DE4"/>
    <w:rsid w:val="00CC4484"/>
    <w:rsid w:val="00CC474A"/>
    <w:rsid w:val="00CC548C"/>
    <w:rsid w:val="00CC58D5"/>
    <w:rsid w:val="00CC5A1B"/>
    <w:rsid w:val="00CC5C43"/>
    <w:rsid w:val="00CC614F"/>
    <w:rsid w:val="00CC6BC9"/>
    <w:rsid w:val="00CC7150"/>
    <w:rsid w:val="00CC71E6"/>
    <w:rsid w:val="00CC7F8A"/>
    <w:rsid w:val="00CD002D"/>
    <w:rsid w:val="00CD023E"/>
    <w:rsid w:val="00CD02AE"/>
    <w:rsid w:val="00CD0876"/>
    <w:rsid w:val="00CD0AD7"/>
    <w:rsid w:val="00CD199D"/>
    <w:rsid w:val="00CD206D"/>
    <w:rsid w:val="00CD210E"/>
    <w:rsid w:val="00CD221E"/>
    <w:rsid w:val="00CD234D"/>
    <w:rsid w:val="00CD2375"/>
    <w:rsid w:val="00CD28FA"/>
    <w:rsid w:val="00CD2A4F"/>
    <w:rsid w:val="00CD3609"/>
    <w:rsid w:val="00CD38DF"/>
    <w:rsid w:val="00CD3F28"/>
    <w:rsid w:val="00CD3F50"/>
    <w:rsid w:val="00CD4057"/>
    <w:rsid w:val="00CD40E1"/>
    <w:rsid w:val="00CD467E"/>
    <w:rsid w:val="00CD46FB"/>
    <w:rsid w:val="00CD5084"/>
    <w:rsid w:val="00CD5525"/>
    <w:rsid w:val="00CD5707"/>
    <w:rsid w:val="00CD57AD"/>
    <w:rsid w:val="00CD5825"/>
    <w:rsid w:val="00CD5ABF"/>
    <w:rsid w:val="00CD612D"/>
    <w:rsid w:val="00CD62DB"/>
    <w:rsid w:val="00CD648D"/>
    <w:rsid w:val="00CD6B89"/>
    <w:rsid w:val="00CD6FE3"/>
    <w:rsid w:val="00CD7387"/>
    <w:rsid w:val="00CD7534"/>
    <w:rsid w:val="00CD7612"/>
    <w:rsid w:val="00CD7B84"/>
    <w:rsid w:val="00CD7D07"/>
    <w:rsid w:val="00CD7D3C"/>
    <w:rsid w:val="00CDEED9"/>
    <w:rsid w:val="00CE03CA"/>
    <w:rsid w:val="00CE05A1"/>
    <w:rsid w:val="00CE0636"/>
    <w:rsid w:val="00CE0A37"/>
    <w:rsid w:val="00CE0B2B"/>
    <w:rsid w:val="00CE0E7D"/>
    <w:rsid w:val="00CE1159"/>
    <w:rsid w:val="00CE1A05"/>
    <w:rsid w:val="00CE1B91"/>
    <w:rsid w:val="00CE1BDA"/>
    <w:rsid w:val="00CE22F1"/>
    <w:rsid w:val="00CE2396"/>
    <w:rsid w:val="00CE2F60"/>
    <w:rsid w:val="00CE39C6"/>
    <w:rsid w:val="00CE3D6D"/>
    <w:rsid w:val="00CE3EF5"/>
    <w:rsid w:val="00CE42F4"/>
    <w:rsid w:val="00CE4629"/>
    <w:rsid w:val="00CE46CF"/>
    <w:rsid w:val="00CE46F9"/>
    <w:rsid w:val="00CE50F2"/>
    <w:rsid w:val="00CE59B7"/>
    <w:rsid w:val="00CE5B15"/>
    <w:rsid w:val="00CE5C30"/>
    <w:rsid w:val="00CE5E70"/>
    <w:rsid w:val="00CE6502"/>
    <w:rsid w:val="00CE69B9"/>
    <w:rsid w:val="00CE6BCE"/>
    <w:rsid w:val="00CE6CE3"/>
    <w:rsid w:val="00CE6DB1"/>
    <w:rsid w:val="00CE7093"/>
    <w:rsid w:val="00CE70AA"/>
    <w:rsid w:val="00CE71C3"/>
    <w:rsid w:val="00CE737E"/>
    <w:rsid w:val="00CE7EDA"/>
    <w:rsid w:val="00CF02B5"/>
    <w:rsid w:val="00CF046D"/>
    <w:rsid w:val="00CF0751"/>
    <w:rsid w:val="00CF1055"/>
    <w:rsid w:val="00CF18B8"/>
    <w:rsid w:val="00CF191F"/>
    <w:rsid w:val="00CF269A"/>
    <w:rsid w:val="00CF277F"/>
    <w:rsid w:val="00CF34B6"/>
    <w:rsid w:val="00CF3620"/>
    <w:rsid w:val="00CF3947"/>
    <w:rsid w:val="00CF3A74"/>
    <w:rsid w:val="00CF3CEE"/>
    <w:rsid w:val="00CF3FCA"/>
    <w:rsid w:val="00CF4037"/>
    <w:rsid w:val="00CF40CF"/>
    <w:rsid w:val="00CF42CB"/>
    <w:rsid w:val="00CF47FA"/>
    <w:rsid w:val="00CF57B0"/>
    <w:rsid w:val="00CF59C8"/>
    <w:rsid w:val="00CF5D0B"/>
    <w:rsid w:val="00CF6685"/>
    <w:rsid w:val="00CF687B"/>
    <w:rsid w:val="00CF73FE"/>
    <w:rsid w:val="00CF7A57"/>
    <w:rsid w:val="00CF7A64"/>
    <w:rsid w:val="00CF7CD5"/>
    <w:rsid w:val="00CF7D3C"/>
    <w:rsid w:val="00D00088"/>
    <w:rsid w:val="00D00179"/>
    <w:rsid w:val="00D00203"/>
    <w:rsid w:val="00D0033D"/>
    <w:rsid w:val="00D0057A"/>
    <w:rsid w:val="00D005AD"/>
    <w:rsid w:val="00D0062E"/>
    <w:rsid w:val="00D01190"/>
    <w:rsid w:val="00D0190D"/>
    <w:rsid w:val="00D01A4C"/>
    <w:rsid w:val="00D02673"/>
    <w:rsid w:val="00D02701"/>
    <w:rsid w:val="00D03A2E"/>
    <w:rsid w:val="00D03E79"/>
    <w:rsid w:val="00D055B1"/>
    <w:rsid w:val="00D05B68"/>
    <w:rsid w:val="00D05F62"/>
    <w:rsid w:val="00D06347"/>
    <w:rsid w:val="00D0668F"/>
    <w:rsid w:val="00D0697A"/>
    <w:rsid w:val="00D06A80"/>
    <w:rsid w:val="00D06C4F"/>
    <w:rsid w:val="00D07401"/>
    <w:rsid w:val="00D07ABB"/>
    <w:rsid w:val="00D07AC1"/>
    <w:rsid w:val="00D07CFE"/>
    <w:rsid w:val="00D100BC"/>
    <w:rsid w:val="00D1012A"/>
    <w:rsid w:val="00D102CE"/>
    <w:rsid w:val="00D105AE"/>
    <w:rsid w:val="00D109C5"/>
    <w:rsid w:val="00D10AC2"/>
    <w:rsid w:val="00D11092"/>
    <w:rsid w:val="00D111C1"/>
    <w:rsid w:val="00D117E5"/>
    <w:rsid w:val="00D118B8"/>
    <w:rsid w:val="00D119B2"/>
    <w:rsid w:val="00D12076"/>
    <w:rsid w:val="00D12A42"/>
    <w:rsid w:val="00D12AF9"/>
    <w:rsid w:val="00D12FB3"/>
    <w:rsid w:val="00D131C2"/>
    <w:rsid w:val="00D134F4"/>
    <w:rsid w:val="00D1395E"/>
    <w:rsid w:val="00D146C9"/>
    <w:rsid w:val="00D147BA"/>
    <w:rsid w:val="00D147BF"/>
    <w:rsid w:val="00D147EB"/>
    <w:rsid w:val="00D14842"/>
    <w:rsid w:val="00D148A7"/>
    <w:rsid w:val="00D14C3D"/>
    <w:rsid w:val="00D15082"/>
    <w:rsid w:val="00D15147"/>
    <w:rsid w:val="00D157E1"/>
    <w:rsid w:val="00D1648C"/>
    <w:rsid w:val="00D16541"/>
    <w:rsid w:val="00D16912"/>
    <w:rsid w:val="00D16F7C"/>
    <w:rsid w:val="00D17218"/>
    <w:rsid w:val="00D1750F"/>
    <w:rsid w:val="00D1774D"/>
    <w:rsid w:val="00D17D5A"/>
    <w:rsid w:val="00D17E28"/>
    <w:rsid w:val="00D20319"/>
    <w:rsid w:val="00D207EF"/>
    <w:rsid w:val="00D20851"/>
    <w:rsid w:val="00D208D1"/>
    <w:rsid w:val="00D20F36"/>
    <w:rsid w:val="00D20F5A"/>
    <w:rsid w:val="00D20F5B"/>
    <w:rsid w:val="00D218B0"/>
    <w:rsid w:val="00D219E5"/>
    <w:rsid w:val="00D21F83"/>
    <w:rsid w:val="00D22FA0"/>
    <w:rsid w:val="00D23A05"/>
    <w:rsid w:val="00D24A7D"/>
    <w:rsid w:val="00D24B58"/>
    <w:rsid w:val="00D25935"/>
    <w:rsid w:val="00D25C94"/>
    <w:rsid w:val="00D26610"/>
    <w:rsid w:val="00D26829"/>
    <w:rsid w:val="00D26A75"/>
    <w:rsid w:val="00D307FA"/>
    <w:rsid w:val="00D30C10"/>
    <w:rsid w:val="00D30C15"/>
    <w:rsid w:val="00D30C1E"/>
    <w:rsid w:val="00D30FCC"/>
    <w:rsid w:val="00D31458"/>
    <w:rsid w:val="00D31ED2"/>
    <w:rsid w:val="00D325B2"/>
    <w:rsid w:val="00D32784"/>
    <w:rsid w:val="00D32889"/>
    <w:rsid w:val="00D32AFE"/>
    <w:rsid w:val="00D3332F"/>
    <w:rsid w:val="00D33BD2"/>
    <w:rsid w:val="00D33F79"/>
    <w:rsid w:val="00D34286"/>
    <w:rsid w:val="00D34334"/>
    <w:rsid w:val="00D34667"/>
    <w:rsid w:val="00D34F01"/>
    <w:rsid w:val="00D35314"/>
    <w:rsid w:val="00D35421"/>
    <w:rsid w:val="00D35665"/>
    <w:rsid w:val="00D35A0F"/>
    <w:rsid w:val="00D3642F"/>
    <w:rsid w:val="00D3684D"/>
    <w:rsid w:val="00D36987"/>
    <w:rsid w:val="00D36FCA"/>
    <w:rsid w:val="00D37191"/>
    <w:rsid w:val="00D37440"/>
    <w:rsid w:val="00D37555"/>
    <w:rsid w:val="00D37738"/>
    <w:rsid w:val="00D401E1"/>
    <w:rsid w:val="00D40340"/>
    <w:rsid w:val="00D404AE"/>
    <w:rsid w:val="00D408B4"/>
    <w:rsid w:val="00D409CA"/>
    <w:rsid w:val="00D40D5F"/>
    <w:rsid w:val="00D40F5E"/>
    <w:rsid w:val="00D416B4"/>
    <w:rsid w:val="00D4190B"/>
    <w:rsid w:val="00D41A36"/>
    <w:rsid w:val="00D41AFC"/>
    <w:rsid w:val="00D426D7"/>
    <w:rsid w:val="00D42B3D"/>
    <w:rsid w:val="00D42BC3"/>
    <w:rsid w:val="00D432D7"/>
    <w:rsid w:val="00D43808"/>
    <w:rsid w:val="00D43D36"/>
    <w:rsid w:val="00D440FA"/>
    <w:rsid w:val="00D448D6"/>
    <w:rsid w:val="00D44A93"/>
    <w:rsid w:val="00D450B8"/>
    <w:rsid w:val="00D450C3"/>
    <w:rsid w:val="00D45965"/>
    <w:rsid w:val="00D45A21"/>
    <w:rsid w:val="00D45D94"/>
    <w:rsid w:val="00D45F20"/>
    <w:rsid w:val="00D46570"/>
    <w:rsid w:val="00D4661C"/>
    <w:rsid w:val="00D46824"/>
    <w:rsid w:val="00D46B56"/>
    <w:rsid w:val="00D50A7B"/>
    <w:rsid w:val="00D50B27"/>
    <w:rsid w:val="00D50C46"/>
    <w:rsid w:val="00D50CD2"/>
    <w:rsid w:val="00D512FF"/>
    <w:rsid w:val="00D514B8"/>
    <w:rsid w:val="00D5179B"/>
    <w:rsid w:val="00D519CE"/>
    <w:rsid w:val="00D51CFC"/>
    <w:rsid w:val="00D51DC0"/>
    <w:rsid w:val="00D5233F"/>
    <w:rsid w:val="00D524C8"/>
    <w:rsid w:val="00D5262C"/>
    <w:rsid w:val="00D5341F"/>
    <w:rsid w:val="00D535A7"/>
    <w:rsid w:val="00D536F8"/>
    <w:rsid w:val="00D53748"/>
    <w:rsid w:val="00D53E38"/>
    <w:rsid w:val="00D540A1"/>
    <w:rsid w:val="00D54155"/>
    <w:rsid w:val="00D545C9"/>
    <w:rsid w:val="00D55688"/>
    <w:rsid w:val="00D56332"/>
    <w:rsid w:val="00D5646C"/>
    <w:rsid w:val="00D56D05"/>
    <w:rsid w:val="00D57482"/>
    <w:rsid w:val="00D57717"/>
    <w:rsid w:val="00D5786D"/>
    <w:rsid w:val="00D57982"/>
    <w:rsid w:val="00D579CD"/>
    <w:rsid w:val="00D57BA3"/>
    <w:rsid w:val="00D57C24"/>
    <w:rsid w:val="00D57C2D"/>
    <w:rsid w:val="00D57C74"/>
    <w:rsid w:val="00D6002D"/>
    <w:rsid w:val="00D601A2"/>
    <w:rsid w:val="00D60448"/>
    <w:rsid w:val="00D60AFA"/>
    <w:rsid w:val="00D60D76"/>
    <w:rsid w:val="00D60E25"/>
    <w:rsid w:val="00D60FBA"/>
    <w:rsid w:val="00D61205"/>
    <w:rsid w:val="00D612C9"/>
    <w:rsid w:val="00D616A3"/>
    <w:rsid w:val="00D6292F"/>
    <w:rsid w:val="00D62B13"/>
    <w:rsid w:val="00D62CEA"/>
    <w:rsid w:val="00D62F47"/>
    <w:rsid w:val="00D62FAA"/>
    <w:rsid w:val="00D63127"/>
    <w:rsid w:val="00D6318E"/>
    <w:rsid w:val="00D63429"/>
    <w:rsid w:val="00D63514"/>
    <w:rsid w:val="00D63A9C"/>
    <w:rsid w:val="00D63F7E"/>
    <w:rsid w:val="00D6540C"/>
    <w:rsid w:val="00D655D7"/>
    <w:rsid w:val="00D65C0B"/>
    <w:rsid w:val="00D65F24"/>
    <w:rsid w:val="00D65FDE"/>
    <w:rsid w:val="00D66287"/>
    <w:rsid w:val="00D6660A"/>
    <w:rsid w:val="00D668BF"/>
    <w:rsid w:val="00D66F02"/>
    <w:rsid w:val="00D679C3"/>
    <w:rsid w:val="00D67C4A"/>
    <w:rsid w:val="00D70E24"/>
    <w:rsid w:val="00D7123E"/>
    <w:rsid w:val="00D719CB"/>
    <w:rsid w:val="00D71CF3"/>
    <w:rsid w:val="00D72532"/>
    <w:rsid w:val="00D72A10"/>
    <w:rsid w:val="00D72B61"/>
    <w:rsid w:val="00D732A2"/>
    <w:rsid w:val="00D7344A"/>
    <w:rsid w:val="00D73B35"/>
    <w:rsid w:val="00D73DC2"/>
    <w:rsid w:val="00D73EF1"/>
    <w:rsid w:val="00D7482B"/>
    <w:rsid w:val="00D74BA9"/>
    <w:rsid w:val="00D74FC6"/>
    <w:rsid w:val="00D7529C"/>
    <w:rsid w:val="00D75668"/>
    <w:rsid w:val="00D759D7"/>
    <w:rsid w:val="00D75A9C"/>
    <w:rsid w:val="00D76146"/>
    <w:rsid w:val="00D766F5"/>
    <w:rsid w:val="00D76BC9"/>
    <w:rsid w:val="00D76CF8"/>
    <w:rsid w:val="00D77179"/>
    <w:rsid w:val="00D777A7"/>
    <w:rsid w:val="00D77BEF"/>
    <w:rsid w:val="00D77F6B"/>
    <w:rsid w:val="00D80253"/>
    <w:rsid w:val="00D806BB"/>
    <w:rsid w:val="00D81265"/>
    <w:rsid w:val="00D8156A"/>
    <w:rsid w:val="00D817E2"/>
    <w:rsid w:val="00D8186D"/>
    <w:rsid w:val="00D818E4"/>
    <w:rsid w:val="00D81AA8"/>
    <w:rsid w:val="00D8212F"/>
    <w:rsid w:val="00D82D62"/>
    <w:rsid w:val="00D82E34"/>
    <w:rsid w:val="00D83157"/>
    <w:rsid w:val="00D834F0"/>
    <w:rsid w:val="00D83B67"/>
    <w:rsid w:val="00D83C63"/>
    <w:rsid w:val="00D83EEB"/>
    <w:rsid w:val="00D83F5B"/>
    <w:rsid w:val="00D83FC2"/>
    <w:rsid w:val="00D84163"/>
    <w:rsid w:val="00D84622"/>
    <w:rsid w:val="00D846CF"/>
    <w:rsid w:val="00D85154"/>
    <w:rsid w:val="00D85A30"/>
    <w:rsid w:val="00D863D3"/>
    <w:rsid w:val="00D864D6"/>
    <w:rsid w:val="00D866EF"/>
    <w:rsid w:val="00D86885"/>
    <w:rsid w:val="00D86A41"/>
    <w:rsid w:val="00D86CCC"/>
    <w:rsid w:val="00D86E39"/>
    <w:rsid w:val="00D86EB5"/>
    <w:rsid w:val="00D86EDF"/>
    <w:rsid w:val="00D8793B"/>
    <w:rsid w:val="00D902B0"/>
    <w:rsid w:val="00D90413"/>
    <w:rsid w:val="00D906A8"/>
    <w:rsid w:val="00D906C0"/>
    <w:rsid w:val="00D90A7A"/>
    <w:rsid w:val="00D91200"/>
    <w:rsid w:val="00D91201"/>
    <w:rsid w:val="00D913B4"/>
    <w:rsid w:val="00D91875"/>
    <w:rsid w:val="00D91FC2"/>
    <w:rsid w:val="00D920A7"/>
    <w:rsid w:val="00D92146"/>
    <w:rsid w:val="00D922A0"/>
    <w:rsid w:val="00D925B9"/>
    <w:rsid w:val="00D92CFD"/>
    <w:rsid w:val="00D930BC"/>
    <w:rsid w:val="00D933C1"/>
    <w:rsid w:val="00D93CC7"/>
    <w:rsid w:val="00D93FA2"/>
    <w:rsid w:val="00D94190"/>
    <w:rsid w:val="00D941E7"/>
    <w:rsid w:val="00D94BED"/>
    <w:rsid w:val="00D95015"/>
    <w:rsid w:val="00D950D9"/>
    <w:rsid w:val="00D9519F"/>
    <w:rsid w:val="00D95307"/>
    <w:rsid w:val="00D95A9D"/>
    <w:rsid w:val="00D95DF9"/>
    <w:rsid w:val="00D962F8"/>
    <w:rsid w:val="00D9683E"/>
    <w:rsid w:val="00D977B9"/>
    <w:rsid w:val="00D97DD7"/>
    <w:rsid w:val="00DA047B"/>
    <w:rsid w:val="00DA081B"/>
    <w:rsid w:val="00DA0960"/>
    <w:rsid w:val="00DA0BE8"/>
    <w:rsid w:val="00DA0C91"/>
    <w:rsid w:val="00DA0FFF"/>
    <w:rsid w:val="00DA14B2"/>
    <w:rsid w:val="00DA21B0"/>
    <w:rsid w:val="00DA2621"/>
    <w:rsid w:val="00DA2A20"/>
    <w:rsid w:val="00DA2A85"/>
    <w:rsid w:val="00DA3889"/>
    <w:rsid w:val="00DA3D1D"/>
    <w:rsid w:val="00DA473A"/>
    <w:rsid w:val="00DA5241"/>
    <w:rsid w:val="00DA5810"/>
    <w:rsid w:val="00DA5D2D"/>
    <w:rsid w:val="00DA5D46"/>
    <w:rsid w:val="00DA5ED7"/>
    <w:rsid w:val="00DA607D"/>
    <w:rsid w:val="00DA6AA6"/>
    <w:rsid w:val="00DA6AB3"/>
    <w:rsid w:val="00DA6EF2"/>
    <w:rsid w:val="00DA7209"/>
    <w:rsid w:val="00DA74E5"/>
    <w:rsid w:val="00DB0138"/>
    <w:rsid w:val="00DB05AF"/>
    <w:rsid w:val="00DB0712"/>
    <w:rsid w:val="00DB07FE"/>
    <w:rsid w:val="00DB0C1B"/>
    <w:rsid w:val="00DB0E32"/>
    <w:rsid w:val="00DB0EDB"/>
    <w:rsid w:val="00DB1042"/>
    <w:rsid w:val="00DB17A3"/>
    <w:rsid w:val="00DB1E2C"/>
    <w:rsid w:val="00DB264F"/>
    <w:rsid w:val="00DB285A"/>
    <w:rsid w:val="00DB2A22"/>
    <w:rsid w:val="00DB2BC6"/>
    <w:rsid w:val="00DB2C03"/>
    <w:rsid w:val="00DB2D4B"/>
    <w:rsid w:val="00DB3A74"/>
    <w:rsid w:val="00DB3A94"/>
    <w:rsid w:val="00DB424B"/>
    <w:rsid w:val="00DB469E"/>
    <w:rsid w:val="00DB4A71"/>
    <w:rsid w:val="00DB4A95"/>
    <w:rsid w:val="00DB5913"/>
    <w:rsid w:val="00DB5941"/>
    <w:rsid w:val="00DB5989"/>
    <w:rsid w:val="00DB5CB2"/>
    <w:rsid w:val="00DB61E1"/>
    <w:rsid w:val="00DB6230"/>
    <w:rsid w:val="00DB6286"/>
    <w:rsid w:val="00DB645F"/>
    <w:rsid w:val="00DB6815"/>
    <w:rsid w:val="00DB6BF9"/>
    <w:rsid w:val="00DB6F46"/>
    <w:rsid w:val="00DB7575"/>
    <w:rsid w:val="00DB76E9"/>
    <w:rsid w:val="00DB7E4C"/>
    <w:rsid w:val="00DC01ED"/>
    <w:rsid w:val="00DC04C2"/>
    <w:rsid w:val="00DC08F9"/>
    <w:rsid w:val="00DC0A67"/>
    <w:rsid w:val="00DC0BAF"/>
    <w:rsid w:val="00DC1090"/>
    <w:rsid w:val="00DC1373"/>
    <w:rsid w:val="00DC17B7"/>
    <w:rsid w:val="00DC1D5E"/>
    <w:rsid w:val="00DC2313"/>
    <w:rsid w:val="00DC2A5C"/>
    <w:rsid w:val="00DC3010"/>
    <w:rsid w:val="00DC3BC3"/>
    <w:rsid w:val="00DC3F66"/>
    <w:rsid w:val="00DC45B0"/>
    <w:rsid w:val="00DC45F3"/>
    <w:rsid w:val="00DC46F6"/>
    <w:rsid w:val="00DC46FD"/>
    <w:rsid w:val="00DC4D62"/>
    <w:rsid w:val="00DC4ED5"/>
    <w:rsid w:val="00DC5179"/>
    <w:rsid w:val="00DC5220"/>
    <w:rsid w:val="00DC5695"/>
    <w:rsid w:val="00DC5954"/>
    <w:rsid w:val="00DC59BD"/>
    <w:rsid w:val="00DC5A6F"/>
    <w:rsid w:val="00DC5BD1"/>
    <w:rsid w:val="00DC6E7E"/>
    <w:rsid w:val="00DC75B0"/>
    <w:rsid w:val="00DC7652"/>
    <w:rsid w:val="00DC779A"/>
    <w:rsid w:val="00DC7910"/>
    <w:rsid w:val="00DC792F"/>
    <w:rsid w:val="00DC7CD8"/>
    <w:rsid w:val="00DD0707"/>
    <w:rsid w:val="00DD108B"/>
    <w:rsid w:val="00DD1292"/>
    <w:rsid w:val="00DD190E"/>
    <w:rsid w:val="00DD1B79"/>
    <w:rsid w:val="00DD2061"/>
    <w:rsid w:val="00DD20EC"/>
    <w:rsid w:val="00DD2590"/>
    <w:rsid w:val="00DD26E1"/>
    <w:rsid w:val="00DD2C17"/>
    <w:rsid w:val="00DD305F"/>
    <w:rsid w:val="00DD32F7"/>
    <w:rsid w:val="00DD3A6D"/>
    <w:rsid w:val="00DD3E7F"/>
    <w:rsid w:val="00DD4148"/>
    <w:rsid w:val="00DD42F5"/>
    <w:rsid w:val="00DD44B8"/>
    <w:rsid w:val="00DD44FA"/>
    <w:rsid w:val="00DD4510"/>
    <w:rsid w:val="00DD4D88"/>
    <w:rsid w:val="00DD50B2"/>
    <w:rsid w:val="00DD535A"/>
    <w:rsid w:val="00DD543C"/>
    <w:rsid w:val="00DD5554"/>
    <w:rsid w:val="00DD57A9"/>
    <w:rsid w:val="00DD6171"/>
    <w:rsid w:val="00DD62E4"/>
    <w:rsid w:val="00DD65F3"/>
    <w:rsid w:val="00DD75A7"/>
    <w:rsid w:val="00DD761A"/>
    <w:rsid w:val="00DD767F"/>
    <w:rsid w:val="00DD77B5"/>
    <w:rsid w:val="00DD7CB7"/>
    <w:rsid w:val="00DD7DAB"/>
    <w:rsid w:val="00DE00EE"/>
    <w:rsid w:val="00DE02CB"/>
    <w:rsid w:val="00DE0F2A"/>
    <w:rsid w:val="00DE0F32"/>
    <w:rsid w:val="00DE175D"/>
    <w:rsid w:val="00DE185F"/>
    <w:rsid w:val="00DE1CC0"/>
    <w:rsid w:val="00DE1E3C"/>
    <w:rsid w:val="00DE24F4"/>
    <w:rsid w:val="00DE2695"/>
    <w:rsid w:val="00DE2F68"/>
    <w:rsid w:val="00DE3355"/>
    <w:rsid w:val="00DE3566"/>
    <w:rsid w:val="00DE3863"/>
    <w:rsid w:val="00DE3B32"/>
    <w:rsid w:val="00DE3FBD"/>
    <w:rsid w:val="00DE41D7"/>
    <w:rsid w:val="00DE460A"/>
    <w:rsid w:val="00DE4AF5"/>
    <w:rsid w:val="00DE504D"/>
    <w:rsid w:val="00DE57F2"/>
    <w:rsid w:val="00DE5984"/>
    <w:rsid w:val="00DE5C0D"/>
    <w:rsid w:val="00DE6704"/>
    <w:rsid w:val="00DE6BC7"/>
    <w:rsid w:val="00DE714B"/>
    <w:rsid w:val="00DE74BF"/>
    <w:rsid w:val="00DE755C"/>
    <w:rsid w:val="00DE7C79"/>
    <w:rsid w:val="00DF079E"/>
    <w:rsid w:val="00DF0A2C"/>
    <w:rsid w:val="00DF0CD0"/>
    <w:rsid w:val="00DF0EBA"/>
    <w:rsid w:val="00DF117B"/>
    <w:rsid w:val="00DF1452"/>
    <w:rsid w:val="00DF1576"/>
    <w:rsid w:val="00DF1CCA"/>
    <w:rsid w:val="00DF1EF8"/>
    <w:rsid w:val="00DF2666"/>
    <w:rsid w:val="00DF278F"/>
    <w:rsid w:val="00DF2860"/>
    <w:rsid w:val="00DF2C6E"/>
    <w:rsid w:val="00DF2D94"/>
    <w:rsid w:val="00DF32C2"/>
    <w:rsid w:val="00DF35C8"/>
    <w:rsid w:val="00DF35E6"/>
    <w:rsid w:val="00DF3EC8"/>
    <w:rsid w:val="00DF47ED"/>
    <w:rsid w:val="00DF486F"/>
    <w:rsid w:val="00DF4945"/>
    <w:rsid w:val="00DF527E"/>
    <w:rsid w:val="00DF5B5B"/>
    <w:rsid w:val="00DF5C37"/>
    <w:rsid w:val="00DF5DB7"/>
    <w:rsid w:val="00DF613E"/>
    <w:rsid w:val="00DF61D1"/>
    <w:rsid w:val="00DF6342"/>
    <w:rsid w:val="00DF634B"/>
    <w:rsid w:val="00DF64EE"/>
    <w:rsid w:val="00DF69F4"/>
    <w:rsid w:val="00DF703D"/>
    <w:rsid w:val="00DF7500"/>
    <w:rsid w:val="00DF7619"/>
    <w:rsid w:val="00DF7AE2"/>
    <w:rsid w:val="00E0007C"/>
    <w:rsid w:val="00E0093C"/>
    <w:rsid w:val="00E00A92"/>
    <w:rsid w:val="00E01083"/>
    <w:rsid w:val="00E014DB"/>
    <w:rsid w:val="00E017FA"/>
    <w:rsid w:val="00E01C0E"/>
    <w:rsid w:val="00E02184"/>
    <w:rsid w:val="00E02210"/>
    <w:rsid w:val="00E022A3"/>
    <w:rsid w:val="00E02CCB"/>
    <w:rsid w:val="00E02DD1"/>
    <w:rsid w:val="00E0388C"/>
    <w:rsid w:val="00E03A40"/>
    <w:rsid w:val="00E03C11"/>
    <w:rsid w:val="00E03EB8"/>
    <w:rsid w:val="00E03EC3"/>
    <w:rsid w:val="00E042D8"/>
    <w:rsid w:val="00E04783"/>
    <w:rsid w:val="00E047D9"/>
    <w:rsid w:val="00E04BAD"/>
    <w:rsid w:val="00E055FA"/>
    <w:rsid w:val="00E0631B"/>
    <w:rsid w:val="00E063E5"/>
    <w:rsid w:val="00E0699F"/>
    <w:rsid w:val="00E06A82"/>
    <w:rsid w:val="00E072F3"/>
    <w:rsid w:val="00E076E1"/>
    <w:rsid w:val="00E07EE7"/>
    <w:rsid w:val="00E1076D"/>
    <w:rsid w:val="00E10A63"/>
    <w:rsid w:val="00E1103B"/>
    <w:rsid w:val="00E110E1"/>
    <w:rsid w:val="00E111F9"/>
    <w:rsid w:val="00E11257"/>
    <w:rsid w:val="00E11616"/>
    <w:rsid w:val="00E11BC4"/>
    <w:rsid w:val="00E11C36"/>
    <w:rsid w:val="00E11CEB"/>
    <w:rsid w:val="00E126F5"/>
    <w:rsid w:val="00E1284A"/>
    <w:rsid w:val="00E12C2B"/>
    <w:rsid w:val="00E137F4"/>
    <w:rsid w:val="00E13971"/>
    <w:rsid w:val="00E139A5"/>
    <w:rsid w:val="00E13A58"/>
    <w:rsid w:val="00E13B96"/>
    <w:rsid w:val="00E14330"/>
    <w:rsid w:val="00E14954"/>
    <w:rsid w:val="00E149EB"/>
    <w:rsid w:val="00E14A8B"/>
    <w:rsid w:val="00E14D32"/>
    <w:rsid w:val="00E14DB6"/>
    <w:rsid w:val="00E15276"/>
    <w:rsid w:val="00E15278"/>
    <w:rsid w:val="00E1536E"/>
    <w:rsid w:val="00E15446"/>
    <w:rsid w:val="00E15A62"/>
    <w:rsid w:val="00E15B79"/>
    <w:rsid w:val="00E16040"/>
    <w:rsid w:val="00E168CA"/>
    <w:rsid w:val="00E16C03"/>
    <w:rsid w:val="00E16FF5"/>
    <w:rsid w:val="00E17262"/>
    <w:rsid w:val="00E177F4"/>
    <w:rsid w:val="00E17A3C"/>
    <w:rsid w:val="00E17A66"/>
    <w:rsid w:val="00E17B44"/>
    <w:rsid w:val="00E201B7"/>
    <w:rsid w:val="00E201E4"/>
    <w:rsid w:val="00E2089F"/>
    <w:rsid w:val="00E21288"/>
    <w:rsid w:val="00E21718"/>
    <w:rsid w:val="00E21CD9"/>
    <w:rsid w:val="00E21F91"/>
    <w:rsid w:val="00E220C2"/>
    <w:rsid w:val="00E23007"/>
    <w:rsid w:val="00E237D4"/>
    <w:rsid w:val="00E248B7"/>
    <w:rsid w:val="00E24CF3"/>
    <w:rsid w:val="00E251A8"/>
    <w:rsid w:val="00E251F2"/>
    <w:rsid w:val="00E254B1"/>
    <w:rsid w:val="00E25BBD"/>
    <w:rsid w:val="00E25CBD"/>
    <w:rsid w:val="00E26018"/>
    <w:rsid w:val="00E261E9"/>
    <w:rsid w:val="00E2637D"/>
    <w:rsid w:val="00E26780"/>
    <w:rsid w:val="00E268A3"/>
    <w:rsid w:val="00E26B62"/>
    <w:rsid w:val="00E27B6E"/>
    <w:rsid w:val="00E27CC4"/>
    <w:rsid w:val="00E27CDE"/>
    <w:rsid w:val="00E27EB2"/>
    <w:rsid w:val="00E27FEA"/>
    <w:rsid w:val="00E303C3"/>
    <w:rsid w:val="00E3081B"/>
    <w:rsid w:val="00E30902"/>
    <w:rsid w:val="00E30A33"/>
    <w:rsid w:val="00E30E8A"/>
    <w:rsid w:val="00E30F51"/>
    <w:rsid w:val="00E3134F"/>
    <w:rsid w:val="00E31D54"/>
    <w:rsid w:val="00E31EDA"/>
    <w:rsid w:val="00E32220"/>
    <w:rsid w:val="00E324B0"/>
    <w:rsid w:val="00E32E03"/>
    <w:rsid w:val="00E332F7"/>
    <w:rsid w:val="00E33DDC"/>
    <w:rsid w:val="00E33E08"/>
    <w:rsid w:val="00E34211"/>
    <w:rsid w:val="00E34580"/>
    <w:rsid w:val="00E346AF"/>
    <w:rsid w:val="00E3482B"/>
    <w:rsid w:val="00E34B93"/>
    <w:rsid w:val="00E34DEE"/>
    <w:rsid w:val="00E34F02"/>
    <w:rsid w:val="00E34FB7"/>
    <w:rsid w:val="00E35043"/>
    <w:rsid w:val="00E360EA"/>
    <w:rsid w:val="00E3632F"/>
    <w:rsid w:val="00E366C4"/>
    <w:rsid w:val="00E3686E"/>
    <w:rsid w:val="00E3689C"/>
    <w:rsid w:val="00E3739E"/>
    <w:rsid w:val="00E37B16"/>
    <w:rsid w:val="00E37E1E"/>
    <w:rsid w:val="00E4086F"/>
    <w:rsid w:val="00E40A7E"/>
    <w:rsid w:val="00E40A91"/>
    <w:rsid w:val="00E40F8E"/>
    <w:rsid w:val="00E4140A"/>
    <w:rsid w:val="00E41811"/>
    <w:rsid w:val="00E41C08"/>
    <w:rsid w:val="00E41C55"/>
    <w:rsid w:val="00E42520"/>
    <w:rsid w:val="00E42A25"/>
    <w:rsid w:val="00E42C05"/>
    <w:rsid w:val="00E430D0"/>
    <w:rsid w:val="00E4349C"/>
    <w:rsid w:val="00E43523"/>
    <w:rsid w:val="00E43643"/>
    <w:rsid w:val="00E43B3C"/>
    <w:rsid w:val="00E4428B"/>
    <w:rsid w:val="00E445F5"/>
    <w:rsid w:val="00E447A8"/>
    <w:rsid w:val="00E44C12"/>
    <w:rsid w:val="00E45279"/>
    <w:rsid w:val="00E45589"/>
    <w:rsid w:val="00E455A4"/>
    <w:rsid w:val="00E45AD6"/>
    <w:rsid w:val="00E45F56"/>
    <w:rsid w:val="00E462B7"/>
    <w:rsid w:val="00E463CF"/>
    <w:rsid w:val="00E46973"/>
    <w:rsid w:val="00E46F0E"/>
    <w:rsid w:val="00E47940"/>
    <w:rsid w:val="00E50097"/>
    <w:rsid w:val="00E50188"/>
    <w:rsid w:val="00E50259"/>
    <w:rsid w:val="00E502FF"/>
    <w:rsid w:val="00E505C7"/>
    <w:rsid w:val="00E50BEE"/>
    <w:rsid w:val="00E50F29"/>
    <w:rsid w:val="00E5112F"/>
    <w:rsid w:val="00E51398"/>
    <w:rsid w:val="00E514F7"/>
    <w:rsid w:val="00E515CB"/>
    <w:rsid w:val="00E51A8A"/>
    <w:rsid w:val="00E520F8"/>
    <w:rsid w:val="00E52260"/>
    <w:rsid w:val="00E52602"/>
    <w:rsid w:val="00E5279C"/>
    <w:rsid w:val="00E52B42"/>
    <w:rsid w:val="00E5325B"/>
    <w:rsid w:val="00E53266"/>
    <w:rsid w:val="00E53986"/>
    <w:rsid w:val="00E53AFE"/>
    <w:rsid w:val="00E54C24"/>
    <w:rsid w:val="00E55348"/>
    <w:rsid w:val="00E5578C"/>
    <w:rsid w:val="00E558E2"/>
    <w:rsid w:val="00E5594E"/>
    <w:rsid w:val="00E559B0"/>
    <w:rsid w:val="00E55C48"/>
    <w:rsid w:val="00E5678E"/>
    <w:rsid w:val="00E56A15"/>
    <w:rsid w:val="00E56CC2"/>
    <w:rsid w:val="00E57430"/>
    <w:rsid w:val="00E57BC3"/>
    <w:rsid w:val="00E57C0B"/>
    <w:rsid w:val="00E57EFD"/>
    <w:rsid w:val="00E6057D"/>
    <w:rsid w:val="00E6077D"/>
    <w:rsid w:val="00E608F3"/>
    <w:rsid w:val="00E61579"/>
    <w:rsid w:val="00E616C0"/>
    <w:rsid w:val="00E618C4"/>
    <w:rsid w:val="00E6194E"/>
    <w:rsid w:val="00E61D00"/>
    <w:rsid w:val="00E61EA2"/>
    <w:rsid w:val="00E61FF7"/>
    <w:rsid w:val="00E6208D"/>
    <w:rsid w:val="00E62427"/>
    <w:rsid w:val="00E62812"/>
    <w:rsid w:val="00E6281A"/>
    <w:rsid w:val="00E62843"/>
    <w:rsid w:val="00E62BA8"/>
    <w:rsid w:val="00E62BAB"/>
    <w:rsid w:val="00E6341A"/>
    <w:rsid w:val="00E63498"/>
    <w:rsid w:val="00E63783"/>
    <w:rsid w:val="00E639B6"/>
    <w:rsid w:val="00E63A34"/>
    <w:rsid w:val="00E63F1C"/>
    <w:rsid w:val="00E6415C"/>
    <w:rsid w:val="00E642E7"/>
    <w:rsid w:val="00E6434B"/>
    <w:rsid w:val="00E64398"/>
    <w:rsid w:val="00E6463D"/>
    <w:rsid w:val="00E646B1"/>
    <w:rsid w:val="00E64920"/>
    <w:rsid w:val="00E64FA1"/>
    <w:rsid w:val="00E6514B"/>
    <w:rsid w:val="00E65368"/>
    <w:rsid w:val="00E65F91"/>
    <w:rsid w:val="00E661FF"/>
    <w:rsid w:val="00E6697C"/>
    <w:rsid w:val="00E66A9E"/>
    <w:rsid w:val="00E66CA0"/>
    <w:rsid w:val="00E66EF3"/>
    <w:rsid w:val="00E66F6A"/>
    <w:rsid w:val="00E6709B"/>
    <w:rsid w:val="00E67176"/>
    <w:rsid w:val="00E6766C"/>
    <w:rsid w:val="00E67F8C"/>
    <w:rsid w:val="00E701AC"/>
    <w:rsid w:val="00E70A4F"/>
    <w:rsid w:val="00E70DFE"/>
    <w:rsid w:val="00E70E4E"/>
    <w:rsid w:val="00E712B5"/>
    <w:rsid w:val="00E7140F"/>
    <w:rsid w:val="00E7152C"/>
    <w:rsid w:val="00E71625"/>
    <w:rsid w:val="00E71A41"/>
    <w:rsid w:val="00E71D2E"/>
    <w:rsid w:val="00E71E23"/>
    <w:rsid w:val="00E722BE"/>
    <w:rsid w:val="00E72776"/>
    <w:rsid w:val="00E72A40"/>
    <w:rsid w:val="00E72A48"/>
    <w:rsid w:val="00E72B45"/>
    <w:rsid w:val="00E72E9B"/>
    <w:rsid w:val="00E73304"/>
    <w:rsid w:val="00E73642"/>
    <w:rsid w:val="00E737C4"/>
    <w:rsid w:val="00E73FB5"/>
    <w:rsid w:val="00E745E7"/>
    <w:rsid w:val="00E74AAE"/>
    <w:rsid w:val="00E750F1"/>
    <w:rsid w:val="00E75A97"/>
    <w:rsid w:val="00E75FB2"/>
    <w:rsid w:val="00E76095"/>
    <w:rsid w:val="00E76125"/>
    <w:rsid w:val="00E7622C"/>
    <w:rsid w:val="00E7623C"/>
    <w:rsid w:val="00E764AE"/>
    <w:rsid w:val="00E76FBB"/>
    <w:rsid w:val="00E771CD"/>
    <w:rsid w:val="00E77506"/>
    <w:rsid w:val="00E7768C"/>
    <w:rsid w:val="00E77732"/>
    <w:rsid w:val="00E77F2C"/>
    <w:rsid w:val="00E8007C"/>
    <w:rsid w:val="00E80764"/>
    <w:rsid w:val="00E80F14"/>
    <w:rsid w:val="00E81327"/>
    <w:rsid w:val="00E81937"/>
    <w:rsid w:val="00E81A2F"/>
    <w:rsid w:val="00E81EE8"/>
    <w:rsid w:val="00E81F87"/>
    <w:rsid w:val="00E820CC"/>
    <w:rsid w:val="00E823EE"/>
    <w:rsid w:val="00E82767"/>
    <w:rsid w:val="00E82834"/>
    <w:rsid w:val="00E82964"/>
    <w:rsid w:val="00E82BC0"/>
    <w:rsid w:val="00E82F47"/>
    <w:rsid w:val="00E831B9"/>
    <w:rsid w:val="00E83849"/>
    <w:rsid w:val="00E83BEE"/>
    <w:rsid w:val="00E840AE"/>
    <w:rsid w:val="00E842D8"/>
    <w:rsid w:val="00E84396"/>
    <w:rsid w:val="00E849DA"/>
    <w:rsid w:val="00E85167"/>
    <w:rsid w:val="00E85300"/>
    <w:rsid w:val="00E85687"/>
    <w:rsid w:val="00E85F9F"/>
    <w:rsid w:val="00E86247"/>
    <w:rsid w:val="00E865A2"/>
    <w:rsid w:val="00E86A50"/>
    <w:rsid w:val="00E87AC7"/>
    <w:rsid w:val="00E87CB7"/>
    <w:rsid w:val="00E87E5F"/>
    <w:rsid w:val="00E87E94"/>
    <w:rsid w:val="00E90B7F"/>
    <w:rsid w:val="00E914F7"/>
    <w:rsid w:val="00E91ED4"/>
    <w:rsid w:val="00E91F79"/>
    <w:rsid w:val="00E9220B"/>
    <w:rsid w:val="00E9272C"/>
    <w:rsid w:val="00E93496"/>
    <w:rsid w:val="00E9462E"/>
    <w:rsid w:val="00E95371"/>
    <w:rsid w:val="00E9540B"/>
    <w:rsid w:val="00E95DED"/>
    <w:rsid w:val="00E95F1C"/>
    <w:rsid w:val="00E962BA"/>
    <w:rsid w:val="00E96C83"/>
    <w:rsid w:val="00E96CAD"/>
    <w:rsid w:val="00E96D22"/>
    <w:rsid w:val="00E97282"/>
    <w:rsid w:val="00E97441"/>
    <w:rsid w:val="00E975CC"/>
    <w:rsid w:val="00E97843"/>
    <w:rsid w:val="00E97C76"/>
    <w:rsid w:val="00E97F09"/>
    <w:rsid w:val="00EA04E4"/>
    <w:rsid w:val="00EA0839"/>
    <w:rsid w:val="00EA13A3"/>
    <w:rsid w:val="00EA1B0A"/>
    <w:rsid w:val="00EA225C"/>
    <w:rsid w:val="00EA2351"/>
    <w:rsid w:val="00EA2B7E"/>
    <w:rsid w:val="00EA2E64"/>
    <w:rsid w:val="00EA35C6"/>
    <w:rsid w:val="00EA3696"/>
    <w:rsid w:val="00EA378D"/>
    <w:rsid w:val="00EA38F5"/>
    <w:rsid w:val="00EA3B74"/>
    <w:rsid w:val="00EA4065"/>
    <w:rsid w:val="00EA439B"/>
    <w:rsid w:val="00EA470E"/>
    <w:rsid w:val="00EA4774"/>
    <w:rsid w:val="00EA47A7"/>
    <w:rsid w:val="00EA4D44"/>
    <w:rsid w:val="00EA4F36"/>
    <w:rsid w:val="00EA57EB"/>
    <w:rsid w:val="00EA5953"/>
    <w:rsid w:val="00EA5A13"/>
    <w:rsid w:val="00EA5B60"/>
    <w:rsid w:val="00EA5BF2"/>
    <w:rsid w:val="00EA5CE9"/>
    <w:rsid w:val="00EA5FF6"/>
    <w:rsid w:val="00EA6439"/>
    <w:rsid w:val="00EA654A"/>
    <w:rsid w:val="00EA6597"/>
    <w:rsid w:val="00EA68BB"/>
    <w:rsid w:val="00EA6DF3"/>
    <w:rsid w:val="00EA6E9E"/>
    <w:rsid w:val="00EA77EC"/>
    <w:rsid w:val="00EA7857"/>
    <w:rsid w:val="00EA7A00"/>
    <w:rsid w:val="00EB00BF"/>
    <w:rsid w:val="00EB0354"/>
    <w:rsid w:val="00EB07BF"/>
    <w:rsid w:val="00EB1134"/>
    <w:rsid w:val="00EB1F40"/>
    <w:rsid w:val="00EB20A0"/>
    <w:rsid w:val="00EB27DF"/>
    <w:rsid w:val="00EB2EF8"/>
    <w:rsid w:val="00EB3226"/>
    <w:rsid w:val="00EB3486"/>
    <w:rsid w:val="00EB3B72"/>
    <w:rsid w:val="00EB4209"/>
    <w:rsid w:val="00EB4210"/>
    <w:rsid w:val="00EB4439"/>
    <w:rsid w:val="00EB450E"/>
    <w:rsid w:val="00EB4896"/>
    <w:rsid w:val="00EB48F0"/>
    <w:rsid w:val="00EB49E3"/>
    <w:rsid w:val="00EB4CF8"/>
    <w:rsid w:val="00EB5016"/>
    <w:rsid w:val="00EB53D6"/>
    <w:rsid w:val="00EB578F"/>
    <w:rsid w:val="00EB591B"/>
    <w:rsid w:val="00EB5D7C"/>
    <w:rsid w:val="00EB5D8F"/>
    <w:rsid w:val="00EB6053"/>
    <w:rsid w:val="00EB65E4"/>
    <w:rsid w:val="00EB6648"/>
    <w:rsid w:val="00EB6C6F"/>
    <w:rsid w:val="00EB6E2D"/>
    <w:rsid w:val="00EB715D"/>
    <w:rsid w:val="00EB73B5"/>
    <w:rsid w:val="00EB7A2A"/>
    <w:rsid w:val="00EC0292"/>
    <w:rsid w:val="00EC0CCB"/>
    <w:rsid w:val="00EC0FDD"/>
    <w:rsid w:val="00EC148C"/>
    <w:rsid w:val="00EC148F"/>
    <w:rsid w:val="00EC19D4"/>
    <w:rsid w:val="00EC1ACC"/>
    <w:rsid w:val="00EC1C64"/>
    <w:rsid w:val="00EC1D6C"/>
    <w:rsid w:val="00EC1ECC"/>
    <w:rsid w:val="00EC213A"/>
    <w:rsid w:val="00EC26DE"/>
    <w:rsid w:val="00EC28FC"/>
    <w:rsid w:val="00EC2B8B"/>
    <w:rsid w:val="00EC34EC"/>
    <w:rsid w:val="00EC3580"/>
    <w:rsid w:val="00EC3E40"/>
    <w:rsid w:val="00EC4676"/>
    <w:rsid w:val="00EC49AE"/>
    <w:rsid w:val="00EC4C5D"/>
    <w:rsid w:val="00EC4E06"/>
    <w:rsid w:val="00EC533E"/>
    <w:rsid w:val="00EC56A5"/>
    <w:rsid w:val="00EC5768"/>
    <w:rsid w:val="00EC5783"/>
    <w:rsid w:val="00EC5A66"/>
    <w:rsid w:val="00EC5CB0"/>
    <w:rsid w:val="00EC607C"/>
    <w:rsid w:val="00EC6603"/>
    <w:rsid w:val="00EC6A62"/>
    <w:rsid w:val="00EC6B46"/>
    <w:rsid w:val="00EC7155"/>
    <w:rsid w:val="00EC7286"/>
    <w:rsid w:val="00EC72DC"/>
    <w:rsid w:val="00EC7744"/>
    <w:rsid w:val="00ED007B"/>
    <w:rsid w:val="00ED0221"/>
    <w:rsid w:val="00ED0A3E"/>
    <w:rsid w:val="00ED0AEC"/>
    <w:rsid w:val="00ED0DAD"/>
    <w:rsid w:val="00ED0EAC"/>
    <w:rsid w:val="00ED0F46"/>
    <w:rsid w:val="00ED127C"/>
    <w:rsid w:val="00ED18C8"/>
    <w:rsid w:val="00ED1973"/>
    <w:rsid w:val="00ED1D5F"/>
    <w:rsid w:val="00ED1E29"/>
    <w:rsid w:val="00ED22CF"/>
    <w:rsid w:val="00ED2373"/>
    <w:rsid w:val="00ED2FD0"/>
    <w:rsid w:val="00ED3565"/>
    <w:rsid w:val="00ED38D1"/>
    <w:rsid w:val="00ED3C4D"/>
    <w:rsid w:val="00ED3E33"/>
    <w:rsid w:val="00ED454F"/>
    <w:rsid w:val="00ED48AC"/>
    <w:rsid w:val="00ED4B0B"/>
    <w:rsid w:val="00ED4B87"/>
    <w:rsid w:val="00ED4C85"/>
    <w:rsid w:val="00ED5140"/>
    <w:rsid w:val="00ED5153"/>
    <w:rsid w:val="00ED5BC9"/>
    <w:rsid w:val="00ED5D8D"/>
    <w:rsid w:val="00ED623E"/>
    <w:rsid w:val="00ED6843"/>
    <w:rsid w:val="00ED6E04"/>
    <w:rsid w:val="00ED7A96"/>
    <w:rsid w:val="00EDBDE3"/>
    <w:rsid w:val="00EE01D2"/>
    <w:rsid w:val="00EE02ED"/>
    <w:rsid w:val="00EE0376"/>
    <w:rsid w:val="00EE03B3"/>
    <w:rsid w:val="00EE08FC"/>
    <w:rsid w:val="00EE0947"/>
    <w:rsid w:val="00EE1DF9"/>
    <w:rsid w:val="00EE1E9D"/>
    <w:rsid w:val="00EE209F"/>
    <w:rsid w:val="00EE21BE"/>
    <w:rsid w:val="00EE2693"/>
    <w:rsid w:val="00EE35FA"/>
    <w:rsid w:val="00EE3B45"/>
    <w:rsid w:val="00EE3CC5"/>
    <w:rsid w:val="00EE3E8A"/>
    <w:rsid w:val="00EE3FFE"/>
    <w:rsid w:val="00EE4156"/>
    <w:rsid w:val="00EE4419"/>
    <w:rsid w:val="00EE472A"/>
    <w:rsid w:val="00EE48CF"/>
    <w:rsid w:val="00EE5143"/>
    <w:rsid w:val="00EE56A0"/>
    <w:rsid w:val="00EE570C"/>
    <w:rsid w:val="00EE5AB9"/>
    <w:rsid w:val="00EE5F28"/>
    <w:rsid w:val="00EE5F36"/>
    <w:rsid w:val="00EE6602"/>
    <w:rsid w:val="00EE6A2D"/>
    <w:rsid w:val="00EE6D7E"/>
    <w:rsid w:val="00EE6E55"/>
    <w:rsid w:val="00EE721D"/>
    <w:rsid w:val="00EE76FC"/>
    <w:rsid w:val="00EF00DC"/>
    <w:rsid w:val="00EF0AA6"/>
    <w:rsid w:val="00EF0F15"/>
    <w:rsid w:val="00EF16E3"/>
    <w:rsid w:val="00EF1792"/>
    <w:rsid w:val="00EF194A"/>
    <w:rsid w:val="00EF2357"/>
    <w:rsid w:val="00EF25CC"/>
    <w:rsid w:val="00EF2ACE"/>
    <w:rsid w:val="00EF2C3C"/>
    <w:rsid w:val="00EF2C69"/>
    <w:rsid w:val="00EF31DC"/>
    <w:rsid w:val="00EF33E9"/>
    <w:rsid w:val="00EF3B12"/>
    <w:rsid w:val="00EF3C6C"/>
    <w:rsid w:val="00EF3E5A"/>
    <w:rsid w:val="00EF441B"/>
    <w:rsid w:val="00EF48C6"/>
    <w:rsid w:val="00EF4A6F"/>
    <w:rsid w:val="00EF56E1"/>
    <w:rsid w:val="00EF58DE"/>
    <w:rsid w:val="00EF5B69"/>
    <w:rsid w:val="00EF5CB9"/>
    <w:rsid w:val="00EF5E00"/>
    <w:rsid w:val="00EF5E59"/>
    <w:rsid w:val="00EF5FD0"/>
    <w:rsid w:val="00EF6019"/>
    <w:rsid w:val="00EF6CE5"/>
    <w:rsid w:val="00EF6ECA"/>
    <w:rsid w:val="00EF70FE"/>
    <w:rsid w:val="00EF7609"/>
    <w:rsid w:val="00EF78C9"/>
    <w:rsid w:val="00EF7A9D"/>
    <w:rsid w:val="00EF7B93"/>
    <w:rsid w:val="00EF7C7A"/>
    <w:rsid w:val="00F00094"/>
    <w:rsid w:val="00F00373"/>
    <w:rsid w:val="00F003E3"/>
    <w:rsid w:val="00F0076D"/>
    <w:rsid w:val="00F00E51"/>
    <w:rsid w:val="00F01374"/>
    <w:rsid w:val="00F0169F"/>
    <w:rsid w:val="00F0173C"/>
    <w:rsid w:val="00F018FF"/>
    <w:rsid w:val="00F01B9E"/>
    <w:rsid w:val="00F0208F"/>
    <w:rsid w:val="00F024E1"/>
    <w:rsid w:val="00F02A6D"/>
    <w:rsid w:val="00F02F15"/>
    <w:rsid w:val="00F02F88"/>
    <w:rsid w:val="00F0316E"/>
    <w:rsid w:val="00F03937"/>
    <w:rsid w:val="00F03952"/>
    <w:rsid w:val="00F0406D"/>
    <w:rsid w:val="00F041C8"/>
    <w:rsid w:val="00F042B4"/>
    <w:rsid w:val="00F053DC"/>
    <w:rsid w:val="00F062E1"/>
    <w:rsid w:val="00F065B7"/>
    <w:rsid w:val="00F06946"/>
    <w:rsid w:val="00F06B1C"/>
    <w:rsid w:val="00F06C10"/>
    <w:rsid w:val="00F06C50"/>
    <w:rsid w:val="00F06DF2"/>
    <w:rsid w:val="00F072CC"/>
    <w:rsid w:val="00F074B0"/>
    <w:rsid w:val="00F077C0"/>
    <w:rsid w:val="00F07C69"/>
    <w:rsid w:val="00F07DCA"/>
    <w:rsid w:val="00F0F034"/>
    <w:rsid w:val="00F10089"/>
    <w:rsid w:val="00F107FF"/>
    <w:rsid w:val="00F1096F"/>
    <w:rsid w:val="00F10983"/>
    <w:rsid w:val="00F111F6"/>
    <w:rsid w:val="00F119DF"/>
    <w:rsid w:val="00F11C6D"/>
    <w:rsid w:val="00F12293"/>
    <w:rsid w:val="00F12589"/>
    <w:rsid w:val="00F12595"/>
    <w:rsid w:val="00F12954"/>
    <w:rsid w:val="00F12C8A"/>
    <w:rsid w:val="00F12D18"/>
    <w:rsid w:val="00F1339E"/>
    <w:rsid w:val="00F134D9"/>
    <w:rsid w:val="00F13968"/>
    <w:rsid w:val="00F13C3C"/>
    <w:rsid w:val="00F14009"/>
    <w:rsid w:val="00F1403D"/>
    <w:rsid w:val="00F1463F"/>
    <w:rsid w:val="00F148EB"/>
    <w:rsid w:val="00F149DF"/>
    <w:rsid w:val="00F14DFB"/>
    <w:rsid w:val="00F14FD3"/>
    <w:rsid w:val="00F15041"/>
    <w:rsid w:val="00F15317"/>
    <w:rsid w:val="00F15477"/>
    <w:rsid w:val="00F15567"/>
    <w:rsid w:val="00F155BB"/>
    <w:rsid w:val="00F15937"/>
    <w:rsid w:val="00F160B9"/>
    <w:rsid w:val="00F163FC"/>
    <w:rsid w:val="00F16421"/>
    <w:rsid w:val="00F168CF"/>
    <w:rsid w:val="00F16BD6"/>
    <w:rsid w:val="00F16FD7"/>
    <w:rsid w:val="00F17B0F"/>
    <w:rsid w:val="00F17D42"/>
    <w:rsid w:val="00F17ED3"/>
    <w:rsid w:val="00F20396"/>
    <w:rsid w:val="00F2079D"/>
    <w:rsid w:val="00F20FED"/>
    <w:rsid w:val="00F21255"/>
    <w:rsid w:val="00F21302"/>
    <w:rsid w:val="00F215C9"/>
    <w:rsid w:val="00F21B26"/>
    <w:rsid w:val="00F2225D"/>
    <w:rsid w:val="00F2269F"/>
    <w:rsid w:val="00F22FCD"/>
    <w:rsid w:val="00F23037"/>
    <w:rsid w:val="00F230E0"/>
    <w:rsid w:val="00F23293"/>
    <w:rsid w:val="00F23695"/>
    <w:rsid w:val="00F24524"/>
    <w:rsid w:val="00F24565"/>
    <w:rsid w:val="00F24A9A"/>
    <w:rsid w:val="00F24DE2"/>
    <w:rsid w:val="00F24FE6"/>
    <w:rsid w:val="00F252C5"/>
    <w:rsid w:val="00F259E3"/>
    <w:rsid w:val="00F2643A"/>
    <w:rsid w:val="00F264E1"/>
    <w:rsid w:val="00F266A2"/>
    <w:rsid w:val="00F26B45"/>
    <w:rsid w:val="00F26B4D"/>
    <w:rsid w:val="00F26BA6"/>
    <w:rsid w:val="00F26CD6"/>
    <w:rsid w:val="00F26F69"/>
    <w:rsid w:val="00F273CD"/>
    <w:rsid w:val="00F275B2"/>
    <w:rsid w:val="00F27919"/>
    <w:rsid w:val="00F279DD"/>
    <w:rsid w:val="00F306FD"/>
    <w:rsid w:val="00F30988"/>
    <w:rsid w:val="00F30E9E"/>
    <w:rsid w:val="00F311DF"/>
    <w:rsid w:val="00F31298"/>
    <w:rsid w:val="00F31965"/>
    <w:rsid w:val="00F31ABA"/>
    <w:rsid w:val="00F31F45"/>
    <w:rsid w:val="00F31F8A"/>
    <w:rsid w:val="00F321DE"/>
    <w:rsid w:val="00F327E9"/>
    <w:rsid w:val="00F32945"/>
    <w:rsid w:val="00F32CC3"/>
    <w:rsid w:val="00F332A1"/>
    <w:rsid w:val="00F333C8"/>
    <w:rsid w:val="00F33777"/>
    <w:rsid w:val="00F33A74"/>
    <w:rsid w:val="00F3404A"/>
    <w:rsid w:val="00F34BF9"/>
    <w:rsid w:val="00F34FBE"/>
    <w:rsid w:val="00F35400"/>
    <w:rsid w:val="00F355DF"/>
    <w:rsid w:val="00F357EC"/>
    <w:rsid w:val="00F35F1C"/>
    <w:rsid w:val="00F362E2"/>
    <w:rsid w:val="00F366C6"/>
    <w:rsid w:val="00F36B9F"/>
    <w:rsid w:val="00F36F1E"/>
    <w:rsid w:val="00F3706F"/>
    <w:rsid w:val="00F37824"/>
    <w:rsid w:val="00F37BA0"/>
    <w:rsid w:val="00F400C4"/>
    <w:rsid w:val="00F40630"/>
    <w:rsid w:val="00F40648"/>
    <w:rsid w:val="00F4094B"/>
    <w:rsid w:val="00F40CF9"/>
    <w:rsid w:val="00F41150"/>
    <w:rsid w:val="00F41239"/>
    <w:rsid w:val="00F4138B"/>
    <w:rsid w:val="00F4262A"/>
    <w:rsid w:val="00F427E4"/>
    <w:rsid w:val="00F428EA"/>
    <w:rsid w:val="00F42C7D"/>
    <w:rsid w:val="00F43164"/>
    <w:rsid w:val="00F4321F"/>
    <w:rsid w:val="00F43D73"/>
    <w:rsid w:val="00F43DBE"/>
    <w:rsid w:val="00F44494"/>
    <w:rsid w:val="00F44566"/>
    <w:rsid w:val="00F44ACE"/>
    <w:rsid w:val="00F44C5A"/>
    <w:rsid w:val="00F45004"/>
    <w:rsid w:val="00F45021"/>
    <w:rsid w:val="00F451AD"/>
    <w:rsid w:val="00F45724"/>
    <w:rsid w:val="00F45945"/>
    <w:rsid w:val="00F45BDD"/>
    <w:rsid w:val="00F45C80"/>
    <w:rsid w:val="00F461BE"/>
    <w:rsid w:val="00F46246"/>
    <w:rsid w:val="00F4650E"/>
    <w:rsid w:val="00F46B30"/>
    <w:rsid w:val="00F46E14"/>
    <w:rsid w:val="00F46FCD"/>
    <w:rsid w:val="00F47325"/>
    <w:rsid w:val="00F4750D"/>
    <w:rsid w:val="00F4765C"/>
    <w:rsid w:val="00F4777D"/>
    <w:rsid w:val="00F47886"/>
    <w:rsid w:val="00F478FB"/>
    <w:rsid w:val="00F47A70"/>
    <w:rsid w:val="00F47DA2"/>
    <w:rsid w:val="00F47F43"/>
    <w:rsid w:val="00F5027E"/>
    <w:rsid w:val="00F502BF"/>
    <w:rsid w:val="00F503E7"/>
    <w:rsid w:val="00F50BD2"/>
    <w:rsid w:val="00F50D1F"/>
    <w:rsid w:val="00F5110E"/>
    <w:rsid w:val="00F5123D"/>
    <w:rsid w:val="00F51294"/>
    <w:rsid w:val="00F512D4"/>
    <w:rsid w:val="00F51900"/>
    <w:rsid w:val="00F519FC"/>
    <w:rsid w:val="00F51A8A"/>
    <w:rsid w:val="00F51C2B"/>
    <w:rsid w:val="00F52262"/>
    <w:rsid w:val="00F52318"/>
    <w:rsid w:val="00F5265E"/>
    <w:rsid w:val="00F529CD"/>
    <w:rsid w:val="00F52DDE"/>
    <w:rsid w:val="00F53958"/>
    <w:rsid w:val="00F53F8F"/>
    <w:rsid w:val="00F5445A"/>
    <w:rsid w:val="00F54D0C"/>
    <w:rsid w:val="00F54DA0"/>
    <w:rsid w:val="00F55424"/>
    <w:rsid w:val="00F556A7"/>
    <w:rsid w:val="00F55E35"/>
    <w:rsid w:val="00F56211"/>
    <w:rsid w:val="00F56E19"/>
    <w:rsid w:val="00F56E21"/>
    <w:rsid w:val="00F570F4"/>
    <w:rsid w:val="00F57946"/>
    <w:rsid w:val="00F5F790"/>
    <w:rsid w:val="00F600FD"/>
    <w:rsid w:val="00F60716"/>
    <w:rsid w:val="00F61151"/>
    <w:rsid w:val="00F617CD"/>
    <w:rsid w:val="00F61A1F"/>
    <w:rsid w:val="00F61E89"/>
    <w:rsid w:val="00F6239D"/>
    <w:rsid w:val="00F623AF"/>
    <w:rsid w:val="00F6301F"/>
    <w:rsid w:val="00F6318D"/>
    <w:rsid w:val="00F631E7"/>
    <w:rsid w:val="00F6332A"/>
    <w:rsid w:val="00F634FB"/>
    <w:rsid w:val="00F63756"/>
    <w:rsid w:val="00F63924"/>
    <w:rsid w:val="00F63A53"/>
    <w:rsid w:val="00F640BA"/>
    <w:rsid w:val="00F641D7"/>
    <w:rsid w:val="00F6434F"/>
    <w:rsid w:val="00F64A61"/>
    <w:rsid w:val="00F64ADE"/>
    <w:rsid w:val="00F64E0C"/>
    <w:rsid w:val="00F65731"/>
    <w:rsid w:val="00F6598F"/>
    <w:rsid w:val="00F6618B"/>
    <w:rsid w:val="00F6639D"/>
    <w:rsid w:val="00F665D3"/>
    <w:rsid w:val="00F66919"/>
    <w:rsid w:val="00F6729A"/>
    <w:rsid w:val="00F67840"/>
    <w:rsid w:val="00F67902"/>
    <w:rsid w:val="00F70351"/>
    <w:rsid w:val="00F709D3"/>
    <w:rsid w:val="00F70B4C"/>
    <w:rsid w:val="00F70C30"/>
    <w:rsid w:val="00F70DA2"/>
    <w:rsid w:val="00F71017"/>
    <w:rsid w:val="00F715D2"/>
    <w:rsid w:val="00F71A58"/>
    <w:rsid w:val="00F71C12"/>
    <w:rsid w:val="00F71ED2"/>
    <w:rsid w:val="00F723F0"/>
    <w:rsid w:val="00F72581"/>
    <w:rsid w:val="00F72619"/>
    <w:rsid w:val="00F7274F"/>
    <w:rsid w:val="00F72E74"/>
    <w:rsid w:val="00F7322C"/>
    <w:rsid w:val="00F73379"/>
    <w:rsid w:val="00F736B7"/>
    <w:rsid w:val="00F73958"/>
    <w:rsid w:val="00F73AC5"/>
    <w:rsid w:val="00F7433A"/>
    <w:rsid w:val="00F7530C"/>
    <w:rsid w:val="00F75BD3"/>
    <w:rsid w:val="00F75BFE"/>
    <w:rsid w:val="00F75C13"/>
    <w:rsid w:val="00F76028"/>
    <w:rsid w:val="00F76139"/>
    <w:rsid w:val="00F76163"/>
    <w:rsid w:val="00F764D4"/>
    <w:rsid w:val="00F76748"/>
    <w:rsid w:val="00F76D8B"/>
    <w:rsid w:val="00F76FA8"/>
    <w:rsid w:val="00F77036"/>
    <w:rsid w:val="00F770DD"/>
    <w:rsid w:val="00F77958"/>
    <w:rsid w:val="00F77AE0"/>
    <w:rsid w:val="00F80296"/>
    <w:rsid w:val="00F80E5C"/>
    <w:rsid w:val="00F80FCD"/>
    <w:rsid w:val="00F81137"/>
    <w:rsid w:val="00F816D8"/>
    <w:rsid w:val="00F818F7"/>
    <w:rsid w:val="00F81C43"/>
    <w:rsid w:val="00F81F20"/>
    <w:rsid w:val="00F82205"/>
    <w:rsid w:val="00F82914"/>
    <w:rsid w:val="00F82AFD"/>
    <w:rsid w:val="00F831A1"/>
    <w:rsid w:val="00F838E5"/>
    <w:rsid w:val="00F83DD8"/>
    <w:rsid w:val="00F84058"/>
    <w:rsid w:val="00F84D3C"/>
    <w:rsid w:val="00F84FD3"/>
    <w:rsid w:val="00F8589E"/>
    <w:rsid w:val="00F86434"/>
    <w:rsid w:val="00F86622"/>
    <w:rsid w:val="00F866DE"/>
    <w:rsid w:val="00F86A02"/>
    <w:rsid w:val="00F86BEB"/>
    <w:rsid w:val="00F872A2"/>
    <w:rsid w:val="00F877B4"/>
    <w:rsid w:val="00F9046E"/>
    <w:rsid w:val="00F90500"/>
    <w:rsid w:val="00F90569"/>
    <w:rsid w:val="00F907DB"/>
    <w:rsid w:val="00F91139"/>
    <w:rsid w:val="00F912A5"/>
    <w:rsid w:val="00F912D2"/>
    <w:rsid w:val="00F91909"/>
    <w:rsid w:val="00F91E5D"/>
    <w:rsid w:val="00F920F1"/>
    <w:rsid w:val="00F92434"/>
    <w:rsid w:val="00F936B1"/>
    <w:rsid w:val="00F938C1"/>
    <w:rsid w:val="00F93E07"/>
    <w:rsid w:val="00F93F08"/>
    <w:rsid w:val="00F94CE5"/>
    <w:rsid w:val="00F94CED"/>
    <w:rsid w:val="00F94E6F"/>
    <w:rsid w:val="00F95185"/>
    <w:rsid w:val="00F957C2"/>
    <w:rsid w:val="00F9609E"/>
    <w:rsid w:val="00F966AE"/>
    <w:rsid w:val="00F96A4C"/>
    <w:rsid w:val="00F96EC5"/>
    <w:rsid w:val="00F9718E"/>
    <w:rsid w:val="00F97476"/>
    <w:rsid w:val="00F97685"/>
    <w:rsid w:val="00F97764"/>
    <w:rsid w:val="00F97C5F"/>
    <w:rsid w:val="00F97C85"/>
    <w:rsid w:val="00FA0AE1"/>
    <w:rsid w:val="00FA107D"/>
    <w:rsid w:val="00FA108E"/>
    <w:rsid w:val="00FA197E"/>
    <w:rsid w:val="00FA1BF3"/>
    <w:rsid w:val="00FA2353"/>
    <w:rsid w:val="00FA23EF"/>
    <w:rsid w:val="00FA28CB"/>
    <w:rsid w:val="00FA2CEE"/>
    <w:rsid w:val="00FA2EB9"/>
    <w:rsid w:val="00FA318C"/>
    <w:rsid w:val="00FA330C"/>
    <w:rsid w:val="00FA3399"/>
    <w:rsid w:val="00FA3B0E"/>
    <w:rsid w:val="00FA3C1C"/>
    <w:rsid w:val="00FA3F16"/>
    <w:rsid w:val="00FA47AE"/>
    <w:rsid w:val="00FA48E9"/>
    <w:rsid w:val="00FA4937"/>
    <w:rsid w:val="00FA4B11"/>
    <w:rsid w:val="00FA4C08"/>
    <w:rsid w:val="00FA5266"/>
    <w:rsid w:val="00FA543F"/>
    <w:rsid w:val="00FA550D"/>
    <w:rsid w:val="00FA5870"/>
    <w:rsid w:val="00FA5BA2"/>
    <w:rsid w:val="00FA5CDC"/>
    <w:rsid w:val="00FA5EFB"/>
    <w:rsid w:val="00FA5FDF"/>
    <w:rsid w:val="00FA600F"/>
    <w:rsid w:val="00FA64EC"/>
    <w:rsid w:val="00FA6C1E"/>
    <w:rsid w:val="00FA6D50"/>
    <w:rsid w:val="00FA6E6F"/>
    <w:rsid w:val="00FA714C"/>
    <w:rsid w:val="00FA75EB"/>
    <w:rsid w:val="00FA785B"/>
    <w:rsid w:val="00FB0102"/>
    <w:rsid w:val="00FB05E1"/>
    <w:rsid w:val="00FB0F8F"/>
    <w:rsid w:val="00FB100C"/>
    <w:rsid w:val="00FB11D1"/>
    <w:rsid w:val="00FB12C2"/>
    <w:rsid w:val="00FB146D"/>
    <w:rsid w:val="00FB14C5"/>
    <w:rsid w:val="00FB18FB"/>
    <w:rsid w:val="00FB1A3C"/>
    <w:rsid w:val="00FB1A64"/>
    <w:rsid w:val="00FB1A8C"/>
    <w:rsid w:val="00FB207B"/>
    <w:rsid w:val="00FB3336"/>
    <w:rsid w:val="00FB334A"/>
    <w:rsid w:val="00FB36BA"/>
    <w:rsid w:val="00FB4CBF"/>
    <w:rsid w:val="00FB4D75"/>
    <w:rsid w:val="00FB4DCC"/>
    <w:rsid w:val="00FB5550"/>
    <w:rsid w:val="00FB583E"/>
    <w:rsid w:val="00FB5944"/>
    <w:rsid w:val="00FB5ACD"/>
    <w:rsid w:val="00FB65AF"/>
    <w:rsid w:val="00FB681D"/>
    <w:rsid w:val="00FB6B17"/>
    <w:rsid w:val="00FB6C5A"/>
    <w:rsid w:val="00FB6EFA"/>
    <w:rsid w:val="00FB6F92"/>
    <w:rsid w:val="00FB6FFD"/>
    <w:rsid w:val="00FB790B"/>
    <w:rsid w:val="00FB7C6A"/>
    <w:rsid w:val="00FB7CB4"/>
    <w:rsid w:val="00FB7EDC"/>
    <w:rsid w:val="00FB7F4F"/>
    <w:rsid w:val="00FC026E"/>
    <w:rsid w:val="00FC0FD7"/>
    <w:rsid w:val="00FC11B2"/>
    <w:rsid w:val="00FC122D"/>
    <w:rsid w:val="00FC17B7"/>
    <w:rsid w:val="00FC26D0"/>
    <w:rsid w:val="00FC2D19"/>
    <w:rsid w:val="00FC337A"/>
    <w:rsid w:val="00FC4102"/>
    <w:rsid w:val="00FC43EE"/>
    <w:rsid w:val="00FC48B4"/>
    <w:rsid w:val="00FC4B0E"/>
    <w:rsid w:val="00FC4C48"/>
    <w:rsid w:val="00FC4E57"/>
    <w:rsid w:val="00FC4FCB"/>
    <w:rsid w:val="00FC4FD1"/>
    <w:rsid w:val="00FC5124"/>
    <w:rsid w:val="00FC5692"/>
    <w:rsid w:val="00FC5829"/>
    <w:rsid w:val="00FC5E72"/>
    <w:rsid w:val="00FC5EEA"/>
    <w:rsid w:val="00FC60C9"/>
    <w:rsid w:val="00FC62D3"/>
    <w:rsid w:val="00FC6386"/>
    <w:rsid w:val="00FC6665"/>
    <w:rsid w:val="00FC6E70"/>
    <w:rsid w:val="00FC6FFE"/>
    <w:rsid w:val="00FC7071"/>
    <w:rsid w:val="00FC73FF"/>
    <w:rsid w:val="00FC787C"/>
    <w:rsid w:val="00FC7B06"/>
    <w:rsid w:val="00FC7F8C"/>
    <w:rsid w:val="00FD0F53"/>
    <w:rsid w:val="00FD101C"/>
    <w:rsid w:val="00FD155A"/>
    <w:rsid w:val="00FD22EE"/>
    <w:rsid w:val="00FD297E"/>
    <w:rsid w:val="00FD3269"/>
    <w:rsid w:val="00FD33D7"/>
    <w:rsid w:val="00FD3400"/>
    <w:rsid w:val="00FD3447"/>
    <w:rsid w:val="00FD355C"/>
    <w:rsid w:val="00FD38FF"/>
    <w:rsid w:val="00FD39C1"/>
    <w:rsid w:val="00FD4731"/>
    <w:rsid w:val="00FD4EF9"/>
    <w:rsid w:val="00FD52FB"/>
    <w:rsid w:val="00FD59D5"/>
    <w:rsid w:val="00FD5D7F"/>
    <w:rsid w:val="00FD6313"/>
    <w:rsid w:val="00FD65DB"/>
    <w:rsid w:val="00FD663B"/>
    <w:rsid w:val="00FD7016"/>
    <w:rsid w:val="00FD7352"/>
    <w:rsid w:val="00FD75E7"/>
    <w:rsid w:val="00FD78FE"/>
    <w:rsid w:val="00FD7F6C"/>
    <w:rsid w:val="00FE0A27"/>
    <w:rsid w:val="00FE0AFE"/>
    <w:rsid w:val="00FE11C9"/>
    <w:rsid w:val="00FE132A"/>
    <w:rsid w:val="00FE14DB"/>
    <w:rsid w:val="00FE1B32"/>
    <w:rsid w:val="00FE1B4B"/>
    <w:rsid w:val="00FE200D"/>
    <w:rsid w:val="00FE202F"/>
    <w:rsid w:val="00FE20B8"/>
    <w:rsid w:val="00FE24F3"/>
    <w:rsid w:val="00FE2866"/>
    <w:rsid w:val="00FE2B34"/>
    <w:rsid w:val="00FE3520"/>
    <w:rsid w:val="00FE35CF"/>
    <w:rsid w:val="00FE436A"/>
    <w:rsid w:val="00FE43FC"/>
    <w:rsid w:val="00FE4BFC"/>
    <w:rsid w:val="00FE4E5C"/>
    <w:rsid w:val="00FE4E87"/>
    <w:rsid w:val="00FE5586"/>
    <w:rsid w:val="00FE5CDC"/>
    <w:rsid w:val="00FE5D1E"/>
    <w:rsid w:val="00FE5D9A"/>
    <w:rsid w:val="00FE626E"/>
    <w:rsid w:val="00FE653F"/>
    <w:rsid w:val="00FE683F"/>
    <w:rsid w:val="00FE7320"/>
    <w:rsid w:val="00FE7A22"/>
    <w:rsid w:val="00FF01C8"/>
    <w:rsid w:val="00FF04B6"/>
    <w:rsid w:val="00FF0981"/>
    <w:rsid w:val="00FF0AB0"/>
    <w:rsid w:val="00FF155D"/>
    <w:rsid w:val="00FF1CDA"/>
    <w:rsid w:val="00FF1DDD"/>
    <w:rsid w:val="00FF1EF5"/>
    <w:rsid w:val="00FF23B2"/>
    <w:rsid w:val="00FF28AC"/>
    <w:rsid w:val="00FF28C8"/>
    <w:rsid w:val="00FF2B4D"/>
    <w:rsid w:val="00FF3509"/>
    <w:rsid w:val="00FF3971"/>
    <w:rsid w:val="00FF39CF"/>
    <w:rsid w:val="00FF3F7C"/>
    <w:rsid w:val="00FF441B"/>
    <w:rsid w:val="00FF4D32"/>
    <w:rsid w:val="00FF4DF5"/>
    <w:rsid w:val="00FF54B3"/>
    <w:rsid w:val="00FF5501"/>
    <w:rsid w:val="00FF56E5"/>
    <w:rsid w:val="00FF58C2"/>
    <w:rsid w:val="00FF6385"/>
    <w:rsid w:val="00FF6F17"/>
    <w:rsid w:val="00FF7DB7"/>
    <w:rsid w:val="00FF7F62"/>
    <w:rsid w:val="0103CE39"/>
    <w:rsid w:val="010539A5"/>
    <w:rsid w:val="0107C271"/>
    <w:rsid w:val="011E6F03"/>
    <w:rsid w:val="01274D0B"/>
    <w:rsid w:val="013172E3"/>
    <w:rsid w:val="01391DE8"/>
    <w:rsid w:val="01403A7D"/>
    <w:rsid w:val="01471762"/>
    <w:rsid w:val="014DBDC3"/>
    <w:rsid w:val="014E9FA7"/>
    <w:rsid w:val="01502D4B"/>
    <w:rsid w:val="015BC168"/>
    <w:rsid w:val="015F5296"/>
    <w:rsid w:val="015FA048"/>
    <w:rsid w:val="0174C9F7"/>
    <w:rsid w:val="017B258A"/>
    <w:rsid w:val="019314FC"/>
    <w:rsid w:val="019FE650"/>
    <w:rsid w:val="01BC6966"/>
    <w:rsid w:val="01BF1F78"/>
    <w:rsid w:val="01C7EC82"/>
    <w:rsid w:val="01CA1582"/>
    <w:rsid w:val="01CFDC7F"/>
    <w:rsid w:val="01DA8D2C"/>
    <w:rsid w:val="01E37DEC"/>
    <w:rsid w:val="01E7E90D"/>
    <w:rsid w:val="01EEB925"/>
    <w:rsid w:val="020977EC"/>
    <w:rsid w:val="020DFB66"/>
    <w:rsid w:val="020E7C6C"/>
    <w:rsid w:val="020E808A"/>
    <w:rsid w:val="021A0403"/>
    <w:rsid w:val="021ABE63"/>
    <w:rsid w:val="021E0922"/>
    <w:rsid w:val="021FD9F4"/>
    <w:rsid w:val="02223570"/>
    <w:rsid w:val="0226261D"/>
    <w:rsid w:val="023103A1"/>
    <w:rsid w:val="023D99BB"/>
    <w:rsid w:val="02415612"/>
    <w:rsid w:val="0248F64F"/>
    <w:rsid w:val="0250093C"/>
    <w:rsid w:val="025B7F81"/>
    <w:rsid w:val="025FC1BE"/>
    <w:rsid w:val="02647AFF"/>
    <w:rsid w:val="026D177D"/>
    <w:rsid w:val="0270E10E"/>
    <w:rsid w:val="027DCAFC"/>
    <w:rsid w:val="0282B740"/>
    <w:rsid w:val="028538B1"/>
    <w:rsid w:val="028548A9"/>
    <w:rsid w:val="028631E9"/>
    <w:rsid w:val="02893E81"/>
    <w:rsid w:val="029A8439"/>
    <w:rsid w:val="02A7173A"/>
    <w:rsid w:val="02A9E406"/>
    <w:rsid w:val="02BA6BBA"/>
    <w:rsid w:val="02BCB21A"/>
    <w:rsid w:val="02CA2613"/>
    <w:rsid w:val="02D4EE49"/>
    <w:rsid w:val="02DCCCF5"/>
    <w:rsid w:val="02F0D1DD"/>
    <w:rsid w:val="0303C086"/>
    <w:rsid w:val="03047448"/>
    <w:rsid w:val="0305AD5A"/>
    <w:rsid w:val="030B46C1"/>
    <w:rsid w:val="03149757"/>
    <w:rsid w:val="031D35B4"/>
    <w:rsid w:val="031F7E24"/>
    <w:rsid w:val="03297F82"/>
    <w:rsid w:val="032D00BF"/>
    <w:rsid w:val="032DBB81"/>
    <w:rsid w:val="0339F549"/>
    <w:rsid w:val="034691D8"/>
    <w:rsid w:val="034A2959"/>
    <w:rsid w:val="03508E49"/>
    <w:rsid w:val="03580D3F"/>
    <w:rsid w:val="035A3649"/>
    <w:rsid w:val="03699C72"/>
    <w:rsid w:val="036B9B1E"/>
    <w:rsid w:val="037601B6"/>
    <w:rsid w:val="038EDF00"/>
    <w:rsid w:val="0396C9D5"/>
    <w:rsid w:val="039B26F0"/>
    <w:rsid w:val="03A121BB"/>
    <w:rsid w:val="03B809BC"/>
    <w:rsid w:val="03BE6473"/>
    <w:rsid w:val="03BFAE1B"/>
    <w:rsid w:val="03C30742"/>
    <w:rsid w:val="03C61805"/>
    <w:rsid w:val="03C70B55"/>
    <w:rsid w:val="03C72906"/>
    <w:rsid w:val="03C89F2E"/>
    <w:rsid w:val="03CB5BEA"/>
    <w:rsid w:val="03D9F21E"/>
    <w:rsid w:val="03E6AB0A"/>
    <w:rsid w:val="03F65BA4"/>
    <w:rsid w:val="03F9F9B7"/>
    <w:rsid w:val="03FFADCF"/>
    <w:rsid w:val="040551E3"/>
    <w:rsid w:val="0407C40F"/>
    <w:rsid w:val="040C8281"/>
    <w:rsid w:val="0410CF59"/>
    <w:rsid w:val="041300BF"/>
    <w:rsid w:val="041418C6"/>
    <w:rsid w:val="042261E1"/>
    <w:rsid w:val="042B691F"/>
    <w:rsid w:val="042E6B72"/>
    <w:rsid w:val="0430FFA6"/>
    <w:rsid w:val="0431EC7B"/>
    <w:rsid w:val="043F388A"/>
    <w:rsid w:val="0440EF0A"/>
    <w:rsid w:val="0441FC3C"/>
    <w:rsid w:val="04528C29"/>
    <w:rsid w:val="046EB793"/>
    <w:rsid w:val="0470BEAA"/>
    <w:rsid w:val="0477F6A7"/>
    <w:rsid w:val="047D0414"/>
    <w:rsid w:val="047FAC14"/>
    <w:rsid w:val="048032D6"/>
    <w:rsid w:val="04892F7C"/>
    <w:rsid w:val="04910F89"/>
    <w:rsid w:val="04940FCD"/>
    <w:rsid w:val="04AD2DCE"/>
    <w:rsid w:val="04AE7BC1"/>
    <w:rsid w:val="04B1660F"/>
    <w:rsid w:val="04B6D129"/>
    <w:rsid w:val="04BEA37C"/>
    <w:rsid w:val="04C0C7BB"/>
    <w:rsid w:val="04C1860A"/>
    <w:rsid w:val="04C63753"/>
    <w:rsid w:val="04DD9E47"/>
    <w:rsid w:val="04E0CB80"/>
    <w:rsid w:val="04E6551B"/>
    <w:rsid w:val="04E8967C"/>
    <w:rsid w:val="04EAD3B8"/>
    <w:rsid w:val="04EE71A9"/>
    <w:rsid w:val="0501383D"/>
    <w:rsid w:val="0506C76F"/>
    <w:rsid w:val="050F20C4"/>
    <w:rsid w:val="051025E7"/>
    <w:rsid w:val="0527E823"/>
    <w:rsid w:val="053E4794"/>
    <w:rsid w:val="053E8570"/>
    <w:rsid w:val="057B414B"/>
    <w:rsid w:val="0584A4C7"/>
    <w:rsid w:val="0584BF37"/>
    <w:rsid w:val="058980D6"/>
    <w:rsid w:val="058AD0A9"/>
    <w:rsid w:val="05A2014B"/>
    <w:rsid w:val="05A80531"/>
    <w:rsid w:val="05AA59A6"/>
    <w:rsid w:val="05B4474B"/>
    <w:rsid w:val="05B61045"/>
    <w:rsid w:val="05B82765"/>
    <w:rsid w:val="05BD1465"/>
    <w:rsid w:val="05C14FE6"/>
    <w:rsid w:val="05C456BF"/>
    <w:rsid w:val="05CAF7B4"/>
    <w:rsid w:val="05CB7BC6"/>
    <w:rsid w:val="05CF5E7D"/>
    <w:rsid w:val="05D1C0E2"/>
    <w:rsid w:val="05DA0CC7"/>
    <w:rsid w:val="05DCEF30"/>
    <w:rsid w:val="05F389E8"/>
    <w:rsid w:val="0601CFE2"/>
    <w:rsid w:val="0608D2A1"/>
    <w:rsid w:val="060D7071"/>
    <w:rsid w:val="06182A40"/>
    <w:rsid w:val="061B7614"/>
    <w:rsid w:val="06280F4E"/>
    <w:rsid w:val="06295EA5"/>
    <w:rsid w:val="062F7AFE"/>
    <w:rsid w:val="06306A97"/>
    <w:rsid w:val="0630F517"/>
    <w:rsid w:val="063885D6"/>
    <w:rsid w:val="063A616E"/>
    <w:rsid w:val="06499DF2"/>
    <w:rsid w:val="064A3BBB"/>
    <w:rsid w:val="064D6429"/>
    <w:rsid w:val="06591BEA"/>
    <w:rsid w:val="06737663"/>
    <w:rsid w:val="067499EC"/>
    <w:rsid w:val="0675AB75"/>
    <w:rsid w:val="067A1DC7"/>
    <w:rsid w:val="067F0876"/>
    <w:rsid w:val="06828C3F"/>
    <w:rsid w:val="068E7E50"/>
    <w:rsid w:val="068F03BC"/>
    <w:rsid w:val="069CB397"/>
    <w:rsid w:val="069F00A9"/>
    <w:rsid w:val="069F0E4F"/>
    <w:rsid w:val="06B4B0C8"/>
    <w:rsid w:val="06C1AF7F"/>
    <w:rsid w:val="06D18CAC"/>
    <w:rsid w:val="06DC43CC"/>
    <w:rsid w:val="06DD9575"/>
    <w:rsid w:val="06E5246D"/>
    <w:rsid w:val="06EA8BB6"/>
    <w:rsid w:val="06EAD734"/>
    <w:rsid w:val="06ED8EF1"/>
    <w:rsid w:val="06F00555"/>
    <w:rsid w:val="06F901FB"/>
    <w:rsid w:val="07029C7E"/>
    <w:rsid w:val="071D169F"/>
    <w:rsid w:val="071F5C9A"/>
    <w:rsid w:val="072281BB"/>
    <w:rsid w:val="07228A49"/>
    <w:rsid w:val="072512D1"/>
    <w:rsid w:val="0743A876"/>
    <w:rsid w:val="0754FA7C"/>
    <w:rsid w:val="07593028"/>
    <w:rsid w:val="075AC611"/>
    <w:rsid w:val="07694624"/>
    <w:rsid w:val="07730A94"/>
    <w:rsid w:val="077602B7"/>
    <w:rsid w:val="077D8CB6"/>
    <w:rsid w:val="078DE6EC"/>
    <w:rsid w:val="0796C109"/>
    <w:rsid w:val="0799550C"/>
    <w:rsid w:val="079D0BE6"/>
    <w:rsid w:val="07B385A6"/>
    <w:rsid w:val="07B784EF"/>
    <w:rsid w:val="07C120C5"/>
    <w:rsid w:val="07C1391B"/>
    <w:rsid w:val="07C6F977"/>
    <w:rsid w:val="07C8DC99"/>
    <w:rsid w:val="07C9ADEE"/>
    <w:rsid w:val="07D631CF"/>
    <w:rsid w:val="07DDFD27"/>
    <w:rsid w:val="07E20956"/>
    <w:rsid w:val="07E56918"/>
    <w:rsid w:val="07E59FC3"/>
    <w:rsid w:val="07F41AD6"/>
    <w:rsid w:val="07FF35B9"/>
    <w:rsid w:val="08119673"/>
    <w:rsid w:val="082193B3"/>
    <w:rsid w:val="08252260"/>
    <w:rsid w:val="082D54D9"/>
    <w:rsid w:val="08355CCA"/>
    <w:rsid w:val="0839D75C"/>
    <w:rsid w:val="08434134"/>
    <w:rsid w:val="084ABA39"/>
    <w:rsid w:val="084BEA7F"/>
    <w:rsid w:val="08517B00"/>
    <w:rsid w:val="08553842"/>
    <w:rsid w:val="086556C4"/>
    <w:rsid w:val="086CFC70"/>
    <w:rsid w:val="0875E883"/>
    <w:rsid w:val="087B493E"/>
    <w:rsid w:val="087FA08C"/>
    <w:rsid w:val="088237B0"/>
    <w:rsid w:val="0882877E"/>
    <w:rsid w:val="08829552"/>
    <w:rsid w:val="0885E5E2"/>
    <w:rsid w:val="0891511F"/>
    <w:rsid w:val="08A4FE13"/>
    <w:rsid w:val="08A648BC"/>
    <w:rsid w:val="08A70347"/>
    <w:rsid w:val="08ACCC13"/>
    <w:rsid w:val="08C940A4"/>
    <w:rsid w:val="08CBCE2D"/>
    <w:rsid w:val="08CD32A9"/>
    <w:rsid w:val="08D99420"/>
    <w:rsid w:val="08DEF0FD"/>
    <w:rsid w:val="08DF63FF"/>
    <w:rsid w:val="08EFA814"/>
    <w:rsid w:val="08F0A296"/>
    <w:rsid w:val="08FD60F3"/>
    <w:rsid w:val="08FF4981"/>
    <w:rsid w:val="0904C884"/>
    <w:rsid w:val="090F4482"/>
    <w:rsid w:val="09114C38"/>
    <w:rsid w:val="091796AF"/>
    <w:rsid w:val="091C335A"/>
    <w:rsid w:val="091D6E99"/>
    <w:rsid w:val="092909E1"/>
    <w:rsid w:val="09345BC7"/>
    <w:rsid w:val="093E03B0"/>
    <w:rsid w:val="093E1952"/>
    <w:rsid w:val="093EC8A2"/>
    <w:rsid w:val="094F116D"/>
    <w:rsid w:val="09527960"/>
    <w:rsid w:val="09668524"/>
    <w:rsid w:val="096F1719"/>
    <w:rsid w:val="097481EF"/>
    <w:rsid w:val="09752DD9"/>
    <w:rsid w:val="09807017"/>
    <w:rsid w:val="09817024"/>
    <w:rsid w:val="098CE8BF"/>
    <w:rsid w:val="0997F2A0"/>
    <w:rsid w:val="099D55B3"/>
    <w:rsid w:val="099FF9B8"/>
    <w:rsid w:val="09A1738B"/>
    <w:rsid w:val="09A18993"/>
    <w:rsid w:val="09ACB4BF"/>
    <w:rsid w:val="09AFC9B1"/>
    <w:rsid w:val="09C0F2C1"/>
    <w:rsid w:val="09C2F6FF"/>
    <w:rsid w:val="09C31338"/>
    <w:rsid w:val="09C3D4BC"/>
    <w:rsid w:val="09CABED8"/>
    <w:rsid w:val="09DC6A8C"/>
    <w:rsid w:val="09DF25B1"/>
    <w:rsid w:val="09E34283"/>
    <w:rsid w:val="09F10E2B"/>
    <w:rsid w:val="09F8ED34"/>
    <w:rsid w:val="0A0F8DD5"/>
    <w:rsid w:val="0A10D9F4"/>
    <w:rsid w:val="0A113B06"/>
    <w:rsid w:val="0A160287"/>
    <w:rsid w:val="0A1F5726"/>
    <w:rsid w:val="0A204053"/>
    <w:rsid w:val="0A252FB3"/>
    <w:rsid w:val="0A27A617"/>
    <w:rsid w:val="0A2DEFE6"/>
    <w:rsid w:val="0A2F939D"/>
    <w:rsid w:val="0A3065DD"/>
    <w:rsid w:val="0A37713E"/>
    <w:rsid w:val="0A38D844"/>
    <w:rsid w:val="0A3BC292"/>
    <w:rsid w:val="0A455CE3"/>
    <w:rsid w:val="0A4BC52A"/>
    <w:rsid w:val="0A5F3346"/>
    <w:rsid w:val="0A600108"/>
    <w:rsid w:val="0A6E8107"/>
    <w:rsid w:val="0A761B45"/>
    <w:rsid w:val="0A789584"/>
    <w:rsid w:val="0A7D9158"/>
    <w:rsid w:val="0A801B08"/>
    <w:rsid w:val="0A8082EC"/>
    <w:rsid w:val="0A814F75"/>
    <w:rsid w:val="0A871EF2"/>
    <w:rsid w:val="0A8C72F7"/>
    <w:rsid w:val="0A9DEF9E"/>
    <w:rsid w:val="0A9EA6DC"/>
    <w:rsid w:val="0AAC01AE"/>
    <w:rsid w:val="0AAD3C3C"/>
    <w:rsid w:val="0AB833BE"/>
    <w:rsid w:val="0AD13288"/>
    <w:rsid w:val="0AE51485"/>
    <w:rsid w:val="0AEFEF6F"/>
    <w:rsid w:val="0AFE9A39"/>
    <w:rsid w:val="0B0028B8"/>
    <w:rsid w:val="0B02B802"/>
    <w:rsid w:val="0B11A762"/>
    <w:rsid w:val="0B14E04C"/>
    <w:rsid w:val="0B16499E"/>
    <w:rsid w:val="0B18D37E"/>
    <w:rsid w:val="0B18F2A6"/>
    <w:rsid w:val="0B1D5E92"/>
    <w:rsid w:val="0B281BED"/>
    <w:rsid w:val="0B284E31"/>
    <w:rsid w:val="0B2BD7F2"/>
    <w:rsid w:val="0B395FB6"/>
    <w:rsid w:val="0B3C4277"/>
    <w:rsid w:val="0B40023D"/>
    <w:rsid w:val="0B40807C"/>
    <w:rsid w:val="0B4759F7"/>
    <w:rsid w:val="0B4D2EFF"/>
    <w:rsid w:val="0B4F8C59"/>
    <w:rsid w:val="0B508DCC"/>
    <w:rsid w:val="0B55969F"/>
    <w:rsid w:val="0B566264"/>
    <w:rsid w:val="0B5AA38D"/>
    <w:rsid w:val="0B5AAB73"/>
    <w:rsid w:val="0B5D5BEC"/>
    <w:rsid w:val="0B6549F7"/>
    <w:rsid w:val="0B6806AC"/>
    <w:rsid w:val="0B684715"/>
    <w:rsid w:val="0B724B3F"/>
    <w:rsid w:val="0B834340"/>
    <w:rsid w:val="0B88FF23"/>
    <w:rsid w:val="0B8AEB6B"/>
    <w:rsid w:val="0B9437E3"/>
    <w:rsid w:val="0B95C9DF"/>
    <w:rsid w:val="0BA2DAB0"/>
    <w:rsid w:val="0BA7BCBF"/>
    <w:rsid w:val="0BAD44EE"/>
    <w:rsid w:val="0BBCF229"/>
    <w:rsid w:val="0BBF2F78"/>
    <w:rsid w:val="0BC4EB3A"/>
    <w:rsid w:val="0BD5BCDB"/>
    <w:rsid w:val="0BD65702"/>
    <w:rsid w:val="0BE964B9"/>
    <w:rsid w:val="0BF52AA2"/>
    <w:rsid w:val="0BF9C098"/>
    <w:rsid w:val="0C0640B2"/>
    <w:rsid w:val="0C0A6854"/>
    <w:rsid w:val="0C0F86FF"/>
    <w:rsid w:val="0C123A1D"/>
    <w:rsid w:val="0C12D666"/>
    <w:rsid w:val="0C13FBDF"/>
    <w:rsid w:val="0C1BCE99"/>
    <w:rsid w:val="0C1E1CE6"/>
    <w:rsid w:val="0C264053"/>
    <w:rsid w:val="0C330B63"/>
    <w:rsid w:val="0C358ADB"/>
    <w:rsid w:val="0C36FA68"/>
    <w:rsid w:val="0C408C50"/>
    <w:rsid w:val="0C5310DF"/>
    <w:rsid w:val="0C53BEC1"/>
    <w:rsid w:val="0C59D02B"/>
    <w:rsid w:val="0C676F8B"/>
    <w:rsid w:val="0C6A219F"/>
    <w:rsid w:val="0C75CA95"/>
    <w:rsid w:val="0C79EE4A"/>
    <w:rsid w:val="0C84293F"/>
    <w:rsid w:val="0C9316A7"/>
    <w:rsid w:val="0C9B57EB"/>
    <w:rsid w:val="0CA1EFED"/>
    <w:rsid w:val="0CA56900"/>
    <w:rsid w:val="0CA7D7FD"/>
    <w:rsid w:val="0CABDD2C"/>
    <w:rsid w:val="0CB66D7C"/>
    <w:rsid w:val="0CB7ED89"/>
    <w:rsid w:val="0CC2EB75"/>
    <w:rsid w:val="0CC3DF15"/>
    <w:rsid w:val="0CC9D4F6"/>
    <w:rsid w:val="0CCB66F9"/>
    <w:rsid w:val="0CD0471B"/>
    <w:rsid w:val="0CD48C5E"/>
    <w:rsid w:val="0CDA71A5"/>
    <w:rsid w:val="0CDFF8E8"/>
    <w:rsid w:val="0CE94652"/>
    <w:rsid w:val="0CF02951"/>
    <w:rsid w:val="0CFAF7C5"/>
    <w:rsid w:val="0D01C507"/>
    <w:rsid w:val="0D01D21F"/>
    <w:rsid w:val="0D131870"/>
    <w:rsid w:val="0D1FA4E7"/>
    <w:rsid w:val="0D32E29A"/>
    <w:rsid w:val="0D375EBE"/>
    <w:rsid w:val="0D3EFB86"/>
    <w:rsid w:val="0D3FEEB4"/>
    <w:rsid w:val="0D4BA0FB"/>
    <w:rsid w:val="0D4F4853"/>
    <w:rsid w:val="0D59CB2F"/>
    <w:rsid w:val="0D5AAAA8"/>
    <w:rsid w:val="0D5CA36F"/>
    <w:rsid w:val="0D6ECF44"/>
    <w:rsid w:val="0D7BDD9D"/>
    <w:rsid w:val="0D949F7A"/>
    <w:rsid w:val="0D965F1F"/>
    <w:rsid w:val="0DC01374"/>
    <w:rsid w:val="0DC8E490"/>
    <w:rsid w:val="0DD5C044"/>
    <w:rsid w:val="0DE37FEE"/>
    <w:rsid w:val="0DE64AF2"/>
    <w:rsid w:val="0E02E658"/>
    <w:rsid w:val="0E0D82DB"/>
    <w:rsid w:val="0E21A685"/>
    <w:rsid w:val="0E228393"/>
    <w:rsid w:val="0E272EFD"/>
    <w:rsid w:val="0E2A5362"/>
    <w:rsid w:val="0E355982"/>
    <w:rsid w:val="0E39BD78"/>
    <w:rsid w:val="0E425E8E"/>
    <w:rsid w:val="0E4AF16D"/>
    <w:rsid w:val="0E4C89D4"/>
    <w:rsid w:val="0E4F9D38"/>
    <w:rsid w:val="0E5E22A0"/>
    <w:rsid w:val="0E65A0F5"/>
    <w:rsid w:val="0E72086C"/>
    <w:rsid w:val="0E7B9476"/>
    <w:rsid w:val="0E7E8930"/>
    <w:rsid w:val="0E7F9085"/>
    <w:rsid w:val="0E87A48A"/>
    <w:rsid w:val="0E92CA90"/>
    <w:rsid w:val="0E9A3039"/>
    <w:rsid w:val="0E9F1676"/>
    <w:rsid w:val="0E9F522B"/>
    <w:rsid w:val="0EAAAA01"/>
    <w:rsid w:val="0EB3F08B"/>
    <w:rsid w:val="0EB40258"/>
    <w:rsid w:val="0EB69818"/>
    <w:rsid w:val="0EC51CD1"/>
    <w:rsid w:val="0ED0094C"/>
    <w:rsid w:val="0ED5A19C"/>
    <w:rsid w:val="0ED740C6"/>
    <w:rsid w:val="0EDB889A"/>
    <w:rsid w:val="0EDF4DB3"/>
    <w:rsid w:val="0EEC02E0"/>
    <w:rsid w:val="0F0304C0"/>
    <w:rsid w:val="0F0F37E8"/>
    <w:rsid w:val="0F140A25"/>
    <w:rsid w:val="0F1536B2"/>
    <w:rsid w:val="0F163534"/>
    <w:rsid w:val="0F17E571"/>
    <w:rsid w:val="0F2D4501"/>
    <w:rsid w:val="0F2DA86C"/>
    <w:rsid w:val="0F4BD361"/>
    <w:rsid w:val="0F4C3901"/>
    <w:rsid w:val="0F563F88"/>
    <w:rsid w:val="0F64B4F1"/>
    <w:rsid w:val="0F6CA277"/>
    <w:rsid w:val="0F75EDF1"/>
    <w:rsid w:val="0F7E21A2"/>
    <w:rsid w:val="0FACE0DF"/>
    <w:rsid w:val="0FB32340"/>
    <w:rsid w:val="0FCDA71B"/>
    <w:rsid w:val="0FD85A25"/>
    <w:rsid w:val="0FE3758E"/>
    <w:rsid w:val="0FF5F0E4"/>
    <w:rsid w:val="0FF76F30"/>
    <w:rsid w:val="0FF9F735"/>
    <w:rsid w:val="10003E30"/>
    <w:rsid w:val="1002628E"/>
    <w:rsid w:val="1003C912"/>
    <w:rsid w:val="100486F0"/>
    <w:rsid w:val="1007466F"/>
    <w:rsid w:val="101366AD"/>
    <w:rsid w:val="101BEAB0"/>
    <w:rsid w:val="101FD8E4"/>
    <w:rsid w:val="1024E89E"/>
    <w:rsid w:val="102C4B09"/>
    <w:rsid w:val="10344E4C"/>
    <w:rsid w:val="103F4F87"/>
    <w:rsid w:val="1043CCEB"/>
    <w:rsid w:val="104EF1B7"/>
    <w:rsid w:val="104F4CB9"/>
    <w:rsid w:val="10598911"/>
    <w:rsid w:val="105C8C0A"/>
    <w:rsid w:val="105FEB9E"/>
    <w:rsid w:val="1060E19F"/>
    <w:rsid w:val="106158FE"/>
    <w:rsid w:val="10621BC7"/>
    <w:rsid w:val="1062E72E"/>
    <w:rsid w:val="106C72ED"/>
    <w:rsid w:val="1071AAA2"/>
    <w:rsid w:val="1086D6B7"/>
    <w:rsid w:val="109D316A"/>
    <w:rsid w:val="10A6B9B0"/>
    <w:rsid w:val="10AF0FBC"/>
    <w:rsid w:val="10B0E400"/>
    <w:rsid w:val="10BAEF3A"/>
    <w:rsid w:val="10D0E208"/>
    <w:rsid w:val="10D15510"/>
    <w:rsid w:val="10E61E5D"/>
    <w:rsid w:val="10EA5A33"/>
    <w:rsid w:val="10F1D077"/>
    <w:rsid w:val="10F861C1"/>
    <w:rsid w:val="10FEF4A2"/>
    <w:rsid w:val="10FF8328"/>
    <w:rsid w:val="110552F6"/>
    <w:rsid w:val="110EEF76"/>
    <w:rsid w:val="1115A2A9"/>
    <w:rsid w:val="1119F203"/>
    <w:rsid w:val="111FD758"/>
    <w:rsid w:val="112370C2"/>
    <w:rsid w:val="11239FF7"/>
    <w:rsid w:val="11248BE0"/>
    <w:rsid w:val="1129114C"/>
    <w:rsid w:val="112B4722"/>
    <w:rsid w:val="112C3A97"/>
    <w:rsid w:val="112D3FF8"/>
    <w:rsid w:val="112F5409"/>
    <w:rsid w:val="11384206"/>
    <w:rsid w:val="1139F017"/>
    <w:rsid w:val="114DC54C"/>
    <w:rsid w:val="114F47BD"/>
    <w:rsid w:val="11505A07"/>
    <w:rsid w:val="11622D67"/>
    <w:rsid w:val="116E8C7A"/>
    <w:rsid w:val="118C15DF"/>
    <w:rsid w:val="119E28FD"/>
    <w:rsid w:val="11A6EA6D"/>
    <w:rsid w:val="11AABB09"/>
    <w:rsid w:val="11B6F19C"/>
    <w:rsid w:val="11D7D719"/>
    <w:rsid w:val="11DFA4B1"/>
    <w:rsid w:val="11E2D492"/>
    <w:rsid w:val="11E6D50F"/>
    <w:rsid w:val="11EF0734"/>
    <w:rsid w:val="11FC0680"/>
    <w:rsid w:val="120DD571"/>
    <w:rsid w:val="1214329E"/>
    <w:rsid w:val="12239E8F"/>
    <w:rsid w:val="1224E3D7"/>
    <w:rsid w:val="122D3604"/>
    <w:rsid w:val="122FA957"/>
    <w:rsid w:val="1232B7FC"/>
    <w:rsid w:val="1237CC3A"/>
    <w:rsid w:val="1243FE88"/>
    <w:rsid w:val="124C802E"/>
    <w:rsid w:val="125B7AFF"/>
    <w:rsid w:val="1271221A"/>
    <w:rsid w:val="1278D1C0"/>
    <w:rsid w:val="1279F560"/>
    <w:rsid w:val="12820732"/>
    <w:rsid w:val="1283C577"/>
    <w:rsid w:val="1283D9C3"/>
    <w:rsid w:val="1289575B"/>
    <w:rsid w:val="129D4DB5"/>
    <w:rsid w:val="12A1FAB8"/>
    <w:rsid w:val="12A465A7"/>
    <w:rsid w:val="12A53481"/>
    <w:rsid w:val="12B8A5AE"/>
    <w:rsid w:val="12BD0DFF"/>
    <w:rsid w:val="12BF0443"/>
    <w:rsid w:val="12C1B907"/>
    <w:rsid w:val="12C7A1C2"/>
    <w:rsid w:val="12D341E6"/>
    <w:rsid w:val="12D57B40"/>
    <w:rsid w:val="12D8935B"/>
    <w:rsid w:val="12DD7F47"/>
    <w:rsid w:val="12E37B94"/>
    <w:rsid w:val="12E74956"/>
    <w:rsid w:val="12E9B104"/>
    <w:rsid w:val="12ECF437"/>
    <w:rsid w:val="12F9D86F"/>
    <w:rsid w:val="12FEE334"/>
    <w:rsid w:val="13017965"/>
    <w:rsid w:val="130A7658"/>
    <w:rsid w:val="130AC136"/>
    <w:rsid w:val="130ADC2E"/>
    <w:rsid w:val="130F66B2"/>
    <w:rsid w:val="13123C2F"/>
    <w:rsid w:val="1312AADA"/>
    <w:rsid w:val="1317B0F9"/>
    <w:rsid w:val="1326EBD5"/>
    <w:rsid w:val="13324B33"/>
    <w:rsid w:val="1335392A"/>
    <w:rsid w:val="13371302"/>
    <w:rsid w:val="1339D94B"/>
    <w:rsid w:val="133BFF34"/>
    <w:rsid w:val="133CC8E4"/>
    <w:rsid w:val="133FA34C"/>
    <w:rsid w:val="1342ACE1"/>
    <w:rsid w:val="134B4606"/>
    <w:rsid w:val="134EA42D"/>
    <w:rsid w:val="135301A8"/>
    <w:rsid w:val="135D6EB0"/>
    <w:rsid w:val="1363660C"/>
    <w:rsid w:val="136D88B0"/>
    <w:rsid w:val="136E079E"/>
    <w:rsid w:val="13734E62"/>
    <w:rsid w:val="137FC3DC"/>
    <w:rsid w:val="138B4BFB"/>
    <w:rsid w:val="138D6474"/>
    <w:rsid w:val="138E11BF"/>
    <w:rsid w:val="1390759C"/>
    <w:rsid w:val="13943347"/>
    <w:rsid w:val="1395A6D0"/>
    <w:rsid w:val="1397AD99"/>
    <w:rsid w:val="1397EAE9"/>
    <w:rsid w:val="139BD612"/>
    <w:rsid w:val="13C0C31B"/>
    <w:rsid w:val="13C2A5CE"/>
    <w:rsid w:val="13CC11F9"/>
    <w:rsid w:val="13CD44B0"/>
    <w:rsid w:val="13CDCA5E"/>
    <w:rsid w:val="13D4710A"/>
    <w:rsid w:val="13D6937C"/>
    <w:rsid w:val="13D9BBC0"/>
    <w:rsid w:val="141243E1"/>
    <w:rsid w:val="141347F5"/>
    <w:rsid w:val="14169190"/>
    <w:rsid w:val="1416E3CB"/>
    <w:rsid w:val="141A8703"/>
    <w:rsid w:val="1425617E"/>
    <w:rsid w:val="142A4024"/>
    <w:rsid w:val="142CF5E1"/>
    <w:rsid w:val="142D38E5"/>
    <w:rsid w:val="14322DAA"/>
    <w:rsid w:val="1435F609"/>
    <w:rsid w:val="1437ACAD"/>
    <w:rsid w:val="1440139A"/>
    <w:rsid w:val="14415A18"/>
    <w:rsid w:val="14459FE0"/>
    <w:rsid w:val="1447C844"/>
    <w:rsid w:val="144AEA53"/>
    <w:rsid w:val="14504C47"/>
    <w:rsid w:val="145192C5"/>
    <w:rsid w:val="1463EEE1"/>
    <w:rsid w:val="14772499"/>
    <w:rsid w:val="14778ACF"/>
    <w:rsid w:val="14791053"/>
    <w:rsid w:val="147C139A"/>
    <w:rsid w:val="147CC45F"/>
    <w:rsid w:val="1498FC5A"/>
    <w:rsid w:val="149AB395"/>
    <w:rsid w:val="149C3D55"/>
    <w:rsid w:val="149CE265"/>
    <w:rsid w:val="14A2DD00"/>
    <w:rsid w:val="14A6AC8F"/>
    <w:rsid w:val="14AABE00"/>
    <w:rsid w:val="14BCD7B9"/>
    <w:rsid w:val="14DDC2B1"/>
    <w:rsid w:val="14E6E483"/>
    <w:rsid w:val="14E7D3EF"/>
    <w:rsid w:val="14F48597"/>
    <w:rsid w:val="14F92A79"/>
    <w:rsid w:val="15001F83"/>
    <w:rsid w:val="150E9440"/>
    <w:rsid w:val="151A7554"/>
    <w:rsid w:val="151B35F8"/>
    <w:rsid w:val="151BF337"/>
    <w:rsid w:val="152262DA"/>
    <w:rsid w:val="15287549"/>
    <w:rsid w:val="15516F02"/>
    <w:rsid w:val="155E301A"/>
    <w:rsid w:val="155ECA2C"/>
    <w:rsid w:val="155F47CC"/>
    <w:rsid w:val="15657BDE"/>
    <w:rsid w:val="1576848B"/>
    <w:rsid w:val="15880756"/>
    <w:rsid w:val="158D73D5"/>
    <w:rsid w:val="158D84E0"/>
    <w:rsid w:val="15926704"/>
    <w:rsid w:val="15932784"/>
    <w:rsid w:val="1594F0C5"/>
    <w:rsid w:val="159D3930"/>
    <w:rsid w:val="15A44A29"/>
    <w:rsid w:val="15A4EDCE"/>
    <w:rsid w:val="15B0378F"/>
    <w:rsid w:val="15C66432"/>
    <w:rsid w:val="15C9BAFB"/>
    <w:rsid w:val="15CDA687"/>
    <w:rsid w:val="15D3F675"/>
    <w:rsid w:val="15D5A6ED"/>
    <w:rsid w:val="15DE95F0"/>
    <w:rsid w:val="15E5B65E"/>
    <w:rsid w:val="15EB3E22"/>
    <w:rsid w:val="15F03BD8"/>
    <w:rsid w:val="15F21A5C"/>
    <w:rsid w:val="15F2359E"/>
    <w:rsid w:val="15F988D2"/>
    <w:rsid w:val="15FDB7CD"/>
    <w:rsid w:val="1600A6F7"/>
    <w:rsid w:val="1610387F"/>
    <w:rsid w:val="161C2211"/>
    <w:rsid w:val="1625E38F"/>
    <w:rsid w:val="165BCC1D"/>
    <w:rsid w:val="1667CEA4"/>
    <w:rsid w:val="167A781B"/>
    <w:rsid w:val="1681DE71"/>
    <w:rsid w:val="168F2C98"/>
    <w:rsid w:val="168F649F"/>
    <w:rsid w:val="16948829"/>
    <w:rsid w:val="16A2782D"/>
    <w:rsid w:val="16B24DD8"/>
    <w:rsid w:val="16B645B5"/>
    <w:rsid w:val="16B67E91"/>
    <w:rsid w:val="16C3518C"/>
    <w:rsid w:val="16D12646"/>
    <w:rsid w:val="16D7F215"/>
    <w:rsid w:val="16E2A7DC"/>
    <w:rsid w:val="16F32F56"/>
    <w:rsid w:val="16F8442A"/>
    <w:rsid w:val="170E19F9"/>
    <w:rsid w:val="1710CAF8"/>
    <w:rsid w:val="1714B5FE"/>
    <w:rsid w:val="172472D6"/>
    <w:rsid w:val="172909D0"/>
    <w:rsid w:val="17294436"/>
    <w:rsid w:val="172A6C73"/>
    <w:rsid w:val="17375494"/>
    <w:rsid w:val="1737F7E2"/>
    <w:rsid w:val="17435E2F"/>
    <w:rsid w:val="17435FEA"/>
    <w:rsid w:val="1755B00B"/>
    <w:rsid w:val="176863E6"/>
    <w:rsid w:val="17701FAB"/>
    <w:rsid w:val="17711B02"/>
    <w:rsid w:val="177BFEDF"/>
    <w:rsid w:val="177CC869"/>
    <w:rsid w:val="1780652A"/>
    <w:rsid w:val="178B3237"/>
    <w:rsid w:val="178B4FAC"/>
    <w:rsid w:val="178C0C39"/>
    <w:rsid w:val="178DA569"/>
    <w:rsid w:val="17926D46"/>
    <w:rsid w:val="1794BB78"/>
    <w:rsid w:val="1797814E"/>
    <w:rsid w:val="179AB47E"/>
    <w:rsid w:val="179DB271"/>
    <w:rsid w:val="17A239FD"/>
    <w:rsid w:val="17AA08A8"/>
    <w:rsid w:val="17B9AEB8"/>
    <w:rsid w:val="17C51506"/>
    <w:rsid w:val="17C557C5"/>
    <w:rsid w:val="17C64966"/>
    <w:rsid w:val="17C85164"/>
    <w:rsid w:val="17D3B4F8"/>
    <w:rsid w:val="17D4EA88"/>
    <w:rsid w:val="17D60ACB"/>
    <w:rsid w:val="17E8B13B"/>
    <w:rsid w:val="1800C068"/>
    <w:rsid w:val="1800DB53"/>
    <w:rsid w:val="1805AD21"/>
    <w:rsid w:val="180C6105"/>
    <w:rsid w:val="180D4853"/>
    <w:rsid w:val="18264DFF"/>
    <w:rsid w:val="182672CB"/>
    <w:rsid w:val="184CDD58"/>
    <w:rsid w:val="18559D98"/>
    <w:rsid w:val="185D8489"/>
    <w:rsid w:val="18604BE9"/>
    <w:rsid w:val="1875D75A"/>
    <w:rsid w:val="187AA95A"/>
    <w:rsid w:val="187F257E"/>
    <w:rsid w:val="1880E2A2"/>
    <w:rsid w:val="1889D7BF"/>
    <w:rsid w:val="1889FDE9"/>
    <w:rsid w:val="18996BD8"/>
    <w:rsid w:val="18B17982"/>
    <w:rsid w:val="18B4ED86"/>
    <w:rsid w:val="18C05C81"/>
    <w:rsid w:val="18C2380F"/>
    <w:rsid w:val="18C2D70A"/>
    <w:rsid w:val="18C34943"/>
    <w:rsid w:val="18C5B569"/>
    <w:rsid w:val="18D2E8C8"/>
    <w:rsid w:val="18D4923B"/>
    <w:rsid w:val="18D8671D"/>
    <w:rsid w:val="18E3E7D5"/>
    <w:rsid w:val="18E5E997"/>
    <w:rsid w:val="18E9730B"/>
    <w:rsid w:val="18F549EA"/>
    <w:rsid w:val="18F91EBB"/>
    <w:rsid w:val="190345D7"/>
    <w:rsid w:val="190CBC96"/>
    <w:rsid w:val="191890DE"/>
    <w:rsid w:val="191A0720"/>
    <w:rsid w:val="191ABF54"/>
    <w:rsid w:val="192503E8"/>
    <w:rsid w:val="19255A7C"/>
    <w:rsid w:val="1925C369"/>
    <w:rsid w:val="192646B6"/>
    <w:rsid w:val="192BA7D3"/>
    <w:rsid w:val="1934AB9E"/>
    <w:rsid w:val="1936EC35"/>
    <w:rsid w:val="19374413"/>
    <w:rsid w:val="193BBCFD"/>
    <w:rsid w:val="1944C340"/>
    <w:rsid w:val="1946DDEB"/>
    <w:rsid w:val="19482D44"/>
    <w:rsid w:val="19511BFB"/>
    <w:rsid w:val="19517520"/>
    <w:rsid w:val="19579893"/>
    <w:rsid w:val="1960DA5D"/>
    <w:rsid w:val="19612826"/>
    <w:rsid w:val="1967E424"/>
    <w:rsid w:val="1969DB04"/>
    <w:rsid w:val="196A7E2B"/>
    <w:rsid w:val="196E1951"/>
    <w:rsid w:val="1978141E"/>
    <w:rsid w:val="197B58E8"/>
    <w:rsid w:val="197ECFB7"/>
    <w:rsid w:val="19876819"/>
    <w:rsid w:val="198D3A95"/>
    <w:rsid w:val="1992EB83"/>
    <w:rsid w:val="199FABEE"/>
    <w:rsid w:val="19C631A6"/>
    <w:rsid w:val="19C793D7"/>
    <w:rsid w:val="19CD8ACA"/>
    <w:rsid w:val="19D4FEDC"/>
    <w:rsid w:val="19D5B552"/>
    <w:rsid w:val="19D9E06F"/>
    <w:rsid w:val="19E6459B"/>
    <w:rsid w:val="1A0DFF9B"/>
    <w:rsid w:val="1A10446A"/>
    <w:rsid w:val="1A11A7BB"/>
    <w:rsid w:val="1A22E292"/>
    <w:rsid w:val="1A266E61"/>
    <w:rsid w:val="1A2A852F"/>
    <w:rsid w:val="1A2C1EBB"/>
    <w:rsid w:val="1A2F08C7"/>
    <w:rsid w:val="1A34BAD3"/>
    <w:rsid w:val="1A39FCB7"/>
    <w:rsid w:val="1A438EB6"/>
    <w:rsid w:val="1A45B767"/>
    <w:rsid w:val="1A465C0B"/>
    <w:rsid w:val="1A49F84D"/>
    <w:rsid w:val="1A4C62A1"/>
    <w:rsid w:val="1A59D991"/>
    <w:rsid w:val="1A5E3431"/>
    <w:rsid w:val="1A63986F"/>
    <w:rsid w:val="1A6B87F0"/>
    <w:rsid w:val="1A714F0B"/>
    <w:rsid w:val="1A7342BC"/>
    <w:rsid w:val="1A73DAFF"/>
    <w:rsid w:val="1A74F9FD"/>
    <w:rsid w:val="1A7609DE"/>
    <w:rsid w:val="1A8E9806"/>
    <w:rsid w:val="1A9347A5"/>
    <w:rsid w:val="1A957766"/>
    <w:rsid w:val="1AB6F490"/>
    <w:rsid w:val="1AB9758C"/>
    <w:rsid w:val="1ABCC50C"/>
    <w:rsid w:val="1AC39472"/>
    <w:rsid w:val="1AD3572C"/>
    <w:rsid w:val="1AE07291"/>
    <w:rsid w:val="1AFA6C4C"/>
    <w:rsid w:val="1AFC1E50"/>
    <w:rsid w:val="1AFCEF63"/>
    <w:rsid w:val="1B01D4D4"/>
    <w:rsid w:val="1B031954"/>
    <w:rsid w:val="1B05497B"/>
    <w:rsid w:val="1B05C155"/>
    <w:rsid w:val="1B1417BD"/>
    <w:rsid w:val="1B1B12C1"/>
    <w:rsid w:val="1B1E6622"/>
    <w:rsid w:val="1B273652"/>
    <w:rsid w:val="1B370295"/>
    <w:rsid w:val="1B37E1AB"/>
    <w:rsid w:val="1B3B51D5"/>
    <w:rsid w:val="1B3F432B"/>
    <w:rsid w:val="1B4242C7"/>
    <w:rsid w:val="1B47BBBC"/>
    <w:rsid w:val="1B4CBA65"/>
    <w:rsid w:val="1B4DF3ED"/>
    <w:rsid w:val="1B53D8E7"/>
    <w:rsid w:val="1B554F94"/>
    <w:rsid w:val="1B56D96B"/>
    <w:rsid w:val="1B58D372"/>
    <w:rsid w:val="1B5C8F77"/>
    <w:rsid w:val="1B5FEE75"/>
    <w:rsid w:val="1B614780"/>
    <w:rsid w:val="1B679B39"/>
    <w:rsid w:val="1B679CC8"/>
    <w:rsid w:val="1B6A3E79"/>
    <w:rsid w:val="1B70117F"/>
    <w:rsid w:val="1B70B66C"/>
    <w:rsid w:val="1B74017E"/>
    <w:rsid w:val="1B791BFC"/>
    <w:rsid w:val="1B7D751D"/>
    <w:rsid w:val="1B91EB9D"/>
    <w:rsid w:val="1B928990"/>
    <w:rsid w:val="1B965F46"/>
    <w:rsid w:val="1BA459A5"/>
    <w:rsid w:val="1BBA5EC3"/>
    <w:rsid w:val="1BC24B96"/>
    <w:rsid w:val="1BCCD273"/>
    <w:rsid w:val="1BD3BCA1"/>
    <w:rsid w:val="1BE410C9"/>
    <w:rsid w:val="1BE92F60"/>
    <w:rsid w:val="1BEB7824"/>
    <w:rsid w:val="1BEC7A13"/>
    <w:rsid w:val="1BF25310"/>
    <w:rsid w:val="1BF289DC"/>
    <w:rsid w:val="1BF39357"/>
    <w:rsid w:val="1BF4DFFE"/>
    <w:rsid w:val="1C02E1DD"/>
    <w:rsid w:val="1C0D74EE"/>
    <w:rsid w:val="1C0EA1D9"/>
    <w:rsid w:val="1C10CA5E"/>
    <w:rsid w:val="1C19FD41"/>
    <w:rsid w:val="1C1A59A8"/>
    <w:rsid w:val="1C1FB2E8"/>
    <w:rsid w:val="1C27A519"/>
    <w:rsid w:val="1C28EFEC"/>
    <w:rsid w:val="1C3BBBEA"/>
    <w:rsid w:val="1C3FD649"/>
    <w:rsid w:val="1C4165C3"/>
    <w:rsid w:val="1C4B257F"/>
    <w:rsid w:val="1C5B5E2C"/>
    <w:rsid w:val="1C60D89A"/>
    <w:rsid w:val="1C6D59A2"/>
    <w:rsid w:val="1C7A0FF1"/>
    <w:rsid w:val="1C7E2A21"/>
    <w:rsid w:val="1C83C067"/>
    <w:rsid w:val="1C930CF6"/>
    <w:rsid w:val="1C9472FC"/>
    <w:rsid w:val="1C97D20B"/>
    <w:rsid w:val="1CA119DC"/>
    <w:rsid w:val="1CA41EDF"/>
    <w:rsid w:val="1CBC391B"/>
    <w:rsid w:val="1CCBB97E"/>
    <w:rsid w:val="1CCE9347"/>
    <w:rsid w:val="1CDF1F7D"/>
    <w:rsid w:val="1CE0B976"/>
    <w:rsid w:val="1CE95AF6"/>
    <w:rsid w:val="1CF38A5A"/>
    <w:rsid w:val="1CF4859D"/>
    <w:rsid w:val="1CF96411"/>
    <w:rsid w:val="1CF9E3EE"/>
    <w:rsid w:val="1D036B9A"/>
    <w:rsid w:val="1D051777"/>
    <w:rsid w:val="1D0D34B8"/>
    <w:rsid w:val="1D130261"/>
    <w:rsid w:val="1D1949AE"/>
    <w:rsid w:val="1D28795B"/>
    <w:rsid w:val="1D2A4A11"/>
    <w:rsid w:val="1D37C8E0"/>
    <w:rsid w:val="1D3FCF53"/>
    <w:rsid w:val="1D41DEF2"/>
    <w:rsid w:val="1D424D5B"/>
    <w:rsid w:val="1D5EA5A2"/>
    <w:rsid w:val="1D625304"/>
    <w:rsid w:val="1D6270DA"/>
    <w:rsid w:val="1D68F28E"/>
    <w:rsid w:val="1D697A4A"/>
    <w:rsid w:val="1D6B45D0"/>
    <w:rsid w:val="1D6B8EE8"/>
    <w:rsid w:val="1D7238E1"/>
    <w:rsid w:val="1D7F2B14"/>
    <w:rsid w:val="1D803174"/>
    <w:rsid w:val="1D8D8D3C"/>
    <w:rsid w:val="1D8DE74B"/>
    <w:rsid w:val="1D8FD4F9"/>
    <w:rsid w:val="1D925E9C"/>
    <w:rsid w:val="1D9483CF"/>
    <w:rsid w:val="1D9D1EAC"/>
    <w:rsid w:val="1D9D26F4"/>
    <w:rsid w:val="1DAFE551"/>
    <w:rsid w:val="1DB015F4"/>
    <w:rsid w:val="1DBF0833"/>
    <w:rsid w:val="1DC61B6C"/>
    <w:rsid w:val="1DC8C12B"/>
    <w:rsid w:val="1DC941E2"/>
    <w:rsid w:val="1DD19B8E"/>
    <w:rsid w:val="1DD3593F"/>
    <w:rsid w:val="1DD4462C"/>
    <w:rsid w:val="1DE57272"/>
    <w:rsid w:val="1DE82540"/>
    <w:rsid w:val="1DF09947"/>
    <w:rsid w:val="1DF11CFB"/>
    <w:rsid w:val="1DFC4B58"/>
    <w:rsid w:val="1E006291"/>
    <w:rsid w:val="1E0A26B0"/>
    <w:rsid w:val="1E11D66E"/>
    <w:rsid w:val="1E1B6802"/>
    <w:rsid w:val="1E1C7D2C"/>
    <w:rsid w:val="1E3102C5"/>
    <w:rsid w:val="1E37E2E8"/>
    <w:rsid w:val="1E5176A2"/>
    <w:rsid w:val="1E54A4C1"/>
    <w:rsid w:val="1E564F08"/>
    <w:rsid w:val="1E58861E"/>
    <w:rsid w:val="1E5C37AE"/>
    <w:rsid w:val="1E5E07FF"/>
    <w:rsid w:val="1E60372F"/>
    <w:rsid w:val="1E70F1CE"/>
    <w:rsid w:val="1E7E1C7B"/>
    <w:rsid w:val="1E84D314"/>
    <w:rsid w:val="1E8DF7F1"/>
    <w:rsid w:val="1E9137A9"/>
    <w:rsid w:val="1E93221B"/>
    <w:rsid w:val="1E990A82"/>
    <w:rsid w:val="1EA19BCE"/>
    <w:rsid w:val="1EAC711E"/>
    <w:rsid w:val="1EBBA91B"/>
    <w:rsid w:val="1EBC33FC"/>
    <w:rsid w:val="1EBC7177"/>
    <w:rsid w:val="1ED968C3"/>
    <w:rsid w:val="1EE2437A"/>
    <w:rsid w:val="1EE8C3E7"/>
    <w:rsid w:val="1EEB1A55"/>
    <w:rsid w:val="1EF3B320"/>
    <w:rsid w:val="1EF535AA"/>
    <w:rsid w:val="1EF564A5"/>
    <w:rsid w:val="1F015451"/>
    <w:rsid w:val="1F0ECB14"/>
    <w:rsid w:val="1F11C543"/>
    <w:rsid w:val="1F13C90C"/>
    <w:rsid w:val="1F296788"/>
    <w:rsid w:val="1F3AADBD"/>
    <w:rsid w:val="1F3E19B1"/>
    <w:rsid w:val="1F40700D"/>
    <w:rsid w:val="1F43A966"/>
    <w:rsid w:val="1F51BD89"/>
    <w:rsid w:val="1F57A7DD"/>
    <w:rsid w:val="1F5A7481"/>
    <w:rsid w:val="1F62F7D7"/>
    <w:rsid w:val="1F643D8D"/>
    <w:rsid w:val="1F69135C"/>
    <w:rsid w:val="1F7E12B6"/>
    <w:rsid w:val="1F97CE85"/>
    <w:rsid w:val="1F9BE986"/>
    <w:rsid w:val="1FA4627A"/>
    <w:rsid w:val="1FC33BE4"/>
    <w:rsid w:val="1FC53A2F"/>
    <w:rsid w:val="1FD003A9"/>
    <w:rsid w:val="1FD882CE"/>
    <w:rsid w:val="1FDF4CDE"/>
    <w:rsid w:val="1FDFA7CB"/>
    <w:rsid w:val="1FE9443E"/>
    <w:rsid w:val="1FF2B24F"/>
    <w:rsid w:val="1FF5B1B9"/>
    <w:rsid w:val="20009008"/>
    <w:rsid w:val="200D4EE1"/>
    <w:rsid w:val="20118F4E"/>
    <w:rsid w:val="20129ECD"/>
    <w:rsid w:val="202CC302"/>
    <w:rsid w:val="2033278E"/>
    <w:rsid w:val="2037C9AE"/>
    <w:rsid w:val="2039FB79"/>
    <w:rsid w:val="203A815E"/>
    <w:rsid w:val="2042962E"/>
    <w:rsid w:val="2046F39C"/>
    <w:rsid w:val="2048384B"/>
    <w:rsid w:val="204E6DBE"/>
    <w:rsid w:val="2053E11F"/>
    <w:rsid w:val="205A2542"/>
    <w:rsid w:val="205E3AD1"/>
    <w:rsid w:val="2063F785"/>
    <w:rsid w:val="20651581"/>
    <w:rsid w:val="206F0BF4"/>
    <w:rsid w:val="2072DC11"/>
    <w:rsid w:val="207E9451"/>
    <w:rsid w:val="207FA580"/>
    <w:rsid w:val="208418C4"/>
    <w:rsid w:val="208F3027"/>
    <w:rsid w:val="20908763"/>
    <w:rsid w:val="209A8851"/>
    <w:rsid w:val="209C84AC"/>
    <w:rsid w:val="209F14CA"/>
    <w:rsid w:val="20A06F3A"/>
    <w:rsid w:val="20A76159"/>
    <w:rsid w:val="20A9E9D0"/>
    <w:rsid w:val="20AA4A6E"/>
    <w:rsid w:val="20AFDF66"/>
    <w:rsid w:val="20C8D0ED"/>
    <w:rsid w:val="20CE1DAC"/>
    <w:rsid w:val="20D1378F"/>
    <w:rsid w:val="20D1DAD6"/>
    <w:rsid w:val="20D96C01"/>
    <w:rsid w:val="20E311C4"/>
    <w:rsid w:val="20E7F044"/>
    <w:rsid w:val="20EE2F71"/>
    <w:rsid w:val="20F65FBE"/>
    <w:rsid w:val="21069D65"/>
    <w:rsid w:val="2114D288"/>
    <w:rsid w:val="211B2CF3"/>
    <w:rsid w:val="211E96A2"/>
    <w:rsid w:val="21412790"/>
    <w:rsid w:val="2154C9F4"/>
    <w:rsid w:val="215A24FD"/>
    <w:rsid w:val="216BEC42"/>
    <w:rsid w:val="216D69AE"/>
    <w:rsid w:val="216D9604"/>
    <w:rsid w:val="2171F934"/>
    <w:rsid w:val="2175F761"/>
    <w:rsid w:val="217832B1"/>
    <w:rsid w:val="2185149F"/>
    <w:rsid w:val="218F9381"/>
    <w:rsid w:val="21942263"/>
    <w:rsid w:val="219B4B4A"/>
    <w:rsid w:val="219D08F7"/>
    <w:rsid w:val="219DE2AE"/>
    <w:rsid w:val="219FD411"/>
    <w:rsid w:val="21A415C1"/>
    <w:rsid w:val="21A4C585"/>
    <w:rsid w:val="21A6831A"/>
    <w:rsid w:val="21AB588A"/>
    <w:rsid w:val="21AF36B5"/>
    <w:rsid w:val="21B0B51C"/>
    <w:rsid w:val="21B38514"/>
    <w:rsid w:val="21B80DC0"/>
    <w:rsid w:val="21BC875E"/>
    <w:rsid w:val="21C22A4F"/>
    <w:rsid w:val="21C641C1"/>
    <w:rsid w:val="21CAD387"/>
    <w:rsid w:val="21CE0304"/>
    <w:rsid w:val="21D0470E"/>
    <w:rsid w:val="21D6475E"/>
    <w:rsid w:val="21D6F761"/>
    <w:rsid w:val="21D77373"/>
    <w:rsid w:val="21DB8497"/>
    <w:rsid w:val="21DD508C"/>
    <w:rsid w:val="21E2F3D0"/>
    <w:rsid w:val="21EBA146"/>
    <w:rsid w:val="21F322A3"/>
    <w:rsid w:val="21F8052F"/>
    <w:rsid w:val="2204CD9F"/>
    <w:rsid w:val="221748FA"/>
    <w:rsid w:val="2217BD00"/>
    <w:rsid w:val="2238550D"/>
    <w:rsid w:val="22417E74"/>
    <w:rsid w:val="2244BD2F"/>
    <w:rsid w:val="22453E7D"/>
    <w:rsid w:val="225A0964"/>
    <w:rsid w:val="2260AA8A"/>
    <w:rsid w:val="2267D283"/>
    <w:rsid w:val="2269B950"/>
    <w:rsid w:val="22863946"/>
    <w:rsid w:val="228DFBE1"/>
    <w:rsid w:val="22913AFA"/>
    <w:rsid w:val="22919A4D"/>
    <w:rsid w:val="229C6999"/>
    <w:rsid w:val="22A219FF"/>
    <w:rsid w:val="22B116C9"/>
    <w:rsid w:val="22B81F85"/>
    <w:rsid w:val="22B9E719"/>
    <w:rsid w:val="22C4F711"/>
    <w:rsid w:val="22D368CA"/>
    <w:rsid w:val="22D5C606"/>
    <w:rsid w:val="22DBC92C"/>
    <w:rsid w:val="22DF29FF"/>
    <w:rsid w:val="22E53477"/>
    <w:rsid w:val="22EA56CB"/>
    <w:rsid w:val="22FBF1BB"/>
    <w:rsid w:val="23036926"/>
    <w:rsid w:val="23126E56"/>
    <w:rsid w:val="231CF20D"/>
    <w:rsid w:val="231FDD3D"/>
    <w:rsid w:val="2333963F"/>
    <w:rsid w:val="2342D64A"/>
    <w:rsid w:val="234B8FAC"/>
    <w:rsid w:val="235A2D8C"/>
    <w:rsid w:val="235E5D1F"/>
    <w:rsid w:val="23630D13"/>
    <w:rsid w:val="2364197C"/>
    <w:rsid w:val="236A1BE2"/>
    <w:rsid w:val="2371B73D"/>
    <w:rsid w:val="237759C3"/>
    <w:rsid w:val="2378DAB7"/>
    <w:rsid w:val="2379C973"/>
    <w:rsid w:val="2381DA41"/>
    <w:rsid w:val="23826479"/>
    <w:rsid w:val="238A1AA7"/>
    <w:rsid w:val="238B5D19"/>
    <w:rsid w:val="238C161C"/>
    <w:rsid w:val="2390869B"/>
    <w:rsid w:val="23950199"/>
    <w:rsid w:val="2399970C"/>
    <w:rsid w:val="239C7C18"/>
    <w:rsid w:val="239C844D"/>
    <w:rsid w:val="239C8F57"/>
    <w:rsid w:val="239CB643"/>
    <w:rsid w:val="23A69CFA"/>
    <w:rsid w:val="23AA3423"/>
    <w:rsid w:val="23B24AAF"/>
    <w:rsid w:val="23B37ADD"/>
    <w:rsid w:val="23B3AE8E"/>
    <w:rsid w:val="23CB1D7D"/>
    <w:rsid w:val="23D0EE9B"/>
    <w:rsid w:val="23D1B25E"/>
    <w:rsid w:val="23D1CD99"/>
    <w:rsid w:val="23D3DFC2"/>
    <w:rsid w:val="23D9BB1F"/>
    <w:rsid w:val="23EA0DF0"/>
    <w:rsid w:val="2406866D"/>
    <w:rsid w:val="240C5840"/>
    <w:rsid w:val="24193321"/>
    <w:rsid w:val="241B1E9A"/>
    <w:rsid w:val="242A97AB"/>
    <w:rsid w:val="24468D72"/>
    <w:rsid w:val="244CAB87"/>
    <w:rsid w:val="244D47B4"/>
    <w:rsid w:val="245AC821"/>
    <w:rsid w:val="245CEBAC"/>
    <w:rsid w:val="245E828B"/>
    <w:rsid w:val="2464C6BC"/>
    <w:rsid w:val="246CCEDF"/>
    <w:rsid w:val="247A8F9A"/>
    <w:rsid w:val="24842859"/>
    <w:rsid w:val="24A03E0F"/>
    <w:rsid w:val="24A87744"/>
    <w:rsid w:val="24BCD059"/>
    <w:rsid w:val="24C4BDDF"/>
    <w:rsid w:val="24C56422"/>
    <w:rsid w:val="24C80683"/>
    <w:rsid w:val="24C95D5D"/>
    <w:rsid w:val="24D513A8"/>
    <w:rsid w:val="24D75528"/>
    <w:rsid w:val="24DC14F4"/>
    <w:rsid w:val="24EBDC43"/>
    <w:rsid w:val="24EECB33"/>
    <w:rsid w:val="24F56313"/>
    <w:rsid w:val="24FAE7AD"/>
    <w:rsid w:val="250E0BCC"/>
    <w:rsid w:val="25151231"/>
    <w:rsid w:val="2517677C"/>
    <w:rsid w:val="2517A99D"/>
    <w:rsid w:val="2517FDA1"/>
    <w:rsid w:val="251F7BBF"/>
    <w:rsid w:val="252AF554"/>
    <w:rsid w:val="25358CBF"/>
    <w:rsid w:val="2535D3E6"/>
    <w:rsid w:val="25457948"/>
    <w:rsid w:val="2548018E"/>
    <w:rsid w:val="25487ED7"/>
    <w:rsid w:val="255E3D19"/>
    <w:rsid w:val="256B3CF8"/>
    <w:rsid w:val="256D9DFA"/>
    <w:rsid w:val="257499F9"/>
    <w:rsid w:val="2574CABF"/>
    <w:rsid w:val="2578F4A4"/>
    <w:rsid w:val="257F2EC3"/>
    <w:rsid w:val="258E6B8F"/>
    <w:rsid w:val="259E5605"/>
    <w:rsid w:val="25A21F43"/>
    <w:rsid w:val="25A857FD"/>
    <w:rsid w:val="25AC79CE"/>
    <w:rsid w:val="25BEB26D"/>
    <w:rsid w:val="25C0891A"/>
    <w:rsid w:val="25DE41E2"/>
    <w:rsid w:val="25E02B4E"/>
    <w:rsid w:val="25EE0D23"/>
    <w:rsid w:val="25EF8CDA"/>
    <w:rsid w:val="25F2E636"/>
    <w:rsid w:val="25F3655A"/>
    <w:rsid w:val="25F94E83"/>
    <w:rsid w:val="26064180"/>
    <w:rsid w:val="260C92F5"/>
    <w:rsid w:val="261183FE"/>
    <w:rsid w:val="2615432D"/>
    <w:rsid w:val="26186783"/>
    <w:rsid w:val="262C3E04"/>
    <w:rsid w:val="262DC6C2"/>
    <w:rsid w:val="262E655B"/>
    <w:rsid w:val="26317920"/>
    <w:rsid w:val="26369A0D"/>
    <w:rsid w:val="26378B09"/>
    <w:rsid w:val="2637A76C"/>
    <w:rsid w:val="26474AEB"/>
    <w:rsid w:val="26531D32"/>
    <w:rsid w:val="26533A27"/>
    <w:rsid w:val="2655CAF1"/>
    <w:rsid w:val="265A3740"/>
    <w:rsid w:val="26608E40"/>
    <w:rsid w:val="2662A7F4"/>
    <w:rsid w:val="266304A4"/>
    <w:rsid w:val="2663D6E4"/>
    <w:rsid w:val="2669B950"/>
    <w:rsid w:val="26748EF2"/>
    <w:rsid w:val="26935110"/>
    <w:rsid w:val="269925D5"/>
    <w:rsid w:val="26A0EBE0"/>
    <w:rsid w:val="26A773EB"/>
    <w:rsid w:val="26A98846"/>
    <w:rsid w:val="26ABC230"/>
    <w:rsid w:val="26AD00D4"/>
    <w:rsid w:val="26B834C3"/>
    <w:rsid w:val="26BBD043"/>
    <w:rsid w:val="26C6C5B5"/>
    <w:rsid w:val="26CFE3B3"/>
    <w:rsid w:val="26D33107"/>
    <w:rsid w:val="26DB2291"/>
    <w:rsid w:val="26E7A045"/>
    <w:rsid w:val="26FE3550"/>
    <w:rsid w:val="27040674"/>
    <w:rsid w:val="27115BE1"/>
    <w:rsid w:val="271312A6"/>
    <w:rsid w:val="27157B39"/>
    <w:rsid w:val="27185890"/>
    <w:rsid w:val="27198F64"/>
    <w:rsid w:val="271D51FA"/>
    <w:rsid w:val="2724D245"/>
    <w:rsid w:val="2731C94B"/>
    <w:rsid w:val="27375FAF"/>
    <w:rsid w:val="273ACEA9"/>
    <w:rsid w:val="274108A6"/>
    <w:rsid w:val="27475F2F"/>
    <w:rsid w:val="27546716"/>
    <w:rsid w:val="2759B24F"/>
    <w:rsid w:val="275C6AC7"/>
    <w:rsid w:val="2762386D"/>
    <w:rsid w:val="276AE821"/>
    <w:rsid w:val="276DF4A8"/>
    <w:rsid w:val="2776107B"/>
    <w:rsid w:val="277DADE1"/>
    <w:rsid w:val="2783B385"/>
    <w:rsid w:val="278DD826"/>
    <w:rsid w:val="27944E30"/>
    <w:rsid w:val="2797E377"/>
    <w:rsid w:val="27A00670"/>
    <w:rsid w:val="27A6BE3F"/>
    <w:rsid w:val="27A7D750"/>
    <w:rsid w:val="27AA721A"/>
    <w:rsid w:val="27AE07C5"/>
    <w:rsid w:val="27B7213E"/>
    <w:rsid w:val="27BC296B"/>
    <w:rsid w:val="27BE5D60"/>
    <w:rsid w:val="27C1930A"/>
    <w:rsid w:val="27C7A642"/>
    <w:rsid w:val="27D3C939"/>
    <w:rsid w:val="27D8751C"/>
    <w:rsid w:val="27DC76E5"/>
    <w:rsid w:val="27DE5D88"/>
    <w:rsid w:val="27E8F098"/>
    <w:rsid w:val="27EFD2A5"/>
    <w:rsid w:val="27F2A480"/>
    <w:rsid w:val="27F3B38A"/>
    <w:rsid w:val="27F3E43B"/>
    <w:rsid w:val="27F4711B"/>
    <w:rsid w:val="27FFA745"/>
    <w:rsid w:val="2805ABF2"/>
    <w:rsid w:val="28225F47"/>
    <w:rsid w:val="282468FB"/>
    <w:rsid w:val="28315768"/>
    <w:rsid w:val="2834A6F4"/>
    <w:rsid w:val="283BC022"/>
    <w:rsid w:val="2840F89A"/>
    <w:rsid w:val="2845AFF5"/>
    <w:rsid w:val="28461E41"/>
    <w:rsid w:val="28484034"/>
    <w:rsid w:val="28486328"/>
    <w:rsid w:val="284BD864"/>
    <w:rsid w:val="284E2DED"/>
    <w:rsid w:val="285262D8"/>
    <w:rsid w:val="28540524"/>
    <w:rsid w:val="285484D9"/>
    <w:rsid w:val="285737E5"/>
    <w:rsid w:val="285DAF7B"/>
    <w:rsid w:val="28600BCF"/>
    <w:rsid w:val="287273AD"/>
    <w:rsid w:val="2877356B"/>
    <w:rsid w:val="28773B55"/>
    <w:rsid w:val="287DFF0D"/>
    <w:rsid w:val="28865489"/>
    <w:rsid w:val="2891A1E8"/>
    <w:rsid w:val="2892F67F"/>
    <w:rsid w:val="289972F5"/>
    <w:rsid w:val="289B2CAA"/>
    <w:rsid w:val="289F1E5A"/>
    <w:rsid w:val="28A14749"/>
    <w:rsid w:val="28A4E794"/>
    <w:rsid w:val="28AD2C42"/>
    <w:rsid w:val="28B4B344"/>
    <w:rsid w:val="28B5A6E6"/>
    <w:rsid w:val="28B7E757"/>
    <w:rsid w:val="28BC169E"/>
    <w:rsid w:val="28BC9658"/>
    <w:rsid w:val="28BEC2D1"/>
    <w:rsid w:val="28C1C2C4"/>
    <w:rsid w:val="28C2B81F"/>
    <w:rsid w:val="28CB286F"/>
    <w:rsid w:val="28D50DEC"/>
    <w:rsid w:val="28DB0169"/>
    <w:rsid w:val="28E00711"/>
    <w:rsid w:val="28F8E4EE"/>
    <w:rsid w:val="28F96C65"/>
    <w:rsid w:val="28FE08CE"/>
    <w:rsid w:val="2902A1EF"/>
    <w:rsid w:val="29039545"/>
    <w:rsid w:val="2903D2CF"/>
    <w:rsid w:val="2903F897"/>
    <w:rsid w:val="290F97CA"/>
    <w:rsid w:val="291692A7"/>
    <w:rsid w:val="291CA17A"/>
    <w:rsid w:val="291CAE13"/>
    <w:rsid w:val="291D8470"/>
    <w:rsid w:val="292192B5"/>
    <w:rsid w:val="2924A0A9"/>
    <w:rsid w:val="292A68D5"/>
    <w:rsid w:val="2933BC04"/>
    <w:rsid w:val="293C922F"/>
    <w:rsid w:val="294B169C"/>
    <w:rsid w:val="29523F93"/>
    <w:rsid w:val="2955CD0B"/>
    <w:rsid w:val="29560A3D"/>
    <w:rsid w:val="295C13A2"/>
    <w:rsid w:val="295DAEFE"/>
    <w:rsid w:val="29673BC7"/>
    <w:rsid w:val="296FFAAF"/>
    <w:rsid w:val="297EEBAD"/>
    <w:rsid w:val="297F9CE4"/>
    <w:rsid w:val="297FD9EF"/>
    <w:rsid w:val="2990417C"/>
    <w:rsid w:val="29951CBB"/>
    <w:rsid w:val="29955FE4"/>
    <w:rsid w:val="299B77A6"/>
    <w:rsid w:val="29A3F6B3"/>
    <w:rsid w:val="29A41020"/>
    <w:rsid w:val="29A50DF3"/>
    <w:rsid w:val="29A54395"/>
    <w:rsid w:val="29B4E9E8"/>
    <w:rsid w:val="29B7CC77"/>
    <w:rsid w:val="29BD80B6"/>
    <w:rsid w:val="29C6E015"/>
    <w:rsid w:val="29C8D436"/>
    <w:rsid w:val="29C93262"/>
    <w:rsid w:val="29C93B3A"/>
    <w:rsid w:val="29CD9EB7"/>
    <w:rsid w:val="29D67003"/>
    <w:rsid w:val="29D74083"/>
    <w:rsid w:val="29E2B7A6"/>
    <w:rsid w:val="29E37C44"/>
    <w:rsid w:val="29E6FAD4"/>
    <w:rsid w:val="29EEC354"/>
    <w:rsid w:val="29F61C30"/>
    <w:rsid w:val="29F64085"/>
    <w:rsid w:val="29FDA9C3"/>
    <w:rsid w:val="2A047962"/>
    <w:rsid w:val="2A0EB9F2"/>
    <w:rsid w:val="2A12FB63"/>
    <w:rsid w:val="2A1BB532"/>
    <w:rsid w:val="2A221365"/>
    <w:rsid w:val="2A238DEB"/>
    <w:rsid w:val="2A358BF7"/>
    <w:rsid w:val="2A3D3EB8"/>
    <w:rsid w:val="2A41F2C6"/>
    <w:rsid w:val="2A46A1AA"/>
    <w:rsid w:val="2A4B5D26"/>
    <w:rsid w:val="2A5C7F5C"/>
    <w:rsid w:val="2A5CF3DC"/>
    <w:rsid w:val="2A5F810B"/>
    <w:rsid w:val="2A6423B9"/>
    <w:rsid w:val="2A67BFAE"/>
    <w:rsid w:val="2A6B8A68"/>
    <w:rsid w:val="2A7C3DF9"/>
    <w:rsid w:val="2A7D2A3C"/>
    <w:rsid w:val="2A826637"/>
    <w:rsid w:val="2A888FA0"/>
    <w:rsid w:val="2A88A29D"/>
    <w:rsid w:val="2A903FD4"/>
    <w:rsid w:val="2A9B69B8"/>
    <w:rsid w:val="2AA13EBE"/>
    <w:rsid w:val="2AA290CF"/>
    <w:rsid w:val="2AAF54DB"/>
    <w:rsid w:val="2AB48870"/>
    <w:rsid w:val="2AB6269F"/>
    <w:rsid w:val="2ABD8283"/>
    <w:rsid w:val="2AC365F0"/>
    <w:rsid w:val="2AC90E3E"/>
    <w:rsid w:val="2ACA9243"/>
    <w:rsid w:val="2AD226D5"/>
    <w:rsid w:val="2AD684E9"/>
    <w:rsid w:val="2AD85A70"/>
    <w:rsid w:val="2ADA6959"/>
    <w:rsid w:val="2ADDF089"/>
    <w:rsid w:val="2AF17397"/>
    <w:rsid w:val="2AF518BB"/>
    <w:rsid w:val="2B1EF6B8"/>
    <w:rsid w:val="2B200120"/>
    <w:rsid w:val="2B24F3E2"/>
    <w:rsid w:val="2B2739A9"/>
    <w:rsid w:val="2B2C11DD"/>
    <w:rsid w:val="2B3655F7"/>
    <w:rsid w:val="2B376841"/>
    <w:rsid w:val="2B3B5B95"/>
    <w:rsid w:val="2B404653"/>
    <w:rsid w:val="2B4CE01F"/>
    <w:rsid w:val="2B661F4A"/>
    <w:rsid w:val="2B675011"/>
    <w:rsid w:val="2B76B08B"/>
    <w:rsid w:val="2B7C0F3F"/>
    <w:rsid w:val="2B82537D"/>
    <w:rsid w:val="2B853CAE"/>
    <w:rsid w:val="2B890239"/>
    <w:rsid w:val="2B8D974B"/>
    <w:rsid w:val="2B94F731"/>
    <w:rsid w:val="2B95FA28"/>
    <w:rsid w:val="2B991292"/>
    <w:rsid w:val="2B997A24"/>
    <w:rsid w:val="2B9DC23A"/>
    <w:rsid w:val="2BAAF2B3"/>
    <w:rsid w:val="2BB3CE6A"/>
    <w:rsid w:val="2BBF2524"/>
    <w:rsid w:val="2BC2B351"/>
    <w:rsid w:val="2BC7FE8A"/>
    <w:rsid w:val="2BCF5634"/>
    <w:rsid w:val="2BD1867F"/>
    <w:rsid w:val="2BDB5506"/>
    <w:rsid w:val="2BE4CD04"/>
    <w:rsid w:val="2BE7DB56"/>
    <w:rsid w:val="2BE8A5C2"/>
    <w:rsid w:val="2BF30457"/>
    <w:rsid w:val="2C0513AE"/>
    <w:rsid w:val="2C1F92DA"/>
    <w:rsid w:val="2C1FE927"/>
    <w:rsid w:val="2C219D38"/>
    <w:rsid w:val="2C283B7D"/>
    <w:rsid w:val="2C288EDD"/>
    <w:rsid w:val="2C2E8D5B"/>
    <w:rsid w:val="2C3A4084"/>
    <w:rsid w:val="2C3C9B82"/>
    <w:rsid w:val="2C3FF1F6"/>
    <w:rsid w:val="2C4A294A"/>
    <w:rsid w:val="2C618D9D"/>
    <w:rsid w:val="2C65A786"/>
    <w:rsid w:val="2C71CFC6"/>
    <w:rsid w:val="2C7A9AE3"/>
    <w:rsid w:val="2C7AFB67"/>
    <w:rsid w:val="2C82E6B7"/>
    <w:rsid w:val="2C8C6634"/>
    <w:rsid w:val="2C902F59"/>
    <w:rsid w:val="2C940C59"/>
    <w:rsid w:val="2C9D3071"/>
    <w:rsid w:val="2CA05B10"/>
    <w:rsid w:val="2CA74DFF"/>
    <w:rsid w:val="2CAAABF6"/>
    <w:rsid w:val="2CB02A9F"/>
    <w:rsid w:val="2CB19441"/>
    <w:rsid w:val="2CD22A49"/>
    <w:rsid w:val="2CD268D0"/>
    <w:rsid w:val="2CD754B6"/>
    <w:rsid w:val="2CFFE6B2"/>
    <w:rsid w:val="2D02DD2D"/>
    <w:rsid w:val="2D0EB7D6"/>
    <w:rsid w:val="2D1B59DB"/>
    <w:rsid w:val="2D2BC848"/>
    <w:rsid w:val="2D354657"/>
    <w:rsid w:val="2D4EBC58"/>
    <w:rsid w:val="2D503BBC"/>
    <w:rsid w:val="2D56C94F"/>
    <w:rsid w:val="2D5FE2FC"/>
    <w:rsid w:val="2D607EFF"/>
    <w:rsid w:val="2D652067"/>
    <w:rsid w:val="2D702DF0"/>
    <w:rsid w:val="2D79DEE8"/>
    <w:rsid w:val="2D89ED3D"/>
    <w:rsid w:val="2DA137A6"/>
    <w:rsid w:val="2DAA5323"/>
    <w:rsid w:val="2DAA6850"/>
    <w:rsid w:val="2DAD6AFD"/>
    <w:rsid w:val="2DB5D7F3"/>
    <w:rsid w:val="2DC6F58A"/>
    <w:rsid w:val="2DCE9F23"/>
    <w:rsid w:val="2DE07001"/>
    <w:rsid w:val="2DE6606D"/>
    <w:rsid w:val="2DEC462B"/>
    <w:rsid w:val="2DF3963F"/>
    <w:rsid w:val="2DFBA1F4"/>
    <w:rsid w:val="2DFC7D1A"/>
    <w:rsid w:val="2DFD19AA"/>
    <w:rsid w:val="2DFF94BE"/>
    <w:rsid w:val="2E038FB4"/>
    <w:rsid w:val="2E064761"/>
    <w:rsid w:val="2E0894F1"/>
    <w:rsid w:val="2E0F0E38"/>
    <w:rsid w:val="2E12625A"/>
    <w:rsid w:val="2E14BBC5"/>
    <w:rsid w:val="2E19A613"/>
    <w:rsid w:val="2E33F444"/>
    <w:rsid w:val="2E417409"/>
    <w:rsid w:val="2E4A6F4A"/>
    <w:rsid w:val="2E57350F"/>
    <w:rsid w:val="2E661F6A"/>
    <w:rsid w:val="2E6AB6E1"/>
    <w:rsid w:val="2E6BA025"/>
    <w:rsid w:val="2E6BFE94"/>
    <w:rsid w:val="2E6C72D2"/>
    <w:rsid w:val="2E6ED79A"/>
    <w:rsid w:val="2E743B06"/>
    <w:rsid w:val="2E7986C8"/>
    <w:rsid w:val="2E7E2E81"/>
    <w:rsid w:val="2E831CFC"/>
    <w:rsid w:val="2E835DA6"/>
    <w:rsid w:val="2E892B27"/>
    <w:rsid w:val="2EA8DE87"/>
    <w:rsid w:val="2EB1EDEC"/>
    <w:rsid w:val="2EB42B0F"/>
    <w:rsid w:val="2EB50488"/>
    <w:rsid w:val="2EBA0D56"/>
    <w:rsid w:val="2EBEDFE7"/>
    <w:rsid w:val="2EC49224"/>
    <w:rsid w:val="2ECF6E4A"/>
    <w:rsid w:val="2EECBD71"/>
    <w:rsid w:val="2EF2B116"/>
    <w:rsid w:val="2EFC3233"/>
    <w:rsid w:val="2EFC6591"/>
    <w:rsid w:val="2F00E8F4"/>
    <w:rsid w:val="2F0CC744"/>
    <w:rsid w:val="2F0CF43F"/>
    <w:rsid w:val="2F10EA34"/>
    <w:rsid w:val="2F1AE7A9"/>
    <w:rsid w:val="2F2692BB"/>
    <w:rsid w:val="2F2874DD"/>
    <w:rsid w:val="2F2C8DBA"/>
    <w:rsid w:val="2F2DA89D"/>
    <w:rsid w:val="2F39F1C1"/>
    <w:rsid w:val="2F578D7B"/>
    <w:rsid w:val="2F58C142"/>
    <w:rsid w:val="2F5B6DBE"/>
    <w:rsid w:val="2F5F2869"/>
    <w:rsid w:val="2F6C831F"/>
    <w:rsid w:val="2F71007B"/>
    <w:rsid w:val="2F725E99"/>
    <w:rsid w:val="2F74D37A"/>
    <w:rsid w:val="2F764B90"/>
    <w:rsid w:val="2F7DE61A"/>
    <w:rsid w:val="2F80065F"/>
    <w:rsid w:val="2F83868E"/>
    <w:rsid w:val="2F9295DC"/>
    <w:rsid w:val="2F93CC8B"/>
    <w:rsid w:val="2F9E096D"/>
    <w:rsid w:val="2FA13532"/>
    <w:rsid w:val="2FA67CC1"/>
    <w:rsid w:val="2FBA0380"/>
    <w:rsid w:val="2FBFD943"/>
    <w:rsid w:val="2FC177B0"/>
    <w:rsid w:val="2FC95F16"/>
    <w:rsid w:val="2FD2AC80"/>
    <w:rsid w:val="2FDFFC32"/>
    <w:rsid w:val="2FE12E4D"/>
    <w:rsid w:val="2FE32410"/>
    <w:rsid w:val="2FFC392B"/>
    <w:rsid w:val="30077086"/>
    <w:rsid w:val="301AB7A2"/>
    <w:rsid w:val="30216B90"/>
    <w:rsid w:val="3023C006"/>
    <w:rsid w:val="3032F5EC"/>
    <w:rsid w:val="3033E244"/>
    <w:rsid w:val="3035D410"/>
    <w:rsid w:val="304095E2"/>
    <w:rsid w:val="304B3234"/>
    <w:rsid w:val="30514639"/>
    <w:rsid w:val="3051C491"/>
    <w:rsid w:val="3052894C"/>
    <w:rsid w:val="30546D57"/>
    <w:rsid w:val="306249CA"/>
    <w:rsid w:val="3066C644"/>
    <w:rsid w:val="307092AD"/>
    <w:rsid w:val="3072795B"/>
    <w:rsid w:val="307947E7"/>
    <w:rsid w:val="307CD9E4"/>
    <w:rsid w:val="30895923"/>
    <w:rsid w:val="308DFE14"/>
    <w:rsid w:val="3094C572"/>
    <w:rsid w:val="30970D09"/>
    <w:rsid w:val="309E86B1"/>
    <w:rsid w:val="30A7F556"/>
    <w:rsid w:val="30ADB30A"/>
    <w:rsid w:val="30AE8E9A"/>
    <w:rsid w:val="30B04728"/>
    <w:rsid w:val="30B1D684"/>
    <w:rsid w:val="30B476D5"/>
    <w:rsid w:val="30B52934"/>
    <w:rsid w:val="30B78F91"/>
    <w:rsid w:val="30BB4502"/>
    <w:rsid w:val="30BCAC5C"/>
    <w:rsid w:val="30D451BC"/>
    <w:rsid w:val="30D6FBAA"/>
    <w:rsid w:val="30D8DEB8"/>
    <w:rsid w:val="30E2CF14"/>
    <w:rsid w:val="30E5D4F6"/>
    <w:rsid w:val="30EEC7CE"/>
    <w:rsid w:val="30EFD757"/>
    <w:rsid w:val="30FB35FF"/>
    <w:rsid w:val="31046209"/>
    <w:rsid w:val="3109A601"/>
    <w:rsid w:val="310AAB3C"/>
    <w:rsid w:val="310FD534"/>
    <w:rsid w:val="3113301F"/>
    <w:rsid w:val="3122CEFA"/>
    <w:rsid w:val="312BCABC"/>
    <w:rsid w:val="312D2639"/>
    <w:rsid w:val="3134BA6C"/>
    <w:rsid w:val="313CF0F5"/>
    <w:rsid w:val="31420593"/>
    <w:rsid w:val="314B2F67"/>
    <w:rsid w:val="3150ECE5"/>
    <w:rsid w:val="315A6B4B"/>
    <w:rsid w:val="3169CEF8"/>
    <w:rsid w:val="31745728"/>
    <w:rsid w:val="31804A5F"/>
    <w:rsid w:val="3180F08A"/>
    <w:rsid w:val="31839E85"/>
    <w:rsid w:val="31897FB0"/>
    <w:rsid w:val="318D430C"/>
    <w:rsid w:val="319B5361"/>
    <w:rsid w:val="31A3DA4F"/>
    <w:rsid w:val="31AE830E"/>
    <w:rsid w:val="31AFC280"/>
    <w:rsid w:val="31B15781"/>
    <w:rsid w:val="31B1EFF6"/>
    <w:rsid w:val="31BABDBE"/>
    <w:rsid w:val="31E016B6"/>
    <w:rsid w:val="31E8E4D7"/>
    <w:rsid w:val="31EDF978"/>
    <w:rsid w:val="31F521D1"/>
    <w:rsid w:val="31FD4C23"/>
    <w:rsid w:val="3200AA51"/>
    <w:rsid w:val="320FD04F"/>
    <w:rsid w:val="32128266"/>
    <w:rsid w:val="3212D4CD"/>
    <w:rsid w:val="321E49FF"/>
    <w:rsid w:val="32221F53"/>
    <w:rsid w:val="322AA718"/>
    <w:rsid w:val="322BF11B"/>
    <w:rsid w:val="3255C540"/>
    <w:rsid w:val="32741A54"/>
    <w:rsid w:val="32753E28"/>
    <w:rsid w:val="3275577A"/>
    <w:rsid w:val="327B791E"/>
    <w:rsid w:val="327EE019"/>
    <w:rsid w:val="32892749"/>
    <w:rsid w:val="32894AEA"/>
    <w:rsid w:val="328D999B"/>
    <w:rsid w:val="32B23FC1"/>
    <w:rsid w:val="32BC6D6E"/>
    <w:rsid w:val="32C687F3"/>
    <w:rsid w:val="32D25EE8"/>
    <w:rsid w:val="32DC0B27"/>
    <w:rsid w:val="32E777F9"/>
    <w:rsid w:val="32E9F77E"/>
    <w:rsid w:val="32F0F3F8"/>
    <w:rsid w:val="32F14792"/>
    <w:rsid w:val="32FE3B45"/>
    <w:rsid w:val="330A5B7E"/>
    <w:rsid w:val="33107A67"/>
    <w:rsid w:val="33153A02"/>
    <w:rsid w:val="33163F42"/>
    <w:rsid w:val="331FB66F"/>
    <w:rsid w:val="331FFD1B"/>
    <w:rsid w:val="332395D5"/>
    <w:rsid w:val="332E1E07"/>
    <w:rsid w:val="332E7AF9"/>
    <w:rsid w:val="3334C67C"/>
    <w:rsid w:val="334D8A78"/>
    <w:rsid w:val="33585A2E"/>
    <w:rsid w:val="33728F7F"/>
    <w:rsid w:val="33729F5F"/>
    <w:rsid w:val="3384B538"/>
    <w:rsid w:val="338CB8BA"/>
    <w:rsid w:val="339D15DB"/>
    <w:rsid w:val="33A2B8EE"/>
    <w:rsid w:val="33A33B9F"/>
    <w:rsid w:val="33B1A729"/>
    <w:rsid w:val="33CF3A97"/>
    <w:rsid w:val="33D2E9EE"/>
    <w:rsid w:val="33E3E051"/>
    <w:rsid w:val="33E7A9BF"/>
    <w:rsid w:val="33F41A4D"/>
    <w:rsid w:val="33F78576"/>
    <w:rsid w:val="33F87B03"/>
    <w:rsid w:val="3400E1F0"/>
    <w:rsid w:val="340C6A51"/>
    <w:rsid w:val="340DE048"/>
    <w:rsid w:val="34125295"/>
    <w:rsid w:val="3419CD20"/>
    <w:rsid w:val="341AB07A"/>
    <w:rsid w:val="342D6DD5"/>
    <w:rsid w:val="34385801"/>
    <w:rsid w:val="34397077"/>
    <w:rsid w:val="343F222F"/>
    <w:rsid w:val="343FA37C"/>
    <w:rsid w:val="34424BFE"/>
    <w:rsid w:val="34446D68"/>
    <w:rsid w:val="344C1B2B"/>
    <w:rsid w:val="344E2A5C"/>
    <w:rsid w:val="34508FD7"/>
    <w:rsid w:val="34517CFD"/>
    <w:rsid w:val="3460188E"/>
    <w:rsid w:val="34608A16"/>
    <w:rsid w:val="34667CA9"/>
    <w:rsid w:val="3469530B"/>
    <w:rsid w:val="346B5357"/>
    <w:rsid w:val="347A492A"/>
    <w:rsid w:val="347A77BF"/>
    <w:rsid w:val="348075BC"/>
    <w:rsid w:val="34884C82"/>
    <w:rsid w:val="348D74A3"/>
    <w:rsid w:val="34955D11"/>
    <w:rsid w:val="3496F31F"/>
    <w:rsid w:val="34A4FA2E"/>
    <w:rsid w:val="34A97DC4"/>
    <w:rsid w:val="34AEDE0F"/>
    <w:rsid w:val="34AFBE4D"/>
    <w:rsid w:val="34B9CBF8"/>
    <w:rsid w:val="34BBCD7C"/>
    <w:rsid w:val="34C9EED6"/>
    <w:rsid w:val="34CE1157"/>
    <w:rsid w:val="34CE42F5"/>
    <w:rsid w:val="34D0A527"/>
    <w:rsid w:val="34D2250D"/>
    <w:rsid w:val="34DFCDA3"/>
    <w:rsid w:val="34E2CB33"/>
    <w:rsid w:val="34E918F7"/>
    <w:rsid w:val="34EC32EB"/>
    <w:rsid w:val="34EC5A74"/>
    <w:rsid w:val="34F0B82C"/>
    <w:rsid w:val="34F3CFFA"/>
    <w:rsid w:val="34F611BA"/>
    <w:rsid w:val="34F8859E"/>
    <w:rsid w:val="35088D81"/>
    <w:rsid w:val="350CD108"/>
    <w:rsid w:val="35103790"/>
    <w:rsid w:val="3519D47E"/>
    <w:rsid w:val="3520F639"/>
    <w:rsid w:val="35253FB2"/>
    <w:rsid w:val="3526AD8A"/>
    <w:rsid w:val="3531978B"/>
    <w:rsid w:val="3534E7B5"/>
    <w:rsid w:val="35362F03"/>
    <w:rsid w:val="3552AF64"/>
    <w:rsid w:val="35539F84"/>
    <w:rsid w:val="355A6DE5"/>
    <w:rsid w:val="35693A0C"/>
    <w:rsid w:val="357AE81D"/>
    <w:rsid w:val="3583C1C4"/>
    <w:rsid w:val="358939CA"/>
    <w:rsid w:val="358DB4CB"/>
    <w:rsid w:val="3590E724"/>
    <w:rsid w:val="3593B68D"/>
    <w:rsid w:val="35940BBD"/>
    <w:rsid w:val="359CB251"/>
    <w:rsid w:val="35A6A42E"/>
    <w:rsid w:val="35ACF83C"/>
    <w:rsid w:val="35ADCB2E"/>
    <w:rsid w:val="35B3DEC3"/>
    <w:rsid w:val="35C0911B"/>
    <w:rsid w:val="35D2425A"/>
    <w:rsid w:val="35D5EC0C"/>
    <w:rsid w:val="35E9FAF7"/>
    <w:rsid w:val="35EB4C2F"/>
    <w:rsid w:val="35F42168"/>
    <w:rsid w:val="36072965"/>
    <w:rsid w:val="3612F8C4"/>
    <w:rsid w:val="361AB74D"/>
    <w:rsid w:val="361AF9D4"/>
    <w:rsid w:val="362F45C4"/>
    <w:rsid w:val="3631DA0E"/>
    <w:rsid w:val="36339AA7"/>
    <w:rsid w:val="3644E44B"/>
    <w:rsid w:val="36478691"/>
    <w:rsid w:val="364BEE76"/>
    <w:rsid w:val="365426E4"/>
    <w:rsid w:val="3662587E"/>
    <w:rsid w:val="3673DF13"/>
    <w:rsid w:val="367784B7"/>
    <w:rsid w:val="3677E8F7"/>
    <w:rsid w:val="3677F159"/>
    <w:rsid w:val="3679286E"/>
    <w:rsid w:val="36999EFA"/>
    <w:rsid w:val="36A79D3E"/>
    <w:rsid w:val="36ABFBF1"/>
    <w:rsid w:val="36B8C1A8"/>
    <w:rsid w:val="36BDE2E7"/>
    <w:rsid w:val="36C99DC8"/>
    <w:rsid w:val="36D126A7"/>
    <w:rsid w:val="36D2978D"/>
    <w:rsid w:val="36D3DD80"/>
    <w:rsid w:val="36E00B41"/>
    <w:rsid w:val="36E33178"/>
    <w:rsid w:val="36EDCFF2"/>
    <w:rsid w:val="37095984"/>
    <w:rsid w:val="37104589"/>
    <w:rsid w:val="3710DB8A"/>
    <w:rsid w:val="3719B716"/>
    <w:rsid w:val="372673DC"/>
    <w:rsid w:val="37277FAB"/>
    <w:rsid w:val="37367FC3"/>
    <w:rsid w:val="373BE69F"/>
    <w:rsid w:val="373C887C"/>
    <w:rsid w:val="373F3158"/>
    <w:rsid w:val="3748C38B"/>
    <w:rsid w:val="3751E85F"/>
    <w:rsid w:val="375CCA5B"/>
    <w:rsid w:val="375E242E"/>
    <w:rsid w:val="376132CE"/>
    <w:rsid w:val="377074BA"/>
    <w:rsid w:val="37751A40"/>
    <w:rsid w:val="3778B460"/>
    <w:rsid w:val="37799716"/>
    <w:rsid w:val="377C562B"/>
    <w:rsid w:val="37809FF7"/>
    <w:rsid w:val="37875DFC"/>
    <w:rsid w:val="378DF6B4"/>
    <w:rsid w:val="3790906D"/>
    <w:rsid w:val="3795C596"/>
    <w:rsid w:val="3796029F"/>
    <w:rsid w:val="37A13022"/>
    <w:rsid w:val="37A2E145"/>
    <w:rsid w:val="37A44044"/>
    <w:rsid w:val="37B4AC4F"/>
    <w:rsid w:val="37B701BE"/>
    <w:rsid w:val="37BD9703"/>
    <w:rsid w:val="37D50D98"/>
    <w:rsid w:val="37D8670E"/>
    <w:rsid w:val="37D94687"/>
    <w:rsid w:val="37DE0BE4"/>
    <w:rsid w:val="37E078F9"/>
    <w:rsid w:val="37E7200E"/>
    <w:rsid w:val="37EB52AB"/>
    <w:rsid w:val="38019048"/>
    <w:rsid w:val="380ABF15"/>
    <w:rsid w:val="380FCD6C"/>
    <w:rsid w:val="381162D4"/>
    <w:rsid w:val="38148702"/>
    <w:rsid w:val="38190165"/>
    <w:rsid w:val="3822C9A0"/>
    <w:rsid w:val="383EFDFE"/>
    <w:rsid w:val="383FCF36"/>
    <w:rsid w:val="38426D47"/>
    <w:rsid w:val="384616FD"/>
    <w:rsid w:val="3846A13E"/>
    <w:rsid w:val="384AE114"/>
    <w:rsid w:val="384B3A4D"/>
    <w:rsid w:val="385AC897"/>
    <w:rsid w:val="386B0357"/>
    <w:rsid w:val="386C1F2A"/>
    <w:rsid w:val="386D031C"/>
    <w:rsid w:val="386D45F4"/>
    <w:rsid w:val="386D61A8"/>
    <w:rsid w:val="386DD73D"/>
    <w:rsid w:val="38705296"/>
    <w:rsid w:val="3885C76A"/>
    <w:rsid w:val="3887EC4A"/>
    <w:rsid w:val="38889E70"/>
    <w:rsid w:val="388C4077"/>
    <w:rsid w:val="38973690"/>
    <w:rsid w:val="38987C6A"/>
    <w:rsid w:val="389FD004"/>
    <w:rsid w:val="389FF239"/>
    <w:rsid w:val="38A81AB1"/>
    <w:rsid w:val="38ACABEB"/>
    <w:rsid w:val="38C37397"/>
    <w:rsid w:val="38C3A189"/>
    <w:rsid w:val="38CD6B0B"/>
    <w:rsid w:val="38CE4785"/>
    <w:rsid w:val="38CFAB67"/>
    <w:rsid w:val="38D1ACE9"/>
    <w:rsid w:val="38D1C12E"/>
    <w:rsid w:val="38D72D17"/>
    <w:rsid w:val="38D9DB8F"/>
    <w:rsid w:val="38F70628"/>
    <w:rsid w:val="390C2FB2"/>
    <w:rsid w:val="3915F0FD"/>
    <w:rsid w:val="3921AE04"/>
    <w:rsid w:val="392BBF43"/>
    <w:rsid w:val="3935718D"/>
    <w:rsid w:val="393A6E3C"/>
    <w:rsid w:val="39505BF0"/>
    <w:rsid w:val="3956D52D"/>
    <w:rsid w:val="395E064F"/>
    <w:rsid w:val="39659B1C"/>
    <w:rsid w:val="3982ED28"/>
    <w:rsid w:val="39835D62"/>
    <w:rsid w:val="398D3D1B"/>
    <w:rsid w:val="39900AFF"/>
    <w:rsid w:val="3996CD40"/>
    <w:rsid w:val="399B9D24"/>
    <w:rsid w:val="39A66546"/>
    <w:rsid w:val="39C33C98"/>
    <w:rsid w:val="39C8BE80"/>
    <w:rsid w:val="39CCA067"/>
    <w:rsid w:val="39CCFDFD"/>
    <w:rsid w:val="39D26357"/>
    <w:rsid w:val="39D35DD6"/>
    <w:rsid w:val="39E138D2"/>
    <w:rsid w:val="39F771D8"/>
    <w:rsid w:val="39F8D79D"/>
    <w:rsid w:val="3A05BDD3"/>
    <w:rsid w:val="3A091655"/>
    <w:rsid w:val="3A13C0DA"/>
    <w:rsid w:val="3A159610"/>
    <w:rsid w:val="3A1B7CBD"/>
    <w:rsid w:val="3A215BAC"/>
    <w:rsid w:val="3A25A185"/>
    <w:rsid w:val="3A2BE612"/>
    <w:rsid w:val="3A35124E"/>
    <w:rsid w:val="3A408B8B"/>
    <w:rsid w:val="3A4CD3BC"/>
    <w:rsid w:val="3A5419BE"/>
    <w:rsid w:val="3A583D42"/>
    <w:rsid w:val="3A5A2A37"/>
    <w:rsid w:val="3A67266A"/>
    <w:rsid w:val="3A686B1F"/>
    <w:rsid w:val="3A71A4EC"/>
    <w:rsid w:val="3A7B230D"/>
    <w:rsid w:val="3A82DEBD"/>
    <w:rsid w:val="3A8B9F1A"/>
    <w:rsid w:val="3A9034E6"/>
    <w:rsid w:val="3A9E8E31"/>
    <w:rsid w:val="3AB1BFAF"/>
    <w:rsid w:val="3AB3582F"/>
    <w:rsid w:val="3AB7EA7F"/>
    <w:rsid w:val="3AB99296"/>
    <w:rsid w:val="3ABF0097"/>
    <w:rsid w:val="3AC1722B"/>
    <w:rsid w:val="3AC60309"/>
    <w:rsid w:val="3ACDA831"/>
    <w:rsid w:val="3AD640B7"/>
    <w:rsid w:val="3AD898A5"/>
    <w:rsid w:val="3ADCBF2D"/>
    <w:rsid w:val="3AE9E824"/>
    <w:rsid w:val="3AEB235C"/>
    <w:rsid w:val="3AEECC33"/>
    <w:rsid w:val="3AFC2542"/>
    <w:rsid w:val="3B0964B0"/>
    <w:rsid w:val="3B17CD1D"/>
    <w:rsid w:val="3B1BC9B5"/>
    <w:rsid w:val="3B1C0F05"/>
    <w:rsid w:val="3B224C20"/>
    <w:rsid w:val="3B2CD595"/>
    <w:rsid w:val="3B2CFBED"/>
    <w:rsid w:val="3B31B242"/>
    <w:rsid w:val="3B3A6A2C"/>
    <w:rsid w:val="3B4A232D"/>
    <w:rsid w:val="3B5087B5"/>
    <w:rsid w:val="3B54CDC6"/>
    <w:rsid w:val="3B564C84"/>
    <w:rsid w:val="3B5AC833"/>
    <w:rsid w:val="3B656D7A"/>
    <w:rsid w:val="3B6869E4"/>
    <w:rsid w:val="3B722CC8"/>
    <w:rsid w:val="3B72A158"/>
    <w:rsid w:val="3B8F1720"/>
    <w:rsid w:val="3B965C0C"/>
    <w:rsid w:val="3B9B4776"/>
    <w:rsid w:val="3BA279E2"/>
    <w:rsid w:val="3BA2CE4B"/>
    <w:rsid w:val="3BA7C967"/>
    <w:rsid w:val="3BA7D409"/>
    <w:rsid w:val="3BA7F9B3"/>
    <w:rsid w:val="3BAA7889"/>
    <w:rsid w:val="3BB16671"/>
    <w:rsid w:val="3BB45083"/>
    <w:rsid w:val="3BBDC5E5"/>
    <w:rsid w:val="3BBE989A"/>
    <w:rsid w:val="3BC432D9"/>
    <w:rsid w:val="3BCF9C13"/>
    <w:rsid w:val="3BD3A9A2"/>
    <w:rsid w:val="3BD4E9EC"/>
    <w:rsid w:val="3BD86FFD"/>
    <w:rsid w:val="3BE92CFB"/>
    <w:rsid w:val="3BF0A02C"/>
    <w:rsid w:val="3BF7BC0A"/>
    <w:rsid w:val="3BF99078"/>
    <w:rsid w:val="3BFB86B1"/>
    <w:rsid w:val="3C0C2AC1"/>
    <w:rsid w:val="3C24BDC3"/>
    <w:rsid w:val="3C257535"/>
    <w:rsid w:val="3C2A498B"/>
    <w:rsid w:val="3C3A6A4F"/>
    <w:rsid w:val="3C4A563D"/>
    <w:rsid w:val="3C4FEF95"/>
    <w:rsid w:val="3C6573F6"/>
    <w:rsid w:val="3C686E8B"/>
    <w:rsid w:val="3C6EA2FB"/>
    <w:rsid w:val="3C7416A8"/>
    <w:rsid w:val="3C776D13"/>
    <w:rsid w:val="3C80CBED"/>
    <w:rsid w:val="3C8898F4"/>
    <w:rsid w:val="3C8E413A"/>
    <w:rsid w:val="3CA42943"/>
    <w:rsid w:val="3CA4A7E9"/>
    <w:rsid w:val="3CA7F24D"/>
    <w:rsid w:val="3CAB2C8C"/>
    <w:rsid w:val="3CAE0302"/>
    <w:rsid w:val="3CB1AEE5"/>
    <w:rsid w:val="3CB5873B"/>
    <w:rsid w:val="3CC6B53B"/>
    <w:rsid w:val="3CDC6D77"/>
    <w:rsid w:val="3CF54952"/>
    <w:rsid w:val="3CF5C74E"/>
    <w:rsid w:val="3CFB4876"/>
    <w:rsid w:val="3D0AEFB1"/>
    <w:rsid w:val="3D15C2E7"/>
    <w:rsid w:val="3D19D980"/>
    <w:rsid w:val="3D1CC049"/>
    <w:rsid w:val="3D2415FD"/>
    <w:rsid w:val="3D38DF4C"/>
    <w:rsid w:val="3D3C3E53"/>
    <w:rsid w:val="3D3F904D"/>
    <w:rsid w:val="3D41D742"/>
    <w:rsid w:val="3D4A1A23"/>
    <w:rsid w:val="3D4D36D2"/>
    <w:rsid w:val="3D5434A4"/>
    <w:rsid w:val="3D568423"/>
    <w:rsid w:val="3D587DB3"/>
    <w:rsid w:val="3D593A27"/>
    <w:rsid w:val="3D5E3081"/>
    <w:rsid w:val="3D63A30A"/>
    <w:rsid w:val="3D6519F3"/>
    <w:rsid w:val="3D6B6C74"/>
    <w:rsid w:val="3D718FE5"/>
    <w:rsid w:val="3D74BE09"/>
    <w:rsid w:val="3D82A33B"/>
    <w:rsid w:val="3D85B411"/>
    <w:rsid w:val="3D873D10"/>
    <w:rsid w:val="3D8928C8"/>
    <w:rsid w:val="3D8E9615"/>
    <w:rsid w:val="3D90459F"/>
    <w:rsid w:val="3D930E8C"/>
    <w:rsid w:val="3D93D708"/>
    <w:rsid w:val="3D9BE79F"/>
    <w:rsid w:val="3DA634E1"/>
    <w:rsid w:val="3DAD8694"/>
    <w:rsid w:val="3DB35C1D"/>
    <w:rsid w:val="3DBBDFA5"/>
    <w:rsid w:val="3DC0399B"/>
    <w:rsid w:val="3DC30488"/>
    <w:rsid w:val="3DC58001"/>
    <w:rsid w:val="3DC75B73"/>
    <w:rsid w:val="3DC7CFA3"/>
    <w:rsid w:val="3DCDF601"/>
    <w:rsid w:val="3DD210E2"/>
    <w:rsid w:val="3DD68476"/>
    <w:rsid w:val="3DE1B3C8"/>
    <w:rsid w:val="3DE29DB5"/>
    <w:rsid w:val="3DF0B20B"/>
    <w:rsid w:val="3DF84C9F"/>
    <w:rsid w:val="3DF8FEB0"/>
    <w:rsid w:val="3E00C618"/>
    <w:rsid w:val="3E090A97"/>
    <w:rsid w:val="3E098EC8"/>
    <w:rsid w:val="3E0D7276"/>
    <w:rsid w:val="3E0FFC04"/>
    <w:rsid w:val="3E133AC5"/>
    <w:rsid w:val="3E133D74"/>
    <w:rsid w:val="3E25AED6"/>
    <w:rsid w:val="3E290058"/>
    <w:rsid w:val="3E3456E9"/>
    <w:rsid w:val="3E3A77BE"/>
    <w:rsid w:val="3E5F2F67"/>
    <w:rsid w:val="3E607251"/>
    <w:rsid w:val="3E6BF10C"/>
    <w:rsid w:val="3E6BF9D8"/>
    <w:rsid w:val="3E6D7C89"/>
    <w:rsid w:val="3E70829D"/>
    <w:rsid w:val="3E71359C"/>
    <w:rsid w:val="3E79D669"/>
    <w:rsid w:val="3E7BEDF4"/>
    <w:rsid w:val="3E8E1AFF"/>
    <w:rsid w:val="3E9FFAA5"/>
    <w:rsid w:val="3EA0B561"/>
    <w:rsid w:val="3EAE506E"/>
    <w:rsid w:val="3EB4DAAA"/>
    <w:rsid w:val="3EB64CF1"/>
    <w:rsid w:val="3EB8BB9C"/>
    <w:rsid w:val="3EC94527"/>
    <w:rsid w:val="3ECBBEAF"/>
    <w:rsid w:val="3EDBF277"/>
    <w:rsid w:val="3EE66E16"/>
    <w:rsid w:val="3EE81A0B"/>
    <w:rsid w:val="3EEED8ED"/>
    <w:rsid w:val="3EF7AA18"/>
    <w:rsid w:val="3EF8CA0D"/>
    <w:rsid w:val="3F095AD5"/>
    <w:rsid w:val="3F0C74CA"/>
    <w:rsid w:val="3F0DB909"/>
    <w:rsid w:val="3F0DDFC5"/>
    <w:rsid w:val="3F0E3C21"/>
    <w:rsid w:val="3F1240E7"/>
    <w:rsid w:val="3F130C22"/>
    <w:rsid w:val="3F16ABCA"/>
    <w:rsid w:val="3F19064A"/>
    <w:rsid w:val="3F1A56BC"/>
    <w:rsid w:val="3F1A5DCA"/>
    <w:rsid w:val="3F2BDDA4"/>
    <w:rsid w:val="3F406473"/>
    <w:rsid w:val="3F439497"/>
    <w:rsid w:val="3F453CEC"/>
    <w:rsid w:val="3F45A19C"/>
    <w:rsid w:val="3F622E3E"/>
    <w:rsid w:val="3F66C26F"/>
    <w:rsid w:val="3F693682"/>
    <w:rsid w:val="3F6B5557"/>
    <w:rsid w:val="3F6C120B"/>
    <w:rsid w:val="3F704F44"/>
    <w:rsid w:val="3F75E538"/>
    <w:rsid w:val="3F7DD8C7"/>
    <w:rsid w:val="3F80FE27"/>
    <w:rsid w:val="3F81222E"/>
    <w:rsid w:val="3F81B830"/>
    <w:rsid w:val="3F859AAF"/>
    <w:rsid w:val="3F8843F5"/>
    <w:rsid w:val="3F8ABE7B"/>
    <w:rsid w:val="3F960344"/>
    <w:rsid w:val="3F9941C0"/>
    <w:rsid w:val="3F9E1D5D"/>
    <w:rsid w:val="3F9F2FA7"/>
    <w:rsid w:val="3FA080BD"/>
    <w:rsid w:val="3FA159BB"/>
    <w:rsid w:val="3FA2E2BA"/>
    <w:rsid w:val="3FA68E7F"/>
    <w:rsid w:val="3FA85983"/>
    <w:rsid w:val="3FAA5F28"/>
    <w:rsid w:val="3FAD382B"/>
    <w:rsid w:val="3FAFFDFC"/>
    <w:rsid w:val="3FB00FC6"/>
    <w:rsid w:val="3FB2B5A9"/>
    <w:rsid w:val="3FB94C41"/>
    <w:rsid w:val="3FBF3F48"/>
    <w:rsid w:val="3FD20750"/>
    <w:rsid w:val="3FD89E89"/>
    <w:rsid w:val="3FE01F7D"/>
    <w:rsid w:val="3FE19445"/>
    <w:rsid w:val="3FE50B38"/>
    <w:rsid w:val="3FF02747"/>
    <w:rsid w:val="3FF48A08"/>
    <w:rsid w:val="3FFF93D8"/>
    <w:rsid w:val="4003BFFE"/>
    <w:rsid w:val="4008F31D"/>
    <w:rsid w:val="40135C4C"/>
    <w:rsid w:val="4013A159"/>
    <w:rsid w:val="402393D9"/>
    <w:rsid w:val="40269093"/>
    <w:rsid w:val="4030F4D7"/>
    <w:rsid w:val="4045534D"/>
    <w:rsid w:val="404E768E"/>
    <w:rsid w:val="404EB329"/>
    <w:rsid w:val="404F19C0"/>
    <w:rsid w:val="40505F94"/>
    <w:rsid w:val="40532423"/>
    <w:rsid w:val="4055B565"/>
    <w:rsid w:val="4055E836"/>
    <w:rsid w:val="40596891"/>
    <w:rsid w:val="4059A78D"/>
    <w:rsid w:val="405EB6EA"/>
    <w:rsid w:val="407AE738"/>
    <w:rsid w:val="407D2859"/>
    <w:rsid w:val="4088C3C7"/>
    <w:rsid w:val="408C12CF"/>
    <w:rsid w:val="409AAC54"/>
    <w:rsid w:val="40AA0922"/>
    <w:rsid w:val="40AAC2B5"/>
    <w:rsid w:val="40B19CF1"/>
    <w:rsid w:val="40B4480D"/>
    <w:rsid w:val="40CC2663"/>
    <w:rsid w:val="40CE5241"/>
    <w:rsid w:val="40DE0B27"/>
    <w:rsid w:val="40E5203D"/>
    <w:rsid w:val="40E85D35"/>
    <w:rsid w:val="40EFF99A"/>
    <w:rsid w:val="40F573AA"/>
    <w:rsid w:val="41052D1E"/>
    <w:rsid w:val="41085534"/>
    <w:rsid w:val="4109D002"/>
    <w:rsid w:val="411CF119"/>
    <w:rsid w:val="41266527"/>
    <w:rsid w:val="4128D41A"/>
    <w:rsid w:val="412C170C"/>
    <w:rsid w:val="412CB231"/>
    <w:rsid w:val="412EE49D"/>
    <w:rsid w:val="412F479C"/>
    <w:rsid w:val="4134777E"/>
    <w:rsid w:val="4137C2AF"/>
    <w:rsid w:val="4143B5D6"/>
    <w:rsid w:val="4145EC7A"/>
    <w:rsid w:val="41520EB3"/>
    <w:rsid w:val="415FB760"/>
    <w:rsid w:val="41660B55"/>
    <w:rsid w:val="4170B57E"/>
    <w:rsid w:val="4171C6D5"/>
    <w:rsid w:val="417D00B2"/>
    <w:rsid w:val="4182C986"/>
    <w:rsid w:val="418628E3"/>
    <w:rsid w:val="4188EFFB"/>
    <w:rsid w:val="4193DC17"/>
    <w:rsid w:val="41960B68"/>
    <w:rsid w:val="419C3169"/>
    <w:rsid w:val="41A5B4C3"/>
    <w:rsid w:val="41BB7251"/>
    <w:rsid w:val="41D0EABD"/>
    <w:rsid w:val="41D4AB7E"/>
    <w:rsid w:val="41DC4448"/>
    <w:rsid w:val="41E61726"/>
    <w:rsid w:val="420C506F"/>
    <w:rsid w:val="422476A2"/>
    <w:rsid w:val="422A9702"/>
    <w:rsid w:val="423351F3"/>
    <w:rsid w:val="4235D49A"/>
    <w:rsid w:val="424359B3"/>
    <w:rsid w:val="4245A10E"/>
    <w:rsid w:val="424EA703"/>
    <w:rsid w:val="42510B36"/>
    <w:rsid w:val="42552925"/>
    <w:rsid w:val="4257B031"/>
    <w:rsid w:val="4257CD18"/>
    <w:rsid w:val="425A3083"/>
    <w:rsid w:val="426244CC"/>
    <w:rsid w:val="426B67BD"/>
    <w:rsid w:val="4276CD7A"/>
    <w:rsid w:val="427828F8"/>
    <w:rsid w:val="428268AA"/>
    <w:rsid w:val="4292655F"/>
    <w:rsid w:val="429E6331"/>
    <w:rsid w:val="429EFF45"/>
    <w:rsid w:val="42A5E432"/>
    <w:rsid w:val="42A89093"/>
    <w:rsid w:val="42C1ACBE"/>
    <w:rsid w:val="42C9165D"/>
    <w:rsid w:val="42D80B03"/>
    <w:rsid w:val="42DB21F8"/>
    <w:rsid w:val="42DC74FC"/>
    <w:rsid w:val="42E0560E"/>
    <w:rsid w:val="42E58A12"/>
    <w:rsid w:val="42F2A751"/>
    <w:rsid w:val="42FC0871"/>
    <w:rsid w:val="4300CC43"/>
    <w:rsid w:val="4314BA73"/>
    <w:rsid w:val="43296AE9"/>
    <w:rsid w:val="432B5609"/>
    <w:rsid w:val="432D2BB0"/>
    <w:rsid w:val="4331893A"/>
    <w:rsid w:val="433997DD"/>
    <w:rsid w:val="433B6601"/>
    <w:rsid w:val="4345B894"/>
    <w:rsid w:val="434B4B6E"/>
    <w:rsid w:val="434C7073"/>
    <w:rsid w:val="43505CDE"/>
    <w:rsid w:val="4355093F"/>
    <w:rsid w:val="43560768"/>
    <w:rsid w:val="435AB35D"/>
    <w:rsid w:val="4366915F"/>
    <w:rsid w:val="4369D8C7"/>
    <w:rsid w:val="436B4287"/>
    <w:rsid w:val="43763D68"/>
    <w:rsid w:val="43830DBF"/>
    <w:rsid w:val="4385CA33"/>
    <w:rsid w:val="438A389E"/>
    <w:rsid w:val="438FD725"/>
    <w:rsid w:val="4394AC35"/>
    <w:rsid w:val="43AA31B0"/>
    <w:rsid w:val="43ABA947"/>
    <w:rsid w:val="43B775E7"/>
    <w:rsid w:val="43B7DD05"/>
    <w:rsid w:val="43BC7856"/>
    <w:rsid w:val="43C31B74"/>
    <w:rsid w:val="43C6FBF4"/>
    <w:rsid w:val="43D7D965"/>
    <w:rsid w:val="43DC32DA"/>
    <w:rsid w:val="43E262A2"/>
    <w:rsid w:val="43EA3DF2"/>
    <w:rsid w:val="43EBC02A"/>
    <w:rsid w:val="43FE69C8"/>
    <w:rsid w:val="440013DF"/>
    <w:rsid w:val="44031E49"/>
    <w:rsid w:val="440C57D0"/>
    <w:rsid w:val="4414E5F6"/>
    <w:rsid w:val="4415C826"/>
    <w:rsid w:val="4415CD14"/>
    <w:rsid w:val="441A71EE"/>
    <w:rsid w:val="441DDCC8"/>
    <w:rsid w:val="4420DE47"/>
    <w:rsid w:val="44256BEB"/>
    <w:rsid w:val="44290703"/>
    <w:rsid w:val="442E2EE8"/>
    <w:rsid w:val="4430A255"/>
    <w:rsid w:val="4432776A"/>
    <w:rsid w:val="4432A361"/>
    <w:rsid w:val="4443DBD5"/>
    <w:rsid w:val="4470079C"/>
    <w:rsid w:val="4473AE27"/>
    <w:rsid w:val="447B7A3A"/>
    <w:rsid w:val="447FAAA4"/>
    <w:rsid w:val="448E794E"/>
    <w:rsid w:val="449234C3"/>
    <w:rsid w:val="4495FF1F"/>
    <w:rsid w:val="44A072FB"/>
    <w:rsid w:val="44A84F34"/>
    <w:rsid w:val="44A8C6E0"/>
    <w:rsid w:val="44BEE81B"/>
    <w:rsid w:val="44C41C96"/>
    <w:rsid w:val="44CFEFC2"/>
    <w:rsid w:val="44D4201E"/>
    <w:rsid w:val="44DD9F24"/>
    <w:rsid w:val="44DF160A"/>
    <w:rsid w:val="44E59579"/>
    <w:rsid w:val="44E5C253"/>
    <w:rsid w:val="44F2F112"/>
    <w:rsid w:val="44F55352"/>
    <w:rsid w:val="44FE4207"/>
    <w:rsid w:val="45072258"/>
    <w:rsid w:val="4509B13A"/>
    <w:rsid w:val="451245CB"/>
    <w:rsid w:val="45157244"/>
    <w:rsid w:val="4517FC24"/>
    <w:rsid w:val="451B4546"/>
    <w:rsid w:val="4527FE4B"/>
    <w:rsid w:val="453A3175"/>
    <w:rsid w:val="4541C909"/>
    <w:rsid w:val="4547D0F1"/>
    <w:rsid w:val="454AEF80"/>
    <w:rsid w:val="454DEB3C"/>
    <w:rsid w:val="454E58B2"/>
    <w:rsid w:val="455416E5"/>
    <w:rsid w:val="455D198E"/>
    <w:rsid w:val="456E453E"/>
    <w:rsid w:val="456EF06A"/>
    <w:rsid w:val="457645AF"/>
    <w:rsid w:val="457B0BFE"/>
    <w:rsid w:val="45824213"/>
    <w:rsid w:val="45905624"/>
    <w:rsid w:val="4598C518"/>
    <w:rsid w:val="4599D2DB"/>
    <w:rsid w:val="459DB3D1"/>
    <w:rsid w:val="45A1D314"/>
    <w:rsid w:val="45A315F9"/>
    <w:rsid w:val="45A3DCEB"/>
    <w:rsid w:val="45A711B0"/>
    <w:rsid w:val="45B25CB4"/>
    <w:rsid w:val="45B32951"/>
    <w:rsid w:val="45C1D5DF"/>
    <w:rsid w:val="45CBA009"/>
    <w:rsid w:val="45D802AC"/>
    <w:rsid w:val="45E011E8"/>
    <w:rsid w:val="45E1AC83"/>
    <w:rsid w:val="45E2B175"/>
    <w:rsid w:val="45E4B93F"/>
    <w:rsid w:val="46006F1E"/>
    <w:rsid w:val="460863E7"/>
    <w:rsid w:val="460B018A"/>
    <w:rsid w:val="460D58D6"/>
    <w:rsid w:val="460ED2E8"/>
    <w:rsid w:val="46140F11"/>
    <w:rsid w:val="4614BF78"/>
    <w:rsid w:val="461971E3"/>
    <w:rsid w:val="462AF5C7"/>
    <w:rsid w:val="463D71E1"/>
    <w:rsid w:val="4647AEED"/>
    <w:rsid w:val="46500A87"/>
    <w:rsid w:val="4659F2EF"/>
    <w:rsid w:val="465AC3C8"/>
    <w:rsid w:val="466E931F"/>
    <w:rsid w:val="4671CEB8"/>
    <w:rsid w:val="46784BFA"/>
    <w:rsid w:val="46798637"/>
    <w:rsid w:val="467F4560"/>
    <w:rsid w:val="46878927"/>
    <w:rsid w:val="468EC3F5"/>
    <w:rsid w:val="469CD209"/>
    <w:rsid w:val="46A5432E"/>
    <w:rsid w:val="46B4BC08"/>
    <w:rsid w:val="46B55DC7"/>
    <w:rsid w:val="46B59F20"/>
    <w:rsid w:val="46CEDABF"/>
    <w:rsid w:val="46D42EEA"/>
    <w:rsid w:val="46D65C19"/>
    <w:rsid w:val="46E65C22"/>
    <w:rsid w:val="46E67293"/>
    <w:rsid w:val="46FACBB3"/>
    <w:rsid w:val="470D158F"/>
    <w:rsid w:val="470D3B1F"/>
    <w:rsid w:val="470DD280"/>
    <w:rsid w:val="471F3DD0"/>
    <w:rsid w:val="47218967"/>
    <w:rsid w:val="472B2F2D"/>
    <w:rsid w:val="472C0BC9"/>
    <w:rsid w:val="4735B5EF"/>
    <w:rsid w:val="47447DFE"/>
    <w:rsid w:val="474EA67C"/>
    <w:rsid w:val="4751EBBB"/>
    <w:rsid w:val="475D9FEA"/>
    <w:rsid w:val="475E7089"/>
    <w:rsid w:val="475F82E4"/>
    <w:rsid w:val="47695FC6"/>
    <w:rsid w:val="477ED5B3"/>
    <w:rsid w:val="47847973"/>
    <w:rsid w:val="47877A79"/>
    <w:rsid w:val="479B7C33"/>
    <w:rsid w:val="479D94D1"/>
    <w:rsid w:val="47A05825"/>
    <w:rsid w:val="47A47F15"/>
    <w:rsid w:val="47A77372"/>
    <w:rsid w:val="47B8D034"/>
    <w:rsid w:val="47BC7882"/>
    <w:rsid w:val="47C249AE"/>
    <w:rsid w:val="47C3C7C4"/>
    <w:rsid w:val="47CCADFE"/>
    <w:rsid w:val="47CEC4E3"/>
    <w:rsid w:val="47D20316"/>
    <w:rsid w:val="47D3663A"/>
    <w:rsid w:val="47DE529E"/>
    <w:rsid w:val="47EBF003"/>
    <w:rsid w:val="47EF120F"/>
    <w:rsid w:val="47F0CB17"/>
    <w:rsid w:val="47F1EDC3"/>
    <w:rsid w:val="47FEF167"/>
    <w:rsid w:val="4805579E"/>
    <w:rsid w:val="480A1F3D"/>
    <w:rsid w:val="482268B7"/>
    <w:rsid w:val="48296BDE"/>
    <w:rsid w:val="482A38DF"/>
    <w:rsid w:val="483391FB"/>
    <w:rsid w:val="48387290"/>
    <w:rsid w:val="484017C2"/>
    <w:rsid w:val="48419646"/>
    <w:rsid w:val="4849CAF7"/>
    <w:rsid w:val="484BCCED"/>
    <w:rsid w:val="484D5872"/>
    <w:rsid w:val="48698E3E"/>
    <w:rsid w:val="486B01FA"/>
    <w:rsid w:val="4872A461"/>
    <w:rsid w:val="4874546E"/>
    <w:rsid w:val="4875EF8D"/>
    <w:rsid w:val="4876D21E"/>
    <w:rsid w:val="487F938A"/>
    <w:rsid w:val="48804AD7"/>
    <w:rsid w:val="488424FB"/>
    <w:rsid w:val="48860283"/>
    <w:rsid w:val="48961C81"/>
    <w:rsid w:val="489B305A"/>
    <w:rsid w:val="48A3791E"/>
    <w:rsid w:val="48A5161E"/>
    <w:rsid w:val="48B0ADEC"/>
    <w:rsid w:val="48BF056B"/>
    <w:rsid w:val="48C0947D"/>
    <w:rsid w:val="48C21B00"/>
    <w:rsid w:val="48C52584"/>
    <w:rsid w:val="48C61254"/>
    <w:rsid w:val="48C8396F"/>
    <w:rsid w:val="48E68B41"/>
    <w:rsid w:val="48EA76DD"/>
    <w:rsid w:val="48EE9F56"/>
    <w:rsid w:val="48EF3829"/>
    <w:rsid w:val="48F37300"/>
    <w:rsid w:val="48F5D771"/>
    <w:rsid w:val="48FA5B3A"/>
    <w:rsid w:val="4900BCF3"/>
    <w:rsid w:val="4905B72F"/>
    <w:rsid w:val="490DA4B5"/>
    <w:rsid w:val="49184E58"/>
    <w:rsid w:val="49268724"/>
    <w:rsid w:val="4926F5D5"/>
    <w:rsid w:val="4928A7B8"/>
    <w:rsid w:val="492EB677"/>
    <w:rsid w:val="4934D664"/>
    <w:rsid w:val="49493509"/>
    <w:rsid w:val="494DF52D"/>
    <w:rsid w:val="4951A7AA"/>
    <w:rsid w:val="49529688"/>
    <w:rsid w:val="49532E51"/>
    <w:rsid w:val="49553898"/>
    <w:rsid w:val="49633AE6"/>
    <w:rsid w:val="496CAAE8"/>
    <w:rsid w:val="496E96A0"/>
    <w:rsid w:val="497384EE"/>
    <w:rsid w:val="49820450"/>
    <w:rsid w:val="49877EA0"/>
    <w:rsid w:val="4997BF56"/>
    <w:rsid w:val="49A890F4"/>
    <w:rsid w:val="49AD1204"/>
    <w:rsid w:val="49AFF1E3"/>
    <w:rsid w:val="49B03A30"/>
    <w:rsid w:val="49B16F06"/>
    <w:rsid w:val="49B8D615"/>
    <w:rsid w:val="49BBFD92"/>
    <w:rsid w:val="49D58E76"/>
    <w:rsid w:val="49E45774"/>
    <w:rsid w:val="49E7CA84"/>
    <w:rsid w:val="49EA1F96"/>
    <w:rsid w:val="49F11D6F"/>
    <w:rsid w:val="49F3AA9C"/>
    <w:rsid w:val="4A09BB1C"/>
    <w:rsid w:val="4A176254"/>
    <w:rsid w:val="4A1963CC"/>
    <w:rsid w:val="4A1BAFC6"/>
    <w:rsid w:val="4A1F9347"/>
    <w:rsid w:val="4A1FAA56"/>
    <w:rsid w:val="4A20D21E"/>
    <w:rsid w:val="4A2A5D00"/>
    <w:rsid w:val="4A373BB2"/>
    <w:rsid w:val="4A39A00E"/>
    <w:rsid w:val="4A435F6E"/>
    <w:rsid w:val="4A4AD589"/>
    <w:rsid w:val="4A57AD15"/>
    <w:rsid w:val="4A6BE63B"/>
    <w:rsid w:val="4A71FEAD"/>
    <w:rsid w:val="4A749379"/>
    <w:rsid w:val="4A9C09CC"/>
    <w:rsid w:val="4A9D2683"/>
    <w:rsid w:val="4A9E37AF"/>
    <w:rsid w:val="4AAB1BAE"/>
    <w:rsid w:val="4AB0AB74"/>
    <w:rsid w:val="4AB380C6"/>
    <w:rsid w:val="4AB7C796"/>
    <w:rsid w:val="4AC64E25"/>
    <w:rsid w:val="4AD0CA26"/>
    <w:rsid w:val="4AD11322"/>
    <w:rsid w:val="4AD37D51"/>
    <w:rsid w:val="4AD3C49E"/>
    <w:rsid w:val="4AD49734"/>
    <w:rsid w:val="4ADBE2F7"/>
    <w:rsid w:val="4AE25B10"/>
    <w:rsid w:val="4AECE856"/>
    <w:rsid w:val="4AEDFCF3"/>
    <w:rsid w:val="4AEE5B03"/>
    <w:rsid w:val="4AF9CA1D"/>
    <w:rsid w:val="4B107367"/>
    <w:rsid w:val="4B27FFD1"/>
    <w:rsid w:val="4B2AB9AB"/>
    <w:rsid w:val="4B365334"/>
    <w:rsid w:val="4B365E5A"/>
    <w:rsid w:val="4B406E4E"/>
    <w:rsid w:val="4B5AADEF"/>
    <w:rsid w:val="4B6CFE21"/>
    <w:rsid w:val="4B742AC3"/>
    <w:rsid w:val="4B7A0A31"/>
    <w:rsid w:val="4B976BED"/>
    <w:rsid w:val="4B99F194"/>
    <w:rsid w:val="4B9BC20B"/>
    <w:rsid w:val="4B9F3914"/>
    <w:rsid w:val="4BA17274"/>
    <w:rsid w:val="4BA478DF"/>
    <w:rsid w:val="4BA490BE"/>
    <w:rsid w:val="4BA6CD74"/>
    <w:rsid w:val="4BB2308B"/>
    <w:rsid w:val="4BBAF051"/>
    <w:rsid w:val="4BC7A19A"/>
    <w:rsid w:val="4BC985DD"/>
    <w:rsid w:val="4BD3FEA9"/>
    <w:rsid w:val="4BD5931E"/>
    <w:rsid w:val="4BDB7CFA"/>
    <w:rsid w:val="4BE7D0A4"/>
    <w:rsid w:val="4BE96FCE"/>
    <w:rsid w:val="4BECFBA3"/>
    <w:rsid w:val="4BED56D1"/>
    <w:rsid w:val="4BEF75B7"/>
    <w:rsid w:val="4C092712"/>
    <w:rsid w:val="4C0FAE9F"/>
    <w:rsid w:val="4C0FE3AB"/>
    <w:rsid w:val="4C113722"/>
    <w:rsid w:val="4C19CBDC"/>
    <w:rsid w:val="4C203A21"/>
    <w:rsid w:val="4C211849"/>
    <w:rsid w:val="4C27904A"/>
    <w:rsid w:val="4C3936BF"/>
    <w:rsid w:val="4C53A287"/>
    <w:rsid w:val="4C559E34"/>
    <w:rsid w:val="4C588582"/>
    <w:rsid w:val="4C59453D"/>
    <w:rsid w:val="4C5B4B87"/>
    <w:rsid w:val="4C67CDEC"/>
    <w:rsid w:val="4C736656"/>
    <w:rsid w:val="4C79F896"/>
    <w:rsid w:val="4C8BAD4F"/>
    <w:rsid w:val="4C9B450E"/>
    <w:rsid w:val="4C9E748C"/>
    <w:rsid w:val="4CA05C4E"/>
    <w:rsid w:val="4CA67719"/>
    <w:rsid w:val="4CA80A50"/>
    <w:rsid w:val="4CACB86C"/>
    <w:rsid w:val="4CB1E470"/>
    <w:rsid w:val="4CB94B95"/>
    <w:rsid w:val="4CBCB456"/>
    <w:rsid w:val="4CBD9355"/>
    <w:rsid w:val="4CC0084A"/>
    <w:rsid w:val="4CC6BA63"/>
    <w:rsid w:val="4CD016A8"/>
    <w:rsid w:val="4CD91CC0"/>
    <w:rsid w:val="4CE9B239"/>
    <w:rsid w:val="4CEB3AD7"/>
    <w:rsid w:val="4CF1B4D9"/>
    <w:rsid w:val="4CFA0327"/>
    <w:rsid w:val="4CFE4416"/>
    <w:rsid w:val="4CFE91C1"/>
    <w:rsid w:val="4D03060C"/>
    <w:rsid w:val="4D0491B2"/>
    <w:rsid w:val="4D0B313D"/>
    <w:rsid w:val="4D1E7612"/>
    <w:rsid w:val="4D2361D1"/>
    <w:rsid w:val="4D251B53"/>
    <w:rsid w:val="4D2A0AA8"/>
    <w:rsid w:val="4D2FD840"/>
    <w:rsid w:val="4D348F6F"/>
    <w:rsid w:val="4D3D9584"/>
    <w:rsid w:val="4D45530A"/>
    <w:rsid w:val="4D46F007"/>
    <w:rsid w:val="4D4905EA"/>
    <w:rsid w:val="4D4B228B"/>
    <w:rsid w:val="4D4F0316"/>
    <w:rsid w:val="4D505742"/>
    <w:rsid w:val="4D56268B"/>
    <w:rsid w:val="4D5D5467"/>
    <w:rsid w:val="4D5D7CD1"/>
    <w:rsid w:val="4D6757F1"/>
    <w:rsid w:val="4D708EE0"/>
    <w:rsid w:val="4D724CE4"/>
    <w:rsid w:val="4D737F7C"/>
    <w:rsid w:val="4D89B138"/>
    <w:rsid w:val="4D89C956"/>
    <w:rsid w:val="4D92E922"/>
    <w:rsid w:val="4D9ABABB"/>
    <w:rsid w:val="4DA6EB94"/>
    <w:rsid w:val="4DA91513"/>
    <w:rsid w:val="4DB2824D"/>
    <w:rsid w:val="4DB426C8"/>
    <w:rsid w:val="4DB896A5"/>
    <w:rsid w:val="4DBD049A"/>
    <w:rsid w:val="4DBD6E99"/>
    <w:rsid w:val="4DDA7EE6"/>
    <w:rsid w:val="4DDCE190"/>
    <w:rsid w:val="4DE341C0"/>
    <w:rsid w:val="4DE988EE"/>
    <w:rsid w:val="4DEA9D71"/>
    <w:rsid w:val="4E069E77"/>
    <w:rsid w:val="4E17EF79"/>
    <w:rsid w:val="4E19974D"/>
    <w:rsid w:val="4E1AED52"/>
    <w:rsid w:val="4E208382"/>
    <w:rsid w:val="4E291A4C"/>
    <w:rsid w:val="4E29D967"/>
    <w:rsid w:val="4E336928"/>
    <w:rsid w:val="4E36F618"/>
    <w:rsid w:val="4E38890C"/>
    <w:rsid w:val="4E4EE6FC"/>
    <w:rsid w:val="4E5150AE"/>
    <w:rsid w:val="4E5C32BA"/>
    <w:rsid w:val="4E66137F"/>
    <w:rsid w:val="4E856A53"/>
    <w:rsid w:val="4E87B88D"/>
    <w:rsid w:val="4E91D357"/>
    <w:rsid w:val="4E995DE1"/>
    <w:rsid w:val="4EA03F22"/>
    <w:rsid w:val="4EA171AA"/>
    <w:rsid w:val="4EA4D412"/>
    <w:rsid w:val="4EB1318C"/>
    <w:rsid w:val="4EB49CCD"/>
    <w:rsid w:val="4EB4CF7C"/>
    <w:rsid w:val="4EBBE61E"/>
    <w:rsid w:val="4EC870E8"/>
    <w:rsid w:val="4EC87E00"/>
    <w:rsid w:val="4ECC29FA"/>
    <w:rsid w:val="4EE9D14D"/>
    <w:rsid w:val="4EEC27A3"/>
    <w:rsid w:val="4EF4A919"/>
    <w:rsid w:val="4EF4ABA8"/>
    <w:rsid w:val="4EF58065"/>
    <w:rsid w:val="4EF68FC3"/>
    <w:rsid w:val="4F002442"/>
    <w:rsid w:val="4F03FBD4"/>
    <w:rsid w:val="4F095A3B"/>
    <w:rsid w:val="4F0C25C8"/>
    <w:rsid w:val="4F10E5D9"/>
    <w:rsid w:val="4F12348F"/>
    <w:rsid w:val="4F1D609F"/>
    <w:rsid w:val="4F2288BD"/>
    <w:rsid w:val="4F36B6CE"/>
    <w:rsid w:val="4F379CDA"/>
    <w:rsid w:val="4F39FEBF"/>
    <w:rsid w:val="4F4779CB"/>
    <w:rsid w:val="4F4D60F8"/>
    <w:rsid w:val="4F516C9E"/>
    <w:rsid w:val="4F64330F"/>
    <w:rsid w:val="4F6FD947"/>
    <w:rsid w:val="4F7A6143"/>
    <w:rsid w:val="4F7D2F76"/>
    <w:rsid w:val="4F870683"/>
    <w:rsid w:val="4F9130D7"/>
    <w:rsid w:val="4FA3E6A0"/>
    <w:rsid w:val="4FA75620"/>
    <w:rsid w:val="4FB12236"/>
    <w:rsid w:val="4FB71DD4"/>
    <w:rsid w:val="4FB8A8D5"/>
    <w:rsid w:val="4FB8BCA7"/>
    <w:rsid w:val="4FC42F75"/>
    <w:rsid w:val="4FCB7358"/>
    <w:rsid w:val="4FD37815"/>
    <w:rsid w:val="4FD57E76"/>
    <w:rsid w:val="4FDC5CA6"/>
    <w:rsid w:val="4FE5476B"/>
    <w:rsid w:val="4FF42BE3"/>
    <w:rsid w:val="50008F4D"/>
    <w:rsid w:val="50084575"/>
    <w:rsid w:val="50342612"/>
    <w:rsid w:val="50357831"/>
    <w:rsid w:val="503B17BA"/>
    <w:rsid w:val="503C2049"/>
    <w:rsid w:val="504498E2"/>
    <w:rsid w:val="50451467"/>
    <w:rsid w:val="504A4975"/>
    <w:rsid w:val="504CF6D9"/>
    <w:rsid w:val="50540712"/>
    <w:rsid w:val="505DEA97"/>
    <w:rsid w:val="505F6A0E"/>
    <w:rsid w:val="50605F65"/>
    <w:rsid w:val="50689C3B"/>
    <w:rsid w:val="507488A8"/>
    <w:rsid w:val="50764A56"/>
    <w:rsid w:val="507B62D6"/>
    <w:rsid w:val="507DDE4F"/>
    <w:rsid w:val="509197F6"/>
    <w:rsid w:val="5092F6EB"/>
    <w:rsid w:val="50946AD1"/>
    <w:rsid w:val="50956C94"/>
    <w:rsid w:val="50A52A9C"/>
    <w:rsid w:val="50A9E064"/>
    <w:rsid w:val="50B303C2"/>
    <w:rsid w:val="50B599B1"/>
    <w:rsid w:val="50B804F7"/>
    <w:rsid w:val="50BA091F"/>
    <w:rsid w:val="50BF6C3B"/>
    <w:rsid w:val="50E7E7CB"/>
    <w:rsid w:val="50EDA995"/>
    <w:rsid w:val="50F50F5B"/>
    <w:rsid w:val="50F60B7A"/>
    <w:rsid w:val="51043507"/>
    <w:rsid w:val="510B3830"/>
    <w:rsid w:val="5111A6A7"/>
    <w:rsid w:val="51128160"/>
    <w:rsid w:val="511814F5"/>
    <w:rsid w:val="5123603D"/>
    <w:rsid w:val="512F167F"/>
    <w:rsid w:val="5135DC55"/>
    <w:rsid w:val="513CA154"/>
    <w:rsid w:val="513E7E04"/>
    <w:rsid w:val="51407146"/>
    <w:rsid w:val="5147A4D4"/>
    <w:rsid w:val="51529AE9"/>
    <w:rsid w:val="5155619E"/>
    <w:rsid w:val="51578F6E"/>
    <w:rsid w:val="51722D27"/>
    <w:rsid w:val="5172CF33"/>
    <w:rsid w:val="5178B083"/>
    <w:rsid w:val="517A66CB"/>
    <w:rsid w:val="517D77EC"/>
    <w:rsid w:val="518E4A12"/>
    <w:rsid w:val="5194E812"/>
    <w:rsid w:val="519CAC8F"/>
    <w:rsid w:val="51A0A04C"/>
    <w:rsid w:val="51B187EA"/>
    <w:rsid w:val="51BCFDE8"/>
    <w:rsid w:val="51BDDBCE"/>
    <w:rsid w:val="51C17826"/>
    <w:rsid w:val="51DBF199"/>
    <w:rsid w:val="51E7DB6B"/>
    <w:rsid w:val="51EC0D32"/>
    <w:rsid w:val="51F42D7F"/>
    <w:rsid w:val="5218CEC5"/>
    <w:rsid w:val="5219112D"/>
    <w:rsid w:val="5223C865"/>
    <w:rsid w:val="52308B9F"/>
    <w:rsid w:val="5238F82E"/>
    <w:rsid w:val="523FDA9B"/>
    <w:rsid w:val="5242A592"/>
    <w:rsid w:val="524E13DC"/>
    <w:rsid w:val="5261DCED"/>
    <w:rsid w:val="5263A0D4"/>
    <w:rsid w:val="5264190F"/>
    <w:rsid w:val="526A83A1"/>
    <w:rsid w:val="526A9FD5"/>
    <w:rsid w:val="526DDA95"/>
    <w:rsid w:val="527F49FA"/>
    <w:rsid w:val="5287966F"/>
    <w:rsid w:val="528C07C8"/>
    <w:rsid w:val="5291B226"/>
    <w:rsid w:val="52957191"/>
    <w:rsid w:val="52A48453"/>
    <w:rsid w:val="52B09709"/>
    <w:rsid w:val="52B82D26"/>
    <w:rsid w:val="52B9A24A"/>
    <w:rsid w:val="52D194A5"/>
    <w:rsid w:val="52DAD637"/>
    <w:rsid w:val="52E5E9B7"/>
    <w:rsid w:val="5304E598"/>
    <w:rsid w:val="530A8DA1"/>
    <w:rsid w:val="530CB0FF"/>
    <w:rsid w:val="531578E6"/>
    <w:rsid w:val="5318974E"/>
    <w:rsid w:val="531A01EB"/>
    <w:rsid w:val="531C08CA"/>
    <w:rsid w:val="53286A05"/>
    <w:rsid w:val="532AF9BB"/>
    <w:rsid w:val="53396E77"/>
    <w:rsid w:val="533C8733"/>
    <w:rsid w:val="533FBB57"/>
    <w:rsid w:val="534511E9"/>
    <w:rsid w:val="5356F430"/>
    <w:rsid w:val="53571EC8"/>
    <w:rsid w:val="536FF0AA"/>
    <w:rsid w:val="5375846D"/>
    <w:rsid w:val="53779441"/>
    <w:rsid w:val="5379018D"/>
    <w:rsid w:val="538152BF"/>
    <w:rsid w:val="5385F89F"/>
    <w:rsid w:val="5389503C"/>
    <w:rsid w:val="5392C5EF"/>
    <w:rsid w:val="539E9D76"/>
    <w:rsid w:val="53AB4F94"/>
    <w:rsid w:val="53B78BFB"/>
    <w:rsid w:val="53B8678B"/>
    <w:rsid w:val="53BE449A"/>
    <w:rsid w:val="53BF9EB1"/>
    <w:rsid w:val="53C5FBBD"/>
    <w:rsid w:val="53CA11E4"/>
    <w:rsid w:val="53CEA2DF"/>
    <w:rsid w:val="53CF3DEB"/>
    <w:rsid w:val="53D1850E"/>
    <w:rsid w:val="53D7F4BF"/>
    <w:rsid w:val="53D955AF"/>
    <w:rsid w:val="53DC282C"/>
    <w:rsid w:val="53E4987B"/>
    <w:rsid w:val="53EAAD65"/>
    <w:rsid w:val="53EC933A"/>
    <w:rsid w:val="53F056BD"/>
    <w:rsid w:val="53F35FE6"/>
    <w:rsid w:val="53FB9064"/>
    <w:rsid w:val="53FBE6E6"/>
    <w:rsid w:val="54118B09"/>
    <w:rsid w:val="5411E486"/>
    <w:rsid w:val="5413F500"/>
    <w:rsid w:val="54195A5A"/>
    <w:rsid w:val="54250C88"/>
    <w:rsid w:val="54258838"/>
    <w:rsid w:val="5425DBB4"/>
    <w:rsid w:val="542EC488"/>
    <w:rsid w:val="5433C7F9"/>
    <w:rsid w:val="543EDE5B"/>
    <w:rsid w:val="544BE742"/>
    <w:rsid w:val="54563AA7"/>
    <w:rsid w:val="545B00FF"/>
    <w:rsid w:val="545FEE7C"/>
    <w:rsid w:val="54637B4C"/>
    <w:rsid w:val="54708CE3"/>
    <w:rsid w:val="54727FF1"/>
    <w:rsid w:val="548A2990"/>
    <w:rsid w:val="548DFCB6"/>
    <w:rsid w:val="5495A830"/>
    <w:rsid w:val="549AF648"/>
    <w:rsid w:val="549F34E3"/>
    <w:rsid w:val="549FE0BA"/>
    <w:rsid w:val="54BD1395"/>
    <w:rsid w:val="54C8AB3A"/>
    <w:rsid w:val="54CADA68"/>
    <w:rsid w:val="54D2D522"/>
    <w:rsid w:val="54D64879"/>
    <w:rsid w:val="54D7510A"/>
    <w:rsid w:val="54DD7D7B"/>
    <w:rsid w:val="54E1739D"/>
    <w:rsid w:val="54E319A7"/>
    <w:rsid w:val="54E40D63"/>
    <w:rsid w:val="54EE8FE2"/>
    <w:rsid w:val="54F63C19"/>
    <w:rsid w:val="54F6C113"/>
    <w:rsid w:val="54FB6613"/>
    <w:rsid w:val="55001EA5"/>
    <w:rsid w:val="55028405"/>
    <w:rsid w:val="5511BF82"/>
    <w:rsid w:val="55180A05"/>
    <w:rsid w:val="551A4BC8"/>
    <w:rsid w:val="552870AE"/>
    <w:rsid w:val="5532455F"/>
    <w:rsid w:val="5536CDC0"/>
    <w:rsid w:val="55492E28"/>
    <w:rsid w:val="5550A3AE"/>
    <w:rsid w:val="5556B59F"/>
    <w:rsid w:val="5558BF7E"/>
    <w:rsid w:val="555912D1"/>
    <w:rsid w:val="555E9F3B"/>
    <w:rsid w:val="5574336C"/>
    <w:rsid w:val="5577A3DF"/>
    <w:rsid w:val="557FA758"/>
    <w:rsid w:val="55822C8A"/>
    <w:rsid w:val="55824E2E"/>
    <w:rsid w:val="55854E7E"/>
    <w:rsid w:val="55877307"/>
    <w:rsid w:val="558E9DAB"/>
    <w:rsid w:val="559855B9"/>
    <w:rsid w:val="55A364EF"/>
    <w:rsid w:val="55A44F00"/>
    <w:rsid w:val="55A8563D"/>
    <w:rsid w:val="55AC516B"/>
    <w:rsid w:val="55BCA27C"/>
    <w:rsid w:val="55C18E46"/>
    <w:rsid w:val="55C74AFA"/>
    <w:rsid w:val="55E60532"/>
    <w:rsid w:val="55E66C89"/>
    <w:rsid w:val="55F6ADFC"/>
    <w:rsid w:val="55FA6D5F"/>
    <w:rsid w:val="5604DA58"/>
    <w:rsid w:val="56083AD2"/>
    <w:rsid w:val="5610F0B0"/>
    <w:rsid w:val="5612A302"/>
    <w:rsid w:val="5617BC2F"/>
    <w:rsid w:val="561E28AA"/>
    <w:rsid w:val="56307D7B"/>
    <w:rsid w:val="5631DF12"/>
    <w:rsid w:val="5635C723"/>
    <w:rsid w:val="564D8924"/>
    <w:rsid w:val="56529FBE"/>
    <w:rsid w:val="565488EF"/>
    <w:rsid w:val="5664787A"/>
    <w:rsid w:val="56656AB6"/>
    <w:rsid w:val="568F5B1F"/>
    <w:rsid w:val="56AFD806"/>
    <w:rsid w:val="56B39C12"/>
    <w:rsid w:val="56B9D7C1"/>
    <w:rsid w:val="56C07989"/>
    <w:rsid w:val="56D618F0"/>
    <w:rsid w:val="56F65987"/>
    <w:rsid w:val="56FA3E61"/>
    <w:rsid w:val="570828AA"/>
    <w:rsid w:val="571737AD"/>
    <w:rsid w:val="5729E1B5"/>
    <w:rsid w:val="573C5B77"/>
    <w:rsid w:val="574C577E"/>
    <w:rsid w:val="574C732D"/>
    <w:rsid w:val="5763BFE2"/>
    <w:rsid w:val="576ECFC1"/>
    <w:rsid w:val="5772B036"/>
    <w:rsid w:val="5775811E"/>
    <w:rsid w:val="577F544B"/>
    <w:rsid w:val="57845A88"/>
    <w:rsid w:val="5787F81E"/>
    <w:rsid w:val="578FE955"/>
    <w:rsid w:val="5792A1C1"/>
    <w:rsid w:val="579F3A43"/>
    <w:rsid w:val="57A2B98F"/>
    <w:rsid w:val="57A80214"/>
    <w:rsid w:val="57A8A1F5"/>
    <w:rsid w:val="57B8F3CA"/>
    <w:rsid w:val="57BD3295"/>
    <w:rsid w:val="57D1032F"/>
    <w:rsid w:val="57DA9B6E"/>
    <w:rsid w:val="57DE0256"/>
    <w:rsid w:val="57E2DC58"/>
    <w:rsid w:val="57EB7E95"/>
    <w:rsid w:val="57F402DA"/>
    <w:rsid w:val="57F5B076"/>
    <w:rsid w:val="57F7484D"/>
    <w:rsid w:val="57F7FD90"/>
    <w:rsid w:val="57F8E0EC"/>
    <w:rsid w:val="57F976A3"/>
    <w:rsid w:val="58003805"/>
    <w:rsid w:val="5806C40F"/>
    <w:rsid w:val="5810FF3A"/>
    <w:rsid w:val="5817014E"/>
    <w:rsid w:val="58183A20"/>
    <w:rsid w:val="581C3577"/>
    <w:rsid w:val="581D8FA4"/>
    <w:rsid w:val="582050A0"/>
    <w:rsid w:val="582E61D5"/>
    <w:rsid w:val="58335789"/>
    <w:rsid w:val="5836826A"/>
    <w:rsid w:val="58394A33"/>
    <w:rsid w:val="583EC9FF"/>
    <w:rsid w:val="583F5D64"/>
    <w:rsid w:val="584C00B4"/>
    <w:rsid w:val="584FAAC7"/>
    <w:rsid w:val="5859BC10"/>
    <w:rsid w:val="585F024B"/>
    <w:rsid w:val="5867385A"/>
    <w:rsid w:val="58676A0C"/>
    <w:rsid w:val="587D807E"/>
    <w:rsid w:val="587E4122"/>
    <w:rsid w:val="58809F10"/>
    <w:rsid w:val="5884E124"/>
    <w:rsid w:val="588CDC55"/>
    <w:rsid w:val="588EF4A1"/>
    <w:rsid w:val="58949D80"/>
    <w:rsid w:val="589D7209"/>
    <w:rsid w:val="58A43351"/>
    <w:rsid w:val="58AA69C3"/>
    <w:rsid w:val="58AB226E"/>
    <w:rsid w:val="58AD807E"/>
    <w:rsid w:val="58AEA475"/>
    <w:rsid w:val="58AEAFD8"/>
    <w:rsid w:val="58B06A6A"/>
    <w:rsid w:val="58B0C288"/>
    <w:rsid w:val="58B3080E"/>
    <w:rsid w:val="58B70C03"/>
    <w:rsid w:val="58BA9069"/>
    <w:rsid w:val="58C285D5"/>
    <w:rsid w:val="58C34D62"/>
    <w:rsid w:val="58C442E5"/>
    <w:rsid w:val="58C8FA72"/>
    <w:rsid w:val="58D13105"/>
    <w:rsid w:val="58D89BE3"/>
    <w:rsid w:val="58DFC40A"/>
    <w:rsid w:val="58E049A4"/>
    <w:rsid w:val="58E78F60"/>
    <w:rsid w:val="58EDEBD0"/>
    <w:rsid w:val="58EF97A0"/>
    <w:rsid w:val="58F99D4E"/>
    <w:rsid w:val="59068C42"/>
    <w:rsid w:val="59103C49"/>
    <w:rsid w:val="591E05AC"/>
    <w:rsid w:val="59236ACC"/>
    <w:rsid w:val="5924541F"/>
    <w:rsid w:val="5925A2EE"/>
    <w:rsid w:val="592C747B"/>
    <w:rsid w:val="592FE690"/>
    <w:rsid w:val="5933E8C4"/>
    <w:rsid w:val="593864CE"/>
    <w:rsid w:val="594422B5"/>
    <w:rsid w:val="5947E261"/>
    <w:rsid w:val="594B9E80"/>
    <w:rsid w:val="59677F7C"/>
    <w:rsid w:val="59751FB0"/>
    <w:rsid w:val="598C29B1"/>
    <w:rsid w:val="598EF9F0"/>
    <w:rsid w:val="598F8907"/>
    <w:rsid w:val="599D9EE3"/>
    <w:rsid w:val="599E4B8B"/>
    <w:rsid w:val="599E915D"/>
    <w:rsid w:val="59A81529"/>
    <w:rsid w:val="59BB109C"/>
    <w:rsid w:val="59C4407F"/>
    <w:rsid w:val="59D0B9DE"/>
    <w:rsid w:val="59D37D85"/>
    <w:rsid w:val="59D8F53C"/>
    <w:rsid w:val="59DA9A60"/>
    <w:rsid w:val="59E3D9F2"/>
    <w:rsid w:val="59E4C5F1"/>
    <w:rsid w:val="59E822D7"/>
    <w:rsid w:val="59FBE1D1"/>
    <w:rsid w:val="5A0061CE"/>
    <w:rsid w:val="5A109075"/>
    <w:rsid w:val="5A167C01"/>
    <w:rsid w:val="5A173722"/>
    <w:rsid w:val="5A268294"/>
    <w:rsid w:val="5A382599"/>
    <w:rsid w:val="5A4A2003"/>
    <w:rsid w:val="5A70CFC6"/>
    <w:rsid w:val="5A7551CF"/>
    <w:rsid w:val="5A8A47E0"/>
    <w:rsid w:val="5A8D42F2"/>
    <w:rsid w:val="5A941F45"/>
    <w:rsid w:val="5AA1F97C"/>
    <w:rsid w:val="5AAF7DCB"/>
    <w:rsid w:val="5AB1EA56"/>
    <w:rsid w:val="5AB6A596"/>
    <w:rsid w:val="5AC20220"/>
    <w:rsid w:val="5AC2F4BF"/>
    <w:rsid w:val="5ACBAD8F"/>
    <w:rsid w:val="5AD6D902"/>
    <w:rsid w:val="5ADA4ABD"/>
    <w:rsid w:val="5ADC98CD"/>
    <w:rsid w:val="5ADFC30B"/>
    <w:rsid w:val="5AE1B9AA"/>
    <w:rsid w:val="5AE58626"/>
    <w:rsid w:val="5AE949BB"/>
    <w:rsid w:val="5AEC0FFD"/>
    <w:rsid w:val="5AEC1BE8"/>
    <w:rsid w:val="5AEFB957"/>
    <w:rsid w:val="5AF5A745"/>
    <w:rsid w:val="5AF77E2A"/>
    <w:rsid w:val="5B01AD02"/>
    <w:rsid w:val="5B132642"/>
    <w:rsid w:val="5B16949E"/>
    <w:rsid w:val="5B1918F1"/>
    <w:rsid w:val="5B275A73"/>
    <w:rsid w:val="5B33E7AA"/>
    <w:rsid w:val="5B4EF694"/>
    <w:rsid w:val="5B5357D3"/>
    <w:rsid w:val="5B5C9FAF"/>
    <w:rsid w:val="5B5E11C4"/>
    <w:rsid w:val="5B62D74C"/>
    <w:rsid w:val="5B6CCC35"/>
    <w:rsid w:val="5B847485"/>
    <w:rsid w:val="5B970E63"/>
    <w:rsid w:val="5BAB3EB1"/>
    <w:rsid w:val="5BC1E13C"/>
    <w:rsid w:val="5BCF310D"/>
    <w:rsid w:val="5BD098C8"/>
    <w:rsid w:val="5BEA94A1"/>
    <w:rsid w:val="5BEF682A"/>
    <w:rsid w:val="5BFEEC1D"/>
    <w:rsid w:val="5C20D410"/>
    <w:rsid w:val="5C2B9BFF"/>
    <w:rsid w:val="5C2C6A39"/>
    <w:rsid w:val="5C2C6E69"/>
    <w:rsid w:val="5C3EC9D3"/>
    <w:rsid w:val="5C47DB22"/>
    <w:rsid w:val="5C552B34"/>
    <w:rsid w:val="5C55871A"/>
    <w:rsid w:val="5C5AABAB"/>
    <w:rsid w:val="5C5F6FE8"/>
    <w:rsid w:val="5C6663DB"/>
    <w:rsid w:val="5C67320B"/>
    <w:rsid w:val="5C6B97A7"/>
    <w:rsid w:val="5C6BE14F"/>
    <w:rsid w:val="5C70D8F9"/>
    <w:rsid w:val="5C883898"/>
    <w:rsid w:val="5C898A20"/>
    <w:rsid w:val="5C8D7628"/>
    <w:rsid w:val="5CA87B1D"/>
    <w:rsid w:val="5CAEC983"/>
    <w:rsid w:val="5CB35C57"/>
    <w:rsid w:val="5CB3E05F"/>
    <w:rsid w:val="5CBDC637"/>
    <w:rsid w:val="5CBF5D0A"/>
    <w:rsid w:val="5CC5A05C"/>
    <w:rsid w:val="5CD7783A"/>
    <w:rsid w:val="5CE36D53"/>
    <w:rsid w:val="5CE9EC47"/>
    <w:rsid w:val="5CEC5A8C"/>
    <w:rsid w:val="5CEF3A0D"/>
    <w:rsid w:val="5CEFF32F"/>
    <w:rsid w:val="5D02F251"/>
    <w:rsid w:val="5D09F38D"/>
    <w:rsid w:val="5D137E69"/>
    <w:rsid w:val="5D1AC385"/>
    <w:rsid w:val="5D389E25"/>
    <w:rsid w:val="5D3B5373"/>
    <w:rsid w:val="5D559829"/>
    <w:rsid w:val="5D789EE9"/>
    <w:rsid w:val="5D86E8BC"/>
    <w:rsid w:val="5D89FADE"/>
    <w:rsid w:val="5D8E338B"/>
    <w:rsid w:val="5D97403A"/>
    <w:rsid w:val="5D9CF790"/>
    <w:rsid w:val="5DA5ACE5"/>
    <w:rsid w:val="5DA61622"/>
    <w:rsid w:val="5DAC0F72"/>
    <w:rsid w:val="5DAE3CFF"/>
    <w:rsid w:val="5DAF812D"/>
    <w:rsid w:val="5DB4B383"/>
    <w:rsid w:val="5DB4BE2C"/>
    <w:rsid w:val="5DC46C70"/>
    <w:rsid w:val="5DC6366C"/>
    <w:rsid w:val="5DCB87F6"/>
    <w:rsid w:val="5DCBA77E"/>
    <w:rsid w:val="5DCD5963"/>
    <w:rsid w:val="5DD127EC"/>
    <w:rsid w:val="5DD445D1"/>
    <w:rsid w:val="5DD6411A"/>
    <w:rsid w:val="5DD67637"/>
    <w:rsid w:val="5DD8E53A"/>
    <w:rsid w:val="5DE41893"/>
    <w:rsid w:val="5DE981D6"/>
    <w:rsid w:val="5DED3C5F"/>
    <w:rsid w:val="5DF0A438"/>
    <w:rsid w:val="5DF46ACB"/>
    <w:rsid w:val="5E083B79"/>
    <w:rsid w:val="5E0B2D5B"/>
    <w:rsid w:val="5E0B7C60"/>
    <w:rsid w:val="5E0D8C52"/>
    <w:rsid w:val="5E177708"/>
    <w:rsid w:val="5E17E379"/>
    <w:rsid w:val="5E1A34F6"/>
    <w:rsid w:val="5E34D101"/>
    <w:rsid w:val="5E3A6084"/>
    <w:rsid w:val="5E3E4D6C"/>
    <w:rsid w:val="5E3E82DE"/>
    <w:rsid w:val="5E3F886A"/>
    <w:rsid w:val="5E42A71E"/>
    <w:rsid w:val="5E46DD43"/>
    <w:rsid w:val="5E6A535E"/>
    <w:rsid w:val="5E6B6119"/>
    <w:rsid w:val="5E711006"/>
    <w:rsid w:val="5E83FE66"/>
    <w:rsid w:val="5E9180E2"/>
    <w:rsid w:val="5EA66630"/>
    <w:rsid w:val="5EA891B9"/>
    <w:rsid w:val="5EB693E6"/>
    <w:rsid w:val="5ECCD2AE"/>
    <w:rsid w:val="5ECFC74B"/>
    <w:rsid w:val="5ED60A86"/>
    <w:rsid w:val="5EDFEEDD"/>
    <w:rsid w:val="5EF0E666"/>
    <w:rsid w:val="5EF68D7E"/>
    <w:rsid w:val="5EF9ECD3"/>
    <w:rsid w:val="5F02D133"/>
    <w:rsid w:val="5F06B861"/>
    <w:rsid w:val="5F0BF9B1"/>
    <w:rsid w:val="5F0C182D"/>
    <w:rsid w:val="5F12B061"/>
    <w:rsid w:val="5F1B293C"/>
    <w:rsid w:val="5F1EF7AF"/>
    <w:rsid w:val="5F3AD1CB"/>
    <w:rsid w:val="5F448DDA"/>
    <w:rsid w:val="5F48344E"/>
    <w:rsid w:val="5F4CC454"/>
    <w:rsid w:val="5F4EEC52"/>
    <w:rsid w:val="5F539332"/>
    <w:rsid w:val="5F5A934C"/>
    <w:rsid w:val="5F644FCA"/>
    <w:rsid w:val="5F6690E0"/>
    <w:rsid w:val="5F70FD96"/>
    <w:rsid w:val="5F7E5132"/>
    <w:rsid w:val="5F8D1DAD"/>
    <w:rsid w:val="5F8EC6E3"/>
    <w:rsid w:val="5F923C9D"/>
    <w:rsid w:val="5F9267D9"/>
    <w:rsid w:val="5F92B9E1"/>
    <w:rsid w:val="5F930A03"/>
    <w:rsid w:val="5F9975F8"/>
    <w:rsid w:val="5F9FAEF5"/>
    <w:rsid w:val="5FA7E2A3"/>
    <w:rsid w:val="5FA927AA"/>
    <w:rsid w:val="5FAC8F6C"/>
    <w:rsid w:val="5FC2BE37"/>
    <w:rsid w:val="5FC8C8F1"/>
    <w:rsid w:val="5FD1B2F5"/>
    <w:rsid w:val="5FD5A07F"/>
    <w:rsid w:val="5FE50D0C"/>
    <w:rsid w:val="5FE80185"/>
    <w:rsid w:val="5FEFE95D"/>
    <w:rsid w:val="5FF73AC3"/>
    <w:rsid w:val="5FFD2231"/>
    <w:rsid w:val="5FFFBC31"/>
    <w:rsid w:val="6003CC1D"/>
    <w:rsid w:val="6005F676"/>
    <w:rsid w:val="6009CCC3"/>
    <w:rsid w:val="600DBD18"/>
    <w:rsid w:val="6016C3E9"/>
    <w:rsid w:val="6016E5FB"/>
    <w:rsid w:val="601F4EBA"/>
    <w:rsid w:val="602DD060"/>
    <w:rsid w:val="602FBFE5"/>
    <w:rsid w:val="604FC3D1"/>
    <w:rsid w:val="605B4C44"/>
    <w:rsid w:val="605CE3F7"/>
    <w:rsid w:val="60693F2E"/>
    <w:rsid w:val="606CD13C"/>
    <w:rsid w:val="606FD1F3"/>
    <w:rsid w:val="607B2C8F"/>
    <w:rsid w:val="607D3DC3"/>
    <w:rsid w:val="6085B16F"/>
    <w:rsid w:val="609CE02B"/>
    <w:rsid w:val="60A1952D"/>
    <w:rsid w:val="60A26661"/>
    <w:rsid w:val="60AE1172"/>
    <w:rsid w:val="60B01F5C"/>
    <w:rsid w:val="60B806CE"/>
    <w:rsid w:val="60BCAE2A"/>
    <w:rsid w:val="60BCBDBA"/>
    <w:rsid w:val="60C517D8"/>
    <w:rsid w:val="60C6C81B"/>
    <w:rsid w:val="60CD92FF"/>
    <w:rsid w:val="60D71D55"/>
    <w:rsid w:val="60E12EE9"/>
    <w:rsid w:val="60E77BF0"/>
    <w:rsid w:val="60F443D8"/>
    <w:rsid w:val="60F71813"/>
    <w:rsid w:val="6106A3B9"/>
    <w:rsid w:val="6106CFF8"/>
    <w:rsid w:val="6108C3FD"/>
    <w:rsid w:val="6109BEB5"/>
    <w:rsid w:val="61126B92"/>
    <w:rsid w:val="611BF4CE"/>
    <w:rsid w:val="61230E47"/>
    <w:rsid w:val="6124837A"/>
    <w:rsid w:val="612A28C2"/>
    <w:rsid w:val="612C3CF8"/>
    <w:rsid w:val="613B0A0D"/>
    <w:rsid w:val="6149BE89"/>
    <w:rsid w:val="614F1552"/>
    <w:rsid w:val="615636AA"/>
    <w:rsid w:val="61596541"/>
    <w:rsid w:val="6159E851"/>
    <w:rsid w:val="615C32E8"/>
    <w:rsid w:val="6160BDD2"/>
    <w:rsid w:val="6162A4EE"/>
    <w:rsid w:val="616CE5A5"/>
    <w:rsid w:val="61769417"/>
    <w:rsid w:val="61825500"/>
    <w:rsid w:val="61836FCA"/>
    <w:rsid w:val="618975B2"/>
    <w:rsid w:val="618AA9F4"/>
    <w:rsid w:val="61934C3A"/>
    <w:rsid w:val="61A03702"/>
    <w:rsid w:val="61A960EA"/>
    <w:rsid w:val="61AE5E07"/>
    <w:rsid w:val="61B1DCE6"/>
    <w:rsid w:val="61B760DF"/>
    <w:rsid w:val="61BAC4D2"/>
    <w:rsid w:val="61BC0083"/>
    <w:rsid w:val="61BD8066"/>
    <w:rsid w:val="61BF1253"/>
    <w:rsid w:val="61DD64B0"/>
    <w:rsid w:val="61DDB169"/>
    <w:rsid w:val="61E50E7C"/>
    <w:rsid w:val="61EB5052"/>
    <w:rsid w:val="61F1433D"/>
    <w:rsid w:val="61F35BFA"/>
    <w:rsid w:val="62030F76"/>
    <w:rsid w:val="620DA7D4"/>
    <w:rsid w:val="6215202B"/>
    <w:rsid w:val="62177E8F"/>
    <w:rsid w:val="6217C60C"/>
    <w:rsid w:val="6217D52A"/>
    <w:rsid w:val="6222A30D"/>
    <w:rsid w:val="622549A1"/>
    <w:rsid w:val="622E9548"/>
    <w:rsid w:val="622F21AB"/>
    <w:rsid w:val="622FCDEB"/>
    <w:rsid w:val="623B4FF2"/>
    <w:rsid w:val="624BB3FA"/>
    <w:rsid w:val="6256DFAF"/>
    <w:rsid w:val="62581B6F"/>
    <w:rsid w:val="625E8AD1"/>
    <w:rsid w:val="625E93B8"/>
    <w:rsid w:val="6265506B"/>
    <w:rsid w:val="6268C804"/>
    <w:rsid w:val="626CD14B"/>
    <w:rsid w:val="626D360B"/>
    <w:rsid w:val="627312B1"/>
    <w:rsid w:val="627976AD"/>
    <w:rsid w:val="62812324"/>
    <w:rsid w:val="6283B680"/>
    <w:rsid w:val="6286E652"/>
    <w:rsid w:val="62881E69"/>
    <w:rsid w:val="6288B125"/>
    <w:rsid w:val="628AB120"/>
    <w:rsid w:val="628ABF8E"/>
    <w:rsid w:val="628F8FF5"/>
    <w:rsid w:val="6294462B"/>
    <w:rsid w:val="62969B19"/>
    <w:rsid w:val="6296C488"/>
    <w:rsid w:val="6299D0D3"/>
    <w:rsid w:val="629E2F9C"/>
    <w:rsid w:val="62BB6EA7"/>
    <w:rsid w:val="62BEFCF3"/>
    <w:rsid w:val="62C41991"/>
    <w:rsid w:val="62CCDDCB"/>
    <w:rsid w:val="62D33A08"/>
    <w:rsid w:val="62E43FC0"/>
    <w:rsid w:val="62F0097D"/>
    <w:rsid w:val="62F36FC2"/>
    <w:rsid w:val="62F679DA"/>
    <w:rsid w:val="63014DAD"/>
    <w:rsid w:val="6302B107"/>
    <w:rsid w:val="63035D40"/>
    <w:rsid w:val="6308A89C"/>
    <w:rsid w:val="63154017"/>
    <w:rsid w:val="6319EC78"/>
    <w:rsid w:val="631B201F"/>
    <w:rsid w:val="631F74CB"/>
    <w:rsid w:val="632156CD"/>
    <w:rsid w:val="6328CA2E"/>
    <w:rsid w:val="6331B95D"/>
    <w:rsid w:val="63331474"/>
    <w:rsid w:val="6335FC5B"/>
    <w:rsid w:val="633E0E9E"/>
    <w:rsid w:val="633E8483"/>
    <w:rsid w:val="6343FC15"/>
    <w:rsid w:val="6344CDEF"/>
    <w:rsid w:val="634AB432"/>
    <w:rsid w:val="635095B6"/>
    <w:rsid w:val="635AD016"/>
    <w:rsid w:val="635E41F1"/>
    <w:rsid w:val="63695A4B"/>
    <w:rsid w:val="636D8690"/>
    <w:rsid w:val="6372D9A2"/>
    <w:rsid w:val="6388E586"/>
    <w:rsid w:val="639205D2"/>
    <w:rsid w:val="63A7A8C7"/>
    <w:rsid w:val="63AF59DF"/>
    <w:rsid w:val="63BFF7AA"/>
    <w:rsid w:val="63C78024"/>
    <w:rsid w:val="63DF178F"/>
    <w:rsid w:val="63EACF36"/>
    <w:rsid w:val="63EBA377"/>
    <w:rsid w:val="641BAFDC"/>
    <w:rsid w:val="6429ACBB"/>
    <w:rsid w:val="642AADF7"/>
    <w:rsid w:val="642D591D"/>
    <w:rsid w:val="64326B7A"/>
    <w:rsid w:val="644B3AD4"/>
    <w:rsid w:val="644C7A55"/>
    <w:rsid w:val="6450B21F"/>
    <w:rsid w:val="6453CE87"/>
    <w:rsid w:val="646538FD"/>
    <w:rsid w:val="646E704B"/>
    <w:rsid w:val="647A8B0B"/>
    <w:rsid w:val="647D8FF9"/>
    <w:rsid w:val="647F6B2A"/>
    <w:rsid w:val="64847EC1"/>
    <w:rsid w:val="6487C775"/>
    <w:rsid w:val="648FC14C"/>
    <w:rsid w:val="649229E8"/>
    <w:rsid w:val="649C1A44"/>
    <w:rsid w:val="649CB1DA"/>
    <w:rsid w:val="64A00F42"/>
    <w:rsid w:val="64C18D73"/>
    <w:rsid w:val="64C82B57"/>
    <w:rsid w:val="64CC2A4D"/>
    <w:rsid w:val="64CEDF6E"/>
    <w:rsid w:val="64D0AAEA"/>
    <w:rsid w:val="64E06001"/>
    <w:rsid w:val="64E197C5"/>
    <w:rsid w:val="64E2666E"/>
    <w:rsid w:val="64E53575"/>
    <w:rsid w:val="64F97A12"/>
    <w:rsid w:val="650739FC"/>
    <w:rsid w:val="650CEB58"/>
    <w:rsid w:val="6512F941"/>
    <w:rsid w:val="651E54CF"/>
    <w:rsid w:val="6524F902"/>
    <w:rsid w:val="6536B1D2"/>
    <w:rsid w:val="653F4B6E"/>
    <w:rsid w:val="6542022B"/>
    <w:rsid w:val="654FEE96"/>
    <w:rsid w:val="65588102"/>
    <w:rsid w:val="65604F5B"/>
    <w:rsid w:val="6563E9B5"/>
    <w:rsid w:val="6573706F"/>
    <w:rsid w:val="65772421"/>
    <w:rsid w:val="657A4732"/>
    <w:rsid w:val="6581A250"/>
    <w:rsid w:val="659F720A"/>
    <w:rsid w:val="659F8477"/>
    <w:rsid w:val="65A9E18A"/>
    <w:rsid w:val="65AB954A"/>
    <w:rsid w:val="65B75217"/>
    <w:rsid w:val="65C25224"/>
    <w:rsid w:val="65C78E7E"/>
    <w:rsid w:val="65C9223E"/>
    <w:rsid w:val="65D263D0"/>
    <w:rsid w:val="65D9E70C"/>
    <w:rsid w:val="65E35809"/>
    <w:rsid w:val="65ED89E9"/>
    <w:rsid w:val="65F26236"/>
    <w:rsid w:val="65F7E79D"/>
    <w:rsid w:val="660CD86A"/>
    <w:rsid w:val="660EC926"/>
    <w:rsid w:val="6616FDF6"/>
    <w:rsid w:val="661D370C"/>
    <w:rsid w:val="66232969"/>
    <w:rsid w:val="662821AF"/>
    <w:rsid w:val="662C61A2"/>
    <w:rsid w:val="6639CAC4"/>
    <w:rsid w:val="663BD8F2"/>
    <w:rsid w:val="663C86F7"/>
    <w:rsid w:val="6641C4CA"/>
    <w:rsid w:val="66489F99"/>
    <w:rsid w:val="664D8C65"/>
    <w:rsid w:val="664FF952"/>
    <w:rsid w:val="6651845C"/>
    <w:rsid w:val="6654091A"/>
    <w:rsid w:val="666BAD77"/>
    <w:rsid w:val="666FE739"/>
    <w:rsid w:val="66702ABA"/>
    <w:rsid w:val="667329EC"/>
    <w:rsid w:val="66762FEA"/>
    <w:rsid w:val="6677561B"/>
    <w:rsid w:val="66814E56"/>
    <w:rsid w:val="66850179"/>
    <w:rsid w:val="669DE0DA"/>
    <w:rsid w:val="66B282C9"/>
    <w:rsid w:val="66C1E2A8"/>
    <w:rsid w:val="66C4DA47"/>
    <w:rsid w:val="66D7F558"/>
    <w:rsid w:val="66DCE61D"/>
    <w:rsid w:val="66E6C23C"/>
    <w:rsid w:val="66E7F70B"/>
    <w:rsid w:val="66EA2433"/>
    <w:rsid w:val="66EE6F65"/>
    <w:rsid w:val="66F19152"/>
    <w:rsid w:val="66F35355"/>
    <w:rsid w:val="66FB9380"/>
    <w:rsid w:val="670BF6BB"/>
    <w:rsid w:val="6711EBC7"/>
    <w:rsid w:val="67143B00"/>
    <w:rsid w:val="671F3FBA"/>
    <w:rsid w:val="67242F59"/>
    <w:rsid w:val="67272F29"/>
    <w:rsid w:val="6727D411"/>
    <w:rsid w:val="672E4184"/>
    <w:rsid w:val="6731F5A6"/>
    <w:rsid w:val="6736F33C"/>
    <w:rsid w:val="673F68F8"/>
    <w:rsid w:val="67437FC7"/>
    <w:rsid w:val="67451E84"/>
    <w:rsid w:val="67469B62"/>
    <w:rsid w:val="674AB6C6"/>
    <w:rsid w:val="675B346E"/>
    <w:rsid w:val="6772B9F4"/>
    <w:rsid w:val="6777B3BF"/>
    <w:rsid w:val="677DE59F"/>
    <w:rsid w:val="6780AC8B"/>
    <w:rsid w:val="6783200C"/>
    <w:rsid w:val="67972CDF"/>
    <w:rsid w:val="67996381"/>
    <w:rsid w:val="679B6B12"/>
    <w:rsid w:val="679E1BE8"/>
    <w:rsid w:val="67A53111"/>
    <w:rsid w:val="67A7CEDB"/>
    <w:rsid w:val="67ABE09B"/>
    <w:rsid w:val="67B03BA4"/>
    <w:rsid w:val="67B2EF8A"/>
    <w:rsid w:val="67CD069F"/>
    <w:rsid w:val="67D3652D"/>
    <w:rsid w:val="67D42A4D"/>
    <w:rsid w:val="67D8DEA8"/>
    <w:rsid w:val="67DCE293"/>
    <w:rsid w:val="67DF1CE2"/>
    <w:rsid w:val="67F00C16"/>
    <w:rsid w:val="67FEFDB3"/>
    <w:rsid w:val="680FD6FD"/>
    <w:rsid w:val="68116E7E"/>
    <w:rsid w:val="681A1F52"/>
    <w:rsid w:val="68218DA2"/>
    <w:rsid w:val="6823CC6A"/>
    <w:rsid w:val="6824BB73"/>
    <w:rsid w:val="6826339F"/>
    <w:rsid w:val="6827D27F"/>
    <w:rsid w:val="68281250"/>
    <w:rsid w:val="682BCCEC"/>
    <w:rsid w:val="682C4957"/>
    <w:rsid w:val="682DADAC"/>
    <w:rsid w:val="682DD5DA"/>
    <w:rsid w:val="682F14CC"/>
    <w:rsid w:val="6834A3DD"/>
    <w:rsid w:val="683943F1"/>
    <w:rsid w:val="6846CD81"/>
    <w:rsid w:val="684B2238"/>
    <w:rsid w:val="685F8E21"/>
    <w:rsid w:val="686E5294"/>
    <w:rsid w:val="688F4AE5"/>
    <w:rsid w:val="6890A646"/>
    <w:rsid w:val="6895C5B2"/>
    <w:rsid w:val="68974EB1"/>
    <w:rsid w:val="689BA706"/>
    <w:rsid w:val="689CFE4A"/>
    <w:rsid w:val="68A58CC2"/>
    <w:rsid w:val="68A66401"/>
    <w:rsid w:val="68A6D75D"/>
    <w:rsid w:val="68A7B684"/>
    <w:rsid w:val="68AE30BA"/>
    <w:rsid w:val="68B6780E"/>
    <w:rsid w:val="68BD70F7"/>
    <w:rsid w:val="68C16080"/>
    <w:rsid w:val="68C1995C"/>
    <w:rsid w:val="68D32057"/>
    <w:rsid w:val="68D56AC1"/>
    <w:rsid w:val="68D5B429"/>
    <w:rsid w:val="68D72DBB"/>
    <w:rsid w:val="68E6BE58"/>
    <w:rsid w:val="6904E25C"/>
    <w:rsid w:val="6907BA23"/>
    <w:rsid w:val="690DA524"/>
    <w:rsid w:val="6911F318"/>
    <w:rsid w:val="692A76DF"/>
    <w:rsid w:val="692B7E91"/>
    <w:rsid w:val="692C5048"/>
    <w:rsid w:val="692D57F4"/>
    <w:rsid w:val="692F885F"/>
    <w:rsid w:val="69304B7C"/>
    <w:rsid w:val="69311235"/>
    <w:rsid w:val="6932FD40"/>
    <w:rsid w:val="6933A008"/>
    <w:rsid w:val="693A1364"/>
    <w:rsid w:val="693DBED9"/>
    <w:rsid w:val="69441650"/>
    <w:rsid w:val="694DBF4E"/>
    <w:rsid w:val="6955545F"/>
    <w:rsid w:val="6957C4CB"/>
    <w:rsid w:val="6960FD06"/>
    <w:rsid w:val="69719DF4"/>
    <w:rsid w:val="6972D284"/>
    <w:rsid w:val="6974E1DA"/>
    <w:rsid w:val="6977D215"/>
    <w:rsid w:val="69828CA6"/>
    <w:rsid w:val="69883D48"/>
    <w:rsid w:val="6989251E"/>
    <w:rsid w:val="698AF347"/>
    <w:rsid w:val="698B4292"/>
    <w:rsid w:val="699187C7"/>
    <w:rsid w:val="69955F4A"/>
    <w:rsid w:val="699B9C7A"/>
    <w:rsid w:val="69AE999C"/>
    <w:rsid w:val="69B8BA60"/>
    <w:rsid w:val="69C4E2F9"/>
    <w:rsid w:val="69C7E0CE"/>
    <w:rsid w:val="69C99E01"/>
    <w:rsid w:val="69CC6621"/>
    <w:rsid w:val="69D14B91"/>
    <w:rsid w:val="69D172FE"/>
    <w:rsid w:val="69D5BE95"/>
    <w:rsid w:val="69E05600"/>
    <w:rsid w:val="69E3AC40"/>
    <w:rsid w:val="69E90D44"/>
    <w:rsid w:val="69EB42EB"/>
    <w:rsid w:val="69EF7E64"/>
    <w:rsid w:val="69F0641B"/>
    <w:rsid w:val="69FBE745"/>
    <w:rsid w:val="6A05D29F"/>
    <w:rsid w:val="6A060825"/>
    <w:rsid w:val="6A0894A0"/>
    <w:rsid w:val="6A0C7AFB"/>
    <w:rsid w:val="6A0DC42C"/>
    <w:rsid w:val="6A1B6020"/>
    <w:rsid w:val="6A1CEC3A"/>
    <w:rsid w:val="6A1F8600"/>
    <w:rsid w:val="6A2088C0"/>
    <w:rsid w:val="6A26B2AD"/>
    <w:rsid w:val="6A27D5DB"/>
    <w:rsid w:val="6A333503"/>
    <w:rsid w:val="6A3A51F7"/>
    <w:rsid w:val="6A3E5E8E"/>
    <w:rsid w:val="6A448BBF"/>
    <w:rsid w:val="6A4FC6E5"/>
    <w:rsid w:val="6A5CB83B"/>
    <w:rsid w:val="6A5D69BD"/>
    <w:rsid w:val="6A621315"/>
    <w:rsid w:val="6A66E303"/>
    <w:rsid w:val="6A68CD43"/>
    <w:rsid w:val="6A71B5C4"/>
    <w:rsid w:val="6A71CFE9"/>
    <w:rsid w:val="6A76E703"/>
    <w:rsid w:val="6A786909"/>
    <w:rsid w:val="6A7F4E6E"/>
    <w:rsid w:val="6A89DD1C"/>
    <w:rsid w:val="6A8D1563"/>
    <w:rsid w:val="6A94FA0D"/>
    <w:rsid w:val="6A9612E0"/>
    <w:rsid w:val="6A9C9A18"/>
    <w:rsid w:val="6AA3F5A6"/>
    <w:rsid w:val="6AAA775C"/>
    <w:rsid w:val="6AC224E6"/>
    <w:rsid w:val="6ACC0CBC"/>
    <w:rsid w:val="6ACD20AE"/>
    <w:rsid w:val="6AD5BCAA"/>
    <w:rsid w:val="6ADE43B4"/>
    <w:rsid w:val="6ADF17A9"/>
    <w:rsid w:val="6AE69F8D"/>
    <w:rsid w:val="6AE83C77"/>
    <w:rsid w:val="6AF2DBFE"/>
    <w:rsid w:val="6AF7B759"/>
    <w:rsid w:val="6AF8FD41"/>
    <w:rsid w:val="6B02940E"/>
    <w:rsid w:val="6B0E8E89"/>
    <w:rsid w:val="6B12F375"/>
    <w:rsid w:val="6B14B118"/>
    <w:rsid w:val="6B1FF09E"/>
    <w:rsid w:val="6B2E0FDA"/>
    <w:rsid w:val="6B35C61A"/>
    <w:rsid w:val="6B36BC1C"/>
    <w:rsid w:val="6B395664"/>
    <w:rsid w:val="6B3C10FA"/>
    <w:rsid w:val="6B404DD4"/>
    <w:rsid w:val="6B5110FF"/>
    <w:rsid w:val="6B63F771"/>
    <w:rsid w:val="6B6BB3B9"/>
    <w:rsid w:val="6B71679F"/>
    <w:rsid w:val="6B836909"/>
    <w:rsid w:val="6B846075"/>
    <w:rsid w:val="6B85FDA7"/>
    <w:rsid w:val="6B8F22D4"/>
    <w:rsid w:val="6B904769"/>
    <w:rsid w:val="6B91E401"/>
    <w:rsid w:val="6B972EE3"/>
    <w:rsid w:val="6BBD589F"/>
    <w:rsid w:val="6BC3E8C0"/>
    <w:rsid w:val="6BCAE2C1"/>
    <w:rsid w:val="6BD65D0E"/>
    <w:rsid w:val="6BFD97E4"/>
    <w:rsid w:val="6C0DFCAD"/>
    <w:rsid w:val="6C0F2B41"/>
    <w:rsid w:val="6C15300A"/>
    <w:rsid w:val="6C1ECA26"/>
    <w:rsid w:val="6C1F2CEA"/>
    <w:rsid w:val="6C26FEF6"/>
    <w:rsid w:val="6C49CFAA"/>
    <w:rsid w:val="6C4C176D"/>
    <w:rsid w:val="6C4E00C4"/>
    <w:rsid w:val="6C524DD1"/>
    <w:rsid w:val="6C5BDCCF"/>
    <w:rsid w:val="6C5FCDBD"/>
    <w:rsid w:val="6C67D80C"/>
    <w:rsid w:val="6C795C75"/>
    <w:rsid w:val="6C853DD9"/>
    <w:rsid w:val="6C886D3D"/>
    <w:rsid w:val="6CA4139F"/>
    <w:rsid w:val="6CA989EB"/>
    <w:rsid w:val="6CBEC489"/>
    <w:rsid w:val="6CC20265"/>
    <w:rsid w:val="6CC455AA"/>
    <w:rsid w:val="6CC4F3BB"/>
    <w:rsid w:val="6CC711B7"/>
    <w:rsid w:val="6CC8B366"/>
    <w:rsid w:val="6CCE7350"/>
    <w:rsid w:val="6CCEF9EF"/>
    <w:rsid w:val="6CD33D3C"/>
    <w:rsid w:val="6CE478E5"/>
    <w:rsid w:val="6CEFF09B"/>
    <w:rsid w:val="6D00CD90"/>
    <w:rsid w:val="6D03B7DE"/>
    <w:rsid w:val="6D05CEC1"/>
    <w:rsid w:val="6D0C5910"/>
    <w:rsid w:val="6D208DED"/>
    <w:rsid w:val="6D288062"/>
    <w:rsid w:val="6D29183A"/>
    <w:rsid w:val="6D2DEF45"/>
    <w:rsid w:val="6D2EF4A4"/>
    <w:rsid w:val="6D3762FE"/>
    <w:rsid w:val="6D3A7803"/>
    <w:rsid w:val="6D4CD422"/>
    <w:rsid w:val="6D4F6E49"/>
    <w:rsid w:val="6D5340EF"/>
    <w:rsid w:val="6D5DB118"/>
    <w:rsid w:val="6D5F1D64"/>
    <w:rsid w:val="6D615F1D"/>
    <w:rsid w:val="6D639001"/>
    <w:rsid w:val="6D77064D"/>
    <w:rsid w:val="6D78EA77"/>
    <w:rsid w:val="6D7E0ECD"/>
    <w:rsid w:val="6D889697"/>
    <w:rsid w:val="6D895A36"/>
    <w:rsid w:val="6D9C9E0A"/>
    <w:rsid w:val="6D9E29AA"/>
    <w:rsid w:val="6DB90EE7"/>
    <w:rsid w:val="6DB9B998"/>
    <w:rsid w:val="6DBAB931"/>
    <w:rsid w:val="6DC7DBB8"/>
    <w:rsid w:val="6DC92116"/>
    <w:rsid w:val="6DC9E850"/>
    <w:rsid w:val="6DD75BFD"/>
    <w:rsid w:val="6DD836A2"/>
    <w:rsid w:val="6DE456E1"/>
    <w:rsid w:val="6DE59CC5"/>
    <w:rsid w:val="6DE9D125"/>
    <w:rsid w:val="6DEBCBC5"/>
    <w:rsid w:val="6DFE82FE"/>
    <w:rsid w:val="6E0626E0"/>
    <w:rsid w:val="6E0F34E7"/>
    <w:rsid w:val="6E1202F9"/>
    <w:rsid w:val="6E15FF65"/>
    <w:rsid w:val="6E218C28"/>
    <w:rsid w:val="6E299AA3"/>
    <w:rsid w:val="6E2B204C"/>
    <w:rsid w:val="6E2BE3FA"/>
    <w:rsid w:val="6E3998D8"/>
    <w:rsid w:val="6E3D185D"/>
    <w:rsid w:val="6E3DEBBA"/>
    <w:rsid w:val="6E3F678C"/>
    <w:rsid w:val="6E56F9E8"/>
    <w:rsid w:val="6E61A18C"/>
    <w:rsid w:val="6E73CA35"/>
    <w:rsid w:val="6E812F23"/>
    <w:rsid w:val="6E821C5B"/>
    <w:rsid w:val="6E84CFF3"/>
    <w:rsid w:val="6E8AD089"/>
    <w:rsid w:val="6E9570A5"/>
    <w:rsid w:val="6E961C76"/>
    <w:rsid w:val="6EAF5B31"/>
    <w:rsid w:val="6EAFE312"/>
    <w:rsid w:val="6ED06AB2"/>
    <w:rsid w:val="6ED70D95"/>
    <w:rsid w:val="6ED77672"/>
    <w:rsid w:val="6ED97948"/>
    <w:rsid w:val="6EE8CAFB"/>
    <w:rsid w:val="6EF26006"/>
    <w:rsid w:val="6F133835"/>
    <w:rsid w:val="6F20871C"/>
    <w:rsid w:val="6F36CD94"/>
    <w:rsid w:val="6F43432E"/>
    <w:rsid w:val="6F4D2FC8"/>
    <w:rsid w:val="6F56A570"/>
    <w:rsid w:val="6F594A63"/>
    <w:rsid w:val="6F5CCD70"/>
    <w:rsid w:val="6F635858"/>
    <w:rsid w:val="6F69F43D"/>
    <w:rsid w:val="6F6F744C"/>
    <w:rsid w:val="6F72BDCE"/>
    <w:rsid w:val="6F756208"/>
    <w:rsid w:val="6F800088"/>
    <w:rsid w:val="6F840899"/>
    <w:rsid w:val="6F85A186"/>
    <w:rsid w:val="6F893819"/>
    <w:rsid w:val="6F8A2EBC"/>
    <w:rsid w:val="6F8B693F"/>
    <w:rsid w:val="6F94017F"/>
    <w:rsid w:val="6F944115"/>
    <w:rsid w:val="6F9C7488"/>
    <w:rsid w:val="6FB45813"/>
    <w:rsid w:val="6FBD5953"/>
    <w:rsid w:val="6FBE7340"/>
    <w:rsid w:val="6FBF6086"/>
    <w:rsid w:val="6FC40AC2"/>
    <w:rsid w:val="6FE4F809"/>
    <w:rsid w:val="6FE6C223"/>
    <w:rsid w:val="6FEC9FC5"/>
    <w:rsid w:val="6FEFE36B"/>
    <w:rsid w:val="6FF9BADE"/>
    <w:rsid w:val="7001CCD7"/>
    <w:rsid w:val="700EFCB6"/>
    <w:rsid w:val="7016F1F2"/>
    <w:rsid w:val="701A03AF"/>
    <w:rsid w:val="701BC44E"/>
    <w:rsid w:val="701F95F5"/>
    <w:rsid w:val="7023E5C5"/>
    <w:rsid w:val="70310787"/>
    <w:rsid w:val="7035C8FA"/>
    <w:rsid w:val="703934CD"/>
    <w:rsid w:val="703961A6"/>
    <w:rsid w:val="703FEC62"/>
    <w:rsid w:val="7057805F"/>
    <w:rsid w:val="705CB3E5"/>
    <w:rsid w:val="7060127F"/>
    <w:rsid w:val="70616A43"/>
    <w:rsid w:val="7069859B"/>
    <w:rsid w:val="706FE932"/>
    <w:rsid w:val="7075476A"/>
    <w:rsid w:val="70758E9C"/>
    <w:rsid w:val="708FBDF3"/>
    <w:rsid w:val="708FFE47"/>
    <w:rsid w:val="70966249"/>
    <w:rsid w:val="709B91D7"/>
    <w:rsid w:val="709C9DAF"/>
    <w:rsid w:val="70A87F4B"/>
    <w:rsid w:val="70B1CBEC"/>
    <w:rsid w:val="70B1E942"/>
    <w:rsid w:val="70B20116"/>
    <w:rsid w:val="70B4D157"/>
    <w:rsid w:val="70B93A03"/>
    <w:rsid w:val="70BA19DB"/>
    <w:rsid w:val="70C30ACC"/>
    <w:rsid w:val="70C670AB"/>
    <w:rsid w:val="70C93C82"/>
    <w:rsid w:val="70CE6117"/>
    <w:rsid w:val="70D0BB4A"/>
    <w:rsid w:val="70D32AF4"/>
    <w:rsid w:val="70D5CFA8"/>
    <w:rsid w:val="70E6F997"/>
    <w:rsid w:val="70FA101F"/>
    <w:rsid w:val="71039D90"/>
    <w:rsid w:val="71042C72"/>
    <w:rsid w:val="7108964A"/>
    <w:rsid w:val="711324A9"/>
    <w:rsid w:val="711F7822"/>
    <w:rsid w:val="7121FBA0"/>
    <w:rsid w:val="7125B4CF"/>
    <w:rsid w:val="71279F98"/>
    <w:rsid w:val="7127C60E"/>
    <w:rsid w:val="712A16DF"/>
    <w:rsid w:val="713588C4"/>
    <w:rsid w:val="7142AD44"/>
    <w:rsid w:val="71475F8F"/>
    <w:rsid w:val="71476405"/>
    <w:rsid w:val="714E47D3"/>
    <w:rsid w:val="7160B734"/>
    <w:rsid w:val="7167BAA6"/>
    <w:rsid w:val="7167D358"/>
    <w:rsid w:val="71752DD2"/>
    <w:rsid w:val="71837B27"/>
    <w:rsid w:val="71936A30"/>
    <w:rsid w:val="7194B542"/>
    <w:rsid w:val="7195B7DC"/>
    <w:rsid w:val="71969D60"/>
    <w:rsid w:val="71984871"/>
    <w:rsid w:val="719A72EC"/>
    <w:rsid w:val="719B1A1A"/>
    <w:rsid w:val="719C2489"/>
    <w:rsid w:val="719EA12C"/>
    <w:rsid w:val="71B52FA5"/>
    <w:rsid w:val="71C517C8"/>
    <w:rsid w:val="71C91FF0"/>
    <w:rsid w:val="71C952C1"/>
    <w:rsid w:val="71CEBCD2"/>
    <w:rsid w:val="71D02E58"/>
    <w:rsid w:val="71D51EBC"/>
    <w:rsid w:val="71EA9AE3"/>
    <w:rsid w:val="71F52C4B"/>
    <w:rsid w:val="71F92083"/>
    <w:rsid w:val="71FADF3B"/>
    <w:rsid w:val="71FB2BF8"/>
    <w:rsid w:val="721F98C4"/>
    <w:rsid w:val="7238B89C"/>
    <w:rsid w:val="723D5F40"/>
    <w:rsid w:val="7240429B"/>
    <w:rsid w:val="7243D0BD"/>
    <w:rsid w:val="72700E1E"/>
    <w:rsid w:val="72722060"/>
    <w:rsid w:val="72765EB4"/>
    <w:rsid w:val="72819BF6"/>
    <w:rsid w:val="72842405"/>
    <w:rsid w:val="7285EAFB"/>
    <w:rsid w:val="72879334"/>
    <w:rsid w:val="7287BAFB"/>
    <w:rsid w:val="728A2872"/>
    <w:rsid w:val="728DCBEE"/>
    <w:rsid w:val="728F6F46"/>
    <w:rsid w:val="728F7EEC"/>
    <w:rsid w:val="728FEE09"/>
    <w:rsid w:val="729A6100"/>
    <w:rsid w:val="729F7C1B"/>
    <w:rsid w:val="72A706C3"/>
    <w:rsid w:val="72A9C215"/>
    <w:rsid w:val="72B490B6"/>
    <w:rsid w:val="72B86A14"/>
    <w:rsid w:val="72C77A39"/>
    <w:rsid w:val="72D2FA28"/>
    <w:rsid w:val="72DB652D"/>
    <w:rsid w:val="72DEF416"/>
    <w:rsid w:val="72E2D3C3"/>
    <w:rsid w:val="72E6C465"/>
    <w:rsid w:val="72EBFF9F"/>
    <w:rsid w:val="72EC0B74"/>
    <w:rsid w:val="72FA335A"/>
    <w:rsid w:val="7301821B"/>
    <w:rsid w:val="73020201"/>
    <w:rsid w:val="730B61DA"/>
    <w:rsid w:val="73126A96"/>
    <w:rsid w:val="731A89FE"/>
    <w:rsid w:val="731EA2F2"/>
    <w:rsid w:val="7325BBFC"/>
    <w:rsid w:val="733529DF"/>
    <w:rsid w:val="73363D2E"/>
    <w:rsid w:val="733B242F"/>
    <w:rsid w:val="7343B1D7"/>
    <w:rsid w:val="734686A4"/>
    <w:rsid w:val="734B9E18"/>
    <w:rsid w:val="734D1E3B"/>
    <w:rsid w:val="73515E35"/>
    <w:rsid w:val="735D9BDF"/>
    <w:rsid w:val="7365B43A"/>
    <w:rsid w:val="73700317"/>
    <w:rsid w:val="737104A9"/>
    <w:rsid w:val="737FBC65"/>
    <w:rsid w:val="7386AF45"/>
    <w:rsid w:val="7386E0E3"/>
    <w:rsid w:val="73873846"/>
    <w:rsid w:val="7394AA4F"/>
    <w:rsid w:val="739BCF50"/>
    <w:rsid w:val="739CB8BB"/>
    <w:rsid w:val="73A467BA"/>
    <w:rsid w:val="73A6213D"/>
    <w:rsid w:val="73AA56F4"/>
    <w:rsid w:val="73AC4BFD"/>
    <w:rsid w:val="73C3F9C2"/>
    <w:rsid w:val="73C92448"/>
    <w:rsid w:val="73CBAC56"/>
    <w:rsid w:val="73D6DF35"/>
    <w:rsid w:val="73FBEF6F"/>
    <w:rsid w:val="7409E55D"/>
    <w:rsid w:val="740F8713"/>
    <w:rsid w:val="7411A2E2"/>
    <w:rsid w:val="741A339B"/>
    <w:rsid w:val="742BFF01"/>
    <w:rsid w:val="743E340A"/>
    <w:rsid w:val="7443EB9D"/>
    <w:rsid w:val="74468756"/>
    <w:rsid w:val="744AF4CF"/>
    <w:rsid w:val="744CFC4C"/>
    <w:rsid w:val="745BE50A"/>
    <w:rsid w:val="745FE5B7"/>
    <w:rsid w:val="74682904"/>
    <w:rsid w:val="7468AEA1"/>
    <w:rsid w:val="7472CC2D"/>
    <w:rsid w:val="747E76D9"/>
    <w:rsid w:val="74833DB6"/>
    <w:rsid w:val="748A444D"/>
    <w:rsid w:val="7491C09E"/>
    <w:rsid w:val="749AE779"/>
    <w:rsid w:val="74A07E29"/>
    <w:rsid w:val="74A97A81"/>
    <w:rsid w:val="74B4138B"/>
    <w:rsid w:val="74BC6CDD"/>
    <w:rsid w:val="74C297A0"/>
    <w:rsid w:val="74CBE841"/>
    <w:rsid w:val="74D86C64"/>
    <w:rsid w:val="74DF3A7C"/>
    <w:rsid w:val="74DFC870"/>
    <w:rsid w:val="74FCC029"/>
    <w:rsid w:val="7502B21B"/>
    <w:rsid w:val="750AC556"/>
    <w:rsid w:val="7517879B"/>
    <w:rsid w:val="75275D4A"/>
    <w:rsid w:val="752BBFEB"/>
    <w:rsid w:val="7532DACC"/>
    <w:rsid w:val="753694D8"/>
    <w:rsid w:val="7539012A"/>
    <w:rsid w:val="75409EFF"/>
    <w:rsid w:val="75497647"/>
    <w:rsid w:val="754A9236"/>
    <w:rsid w:val="755A7083"/>
    <w:rsid w:val="755F0A3A"/>
    <w:rsid w:val="75601E13"/>
    <w:rsid w:val="7563A0CC"/>
    <w:rsid w:val="75810519"/>
    <w:rsid w:val="75867C1C"/>
    <w:rsid w:val="758E60A8"/>
    <w:rsid w:val="7593ED1E"/>
    <w:rsid w:val="759424A3"/>
    <w:rsid w:val="7595BD69"/>
    <w:rsid w:val="7597F45C"/>
    <w:rsid w:val="75998B0F"/>
    <w:rsid w:val="759A8144"/>
    <w:rsid w:val="75AC69A5"/>
    <w:rsid w:val="75B45B28"/>
    <w:rsid w:val="75BEDAF4"/>
    <w:rsid w:val="75CF0E99"/>
    <w:rsid w:val="75DBB5E0"/>
    <w:rsid w:val="75E8054F"/>
    <w:rsid w:val="75EE0411"/>
    <w:rsid w:val="75F0AB3D"/>
    <w:rsid w:val="75FA595F"/>
    <w:rsid w:val="761A7485"/>
    <w:rsid w:val="761F89FF"/>
    <w:rsid w:val="7620BE77"/>
    <w:rsid w:val="7621DC53"/>
    <w:rsid w:val="76300337"/>
    <w:rsid w:val="76370BF3"/>
    <w:rsid w:val="7637907F"/>
    <w:rsid w:val="763AE663"/>
    <w:rsid w:val="763CA842"/>
    <w:rsid w:val="763FB34A"/>
    <w:rsid w:val="7645C5DB"/>
    <w:rsid w:val="764DAA51"/>
    <w:rsid w:val="7653756E"/>
    <w:rsid w:val="7662CDAD"/>
    <w:rsid w:val="766398B0"/>
    <w:rsid w:val="766A38D7"/>
    <w:rsid w:val="767F4569"/>
    <w:rsid w:val="76B287D7"/>
    <w:rsid w:val="76BE97E4"/>
    <w:rsid w:val="76BED908"/>
    <w:rsid w:val="76C05FE6"/>
    <w:rsid w:val="76E31101"/>
    <w:rsid w:val="76E5E27E"/>
    <w:rsid w:val="76EF77BA"/>
    <w:rsid w:val="76F77A33"/>
    <w:rsid w:val="7701BEFC"/>
    <w:rsid w:val="77052638"/>
    <w:rsid w:val="77100E83"/>
    <w:rsid w:val="7710C60F"/>
    <w:rsid w:val="7712C219"/>
    <w:rsid w:val="771411F3"/>
    <w:rsid w:val="77212AC6"/>
    <w:rsid w:val="7722822E"/>
    <w:rsid w:val="772516CE"/>
    <w:rsid w:val="772D6952"/>
    <w:rsid w:val="7746B414"/>
    <w:rsid w:val="77511AFF"/>
    <w:rsid w:val="77574E0F"/>
    <w:rsid w:val="77639AF1"/>
    <w:rsid w:val="777CCC4C"/>
    <w:rsid w:val="77ADBDCC"/>
    <w:rsid w:val="77AFABF9"/>
    <w:rsid w:val="77B644E6"/>
    <w:rsid w:val="77B74799"/>
    <w:rsid w:val="77C044F2"/>
    <w:rsid w:val="77C764B5"/>
    <w:rsid w:val="77C84507"/>
    <w:rsid w:val="77CEC1CD"/>
    <w:rsid w:val="77D05280"/>
    <w:rsid w:val="77D55C4A"/>
    <w:rsid w:val="77EC31A6"/>
    <w:rsid w:val="77F834FA"/>
    <w:rsid w:val="77FA17B7"/>
    <w:rsid w:val="77FB4C78"/>
    <w:rsid w:val="77FBEA26"/>
    <w:rsid w:val="7807A912"/>
    <w:rsid w:val="780854C5"/>
    <w:rsid w:val="7808E54E"/>
    <w:rsid w:val="78093186"/>
    <w:rsid w:val="7817A724"/>
    <w:rsid w:val="781C61B3"/>
    <w:rsid w:val="781E051B"/>
    <w:rsid w:val="7834AF1E"/>
    <w:rsid w:val="783EED39"/>
    <w:rsid w:val="784E6730"/>
    <w:rsid w:val="785046AE"/>
    <w:rsid w:val="785875AE"/>
    <w:rsid w:val="786B4E33"/>
    <w:rsid w:val="7872C950"/>
    <w:rsid w:val="78740E34"/>
    <w:rsid w:val="78769C4A"/>
    <w:rsid w:val="787F1E6E"/>
    <w:rsid w:val="78815D75"/>
    <w:rsid w:val="78864152"/>
    <w:rsid w:val="7899C8B1"/>
    <w:rsid w:val="78B10D16"/>
    <w:rsid w:val="78B3737B"/>
    <w:rsid w:val="78B9E7B9"/>
    <w:rsid w:val="78BCFB27"/>
    <w:rsid w:val="78BEC23B"/>
    <w:rsid w:val="78BEE62C"/>
    <w:rsid w:val="78C2A4D2"/>
    <w:rsid w:val="78C4E8AD"/>
    <w:rsid w:val="78E73D28"/>
    <w:rsid w:val="78F7247E"/>
    <w:rsid w:val="78F74A68"/>
    <w:rsid w:val="7903AED9"/>
    <w:rsid w:val="791029BD"/>
    <w:rsid w:val="7931ACBF"/>
    <w:rsid w:val="793543FF"/>
    <w:rsid w:val="793B1FC5"/>
    <w:rsid w:val="793C91F8"/>
    <w:rsid w:val="7942249B"/>
    <w:rsid w:val="79488D53"/>
    <w:rsid w:val="794C932B"/>
    <w:rsid w:val="79526BF0"/>
    <w:rsid w:val="795796C0"/>
    <w:rsid w:val="7961A10B"/>
    <w:rsid w:val="7965B853"/>
    <w:rsid w:val="796D7B9E"/>
    <w:rsid w:val="796F215D"/>
    <w:rsid w:val="797BDDA7"/>
    <w:rsid w:val="798466E9"/>
    <w:rsid w:val="798878E0"/>
    <w:rsid w:val="798FD2E7"/>
    <w:rsid w:val="79A31697"/>
    <w:rsid w:val="79A48DBA"/>
    <w:rsid w:val="79AA0A2C"/>
    <w:rsid w:val="79C02895"/>
    <w:rsid w:val="79C34998"/>
    <w:rsid w:val="79D4A004"/>
    <w:rsid w:val="79EE75E3"/>
    <w:rsid w:val="79F12A74"/>
    <w:rsid w:val="79F896B0"/>
    <w:rsid w:val="79F91EC4"/>
    <w:rsid w:val="79FB45A2"/>
    <w:rsid w:val="7A03DCE4"/>
    <w:rsid w:val="7A0FDE95"/>
    <w:rsid w:val="7A122CC5"/>
    <w:rsid w:val="7A1A1A4B"/>
    <w:rsid w:val="7A2133F5"/>
    <w:rsid w:val="7A221665"/>
    <w:rsid w:val="7A224B46"/>
    <w:rsid w:val="7A239204"/>
    <w:rsid w:val="7A281EB8"/>
    <w:rsid w:val="7A3C2504"/>
    <w:rsid w:val="7A40F283"/>
    <w:rsid w:val="7A4A0721"/>
    <w:rsid w:val="7A4CDEE4"/>
    <w:rsid w:val="7A4F43DC"/>
    <w:rsid w:val="7A51C091"/>
    <w:rsid w:val="7A5617F6"/>
    <w:rsid w:val="7A589D9C"/>
    <w:rsid w:val="7A603A1F"/>
    <w:rsid w:val="7A629205"/>
    <w:rsid w:val="7A651DAA"/>
    <w:rsid w:val="7A6A5859"/>
    <w:rsid w:val="7A6B9309"/>
    <w:rsid w:val="7A6CCFC4"/>
    <w:rsid w:val="7A71F3E5"/>
    <w:rsid w:val="7A7995EA"/>
    <w:rsid w:val="7A7F1B6C"/>
    <w:rsid w:val="7A81E9B1"/>
    <w:rsid w:val="7A8A85BD"/>
    <w:rsid w:val="7A8AC233"/>
    <w:rsid w:val="7A8BF6A3"/>
    <w:rsid w:val="7A8C9A9B"/>
    <w:rsid w:val="7A8E2FE5"/>
    <w:rsid w:val="7A916EE7"/>
    <w:rsid w:val="7A92CCE0"/>
    <w:rsid w:val="7AA5C78B"/>
    <w:rsid w:val="7AA89BB6"/>
    <w:rsid w:val="7AA8F7E3"/>
    <w:rsid w:val="7AA9F3C6"/>
    <w:rsid w:val="7AABFE11"/>
    <w:rsid w:val="7AB555D4"/>
    <w:rsid w:val="7AB767C1"/>
    <w:rsid w:val="7ABBC93B"/>
    <w:rsid w:val="7AC06151"/>
    <w:rsid w:val="7AC6F9D2"/>
    <w:rsid w:val="7ACA52AA"/>
    <w:rsid w:val="7ACE17D9"/>
    <w:rsid w:val="7AD11460"/>
    <w:rsid w:val="7AD35ECA"/>
    <w:rsid w:val="7AD901E6"/>
    <w:rsid w:val="7ADE8CEF"/>
    <w:rsid w:val="7ADE91FC"/>
    <w:rsid w:val="7AECDEF1"/>
    <w:rsid w:val="7AEEE85B"/>
    <w:rsid w:val="7AF1E38E"/>
    <w:rsid w:val="7AF4E44C"/>
    <w:rsid w:val="7AF7B9DC"/>
    <w:rsid w:val="7AF8A8F4"/>
    <w:rsid w:val="7AF9EA78"/>
    <w:rsid w:val="7AFAC08E"/>
    <w:rsid w:val="7B0B0F27"/>
    <w:rsid w:val="7B13CEED"/>
    <w:rsid w:val="7B15433F"/>
    <w:rsid w:val="7B1BCE36"/>
    <w:rsid w:val="7B1E5D2D"/>
    <w:rsid w:val="7B1F7D45"/>
    <w:rsid w:val="7B29414B"/>
    <w:rsid w:val="7B2E02B1"/>
    <w:rsid w:val="7B325641"/>
    <w:rsid w:val="7B3691B4"/>
    <w:rsid w:val="7B3F1773"/>
    <w:rsid w:val="7B40798B"/>
    <w:rsid w:val="7B42C74B"/>
    <w:rsid w:val="7B50B843"/>
    <w:rsid w:val="7B61DA16"/>
    <w:rsid w:val="7B61EC9F"/>
    <w:rsid w:val="7B6F7D55"/>
    <w:rsid w:val="7B78A609"/>
    <w:rsid w:val="7B801E3D"/>
    <w:rsid w:val="7B80BC53"/>
    <w:rsid w:val="7B8A80C1"/>
    <w:rsid w:val="7B97AEBF"/>
    <w:rsid w:val="7B98D7E3"/>
    <w:rsid w:val="7BA3772D"/>
    <w:rsid w:val="7BABEAFC"/>
    <w:rsid w:val="7BADB337"/>
    <w:rsid w:val="7BB1042A"/>
    <w:rsid w:val="7BC287ED"/>
    <w:rsid w:val="7BC46315"/>
    <w:rsid w:val="7BC8C61D"/>
    <w:rsid w:val="7BD9A942"/>
    <w:rsid w:val="7BD9F979"/>
    <w:rsid w:val="7BE4967D"/>
    <w:rsid w:val="7BF412A5"/>
    <w:rsid w:val="7BF74FE2"/>
    <w:rsid w:val="7BF760E7"/>
    <w:rsid w:val="7BFC896F"/>
    <w:rsid w:val="7BFFFDD3"/>
    <w:rsid w:val="7C0046F4"/>
    <w:rsid w:val="7C0ADA31"/>
    <w:rsid w:val="7C1BE620"/>
    <w:rsid w:val="7C1C48E3"/>
    <w:rsid w:val="7C1D577A"/>
    <w:rsid w:val="7C1EDDEA"/>
    <w:rsid w:val="7C33A0D6"/>
    <w:rsid w:val="7C352923"/>
    <w:rsid w:val="7C37A965"/>
    <w:rsid w:val="7C497D8C"/>
    <w:rsid w:val="7C553701"/>
    <w:rsid w:val="7C5919FC"/>
    <w:rsid w:val="7C661450"/>
    <w:rsid w:val="7C69BD93"/>
    <w:rsid w:val="7C751CA3"/>
    <w:rsid w:val="7C75BEB6"/>
    <w:rsid w:val="7C7B7DD2"/>
    <w:rsid w:val="7C7E2613"/>
    <w:rsid w:val="7C7FAF12"/>
    <w:rsid w:val="7C96B1B6"/>
    <w:rsid w:val="7CA51B9D"/>
    <w:rsid w:val="7CC9DFA4"/>
    <w:rsid w:val="7CCEB790"/>
    <w:rsid w:val="7CD67CE1"/>
    <w:rsid w:val="7CD7B49C"/>
    <w:rsid w:val="7CF176DA"/>
    <w:rsid w:val="7CF3476E"/>
    <w:rsid w:val="7D01CC99"/>
    <w:rsid w:val="7D02E435"/>
    <w:rsid w:val="7D0A9998"/>
    <w:rsid w:val="7D126801"/>
    <w:rsid w:val="7D1E1741"/>
    <w:rsid w:val="7D22CFE5"/>
    <w:rsid w:val="7D2D6955"/>
    <w:rsid w:val="7D303370"/>
    <w:rsid w:val="7D35393A"/>
    <w:rsid w:val="7D416F3A"/>
    <w:rsid w:val="7D49D72C"/>
    <w:rsid w:val="7D4E9AE3"/>
    <w:rsid w:val="7D5027FF"/>
    <w:rsid w:val="7D66551D"/>
    <w:rsid w:val="7D6A23B9"/>
    <w:rsid w:val="7D6DFE74"/>
    <w:rsid w:val="7D743D25"/>
    <w:rsid w:val="7D773A50"/>
    <w:rsid w:val="7D7B2FF5"/>
    <w:rsid w:val="7D7CE466"/>
    <w:rsid w:val="7D7D4B43"/>
    <w:rsid w:val="7D8011E7"/>
    <w:rsid w:val="7D840C3D"/>
    <w:rsid w:val="7D841FFC"/>
    <w:rsid w:val="7D8EFF1E"/>
    <w:rsid w:val="7D9D40FC"/>
    <w:rsid w:val="7DA6AEBB"/>
    <w:rsid w:val="7DA82D00"/>
    <w:rsid w:val="7DA8F777"/>
    <w:rsid w:val="7DAC4F37"/>
    <w:rsid w:val="7DBA55B8"/>
    <w:rsid w:val="7DC916EB"/>
    <w:rsid w:val="7DCB2ADC"/>
    <w:rsid w:val="7DD9F735"/>
    <w:rsid w:val="7DE065DF"/>
    <w:rsid w:val="7DE3B3C2"/>
    <w:rsid w:val="7DEA7040"/>
    <w:rsid w:val="7DEF718A"/>
    <w:rsid w:val="7DF9862C"/>
    <w:rsid w:val="7E08B522"/>
    <w:rsid w:val="7E0A95FB"/>
    <w:rsid w:val="7E13F761"/>
    <w:rsid w:val="7E15224D"/>
    <w:rsid w:val="7E166222"/>
    <w:rsid w:val="7E1B2751"/>
    <w:rsid w:val="7E1C557F"/>
    <w:rsid w:val="7E1CE155"/>
    <w:rsid w:val="7E238B4A"/>
    <w:rsid w:val="7E2ECE09"/>
    <w:rsid w:val="7E31CC5F"/>
    <w:rsid w:val="7E4876EA"/>
    <w:rsid w:val="7E4A78B1"/>
    <w:rsid w:val="7E4A9F02"/>
    <w:rsid w:val="7E4F959A"/>
    <w:rsid w:val="7E504D9B"/>
    <w:rsid w:val="7E51C87E"/>
    <w:rsid w:val="7E5A8CAD"/>
    <w:rsid w:val="7E6AEF0F"/>
    <w:rsid w:val="7E6DAF45"/>
    <w:rsid w:val="7E70E3E9"/>
    <w:rsid w:val="7E769881"/>
    <w:rsid w:val="7E76B056"/>
    <w:rsid w:val="7E7A0947"/>
    <w:rsid w:val="7E7DA273"/>
    <w:rsid w:val="7EA80706"/>
    <w:rsid w:val="7EAC7B43"/>
    <w:rsid w:val="7EB0371B"/>
    <w:rsid w:val="7EB25D15"/>
    <w:rsid w:val="7EB25D9D"/>
    <w:rsid w:val="7EB2EDB8"/>
    <w:rsid w:val="7EBC222C"/>
    <w:rsid w:val="7EC89D16"/>
    <w:rsid w:val="7ECA0C20"/>
    <w:rsid w:val="7ED6EF6A"/>
    <w:rsid w:val="7EDE1604"/>
    <w:rsid w:val="7EDE1963"/>
    <w:rsid w:val="7EE01A1B"/>
    <w:rsid w:val="7EE10137"/>
    <w:rsid w:val="7EE35E37"/>
    <w:rsid w:val="7EEA539D"/>
    <w:rsid w:val="7EEB6F2D"/>
    <w:rsid w:val="7EF613EA"/>
    <w:rsid w:val="7EF97EA0"/>
    <w:rsid w:val="7EFAAE19"/>
    <w:rsid w:val="7F002100"/>
    <w:rsid w:val="7F0550C4"/>
    <w:rsid w:val="7F0776CB"/>
    <w:rsid w:val="7F0E08DE"/>
    <w:rsid w:val="7F22066B"/>
    <w:rsid w:val="7F25419B"/>
    <w:rsid w:val="7F2C3CAB"/>
    <w:rsid w:val="7F2ED378"/>
    <w:rsid w:val="7F33B1CB"/>
    <w:rsid w:val="7F3807F1"/>
    <w:rsid w:val="7F3BE5D9"/>
    <w:rsid w:val="7F456508"/>
    <w:rsid w:val="7F4C9EF5"/>
    <w:rsid w:val="7F5ADD32"/>
    <w:rsid w:val="7F652BB9"/>
    <w:rsid w:val="7F65B899"/>
    <w:rsid w:val="7F731268"/>
    <w:rsid w:val="7F78947B"/>
    <w:rsid w:val="7F932F71"/>
    <w:rsid w:val="7F9BC550"/>
    <w:rsid w:val="7FA62FB5"/>
    <w:rsid w:val="7FBD4FC9"/>
    <w:rsid w:val="7FC8BF2A"/>
    <w:rsid w:val="7FD46128"/>
    <w:rsid w:val="7FDDC895"/>
    <w:rsid w:val="7FEB3BAF"/>
    <w:rsid w:val="7FF06720"/>
    <w:rsid w:val="7FF49748"/>
    <w:rsid w:val="7FFF47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C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25CDA"/>
    <w:rPr>
      <w:rFonts w:ascii="Arial" w:hAnsi="Arial"/>
      <w:sz w:val="22"/>
      <w:szCs w:val="24"/>
      <w:lang w:eastAsia="en-US"/>
    </w:rPr>
  </w:style>
  <w:style w:type="paragraph" w:styleId="Heading1">
    <w:name w:val="heading 1"/>
    <w:basedOn w:val="Normal"/>
    <w:next w:val="Normal"/>
    <w:link w:val="Heading1Char"/>
    <w:uiPriority w:val="9"/>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3545CC"/>
    <w:pPr>
      <w:spacing w:before="120" w:after="60"/>
      <w:jc w:val="both"/>
    </w:pPr>
    <w:rPr>
      <w:rFonts w:cs="Arial"/>
      <w:color w:val="000000" w:themeColor="text1"/>
      <w:szCs w:val="22"/>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Body text,Bullet Point,Bullet point,Bullet- First level,Figure_name,L,List NUmber,List Paragraph Number,List Paragraph1,List Paragraph11,Listenabsatz1,NAST Quote,Numbered Indented Text,Recommendation,bullet point list,lp1,standard lewis,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B4CCE"/>
    <w:pPr>
      <w:spacing w:before="60" w:after="60"/>
    </w:pPr>
    <w:rPr>
      <w:rFonts w:ascii="Arial" w:hAnsi="Arial" w:cs="Arial"/>
      <w:color w:val="000000"/>
      <w:sz w:val="21"/>
      <w:szCs w:val="21"/>
      <w:shd w:val="clear" w:color="auto" w:fill="FFFFFF"/>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Heading1Char">
    <w:name w:val="Heading 1 Char"/>
    <w:basedOn w:val="DefaultParagraphFont"/>
    <w:link w:val="Heading1"/>
    <w:uiPriority w:val="9"/>
    <w:rsid w:val="00D536F8"/>
    <w:rPr>
      <w:rFonts w:ascii="Arial" w:hAnsi="Arial" w:cs="Arial"/>
      <w:bCs/>
      <w:color w:val="3F4A75"/>
      <w:kern w:val="28"/>
      <w:sz w:val="36"/>
      <w:szCs w:val="36"/>
      <w:lang w:eastAsia="en-US"/>
    </w:rPr>
  </w:style>
  <w:style w:type="character" w:customStyle="1" w:styleId="Heading2Char">
    <w:name w:val="Heading 2 Char"/>
    <w:basedOn w:val="DefaultParagraphFont"/>
    <w:link w:val="Heading2"/>
    <w:uiPriority w:val="9"/>
    <w:rsid w:val="00D536F8"/>
    <w:rPr>
      <w:rFonts w:ascii="Arial" w:hAnsi="Arial" w:cs="Arial"/>
      <w:bCs/>
      <w:iCs/>
      <w:color w:val="358189"/>
      <w:sz w:val="32"/>
      <w:szCs w:val="28"/>
      <w:lang w:eastAsia="en-US"/>
    </w:rPr>
  </w:style>
  <w:style w:type="character" w:styleId="CommentReference">
    <w:name w:val="annotation reference"/>
    <w:basedOn w:val="DefaultParagraphFont"/>
    <w:uiPriority w:val="99"/>
    <w:semiHidden/>
    <w:unhideWhenUsed/>
    <w:rsid w:val="00D536F8"/>
    <w:rPr>
      <w:sz w:val="16"/>
      <w:szCs w:val="16"/>
    </w:rPr>
  </w:style>
  <w:style w:type="paragraph" w:styleId="CommentText">
    <w:name w:val="annotation text"/>
    <w:basedOn w:val="Normal"/>
    <w:link w:val="CommentTextChar"/>
    <w:uiPriority w:val="99"/>
    <w:unhideWhenUsed/>
    <w:rsid w:val="00D536F8"/>
    <w:pPr>
      <w:spacing w:after="160"/>
    </w:pPr>
    <w:rPr>
      <w:rFonts w:ascii="Calibri" w:eastAsiaTheme="minorHAnsi" w:hAnsi="Calibri"/>
      <w:sz w:val="20"/>
      <w:szCs w:val="20"/>
    </w:rPr>
  </w:style>
  <w:style w:type="character" w:customStyle="1" w:styleId="CommentTextChar">
    <w:name w:val="Comment Text Char"/>
    <w:basedOn w:val="DefaultParagraphFont"/>
    <w:link w:val="CommentText"/>
    <w:uiPriority w:val="99"/>
    <w:rsid w:val="00D536F8"/>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280A0B"/>
    <w:pPr>
      <w:spacing w:after="0"/>
    </w:pPr>
    <w:rPr>
      <w:rFonts w:ascii="Arial" w:eastAsia="Times New Roman" w:hAnsi="Arial"/>
      <w:b/>
      <w:bCs/>
    </w:rPr>
  </w:style>
  <w:style w:type="character" w:customStyle="1" w:styleId="CommentSubjectChar">
    <w:name w:val="Comment Subject Char"/>
    <w:basedOn w:val="CommentTextChar"/>
    <w:link w:val="CommentSubject"/>
    <w:semiHidden/>
    <w:rsid w:val="00280A0B"/>
    <w:rPr>
      <w:rFonts w:ascii="Arial" w:eastAsiaTheme="minorHAnsi" w:hAnsi="Arial"/>
      <w:b/>
      <w:bCs/>
      <w:lang w:eastAsia="en-US"/>
    </w:rPr>
  </w:style>
  <w:style w:type="character" w:styleId="FootnoteReference">
    <w:name w:val="footnote reference"/>
    <w:basedOn w:val="DefaultParagraphFont"/>
    <w:uiPriority w:val="99"/>
    <w:semiHidden/>
    <w:unhideWhenUsed/>
    <w:rsid w:val="000A56D4"/>
    <w:rPr>
      <w:vertAlign w:val="superscript"/>
    </w:rPr>
  </w:style>
  <w:style w:type="character" w:styleId="UnresolvedMention">
    <w:name w:val="Unresolved Mention"/>
    <w:basedOn w:val="DefaultParagraphFont"/>
    <w:uiPriority w:val="99"/>
    <w:semiHidden/>
    <w:unhideWhenUsed/>
    <w:rsid w:val="00366550"/>
    <w:rPr>
      <w:color w:val="605E5C"/>
      <w:shd w:val="clear" w:color="auto" w:fill="E1DFDD"/>
    </w:rPr>
  </w:style>
  <w:style w:type="paragraph" w:styleId="Revision">
    <w:name w:val="Revision"/>
    <w:hidden/>
    <w:uiPriority w:val="99"/>
    <w:semiHidden/>
    <w:rsid w:val="000E5E25"/>
    <w:rPr>
      <w:rFonts w:ascii="Arial" w:hAnsi="Arial"/>
      <w:sz w:val="22"/>
      <w:szCs w:val="24"/>
      <w:lang w:eastAsia="en-US"/>
    </w:rPr>
  </w:style>
  <w:style w:type="character" w:customStyle="1" w:styleId="normaltextrun">
    <w:name w:val="normaltextrun"/>
    <w:basedOn w:val="DefaultParagraphFont"/>
    <w:rsid w:val="00CD5825"/>
  </w:style>
  <w:style w:type="character" w:customStyle="1" w:styleId="eop">
    <w:name w:val="eop"/>
    <w:basedOn w:val="DefaultParagraphFont"/>
    <w:rsid w:val="00CD5825"/>
  </w:style>
  <w:style w:type="paragraph" w:customStyle="1" w:styleId="Normal0">
    <w:name w:val="[Normal]"/>
    <w:rsid w:val="00025D2D"/>
    <w:pPr>
      <w:widowControl w:val="0"/>
      <w:autoSpaceDE w:val="0"/>
      <w:autoSpaceDN w:val="0"/>
      <w:adjustRightInd w:val="0"/>
    </w:pPr>
    <w:rPr>
      <w:rFonts w:ascii="Arial" w:hAnsi="Arial" w:cs="Arial"/>
      <w:sz w:val="24"/>
      <w:szCs w:val="24"/>
    </w:rPr>
  </w:style>
  <w:style w:type="paragraph" w:customStyle="1" w:styleId="highlightedtext">
    <w:name w:val="highlighted text"/>
    <w:basedOn w:val="Normal"/>
    <w:link w:val="highlightedtextChar"/>
    <w:qFormat/>
    <w:rsid w:val="00A10C36"/>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003C5F" w:themeColor="accent3" w:themeShade="80"/>
      <w:szCs w:val="22"/>
    </w:rPr>
  </w:style>
  <w:style w:type="character" w:customStyle="1" w:styleId="highlightedtextChar">
    <w:name w:val="highlighted text Char"/>
    <w:basedOn w:val="DefaultParagraphFont"/>
    <w:link w:val="highlightedtext"/>
    <w:rsid w:val="00A10C36"/>
    <w:rPr>
      <w:rFonts w:asciiTheme="minorHAnsi" w:eastAsiaTheme="minorHAnsi" w:hAnsiTheme="minorHAnsi" w:cstheme="minorBidi"/>
      <w:b/>
      <w:iCs/>
      <w:color w:val="003C5F" w:themeColor="accent3" w:themeShade="80"/>
      <w:sz w:val="22"/>
      <w:szCs w:val="22"/>
      <w:lang w:eastAsia="en-US"/>
    </w:rPr>
  </w:style>
  <w:style w:type="character" w:customStyle="1" w:styleId="ListParagraphChar">
    <w:name w:val="List Paragraph Char"/>
    <w:aliases w:val="Body text Char,Bullet Point Char,Bullet point Char,Bullet- First level Char,Figure_name Char,L Char,List NUmber Char,List Paragraph Number Char,List Paragraph1 Char,List Paragraph11 Char,Listenabsatz1 Char,NAST Quote Char,lp1 Char"/>
    <w:link w:val="ListParagraph"/>
    <w:uiPriority w:val="34"/>
    <w:qFormat/>
    <w:locked/>
    <w:rsid w:val="00242A50"/>
    <w:rPr>
      <w:rFonts w:ascii="Arial" w:hAnsi="Arial"/>
      <w:sz w:val="22"/>
      <w:szCs w:val="24"/>
      <w:lang w:eastAsia="en-US"/>
    </w:rPr>
  </w:style>
  <w:style w:type="paragraph" w:customStyle="1" w:styleId="Default">
    <w:name w:val="Default"/>
    <w:rsid w:val="002C392A"/>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B156A"/>
  </w:style>
  <w:style w:type="character" w:styleId="FollowedHyperlink">
    <w:name w:val="FollowedHyperlink"/>
    <w:basedOn w:val="DefaultParagraphFont"/>
    <w:semiHidden/>
    <w:unhideWhenUsed/>
    <w:rsid w:val="00967E6D"/>
    <w:rPr>
      <w:color w:val="800080" w:themeColor="followedHyperlink"/>
      <w:u w:val="single"/>
    </w:rPr>
  </w:style>
  <w:style w:type="paragraph" w:customStyle="1" w:styleId="Paragraph">
    <w:name w:val="Paragraph"/>
    <w:aliases w:val="p,Para"/>
    <w:basedOn w:val="Normal"/>
    <w:link w:val="ParagraphChar"/>
    <w:qFormat/>
    <w:rsid w:val="00410E23"/>
    <w:pPr>
      <w:spacing w:before="240" w:after="240" w:line="264" w:lineRule="auto"/>
    </w:pPr>
    <w:rPr>
      <w:rFonts w:ascii="Calibri" w:eastAsia="Calibri" w:hAnsi="Calibri"/>
      <w:szCs w:val="22"/>
      <w:lang w:val="en-GB" w:eastAsia="en-GB"/>
    </w:rPr>
  </w:style>
  <w:style w:type="character" w:customStyle="1" w:styleId="ParagraphChar">
    <w:name w:val="Paragraph Char"/>
    <w:aliases w:val="p Char,Para Char"/>
    <w:basedOn w:val="DefaultParagraphFont"/>
    <w:link w:val="Paragraph"/>
    <w:rsid w:val="00410E23"/>
    <w:rPr>
      <w:rFonts w:ascii="Calibri" w:eastAsia="Calibri" w:hAnsi="Calibri"/>
      <w:sz w:val="22"/>
      <w:szCs w:val="22"/>
      <w:lang w:val="en-GB" w:eastAsia="en-GB"/>
    </w:rPr>
  </w:style>
  <w:style w:type="paragraph" w:customStyle="1" w:styleId="Bullet1">
    <w:name w:val="Bullet 1"/>
    <w:aliases w:val="b1"/>
    <w:basedOn w:val="Normal"/>
    <w:link w:val="Bullet1Char"/>
    <w:qFormat/>
    <w:rsid w:val="00410E23"/>
    <w:pPr>
      <w:numPr>
        <w:numId w:val="29"/>
      </w:numPr>
      <w:spacing w:before="120" w:after="120" w:line="264" w:lineRule="auto"/>
    </w:pPr>
    <w:rPr>
      <w:rFonts w:ascii="Calibri" w:eastAsia="Calibri" w:hAnsi="Calibri"/>
      <w:szCs w:val="22"/>
      <w:lang w:val="en-GB" w:eastAsia="en-AU"/>
    </w:rPr>
  </w:style>
  <w:style w:type="character" w:customStyle="1" w:styleId="Bullet1Char">
    <w:name w:val="Bullet 1 Char"/>
    <w:aliases w:val="b1 Char"/>
    <w:basedOn w:val="DefaultParagraphFont"/>
    <w:link w:val="Bullet1"/>
    <w:rsid w:val="00410E23"/>
    <w:rPr>
      <w:rFonts w:ascii="Calibri" w:eastAsia="Calibri" w:hAnsi="Calibri"/>
      <w:sz w:val="22"/>
      <w:szCs w:val="22"/>
      <w:lang w:val="en-GB"/>
    </w:rPr>
  </w:style>
  <w:style w:type="paragraph" w:customStyle="1" w:styleId="ParagraphKeep">
    <w:name w:val="Paragraph_Keep"/>
    <w:aliases w:val="kwn"/>
    <w:basedOn w:val="Paragraph"/>
    <w:qFormat/>
    <w:rsid w:val="00410E23"/>
    <w:pPr>
      <w:keepNext/>
      <w:spacing w:after="120"/>
    </w:pPr>
  </w:style>
  <w:style w:type="paragraph" w:styleId="TOCHeading">
    <w:name w:val="TOC Heading"/>
    <w:basedOn w:val="Heading1"/>
    <w:next w:val="Normal"/>
    <w:uiPriority w:val="39"/>
    <w:unhideWhenUsed/>
    <w:qFormat/>
    <w:rsid w:val="006F5C52"/>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47135E"/>
    <w:pPr>
      <w:tabs>
        <w:tab w:val="right" w:leader="dot" w:pos="9016"/>
      </w:tabs>
      <w:spacing w:after="100"/>
    </w:pPr>
  </w:style>
  <w:style w:type="paragraph" w:styleId="TOC2">
    <w:name w:val="toc 2"/>
    <w:basedOn w:val="Normal"/>
    <w:next w:val="Normal"/>
    <w:autoRedefine/>
    <w:uiPriority w:val="39"/>
    <w:unhideWhenUsed/>
    <w:rsid w:val="0047135E"/>
    <w:pPr>
      <w:tabs>
        <w:tab w:val="right" w:leader="dot" w:pos="9016"/>
      </w:tabs>
      <w:spacing w:after="100"/>
      <w:ind w:left="220"/>
    </w:pPr>
  </w:style>
  <w:style w:type="paragraph" w:customStyle="1" w:styleId="Style2">
    <w:name w:val="Style2"/>
    <w:basedOn w:val="Normal"/>
    <w:link w:val="Style2Char"/>
    <w:qFormat/>
    <w:rsid w:val="0036375F"/>
    <w:pPr>
      <w:spacing w:before="240"/>
    </w:pPr>
    <w:rPr>
      <w:rFonts w:cs="Arial"/>
      <w:i/>
      <w:iCs/>
      <w:szCs w:val="22"/>
    </w:rPr>
  </w:style>
  <w:style w:type="character" w:customStyle="1" w:styleId="Style2Char">
    <w:name w:val="Style2 Char"/>
    <w:basedOn w:val="DefaultParagraphFont"/>
    <w:link w:val="Style2"/>
    <w:rsid w:val="0036375F"/>
    <w:rPr>
      <w:rFonts w:ascii="Arial" w:hAnsi="Arial" w:cs="Arial"/>
      <w:i/>
      <w:iCs/>
      <w:sz w:val="22"/>
      <w:szCs w:val="22"/>
      <w:lang w:eastAsia="en-US"/>
    </w:rPr>
  </w:style>
  <w:style w:type="paragraph" w:styleId="TOC3">
    <w:name w:val="toc 3"/>
    <w:basedOn w:val="Normal"/>
    <w:next w:val="Normal"/>
    <w:autoRedefine/>
    <w:uiPriority w:val="39"/>
    <w:unhideWhenUsed/>
    <w:rsid w:val="00EE08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513">
      <w:bodyDiv w:val="1"/>
      <w:marLeft w:val="0"/>
      <w:marRight w:val="0"/>
      <w:marTop w:val="0"/>
      <w:marBottom w:val="0"/>
      <w:divBdr>
        <w:top w:val="none" w:sz="0" w:space="0" w:color="auto"/>
        <w:left w:val="none" w:sz="0" w:space="0" w:color="auto"/>
        <w:bottom w:val="none" w:sz="0" w:space="0" w:color="auto"/>
        <w:right w:val="none" w:sz="0" w:space="0" w:color="auto"/>
      </w:divBdr>
    </w:div>
    <w:div w:id="175779108">
      <w:bodyDiv w:val="1"/>
      <w:marLeft w:val="0"/>
      <w:marRight w:val="0"/>
      <w:marTop w:val="0"/>
      <w:marBottom w:val="0"/>
      <w:divBdr>
        <w:top w:val="none" w:sz="0" w:space="0" w:color="auto"/>
        <w:left w:val="none" w:sz="0" w:space="0" w:color="auto"/>
        <w:bottom w:val="none" w:sz="0" w:space="0" w:color="auto"/>
        <w:right w:val="none" w:sz="0" w:space="0" w:color="auto"/>
      </w:divBdr>
    </w:div>
    <w:div w:id="27008708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8573118">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14322046">
      <w:bodyDiv w:val="1"/>
      <w:marLeft w:val="0"/>
      <w:marRight w:val="0"/>
      <w:marTop w:val="0"/>
      <w:marBottom w:val="0"/>
      <w:divBdr>
        <w:top w:val="none" w:sz="0" w:space="0" w:color="auto"/>
        <w:left w:val="none" w:sz="0" w:space="0" w:color="auto"/>
        <w:bottom w:val="none" w:sz="0" w:space="0" w:color="auto"/>
        <w:right w:val="none" w:sz="0" w:space="0" w:color="auto"/>
      </w:divBdr>
    </w:div>
    <w:div w:id="420762170">
      <w:bodyDiv w:val="1"/>
      <w:marLeft w:val="0"/>
      <w:marRight w:val="0"/>
      <w:marTop w:val="0"/>
      <w:marBottom w:val="0"/>
      <w:divBdr>
        <w:top w:val="none" w:sz="0" w:space="0" w:color="auto"/>
        <w:left w:val="none" w:sz="0" w:space="0" w:color="auto"/>
        <w:bottom w:val="none" w:sz="0" w:space="0" w:color="auto"/>
        <w:right w:val="none" w:sz="0" w:space="0" w:color="auto"/>
      </w:divBdr>
    </w:div>
    <w:div w:id="421754689">
      <w:bodyDiv w:val="1"/>
      <w:marLeft w:val="0"/>
      <w:marRight w:val="0"/>
      <w:marTop w:val="0"/>
      <w:marBottom w:val="0"/>
      <w:divBdr>
        <w:top w:val="none" w:sz="0" w:space="0" w:color="auto"/>
        <w:left w:val="none" w:sz="0" w:space="0" w:color="auto"/>
        <w:bottom w:val="none" w:sz="0" w:space="0" w:color="auto"/>
        <w:right w:val="none" w:sz="0" w:space="0" w:color="auto"/>
      </w:divBdr>
    </w:div>
    <w:div w:id="422068075">
      <w:bodyDiv w:val="1"/>
      <w:marLeft w:val="0"/>
      <w:marRight w:val="0"/>
      <w:marTop w:val="0"/>
      <w:marBottom w:val="0"/>
      <w:divBdr>
        <w:top w:val="none" w:sz="0" w:space="0" w:color="auto"/>
        <w:left w:val="none" w:sz="0" w:space="0" w:color="auto"/>
        <w:bottom w:val="none" w:sz="0" w:space="0" w:color="auto"/>
        <w:right w:val="none" w:sz="0" w:space="0" w:color="auto"/>
      </w:divBdr>
    </w:div>
    <w:div w:id="43097386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4546211">
      <w:bodyDiv w:val="1"/>
      <w:marLeft w:val="0"/>
      <w:marRight w:val="0"/>
      <w:marTop w:val="0"/>
      <w:marBottom w:val="0"/>
      <w:divBdr>
        <w:top w:val="none" w:sz="0" w:space="0" w:color="auto"/>
        <w:left w:val="none" w:sz="0" w:space="0" w:color="auto"/>
        <w:bottom w:val="none" w:sz="0" w:space="0" w:color="auto"/>
        <w:right w:val="none" w:sz="0" w:space="0" w:color="auto"/>
      </w:divBdr>
    </w:div>
    <w:div w:id="503666585">
      <w:bodyDiv w:val="1"/>
      <w:marLeft w:val="0"/>
      <w:marRight w:val="0"/>
      <w:marTop w:val="0"/>
      <w:marBottom w:val="0"/>
      <w:divBdr>
        <w:top w:val="none" w:sz="0" w:space="0" w:color="auto"/>
        <w:left w:val="none" w:sz="0" w:space="0" w:color="auto"/>
        <w:bottom w:val="none" w:sz="0" w:space="0" w:color="auto"/>
        <w:right w:val="none" w:sz="0" w:space="0" w:color="auto"/>
      </w:divBdr>
    </w:div>
    <w:div w:id="551234352">
      <w:bodyDiv w:val="1"/>
      <w:marLeft w:val="0"/>
      <w:marRight w:val="0"/>
      <w:marTop w:val="0"/>
      <w:marBottom w:val="0"/>
      <w:divBdr>
        <w:top w:val="none" w:sz="0" w:space="0" w:color="auto"/>
        <w:left w:val="none" w:sz="0" w:space="0" w:color="auto"/>
        <w:bottom w:val="none" w:sz="0" w:space="0" w:color="auto"/>
        <w:right w:val="none" w:sz="0" w:space="0" w:color="auto"/>
      </w:divBdr>
    </w:div>
    <w:div w:id="562378283">
      <w:bodyDiv w:val="1"/>
      <w:marLeft w:val="0"/>
      <w:marRight w:val="0"/>
      <w:marTop w:val="0"/>
      <w:marBottom w:val="0"/>
      <w:divBdr>
        <w:top w:val="none" w:sz="0" w:space="0" w:color="auto"/>
        <w:left w:val="none" w:sz="0" w:space="0" w:color="auto"/>
        <w:bottom w:val="none" w:sz="0" w:space="0" w:color="auto"/>
        <w:right w:val="none" w:sz="0" w:space="0" w:color="auto"/>
      </w:divBdr>
    </w:div>
    <w:div w:id="564268695">
      <w:bodyDiv w:val="1"/>
      <w:marLeft w:val="0"/>
      <w:marRight w:val="0"/>
      <w:marTop w:val="0"/>
      <w:marBottom w:val="0"/>
      <w:divBdr>
        <w:top w:val="none" w:sz="0" w:space="0" w:color="auto"/>
        <w:left w:val="none" w:sz="0" w:space="0" w:color="auto"/>
        <w:bottom w:val="none" w:sz="0" w:space="0" w:color="auto"/>
        <w:right w:val="none" w:sz="0" w:space="0" w:color="auto"/>
      </w:divBdr>
    </w:div>
    <w:div w:id="582833332">
      <w:bodyDiv w:val="1"/>
      <w:marLeft w:val="0"/>
      <w:marRight w:val="0"/>
      <w:marTop w:val="0"/>
      <w:marBottom w:val="0"/>
      <w:divBdr>
        <w:top w:val="none" w:sz="0" w:space="0" w:color="auto"/>
        <w:left w:val="none" w:sz="0" w:space="0" w:color="auto"/>
        <w:bottom w:val="none" w:sz="0" w:space="0" w:color="auto"/>
        <w:right w:val="none" w:sz="0" w:space="0" w:color="auto"/>
      </w:divBdr>
    </w:div>
    <w:div w:id="6028104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8681514">
      <w:bodyDiv w:val="1"/>
      <w:marLeft w:val="0"/>
      <w:marRight w:val="0"/>
      <w:marTop w:val="0"/>
      <w:marBottom w:val="0"/>
      <w:divBdr>
        <w:top w:val="none" w:sz="0" w:space="0" w:color="auto"/>
        <w:left w:val="none" w:sz="0" w:space="0" w:color="auto"/>
        <w:bottom w:val="none" w:sz="0" w:space="0" w:color="auto"/>
        <w:right w:val="none" w:sz="0" w:space="0" w:color="auto"/>
      </w:divBdr>
    </w:div>
    <w:div w:id="695468543">
      <w:bodyDiv w:val="1"/>
      <w:marLeft w:val="0"/>
      <w:marRight w:val="0"/>
      <w:marTop w:val="0"/>
      <w:marBottom w:val="0"/>
      <w:divBdr>
        <w:top w:val="none" w:sz="0" w:space="0" w:color="auto"/>
        <w:left w:val="none" w:sz="0" w:space="0" w:color="auto"/>
        <w:bottom w:val="none" w:sz="0" w:space="0" w:color="auto"/>
        <w:right w:val="none" w:sz="0" w:space="0" w:color="auto"/>
      </w:divBdr>
    </w:div>
    <w:div w:id="727463170">
      <w:bodyDiv w:val="1"/>
      <w:marLeft w:val="0"/>
      <w:marRight w:val="0"/>
      <w:marTop w:val="0"/>
      <w:marBottom w:val="0"/>
      <w:divBdr>
        <w:top w:val="none" w:sz="0" w:space="0" w:color="auto"/>
        <w:left w:val="none" w:sz="0" w:space="0" w:color="auto"/>
        <w:bottom w:val="none" w:sz="0" w:space="0" w:color="auto"/>
        <w:right w:val="none" w:sz="0" w:space="0" w:color="auto"/>
      </w:divBdr>
    </w:div>
    <w:div w:id="73185672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
    <w:div w:id="811143164">
      <w:bodyDiv w:val="1"/>
      <w:marLeft w:val="0"/>
      <w:marRight w:val="0"/>
      <w:marTop w:val="0"/>
      <w:marBottom w:val="0"/>
      <w:divBdr>
        <w:top w:val="none" w:sz="0" w:space="0" w:color="auto"/>
        <w:left w:val="none" w:sz="0" w:space="0" w:color="auto"/>
        <w:bottom w:val="none" w:sz="0" w:space="0" w:color="auto"/>
        <w:right w:val="none" w:sz="0" w:space="0" w:color="auto"/>
      </w:divBdr>
    </w:div>
    <w:div w:id="875893751">
      <w:bodyDiv w:val="1"/>
      <w:marLeft w:val="0"/>
      <w:marRight w:val="0"/>
      <w:marTop w:val="0"/>
      <w:marBottom w:val="0"/>
      <w:divBdr>
        <w:top w:val="none" w:sz="0" w:space="0" w:color="auto"/>
        <w:left w:val="none" w:sz="0" w:space="0" w:color="auto"/>
        <w:bottom w:val="none" w:sz="0" w:space="0" w:color="auto"/>
        <w:right w:val="none" w:sz="0" w:space="0" w:color="auto"/>
      </w:divBdr>
    </w:div>
    <w:div w:id="908878602">
      <w:bodyDiv w:val="1"/>
      <w:marLeft w:val="0"/>
      <w:marRight w:val="0"/>
      <w:marTop w:val="0"/>
      <w:marBottom w:val="0"/>
      <w:divBdr>
        <w:top w:val="none" w:sz="0" w:space="0" w:color="auto"/>
        <w:left w:val="none" w:sz="0" w:space="0" w:color="auto"/>
        <w:bottom w:val="none" w:sz="0" w:space="0" w:color="auto"/>
        <w:right w:val="none" w:sz="0" w:space="0" w:color="auto"/>
      </w:divBdr>
    </w:div>
    <w:div w:id="956253755">
      <w:bodyDiv w:val="1"/>
      <w:marLeft w:val="0"/>
      <w:marRight w:val="0"/>
      <w:marTop w:val="0"/>
      <w:marBottom w:val="0"/>
      <w:divBdr>
        <w:top w:val="none" w:sz="0" w:space="0" w:color="auto"/>
        <w:left w:val="none" w:sz="0" w:space="0" w:color="auto"/>
        <w:bottom w:val="none" w:sz="0" w:space="0" w:color="auto"/>
        <w:right w:val="none" w:sz="0" w:space="0" w:color="auto"/>
      </w:divBdr>
    </w:div>
    <w:div w:id="1004043848">
      <w:bodyDiv w:val="1"/>
      <w:marLeft w:val="0"/>
      <w:marRight w:val="0"/>
      <w:marTop w:val="0"/>
      <w:marBottom w:val="0"/>
      <w:divBdr>
        <w:top w:val="none" w:sz="0" w:space="0" w:color="auto"/>
        <w:left w:val="none" w:sz="0" w:space="0" w:color="auto"/>
        <w:bottom w:val="none" w:sz="0" w:space="0" w:color="auto"/>
        <w:right w:val="none" w:sz="0" w:space="0" w:color="auto"/>
      </w:divBdr>
    </w:div>
    <w:div w:id="1049766156">
      <w:bodyDiv w:val="1"/>
      <w:marLeft w:val="0"/>
      <w:marRight w:val="0"/>
      <w:marTop w:val="0"/>
      <w:marBottom w:val="0"/>
      <w:divBdr>
        <w:top w:val="none" w:sz="0" w:space="0" w:color="auto"/>
        <w:left w:val="none" w:sz="0" w:space="0" w:color="auto"/>
        <w:bottom w:val="none" w:sz="0" w:space="0" w:color="auto"/>
        <w:right w:val="none" w:sz="0" w:space="0" w:color="auto"/>
      </w:divBdr>
    </w:div>
    <w:div w:id="1083255092">
      <w:bodyDiv w:val="1"/>
      <w:marLeft w:val="0"/>
      <w:marRight w:val="0"/>
      <w:marTop w:val="0"/>
      <w:marBottom w:val="0"/>
      <w:divBdr>
        <w:top w:val="none" w:sz="0" w:space="0" w:color="auto"/>
        <w:left w:val="none" w:sz="0" w:space="0" w:color="auto"/>
        <w:bottom w:val="none" w:sz="0" w:space="0" w:color="auto"/>
        <w:right w:val="none" w:sz="0" w:space="0" w:color="auto"/>
      </w:divBdr>
    </w:div>
    <w:div w:id="113267536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6574480">
      <w:bodyDiv w:val="1"/>
      <w:marLeft w:val="0"/>
      <w:marRight w:val="0"/>
      <w:marTop w:val="0"/>
      <w:marBottom w:val="0"/>
      <w:divBdr>
        <w:top w:val="none" w:sz="0" w:space="0" w:color="auto"/>
        <w:left w:val="none" w:sz="0" w:space="0" w:color="auto"/>
        <w:bottom w:val="none" w:sz="0" w:space="0" w:color="auto"/>
        <w:right w:val="none" w:sz="0" w:space="0" w:color="auto"/>
      </w:divBdr>
      <w:divsChild>
        <w:div w:id="2108185575">
          <w:marLeft w:val="0"/>
          <w:marRight w:val="0"/>
          <w:marTop w:val="0"/>
          <w:marBottom w:val="450"/>
          <w:divBdr>
            <w:top w:val="none" w:sz="0" w:space="0" w:color="auto"/>
            <w:left w:val="none" w:sz="0" w:space="0" w:color="auto"/>
            <w:bottom w:val="none" w:sz="0" w:space="0" w:color="auto"/>
            <w:right w:val="none" w:sz="0" w:space="0" w:color="auto"/>
          </w:divBdr>
          <w:divsChild>
            <w:div w:id="1359813907">
              <w:marLeft w:val="0"/>
              <w:marRight w:val="0"/>
              <w:marTop w:val="0"/>
              <w:marBottom w:val="0"/>
              <w:divBdr>
                <w:top w:val="none" w:sz="0" w:space="0" w:color="auto"/>
                <w:left w:val="none" w:sz="0" w:space="0" w:color="auto"/>
                <w:bottom w:val="none" w:sz="0" w:space="0" w:color="auto"/>
                <w:right w:val="none" w:sz="0" w:space="0" w:color="auto"/>
              </w:divBdr>
              <w:divsChild>
                <w:div w:id="1070496211">
                  <w:marLeft w:val="0"/>
                  <w:marRight w:val="0"/>
                  <w:marTop w:val="0"/>
                  <w:marBottom w:val="0"/>
                  <w:divBdr>
                    <w:top w:val="none" w:sz="0" w:space="0" w:color="auto"/>
                    <w:left w:val="none" w:sz="0" w:space="0" w:color="auto"/>
                    <w:bottom w:val="none" w:sz="0" w:space="0" w:color="auto"/>
                    <w:right w:val="none" w:sz="0" w:space="0" w:color="auto"/>
                  </w:divBdr>
                  <w:divsChild>
                    <w:div w:id="1185167686">
                      <w:marLeft w:val="0"/>
                      <w:marRight w:val="0"/>
                      <w:marTop w:val="0"/>
                      <w:marBottom w:val="0"/>
                      <w:divBdr>
                        <w:top w:val="none" w:sz="0" w:space="0" w:color="auto"/>
                        <w:left w:val="none" w:sz="0" w:space="0" w:color="auto"/>
                        <w:bottom w:val="none" w:sz="0" w:space="0" w:color="auto"/>
                        <w:right w:val="none" w:sz="0" w:space="0" w:color="auto"/>
                      </w:divBdr>
                      <w:divsChild>
                        <w:div w:id="4479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55821">
      <w:bodyDiv w:val="1"/>
      <w:marLeft w:val="0"/>
      <w:marRight w:val="0"/>
      <w:marTop w:val="0"/>
      <w:marBottom w:val="0"/>
      <w:divBdr>
        <w:top w:val="none" w:sz="0" w:space="0" w:color="auto"/>
        <w:left w:val="none" w:sz="0" w:space="0" w:color="auto"/>
        <w:bottom w:val="none" w:sz="0" w:space="0" w:color="auto"/>
        <w:right w:val="none" w:sz="0" w:space="0" w:color="auto"/>
      </w:divBdr>
    </w:div>
    <w:div w:id="1366254257">
      <w:bodyDiv w:val="1"/>
      <w:marLeft w:val="0"/>
      <w:marRight w:val="0"/>
      <w:marTop w:val="0"/>
      <w:marBottom w:val="0"/>
      <w:divBdr>
        <w:top w:val="none" w:sz="0" w:space="0" w:color="auto"/>
        <w:left w:val="none" w:sz="0" w:space="0" w:color="auto"/>
        <w:bottom w:val="none" w:sz="0" w:space="0" w:color="auto"/>
        <w:right w:val="none" w:sz="0" w:space="0" w:color="auto"/>
      </w:divBdr>
      <w:divsChild>
        <w:div w:id="2000108206">
          <w:marLeft w:val="0"/>
          <w:marRight w:val="0"/>
          <w:marTop w:val="0"/>
          <w:marBottom w:val="0"/>
          <w:divBdr>
            <w:top w:val="none" w:sz="0" w:space="0" w:color="auto"/>
            <w:left w:val="none" w:sz="0" w:space="0" w:color="auto"/>
            <w:bottom w:val="none" w:sz="0" w:space="0" w:color="auto"/>
            <w:right w:val="none" w:sz="0" w:space="0" w:color="auto"/>
          </w:divBdr>
          <w:divsChild>
            <w:div w:id="1262370817">
              <w:marLeft w:val="0"/>
              <w:marRight w:val="0"/>
              <w:marTop w:val="0"/>
              <w:marBottom w:val="0"/>
              <w:divBdr>
                <w:top w:val="none" w:sz="0" w:space="0" w:color="auto"/>
                <w:left w:val="none" w:sz="0" w:space="0" w:color="auto"/>
                <w:bottom w:val="none" w:sz="0" w:space="0" w:color="auto"/>
                <w:right w:val="none" w:sz="0" w:space="0" w:color="auto"/>
              </w:divBdr>
              <w:divsChild>
                <w:div w:id="1768697034">
                  <w:marLeft w:val="0"/>
                  <w:marRight w:val="0"/>
                  <w:marTop w:val="0"/>
                  <w:marBottom w:val="0"/>
                  <w:divBdr>
                    <w:top w:val="none" w:sz="0" w:space="0" w:color="auto"/>
                    <w:left w:val="none" w:sz="0" w:space="0" w:color="auto"/>
                    <w:bottom w:val="none" w:sz="0" w:space="0" w:color="auto"/>
                    <w:right w:val="none" w:sz="0" w:space="0" w:color="auto"/>
                  </w:divBdr>
                  <w:divsChild>
                    <w:div w:id="20851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29023">
      <w:bodyDiv w:val="1"/>
      <w:marLeft w:val="0"/>
      <w:marRight w:val="0"/>
      <w:marTop w:val="0"/>
      <w:marBottom w:val="0"/>
      <w:divBdr>
        <w:top w:val="none" w:sz="0" w:space="0" w:color="auto"/>
        <w:left w:val="none" w:sz="0" w:space="0" w:color="auto"/>
        <w:bottom w:val="none" w:sz="0" w:space="0" w:color="auto"/>
        <w:right w:val="none" w:sz="0" w:space="0" w:color="auto"/>
      </w:divBdr>
    </w:div>
    <w:div w:id="1424229039">
      <w:bodyDiv w:val="1"/>
      <w:marLeft w:val="0"/>
      <w:marRight w:val="0"/>
      <w:marTop w:val="0"/>
      <w:marBottom w:val="0"/>
      <w:divBdr>
        <w:top w:val="none" w:sz="0" w:space="0" w:color="auto"/>
        <w:left w:val="none" w:sz="0" w:space="0" w:color="auto"/>
        <w:bottom w:val="none" w:sz="0" w:space="0" w:color="auto"/>
        <w:right w:val="none" w:sz="0" w:space="0" w:color="auto"/>
      </w:divBdr>
    </w:div>
    <w:div w:id="1469128336">
      <w:bodyDiv w:val="1"/>
      <w:marLeft w:val="0"/>
      <w:marRight w:val="0"/>
      <w:marTop w:val="0"/>
      <w:marBottom w:val="0"/>
      <w:divBdr>
        <w:top w:val="none" w:sz="0" w:space="0" w:color="auto"/>
        <w:left w:val="none" w:sz="0" w:space="0" w:color="auto"/>
        <w:bottom w:val="none" w:sz="0" w:space="0" w:color="auto"/>
        <w:right w:val="none" w:sz="0" w:space="0" w:color="auto"/>
      </w:divBdr>
    </w:div>
    <w:div w:id="1539508431">
      <w:bodyDiv w:val="1"/>
      <w:marLeft w:val="0"/>
      <w:marRight w:val="0"/>
      <w:marTop w:val="0"/>
      <w:marBottom w:val="0"/>
      <w:divBdr>
        <w:top w:val="none" w:sz="0" w:space="0" w:color="auto"/>
        <w:left w:val="none" w:sz="0" w:space="0" w:color="auto"/>
        <w:bottom w:val="none" w:sz="0" w:space="0" w:color="auto"/>
        <w:right w:val="none" w:sz="0" w:space="0" w:color="auto"/>
      </w:divBdr>
    </w:div>
    <w:div w:id="1578858024">
      <w:bodyDiv w:val="1"/>
      <w:marLeft w:val="0"/>
      <w:marRight w:val="0"/>
      <w:marTop w:val="0"/>
      <w:marBottom w:val="0"/>
      <w:divBdr>
        <w:top w:val="none" w:sz="0" w:space="0" w:color="auto"/>
        <w:left w:val="none" w:sz="0" w:space="0" w:color="auto"/>
        <w:bottom w:val="none" w:sz="0" w:space="0" w:color="auto"/>
        <w:right w:val="none" w:sz="0" w:space="0" w:color="auto"/>
      </w:divBdr>
    </w:div>
    <w:div w:id="1604217297">
      <w:bodyDiv w:val="1"/>
      <w:marLeft w:val="0"/>
      <w:marRight w:val="0"/>
      <w:marTop w:val="0"/>
      <w:marBottom w:val="0"/>
      <w:divBdr>
        <w:top w:val="none" w:sz="0" w:space="0" w:color="auto"/>
        <w:left w:val="none" w:sz="0" w:space="0" w:color="auto"/>
        <w:bottom w:val="none" w:sz="0" w:space="0" w:color="auto"/>
        <w:right w:val="none" w:sz="0" w:space="0" w:color="auto"/>
      </w:divBdr>
    </w:div>
    <w:div w:id="1622032569">
      <w:bodyDiv w:val="1"/>
      <w:marLeft w:val="0"/>
      <w:marRight w:val="0"/>
      <w:marTop w:val="0"/>
      <w:marBottom w:val="0"/>
      <w:divBdr>
        <w:top w:val="none" w:sz="0" w:space="0" w:color="auto"/>
        <w:left w:val="none" w:sz="0" w:space="0" w:color="auto"/>
        <w:bottom w:val="none" w:sz="0" w:space="0" w:color="auto"/>
        <w:right w:val="none" w:sz="0" w:space="0" w:color="auto"/>
      </w:divBdr>
    </w:div>
    <w:div w:id="1664695494">
      <w:bodyDiv w:val="1"/>
      <w:marLeft w:val="0"/>
      <w:marRight w:val="0"/>
      <w:marTop w:val="0"/>
      <w:marBottom w:val="0"/>
      <w:divBdr>
        <w:top w:val="none" w:sz="0" w:space="0" w:color="auto"/>
        <w:left w:val="none" w:sz="0" w:space="0" w:color="auto"/>
        <w:bottom w:val="none" w:sz="0" w:space="0" w:color="auto"/>
        <w:right w:val="none" w:sz="0" w:space="0" w:color="auto"/>
      </w:divBdr>
    </w:div>
    <w:div w:id="1712266528">
      <w:bodyDiv w:val="1"/>
      <w:marLeft w:val="0"/>
      <w:marRight w:val="0"/>
      <w:marTop w:val="0"/>
      <w:marBottom w:val="0"/>
      <w:divBdr>
        <w:top w:val="none" w:sz="0" w:space="0" w:color="auto"/>
        <w:left w:val="none" w:sz="0" w:space="0" w:color="auto"/>
        <w:bottom w:val="none" w:sz="0" w:space="0" w:color="auto"/>
        <w:right w:val="none" w:sz="0" w:space="0" w:color="auto"/>
      </w:divBdr>
    </w:div>
    <w:div w:id="1720200311">
      <w:bodyDiv w:val="1"/>
      <w:marLeft w:val="0"/>
      <w:marRight w:val="0"/>
      <w:marTop w:val="0"/>
      <w:marBottom w:val="0"/>
      <w:divBdr>
        <w:top w:val="none" w:sz="0" w:space="0" w:color="auto"/>
        <w:left w:val="none" w:sz="0" w:space="0" w:color="auto"/>
        <w:bottom w:val="none" w:sz="0" w:space="0" w:color="auto"/>
        <w:right w:val="none" w:sz="0" w:space="0" w:color="auto"/>
      </w:divBdr>
    </w:div>
    <w:div w:id="1740900252">
      <w:bodyDiv w:val="1"/>
      <w:marLeft w:val="0"/>
      <w:marRight w:val="0"/>
      <w:marTop w:val="0"/>
      <w:marBottom w:val="0"/>
      <w:divBdr>
        <w:top w:val="none" w:sz="0" w:space="0" w:color="auto"/>
        <w:left w:val="none" w:sz="0" w:space="0" w:color="auto"/>
        <w:bottom w:val="none" w:sz="0" w:space="0" w:color="auto"/>
        <w:right w:val="none" w:sz="0" w:space="0" w:color="auto"/>
      </w:divBdr>
    </w:div>
    <w:div w:id="1750729990">
      <w:bodyDiv w:val="1"/>
      <w:marLeft w:val="0"/>
      <w:marRight w:val="0"/>
      <w:marTop w:val="0"/>
      <w:marBottom w:val="0"/>
      <w:divBdr>
        <w:top w:val="none" w:sz="0" w:space="0" w:color="auto"/>
        <w:left w:val="none" w:sz="0" w:space="0" w:color="auto"/>
        <w:bottom w:val="none" w:sz="0" w:space="0" w:color="auto"/>
        <w:right w:val="none" w:sz="0" w:space="0" w:color="auto"/>
      </w:divBdr>
    </w:div>
    <w:div w:id="1776561229">
      <w:bodyDiv w:val="1"/>
      <w:marLeft w:val="0"/>
      <w:marRight w:val="0"/>
      <w:marTop w:val="0"/>
      <w:marBottom w:val="0"/>
      <w:divBdr>
        <w:top w:val="none" w:sz="0" w:space="0" w:color="auto"/>
        <w:left w:val="none" w:sz="0" w:space="0" w:color="auto"/>
        <w:bottom w:val="none" w:sz="0" w:space="0" w:color="auto"/>
        <w:right w:val="none" w:sz="0" w:space="0" w:color="auto"/>
      </w:divBdr>
    </w:div>
    <w:div w:id="1824347367">
      <w:bodyDiv w:val="1"/>
      <w:marLeft w:val="0"/>
      <w:marRight w:val="0"/>
      <w:marTop w:val="0"/>
      <w:marBottom w:val="0"/>
      <w:divBdr>
        <w:top w:val="none" w:sz="0" w:space="0" w:color="auto"/>
        <w:left w:val="none" w:sz="0" w:space="0" w:color="auto"/>
        <w:bottom w:val="none" w:sz="0" w:space="0" w:color="auto"/>
        <w:right w:val="none" w:sz="0" w:space="0" w:color="auto"/>
      </w:divBdr>
    </w:div>
    <w:div w:id="1837257342">
      <w:bodyDiv w:val="1"/>
      <w:marLeft w:val="0"/>
      <w:marRight w:val="0"/>
      <w:marTop w:val="0"/>
      <w:marBottom w:val="0"/>
      <w:divBdr>
        <w:top w:val="none" w:sz="0" w:space="0" w:color="auto"/>
        <w:left w:val="none" w:sz="0" w:space="0" w:color="auto"/>
        <w:bottom w:val="none" w:sz="0" w:space="0" w:color="auto"/>
        <w:right w:val="none" w:sz="0" w:space="0" w:color="auto"/>
      </w:divBdr>
    </w:div>
    <w:div w:id="1837259397">
      <w:bodyDiv w:val="1"/>
      <w:marLeft w:val="0"/>
      <w:marRight w:val="0"/>
      <w:marTop w:val="0"/>
      <w:marBottom w:val="0"/>
      <w:divBdr>
        <w:top w:val="none" w:sz="0" w:space="0" w:color="auto"/>
        <w:left w:val="none" w:sz="0" w:space="0" w:color="auto"/>
        <w:bottom w:val="none" w:sz="0" w:space="0" w:color="auto"/>
        <w:right w:val="none" w:sz="0" w:space="0" w:color="auto"/>
      </w:divBdr>
    </w:div>
    <w:div w:id="1850365039">
      <w:bodyDiv w:val="1"/>
      <w:marLeft w:val="0"/>
      <w:marRight w:val="0"/>
      <w:marTop w:val="0"/>
      <w:marBottom w:val="0"/>
      <w:divBdr>
        <w:top w:val="none" w:sz="0" w:space="0" w:color="auto"/>
        <w:left w:val="none" w:sz="0" w:space="0" w:color="auto"/>
        <w:bottom w:val="none" w:sz="0" w:space="0" w:color="auto"/>
        <w:right w:val="none" w:sz="0" w:space="0" w:color="auto"/>
      </w:divBdr>
    </w:div>
    <w:div w:id="1865942850">
      <w:bodyDiv w:val="1"/>
      <w:marLeft w:val="0"/>
      <w:marRight w:val="0"/>
      <w:marTop w:val="0"/>
      <w:marBottom w:val="0"/>
      <w:divBdr>
        <w:top w:val="none" w:sz="0" w:space="0" w:color="auto"/>
        <w:left w:val="none" w:sz="0" w:space="0" w:color="auto"/>
        <w:bottom w:val="none" w:sz="0" w:space="0" w:color="auto"/>
        <w:right w:val="none" w:sz="0" w:space="0" w:color="auto"/>
      </w:divBdr>
    </w:div>
    <w:div w:id="1905067728">
      <w:bodyDiv w:val="1"/>
      <w:marLeft w:val="0"/>
      <w:marRight w:val="0"/>
      <w:marTop w:val="0"/>
      <w:marBottom w:val="0"/>
      <w:divBdr>
        <w:top w:val="none" w:sz="0" w:space="0" w:color="auto"/>
        <w:left w:val="none" w:sz="0" w:space="0" w:color="auto"/>
        <w:bottom w:val="none" w:sz="0" w:space="0" w:color="auto"/>
        <w:right w:val="none" w:sz="0" w:space="0" w:color="auto"/>
      </w:divBdr>
    </w:div>
    <w:div w:id="1906837021">
      <w:bodyDiv w:val="1"/>
      <w:marLeft w:val="0"/>
      <w:marRight w:val="0"/>
      <w:marTop w:val="0"/>
      <w:marBottom w:val="0"/>
      <w:divBdr>
        <w:top w:val="none" w:sz="0" w:space="0" w:color="auto"/>
        <w:left w:val="none" w:sz="0" w:space="0" w:color="auto"/>
        <w:bottom w:val="none" w:sz="0" w:space="0" w:color="auto"/>
        <w:right w:val="none" w:sz="0" w:space="0" w:color="auto"/>
      </w:divBdr>
    </w:div>
    <w:div w:id="1925214272">
      <w:bodyDiv w:val="1"/>
      <w:marLeft w:val="0"/>
      <w:marRight w:val="0"/>
      <w:marTop w:val="0"/>
      <w:marBottom w:val="0"/>
      <w:divBdr>
        <w:top w:val="none" w:sz="0" w:space="0" w:color="auto"/>
        <w:left w:val="none" w:sz="0" w:space="0" w:color="auto"/>
        <w:bottom w:val="none" w:sz="0" w:space="0" w:color="auto"/>
        <w:right w:val="none" w:sz="0" w:space="0" w:color="auto"/>
      </w:divBdr>
    </w:div>
    <w:div w:id="20720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www1.health.gov.au/internet/main/publishing.nsf/Content/hospital-author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au/Details/F2022C00647"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documents/2022/04/guiding-principles-to-achieve-continuity-in-medication-management_0.pdf" TargetMode="External"/><Relationship Id="rId2" Type="http://schemas.openxmlformats.org/officeDocument/2006/relationships/hyperlink" Target="https://federalfinancialrelations.gov.au/sites/federalfinancialrelations.gov.au/files/2021-07/NHRA_2020-25_Addendum_consolidated.pdf" TargetMode="External"/><Relationship Id="rId1" Type="http://schemas.openxmlformats.org/officeDocument/2006/relationships/hyperlink" Target="https://www.pbs.gov.au/info/reviews/pbs-pharmaceuticals-in-hospitals-review" TargetMode="External"/><Relationship Id="rId6" Type="http://schemas.openxmlformats.org/officeDocument/2006/relationships/hyperlink" Target="https://www.ihacpa.gov.au/resources/national-hospital-cost-data-collection-nhcdc-public-hospitals-round-24-financial-year-2019-20" TargetMode="External"/><Relationship Id="rId5" Type="http://schemas.openxmlformats.org/officeDocument/2006/relationships/hyperlink" Target="https://www.safetyandquality.gov.au/standards/nsqhs-standards" TargetMode="External"/><Relationship Id="rId4" Type="http://schemas.openxmlformats.org/officeDocument/2006/relationships/hyperlink" Target="https://www.safetyandquality.gov.au/our-work/medication-safety/quality-use-medic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2"/>
          <c:order val="2"/>
          <c:tx>
            <c:strRef>
              <c:f>Data!$A$42</c:f>
              <c:strCache>
                <c:ptCount val="1"/>
                <c:pt idx="0">
                  <c:v>Total PBS expenditure excl Public hospital PRA PBS</c:v>
                </c:pt>
              </c:strCache>
            </c:strRef>
          </c:tx>
          <c:spPr>
            <a:pattFill prst="ltUpDiag">
              <a:fgClr>
                <a:schemeClr val="accent1">
                  <a:lumMod val="40000"/>
                  <a:lumOff val="60000"/>
                </a:schemeClr>
              </a:fgClr>
              <a:bgClr>
                <a:schemeClr val="bg1"/>
              </a:bgClr>
            </a:pattFill>
            <a:ln>
              <a:solidFill>
                <a:schemeClr val="accent1"/>
              </a:solidFill>
            </a:ln>
            <a:effectLst/>
          </c:spPr>
          <c:invertIfNegative val="0"/>
          <c:dLbls>
            <c:dLbl>
              <c:idx val="0"/>
              <c:tx>
                <c:rich>
                  <a:bodyPr/>
                  <a:lstStyle/>
                  <a:p>
                    <a:fld id="{683DB6A2-C5B3-4D62-A70C-3CA35E46D3DB}"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727-40D3-9FCA-0B1009828A49}"/>
                </c:ext>
              </c:extLst>
            </c:dLbl>
            <c:dLbl>
              <c:idx val="1"/>
              <c:tx>
                <c:rich>
                  <a:bodyPr/>
                  <a:lstStyle/>
                  <a:p>
                    <a:fld id="{090CC142-AE9C-487C-BD2B-6DF74523236A}"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727-40D3-9FCA-0B1009828A49}"/>
                </c:ext>
              </c:extLst>
            </c:dLbl>
            <c:dLbl>
              <c:idx val="2"/>
              <c:tx>
                <c:rich>
                  <a:bodyPr/>
                  <a:lstStyle/>
                  <a:p>
                    <a:fld id="{BDD0051B-0B61-434D-86E5-D173F368F56C}"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727-40D3-9FCA-0B1009828A49}"/>
                </c:ext>
              </c:extLst>
            </c:dLbl>
            <c:dLbl>
              <c:idx val="3"/>
              <c:tx>
                <c:rich>
                  <a:bodyPr/>
                  <a:lstStyle/>
                  <a:p>
                    <a:fld id="{833A5FFC-27E1-437A-B720-7AC62E946B64}"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727-40D3-9FCA-0B1009828A49}"/>
                </c:ext>
              </c:extLst>
            </c:dLbl>
            <c:dLbl>
              <c:idx val="4"/>
              <c:tx>
                <c:rich>
                  <a:bodyPr/>
                  <a:lstStyle/>
                  <a:p>
                    <a:fld id="{BC3BF813-66EB-4207-A740-78F51F1E48F8}"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727-40D3-9FCA-0B1009828A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w="635">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Data!$B$39:$F$39</c:f>
              <c:strCache>
                <c:ptCount val="5"/>
                <c:pt idx="0">
                  <c:v>2016-17</c:v>
                </c:pt>
                <c:pt idx="1">
                  <c:v>2017-18</c:v>
                </c:pt>
                <c:pt idx="2">
                  <c:v>2018-19</c:v>
                </c:pt>
                <c:pt idx="3">
                  <c:v>2019-20</c:v>
                </c:pt>
                <c:pt idx="4">
                  <c:v>2020-21</c:v>
                </c:pt>
              </c:strCache>
            </c:strRef>
          </c:cat>
          <c:val>
            <c:numRef>
              <c:f>Data!$B$42:$F$42</c:f>
              <c:numCache>
                <c:formatCode>_("$"* #,##0.00_);_("$"* \(#,##0.00\);_("$"* "-"??_);_(@_)</c:formatCode>
                <c:ptCount val="5"/>
                <c:pt idx="0">
                  <c:v>6270975639.7099991</c:v>
                </c:pt>
                <c:pt idx="1">
                  <c:v>6269067661.21</c:v>
                </c:pt>
                <c:pt idx="2">
                  <c:v>6225954220.6300011</c:v>
                </c:pt>
                <c:pt idx="3">
                  <c:v>6640328384.4100008</c:v>
                </c:pt>
                <c:pt idx="4">
                  <c:v>7201389578.4400005</c:v>
                </c:pt>
              </c:numCache>
            </c:numRef>
          </c:val>
          <c:extLst>
            <c:ext xmlns:c15="http://schemas.microsoft.com/office/drawing/2012/chart" uri="{02D57815-91ED-43cb-92C2-25804820EDAC}">
              <c15:datalabelsRange>
                <c15:f>Data!$H$42:$L$42</c15:f>
                <c15:dlblRangeCache>
                  <c:ptCount val="5"/>
                  <c:pt idx="0">
                    <c:v>79%</c:v>
                  </c:pt>
                  <c:pt idx="1">
                    <c:v>81%</c:v>
                  </c:pt>
                  <c:pt idx="2">
                    <c:v>79%</c:v>
                  </c:pt>
                  <c:pt idx="3">
                    <c:v>79%</c:v>
                  </c:pt>
                  <c:pt idx="4">
                    <c:v>79%</c:v>
                  </c:pt>
                </c15:dlblRangeCache>
              </c15:datalabelsRange>
            </c:ext>
            <c:ext xmlns:c16="http://schemas.microsoft.com/office/drawing/2014/chart" uri="{C3380CC4-5D6E-409C-BE32-E72D297353CC}">
              <c16:uniqueId val="{00000005-3727-40D3-9FCA-0B1009828A49}"/>
            </c:ext>
          </c:extLst>
        </c:ser>
        <c:ser>
          <c:idx val="3"/>
          <c:order val="3"/>
          <c:tx>
            <c:strRef>
              <c:f>Data!$A$43</c:f>
              <c:strCache>
                <c:ptCount val="1"/>
                <c:pt idx="0">
                  <c:v>Public hospital PRA PBS expenditure</c:v>
                </c:pt>
              </c:strCache>
            </c:strRef>
          </c:tx>
          <c:spPr>
            <a:pattFill prst="pct20">
              <a:fgClr>
                <a:schemeClr val="accent2">
                  <a:lumMod val="60000"/>
                  <a:lumOff val="40000"/>
                </a:schemeClr>
              </a:fgClr>
              <a:bgClr>
                <a:schemeClr val="bg1"/>
              </a:bgClr>
            </a:pattFill>
            <a:ln>
              <a:solidFill>
                <a:schemeClr val="accent2"/>
              </a:solidFill>
            </a:ln>
            <a:effectLst/>
          </c:spPr>
          <c:invertIfNegative val="0"/>
          <c:dLbls>
            <c:dLbl>
              <c:idx val="0"/>
              <c:tx>
                <c:rich>
                  <a:bodyPr/>
                  <a:lstStyle/>
                  <a:p>
                    <a:fld id="{5EF3556B-4500-4320-8528-16623F80BA75}"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3727-40D3-9FCA-0B1009828A49}"/>
                </c:ext>
              </c:extLst>
            </c:dLbl>
            <c:dLbl>
              <c:idx val="1"/>
              <c:tx>
                <c:rich>
                  <a:bodyPr/>
                  <a:lstStyle/>
                  <a:p>
                    <a:fld id="{8FC05789-6E39-42D7-A427-93DB2DEB38EE}"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727-40D3-9FCA-0B1009828A49}"/>
                </c:ext>
              </c:extLst>
            </c:dLbl>
            <c:dLbl>
              <c:idx val="2"/>
              <c:tx>
                <c:rich>
                  <a:bodyPr/>
                  <a:lstStyle/>
                  <a:p>
                    <a:fld id="{0D77320A-D7A7-4798-9D4C-68B4D98B770E}"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727-40D3-9FCA-0B1009828A49}"/>
                </c:ext>
              </c:extLst>
            </c:dLbl>
            <c:dLbl>
              <c:idx val="3"/>
              <c:tx>
                <c:rich>
                  <a:bodyPr/>
                  <a:lstStyle/>
                  <a:p>
                    <a:fld id="{F2ED8805-56EC-414E-84A7-D4E46468EEE2}"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727-40D3-9FCA-0B1009828A49}"/>
                </c:ext>
              </c:extLst>
            </c:dLbl>
            <c:dLbl>
              <c:idx val="4"/>
              <c:tx>
                <c:rich>
                  <a:bodyPr/>
                  <a:lstStyle/>
                  <a:p>
                    <a:fld id="{8A7FFF29-E3F2-401C-BC01-DDE49A08343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727-40D3-9FCA-0B1009828A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w="635">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Data!$B$39:$F$39</c:f>
              <c:strCache>
                <c:ptCount val="5"/>
                <c:pt idx="0">
                  <c:v>2016-17</c:v>
                </c:pt>
                <c:pt idx="1">
                  <c:v>2017-18</c:v>
                </c:pt>
                <c:pt idx="2">
                  <c:v>2018-19</c:v>
                </c:pt>
                <c:pt idx="3">
                  <c:v>2019-20</c:v>
                </c:pt>
                <c:pt idx="4">
                  <c:v>2020-21</c:v>
                </c:pt>
              </c:strCache>
            </c:strRef>
          </c:cat>
          <c:val>
            <c:numRef>
              <c:f>Data!$B$43:$F$43</c:f>
              <c:numCache>
                <c:formatCode>_("$"* #,##0.00_);_("$"* \(#,##0.00\);_("$"* "-"??_);_(@_)</c:formatCode>
                <c:ptCount val="5"/>
                <c:pt idx="0">
                  <c:v>1673665886.52</c:v>
                </c:pt>
                <c:pt idx="1">
                  <c:v>1497093413.96</c:v>
                </c:pt>
                <c:pt idx="2">
                  <c:v>1628684401.24</c:v>
                </c:pt>
                <c:pt idx="3">
                  <c:v>1772748344.96</c:v>
                </c:pt>
                <c:pt idx="4">
                  <c:v>1954363579.2800002</c:v>
                </c:pt>
              </c:numCache>
            </c:numRef>
          </c:val>
          <c:extLst xmlns:c15="http://schemas.microsoft.com/office/drawing/2012/chart">
            <c:ext xmlns:c15="http://schemas.microsoft.com/office/drawing/2012/chart" uri="{02D57815-91ED-43cb-92C2-25804820EDAC}">
              <c15:datalabelsRange>
                <c15:f>Data!$H$43:$L$43</c15:f>
                <c15:dlblRangeCache>
                  <c:ptCount val="5"/>
                  <c:pt idx="0">
                    <c:v>21%</c:v>
                  </c:pt>
                  <c:pt idx="1">
                    <c:v>19%</c:v>
                  </c:pt>
                  <c:pt idx="2">
                    <c:v>21%</c:v>
                  </c:pt>
                  <c:pt idx="3">
                    <c:v>21%</c:v>
                  </c:pt>
                  <c:pt idx="4">
                    <c:v>21%</c:v>
                  </c:pt>
                </c15:dlblRangeCache>
              </c15:datalabelsRange>
            </c:ext>
            <c:ext xmlns:c16="http://schemas.microsoft.com/office/drawing/2014/chart" uri="{C3380CC4-5D6E-409C-BE32-E72D297353CC}">
              <c16:uniqueId val="{0000000B-3727-40D3-9FCA-0B1009828A49}"/>
            </c:ext>
          </c:extLst>
        </c:ser>
        <c:dLbls>
          <c:showLegendKey val="0"/>
          <c:showVal val="0"/>
          <c:showCatName val="0"/>
          <c:showSerName val="0"/>
          <c:showPercent val="0"/>
          <c:showBubbleSize val="0"/>
        </c:dLbls>
        <c:gapWidth val="50"/>
        <c:overlap val="100"/>
        <c:axId val="719042288"/>
        <c:axId val="719043928"/>
        <c:extLst>
          <c:ext xmlns:c15="http://schemas.microsoft.com/office/drawing/2012/chart" uri="{02D57815-91ED-43cb-92C2-25804820EDAC}">
            <c15:filteredBarSeries>
              <c15:ser>
                <c:idx val="0"/>
                <c:order val="0"/>
                <c:tx>
                  <c:strRef>
                    <c:extLst>
                      <c:ext uri="{02D57815-91ED-43cb-92C2-25804820EDAC}">
                        <c15:formulaRef>
                          <c15:sqref>Data!$A$40</c15:sqref>
                        </c15:formulaRef>
                      </c:ext>
                    </c:extLst>
                    <c:strCache>
                      <c:ptCount val="1"/>
                      <c:pt idx="0">
                        <c:v>All PRA jurisdictions</c:v>
                      </c:pt>
                    </c:strCache>
                  </c:strRef>
                </c:tx>
                <c:spPr>
                  <a:solidFill>
                    <a:schemeClr val="accent1"/>
                  </a:solidFill>
                  <a:ln>
                    <a:noFill/>
                  </a:ln>
                  <a:effectLst/>
                </c:spPr>
                <c:invertIfNegative val="0"/>
                <c:cat>
                  <c:strRef>
                    <c:extLst>
                      <c:ext uri="{02D57815-91ED-43cb-92C2-25804820EDAC}">
                        <c15:formulaRef>
                          <c15:sqref>Data!$B$39:$F$39</c15:sqref>
                        </c15:formulaRef>
                      </c:ext>
                    </c:extLst>
                    <c:strCache>
                      <c:ptCount val="5"/>
                      <c:pt idx="0">
                        <c:v>2016-17</c:v>
                      </c:pt>
                      <c:pt idx="1">
                        <c:v>2017-18</c:v>
                      </c:pt>
                      <c:pt idx="2">
                        <c:v>2018-19</c:v>
                      </c:pt>
                      <c:pt idx="3">
                        <c:v>2019-20</c:v>
                      </c:pt>
                      <c:pt idx="4">
                        <c:v>2020-21</c:v>
                      </c:pt>
                    </c:strCache>
                  </c:strRef>
                </c:cat>
                <c:val>
                  <c:numRef>
                    <c:extLst>
                      <c:ext uri="{02D57815-91ED-43cb-92C2-25804820EDAC}">
                        <c15:formulaRef>
                          <c15:sqref>Data!$B$40:$F$40</c15:sqref>
                        </c15:formulaRef>
                      </c:ext>
                    </c:extLst>
                    <c:numCache>
                      <c:formatCode>General</c:formatCode>
                      <c:ptCount val="5"/>
                    </c:numCache>
                  </c:numRef>
                </c:val>
                <c:extLst>
                  <c:ext xmlns:c16="http://schemas.microsoft.com/office/drawing/2014/chart" uri="{C3380CC4-5D6E-409C-BE32-E72D297353CC}">
                    <c16:uniqueId val="{0000000C-3727-40D3-9FCA-0B1009828A4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Data!$A$41</c15:sqref>
                        </c15:formulaRef>
                      </c:ext>
                    </c:extLst>
                    <c:strCache>
                      <c:ptCount val="1"/>
                      <c:pt idx="0">
                        <c:v>Total PBS expenditure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Data!$B$41:$F$41</c15:sqref>
                        </c15:formulaRef>
                      </c:ext>
                    </c:extLst>
                    <c:numCache>
                      <c:formatCode>_("$"* #,##0.00_);_("$"* \(#,##0.00\);_("$"* "-"??_);_(@_)</c:formatCode>
                      <c:ptCount val="5"/>
                      <c:pt idx="0">
                        <c:v>7944641526.2299995</c:v>
                      </c:pt>
                      <c:pt idx="1">
                        <c:v>7766161075.1700001</c:v>
                      </c:pt>
                      <c:pt idx="2">
                        <c:v>7854638621.8700008</c:v>
                      </c:pt>
                      <c:pt idx="3">
                        <c:v>8413076729.3700008</c:v>
                      </c:pt>
                      <c:pt idx="4">
                        <c:v>9155753157.7200012</c:v>
                      </c:pt>
                    </c:numCache>
                  </c:numRef>
                </c:val>
                <c:extLst xmlns:c15="http://schemas.microsoft.com/office/drawing/2012/chart">
                  <c:ext xmlns:c16="http://schemas.microsoft.com/office/drawing/2014/chart" uri="{C3380CC4-5D6E-409C-BE32-E72D297353CC}">
                    <c16:uniqueId val="{0000000D-3727-40D3-9FCA-0B1009828A49}"/>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Data!$A$44</c15:sqref>
                        </c15:formulaRef>
                      </c:ext>
                    </c:extLst>
                    <c:strCache>
                      <c:ptCount val="1"/>
                      <c:pt idx="0">
                        <c:v>HSD public hospital expenditure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Data!$B$44:$F$44</c15:sqref>
                        </c15:formulaRef>
                      </c:ext>
                    </c:extLst>
                    <c:numCache>
                      <c:formatCode>_("$"* #,##0.00_);_("$"* \(#,##0.00\);_("$"* "-"??_);_(@_)</c:formatCode>
                      <c:ptCount val="5"/>
                      <c:pt idx="0">
                        <c:v>853300855.03000009</c:v>
                      </c:pt>
                      <c:pt idx="1">
                        <c:v>764778207.57999992</c:v>
                      </c:pt>
                      <c:pt idx="2">
                        <c:v>862025224.68000007</c:v>
                      </c:pt>
                      <c:pt idx="3">
                        <c:v>932345181.6500001</c:v>
                      </c:pt>
                      <c:pt idx="4">
                        <c:v>967427789.48999989</c:v>
                      </c:pt>
                    </c:numCache>
                  </c:numRef>
                </c:val>
                <c:extLst xmlns:c15="http://schemas.microsoft.com/office/drawing/2012/chart">
                  <c:ext xmlns:c16="http://schemas.microsoft.com/office/drawing/2014/chart" uri="{C3380CC4-5D6E-409C-BE32-E72D297353CC}">
                    <c16:uniqueId val="{0000000E-3727-40D3-9FCA-0B1009828A49}"/>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Data!$A$45</c15:sqref>
                        </c15:formulaRef>
                      </c:ext>
                    </c:extLst>
                    <c:strCache>
                      <c:ptCount val="1"/>
                      <c:pt idx="0">
                        <c:v>EFC public hospital expenditure</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Data!$B$45:$F$45</c15:sqref>
                        </c15:formulaRef>
                      </c:ext>
                    </c:extLst>
                    <c:numCache>
                      <c:formatCode>_("$"* #,##0.00_);_("$"* \(#,##0.00\);_("$"* "-"??_);_(@_)</c:formatCode>
                      <c:ptCount val="5"/>
                      <c:pt idx="0">
                        <c:v>282787620.54000002</c:v>
                      </c:pt>
                      <c:pt idx="1">
                        <c:v>375002986.87</c:v>
                      </c:pt>
                      <c:pt idx="2">
                        <c:v>452913075.51999998</c:v>
                      </c:pt>
                      <c:pt idx="3">
                        <c:v>546916729.14999998</c:v>
                      </c:pt>
                      <c:pt idx="4">
                        <c:v>687450885.28999996</c:v>
                      </c:pt>
                    </c:numCache>
                  </c:numRef>
                </c:val>
                <c:extLst xmlns:c15="http://schemas.microsoft.com/office/drawing/2012/chart">
                  <c:ext xmlns:c16="http://schemas.microsoft.com/office/drawing/2014/chart" uri="{C3380CC4-5D6E-409C-BE32-E72D297353CC}">
                    <c16:uniqueId val="{0000000F-3727-40D3-9FCA-0B1009828A49}"/>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Data!$A$46</c15:sqref>
                        </c15:formulaRef>
                      </c:ext>
                    </c:extLst>
                    <c:strCache>
                      <c:ptCount val="1"/>
                      <c:pt idx="0">
                        <c:v>PBS general schedule, growth hormone, IVF drugs, and botulinum toxin public hospital expenditure</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Data!$B$46:$F$46</c15:sqref>
                        </c15:formulaRef>
                      </c:ext>
                    </c:extLst>
                    <c:numCache>
                      <c:formatCode>_("$"* #,##0.00_);_("$"* \(#,##0.00\);_("$"* "-"??_);_(@_)</c:formatCode>
                      <c:ptCount val="5"/>
                      <c:pt idx="0">
                        <c:v>537577410.95000005</c:v>
                      </c:pt>
                      <c:pt idx="1">
                        <c:v>357312219.50999993</c:v>
                      </c:pt>
                      <c:pt idx="2">
                        <c:v>313746101.03999996</c:v>
                      </c:pt>
                      <c:pt idx="3">
                        <c:v>293486434.16000009</c:v>
                      </c:pt>
                      <c:pt idx="4">
                        <c:v>299484904.50000006</c:v>
                      </c:pt>
                    </c:numCache>
                  </c:numRef>
                </c:val>
                <c:extLst xmlns:c15="http://schemas.microsoft.com/office/drawing/2012/chart">
                  <c:ext xmlns:c16="http://schemas.microsoft.com/office/drawing/2014/chart" uri="{C3380CC4-5D6E-409C-BE32-E72D297353CC}">
                    <c16:uniqueId val="{00000010-3727-40D3-9FCA-0B1009828A49}"/>
                  </c:ext>
                </c:extLst>
              </c15:ser>
            </c15:filteredBarSeries>
          </c:ext>
        </c:extLst>
      </c:barChart>
      <c:catAx>
        <c:axId val="7190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635">
                  <a:noFill/>
                </a:ln>
                <a:solidFill>
                  <a:schemeClr val="tx1">
                    <a:lumMod val="65000"/>
                    <a:lumOff val="35000"/>
                  </a:schemeClr>
                </a:solidFill>
                <a:latin typeface="+mn-lt"/>
                <a:ea typeface="+mn-ea"/>
                <a:cs typeface="+mn-cs"/>
              </a:defRPr>
            </a:pPr>
            <a:endParaRPr lang="en-US"/>
          </a:p>
        </c:txPr>
        <c:crossAx val="719043928"/>
        <c:crosses val="autoZero"/>
        <c:auto val="1"/>
        <c:lblAlgn val="ctr"/>
        <c:lblOffset val="100"/>
        <c:noMultiLvlLbl val="0"/>
      </c:catAx>
      <c:valAx>
        <c:axId val="719043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w="635">
                  <a:noFill/>
                </a:ln>
                <a:solidFill>
                  <a:schemeClr val="tx1">
                    <a:lumMod val="65000"/>
                    <a:lumOff val="35000"/>
                  </a:schemeClr>
                </a:solidFill>
                <a:latin typeface="+mn-lt"/>
                <a:ea typeface="+mn-ea"/>
                <a:cs typeface="+mn-cs"/>
              </a:defRPr>
            </a:pPr>
            <a:endParaRPr lang="en-US"/>
          </a:p>
        </c:txPr>
        <c:crossAx val="719042288"/>
        <c:crosses val="autoZero"/>
        <c:crossBetween val="between"/>
        <c:dispUnits>
          <c:builtInUnit val="billions"/>
          <c:dispUnitsLbl>
            <c:layout>
              <c:manualLayout>
                <c:xMode val="edge"/>
                <c:yMode val="edge"/>
                <c:x val="1.3448253488700291E-2"/>
                <c:y val="0.44843120678820886"/>
              </c:manualLayout>
            </c:layout>
            <c:tx>
              <c:rich>
                <a:bodyPr rot="-5400000" spcFirstLastPara="1" vertOverflow="ellipsis" vert="horz" wrap="square" anchor="ctr" anchorCtr="1"/>
                <a:lstStyle/>
                <a:p>
                  <a:pPr>
                    <a:defRPr sz="1000" b="0" i="0" u="none" strike="noStrike" kern="1200" baseline="0">
                      <a:ln w="635">
                        <a:noFill/>
                      </a:ln>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ln w="635">
                      <a:noFill/>
                    </a:ln>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w="635">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All PRA jurisdictions</a:t>
            </a:r>
            <a:r>
              <a:rPr lang="en-AU" baseline="0"/>
              <a:t> - PBS expenditure in public hospitals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461738838081181E-2"/>
          <c:y val="9.7404404373767725E-2"/>
          <c:w val="0.88155426346733567"/>
          <c:h val="0.70486229687238233"/>
        </c:manualLayout>
      </c:layout>
      <c:barChart>
        <c:barDir val="bar"/>
        <c:grouping val="percentStacked"/>
        <c:varyColors val="0"/>
        <c:ser>
          <c:idx val="3"/>
          <c:order val="3"/>
          <c:tx>
            <c:strRef>
              <c:f>'[Copy of D21-5771571  PBS expenditure in public hospitals - graphed.xlsx]Data'!$A$44</c:f>
              <c:strCache>
                <c:ptCount val="1"/>
                <c:pt idx="0">
                  <c:v>HSD public hospital expenditure</c:v>
                </c:pt>
              </c:strCache>
              <c:extLst xmlns:c15="http://schemas.microsoft.com/office/drawing/2012/chart"/>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D21-5771571  PBS expenditure in public hospitals - graphed.xlsx]Data'!$B$39:$F$39</c:f>
              <c:strCache>
                <c:ptCount val="5"/>
                <c:pt idx="0">
                  <c:v>2016-17</c:v>
                </c:pt>
                <c:pt idx="1">
                  <c:v>2017-18</c:v>
                </c:pt>
                <c:pt idx="2">
                  <c:v>2018-19</c:v>
                </c:pt>
                <c:pt idx="3">
                  <c:v>2019-20</c:v>
                </c:pt>
                <c:pt idx="4">
                  <c:v>2020-21</c:v>
                </c:pt>
              </c:strCache>
              <c:extLst xmlns:c15="http://schemas.microsoft.com/office/drawing/2012/chart"/>
            </c:strRef>
          </c:cat>
          <c:val>
            <c:numRef>
              <c:f>'[Copy of D21-5771571  PBS expenditure in public hospitals - graphed.xlsx]Data'!$B$44:$F$44</c:f>
              <c:numCache>
                <c:formatCode>_("$"* #,##0.00_);_("$"* \(#,##0.00\);_("$"* "-"??_);_(@_)</c:formatCode>
                <c:ptCount val="5"/>
                <c:pt idx="0">
                  <c:v>853300855.03000009</c:v>
                </c:pt>
                <c:pt idx="1">
                  <c:v>764778207.57999992</c:v>
                </c:pt>
                <c:pt idx="2">
                  <c:v>862025224.68000007</c:v>
                </c:pt>
                <c:pt idx="3">
                  <c:v>932345181.6500001</c:v>
                </c:pt>
                <c:pt idx="4">
                  <c:v>967427789.48999989</c:v>
                </c:pt>
              </c:numCache>
              <c:extLst xmlns:c15="http://schemas.microsoft.com/office/drawing/2012/chart"/>
            </c:numRef>
          </c:val>
          <c:extLst>
            <c:ext xmlns:c16="http://schemas.microsoft.com/office/drawing/2014/chart" uri="{C3380CC4-5D6E-409C-BE32-E72D297353CC}">
              <c16:uniqueId val="{00000000-D7BB-46EB-B070-97636CFE1D09}"/>
            </c:ext>
          </c:extLst>
        </c:ser>
        <c:ser>
          <c:idx val="4"/>
          <c:order val="4"/>
          <c:tx>
            <c:strRef>
              <c:f>'[Copy of D21-5771571  PBS expenditure in public hospitals - graphed.xlsx]Data'!$A$45</c:f>
              <c:strCache>
                <c:ptCount val="1"/>
                <c:pt idx="0">
                  <c:v>EFC public hospital expenditure</c:v>
                </c:pt>
              </c:strCache>
              <c:extLst xmlns:c15="http://schemas.microsoft.com/office/drawing/2012/chart"/>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D21-5771571  PBS expenditure in public hospitals - graphed.xlsx]Data'!$B$39:$F$39</c:f>
              <c:strCache>
                <c:ptCount val="5"/>
                <c:pt idx="0">
                  <c:v>2016-17</c:v>
                </c:pt>
                <c:pt idx="1">
                  <c:v>2017-18</c:v>
                </c:pt>
                <c:pt idx="2">
                  <c:v>2018-19</c:v>
                </c:pt>
                <c:pt idx="3">
                  <c:v>2019-20</c:v>
                </c:pt>
                <c:pt idx="4">
                  <c:v>2020-21</c:v>
                </c:pt>
              </c:strCache>
              <c:extLst xmlns:c15="http://schemas.microsoft.com/office/drawing/2012/chart"/>
            </c:strRef>
          </c:cat>
          <c:val>
            <c:numRef>
              <c:f>'[Copy of D21-5771571  PBS expenditure in public hospitals - graphed.xlsx]Data'!$B$45:$F$45</c:f>
              <c:numCache>
                <c:formatCode>_("$"* #,##0.00_);_("$"* \(#,##0.00\);_("$"* "-"??_);_(@_)</c:formatCode>
                <c:ptCount val="5"/>
                <c:pt idx="0">
                  <c:v>282787620.54000002</c:v>
                </c:pt>
                <c:pt idx="1">
                  <c:v>375002986.87</c:v>
                </c:pt>
                <c:pt idx="2">
                  <c:v>452913075.51999998</c:v>
                </c:pt>
                <c:pt idx="3">
                  <c:v>546916729.14999998</c:v>
                </c:pt>
                <c:pt idx="4">
                  <c:v>687450885.28999996</c:v>
                </c:pt>
              </c:numCache>
              <c:extLst xmlns:c15="http://schemas.microsoft.com/office/drawing/2012/chart"/>
            </c:numRef>
          </c:val>
          <c:extLst>
            <c:ext xmlns:c16="http://schemas.microsoft.com/office/drawing/2014/chart" uri="{C3380CC4-5D6E-409C-BE32-E72D297353CC}">
              <c16:uniqueId val="{00000001-D7BB-46EB-B070-97636CFE1D09}"/>
            </c:ext>
          </c:extLst>
        </c:ser>
        <c:ser>
          <c:idx val="5"/>
          <c:order val="5"/>
          <c:tx>
            <c:strRef>
              <c:f>'[Copy of D21-5771571  PBS expenditure in public hospitals - graphed.xlsx]Data'!$A$46</c:f>
              <c:strCache>
                <c:ptCount val="1"/>
                <c:pt idx="0">
                  <c:v>PBS general schedule, growth hormone, IVF drugs, and botulinum toxin public hospital expenditure</c:v>
                </c:pt>
              </c:strCache>
              <c:extLst xmlns:c15="http://schemas.microsoft.com/office/drawing/2012/chart"/>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D21-5771571  PBS expenditure in public hospitals - graphed.xlsx]Data'!$B$39:$F$39</c:f>
              <c:strCache>
                <c:ptCount val="5"/>
                <c:pt idx="0">
                  <c:v>2016-17</c:v>
                </c:pt>
                <c:pt idx="1">
                  <c:v>2017-18</c:v>
                </c:pt>
                <c:pt idx="2">
                  <c:v>2018-19</c:v>
                </c:pt>
                <c:pt idx="3">
                  <c:v>2019-20</c:v>
                </c:pt>
                <c:pt idx="4">
                  <c:v>2020-21</c:v>
                </c:pt>
              </c:strCache>
              <c:extLst xmlns:c15="http://schemas.microsoft.com/office/drawing/2012/chart"/>
            </c:strRef>
          </c:cat>
          <c:val>
            <c:numRef>
              <c:f>'[Copy of D21-5771571  PBS expenditure in public hospitals - graphed.xlsx]Data'!$B$46:$F$46</c:f>
              <c:numCache>
                <c:formatCode>_("$"* #,##0.00_);_("$"* \(#,##0.00\);_("$"* "-"??_);_(@_)</c:formatCode>
                <c:ptCount val="5"/>
                <c:pt idx="0">
                  <c:v>537577410.95000005</c:v>
                </c:pt>
                <c:pt idx="1">
                  <c:v>357312219.50999993</c:v>
                </c:pt>
                <c:pt idx="2">
                  <c:v>313746101.03999996</c:v>
                </c:pt>
                <c:pt idx="3">
                  <c:v>293486434.16000009</c:v>
                </c:pt>
                <c:pt idx="4">
                  <c:v>299484904.50000006</c:v>
                </c:pt>
              </c:numCache>
              <c:extLst xmlns:c15="http://schemas.microsoft.com/office/drawing/2012/chart"/>
            </c:numRef>
          </c:val>
          <c:extLst>
            <c:ext xmlns:c16="http://schemas.microsoft.com/office/drawing/2014/chart" uri="{C3380CC4-5D6E-409C-BE32-E72D297353CC}">
              <c16:uniqueId val="{00000002-D7BB-46EB-B070-97636CFE1D09}"/>
            </c:ext>
          </c:extLst>
        </c:ser>
        <c:dLbls>
          <c:showLegendKey val="0"/>
          <c:showVal val="1"/>
          <c:showCatName val="0"/>
          <c:showSerName val="0"/>
          <c:showPercent val="0"/>
          <c:showBubbleSize val="0"/>
        </c:dLbls>
        <c:gapWidth val="219"/>
        <c:overlap val="100"/>
        <c:axId val="719042288"/>
        <c:axId val="719043928"/>
        <c:extLst>
          <c:ext xmlns:c15="http://schemas.microsoft.com/office/drawing/2012/chart" uri="{02D57815-91ED-43cb-92C2-25804820EDAC}">
            <c15:filteredBarSeries>
              <c15:ser>
                <c:idx val="0"/>
                <c:order val="0"/>
                <c:tx>
                  <c:strRef>
                    <c:extLst>
                      <c:ext uri="{02D57815-91ED-43cb-92C2-25804820EDAC}">
                        <c15:formulaRef>
                          <c15:sqref>'[Copy of D21-5771571  PBS expenditure in public hospitals - graphed.xlsx]Data'!$A$40</c15:sqref>
                        </c15:formulaRef>
                      </c:ext>
                    </c:extLst>
                    <c:strCache>
                      <c:ptCount val="1"/>
                      <c:pt idx="0">
                        <c:v>All PRA jurisdictions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'[Copy of D21-5771571  PBS expenditure in public hospitals - graphed.xlsx]Data'!$B$39:$F$39</c15:sqref>
                        </c15:formulaRef>
                      </c:ext>
                    </c:extLst>
                    <c:strCache>
                      <c:ptCount val="5"/>
                      <c:pt idx="0">
                        <c:v>2016-17</c:v>
                      </c:pt>
                      <c:pt idx="1">
                        <c:v>2017-18</c:v>
                      </c:pt>
                      <c:pt idx="2">
                        <c:v>2018-19</c:v>
                      </c:pt>
                      <c:pt idx="3">
                        <c:v>2019-20</c:v>
                      </c:pt>
                      <c:pt idx="4">
                        <c:v>2020-21</c:v>
                      </c:pt>
                    </c:strCache>
                  </c:strRef>
                </c:cat>
                <c:val>
                  <c:numRef>
                    <c:extLst>
                      <c:ext uri="{02D57815-91ED-43cb-92C2-25804820EDAC}">
                        <c15:formulaRef>
                          <c15:sqref>'[Copy of D21-5771571  PBS expenditure in public hospitals - graphed.xlsx]Data'!$B$40:$F$40</c15:sqref>
                        </c15:formulaRef>
                      </c:ext>
                    </c:extLst>
                    <c:numCache>
                      <c:formatCode>General</c:formatCode>
                      <c:ptCount val="5"/>
                    </c:numCache>
                  </c:numRef>
                </c:val>
                <c:extLst>
                  <c:ext xmlns:c16="http://schemas.microsoft.com/office/drawing/2014/chart" uri="{C3380CC4-5D6E-409C-BE32-E72D297353CC}">
                    <c16:uniqueId val="{00000003-D7BB-46EB-B070-97636CFE1D0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'[Copy of D21-5771571  PBS expenditure in public hospitals - graphed.xlsx]Data'!$A$41</c15:sqref>
                        </c15:formulaRef>
                      </c:ext>
                    </c:extLst>
                    <c:strCache>
                      <c:ptCount val="1"/>
                      <c:pt idx="0">
                        <c:v>Total PBS expenditure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'[Copy of D21-5771571  PBS expenditure in public hospitals - graphed.xlsx]Data'!$B$39:$F$39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'[Copy of D21-5771571  PBS expenditure in public hospitals - graphed.xlsx]Data'!$B$41:$F$41</c15:sqref>
                        </c15:formulaRef>
                      </c:ext>
                    </c:extLst>
                    <c:numCache>
                      <c:formatCode>_("$"* #,##0.00_);_("$"* \(#,##0.00\);_("$"* "-"??_);_(@_)</c:formatCode>
                      <c:ptCount val="5"/>
                      <c:pt idx="0">
                        <c:v>7944641526.2299995</c:v>
                      </c:pt>
                      <c:pt idx="1">
                        <c:v>7766161075.1700001</c:v>
                      </c:pt>
                      <c:pt idx="2">
                        <c:v>7854638621.8700008</c:v>
                      </c:pt>
                      <c:pt idx="3">
                        <c:v>8413076729.3700008</c:v>
                      </c:pt>
                      <c:pt idx="4">
                        <c:v>9155753157.7200012</c:v>
                      </c:pt>
                    </c:numCache>
                  </c:numRef>
                </c:val>
                <c:extLst xmlns:c15="http://schemas.microsoft.com/office/drawing/2012/chart">
                  <c:ext xmlns:c16="http://schemas.microsoft.com/office/drawing/2014/chart" uri="{C3380CC4-5D6E-409C-BE32-E72D297353CC}">
                    <c16:uniqueId val="{00000004-D7BB-46EB-B070-97636CFE1D0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'[Copy of D21-5771571  PBS expenditure in public hospitals - graphed.xlsx]Data'!$A$43</c15:sqref>
                        </c15:formulaRef>
                      </c:ext>
                    </c:extLst>
                    <c:strCache>
                      <c:ptCount val="1"/>
                      <c:pt idx="0">
                        <c:v>Public hospital PRA PBS expenditure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'[Copy of D21-5771571  PBS expenditure in public hospitals - graphed.xlsx]Data'!$B$39:$F$39</c15:sqref>
                        </c15:formulaRef>
                      </c:ext>
                    </c:extLst>
                    <c:strCache>
                      <c:ptCount val="5"/>
                      <c:pt idx="0">
                        <c:v>2016-17</c:v>
                      </c:pt>
                      <c:pt idx="1">
                        <c:v>2017-18</c:v>
                      </c:pt>
                      <c:pt idx="2">
                        <c:v>2018-19</c:v>
                      </c:pt>
                      <c:pt idx="3">
                        <c:v>2019-20</c:v>
                      </c:pt>
                      <c:pt idx="4">
                        <c:v>2020-21</c:v>
                      </c:pt>
                    </c:strCache>
                  </c:strRef>
                </c:cat>
                <c:val>
                  <c:numRef>
                    <c:extLst xmlns:c15="http://schemas.microsoft.com/office/drawing/2012/chart">
                      <c:ext xmlns:c15="http://schemas.microsoft.com/office/drawing/2012/chart" uri="{02D57815-91ED-43cb-92C2-25804820EDAC}">
                        <c15:formulaRef>
                          <c15:sqref>'[Copy of D21-5771571  PBS expenditure in public hospitals - graphed.xlsx]Data'!$B$43:$F$43</c15:sqref>
                        </c15:formulaRef>
                      </c:ext>
                    </c:extLst>
                    <c:numCache>
                      <c:formatCode>_("$"* #,##0.00_);_("$"* \(#,##0.00\);_("$"* "-"??_);_(@_)</c:formatCode>
                      <c:ptCount val="5"/>
                      <c:pt idx="0">
                        <c:v>1673665886.52</c:v>
                      </c:pt>
                      <c:pt idx="1">
                        <c:v>1497093413.96</c:v>
                      </c:pt>
                      <c:pt idx="2">
                        <c:v>1628684401.24</c:v>
                      </c:pt>
                      <c:pt idx="3">
                        <c:v>1772748344.96</c:v>
                      </c:pt>
                      <c:pt idx="4">
                        <c:v>1954363579.2800002</c:v>
                      </c:pt>
                    </c:numCache>
                  </c:numRef>
                </c:val>
                <c:extLst xmlns:c15="http://schemas.microsoft.com/office/drawing/2012/chart">
                  <c:ext xmlns:c16="http://schemas.microsoft.com/office/drawing/2014/chart" uri="{C3380CC4-5D6E-409C-BE32-E72D297353CC}">
                    <c16:uniqueId val="{00000005-D7BB-46EB-B070-97636CFE1D09}"/>
                  </c:ext>
                </c:extLst>
              </c15:ser>
            </c15:filteredBarSeries>
          </c:ext>
        </c:extLst>
      </c:barChart>
      <c:catAx>
        <c:axId val="71904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043928"/>
        <c:crosses val="autoZero"/>
        <c:auto val="1"/>
        <c:lblAlgn val="ctr"/>
        <c:lblOffset val="100"/>
        <c:noMultiLvlLbl val="0"/>
      </c:catAx>
      <c:valAx>
        <c:axId val="71904392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042288"/>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0.70713</cdr:x>
      <cdr:y>0.27353</cdr:y>
    </cdr:from>
    <cdr:to>
      <cdr:x>0.79516</cdr:x>
      <cdr:y>0.45793</cdr:y>
    </cdr:to>
    <cdr:sp macro="" textlink="">
      <cdr:nvSpPr>
        <cdr:cNvPr id="2" name="TextBox 1">
          <a:extLst xmlns:a="http://schemas.openxmlformats.org/drawingml/2006/main">
            <a:ext uri="{FF2B5EF4-FFF2-40B4-BE49-F238E27FC236}">
              <a16:creationId xmlns:a16="http://schemas.microsoft.com/office/drawing/2014/main" id="{9D6FDA31-6A24-428E-A477-0A5DD23C0740}"/>
            </a:ext>
          </a:extLst>
        </cdr:cNvPr>
        <cdr:cNvSpPr txBox="1"/>
      </cdr:nvSpPr>
      <cdr:spPr>
        <a:xfrm xmlns:a="http://schemas.openxmlformats.org/drawingml/2006/main">
          <a:off x="7345680" y="135636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0.25162</cdr:x>
      <cdr:y>0.10587</cdr:y>
    </cdr:from>
    <cdr:to>
      <cdr:x>0.34043</cdr:x>
      <cdr:y>0.28999</cdr:y>
    </cdr:to>
    <cdr:sp macro="" textlink="">
      <cdr:nvSpPr>
        <cdr:cNvPr id="2" name="TextBox 1">
          <a:extLst xmlns:a="http://schemas.openxmlformats.org/drawingml/2006/main">
            <a:ext uri="{FF2B5EF4-FFF2-40B4-BE49-F238E27FC236}">
              <a16:creationId xmlns:a16="http://schemas.microsoft.com/office/drawing/2014/main" id="{64053EE7-4C97-448A-B3D1-90312C2ACF89}"/>
            </a:ext>
          </a:extLst>
        </cdr:cNvPr>
        <cdr:cNvSpPr txBox="1"/>
      </cdr:nvSpPr>
      <cdr:spPr>
        <a:xfrm xmlns:a="http://schemas.openxmlformats.org/drawingml/2006/main">
          <a:off x="2590800" y="5257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0.27789</cdr:x>
      <cdr:y>0.52321</cdr:y>
    </cdr:from>
    <cdr:to>
      <cdr:x>0.3667</cdr:x>
      <cdr:y>0.70733</cdr:y>
    </cdr:to>
    <cdr:sp macro="" textlink="">
      <cdr:nvSpPr>
        <cdr:cNvPr id="3" name="TextBox 2">
          <a:extLst xmlns:a="http://schemas.openxmlformats.org/drawingml/2006/main">
            <a:ext uri="{FF2B5EF4-FFF2-40B4-BE49-F238E27FC236}">
              <a16:creationId xmlns:a16="http://schemas.microsoft.com/office/drawing/2014/main" id="{BDEDCD50-7EC4-4421-BE30-293474548825}"/>
            </a:ext>
          </a:extLst>
        </cdr:cNvPr>
        <cdr:cNvSpPr txBox="1"/>
      </cdr:nvSpPr>
      <cdr:spPr>
        <a:xfrm xmlns:a="http://schemas.openxmlformats.org/drawingml/2006/main">
          <a:off x="1734250" y="2598420"/>
          <a:ext cx="554223"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51%</a:t>
          </a:r>
        </a:p>
      </cdr:txBody>
    </cdr:sp>
  </cdr:relSizeAnchor>
  <cdr:relSizeAnchor xmlns:cdr="http://schemas.openxmlformats.org/drawingml/2006/chartDrawing">
    <cdr:from>
      <cdr:x>0.27035</cdr:x>
      <cdr:y>0.65925</cdr:y>
    </cdr:from>
    <cdr:to>
      <cdr:x>0.35916</cdr:x>
      <cdr:y>0.84337</cdr:y>
    </cdr:to>
    <cdr:sp macro="" textlink="">
      <cdr:nvSpPr>
        <cdr:cNvPr id="4" name="TextBox 1">
          <a:extLst xmlns:a="http://schemas.openxmlformats.org/drawingml/2006/main">
            <a:ext uri="{FF2B5EF4-FFF2-40B4-BE49-F238E27FC236}">
              <a16:creationId xmlns:a16="http://schemas.microsoft.com/office/drawing/2014/main" id="{F6213892-FA1A-4B45-AE23-988BCE750DC9}"/>
            </a:ext>
          </a:extLst>
        </cdr:cNvPr>
        <cdr:cNvSpPr txBox="1"/>
      </cdr:nvSpPr>
      <cdr:spPr>
        <a:xfrm xmlns:a="http://schemas.openxmlformats.org/drawingml/2006/main">
          <a:off x="1687223" y="3274060"/>
          <a:ext cx="554223"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51%</a:t>
          </a:r>
        </a:p>
      </cdr:txBody>
    </cdr:sp>
  </cdr:relSizeAnchor>
  <cdr:relSizeAnchor xmlns:cdr="http://schemas.openxmlformats.org/drawingml/2006/chartDrawing">
    <cdr:from>
      <cdr:x>0.2772</cdr:x>
      <cdr:y>0.37847</cdr:y>
    </cdr:from>
    <cdr:to>
      <cdr:x>0.34775</cdr:x>
      <cdr:y>0.44035</cdr:y>
    </cdr:to>
    <cdr:sp macro="" textlink="">
      <cdr:nvSpPr>
        <cdr:cNvPr id="5" name="TextBox 1">
          <a:extLst xmlns:a="http://schemas.openxmlformats.org/drawingml/2006/main">
            <a:ext uri="{FF2B5EF4-FFF2-40B4-BE49-F238E27FC236}">
              <a16:creationId xmlns:a16="http://schemas.microsoft.com/office/drawing/2014/main" id="{F6213892-FA1A-4B45-AE23-988BCE750DC9}"/>
            </a:ext>
          </a:extLst>
        </cdr:cNvPr>
        <cdr:cNvSpPr txBox="1"/>
      </cdr:nvSpPr>
      <cdr:spPr>
        <a:xfrm xmlns:a="http://schemas.openxmlformats.org/drawingml/2006/main">
          <a:off x="1729941" y="1879600"/>
          <a:ext cx="440300" cy="3073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53%</a:t>
          </a:r>
        </a:p>
      </cdr:txBody>
    </cdr:sp>
  </cdr:relSizeAnchor>
  <cdr:relSizeAnchor xmlns:cdr="http://schemas.openxmlformats.org/drawingml/2006/chartDrawing">
    <cdr:from>
      <cdr:x>0.28279</cdr:x>
      <cdr:y>0.23731</cdr:y>
    </cdr:from>
    <cdr:to>
      <cdr:x>0.37159</cdr:x>
      <cdr:y>0.42143</cdr:y>
    </cdr:to>
    <cdr:sp macro="" textlink="">
      <cdr:nvSpPr>
        <cdr:cNvPr id="6" name="TextBox 1">
          <a:extLst xmlns:a="http://schemas.openxmlformats.org/drawingml/2006/main">
            <a:ext uri="{FF2B5EF4-FFF2-40B4-BE49-F238E27FC236}">
              <a16:creationId xmlns:a16="http://schemas.microsoft.com/office/drawing/2014/main" id="{F6213892-FA1A-4B45-AE23-988BCE750DC9}"/>
            </a:ext>
          </a:extLst>
        </cdr:cNvPr>
        <cdr:cNvSpPr txBox="1"/>
      </cdr:nvSpPr>
      <cdr:spPr>
        <a:xfrm xmlns:a="http://schemas.openxmlformats.org/drawingml/2006/main">
          <a:off x="1764807" y="1178560"/>
          <a:ext cx="554223"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53%</a:t>
          </a:r>
        </a:p>
      </cdr:txBody>
    </cdr:sp>
  </cdr:relSizeAnchor>
  <cdr:relSizeAnchor xmlns:cdr="http://schemas.openxmlformats.org/drawingml/2006/chartDrawing">
    <cdr:from>
      <cdr:x>0.28287</cdr:x>
      <cdr:y>0.09769</cdr:y>
    </cdr:from>
    <cdr:to>
      <cdr:x>0.42939</cdr:x>
      <cdr:y>0.16878</cdr:y>
    </cdr:to>
    <cdr:sp macro="" textlink="">
      <cdr:nvSpPr>
        <cdr:cNvPr id="7" name="TextBox 1">
          <a:extLst xmlns:a="http://schemas.openxmlformats.org/drawingml/2006/main">
            <a:ext uri="{FF2B5EF4-FFF2-40B4-BE49-F238E27FC236}">
              <a16:creationId xmlns:a16="http://schemas.microsoft.com/office/drawing/2014/main" id="{F6213892-FA1A-4B45-AE23-988BCE750DC9}"/>
            </a:ext>
          </a:extLst>
        </cdr:cNvPr>
        <cdr:cNvSpPr txBox="1"/>
      </cdr:nvSpPr>
      <cdr:spPr>
        <a:xfrm xmlns:a="http://schemas.openxmlformats.org/drawingml/2006/main">
          <a:off x="1765300" y="485140"/>
          <a:ext cx="914400" cy="353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50%</a:t>
          </a:r>
        </a:p>
      </cdr:txBody>
    </cdr:sp>
  </cdr:relSizeAnchor>
  <cdr:relSizeAnchor xmlns:cdr="http://schemas.openxmlformats.org/drawingml/2006/chartDrawing">
    <cdr:from>
      <cdr:x>0.59874</cdr:x>
      <cdr:y>0.37079</cdr:y>
    </cdr:from>
    <cdr:to>
      <cdr:x>0.74526</cdr:x>
      <cdr:y>0.55491</cdr:y>
    </cdr:to>
    <cdr:sp macro="" textlink="">
      <cdr:nvSpPr>
        <cdr:cNvPr id="8" name="TextBox 7">
          <a:extLst xmlns:a="http://schemas.openxmlformats.org/drawingml/2006/main">
            <a:ext uri="{FF2B5EF4-FFF2-40B4-BE49-F238E27FC236}">
              <a16:creationId xmlns:a16="http://schemas.microsoft.com/office/drawing/2014/main" id="{6686C408-4BAD-4A48-823C-24312C32694D}"/>
            </a:ext>
          </a:extLst>
        </cdr:cNvPr>
        <cdr:cNvSpPr txBox="1"/>
      </cdr:nvSpPr>
      <cdr:spPr>
        <a:xfrm xmlns:a="http://schemas.openxmlformats.org/drawingml/2006/main">
          <a:off x="3431685" y="1453444"/>
          <a:ext cx="839781" cy="721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28%</a:t>
          </a:r>
        </a:p>
      </cdr:txBody>
    </cdr:sp>
  </cdr:relSizeAnchor>
  <cdr:relSizeAnchor xmlns:cdr="http://schemas.openxmlformats.org/drawingml/2006/chartDrawing">
    <cdr:from>
      <cdr:x>0.6002</cdr:x>
      <cdr:y>0.23143</cdr:y>
    </cdr:from>
    <cdr:to>
      <cdr:x>0.74672</cdr:x>
      <cdr:y>0.41555</cdr:y>
    </cdr:to>
    <cdr:sp macro="" textlink="">
      <cdr:nvSpPr>
        <cdr:cNvPr id="9" name="TextBox 8">
          <a:extLst xmlns:a="http://schemas.openxmlformats.org/drawingml/2006/main">
            <a:ext uri="{FF2B5EF4-FFF2-40B4-BE49-F238E27FC236}">
              <a16:creationId xmlns:a16="http://schemas.microsoft.com/office/drawing/2014/main" id="{EB62A9E5-4ABE-4127-AAC0-56DA1B84D47C}"/>
            </a:ext>
          </a:extLst>
        </cdr:cNvPr>
        <cdr:cNvSpPr txBox="1"/>
      </cdr:nvSpPr>
      <cdr:spPr>
        <a:xfrm xmlns:a="http://schemas.openxmlformats.org/drawingml/2006/main">
          <a:off x="3440026" y="907173"/>
          <a:ext cx="839781" cy="7217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31%</a:t>
          </a:r>
        </a:p>
      </cdr:txBody>
    </cdr:sp>
  </cdr:relSizeAnchor>
  <cdr:relSizeAnchor xmlns:cdr="http://schemas.openxmlformats.org/drawingml/2006/chartDrawing">
    <cdr:from>
      <cdr:x>0.60857</cdr:x>
      <cdr:y>0.0918</cdr:y>
    </cdr:from>
    <cdr:to>
      <cdr:x>0.75509</cdr:x>
      <cdr:y>0.27592</cdr:y>
    </cdr:to>
    <cdr:sp macro="" textlink="">
      <cdr:nvSpPr>
        <cdr:cNvPr id="10" name="TextBox 9">
          <a:extLst xmlns:a="http://schemas.openxmlformats.org/drawingml/2006/main">
            <a:ext uri="{FF2B5EF4-FFF2-40B4-BE49-F238E27FC236}">
              <a16:creationId xmlns:a16="http://schemas.microsoft.com/office/drawing/2014/main" id="{96822D8F-7074-4627-96BF-FB2F6EC1CBCB}"/>
            </a:ext>
          </a:extLst>
        </cdr:cNvPr>
        <cdr:cNvSpPr txBox="1"/>
      </cdr:nvSpPr>
      <cdr:spPr>
        <a:xfrm xmlns:a="http://schemas.openxmlformats.org/drawingml/2006/main">
          <a:off x="3488046" y="359843"/>
          <a:ext cx="839781" cy="721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35%</a:t>
          </a:r>
        </a:p>
      </cdr:txBody>
    </cdr:sp>
  </cdr:relSizeAnchor>
  <cdr:relSizeAnchor xmlns:cdr="http://schemas.openxmlformats.org/drawingml/2006/chartDrawing">
    <cdr:from>
      <cdr:x>0.58943</cdr:x>
      <cdr:y>0.51511</cdr:y>
    </cdr:from>
    <cdr:to>
      <cdr:x>0.71384</cdr:x>
      <cdr:y>0.63911</cdr:y>
    </cdr:to>
    <cdr:sp macro="" textlink="">
      <cdr:nvSpPr>
        <cdr:cNvPr id="11" name="TextBox 10">
          <a:extLst xmlns:a="http://schemas.openxmlformats.org/drawingml/2006/main">
            <a:ext uri="{FF2B5EF4-FFF2-40B4-BE49-F238E27FC236}">
              <a16:creationId xmlns:a16="http://schemas.microsoft.com/office/drawing/2014/main" id="{2F8F9C4C-D65D-4E1A-8381-DE4A9F7956F6}"/>
            </a:ext>
          </a:extLst>
        </cdr:cNvPr>
        <cdr:cNvSpPr txBox="1"/>
      </cdr:nvSpPr>
      <cdr:spPr>
        <a:xfrm xmlns:a="http://schemas.openxmlformats.org/drawingml/2006/main">
          <a:off x="4241800" y="2532380"/>
          <a:ext cx="895350"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0.59869</cdr:x>
      <cdr:y>0.50736</cdr:y>
    </cdr:from>
    <cdr:to>
      <cdr:x>0.70061</cdr:x>
      <cdr:y>0.58486</cdr:y>
    </cdr:to>
    <cdr:sp macro="" textlink="">
      <cdr:nvSpPr>
        <cdr:cNvPr id="12" name="TextBox 11">
          <a:extLst xmlns:a="http://schemas.openxmlformats.org/drawingml/2006/main">
            <a:ext uri="{FF2B5EF4-FFF2-40B4-BE49-F238E27FC236}">
              <a16:creationId xmlns:a16="http://schemas.microsoft.com/office/drawing/2014/main" id="{5678866E-9B9F-47CC-B080-581BC768151A}"/>
            </a:ext>
          </a:extLst>
        </cdr:cNvPr>
        <cdr:cNvSpPr txBox="1"/>
      </cdr:nvSpPr>
      <cdr:spPr>
        <a:xfrm xmlns:a="http://schemas.openxmlformats.org/drawingml/2006/main">
          <a:off x="4308475" y="2494280"/>
          <a:ext cx="73342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25%</a:t>
          </a:r>
        </a:p>
      </cdr:txBody>
    </cdr:sp>
  </cdr:relSizeAnchor>
  <cdr:relSizeAnchor xmlns:cdr="http://schemas.openxmlformats.org/drawingml/2006/chartDrawing">
    <cdr:from>
      <cdr:x>0.6022</cdr:x>
      <cdr:y>0.65172</cdr:y>
    </cdr:from>
    <cdr:to>
      <cdr:x>0.69466</cdr:x>
      <cdr:y>0.76797</cdr:y>
    </cdr:to>
    <cdr:sp macro="" textlink="">
      <cdr:nvSpPr>
        <cdr:cNvPr id="13" name="TextBox 12">
          <a:extLst xmlns:a="http://schemas.openxmlformats.org/drawingml/2006/main">
            <a:ext uri="{FF2B5EF4-FFF2-40B4-BE49-F238E27FC236}">
              <a16:creationId xmlns:a16="http://schemas.microsoft.com/office/drawing/2014/main" id="{D098AC85-88BA-4882-AC10-10386FF22CA6}"/>
            </a:ext>
          </a:extLst>
        </cdr:cNvPr>
        <cdr:cNvSpPr txBox="1"/>
      </cdr:nvSpPr>
      <cdr:spPr>
        <a:xfrm xmlns:a="http://schemas.openxmlformats.org/drawingml/2006/main">
          <a:off x="3451506" y="2554647"/>
          <a:ext cx="529943" cy="4556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17%</a:t>
          </a:r>
        </a:p>
      </cdr:txBody>
    </cdr:sp>
  </cdr:relSizeAnchor>
  <cdr:relSizeAnchor xmlns:cdr="http://schemas.openxmlformats.org/drawingml/2006/chartDrawing">
    <cdr:from>
      <cdr:x>0.8607</cdr:x>
      <cdr:y>0.0972</cdr:y>
    </cdr:from>
    <cdr:to>
      <cdr:x>0.93882</cdr:x>
      <cdr:y>0.20756</cdr:y>
    </cdr:to>
    <cdr:sp macro="" textlink="">
      <cdr:nvSpPr>
        <cdr:cNvPr id="14" name="TextBox 13">
          <a:extLst xmlns:a="http://schemas.openxmlformats.org/drawingml/2006/main">
            <a:ext uri="{FF2B5EF4-FFF2-40B4-BE49-F238E27FC236}">
              <a16:creationId xmlns:a16="http://schemas.microsoft.com/office/drawing/2014/main" id="{967363F7-1650-43AC-9523-1E685FB94E13}"/>
            </a:ext>
          </a:extLst>
        </cdr:cNvPr>
        <cdr:cNvSpPr txBox="1"/>
      </cdr:nvSpPr>
      <cdr:spPr>
        <a:xfrm xmlns:a="http://schemas.openxmlformats.org/drawingml/2006/main">
          <a:off x="6191250" y="478155"/>
          <a:ext cx="561975" cy="542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15%</a:t>
          </a:r>
        </a:p>
      </cdr:txBody>
    </cdr:sp>
  </cdr:relSizeAnchor>
  <cdr:relSizeAnchor xmlns:cdr="http://schemas.openxmlformats.org/drawingml/2006/chartDrawing">
    <cdr:from>
      <cdr:x>0.86202</cdr:x>
      <cdr:y>0.23467</cdr:y>
    </cdr:from>
    <cdr:to>
      <cdr:x>0.95557</cdr:x>
      <cdr:y>0.35665</cdr:y>
    </cdr:to>
    <cdr:sp macro="" textlink="">
      <cdr:nvSpPr>
        <cdr:cNvPr id="15" name="TextBox 14">
          <a:extLst xmlns:a="http://schemas.openxmlformats.org/drawingml/2006/main">
            <a:ext uri="{FF2B5EF4-FFF2-40B4-BE49-F238E27FC236}">
              <a16:creationId xmlns:a16="http://schemas.microsoft.com/office/drawing/2014/main" id="{54915111-40E1-4B19-BF16-8918879895C8}"/>
            </a:ext>
          </a:extLst>
        </cdr:cNvPr>
        <cdr:cNvSpPr txBox="1"/>
      </cdr:nvSpPr>
      <cdr:spPr>
        <a:xfrm xmlns:a="http://schemas.openxmlformats.org/drawingml/2006/main">
          <a:off x="4940675" y="1057265"/>
          <a:ext cx="536199" cy="549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17%</a:t>
          </a:r>
        </a:p>
      </cdr:txBody>
    </cdr:sp>
  </cdr:relSizeAnchor>
  <cdr:relSizeAnchor xmlns:cdr="http://schemas.openxmlformats.org/drawingml/2006/chartDrawing">
    <cdr:from>
      <cdr:x>0.85938</cdr:x>
      <cdr:y>0.37408</cdr:y>
    </cdr:from>
    <cdr:to>
      <cdr:x>0.93353</cdr:x>
      <cdr:y>0.4767</cdr:y>
    </cdr:to>
    <cdr:sp macro="" textlink="">
      <cdr:nvSpPr>
        <cdr:cNvPr id="16" name="TextBox 15">
          <a:extLst xmlns:a="http://schemas.openxmlformats.org/drawingml/2006/main">
            <a:ext uri="{FF2B5EF4-FFF2-40B4-BE49-F238E27FC236}">
              <a16:creationId xmlns:a16="http://schemas.microsoft.com/office/drawing/2014/main" id="{F9D4DA89-6BF4-439C-ABCC-C3690D96BFC4}"/>
            </a:ext>
          </a:extLst>
        </cdr:cNvPr>
        <cdr:cNvSpPr txBox="1"/>
      </cdr:nvSpPr>
      <cdr:spPr>
        <a:xfrm xmlns:a="http://schemas.openxmlformats.org/drawingml/2006/main">
          <a:off x="6181725" y="1840230"/>
          <a:ext cx="533400"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19%</a:t>
          </a:r>
        </a:p>
      </cdr:txBody>
    </cdr:sp>
  </cdr:relSizeAnchor>
  <cdr:relSizeAnchor xmlns:cdr="http://schemas.openxmlformats.org/drawingml/2006/chartDrawing">
    <cdr:from>
      <cdr:x>0.85805</cdr:x>
      <cdr:y>0.51736</cdr:y>
    </cdr:from>
    <cdr:to>
      <cdr:x>0.95059</cdr:x>
      <cdr:y>0.64709</cdr:y>
    </cdr:to>
    <cdr:sp macro="" textlink="">
      <cdr:nvSpPr>
        <cdr:cNvPr id="17" name="TextBox 16">
          <a:extLst xmlns:a="http://schemas.openxmlformats.org/drawingml/2006/main">
            <a:ext uri="{FF2B5EF4-FFF2-40B4-BE49-F238E27FC236}">
              <a16:creationId xmlns:a16="http://schemas.microsoft.com/office/drawing/2014/main" id="{7EA99E89-FD50-428C-9702-B37AA2EF8B06}"/>
            </a:ext>
          </a:extLst>
        </cdr:cNvPr>
        <cdr:cNvSpPr txBox="1"/>
      </cdr:nvSpPr>
      <cdr:spPr>
        <a:xfrm xmlns:a="http://schemas.openxmlformats.org/drawingml/2006/main">
          <a:off x="4917922" y="2330875"/>
          <a:ext cx="530378" cy="5844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24%</a:t>
          </a:r>
        </a:p>
      </cdr:txBody>
    </cdr:sp>
  </cdr:relSizeAnchor>
  <cdr:relSizeAnchor xmlns:cdr="http://schemas.openxmlformats.org/drawingml/2006/chartDrawing">
    <cdr:from>
      <cdr:x>0.81833</cdr:x>
      <cdr:y>0.65096</cdr:y>
    </cdr:from>
    <cdr:to>
      <cdr:x>0.92426</cdr:x>
      <cdr:y>0.75939</cdr:y>
    </cdr:to>
    <cdr:sp macro="" textlink="">
      <cdr:nvSpPr>
        <cdr:cNvPr id="18" name="TextBox 17">
          <a:extLst xmlns:a="http://schemas.openxmlformats.org/drawingml/2006/main">
            <a:ext uri="{FF2B5EF4-FFF2-40B4-BE49-F238E27FC236}">
              <a16:creationId xmlns:a16="http://schemas.microsoft.com/office/drawing/2014/main" id="{20707357-828B-4FD4-9629-32A7D28350FC}"/>
            </a:ext>
          </a:extLst>
        </cdr:cNvPr>
        <cdr:cNvSpPr txBox="1"/>
      </cdr:nvSpPr>
      <cdr:spPr>
        <a:xfrm xmlns:a="http://schemas.openxmlformats.org/drawingml/2006/main">
          <a:off x="5886451" y="3202305"/>
          <a:ext cx="76200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0.8554</cdr:x>
      <cdr:y>0.66064</cdr:y>
    </cdr:from>
    <cdr:to>
      <cdr:x>0.93882</cdr:x>
      <cdr:y>0.76133</cdr:y>
    </cdr:to>
    <cdr:sp macro="" textlink="">
      <cdr:nvSpPr>
        <cdr:cNvPr id="19" name="TextBox 18">
          <a:extLst xmlns:a="http://schemas.openxmlformats.org/drawingml/2006/main">
            <a:ext uri="{FF2B5EF4-FFF2-40B4-BE49-F238E27FC236}">
              <a16:creationId xmlns:a16="http://schemas.microsoft.com/office/drawing/2014/main" id="{E7AE8A64-17B2-4EC5-B524-86527909B270}"/>
            </a:ext>
          </a:extLst>
        </cdr:cNvPr>
        <cdr:cNvSpPr txBox="1"/>
      </cdr:nvSpPr>
      <cdr:spPr>
        <a:xfrm xmlns:a="http://schemas.openxmlformats.org/drawingml/2006/main">
          <a:off x="6153150" y="3249930"/>
          <a:ext cx="600075" cy="4953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32%</a:t>
          </a:r>
        </a:p>
      </cdr:txBody>
    </cdr:sp>
  </cdr:relSizeAnchor>
</c:userShape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9801</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2023-11-30T22:41:00Z</dcterms:created>
  <dcterms:modified xsi:type="dcterms:W3CDTF">2024-02-29T22:31:00Z</dcterms:modified>
</cp:coreProperties>
</file>