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56" w:rsidRDefault="00014056" w:rsidP="00E30D2A">
      <w:pPr>
        <w:pStyle w:val="Heading1"/>
        <w:tabs>
          <w:tab w:val="left" w:pos="9495"/>
        </w:tabs>
        <w:spacing w:before="120"/>
        <w:rPr>
          <w:sz w:val="36"/>
          <w:szCs w:val="36"/>
        </w:rPr>
      </w:pPr>
      <w:r w:rsidRPr="00574745">
        <w:rPr>
          <w:sz w:val="36"/>
          <w:szCs w:val="36"/>
        </w:rPr>
        <w:t>Review of Pharmacy Remuneration and Regulation</w:t>
      </w:r>
      <w:r w:rsidR="00E30D2A">
        <w:rPr>
          <w:sz w:val="36"/>
          <w:szCs w:val="36"/>
        </w:rPr>
        <w:tab/>
      </w:r>
    </w:p>
    <w:p w:rsidR="00AE5041" w:rsidRPr="00E30D2A" w:rsidRDefault="00AE5041" w:rsidP="00AE5041">
      <w:pPr>
        <w:pStyle w:val="Heading1"/>
        <w:spacing w:before="120"/>
        <w:rPr>
          <w:sz w:val="32"/>
          <w:szCs w:val="36"/>
        </w:rPr>
      </w:pPr>
      <w:r w:rsidRPr="00E30D2A">
        <w:rPr>
          <w:sz w:val="32"/>
          <w:szCs w:val="36"/>
        </w:rPr>
        <w:t>Terms of Reference</w:t>
      </w:r>
    </w:p>
    <w:p w:rsidR="009245EB" w:rsidRPr="00F07270" w:rsidRDefault="009245EB" w:rsidP="00014056">
      <w:pPr>
        <w:spacing w:after="120"/>
        <w:rPr>
          <w:color w:val="000000" w:themeColor="text1"/>
        </w:rPr>
      </w:pPr>
      <w:r w:rsidRPr="00906BB4">
        <w:rPr>
          <w:color w:val="000000" w:themeColor="text1"/>
        </w:rPr>
        <w:t xml:space="preserve">Pharmacy and pharmacists play an important role in the delivery of </w:t>
      </w:r>
      <w:r w:rsidR="00EE3F37" w:rsidRPr="00906BB4">
        <w:rPr>
          <w:color w:val="000000" w:themeColor="text1"/>
        </w:rPr>
        <w:t xml:space="preserve">primary </w:t>
      </w:r>
      <w:r w:rsidRPr="00574745">
        <w:rPr>
          <w:color w:val="000000" w:themeColor="text1"/>
        </w:rPr>
        <w:t xml:space="preserve">health care in the Australian Community. </w:t>
      </w:r>
      <w:r w:rsidR="00085380" w:rsidRPr="00574745">
        <w:rPr>
          <w:color w:val="000000" w:themeColor="text1"/>
        </w:rPr>
        <w:t xml:space="preserve"> </w:t>
      </w:r>
      <w:r w:rsidR="00DB41D1" w:rsidRPr="00574745">
        <w:rPr>
          <w:color w:val="000000" w:themeColor="text1"/>
        </w:rPr>
        <w:t>As s</w:t>
      </w:r>
      <w:r w:rsidRPr="00574745">
        <w:rPr>
          <w:color w:val="000000" w:themeColor="text1"/>
        </w:rPr>
        <w:t>uccessive Community Pharmacy A</w:t>
      </w:r>
      <w:bookmarkStart w:id="0" w:name="_GoBack"/>
      <w:bookmarkEnd w:id="0"/>
      <w:r w:rsidRPr="00574745">
        <w:rPr>
          <w:color w:val="000000" w:themeColor="text1"/>
        </w:rPr>
        <w:t>greem</w:t>
      </w:r>
      <w:r w:rsidR="00DB41D1" w:rsidRPr="00574745">
        <w:rPr>
          <w:color w:val="000000" w:themeColor="text1"/>
        </w:rPr>
        <w:t>e</w:t>
      </w:r>
      <w:r w:rsidRPr="00574745">
        <w:rPr>
          <w:color w:val="000000" w:themeColor="text1"/>
        </w:rPr>
        <w:t xml:space="preserve">nts have </w:t>
      </w:r>
      <w:r w:rsidR="00DB41D1" w:rsidRPr="00574745">
        <w:rPr>
          <w:color w:val="000000" w:themeColor="text1"/>
        </w:rPr>
        <w:t>seen increasing investment by Government in supporting pharmacy</w:t>
      </w:r>
      <w:r w:rsidR="0037054B" w:rsidRPr="00574745">
        <w:rPr>
          <w:color w:val="000000" w:themeColor="text1"/>
        </w:rPr>
        <w:t>,</w:t>
      </w:r>
      <w:r w:rsidR="00DB41D1" w:rsidRPr="00574745">
        <w:rPr>
          <w:color w:val="000000" w:themeColor="text1"/>
        </w:rPr>
        <w:t xml:space="preserve"> the Review of Pharmacy Remuneration and Regulation (the Review)</w:t>
      </w:r>
      <w:r w:rsidR="00DB41D1" w:rsidRPr="00574745">
        <w:t xml:space="preserve"> will provide recommendations on future remuneration, </w:t>
      </w:r>
      <w:r w:rsidR="00DC643D" w:rsidRPr="00574745">
        <w:t>regulation including pharmacy location rules</w:t>
      </w:r>
      <w:r w:rsidR="007A407A" w:rsidRPr="00574745">
        <w:t>,</w:t>
      </w:r>
      <w:r w:rsidR="00DB41D1" w:rsidRPr="00574745">
        <w:t xml:space="preserve"> and </w:t>
      </w:r>
      <w:r w:rsidR="0057236A" w:rsidRPr="00574745">
        <w:t xml:space="preserve">other </w:t>
      </w:r>
      <w:r w:rsidR="00DB41D1" w:rsidRPr="00574745">
        <w:t xml:space="preserve">arrangements that apply to pharmacy </w:t>
      </w:r>
      <w:r w:rsidR="0039270E" w:rsidRPr="00574745">
        <w:t xml:space="preserve">and wholesalers </w:t>
      </w:r>
      <w:r w:rsidR="00DB41D1" w:rsidRPr="00574745">
        <w:t>for the dispensing of medicines and other services</w:t>
      </w:r>
      <w:r w:rsidR="002A6727" w:rsidRPr="00574745">
        <w:t>,</w:t>
      </w:r>
      <w:r w:rsidR="00DB41D1" w:rsidRPr="00574745">
        <w:t xml:space="preserve"> </w:t>
      </w:r>
      <w:r w:rsidR="002A6727" w:rsidRPr="00574745">
        <w:t xml:space="preserve">including the preparation of infusions or injections for chemotherapy, </w:t>
      </w:r>
      <w:r w:rsidR="00DB41D1" w:rsidRPr="00574745">
        <w:t>provided under the Pharmaceutical Benefits Scheme (PBS)</w:t>
      </w:r>
      <w:r w:rsidR="00085380" w:rsidRPr="00574745">
        <w:t>, to ensure consumers have reliable and affordable access to medicines</w:t>
      </w:r>
      <w:r w:rsidR="00DB41D1" w:rsidRPr="00574745">
        <w:t>.</w:t>
      </w:r>
    </w:p>
    <w:p w:rsidR="00C26317" w:rsidRPr="00574745" w:rsidRDefault="00DB41D1" w:rsidP="00DD4B56">
      <w:pPr>
        <w:spacing w:after="120"/>
      </w:pPr>
      <w:r w:rsidRPr="00574745">
        <w:rPr>
          <w:color w:val="000000" w:themeColor="text1"/>
        </w:rPr>
        <w:t>In consideration</w:t>
      </w:r>
      <w:r w:rsidR="0045363C" w:rsidRPr="00574745">
        <w:rPr>
          <w:color w:val="000000" w:themeColor="text1"/>
        </w:rPr>
        <w:t xml:space="preserve"> of the Commonwealth’s roles and responsibilities in health, in the context of the Australian Government’s Reform of Federation White Paper, the Review’s</w:t>
      </w:r>
      <w:r w:rsidR="00C26317" w:rsidRPr="00906BB4">
        <w:t xml:space="preserve"> recommendations will be directed toward achieving arrangements which are transparently cost-effective for Government and consumers</w:t>
      </w:r>
      <w:r w:rsidR="007A407A" w:rsidRPr="00574745">
        <w:t xml:space="preserve">, </w:t>
      </w:r>
      <w:r w:rsidR="00C26317" w:rsidRPr="00574745">
        <w:t xml:space="preserve">financially sustainable, considerate of current and future expectations for </w:t>
      </w:r>
      <w:r w:rsidR="00810AB2" w:rsidRPr="00574745">
        <w:t>the community pharmacy sector</w:t>
      </w:r>
      <w:r w:rsidR="00C26317" w:rsidRPr="00574745">
        <w:t xml:space="preserve">, and effective </w:t>
      </w:r>
      <w:r w:rsidR="007A407A" w:rsidRPr="00574745">
        <w:t>in delivering quality health outcomes and</w:t>
      </w:r>
      <w:r w:rsidR="00C26317" w:rsidRPr="00574745">
        <w:t xml:space="preserve"> promoting access and quality use of medicines</w:t>
      </w:r>
      <w:r w:rsidR="002C314A" w:rsidRPr="00574745">
        <w:t>,</w:t>
      </w:r>
      <w:r w:rsidR="00C26317" w:rsidRPr="00574745">
        <w:t xml:space="preserve"> in the context of Australia’s National Medicines Policy (NMP)</w:t>
      </w:r>
      <w:r w:rsidR="002C314A" w:rsidRPr="00574745">
        <w:t xml:space="preserve"> and the broader Australian Health sector</w:t>
      </w:r>
      <w:r w:rsidR="00C26317" w:rsidRPr="00574745">
        <w:t>.</w:t>
      </w:r>
      <w:r w:rsidR="00B42CD8">
        <w:t xml:space="preserve"> </w:t>
      </w:r>
      <w:r w:rsidRPr="00574745">
        <w:rPr>
          <w:color w:val="000000" w:themeColor="text1"/>
        </w:rPr>
        <w:t xml:space="preserve"> The Review will provide a report to the Minister for Health by 1 March 2017.</w:t>
      </w:r>
    </w:p>
    <w:p w:rsidR="00C26317" w:rsidRPr="00574745" w:rsidRDefault="00C26317" w:rsidP="00DD4B56">
      <w:pPr>
        <w:spacing w:after="120"/>
        <w:rPr>
          <w:color w:val="000000" w:themeColor="text1"/>
        </w:rPr>
      </w:pPr>
      <w:r w:rsidRPr="00574745">
        <w:rPr>
          <w:bCs/>
          <w:color w:val="000000" w:themeColor="text1"/>
        </w:rPr>
        <w:t>In m</w:t>
      </w:r>
      <w:r w:rsidRPr="00574745">
        <w:rPr>
          <w:color w:val="000000" w:themeColor="text1"/>
        </w:rPr>
        <w:t>aking its recommendations, the R</w:t>
      </w:r>
      <w:r w:rsidRPr="00574745">
        <w:rPr>
          <w:bCs/>
          <w:color w:val="000000" w:themeColor="text1"/>
        </w:rPr>
        <w:t xml:space="preserve">eview </w:t>
      </w:r>
      <w:r w:rsidRPr="00574745">
        <w:rPr>
          <w:color w:val="000000" w:themeColor="text1"/>
        </w:rPr>
        <w:t>will</w:t>
      </w:r>
      <w:r w:rsidRPr="00574745">
        <w:rPr>
          <w:bCs/>
          <w:color w:val="000000" w:themeColor="text1"/>
        </w:rPr>
        <w:t xml:space="preserve"> </w:t>
      </w:r>
      <w:r w:rsidR="0045363C" w:rsidRPr="00574745">
        <w:rPr>
          <w:bCs/>
          <w:color w:val="000000" w:themeColor="text1"/>
        </w:rPr>
        <w:t>consider:</w:t>
      </w:r>
    </w:p>
    <w:p w:rsidR="00DD4B56" w:rsidRPr="00574745" w:rsidRDefault="00DD4B56" w:rsidP="00DD4B56">
      <w:pPr>
        <w:pStyle w:val="Heading2"/>
        <w:spacing w:before="240" w:after="0"/>
      </w:pPr>
      <w:r w:rsidRPr="00574745">
        <w:t>Pharmacy Remuneration for Dispensing</w:t>
      </w:r>
    </w:p>
    <w:p w:rsidR="00DD4B56" w:rsidRPr="00574745" w:rsidRDefault="00DD4B56" w:rsidP="00DD4B56">
      <w:pPr>
        <w:spacing w:after="120"/>
        <w:ind w:left="709" w:hanging="709"/>
        <w:rPr>
          <w:color w:val="000000" w:themeColor="text1"/>
        </w:rPr>
      </w:pPr>
      <w:r w:rsidRPr="00574745">
        <w:rPr>
          <w:color w:val="000000" w:themeColor="text1"/>
        </w:rPr>
        <w:t>1.</w:t>
      </w:r>
      <w:r w:rsidRPr="00574745">
        <w:rPr>
          <w:color w:val="000000" w:themeColor="text1"/>
        </w:rPr>
        <w:tab/>
        <w:t>The appropriate level and structure of remuneration for community pharmacy for the dispensing of medicines under the PBS</w:t>
      </w:r>
      <w:r w:rsidR="00DC643D" w:rsidRPr="00574745">
        <w:rPr>
          <w:color w:val="000000" w:themeColor="text1"/>
        </w:rPr>
        <w:t xml:space="preserve"> consistent with the NMP and </w:t>
      </w:r>
      <w:r w:rsidR="00EE14FC" w:rsidRPr="00574745">
        <w:rPr>
          <w:color w:val="000000" w:themeColor="text1"/>
        </w:rPr>
        <w:t xml:space="preserve">its role </w:t>
      </w:r>
      <w:r w:rsidR="00DC643D" w:rsidRPr="00574745">
        <w:rPr>
          <w:color w:val="000000" w:themeColor="text1"/>
        </w:rPr>
        <w:t>in delivering health outcomes for patients</w:t>
      </w:r>
      <w:r w:rsidRPr="00574745">
        <w:rPr>
          <w:color w:val="000000" w:themeColor="text1"/>
        </w:rPr>
        <w:t>, including</w:t>
      </w:r>
      <w:r w:rsidR="00B82A94" w:rsidRPr="00574745">
        <w:rPr>
          <w:color w:val="000000" w:themeColor="text1"/>
        </w:rPr>
        <w:t xml:space="preserve"> consideration of</w:t>
      </w:r>
      <w:r w:rsidRPr="00574745">
        <w:rPr>
          <w:color w:val="000000" w:themeColor="text1"/>
        </w:rPr>
        <w:t>:</w:t>
      </w:r>
    </w:p>
    <w:p w:rsidR="00DD4B56" w:rsidRPr="00574745" w:rsidRDefault="00DD4B56" w:rsidP="00DD4B56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(a)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t</w:t>
      </w:r>
      <w:r w:rsidRPr="00574745">
        <w:rPr>
          <w:bCs/>
          <w:color w:val="000000" w:themeColor="text1"/>
        </w:rPr>
        <w:t xml:space="preserve">he costs and cost </w:t>
      </w:r>
      <w:r w:rsidR="0003470C" w:rsidRPr="00574745">
        <w:rPr>
          <w:bCs/>
          <w:color w:val="000000" w:themeColor="text1"/>
        </w:rPr>
        <w:t>drivers associated</w:t>
      </w:r>
      <w:r w:rsidRPr="00574745">
        <w:rPr>
          <w:bCs/>
          <w:color w:val="000000" w:themeColor="text1"/>
        </w:rPr>
        <w:t xml:space="preserve"> with disp</w:t>
      </w:r>
      <w:r w:rsidRPr="00574745">
        <w:rPr>
          <w:color w:val="000000" w:themeColor="text1"/>
        </w:rPr>
        <w:t>ensing;</w:t>
      </w:r>
    </w:p>
    <w:p w:rsidR="00DD4B56" w:rsidRPr="00574745" w:rsidRDefault="00DD4B56" w:rsidP="00DD4B56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(b)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m</w:t>
      </w:r>
      <w:r w:rsidRPr="00574745">
        <w:rPr>
          <w:color w:val="000000" w:themeColor="text1"/>
        </w:rPr>
        <w:t>arket</w:t>
      </w:r>
      <w:r w:rsidRPr="00574745">
        <w:rPr>
          <w:bCs/>
          <w:color w:val="000000" w:themeColor="text1"/>
        </w:rPr>
        <w:t xml:space="preserve"> considerations, including likely growth and distribution of demand and community need, based on medicines listing projections and population and healthcare trends (in Australia and overseas</w:t>
      </w:r>
      <w:r w:rsidRPr="00574745">
        <w:rPr>
          <w:color w:val="000000" w:themeColor="text1"/>
        </w:rPr>
        <w:t>);</w:t>
      </w:r>
    </w:p>
    <w:p w:rsidR="00DD4B56" w:rsidRPr="00574745" w:rsidRDefault="00DD4B56" w:rsidP="00DD4B56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(c)</w:t>
      </w:r>
      <w:r w:rsidRPr="00574745">
        <w:rPr>
          <w:color w:val="000000" w:themeColor="text1"/>
        </w:rPr>
        <w:tab/>
        <w:t xml:space="preserve">funding models that could be used, including </w:t>
      </w:r>
      <w:r w:rsidR="00DC643D" w:rsidRPr="00574745">
        <w:rPr>
          <w:color w:val="000000" w:themeColor="text1"/>
        </w:rPr>
        <w:t xml:space="preserve">comparable </w:t>
      </w:r>
      <w:r w:rsidRPr="00574745">
        <w:rPr>
          <w:color w:val="000000" w:themeColor="text1"/>
        </w:rPr>
        <w:t>overseas examples; and</w:t>
      </w:r>
    </w:p>
    <w:p w:rsidR="00DD4B56" w:rsidRPr="00574745" w:rsidRDefault="00DD4B56" w:rsidP="00DD4B56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(d)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d</w:t>
      </w:r>
      <w:r w:rsidRPr="00574745">
        <w:rPr>
          <w:color w:val="000000" w:themeColor="text1"/>
        </w:rPr>
        <w:t xml:space="preserve">ifferent funding structures that may be appropriate for different business models for delivery of </w:t>
      </w:r>
      <w:r w:rsidR="0057236A" w:rsidRPr="00574745">
        <w:rPr>
          <w:color w:val="000000" w:themeColor="text1"/>
        </w:rPr>
        <w:t xml:space="preserve">pharmaceutical services </w:t>
      </w:r>
      <w:r w:rsidR="002A6727" w:rsidRPr="00574745">
        <w:rPr>
          <w:color w:val="000000" w:themeColor="text1"/>
        </w:rPr>
        <w:t xml:space="preserve">(including the preparation of </w:t>
      </w:r>
      <w:r w:rsidR="002A6727" w:rsidRPr="00574745">
        <w:rPr>
          <w:rFonts w:cs="Arial"/>
          <w:bCs/>
          <w:color w:val="222222"/>
          <w:szCs w:val="20"/>
          <w:shd w:val="clear" w:color="auto" w:fill="FFFFFF"/>
        </w:rPr>
        <w:t>chemotherapy infusions or injections)</w:t>
      </w:r>
      <w:r w:rsidR="002A6727" w:rsidRPr="00574745">
        <w:rPr>
          <w:rFonts w:cs="Arial"/>
          <w:b/>
          <w:bCs/>
          <w:color w:val="222222"/>
          <w:szCs w:val="20"/>
          <w:shd w:val="clear" w:color="auto" w:fill="FFFFFF"/>
        </w:rPr>
        <w:t xml:space="preserve"> </w:t>
      </w:r>
      <w:r w:rsidR="0057236A" w:rsidRPr="00574745">
        <w:rPr>
          <w:color w:val="000000" w:themeColor="text1"/>
        </w:rPr>
        <w:t>in different settings and how any new structures improve access to, affordability and quality use of medicines</w:t>
      </w:r>
      <w:r w:rsidRPr="00574745">
        <w:rPr>
          <w:color w:val="000000" w:themeColor="text1"/>
        </w:rPr>
        <w:t>.</w:t>
      </w:r>
    </w:p>
    <w:p w:rsidR="00C26317" w:rsidRPr="00574745" w:rsidRDefault="0083213C" w:rsidP="00DD4B56">
      <w:pPr>
        <w:pStyle w:val="Heading2"/>
        <w:spacing w:before="240" w:after="0"/>
      </w:pPr>
      <w:r w:rsidRPr="00574745">
        <w:t>Regulation</w:t>
      </w:r>
    </w:p>
    <w:p w:rsidR="00C26317" w:rsidRPr="00574745" w:rsidRDefault="00DD4B56" w:rsidP="00C26317">
      <w:pPr>
        <w:spacing w:after="120"/>
        <w:ind w:left="709" w:hanging="709"/>
        <w:rPr>
          <w:color w:val="000000" w:themeColor="text1"/>
        </w:rPr>
      </w:pPr>
      <w:r w:rsidRPr="00574745">
        <w:rPr>
          <w:color w:val="000000" w:themeColor="text1"/>
        </w:rPr>
        <w:t>2</w:t>
      </w:r>
      <w:r w:rsidR="00C26317" w:rsidRPr="00574745">
        <w:rPr>
          <w:color w:val="000000" w:themeColor="text1"/>
        </w:rPr>
        <w:t>.</w:t>
      </w:r>
      <w:r w:rsidR="00C26317" w:rsidRPr="00574745">
        <w:rPr>
          <w:color w:val="000000" w:themeColor="text1"/>
        </w:rPr>
        <w:tab/>
      </w:r>
      <w:r w:rsidR="00B82A94" w:rsidRPr="00574745">
        <w:rPr>
          <w:color w:val="000000" w:themeColor="text1"/>
        </w:rPr>
        <w:t>The appropriate r</w:t>
      </w:r>
      <w:r w:rsidR="0083213C" w:rsidRPr="00574745">
        <w:rPr>
          <w:color w:val="000000" w:themeColor="text1"/>
        </w:rPr>
        <w:t xml:space="preserve">egulation of pharmacy </w:t>
      </w:r>
      <w:r w:rsidR="00BD663B">
        <w:rPr>
          <w:color w:val="000000" w:themeColor="text1"/>
        </w:rPr>
        <w:t xml:space="preserve">and pharmacy distribution, </w:t>
      </w:r>
      <w:r w:rsidR="0083213C" w:rsidRPr="00574745">
        <w:rPr>
          <w:color w:val="000000" w:themeColor="text1"/>
        </w:rPr>
        <w:t xml:space="preserve">including the </w:t>
      </w:r>
      <w:r w:rsidR="00C26317" w:rsidRPr="00574745">
        <w:rPr>
          <w:color w:val="000000" w:themeColor="text1"/>
        </w:rPr>
        <w:t xml:space="preserve">role of Pharmacy Location Rules in supporting access to medicines in Australia, </w:t>
      </w:r>
      <w:r w:rsidR="00B82A94" w:rsidRPr="00574745">
        <w:rPr>
          <w:color w:val="000000" w:themeColor="text1"/>
        </w:rPr>
        <w:t>including consideration of</w:t>
      </w:r>
      <w:r w:rsidR="00C26317" w:rsidRPr="00574745">
        <w:rPr>
          <w:color w:val="000000" w:themeColor="text1"/>
        </w:rPr>
        <w:t>:</w:t>
      </w:r>
    </w:p>
    <w:p w:rsidR="00C26317" w:rsidRPr="00574745" w:rsidRDefault="00C26317" w:rsidP="00C26317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(a)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t</w:t>
      </w:r>
      <w:r w:rsidRPr="00574745">
        <w:rPr>
          <w:color w:val="000000" w:themeColor="text1"/>
        </w:rPr>
        <w:t xml:space="preserve">he </w:t>
      </w:r>
      <w:r w:rsidR="0057236A" w:rsidRPr="00574745">
        <w:rPr>
          <w:color w:val="000000" w:themeColor="text1"/>
        </w:rPr>
        <w:t>costs and benefits of</w:t>
      </w:r>
      <w:r w:rsidRPr="00574745">
        <w:rPr>
          <w:color w:val="000000" w:themeColor="text1"/>
        </w:rPr>
        <w:t xml:space="preserve"> such structures, their consistency with current thinking for effective competi</w:t>
      </w:r>
      <w:r w:rsidR="00B82A94" w:rsidRPr="00574745">
        <w:rPr>
          <w:color w:val="000000" w:themeColor="text1"/>
        </w:rPr>
        <w:t>tion in a pharmacy environment</w:t>
      </w:r>
      <w:r w:rsidR="00454515" w:rsidRPr="00574745">
        <w:rPr>
          <w:color w:val="000000" w:themeColor="text1"/>
        </w:rPr>
        <w:t xml:space="preserve"> and </w:t>
      </w:r>
      <w:r w:rsidR="004D3564" w:rsidRPr="00574745">
        <w:rPr>
          <w:color w:val="000000" w:themeColor="text1"/>
        </w:rPr>
        <w:t xml:space="preserve">impacts on </w:t>
      </w:r>
      <w:r w:rsidR="00454515" w:rsidRPr="00574745">
        <w:rPr>
          <w:color w:val="000000" w:themeColor="text1"/>
        </w:rPr>
        <w:t>access and affordability</w:t>
      </w:r>
      <w:r w:rsidR="004D3564" w:rsidRPr="00574745">
        <w:rPr>
          <w:color w:val="000000" w:themeColor="text1"/>
        </w:rPr>
        <w:t xml:space="preserve"> for consumers and communities</w:t>
      </w:r>
      <w:r w:rsidR="00B82A94" w:rsidRPr="00574745">
        <w:rPr>
          <w:color w:val="000000" w:themeColor="text1"/>
        </w:rPr>
        <w:t>;</w:t>
      </w:r>
    </w:p>
    <w:p w:rsidR="00C26317" w:rsidRPr="00574745" w:rsidRDefault="00C26317" w:rsidP="00C26317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(b)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k</w:t>
      </w:r>
      <w:r w:rsidRPr="00574745">
        <w:rPr>
          <w:color w:val="000000" w:themeColor="text1"/>
        </w:rPr>
        <w:t>ey components of such structures that are necessary to support access and quality use of medicines in the Australian population</w:t>
      </w:r>
      <w:r w:rsidR="00B82A94" w:rsidRPr="00574745">
        <w:rPr>
          <w:color w:val="000000" w:themeColor="text1"/>
        </w:rPr>
        <w:t>;</w:t>
      </w:r>
    </w:p>
    <w:p w:rsidR="00B82A94" w:rsidRPr="00574745" w:rsidRDefault="00B82A94" w:rsidP="00B82A94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(c)</w:t>
      </w:r>
      <w:r w:rsidRPr="00574745">
        <w:rPr>
          <w:color w:val="000000" w:themeColor="text1"/>
        </w:rPr>
        <w:tab/>
        <w:t>t</w:t>
      </w:r>
      <w:r w:rsidR="00C26317" w:rsidRPr="00574745">
        <w:rPr>
          <w:color w:val="000000" w:themeColor="text1"/>
        </w:rPr>
        <w:t xml:space="preserve">he role of government in </w:t>
      </w:r>
      <w:r w:rsidR="00F33F91" w:rsidRPr="00574745">
        <w:rPr>
          <w:color w:val="000000" w:themeColor="text1"/>
        </w:rPr>
        <w:t xml:space="preserve">the </w:t>
      </w:r>
      <w:r w:rsidR="00C26317" w:rsidRPr="00574745">
        <w:rPr>
          <w:color w:val="000000" w:themeColor="text1"/>
        </w:rPr>
        <w:t>regulation of pharmacy</w:t>
      </w:r>
      <w:r w:rsidR="00B924E8" w:rsidRPr="00574745">
        <w:rPr>
          <w:color w:val="000000" w:themeColor="text1"/>
        </w:rPr>
        <w:t xml:space="preserve"> and whol</w:t>
      </w:r>
      <w:r w:rsidR="00344747">
        <w:rPr>
          <w:color w:val="000000" w:themeColor="text1"/>
        </w:rPr>
        <w:t>e</w:t>
      </w:r>
      <w:r w:rsidR="00B924E8" w:rsidRPr="00574745">
        <w:rPr>
          <w:color w:val="000000" w:themeColor="text1"/>
        </w:rPr>
        <w:t>salers</w:t>
      </w:r>
      <w:r w:rsidRPr="00574745">
        <w:rPr>
          <w:color w:val="000000" w:themeColor="text1"/>
        </w:rPr>
        <w:t>; and</w:t>
      </w:r>
    </w:p>
    <w:p w:rsidR="00C26317" w:rsidRPr="00574745" w:rsidRDefault="00B82A94" w:rsidP="00B82A94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 xml:space="preserve">(d) </w:t>
      </w:r>
      <w:r w:rsidRPr="00574745">
        <w:rPr>
          <w:color w:val="000000" w:themeColor="text1"/>
        </w:rPr>
        <w:tab/>
      </w:r>
      <w:r w:rsidR="00810AB2" w:rsidRPr="00574745">
        <w:rPr>
          <w:color w:val="000000" w:themeColor="text1"/>
        </w:rPr>
        <w:t>t</w:t>
      </w:r>
      <w:r w:rsidR="00C26317" w:rsidRPr="00574745">
        <w:rPr>
          <w:color w:val="000000" w:themeColor="text1"/>
        </w:rPr>
        <w:t>he</w:t>
      </w:r>
      <w:r w:rsidR="00C26317" w:rsidRPr="00574745">
        <w:rPr>
          <w:bCs/>
          <w:color w:val="000000" w:themeColor="text1"/>
        </w:rPr>
        <w:t xml:space="preserve"> impact </w:t>
      </w:r>
      <w:r w:rsidR="00C26317" w:rsidRPr="00574745">
        <w:rPr>
          <w:color w:val="000000" w:themeColor="text1"/>
        </w:rPr>
        <w:t xml:space="preserve">of any recommendations for change on the community </w:t>
      </w:r>
      <w:r w:rsidR="00C26317" w:rsidRPr="00574745">
        <w:rPr>
          <w:bCs/>
          <w:color w:val="000000" w:themeColor="text1"/>
        </w:rPr>
        <w:t xml:space="preserve">pharmacy sector and </w:t>
      </w:r>
      <w:r w:rsidR="00C26317" w:rsidRPr="00574745">
        <w:rPr>
          <w:color w:val="000000" w:themeColor="text1"/>
        </w:rPr>
        <w:t xml:space="preserve">transitional arrangements </w:t>
      </w:r>
      <w:r w:rsidR="00C26317" w:rsidRPr="00574745">
        <w:rPr>
          <w:bCs/>
          <w:color w:val="000000" w:themeColor="text1"/>
        </w:rPr>
        <w:t xml:space="preserve">that may be necessary to </w:t>
      </w:r>
      <w:r w:rsidR="00C26317" w:rsidRPr="00574745">
        <w:rPr>
          <w:color w:val="000000" w:themeColor="text1"/>
        </w:rPr>
        <w:t xml:space="preserve">sustainably </w:t>
      </w:r>
      <w:r w:rsidR="00C26317" w:rsidRPr="00574745">
        <w:rPr>
          <w:bCs/>
          <w:color w:val="000000" w:themeColor="text1"/>
        </w:rPr>
        <w:t xml:space="preserve">manage </w:t>
      </w:r>
      <w:r w:rsidR="00C26317" w:rsidRPr="00574745">
        <w:rPr>
          <w:color w:val="000000" w:themeColor="text1"/>
        </w:rPr>
        <w:t>those impacts</w:t>
      </w:r>
      <w:r w:rsidR="006C66BD" w:rsidRPr="00574745">
        <w:rPr>
          <w:color w:val="000000" w:themeColor="text1"/>
        </w:rPr>
        <w:t xml:space="preserve"> and how those recommendations improve access to, affordability and quality use of medicines</w:t>
      </w:r>
      <w:r w:rsidR="00C26317" w:rsidRPr="00574745">
        <w:rPr>
          <w:color w:val="000000" w:themeColor="text1"/>
        </w:rPr>
        <w:t>.</w:t>
      </w:r>
    </w:p>
    <w:p w:rsidR="00202D46" w:rsidRDefault="00202D46">
      <w:pPr>
        <w:spacing w:after="200"/>
        <w:rPr>
          <w:rFonts w:eastAsiaTheme="majorEastAsia" w:cs="Arial"/>
          <w:b/>
          <w:bCs/>
          <w:iCs/>
          <w:color w:val="4F81BD" w:themeColor="accent1"/>
          <w:sz w:val="24"/>
          <w:szCs w:val="36"/>
        </w:rPr>
      </w:pPr>
      <w:r>
        <w:br w:type="page"/>
      </w:r>
    </w:p>
    <w:p w:rsidR="00C26317" w:rsidRPr="00574745" w:rsidRDefault="0039270E" w:rsidP="00DD4B56">
      <w:pPr>
        <w:pStyle w:val="Heading2"/>
        <w:spacing w:before="240" w:after="0"/>
      </w:pPr>
      <w:r w:rsidRPr="00574745">
        <w:lastRenderedPageBreak/>
        <w:t xml:space="preserve">Wholesaling, </w:t>
      </w:r>
      <w:r w:rsidR="00C26317" w:rsidRPr="00574745">
        <w:t>Logistics and Distribution</w:t>
      </w:r>
      <w:r w:rsidR="00510A18" w:rsidRPr="00574745">
        <w:t xml:space="preserve"> Arrangements</w:t>
      </w:r>
    </w:p>
    <w:p w:rsidR="00C26317" w:rsidRPr="00574745" w:rsidRDefault="0045363C" w:rsidP="00C26317">
      <w:pPr>
        <w:spacing w:after="120"/>
        <w:ind w:left="709" w:hanging="709"/>
        <w:rPr>
          <w:color w:val="000000" w:themeColor="text1"/>
        </w:rPr>
      </w:pPr>
      <w:r w:rsidRPr="00574745">
        <w:rPr>
          <w:color w:val="000000" w:themeColor="text1"/>
        </w:rPr>
        <w:t>3</w:t>
      </w:r>
      <w:r w:rsidR="00C26317" w:rsidRPr="00574745">
        <w:rPr>
          <w:color w:val="000000" w:themeColor="text1"/>
        </w:rPr>
        <w:t>.</w:t>
      </w:r>
      <w:r w:rsidR="00C26317" w:rsidRPr="00574745">
        <w:rPr>
          <w:color w:val="000000" w:themeColor="text1"/>
        </w:rPr>
        <w:tab/>
        <w:t>The</w:t>
      </w:r>
      <w:r w:rsidR="00C26317" w:rsidRPr="00574745">
        <w:rPr>
          <w:bCs/>
          <w:color w:val="000000" w:themeColor="text1"/>
        </w:rPr>
        <w:t xml:space="preserve"> appropriate </w:t>
      </w:r>
      <w:r w:rsidR="00C26317" w:rsidRPr="00574745">
        <w:rPr>
          <w:color w:val="000000" w:themeColor="text1"/>
        </w:rPr>
        <w:t xml:space="preserve">level and structure of remuneration for </w:t>
      </w:r>
      <w:r w:rsidR="0039270E" w:rsidRPr="00574745">
        <w:rPr>
          <w:color w:val="000000" w:themeColor="text1"/>
        </w:rPr>
        <w:t xml:space="preserve">wholesalers and pharmacies for wholesaling, </w:t>
      </w:r>
      <w:r w:rsidR="00C26317" w:rsidRPr="00574745">
        <w:rPr>
          <w:bCs/>
          <w:color w:val="000000" w:themeColor="text1"/>
        </w:rPr>
        <w:t xml:space="preserve">logistics and distribution of medicines from manufacturer to </w:t>
      </w:r>
      <w:r w:rsidR="00C26317" w:rsidRPr="00574745">
        <w:rPr>
          <w:color w:val="000000" w:themeColor="text1"/>
        </w:rPr>
        <w:t>community pharmacy</w:t>
      </w:r>
      <w:r w:rsidR="00C26317" w:rsidRPr="00574745">
        <w:rPr>
          <w:bCs/>
          <w:color w:val="000000" w:themeColor="text1"/>
        </w:rPr>
        <w:t>, including consideration of:</w:t>
      </w:r>
    </w:p>
    <w:p w:rsidR="00C26317" w:rsidRPr="00574745" w:rsidRDefault="00C26317" w:rsidP="00C26317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(a)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r</w:t>
      </w:r>
      <w:r w:rsidRPr="00574745">
        <w:rPr>
          <w:bCs/>
          <w:color w:val="000000" w:themeColor="text1"/>
        </w:rPr>
        <w:t>egulatory requirements</w:t>
      </w:r>
      <w:r w:rsidR="0039270E" w:rsidRPr="00574745">
        <w:rPr>
          <w:bCs/>
          <w:color w:val="000000" w:themeColor="text1"/>
        </w:rPr>
        <w:t>, standards</w:t>
      </w:r>
      <w:r w:rsidRPr="00574745">
        <w:rPr>
          <w:bCs/>
          <w:color w:val="000000" w:themeColor="text1"/>
        </w:rPr>
        <w:t xml:space="preserve"> and quality control to provide assurance of timely and reliable access and delivery</w:t>
      </w:r>
      <w:r w:rsidRPr="00574745">
        <w:rPr>
          <w:color w:val="000000" w:themeColor="text1"/>
        </w:rPr>
        <w:t>;</w:t>
      </w:r>
    </w:p>
    <w:p w:rsidR="0039270E" w:rsidRPr="00574745" w:rsidRDefault="00C26317" w:rsidP="00C26317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(b)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t</w:t>
      </w:r>
      <w:r w:rsidRPr="00574745">
        <w:rPr>
          <w:bCs/>
          <w:color w:val="000000" w:themeColor="text1"/>
        </w:rPr>
        <w:t xml:space="preserve">he costs and cost drivers associated with </w:t>
      </w:r>
      <w:r w:rsidR="0039270E" w:rsidRPr="00574745">
        <w:rPr>
          <w:bCs/>
          <w:color w:val="000000" w:themeColor="text1"/>
        </w:rPr>
        <w:t xml:space="preserve">timely supply consistent with </w:t>
      </w:r>
      <w:r w:rsidR="00AE5041">
        <w:rPr>
          <w:bCs/>
          <w:color w:val="000000" w:themeColor="text1"/>
        </w:rPr>
        <w:t xml:space="preserve">the </w:t>
      </w:r>
      <w:r w:rsidR="0039270E" w:rsidRPr="00574745">
        <w:rPr>
          <w:bCs/>
          <w:color w:val="000000" w:themeColor="text1"/>
        </w:rPr>
        <w:t xml:space="preserve">NMP, wholesaling, </w:t>
      </w:r>
      <w:r w:rsidRPr="00574745">
        <w:rPr>
          <w:bCs/>
          <w:color w:val="000000" w:themeColor="text1"/>
        </w:rPr>
        <w:t>logistics and delivery</w:t>
      </w:r>
      <w:r w:rsidRPr="00574745">
        <w:rPr>
          <w:color w:val="000000" w:themeColor="text1"/>
        </w:rPr>
        <w:t xml:space="preserve">; </w:t>
      </w:r>
    </w:p>
    <w:p w:rsidR="00C26317" w:rsidRPr="00574745" w:rsidRDefault="0039270E" w:rsidP="00C26317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(c)</w:t>
      </w:r>
      <w:r w:rsidRPr="00574745">
        <w:rPr>
          <w:color w:val="000000" w:themeColor="text1"/>
        </w:rPr>
        <w:tab/>
        <w:t xml:space="preserve">the adequacy of funding to promote investment in supply chain infrastructure to meet future PBS supply and </w:t>
      </w:r>
      <w:r w:rsidR="00454515" w:rsidRPr="00574745">
        <w:rPr>
          <w:color w:val="000000" w:themeColor="text1"/>
        </w:rPr>
        <w:t>security</w:t>
      </w:r>
      <w:r w:rsidRPr="00574745">
        <w:rPr>
          <w:color w:val="000000" w:themeColor="text1"/>
        </w:rPr>
        <w:t xml:space="preserve"> needs; </w:t>
      </w:r>
      <w:r w:rsidR="00C26317" w:rsidRPr="00574745">
        <w:rPr>
          <w:color w:val="000000" w:themeColor="text1"/>
        </w:rPr>
        <w:t>and</w:t>
      </w:r>
    </w:p>
    <w:p w:rsidR="00C26317" w:rsidRPr="00574745" w:rsidRDefault="00C26317" w:rsidP="00C26317">
      <w:pPr>
        <w:spacing w:after="120"/>
        <w:ind w:left="1418" w:hanging="709"/>
        <w:rPr>
          <w:color w:val="000000" w:themeColor="text1"/>
        </w:rPr>
      </w:pPr>
      <w:r w:rsidRPr="00574745">
        <w:rPr>
          <w:color w:val="000000" w:themeColor="text1"/>
        </w:rPr>
        <w:t>(</w:t>
      </w:r>
      <w:r w:rsidR="0039270E" w:rsidRPr="00574745">
        <w:rPr>
          <w:color w:val="000000" w:themeColor="text1"/>
        </w:rPr>
        <w:t>d</w:t>
      </w:r>
      <w:r w:rsidRPr="00574745">
        <w:rPr>
          <w:color w:val="000000" w:themeColor="text1"/>
        </w:rPr>
        <w:t>)</w:t>
      </w:r>
      <w:r w:rsidRPr="00574745">
        <w:rPr>
          <w:color w:val="000000" w:themeColor="text1"/>
        </w:rPr>
        <w:tab/>
      </w:r>
      <w:r w:rsidR="00F33F91" w:rsidRPr="00574745">
        <w:rPr>
          <w:color w:val="000000" w:themeColor="text1"/>
        </w:rPr>
        <w:t>t</w:t>
      </w:r>
      <w:r w:rsidRPr="00574745">
        <w:rPr>
          <w:bCs/>
          <w:color w:val="000000" w:themeColor="text1"/>
        </w:rPr>
        <w:t xml:space="preserve">he relationships between manufacturer, </w:t>
      </w:r>
      <w:r w:rsidR="0039270E" w:rsidRPr="00574745">
        <w:rPr>
          <w:bCs/>
          <w:color w:val="000000" w:themeColor="text1"/>
        </w:rPr>
        <w:t xml:space="preserve">wholesaler, </w:t>
      </w:r>
      <w:r w:rsidR="00810AB2" w:rsidRPr="00574745">
        <w:rPr>
          <w:bCs/>
          <w:color w:val="000000" w:themeColor="text1"/>
        </w:rPr>
        <w:t>distributor</w:t>
      </w:r>
      <w:r w:rsidRPr="00574745">
        <w:rPr>
          <w:bCs/>
          <w:color w:val="000000" w:themeColor="text1"/>
        </w:rPr>
        <w:t>, delivery partner, pharmacy and government</w:t>
      </w:r>
      <w:r w:rsidR="004D3564" w:rsidRPr="00574745">
        <w:rPr>
          <w:color w:val="000000" w:themeColor="text1"/>
        </w:rPr>
        <w:t xml:space="preserve"> </w:t>
      </w:r>
      <w:r w:rsidR="00454515" w:rsidRPr="00574745">
        <w:rPr>
          <w:color w:val="000000" w:themeColor="text1"/>
        </w:rPr>
        <w:t xml:space="preserve">and </w:t>
      </w:r>
      <w:r w:rsidR="004D3564" w:rsidRPr="00574745">
        <w:rPr>
          <w:color w:val="000000" w:themeColor="text1"/>
        </w:rPr>
        <w:t xml:space="preserve">how these impact consumer and </w:t>
      </w:r>
      <w:r w:rsidR="00454515" w:rsidRPr="00574745">
        <w:rPr>
          <w:color w:val="000000" w:themeColor="text1"/>
        </w:rPr>
        <w:t>community need</w:t>
      </w:r>
      <w:r w:rsidR="004D3564" w:rsidRPr="00574745">
        <w:rPr>
          <w:color w:val="000000" w:themeColor="text1"/>
        </w:rPr>
        <w:t>.</w:t>
      </w:r>
    </w:p>
    <w:p w:rsidR="00C26317" w:rsidRPr="00574745" w:rsidRDefault="00C26317" w:rsidP="00510A18">
      <w:pPr>
        <w:pStyle w:val="Heading2"/>
        <w:spacing w:before="240" w:after="0"/>
      </w:pPr>
      <w:r w:rsidRPr="00574745">
        <w:t>Accountability and Regulation</w:t>
      </w:r>
    </w:p>
    <w:p w:rsidR="003565C8" w:rsidRPr="00574745" w:rsidRDefault="0045363C" w:rsidP="00510A18">
      <w:pPr>
        <w:spacing w:after="120"/>
        <w:ind w:left="709" w:hanging="709"/>
        <w:rPr>
          <w:bCs/>
          <w:color w:val="000000" w:themeColor="text1"/>
        </w:rPr>
      </w:pPr>
      <w:r w:rsidRPr="00574745">
        <w:rPr>
          <w:bCs/>
          <w:color w:val="000000" w:themeColor="text1"/>
        </w:rPr>
        <w:t>4</w:t>
      </w:r>
      <w:r w:rsidR="00C26317" w:rsidRPr="00574745">
        <w:rPr>
          <w:bCs/>
          <w:color w:val="000000" w:themeColor="text1"/>
        </w:rPr>
        <w:t>.</w:t>
      </w:r>
      <w:r w:rsidR="00C26317" w:rsidRPr="00574745">
        <w:rPr>
          <w:bCs/>
          <w:color w:val="000000" w:themeColor="text1"/>
        </w:rPr>
        <w:tab/>
        <w:t xml:space="preserve">What </w:t>
      </w:r>
      <w:r w:rsidR="0057236A" w:rsidRPr="00574745">
        <w:rPr>
          <w:bCs/>
          <w:color w:val="000000" w:themeColor="text1"/>
        </w:rPr>
        <w:t xml:space="preserve">regulatory arrangements </w:t>
      </w:r>
      <w:r w:rsidR="00C26317" w:rsidRPr="00574745">
        <w:rPr>
          <w:bCs/>
          <w:color w:val="000000" w:themeColor="text1"/>
        </w:rPr>
        <w:t xml:space="preserve">are necessary to promote high standards of delivery and </w:t>
      </w:r>
      <w:r w:rsidR="0057236A" w:rsidRPr="00574745">
        <w:rPr>
          <w:bCs/>
          <w:color w:val="000000" w:themeColor="text1"/>
        </w:rPr>
        <w:t xml:space="preserve">accountability </w:t>
      </w:r>
      <w:r w:rsidR="00C26317" w:rsidRPr="00574745">
        <w:rPr>
          <w:bCs/>
          <w:color w:val="000000" w:themeColor="text1"/>
        </w:rPr>
        <w:t>amongst pharmacies</w:t>
      </w:r>
      <w:r w:rsidR="0039270E" w:rsidRPr="00574745">
        <w:rPr>
          <w:bCs/>
          <w:color w:val="000000" w:themeColor="text1"/>
        </w:rPr>
        <w:t>, wholesalers, manufacturers</w:t>
      </w:r>
      <w:r w:rsidR="00C26317" w:rsidRPr="00574745">
        <w:rPr>
          <w:bCs/>
          <w:color w:val="000000" w:themeColor="text1"/>
        </w:rPr>
        <w:t xml:space="preserve"> and other entities receiving funding under the PBS, and the data required to monitor and </w:t>
      </w:r>
      <w:r w:rsidR="0057236A" w:rsidRPr="00574745">
        <w:rPr>
          <w:bCs/>
          <w:color w:val="000000" w:themeColor="text1"/>
        </w:rPr>
        <w:t xml:space="preserve">assess </w:t>
      </w:r>
      <w:r w:rsidR="00C26317" w:rsidRPr="00574745">
        <w:rPr>
          <w:bCs/>
          <w:color w:val="000000" w:themeColor="text1"/>
        </w:rPr>
        <w:t>these standards of delivery and community outcomes.</w:t>
      </w:r>
    </w:p>
    <w:p w:rsidR="004D3564" w:rsidRPr="00574745" w:rsidRDefault="004D3564" w:rsidP="004D3564">
      <w:pPr>
        <w:pStyle w:val="Heading2"/>
        <w:spacing w:before="240" w:after="0"/>
      </w:pPr>
      <w:r w:rsidRPr="00574745">
        <w:t xml:space="preserve">Consumer </w:t>
      </w:r>
      <w:r w:rsidR="00B42CD8">
        <w:t>E</w:t>
      </w:r>
      <w:r w:rsidR="00B42CD8" w:rsidRPr="00574745">
        <w:t>xperience</w:t>
      </w:r>
    </w:p>
    <w:p w:rsidR="00454515" w:rsidRPr="00574745" w:rsidRDefault="004D3564" w:rsidP="00510A18">
      <w:pPr>
        <w:spacing w:after="120"/>
        <w:ind w:left="709" w:hanging="709"/>
        <w:rPr>
          <w:bCs/>
          <w:color w:val="000000" w:themeColor="text1"/>
        </w:rPr>
      </w:pPr>
      <w:r w:rsidRPr="00574745">
        <w:rPr>
          <w:bCs/>
          <w:color w:val="000000" w:themeColor="text1"/>
        </w:rPr>
        <w:t>5.</w:t>
      </w:r>
      <w:r w:rsidRPr="00574745">
        <w:rPr>
          <w:bCs/>
          <w:color w:val="000000" w:themeColor="text1"/>
        </w:rPr>
        <w:tab/>
      </w:r>
      <w:r w:rsidR="00EF76AE" w:rsidRPr="00574745">
        <w:rPr>
          <w:bCs/>
          <w:color w:val="000000" w:themeColor="text1"/>
        </w:rPr>
        <w:t>The consumer experience, including:</w:t>
      </w:r>
    </w:p>
    <w:p w:rsidR="00EF76AE" w:rsidRPr="00574745" w:rsidRDefault="00EF76AE" w:rsidP="00510A18">
      <w:pPr>
        <w:spacing w:after="120"/>
        <w:ind w:left="709" w:hanging="709"/>
        <w:rPr>
          <w:bCs/>
          <w:color w:val="000000" w:themeColor="text1"/>
        </w:rPr>
      </w:pPr>
      <w:r w:rsidRPr="00574745">
        <w:rPr>
          <w:bCs/>
          <w:color w:val="000000" w:themeColor="text1"/>
        </w:rPr>
        <w:tab/>
        <w:t>(a)</w:t>
      </w:r>
      <w:r w:rsidRPr="00574745">
        <w:rPr>
          <w:bCs/>
          <w:color w:val="000000" w:themeColor="text1"/>
        </w:rPr>
        <w:tab/>
        <w:t>consumer attitudes to the services expected from community pharmacy;</w:t>
      </w:r>
    </w:p>
    <w:p w:rsidR="00EF76AE" w:rsidRPr="00574745" w:rsidRDefault="00EF76AE" w:rsidP="00510A18">
      <w:pPr>
        <w:spacing w:after="120"/>
        <w:ind w:left="709" w:hanging="709"/>
        <w:rPr>
          <w:bCs/>
          <w:color w:val="000000" w:themeColor="text1"/>
        </w:rPr>
      </w:pPr>
      <w:r w:rsidRPr="00574745">
        <w:rPr>
          <w:bCs/>
          <w:color w:val="000000" w:themeColor="text1"/>
        </w:rPr>
        <w:tab/>
        <w:t>(b)</w:t>
      </w:r>
      <w:r w:rsidRPr="00574745">
        <w:rPr>
          <w:bCs/>
          <w:color w:val="000000" w:themeColor="text1"/>
        </w:rPr>
        <w:tab/>
        <w:t xml:space="preserve">consumer expectations regarding access to and affordability of medicines; and </w:t>
      </w:r>
    </w:p>
    <w:p w:rsidR="00EF76AE" w:rsidRDefault="00EF76AE" w:rsidP="00510A18">
      <w:pPr>
        <w:spacing w:after="120"/>
        <w:ind w:left="709" w:hanging="709"/>
        <w:rPr>
          <w:bCs/>
          <w:color w:val="000000" w:themeColor="text1"/>
        </w:rPr>
      </w:pPr>
      <w:r w:rsidRPr="00574745">
        <w:rPr>
          <w:bCs/>
          <w:color w:val="000000" w:themeColor="text1"/>
        </w:rPr>
        <w:tab/>
        <w:t>(c)</w:t>
      </w:r>
      <w:r w:rsidRPr="00574745">
        <w:rPr>
          <w:bCs/>
          <w:color w:val="000000" w:themeColor="text1"/>
        </w:rPr>
        <w:tab/>
        <w:t>consumer priorities regarding access to and quality use of medicines.</w:t>
      </w:r>
    </w:p>
    <w:p w:rsidR="00454515" w:rsidRPr="00C26317" w:rsidRDefault="00454515" w:rsidP="00EF76AE">
      <w:pPr>
        <w:spacing w:after="120"/>
        <w:ind w:left="709" w:hanging="709"/>
        <w:rPr>
          <w:color w:val="000000" w:themeColor="text1"/>
        </w:rPr>
      </w:pPr>
    </w:p>
    <w:sectPr w:rsidR="00454515" w:rsidRPr="00C26317" w:rsidSect="007E6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18" w:rsidRDefault="00510A18" w:rsidP="00510A18">
      <w:pPr>
        <w:spacing w:after="0" w:line="240" w:lineRule="auto"/>
      </w:pPr>
      <w:r>
        <w:separator/>
      </w:r>
    </w:p>
  </w:endnote>
  <w:endnote w:type="continuationSeparator" w:id="0">
    <w:p w:rsidR="00510A18" w:rsidRDefault="00510A18" w:rsidP="0051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0" w:rsidRDefault="00A93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076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144" w:rsidRDefault="00E801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144" w:rsidRDefault="00E801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0" w:rsidRDefault="00A93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18" w:rsidRDefault="00510A18" w:rsidP="00510A18">
      <w:pPr>
        <w:spacing w:after="0" w:line="240" w:lineRule="auto"/>
      </w:pPr>
      <w:r>
        <w:separator/>
      </w:r>
    </w:p>
  </w:footnote>
  <w:footnote w:type="continuationSeparator" w:id="0">
    <w:p w:rsidR="00510A18" w:rsidRDefault="00510A18" w:rsidP="0051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0" w:rsidRDefault="00A93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18" w:rsidRDefault="00510A18" w:rsidP="00F07270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:rsidR="00202D46" w:rsidRPr="00F07270" w:rsidRDefault="00202D46" w:rsidP="00F07270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0" w:rsidRDefault="00A93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993"/>
    <w:multiLevelType w:val="hybridMultilevel"/>
    <w:tmpl w:val="0ED8EF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56"/>
    <w:rsid w:val="00014056"/>
    <w:rsid w:val="0003470C"/>
    <w:rsid w:val="00085380"/>
    <w:rsid w:val="001E5254"/>
    <w:rsid w:val="0020016F"/>
    <w:rsid w:val="00202D46"/>
    <w:rsid w:val="002A6727"/>
    <w:rsid w:val="002C314A"/>
    <w:rsid w:val="00344747"/>
    <w:rsid w:val="003565C8"/>
    <w:rsid w:val="0037054B"/>
    <w:rsid w:val="00383773"/>
    <w:rsid w:val="0039270E"/>
    <w:rsid w:val="003E6F1D"/>
    <w:rsid w:val="004443FA"/>
    <w:rsid w:val="0045363C"/>
    <w:rsid w:val="00454515"/>
    <w:rsid w:val="00485FBC"/>
    <w:rsid w:val="004D3564"/>
    <w:rsid w:val="00510A18"/>
    <w:rsid w:val="00513451"/>
    <w:rsid w:val="00537429"/>
    <w:rsid w:val="0057236A"/>
    <w:rsid w:val="00574745"/>
    <w:rsid w:val="006002D1"/>
    <w:rsid w:val="006C66BD"/>
    <w:rsid w:val="00777CF2"/>
    <w:rsid w:val="007831CB"/>
    <w:rsid w:val="007A407A"/>
    <w:rsid w:val="007E69E0"/>
    <w:rsid w:val="00810AB2"/>
    <w:rsid w:val="0083213C"/>
    <w:rsid w:val="008E0B67"/>
    <w:rsid w:val="00906BB4"/>
    <w:rsid w:val="009245EB"/>
    <w:rsid w:val="00A93120"/>
    <w:rsid w:val="00AE5041"/>
    <w:rsid w:val="00AF097E"/>
    <w:rsid w:val="00B42CD8"/>
    <w:rsid w:val="00B82A94"/>
    <w:rsid w:val="00B924E8"/>
    <w:rsid w:val="00BD663B"/>
    <w:rsid w:val="00C26317"/>
    <w:rsid w:val="00C31D8B"/>
    <w:rsid w:val="00DB41D1"/>
    <w:rsid w:val="00DC643D"/>
    <w:rsid w:val="00DD4B56"/>
    <w:rsid w:val="00E30D2A"/>
    <w:rsid w:val="00E80144"/>
    <w:rsid w:val="00E94890"/>
    <w:rsid w:val="00ED2C65"/>
    <w:rsid w:val="00ED5A3D"/>
    <w:rsid w:val="00EE14FC"/>
    <w:rsid w:val="00EE3F37"/>
    <w:rsid w:val="00EF76AE"/>
    <w:rsid w:val="00F07270"/>
    <w:rsid w:val="00F14631"/>
    <w:rsid w:val="00F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56"/>
    <w:pPr>
      <w:spacing w:after="2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56"/>
    <w:pPr>
      <w:keepNext/>
      <w:keepLines/>
      <w:spacing w:before="360"/>
      <w:outlineLvl w:val="1"/>
    </w:pPr>
    <w:rPr>
      <w:rFonts w:eastAsiaTheme="majorEastAsia" w:cs="Arial"/>
      <w:b/>
      <w:bCs/>
      <w:iCs/>
      <w:color w:val="4F81BD" w:themeColor="accent1"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056"/>
    <w:rPr>
      <w:rFonts w:ascii="Arial" w:eastAsiaTheme="majorEastAsia" w:hAnsi="Arial" w:cs="Arial"/>
      <w:b/>
      <w:bCs/>
      <w:iCs/>
      <w:color w:val="4F81BD" w:themeColor="accent1"/>
      <w:sz w:val="24"/>
      <w:szCs w:val="36"/>
    </w:rPr>
  </w:style>
  <w:style w:type="character" w:styleId="IntenseReference">
    <w:name w:val="Intense Reference"/>
    <w:basedOn w:val="DefaultParagraphFont"/>
    <w:uiPriority w:val="32"/>
    <w:qFormat/>
    <w:rsid w:val="00C26317"/>
    <w:rPr>
      <w:b/>
      <w:bCs/>
      <w:i/>
      <w:smallCaps/>
      <w:color w:val="C0504D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C26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631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1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1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18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56"/>
    <w:pPr>
      <w:spacing w:after="2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56"/>
    <w:pPr>
      <w:keepNext/>
      <w:keepLines/>
      <w:spacing w:before="360"/>
      <w:outlineLvl w:val="1"/>
    </w:pPr>
    <w:rPr>
      <w:rFonts w:eastAsiaTheme="majorEastAsia" w:cs="Arial"/>
      <w:b/>
      <w:bCs/>
      <w:iCs/>
      <w:color w:val="4F81BD" w:themeColor="accent1"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056"/>
    <w:rPr>
      <w:rFonts w:ascii="Arial" w:eastAsiaTheme="majorEastAsia" w:hAnsi="Arial" w:cs="Arial"/>
      <w:b/>
      <w:bCs/>
      <w:iCs/>
      <w:color w:val="4F81BD" w:themeColor="accent1"/>
      <w:sz w:val="24"/>
      <w:szCs w:val="36"/>
    </w:rPr>
  </w:style>
  <w:style w:type="character" w:styleId="IntenseReference">
    <w:name w:val="Intense Reference"/>
    <w:basedOn w:val="DefaultParagraphFont"/>
    <w:uiPriority w:val="32"/>
    <w:qFormat/>
    <w:rsid w:val="00C26317"/>
    <w:rPr>
      <w:b/>
      <w:bCs/>
      <w:i/>
      <w:smallCaps/>
      <w:color w:val="C0504D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C26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631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1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1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18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2015-11-25T01:02:00Z</dcterms:created>
  <dcterms:modified xsi:type="dcterms:W3CDTF">2015-11-25T01:02:00Z</dcterms:modified>
</cp:coreProperties>
</file>